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8AAB5" w14:textId="77777777" w:rsidR="00AF505E" w:rsidRPr="0035091B" w:rsidRDefault="00AF505E" w:rsidP="00A01202">
      <w:pPr>
        <w:spacing w:before="170"/>
        <w:rPr>
          <w:rFonts w:cs="Arial"/>
          <w:szCs w:val="20"/>
        </w:rPr>
      </w:pPr>
      <w:r w:rsidRPr="00D52FB7">
        <w:rPr>
          <w:noProof/>
          <w:lang w:eastAsia="en-AU"/>
        </w:rPr>
        <w:drawing>
          <wp:anchor distT="0" distB="0" distL="114300" distR="114300" simplePos="0" relativeHeight="251658240" behindDoc="0" locked="0" layoutInCell="1" allowOverlap="1" wp14:anchorId="4B4204DB" wp14:editId="3EC1168E">
            <wp:simplePos x="0" y="0"/>
            <wp:positionH relativeFrom="column">
              <wp:posOffset>1790700</wp:posOffset>
            </wp:positionH>
            <wp:positionV relativeFrom="paragraph">
              <wp:posOffset>152400</wp:posOffset>
            </wp:positionV>
            <wp:extent cx="2301240" cy="1276350"/>
            <wp:effectExtent l="1905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301240" cy="1276350"/>
                    </a:xfrm>
                    <a:prstGeom prst="rect">
                      <a:avLst/>
                    </a:prstGeom>
                    <a:noFill/>
                    <a:ln w="9525">
                      <a:noFill/>
                      <a:miter lim="800000"/>
                      <a:headEnd/>
                      <a:tailEnd/>
                    </a:ln>
                  </pic:spPr>
                </pic:pic>
              </a:graphicData>
            </a:graphic>
          </wp:anchor>
        </w:drawing>
      </w:r>
      <w:bookmarkStart w:id="0" w:name="_Toc188414987"/>
    </w:p>
    <w:p w14:paraId="1039CF27" w14:textId="77777777" w:rsidR="00AF505E" w:rsidRPr="00D52FB7" w:rsidRDefault="00AF505E" w:rsidP="00A01202">
      <w:pPr>
        <w:spacing w:before="170"/>
      </w:pPr>
    </w:p>
    <w:p w14:paraId="14CCC624" w14:textId="77777777" w:rsidR="00AF505E" w:rsidRPr="00D52FB7" w:rsidRDefault="00AF505E" w:rsidP="00A01202">
      <w:pPr>
        <w:spacing w:before="170"/>
      </w:pPr>
    </w:p>
    <w:p w14:paraId="0EDA04AF" w14:textId="77777777" w:rsidR="00AF505E" w:rsidRPr="00D52FB7" w:rsidRDefault="00AF505E" w:rsidP="00A01202">
      <w:pPr>
        <w:spacing w:before="170"/>
      </w:pPr>
    </w:p>
    <w:p w14:paraId="5CF26A7D" w14:textId="77777777" w:rsidR="00AF505E" w:rsidRPr="00D52FB7" w:rsidRDefault="00AF505E" w:rsidP="00A01202">
      <w:pPr>
        <w:spacing w:before="170"/>
      </w:pPr>
    </w:p>
    <w:p w14:paraId="5AEC3119" w14:textId="77777777" w:rsidR="00AF505E" w:rsidRDefault="00AF505E" w:rsidP="00A01202">
      <w:pPr>
        <w:spacing w:before="170"/>
      </w:pPr>
    </w:p>
    <w:p w14:paraId="3224774E" w14:textId="77777777" w:rsidR="009B1A85" w:rsidRDefault="009B1A85" w:rsidP="00A01202">
      <w:pPr>
        <w:spacing w:before="170"/>
      </w:pPr>
    </w:p>
    <w:p w14:paraId="3C01C267" w14:textId="77777777" w:rsidR="00AF505E" w:rsidRPr="0035091B" w:rsidRDefault="00AF505E" w:rsidP="00A01202">
      <w:pPr>
        <w:spacing w:before="170"/>
        <w:jc w:val="center"/>
        <w:rPr>
          <w:b/>
          <w:caps/>
          <w:sz w:val="28"/>
          <w:szCs w:val="28"/>
        </w:rPr>
      </w:pPr>
      <w:r w:rsidRPr="009B1A85">
        <w:rPr>
          <w:b/>
          <w:sz w:val="28"/>
        </w:rPr>
        <w:t>STATE PARTY REPORT</w:t>
      </w:r>
      <w:bookmarkEnd w:id="0"/>
    </w:p>
    <w:p w14:paraId="2A8BC5CE" w14:textId="77777777" w:rsidR="00AF505E" w:rsidRPr="009B1A85" w:rsidRDefault="00AF505E" w:rsidP="00A01202">
      <w:pPr>
        <w:spacing w:before="170"/>
        <w:jc w:val="center"/>
        <w:rPr>
          <w:b/>
          <w:sz w:val="28"/>
        </w:rPr>
      </w:pPr>
      <w:bookmarkStart w:id="1" w:name="_Toc188414988"/>
      <w:r w:rsidRPr="009B1A85">
        <w:rPr>
          <w:b/>
          <w:sz w:val="28"/>
        </w:rPr>
        <w:t>ON THE STATE OF CONSERVATION</w:t>
      </w:r>
      <w:bookmarkEnd w:id="1"/>
    </w:p>
    <w:p w14:paraId="4F304840" w14:textId="77777777" w:rsidR="00AF505E" w:rsidRPr="009B1A85" w:rsidRDefault="00AF505E" w:rsidP="00A01202">
      <w:pPr>
        <w:spacing w:before="170"/>
        <w:jc w:val="center"/>
        <w:rPr>
          <w:b/>
          <w:sz w:val="28"/>
        </w:rPr>
      </w:pPr>
      <w:bookmarkStart w:id="2" w:name="_Toc188414989"/>
      <w:r w:rsidRPr="009B1A85">
        <w:rPr>
          <w:b/>
          <w:sz w:val="28"/>
        </w:rPr>
        <w:t>OF THE</w:t>
      </w:r>
      <w:bookmarkEnd w:id="2"/>
    </w:p>
    <w:p w14:paraId="0A50A5FB" w14:textId="77777777" w:rsidR="00AF505E" w:rsidRPr="009B1A85" w:rsidRDefault="00AF505E" w:rsidP="00A01202">
      <w:pPr>
        <w:spacing w:before="170"/>
        <w:jc w:val="center"/>
        <w:rPr>
          <w:b/>
          <w:sz w:val="28"/>
        </w:rPr>
      </w:pPr>
      <w:bookmarkStart w:id="3" w:name="_Toc188414990"/>
      <w:r w:rsidRPr="009B1A85">
        <w:rPr>
          <w:b/>
          <w:sz w:val="28"/>
        </w:rPr>
        <w:t>TASMANIAN WILDERNESS WORLD HERITAGE AREA</w:t>
      </w:r>
      <w:bookmarkEnd w:id="3"/>
    </w:p>
    <w:p w14:paraId="52FC42C8" w14:textId="77777777" w:rsidR="00AF505E" w:rsidRPr="009B1A85" w:rsidRDefault="00AF505E" w:rsidP="00A01202">
      <w:pPr>
        <w:spacing w:before="170"/>
        <w:jc w:val="center"/>
        <w:rPr>
          <w:b/>
          <w:sz w:val="28"/>
        </w:rPr>
      </w:pPr>
      <w:bookmarkStart w:id="4" w:name="_Toc188414991"/>
      <w:r w:rsidRPr="009B1A85">
        <w:rPr>
          <w:b/>
          <w:sz w:val="28"/>
        </w:rPr>
        <w:t>(AUSTRALIA)</w:t>
      </w:r>
      <w:bookmarkEnd w:id="4"/>
    </w:p>
    <w:p w14:paraId="329AE021" w14:textId="77777777" w:rsidR="00AF505E" w:rsidRPr="009B1A85" w:rsidRDefault="00AF505E" w:rsidP="00A01202">
      <w:pPr>
        <w:spacing w:before="170"/>
        <w:jc w:val="center"/>
        <w:rPr>
          <w:b/>
          <w:sz w:val="28"/>
        </w:rPr>
      </w:pPr>
    </w:p>
    <w:p w14:paraId="7A9513EC" w14:textId="77777777" w:rsidR="00AF505E" w:rsidRPr="009B1A85" w:rsidRDefault="00AF505E" w:rsidP="00A01202">
      <w:pPr>
        <w:spacing w:before="170"/>
        <w:jc w:val="center"/>
        <w:rPr>
          <w:b/>
          <w:sz w:val="28"/>
        </w:rPr>
      </w:pPr>
      <w:bookmarkStart w:id="5" w:name="_Toc188414992"/>
      <w:r w:rsidRPr="009B1A85">
        <w:rPr>
          <w:b/>
          <w:sz w:val="28"/>
        </w:rPr>
        <w:t xml:space="preserve">PROPERTY ID 181 </w:t>
      </w:r>
      <w:bookmarkEnd w:id="5"/>
      <w:proofErr w:type="spellStart"/>
      <w:r w:rsidRPr="009B1A85">
        <w:rPr>
          <w:b/>
          <w:sz w:val="28"/>
          <w:lang w:val="en"/>
        </w:rPr>
        <w:t>quinquies</w:t>
      </w:r>
      <w:proofErr w:type="spellEnd"/>
    </w:p>
    <w:p w14:paraId="442A3EF1" w14:textId="77777777" w:rsidR="00AF505E" w:rsidRPr="009B1A85" w:rsidRDefault="00AF505E" w:rsidP="00A01202">
      <w:pPr>
        <w:spacing w:before="170"/>
        <w:jc w:val="center"/>
        <w:rPr>
          <w:b/>
          <w:sz w:val="28"/>
        </w:rPr>
      </w:pPr>
    </w:p>
    <w:p w14:paraId="23BD8748" w14:textId="77777777" w:rsidR="00AF505E" w:rsidRPr="009B1A85" w:rsidRDefault="00AF505E" w:rsidP="00A01202">
      <w:pPr>
        <w:spacing w:before="170"/>
        <w:jc w:val="center"/>
        <w:rPr>
          <w:b/>
          <w:sz w:val="28"/>
        </w:rPr>
      </w:pPr>
    </w:p>
    <w:p w14:paraId="38FBA5EE" w14:textId="77777777" w:rsidR="00AF505E" w:rsidRPr="009B1A85" w:rsidRDefault="00AF505E" w:rsidP="00A01202">
      <w:pPr>
        <w:spacing w:before="170"/>
        <w:jc w:val="center"/>
        <w:rPr>
          <w:b/>
          <w:sz w:val="28"/>
        </w:rPr>
      </w:pPr>
    </w:p>
    <w:p w14:paraId="29196DF5" w14:textId="77777777" w:rsidR="00AF505E" w:rsidRPr="00127FA8" w:rsidRDefault="00AF505E" w:rsidP="00A01202">
      <w:pPr>
        <w:spacing w:before="170"/>
        <w:jc w:val="center"/>
        <w:rPr>
          <w:b/>
          <w:szCs w:val="20"/>
        </w:rPr>
      </w:pPr>
      <w:bookmarkStart w:id="6" w:name="_Toc188414993"/>
      <w:r w:rsidRPr="00127FA8">
        <w:rPr>
          <w:b/>
          <w:szCs w:val="20"/>
        </w:rPr>
        <w:t>IN RESPONSE TO</w:t>
      </w:r>
      <w:bookmarkEnd w:id="6"/>
    </w:p>
    <w:p w14:paraId="4F9C2951" w14:textId="77777777" w:rsidR="00AF505E" w:rsidRPr="00127FA8" w:rsidRDefault="00AF505E" w:rsidP="00A01202">
      <w:pPr>
        <w:spacing w:before="170"/>
        <w:jc w:val="center"/>
        <w:rPr>
          <w:b/>
          <w:szCs w:val="20"/>
        </w:rPr>
      </w:pPr>
      <w:bookmarkStart w:id="7" w:name="_Toc188414994"/>
      <w:r w:rsidRPr="00127FA8">
        <w:rPr>
          <w:b/>
          <w:szCs w:val="20"/>
        </w:rPr>
        <w:t>WORLD HERITAGE COMMITTEE DECISION 42 COM 7B.</w:t>
      </w:r>
      <w:bookmarkEnd w:id="7"/>
      <w:r w:rsidR="00B642AD" w:rsidRPr="00127FA8">
        <w:rPr>
          <w:b/>
          <w:szCs w:val="20"/>
        </w:rPr>
        <w:t>61</w:t>
      </w:r>
    </w:p>
    <w:p w14:paraId="34E9F60C" w14:textId="77777777" w:rsidR="00AF505E" w:rsidRPr="00127FA8" w:rsidRDefault="00AF505E" w:rsidP="00A01202">
      <w:pPr>
        <w:spacing w:before="170"/>
        <w:jc w:val="center"/>
        <w:rPr>
          <w:b/>
          <w:szCs w:val="20"/>
        </w:rPr>
      </w:pPr>
    </w:p>
    <w:p w14:paraId="0E90FA3C" w14:textId="77777777" w:rsidR="00AF505E" w:rsidRPr="00127FA8" w:rsidRDefault="00AF505E" w:rsidP="00A01202">
      <w:pPr>
        <w:spacing w:before="170"/>
        <w:jc w:val="center"/>
        <w:rPr>
          <w:b/>
          <w:szCs w:val="20"/>
        </w:rPr>
      </w:pPr>
      <w:bookmarkStart w:id="8" w:name="_Toc188414995"/>
      <w:r w:rsidRPr="00127FA8">
        <w:rPr>
          <w:b/>
          <w:szCs w:val="20"/>
        </w:rPr>
        <w:t xml:space="preserve">FOR SUBMISSION BY 1 DECEMBER </w:t>
      </w:r>
      <w:bookmarkEnd w:id="8"/>
      <w:r w:rsidRPr="00127FA8">
        <w:rPr>
          <w:b/>
          <w:szCs w:val="20"/>
        </w:rPr>
        <w:t>2019</w:t>
      </w:r>
    </w:p>
    <w:p w14:paraId="6ADC9B66" w14:textId="77777777" w:rsidR="009073C9" w:rsidRPr="00127FA8" w:rsidRDefault="009073C9" w:rsidP="00A01202">
      <w:pPr>
        <w:spacing w:before="170"/>
        <w:jc w:val="center"/>
        <w:rPr>
          <w:b/>
          <w:szCs w:val="20"/>
        </w:rPr>
      </w:pPr>
    </w:p>
    <w:p w14:paraId="73AB6E59" w14:textId="77777777" w:rsidR="00AF505E" w:rsidRPr="00D52FB7" w:rsidRDefault="00AF505E" w:rsidP="00FF381A">
      <w:pPr>
        <w:pStyle w:val="disclaimer"/>
        <w:rPr>
          <w:rStyle w:val="TextBold"/>
        </w:rPr>
      </w:pPr>
    </w:p>
    <w:p w14:paraId="12B52F04" w14:textId="77777777" w:rsidR="00AF505E" w:rsidRPr="00D52FB7" w:rsidRDefault="00AF505E" w:rsidP="00185AB3">
      <w:pPr>
        <w:pStyle w:val="disclaimer"/>
        <w:rPr>
          <w:rStyle w:val="TextBold"/>
        </w:rPr>
      </w:pPr>
    </w:p>
    <w:p w14:paraId="4AE7613E" w14:textId="77777777" w:rsidR="00AF505E" w:rsidRPr="00D52FB7" w:rsidRDefault="00AF505E" w:rsidP="00185AB3">
      <w:pPr>
        <w:pStyle w:val="disclaimer"/>
        <w:rPr>
          <w:rStyle w:val="TextBold"/>
        </w:rPr>
      </w:pPr>
    </w:p>
    <w:p w14:paraId="298A5560" w14:textId="77777777" w:rsidR="00AF505E" w:rsidRPr="00D52FB7" w:rsidRDefault="00AF505E" w:rsidP="00601F6F">
      <w:pPr>
        <w:pStyle w:val="disclaimer"/>
        <w:rPr>
          <w:rStyle w:val="TextBold"/>
        </w:rPr>
      </w:pPr>
    </w:p>
    <w:p w14:paraId="3AFA1326" w14:textId="77777777" w:rsidR="00AF505E" w:rsidRPr="00D52FB7" w:rsidRDefault="00AF505E" w:rsidP="00601F6F">
      <w:pPr>
        <w:pStyle w:val="disclaimer"/>
        <w:rPr>
          <w:rStyle w:val="TextBold"/>
        </w:rPr>
      </w:pPr>
    </w:p>
    <w:p w14:paraId="26BD7964" w14:textId="77777777" w:rsidR="00AF505E" w:rsidRPr="00D52FB7" w:rsidRDefault="00AF505E" w:rsidP="00601F6F">
      <w:pPr>
        <w:pStyle w:val="disclaimer"/>
        <w:rPr>
          <w:rStyle w:val="TextBold"/>
        </w:rPr>
      </w:pPr>
    </w:p>
    <w:p w14:paraId="4DE6A9F9" w14:textId="77777777" w:rsidR="00AF505E" w:rsidRPr="00D52FB7" w:rsidRDefault="00AF505E" w:rsidP="00601F6F">
      <w:pPr>
        <w:pStyle w:val="disclaimer"/>
        <w:rPr>
          <w:rStyle w:val="TextBold"/>
        </w:rPr>
      </w:pPr>
    </w:p>
    <w:p w14:paraId="55C32DE8" w14:textId="77777777" w:rsidR="004E6BC1" w:rsidRDefault="004E6BC1" w:rsidP="00601F6F">
      <w:pPr>
        <w:pStyle w:val="disclaimer"/>
        <w:rPr>
          <w:rStyle w:val="TextBold"/>
        </w:rPr>
        <w:sectPr w:rsidR="004E6BC1" w:rsidSect="009A2A52">
          <w:headerReference w:type="default" r:id="rId14"/>
          <w:footerReference w:type="default" r:id="rId15"/>
          <w:pgSz w:w="11906" w:h="16838" w:code="9"/>
          <w:pgMar w:top="992" w:right="1134" w:bottom="709" w:left="1134" w:header="709" w:footer="595" w:gutter="0"/>
          <w:pgNumType w:fmt="lowerRoman" w:start="1"/>
          <w:cols w:space="708"/>
          <w:docGrid w:linePitch="360"/>
        </w:sectPr>
      </w:pPr>
    </w:p>
    <w:p w14:paraId="25139B96" w14:textId="056A3014" w:rsidR="00AF505E" w:rsidRPr="00D52FB7" w:rsidRDefault="00AF505E" w:rsidP="00601F6F">
      <w:pPr>
        <w:pStyle w:val="disclaimer"/>
        <w:rPr>
          <w:rStyle w:val="TextBold"/>
        </w:rPr>
      </w:pPr>
    </w:p>
    <w:p w14:paraId="677D644C" w14:textId="77777777" w:rsidR="00AF505E" w:rsidRPr="00BD45D6" w:rsidRDefault="00AF505E" w:rsidP="00601F6F">
      <w:pPr>
        <w:pStyle w:val="disclaimer"/>
        <w:rPr>
          <w:rStyle w:val="TextBold"/>
          <w:b w:val="0"/>
        </w:rPr>
      </w:pPr>
    </w:p>
    <w:p w14:paraId="6DCB019D" w14:textId="77777777" w:rsidR="00AF505E" w:rsidRPr="00D52FB7" w:rsidRDefault="00AF505E" w:rsidP="00601F6F">
      <w:pPr>
        <w:pStyle w:val="disclaimer"/>
        <w:rPr>
          <w:rStyle w:val="TextBold"/>
        </w:rPr>
      </w:pPr>
    </w:p>
    <w:p w14:paraId="2009C96A" w14:textId="77777777" w:rsidR="00AF505E" w:rsidRPr="00D52FB7" w:rsidRDefault="00AF505E" w:rsidP="00601F6F">
      <w:pPr>
        <w:pStyle w:val="disclaimer"/>
        <w:rPr>
          <w:rStyle w:val="TextBold"/>
        </w:rPr>
      </w:pPr>
    </w:p>
    <w:p w14:paraId="3280B835" w14:textId="77777777" w:rsidR="00AF505E" w:rsidRPr="00D52FB7" w:rsidRDefault="00AF505E" w:rsidP="00601F6F">
      <w:pPr>
        <w:pStyle w:val="disclaimer"/>
        <w:rPr>
          <w:rStyle w:val="TextBold"/>
        </w:rPr>
      </w:pPr>
    </w:p>
    <w:p w14:paraId="0F2794C9" w14:textId="77777777" w:rsidR="00AF505E" w:rsidRPr="00D52FB7" w:rsidRDefault="00AF505E" w:rsidP="00601F6F">
      <w:pPr>
        <w:pStyle w:val="disclaimer"/>
        <w:rPr>
          <w:rStyle w:val="TextBold"/>
        </w:rPr>
      </w:pPr>
    </w:p>
    <w:p w14:paraId="7C839A17" w14:textId="77777777" w:rsidR="00AF505E" w:rsidRPr="00D52FB7" w:rsidRDefault="00AF505E" w:rsidP="00601F6F">
      <w:pPr>
        <w:pStyle w:val="disclaimer"/>
        <w:rPr>
          <w:rStyle w:val="TextBold"/>
        </w:rPr>
      </w:pPr>
    </w:p>
    <w:p w14:paraId="5FBB5199" w14:textId="77777777" w:rsidR="00AF505E" w:rsidRPr="00D52FB7" w:rsidRDefault="00AF505E" w:rsidP="00601F6F">
      <w:pPr>
        <w:pStyle w:val="disclaimer"/>
        <w:rPr>
          <w:rStyle w:val="TextBold"/>
        </w:rPr>
      </w:pPr>
    </w:p>
    <w:p w14:paraId="3036547E" w14:textId="77777777" w:rsidR="00AF505E" w:rsidRDefault="00AF505E" w:rsidP="00601F6F">
      <w:pPr>
        <w:pStyle w:val="disclaimer"/>
        <w:rPr>
          <w:rStyle w:val="TextBold"/>
        </w:rPr>
      </w:pPr>
    </w:p>
    <w:p w14:paraId="4362FB27" w14:textId="4B899D49" w:rsidR="00ED1723" w:rsidRDefault="00ED1723" w:rsidP="00601F6F">
      <w:pPr>
        <w:pStyle w:val="disclaimer"/>
        <w:rPr>
          <w:rStyle w:val="TextBold"/>
        </w:rPr>
      </w:pPr>
    </w:p>
    <w:p w14:paraId="7E83B30C" w14:textId="52431EC9" w:rsidR="00C34B85" w:rsidRDefault="00C34B85" w:rsidP="00601F6F">
      <w:pPr>
        <w:pStyle w:val="disclaimer"/>
        <w:rPr>
          <w:rStyle w:val="TextBold"/>
        </w:rPr>
      </w:pPr>
    </w:p>
    <w:p w14:paraId="3EC97966" w14:textId="77777777" w:rsidR="00C34B85" w:rsidRDefault="00C34B85" w:rsidP="00601F6F">
      <w:pPr>
        <w:pStyle w:val="disclaimer"/>
        <w:rPr>
          <w:rStyle w:val="TextBold"/>
        </w:rPr>
      </w:pPr>
    </w:p>
    <w:p w14:paraId="10A8397A" w14:textId="77777777" w:rsidR="00C34B85" w:rsidRDefault="00C34B85" w:rsidP="00601F6F">
      <w:pPr>
        <w:pStyle w:val="disclaimer"/>
        <w:rPr>
          <w:rStyle w:val="TextBold"/>
        </w:rPr>
      </w:pPr>
    </w:p>
    <w:p w14:paraId="7CBA3362" w14:textId="77777777" w:rsidR="00C34B85" w:rsidRDefault="00C34B85" w:rsidP="00601F6F">
      <w:pPr>
        <w:pStyle w:val="disclaimer"/>
        <w:rPr>
          <w:rStyle w:val="TextBold"/>
        </w:rPr>
      </w:pPr>
    </w:p>
    <w:p w14:paraId="31C114F5" w14:textId="77777777" w:rsidR="00C34B85" w:rsidRDefault="00C34B85" w:rsidP="00601F6F">
      <w:pPr>
        <w:pStyle w:val="disclaimer"/>
        <w:rPr>
          <w:rStyle w:val="TextBold"/>
        </w:rPr>
      </w:pPr>
    </w:p>
    <w:p w14:paraId="4D9B4811" w14:textId="77777777" w:rsidR="00C34B85" w:rsidRDefault="00C34B85" w:rsidP="00601F6F">
      <w:pPr>
        <w:pStyle w:val="disclaimer"/>
        <w:rPr>
          <w:rStyle w:val="TextBold"/>
        </w:rPr>
      </w:pPr>
    </w:p>
    <w:p w14:paraId="7348C446" w14:textId="77777777" w:rsidR="00C34B85" w:rsidRDefault="00C34B85" w:rsidP="00601F6F">
      <w:pPr>
        <w:pStyle w:val="disclaimer"/>
        <w:rPr>
          <w:rStyle w:val="TextBold"/>
        </w:rPr>
      </w:pPr>
    </w:p>
    <w:p w14:paraId="1AAEBCFB" w14:textId="77777777" w:rsidR="00C34B85" w:rsidRDefault="00C34B85" w:rsidP="00601F6F">
      <w:pPr>
        <w:pStyle w:val="disclaimer"/>
        <w:rPr>
          <w:rStyle w:val="TextBold"/>
        </w:rPr>
      </w:pPr>
    </w:p>
    <w:p w14:paraId="0F026DFD" w14:textId="77777777" w:rsidR="00C34B85" w:rsidRDefault="00C34B85" w:rsidP="00601F6F">
      <w:pPr>
        <w:pStyle w:val="disclaimer"/>
        <w:rPr>
          <w:rStyle w:val="TextBold"/>
        </w:rPr>
      </w:pPr>
    </w:p>
    <w:p w14:paraId="45835223" w14:textId="77777777" w:rsidR="00C34B85" w:rsidRDefault="00C34B85" w:rsidP="00601F6F">
      <w:pPr>
        <w:pStyle w:val="disclaimer"/>
        <w:rPr>
          <w:rStyle w:val="TextBold"/>
        </w:rPr>
      </w:pPr>
    </w:p>
    <w:p w14:paraId="3D75B329" w14:textId="1A9B8487" w:rsidR="00C34B85" w:rsidRDefault="00C34B85" w:rsidP="00601F6F">
      <w:pPr>
        <w:pStyle w:val="disclaimer"/>
        <w:rPr>
          <w:rStyle w:val="TextBold"/>
        </w:rPr>
      </w:pPr>
    </w:p>
    <w:p w14:paraId="798056A9" w14:textId="7F303195" w:rsidR="00ED1723" w:rsidRDefault="00ED1723" w:rsidP="00601F6F">
      <w:pPr>
        <w:pStyle w:val="disclaimer"/>
        <w:rPr>
          <w:rStyle w:val="TextBold"/>
        </w:rPr>
      </w:pPr>
    </w:p>
    <w:p w14:paraId="0A2E091E" w14:textId="77777777" w:rsidR="00ED1723" w:rsidRDefault="00ED1723" w:rsidP="00601F6F">
      <w:pPr>
        <w:pStyle w:val="disclaimer"/>
        <w:rPr>
          <w:rStyle w:val="TextBold"/>
        </w:rPr>
      </w:pPr>
    </w:p>
    <w:p w14:paraId="2F542D8E" w14:textId="77777777" w:rsidR="00AF505E" w:rsidRPr="00D52FB7" w:rsidRDefault="00AF505E" w:rsidP="00601F6F">
      <w:pPr>
        <w:pStyle w:val="disclaimer"/>
        <w:rPr>
          <w:rStyle w:val="TextBold"/>
          <w:rFonts w:cs="Arial"/>
          <w:sz w:val="20"/>
          <w:szCs w:val="20"/>
        </w:rPr>
      </w:pPr>
      <w:r w:rsidRPr="00D52FB7">
        <w:rPr>
          <w:rStyle w:val="TextBold"/>
          <w:rFonts w:cs="Arial"/>
          <w:sz w:val="20"/>
          <w:szCs w:val="20"/>
        </w:rPr>
        <w:t xml:space="preserve">© </w:t>
      </w:r>
      <w:r>
        <w:rPr>
          <w:rStyle w:val="TextBold"/>
          <w:rFonts w:cs="Arial"/>
          <w:sz w:val="20"/>
          <w:szCs w:val="20"/>
        </w:rPr>
        <w:t xml:space="preserve">Copyright </w:t>
      </w:r>
      <w:r w:rsidRPr="00D52FB7">
        <w:rPr>
          <w:rStyle w:val="TextBold"/>
          <w:rFonts w:cs="Arial"/>
          <w:sz w:val="20"/>
          <w:szCs w:val="20"/>
        </w:rPr>
        <w:t>Commonwealth of Australia, 201</w:t>
      </w:r>
      <w:r>
        <w:rPr>
          <w:rStyle w:val="TextBold"/>
          <w:rFonts w:cs="Arial"/>
          <w:sz w:val="20"/>
          <w:szCs w:val="20"/>
        </w:rPr>
        <w:t>9</w:t>
      </w:r>
      <w:r w:rsidRPr="00D52FB7">
        <w:rPr>
          <w:rStyle w:val="TextBold"/>
          <w:rFonts w:cs="Arial"/>
          <w:sz w:val="20"/>
          <w:szCs w:val="20"/>
        </w:rPr>
        <w:t>.</w:t>
      </w:r>
    </w:p>
    <w:p w14:paraId="4B647AE0" w14:textId="77777777" w:rsidR="00AF505E" w:rsidRPr="00D52FB7" w:rsidRDefault="00AF505E" w:rsidP="00601F6F">
      <w:pPr>
        <w:pStyle w:val="disclaimer"/>
      </w:pPr>
      <w:r w:rsidRPr="00D52FB7">
        <w:rPr>
          <w:noProof/>
          <w:lang w:val="en-AU" w:eastAsia="en-AU"/>
        </w:rPr>
        <w:drawing>
          <wp:inline distT="0" distB="0" distL="0" distR="0" wp14:anchorId="108B2CFD" wp14:editId="4649B2DD">
            <wp:extent cx="1524000" cy="541020"/>
            <wp:effectExtent l="19050" t="0" r="0" b="0"/>
            <wp:docPr id="4" name="Picture 3" descr="Creative Comm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10;"/>
                    <pic:cNvPicPr>
                      <a:picLocks noChangeAspect="1" noChangeArrowheads="1"/>
                    </pic:cNvPicPr>
                  </pic:nvPicPr>
                  <pic:blipFill>
                    <a:blip r:embed="rId16" cstate="print"/>
                    <a:srcRect/>
                    <a:stretch>
                      <a:fillRect/>
                    </a:stretch>
                  </pic:blipFill>
                  <pic:spPr bwMode="auto">
                    <a:xfrm>
                      <a:off x="0" y="0"/>
                      <a:ext cx="1524000" cy="541020"/>
                    </a:xfrm>
                    <a:prstGeom prst="rect">
                      <a:avLst/>
                    </a:prstGeom>
                    <a:noFill/>
                    <a:ln w="9525">
                      <a:noFill/>
                      <a:miter lim="800000"/>
                      <a:headEnd/>
                      <a:tailEnd/>
                    </a:ln>
                  </pic:spPr>
                </pic:pic>
              </a:graphicData>
            </a:graphic>
          </wp:inline>
        </w:drawing>
      </w:r>
    </w:p>
    <w:p w14:paraId="68CAB87E" w14:textId="77777777" w:rsidR="00AF505E" w:rsidRPr="00D52FB7" w:rsidRDefault="00AF505E" w:rsidP="00601F6F">
      <w:pPr>
        <w:pStyle w:val="disclaimer"/>
        <w:rPr>
          <w:lang w:eastAsia="en-AU"/>
        </w:rPr>
      </w:pPr>
      <w:r w:rsidRPr="00D52FB7">
        <w:rPr>
          <w:rStyle w:val="TextItalic"/>
          <w:rFonts w:cs="Arial"/>
          <w:sz w:val="20"/>
          <w:szCs w:val="20"/>
        </w:rPr>
        <w:t>State Party Report on the state of conservation of the Tasmanian Wilderness World Heritage Area (Australia)</w:t>
      </w:r>
      <w:r w:rsidRPr="00D52FB7">
        <w:t xml:space="preserve"> </w:t>
      </w:r>
      <w:r w:rsidRPr="00D52FB7">
        <w:rPr>
          <w:lang w:eastAsia="en-AU"/>
        </w:rPr>
        <w:t xml:space="preserve">is licensed by the Commonwealth of Australia for use under a Creative Commons Attribution 4.0 International </w:t>
      </w:r>
      <w:proofErr w:type="spellStart"/>
      <w:r w:rsidRPr="00D52FB7">
        <w:rPr>
          <w:lang w:eastAsia="en-AU"/>
        </w:rPr>
        <w:t>licence</w:t>
      </w:r>
      <w:proofErr w:type="spellEnd"/>
      <w:r w:rsidRPr="00D52FB7">
        <w:rPr>
          <w:lang w:eastAsia="en-AU"/>
        </w:rPr>
        <w:t xml:space="preserve"> with the exception of the Coat of Arms of the </w:t>
      </w:r>
      <w:r w:rsidRPr="00DD65B3">
        <w:rPr>
          <w:rStyle w:val="TextItalic"/>
          <w:rFonts w:cs="Arial"/>
          <w:sz w:val="20"/>
          <w:szCs w:val="20"/>
        </w:rPr>
        <w:t>Commonwealth</w:t>
      </w:r>
      <w:r w:rsidRPr="00D52FB7">
        <w:rPr>
          <w:lang w:eastAsia="en-AU"/>
        </w:rPr>
        <w:t xml:space="preserve"> of Australia, the logo of the agency responsible for publishing the report, content supplied by third parties, and any images depicting people. For </w:t>
      </w:r>
      <w:proofErr w:type="spellStart"/>
      <w:r w:rsidRPr="00D52FB7">
        <w:rPr>
          <w:lang w:eastAsia="en-AU"/>
        </w:rPr>
        <w:t>licence</w:t>
      </w:r>
      <w:proofErr w:type="spellEnd"/>
      <w:r w:rsidRPr="00D52FB7">
        <w:rPr>
          <w:lang w:eastAsia="en-AU"/>
        </w:rPr>
        <w:t xml:space="preserve"> conditions see: </w:t>
      </w:r>
      <w:hyperlink r:id="rId17" w:history="1">
        <w:r w:rsidRPr="00D52FB7">
          <w:rPr>
            <w:color w:val="3966BF"/>
            <w:lang w:eastAsia="en-AU"/>
          </w:rPr>
          <w:t>https://creativecommons.org/licenses/by/4.0/</w:t>
        </w:r>
      </w:hyperlink>
      <w:r w:rsidRPr="00D52FB7">
        <w:rPr>
          <w:lang w:eastAsia="en-AU"/>
        </w:rPr>
        <w:t xml:space="preserve"> </w:t>
      </w:r>
    </w:p>
    <w:p w14:paraId="4414A0CD" w14:textId="77777777" w:rsidR="00AF505E" w:rsidRPr="00D52FB7" w:rsidRDefault="00AF505E" w:rsidP="00601F6F">
      <w:pPr>
        <w:pStyle w:val="disclaimer"/>
        <w:rPr>
          <w:lang w:eastAsia="en-AU"/>
        </w:rPr>
      </w:pPr>
      <w:r w:rsidRPr="00D52FB7">
        <w:rPr>
          <w:lang w:eastAsia="en-AU"/>
        </w:rPr>
        <w:t>This report should be attributed as ‘</w:t>
      </w:r>
      <w:r w:rsidRPr="00D52FB7">
        <w:rPr>
          <w:rStyle w:val="TextItalic"/>
          <w:rFonts w:cs="Arial"/>
          <w:sz w:val="20"/>
          <w:szCs w:val="20"/>
        </w:rPr>
        <w:t>State Party Report on the state of conservation of the Tasmanian Wilderness World Heritage Area (Australia)</w:t>
      </w:r>
      <w:r w:rsidRPr="00D52FB7">
        <w:rPr>
          <w:lang w:eastAsia="en-AU"/>
        </w:rPr>
        <w:t>, Commonwealth of Australia 201</w:t>
      </w:r>
      <w:r>
        <w:rPr>
          <w:lang w:eastAsia="en-AU"/>
        </w:rPr>
        <w:t>9</w:t>
      </w:r>
      <w:r w:rsidRPr="00D52FB7">
        <w:rPr>
          <w:lang w:eastAsia="en-AU"/>
        </w:rPr>
        <w:t>’.</w:t>
      </w:r>
    </w:p>
    <w:p w14:paraId="6669A8F2" w14:textId="77777777" w:rsidR="00AF505E" w:rsidRDefault="00AF505E" w:rsidP="00A01202">
      <w:pPr>
        <w:spacing w:before="170"/>
      </w:pPr>
    </w:p>
    <w:p w14:paraId="7E8328E6" w14:textId="77777777" w:rsidR="009A2A52" w:rsidRDefault="00AF505E" w:rsidP="00A01202">
      <w:pPr>
        <w:spacing w:before="170"/>
        <w:sectPr w:rsidR="009A2A52" w:rsidSect="009A2A52">
          <w:headerReference w:type="default" r:id="rId18"/>
          <w:pgSz w:w="11906" w:h="16838" w:code="9"/>
          <w:pgMar w:top="992" w:right="1134" w:bottom="709" w:left="1134" w:header="709" w:footer="595" w:gutter="0"/>
          <w:pgNumType w:fmt="lowerRoman" w:start="1"/>
          <w:cols w:space="708"/>
          <w:docGrid w:linePitch="360"/>
        </w:sectPr>
      </w:pPr>
      <w:r w:rsidRPr="00D52FB7">
        <w:br w:type="page"/>
      </w:r>
    </w:p>
    <w:p w14:paraId="05390DD2" w14:textId="26327531" w:rsidR="00AF505E" w:rsidRPr="00127FA8" w:rsidRDefault="00127FA8" w:rsidP="00A01202">
      <w:pPr>
        <w:spacing w:before="170"/>
        <w:rPr>
          <w:sz w:val="32"/>
          <w:szCs w:val="32"/>
          <w:lang w:val="en-US"/>
        </w:rPr>
      </w:pPr>
      <w:r w:rsidRPr="00127FA8">
        <w:rPr>
          <w:sz w:val="32"/>
          <w:szCs w:val="32"/>
          <w:lang w:val="en-US"/>
        </w:rPr>
        <w:lastRenderedPageBreak/>
        <w:t>CONTENTS</w:t>
      </w:r>
    </w:p>
    <w:p w14:paraId="370A41A8" w14:textId="460291A4" w:rsidR="009C4579" w:rsidRDefault="00B05938">
      <w:pPr>
        <w:pStyle w:val="TOC1"/>
        <w:rPr>
          <w:rFonts w:asciiTheme="minorHAnsi" w:eastAsiaTheme="minorEastAsia" w:hAnsiTheme="minorHAnsi" w:cstheme="minorBidi"/>
          <w:b w:val="0"/>
          <w:bCs w:val="0"/>
          <w:caps w:val="0"/>
          <w:color w:val="auto"/>
          <w:szCs w:val="22"/>
          <w:lang w:val="en-AU" w:eastAsia="en-AU"/>
        </w:rPr>
      </w:pPr>
      <w:r>
        <w:rPr>
          <w:sz w:val="24"/>
        </w:rPr>
        <w:fldChar w:fldCharType="begin"/>
      </w:r>
      <w:r>
        <w:rPr>
          <w:sz w:val="24"/>
        </w:rPr>
        <w:instrText xml:space="preserve"> TOC \o "1-3" \h \z \u </w:instrText>
      </w:r>
      <w:r>
        <w:rPr>
          <w:sz w:val="24"/>
        </w:rPr>
        <w:fldChar w:fldCharType="separate"/>
      </w:r>
      <w:hyperlink w:anchor="_Toc22806692" w:history="1">
        <w:r w:rsidR="009C4579" w:rsidRPr="00962E24">
          <w:rPr>
            <w:rStyle w:val="Hyperlink"/>
          </w:rPr>
          <w:t>EXECUTIVE SUMMARY</w:t>
        </w:r>
        <w:r w:rsidR="009C4579">
          <w:rPr>
            <w:webHidden/>
          </w:rPr>
          <w:tab/>
        </w:r>
        <w:r w:rsidR="009C4579">
          <w:rPr>
            <w:webHidden/>
          </w:rPr>
          <w:fldChar w:fldCharType="begin"/>
        </w:r>
        <w:r w:rsidR="009C4579">
          <w:rPr>
            <w:webHidden/>
          </w:rPr>
          <w:instrText xml:space="preserve"> PAGEREF _Toc22806692 \h </w:instrText>
        </w:r>
        <w:r w:rsidR="009C4579">
          <w:rPr>
            <w:webHidden/>
          </w:rPr>
        </w:r>
        <w:r w:rsidR="009C4579">
          <w:rPr>
            <w:webHidden/>
          </w:rPr>
          <w:fldChar w:fldCharType="separate"/>
        </w:r>
        <w:r w:rsidR="00C12507">
          <w:rPr>
            <w:webHidden/>
          </w:rPr>
          <w:t>2</w:t>
        </w:r>
        <w:r w:rsidR="009C4579">
          <w:rPr>
            <w:webHidden/>
          </w:rPr>
          <w:fldChar w:fldCharType="end"/>
        </w:r>
      </w:hyperlink>
    </w:p>
    <w:p w14:paraId="1F85909E" w14:textId="6B9A2581" w:rsidR="009C4579" w:rsidRDefault="008157F9">
      <w:pPr>
        <w:pStyle w:val="TOC1"/>
        <w:rPr>
          <w:rFonts w:asciiTheme="minorHAnsi" w:eastAsiaTheme="minorEastAsia" w:hAnsiTheme="minorHAnsi" w:cstheme="minorBidi"/>
          <w:b w:val="0"/>
          <w:bCs w:val="0"/>
          <w:caps w:val="0"/>
          <w:color w:val="auto"/>
          <w:szCs w:val="22"/>
          <w:lang w:val="en-AU" w:eastAsia="en-AU"/>
        </w:rPr>
      </w:pPr>
      <w:hyperlink w:anchor="_Toc22806693" w:history="1">
        <w:r w:rsidR="009C4579" w:rsidRPr="00962E24">
          <w:rPr>
            <w:rStyle w:val="Hyperlink"/>
          </w:rPr>
          <w:t>RÉSUMÉ</w:t>
        </w:r>
        <w:r w:rsidR="009C4579">
          <w:rPr>
            <w:webHidden/>
          </w:rPr>
          <w:tab/>
        </w:r>
        <w:r w:rsidR="009C4579">
          <w:rPr>
            <w:webHidden/>
          </w:rPr>
          <w:fldChar w:fldCharType="begin"/>
        </w:r>
        <w:r w:rsidR="009C4579">
          <w:rPr>
            <w:webHidden/>
          </w:rPr>
          <w:instrText xml:space="preserve"> PAGEREF _Toc22806693 \h </w:instrText>
        </w:r>
        <w:r w:rsidR="009C4579">
          <w:rPr>
            <w:webHidden/>
          </w:rPr>
        </w:r>
        <w:r w:rsidR="009C4579">
          <w:rPr>
            <w:webHidden/>
          </w:rPr>
          <w:fldChar w:fldCharType="separate"/>
        </w:r>
        <w:r w:rsidR="00C12507">
          <w:rPr>
            <w:webHidden/>
          </w:rPr>
          <w:t>3</w:t>
        </w:r>
        <w:r w:rsidR="009C4579">
          <w:rPr>
            <w:webHidden/>
          </w:rPr>
          <w:fldChar w:fldCharType="end"/>
        </w:r>
      </w:hyperlink>
    </w:p>
    <w:p w14:paraId="6209B4EB" w14:textId="0C1CC01B" w:rsidR="009C4579" w:rsidRDefault="008157F9">
      <w:pPr>
        <w:pStyle w:val="TOC1"/>
        <w:rPr>
          <w:rFonts w:asciiTheme="minorHAnsi" w:eastAsiaTheme="minorEastAsia" w:hAnsiTheme="minorHAnsi" w:cstheme="minorBidi"/>
          <w:b w:val="0"/>
          <w:bCs w:val="0"/>
          <w:caps w:val="0"/>
          <w:color w:val="auto"/>
          <w:szCs w:val="22"/>
          <w:lang w:val="en-AU" w:eastAsia="en-AU"/>
        </w:rPr>
      </w:pPr>
      <w:hyperlink w:anchor="_Toc22806694" w:history="1">
        <w:r w:rsidR="009C4579" w:rsidRPr="00962E24">
          <w:rPr>
            <w:rStyle w:val="Hyperlink"/>
          </w:rPr>
          <w:t>1</w:t>
        </w:r>
        <w:r w:rsidR="009C4579">
          <w:rPr>
            <w:rFonts w:asciiTheme="minorHAnsi" w:eastAsiaTheme="minorEastAsia" w:hAnsiTheme="minorHAnsi" w:cstheme="minorBidi"/>
            <w:b w:val="0"/>
            <w:bCs w:val="0"/>
            <w:caps w:val="0"/>
            <w:color w:val="auto"/>
            <w:szCs w:val="22"/>
            <w:lang w:val="en-AU" w:eastAsia="en-AU"/>
          </w:rPr>
          <w:tab/>
        </w:r>
        <w:r w:rsidR="009C4579" w:rsidRPr="00962E24">
          <w:rPr>
            <w:rStyle w:val="Hyperlink"/>
          </w:rPr>
          <w:t>Introduction</w:t>
        </w:r>
        <w:r w:rsidR="009C4579">
          <w:rPr>
            <w:webHidden/>
          </w:rPr>
          <w:tab/>
        </w:r>
        <w:r w:rsidR="009C4579">
          <w:rPr>
            <w:webHidden/>
          </w:rPr>
          <w:fldChar w:fldCharType="begin"/>
        </w:r>
        <w:r w:rsidR="009C4579">
          <w:rPr>
            <w:webHidden/>
          </w:rPr>
          <w:instrText xml:space="preserve"> PAGEREF _Toc22806694 \h </w:instrText>
        </w:r>
        <w:r w:rsidR="009C4579">
          <w:rPr>
            <w:webHidden/>
          </w:rPr>
        </w:r>
        <w:r w:rsidR="009C4579">
          <w:rPr>
            <w:webHidden/>
          </w:rPr>
          <w:fldChar w:fldCharType="separate"/>
        </w:r>
        <w:r w:rsidR="00C12507">
          <w:rPr>
            <w:webHidden/>
          </w:rPr>
          <w:t>5</w:t>
        </w:r>
        <w:r w:rsidR="009C4579">
          <w:rPr>
            <w:webHidden/>
          </w:rPr>
          <w:fldChar w:fldCharType="end"/>
        </w:r>
      </w:hyperlink>
    </w:p>
    <w:p w14:paraId="296E8C11" w14:textId="139DB968" w:rsidR="009C4579" w:rsidRDefault="008157F9">
      <w:pPr>
        <w:pStyle w:val="TOC2"/>
        <w:rPr>
          <w:rFonts w:asciiTheme="minorHAnsi" w:eastAsiaTheme="minorEastAsia" w:hAnsiTheme="minorHAnsi" w:cstheme="minorBidi"/>
          <w:sz w:val="22"/>
          <w:szCs w:val="22"/>
          <w:lang w:eastAsia="en-AU"/>
        </w:rPr>
      </w:pPr>
      <w:hyperlink w:anchor="_Toc22806695" w:history="1">
        <w:r w:rsidR="009C4579" w:rsidRPr="00962E24">
          <w:rPr>
            <w:rStyle w:val="Hyperlink"/>
          </w:rPr>
          <w:t>1.1</w:t>
        </w:r>
        <w:r w:rsidR="009C4579">
          <w:rPr>
            <w:rFonts w:asciiTheme="minorHAnsi" w:eastAsiaTheme="minorEastAsia" w:hAnsiTheme="minorHAnsi" w:cstheme="minorBidi"/>
            <w:sz w:val="22"/>
            <w:szCs w:val="22"/>
            <w:lang w:eastAsia="en-AU"/>
          </w:rPr>
          <w:tab/>
        </w:r>
        <w:r w:rsidR="009C4579" w:rsidRPr="00962E24">
          <w:rPr>
            <w:rStyle w:val="Hyperlink"/>
          </w:rPr>
          <w:t>Decisions of the World Heritage Committee</w:t>
        </w:r>
        <w:r w:rsidR="009C4579">
          <w:rPr>
            <w:webHidden/>
          </w:rPr>
          <w:tab/>
        </w:r>
        <w:r w:rsidR="009C4579">
          <w:rPr>
            <w:webHidden/>
          </w:rPr>
          <w:fldChar w:fldCharType="begin"/>
        </w:r>
        <w:r w:rsidR="009C4579">
          <w:rPr>
            <w:webHidden/>
          </w:rPr>
          <w:instrText xml:space="preserve"> PAGEREF _Toc22806695 \h </w:instrText>
        </w:r>
        <w:r w:rsidR="009C4579">
          <w:rPr>
            <w:webHidden/>
          </w:rPr>
        </w:r>
        <w:r w:rsidR="009C4579">
          <w:rPr>
            <w:webHidden/>
          </w:rPr>
          <w:fldChar w:fldCharType="separate"/>
        </w:r>
        <w:r w:rsidR="00C12507">
          <w:rPr>
            <w:webHidden/>
          </w:rPr>
          <w:t>5</w:t>
        </w:r>
        <w:r w:rsidR="009C4579">
          <w:rPr>
            <w:webHidden/>
          </w:rPr>
          <w:fldChar w:fldCharType="end"/>
        </w:r>
      </w:hyperlink>
    </w:p>
    <w:p w14:paraId="110022D9" w14:textId="24DE81DB" w:rsidR="009C4579" w:rsidRDefault="008157F9">
      <w:pPr>
        <w:pStyle w:val="TOC2"/>
        <w:rPr>
          <w:rFonts w:asciiTheme="minorHAnsi" w:eastAsiaTheme="minorEastAsia" w:hAnsiTheme="minorHAnsi" w:cstheme="minorBidi"/>
          <w:sz w:val="22"/>
          <w:szCs w:val="22"/>
          <w:lang w:eastAsia="en-AU"/>
        </w:rPr>
      </w:pPr>
      <w:hyperlink w:anchor="_Toc22806696" w:history="1">
        <w:r w:rsidR="009C4579" w:rsidRPr="00962E24">
          <w:rPr>
            <w:rStyle w:val="Hyperlink"/>
          </w:rPr>
          <w:t>1.2</w:t>
        </w:r>
        <w:r w:rsidR="009C4579">
          <w:rPr>
            <w:rFonts w:asciiTheme="minorHAnsi" w:eastAsiaTheme="minorEastAsia" w:hAnsiTheme="minorHAnsi" w:cstheme="minorBidi"/>
            <w:sz w:val="22"/>
            <w:szCs w:val="22"/>
            <w:lang w:eastAsia="en-AU"/>
          </w:rPr>
          <w:tab/>
        </w:r>
        <w:r w:rsidR="009C4579" w:rsidRPr="00962E24">
          <w:rPr>
            <w:rStyle w:val="Hyperlink"/>
          </w:rPr>
          <w:t>The Tasmanian Wilderness World Heritage Area</w:t>
        </w:r>
        <w:r w:rsidR="009C4579">
          <w:rPr>
            <w:webHidden/>
          </w:rPr>
          <w:tab/>
        </w:r>
        <w:r w:rsidR="009C4579">
          <w:rPr>
            <w:webHidden/>
          </w:rPr>
          <w:fldChar w:fldCharType="begin"/>
        </w:r>
        <w:r w:rsidR="009C4579">
          <w:rPr>
            <w:webHidden/>
          </w:rPr>
          <w:instrText xml:space="preserve"> PAGEREF _Toc22806696 \h </w:instrText>
        </w:r>
        <w:r w:rsidR="009C4579">
          <w:rPr>
            <w:webHidden/>
          </w:rPr>
        </w:r>
        <w:r w:rsidR="009C4579">
          <w:rPr>
            <w:webHidden/>
          </w:rPr>
          <w:fldChar w:fldCharType="separate"/>
        </w:r>
        <w:r w:rsidR="00C12507">
          <w:rPr>
            <w:webHidden/>
          </w:rPr>
          <w:t>5</w:t>
        </w:r>
        <w:r w:rsidR="009C4579">
          <w:rPr>
            <w:webHidden/>
          </w:rPr>
          <w:fldChar w:fldCharType="end"/>
        </w:r>
      </w:hyperlink>
    </w:p>
    <w:p w14:paraId="4D459AED" w14:textId="07287572" w:rsidR="009C4579" w:rsidRDefault="008157F9">
      <w:pPr>
        <w:pStyle w:val="TOC2"/>
        <w:rPr>
          <w:rFonts w:asciiTheme="minorHAnsi" w:eastAsiaTheme="minorEastAsia" w:hAnsiTheme="minorHAnsi" w:cstheme="minorBidi"/>
          <w:sz w:val="22"/>
          <w:szCs w:val="22"/>
          <w:lang w:eastAsia="en-AU"/>
        </w:rPr>
      </w:pPr>
      <w:hyperlink w:anchor="_Toc22806697" w:history="1">
        <w:r w:rsidR="009C4579" w:rsidRPr="00962E24">
          <w:rPr>
            <w:rStyle w:val="Hyperlink"/>
          </w:rPr>
          <w:t>1.3</w:t>
        </w:r>
        <w:r w:rsidR="009C4579">
          <w:rPr>
            <w:rFonts w:asciiTheme="minorHAnsi" w:eastAsiaTheme="minorEastAsia" w:hAnsiTheme="minorHAnsi" w:cstheme="minorBidi"/>
            <w:sz w:val="22"/>
            <w:szCs w:val="22"/>
            <w:lang w:eastAsia="en-AU"/>
          </w:rPr>
          <w:tab/>
        </w:r>
        <w:r w:rsidR="009C4579" w:rsidRPr="00962E24">
          <w:rPr>
            <w:rStyle w:val="Hyperlink"/>
          </w:rPr>
          <w:t>Legislative Protection of the Tasmanian Wilderness World Heritage Area</w:t>
        </w:r>
        <w:r w:rsidR="009C4579">
          <w:rPr>
            <w:webHidden/>
          </w:rPr>
          <w:tab/>
        </w:r>
        <w:r w:rsidR="009C4579">
          <w:rPr>
            <w:webHidden/>
          </w:rPr>
          <w:fldChar w:fldCharType="begin"/>
        </w:r>
        <w:r w:rsidR="009C4579">
          <w:rPr>
            <w:webHidden/>
          </w:rPr>
          <w:instrText xml:space="preserve"> PAGEREF _Toc22806697 \h </w:instrText>
        </w:r>
        <w:r w:rsidR="009C4579">
          <w:rPr>
            <w:webHidden/>
          </w:rPr>
        </w:r>
        <w:r w:rsidR="009C4579">
          <w:rPr>
            <w:webHidden/>
          </w:rPr>
          <w:fldChar w:fldCharType="separate"/>
        </w:r>
        <w:r w:rsidR="00C12507">
          <w:rPr>
            <w:webHidden/>
          </w:rPr>
          <w:t>6</w:t>
        </w:r>
        <w:r w:rsidR="009C4579">
          <w:rPr>
            <w:webHidden/>
          </w:rPr>
          <w:fldChar w:fldCharType="end"/>
        </w:r>
      </w:hyperlink>
    </w:p>
    <w:p w14:paraId="02554381" w14:textId="362E4372" w:rsidR="009C4579" w:rsidRDefault="008157F9" w:rsidP="004D0F44">
      <w:pPr>
        <w:pStyle w:val="TOC2"/>
        <w:rPr>
          <w:rFonts w:asciiTheme="minorHAnsi" w:eastAsiaTheme="minorEastAsia" w:hAnsiTheme="minorHAnsi" w:cstheme="minorBidi"/>
          <w:sz w:val="22"/>
          <w:szCs w:val="22"/>
          <w:lang w:eastAsia="en-AU"/>
        </w:rPr>
      </w:pPr>
      <w:hyperlink w:anchor="_Toc22806698" w:history="1">
        <w:r w:rsidR="009C4579" w:rsidRPr="00962E24">
          <w:rPr>
            <w:rStyle w:val="Hyperlink"/>
          </w:rPr>
          <w:t>1.4</w:t>
        </w:r>
        <w:r w:rsidR="009C4579">
          <w:rPr>
            <w:rFonts w:asciiTheme="minorHAnsi" w:eastAsiaTheme="minorEastAsia" w:hAnsiTheme="minorHAnsi" w:cstheme="minorBidi"/>
            <w:sz w:val="22"/>
            <w:szCs w:val="22"/>
            <w:lang w:eastAsia="en-AU"/>
          </w:rPr>
          <w:tab/>
        </w:r>
        <w:r w:rsidR="009C4579" w:rsidRPr="00962E24">
          <w:rPr>
            <w:rStyle w:val="Hyperlink"/>
          </w:rPr>
          <w:t xml:space="preserve">Quarterly reporting </w:t>
        </w:r>
        <w:r w:rsidR="009C4579" w:rsidRPr="004D0F44">
          <w:rPr>
            <w:rStyle w:val="Hyperlink"/>
            <w:rFonts w:cs="Times New Roman"/>
            <w:color w:val="auto"/>
            <w:u w:val="none"/>
          </w:rPr>
          <w:t>to</w:t>
        </w:r>
        <w:r w:rsidR="009C4579" w:rsidRPr="00962E24">
          <w:rPr>
            <w:rStyle w:val="Hyperlink"/>
          </w:rPr>
          <w:t xml:space="preserve"> the World Heritage Centre</w:t>
        </w:r>
        <w:r w:rsidR="009C4579">
          <w:rPr>
            <w:webHidden/>
          </w:rPr>
          <w:tab/>
        </w:r>
        <w:r w:rsidR="009C4579">
          <w:rPr>
            <w:webHidden/>
          </w:rPr>
          <w:fldChar w:fldCharType="begin"/>
        </w:r>
        <w:r w:rsidR="009C4579">
          <w:rPr>
            <w:webHidden/>
          </w:rPr>
          <w:instrText xml:space="preserve"> PAGEREF _Toc22806698 \h </w:instrText>
        </w:r>
        <w:r w:rsidR="009C4579">
          <w:rPr>
            <w:webHidden/>
          </w:rPr>
        </w:r>
        <w:r w:rsidR="009C4579">
          <w:rPr>
            <w:webHidden/>
          </w:rPr>
          <w:fldChar w:fldCharType="separate"/>
        </w:r>
        <w:r w:rsidR="00C12507">
          <w:rPr>
            <w:webHidden/>
          </w:rPr>
          <w:t>6</w:t>
        </w:r>
        <w:r w:rsidR="009C4579">
          <w:rPr>
            <w:webHidden/>
          </w:rPr>
          <w:fldChar w:fldCharType="end"/>
        </w:r>
      </w:hyperlink>
    </w:p>
    <w:p w14:paraId="1C0B5154" w14:textId="27DE4CA0" w:rsidR="009C4579" w:rsidRDefault="008157F9">
      <w:pPr>
        <w:pStyle w:val="TOC2"/>
        <w:rPr>
          <w:rFonts w:asciiTheme="minorHAnsi" w:eastAsiaTheme="minorEastAsia" w:hAnsiTheme="minorHAnsi" w:cstheme="minorBidi"/>
          <w:sz w:val="22"/>
          <w:szCs w:val="22"/>
          <w:lang w:eastAsia="en-AU"/>
        </w:rPr>
      </w:pPr>
      <w:hyperlink w:anchor="_Toc22806699" w:history="1">
        <w:r w:rsidR="009C4579" w:rsidRPr="00962E24">
          <w:rPr>
            <w:rStyle w:val="Hyperlink"/>
          </w:rPr>
          <w:t>1.5</w:t>
        </w:r>
        <w:r w:rsidR="009C4579">
          <w:rPr>
            <w:rFonts w:asciiTheme="minorHAnsi" w:eastAsiaTheme="minorEastAsia" w:hAnsiTheme="minorHAnsi" w:cstheme="minorBidi"/>
            <w:sz w:val="22"/>
            <w:szCs w:val="22"/>
            <w:lang w:eastAsia="en-AU"/>
          </w:rPr>
          <w:tab/>
        </w:r>
        <w:r w:rsidR="009C4579" w:rsidRPr="00962E24">
          <w:rPr>
            <w:rStyle w:val="Hyperlink"/>
          </w:rPr>
          <w:t>Effective Management and Planning</w:t>
        </w:r>
        <w:r w:rsidR="009C4579">
          <w:rPr>
            <w:webHidden/>
          </w:rPr>
          <w:tab/>
        </w:r>
        <w:r w:rsidR="009C4579">
          <w:rPr>
            <w:webHidden/>
          </w:rPr>
          <w:fldChar w:fldCharType="begin"/>
        </w:r>
        <w:r w:rsidR="009C4579">
          <w:rPr>
            <w:webHidden/>
          </w:rPr>
          <w:instrText xml:space="preserve"> PAGEREF _Toc22806699 \h </w:instrText>
        </w:r>
        <w:r w:rsidR="009C4579">
          <w:rPr>
            <w:webHidden/>
          </w:rPr>
        </w:r>
        <w:r w:rsidR="009C4579">
          <w:rPr>
            <w:webHidden/>
          </w:rPr>
          <w:fldChar w:fldCharType="separate"/>
        </w:r>
        <w:r w:rsidR="00C12507">
          <w:rPr>
            <w:webHidden/>
          </w:rPr>
          <w:t>7</w:t>
        </w:r>
        <w:r w:rsidR="009C4579">
          <w:rPr>
            <w:webHidden/>
          </w:rPr>
          <w:fldChar w:fldCharType="end"/>
        </w:r>
      </w:hyperlink>
    </w:p>
    <w:p w14:paraId="793BD676" w14:textId="162E524C" w:rsidR="009C4579" w:rsidRDefault="008157F9">
      <w:pPr>
        <w:pStyle w:val="TOC2"/>
        <w:rPr>
          <w:rFonts w:asciiTheme="minorHAnsi" w:eastAsiaTheme="minorEastAsia" w:hAnsiTheme="minorHAnsi" w:cstheme="minorBidi"/>
          <w:sz w:val="22"/>
          <w:szCs w:val="22"/>
          <w:lang w:eastAsia="en-AU"/>
        </w:rPr>
      </w:pPr>
      <w:hyperlink w:anchor="_Toc22806700" w:history="1">
        <w:r w:rsidR="009C4579" w:rsidRPr="00962E24">
          <w:rPr>
            <w:rStyle w:val="Hyperlink"/>
          </w:rPr>
          <w:t>1.6</w:t>
        </w:r>
        <w:r w:rsidR="009C4579">
          <w:rPr>
            <w:rFonts w:asciiTheme="minorHAnsi" w:eastAsiaTheme="minorEastAsia" w:hAnsiTheme="minorHAnsi" w:cstheme="minorBidi"/>
            <w:sz w:val="22"/>
            <w:szCs w:val="22"/>
            <w:lang w:eastAsia="en-AU"/>
          </w:rPr>
          <w:tab/>
        </w:r>
        <w:r w:rsidR="009C4579" w:rsidRPr="00962E24">
          <w:rPr>
            <w:rStyle w:val="Hyperlink"/>
          </w:rPr>
          <w:t>Funding</w:t>
        </w:r>
        <w:r w:rsidR="009C4579">
          <w:rPr>
            <w:webHidden/>
          </w:rPr>
          <w:tab/>
        </w:r>
        <w:r w:rsidR="009C4579">
          <w:rPr>
            <w:webHidden/>
          </w:rPr>
          <w:fldChar w:fldCharType="begin"/>
        </w:r>
        <w:r w:rsidR="009C4579">
          <w:rPr>
            <w:webHidden/>
          </w:rPr>
          <w:instrText xml:space="preserve"> PAGEREF _Toc22806700 \h </w:instrText>
        </w:r>
        <w:r w:rsidR="009C4579">
          <w:rPr>
            <w:webHidden/>
          </w:rPr>
        </w:r>
        <w:r w:rsidR="009C4579">
          <w:rPr>
            <w:webHidden/>
          </w:rPr>
          <w:fldChar w:fldCharType="separate"/>
        </w:r>
        <w:r w:rsidR="00C12507">
          <w:rPr>
            <w:webHidden/>
          </w:rPr>
          <w:t>7</w:t>
        </w:r>
        <w:r w:rsidR="009C4579">
          <w:rPr>
            <w:webHidden/>
          </w:rPr>
          <w:fldChar w:fldCharType="end"/>
        </w:r>
      </w:hyperlink>
    </w:p>
    <w:p w14:paraId="079F60A3" w14:textId="0A17DB9E" w:rsidR="009C4579" w:rsidRDefault="008157F9">
      <w:pPr>
        <w:pStyle w:val="TOC1"/>
        <w:rPr>
          <w:rFonts w:asciiTheme="minorHAnsi" w:eastAsiaTheme="minorEastAsia" w:hAnsiTheme="minorHAnsi" w:cstheme="minorBidi"/>
          <w:b w:val="0"/>
          <w:bCs w:val="0"/>
          <w:caps w:val="0"/>
          <w:color w:val="auto"/>
          <w:szCs w:val="22"/>
          <w:lang w:val="en-AU" w:eastAsia="en-AU"/>
        </w:rPr>
      </w:pPr>
      <w:hyperlink w:anchor="_Toc22806701" w:history="1">
        <w:r w:rsidR="009C4579" w:rsidRPr="00962E24">
          <w:rPr>
            <w:rStyle w:val="Hyperlink"/>
          </w:rPr>
          <w:t>2</w:t>
        </w:r>
        <w:r w:rsidR="009C4579">
          <w:rPr>
            <w:rFonts w:asciiTheme="minorHAnsi" w:eastAsiaTheme="minorEastAsia" w:hAnsiTheme="minorHAnsi" w:cstheme="minorBidi"/>
            <w:b w:val="0"/>
            <w:bCs w:val="0"/>
            <w:caps w:val="0"/>
            <w:color w:val="auto"/>
            <w:szCs w:val="22"/>
            <w:lang w:val="en-AU" w:eastAsia="en-AU"/>
          </w:rPr>
          <w:tab/>
        </w:r>
        <w:r w:rsidR="009C4579" w:rsidRPr="00962E24">
          <w:rPr>
            <w:rStyle w:val="Hyperlink"/>
          </w:rPr>
          <w:t>RESPONSE FROM THE STATE PARTY TO decisions of the WORLD HERITAGE COMMITTEE</w:t>
        </w:r>
        <w:r w:rsidR="009C4579">
          <w:rPr>
            <w:webHidden/>
          </w:rPr>
          <w:tab/>
        </w:r>
        <w:r w:rsidR="009C4579">
          <w:rPr>
            <w:webHidden/>
          </w:rPr>
          <w:fldChar w:fldCharType="begin"/>
        </w:r>
        <w:r w:rsidR="009C4579">
          <w:rPr>
            <w:webHidden/>
          </w:rPr>
          <w:instrText xml:space="preserve"> PAGEREF _Toc22806701 \h </w:instrText>
        </w:r>
        <w:r w:rsidR="009C4579">
          <w:rPr>
            <w:webHidden/>
          </w:rPr>
        </w:r>
        <w:r w:rsidR="009C4579">
          <w:rPr>
            <w:webHidden/>
          </w:rPr>
          <w:fldChar w:fldCharType="separate"/>
        </w:r>
        <w:r w:rsidR="00C12507">
          <w:rPr>
            <w:webHidden/>
          </w:rPr>
          <w:t>8</w:t>
        </w:r>
        <w:r w:rsidR="009C4579">
          <w:rPr>
            <w:webHidden/>
          </w:rPr>
          <w:fldChar w:fldCharType="end"/>
        </w:r>
      </w:hyperlink>
    </w:p>
    <w:p w14:paraId="084AF2C2" w14:textId="5051041B" w:rsidR="009C4579" w:rsidRDefault="008157F9">
      <w:pPr>
        <w:pStyle w:val="TOC2"/>
        <w:rPr>
          <w:rFonts w:asciiTheme="minorHAnsi" w:eastAsiaTheme="minorEastAsia" w:hAnsiTheme="minorHAnsi" w:cstheme="minorBidi"/>
          <w:sz w:val="22"/>
          <w:szCs w:val="22"/>
          <w:lang w:eastAsia="en-AU"/>
        </w:rPr>
      </w:pPr>
      <w:hyperlink w:anchor="_Toc22806702" w:history="1">
        <w:r w:rsidR="009C4579" w:rsidRPr="00962E24">
          <w:rPr>
            <w:rStyle w:val="Hyperlink"/>
          </w:rPr>
          <w:t>2.1</w:t>
        </w:r>
        <w:r w:rsidR="009C4579">
          <w:rPr>
            <w:rFonts w:asciiTheme="minorHAnsi" w:eastAsiaTheme="minorEastAsia" w:hAnsiTheme="minorHAnsi" w:cstheme="minorBidi"/>
            <w:sz w:val="22"/>
            <w:szCs w:val="22"/>
            <w:lang w:eastAsia="en-AU"/>
          </w:rPr>
          <w:tab/>
        </w:r>
        <w:r w:rsidR="009C4579" w:rsidRPr="00962E24">
          <w:rPr>
            <w:rStyle w:val="Hyperlink"/>
          </w:rPr>
          <w:t>Implementation of Decision 42.COM 7B.61</w:t>
        </w:r>
        <w:r w:rsidR="009C4579">
          <w:rPr>
            <w:webHidden/>
          </w:rPr>
          <w:tab/>
        </w:r>
        <w:r w:rsidR="009C4579">
          <w:rPr>
            <w:webHidden/>
          </w:rPr>
          <w:fldChar w:fldCharType="begin"/>
        </w:r>
        <w:r w:rsidR="009C4579">
          <w:rPr>
            <w:webHidden/>
          </w:rPr>
          <w:instrText xml:space="preserve"> PAGEREF _Toc22806702 \h </w:instrText>
        </w:r>
        <w:r w:rsidR="009C4579">
          <w:rPr>
            <w:webHidden/>
          </w:rPr>
        </w:r>
        <w:r w:rsidR="009C4579">
          <w:rPr>
            <w:webHidden/>
          </w:rPr>
          <w:fldChar w:fldCharType="separate"/>
        </w:r>
        <w:r w:rsidR="00C12507">
          <w:rPr>
            <w:webHidden/>
          </w:rPr>
          <w:t>8</w:t>
        </w:r>
        <w:r w:rsidR="009C4579">
          <w:rPr>
            <w:webHidden/>
          </w:rPr>
          <w:fldChar w:fldCharType="end"/>
        </w:r>
      </w:hyperlink>
    </w:p>
    <w:p w14:paraId="3E4FB007" w14:textId="4F175321" w:rsidR="009C4579" w:rsidRDefault="008157F9" w:rsidP="009C4579">
      <w:pPr>
        <w:pStyle w:val="TOC3"/>
        <w:rPr>
          <w:rFonts w:asciiTheme="minorHAnsi" w:eastAsiaTheme="minorEastAsia" w:hAnsiTheme="minorHAnsi" w:cstheme="minorBidi"/>
          <w:sz w:val="22"/>
          <w:szCs w:val="22"/>
          <w:lang w:eastAsia="en-AU"/>
        </w:rPr>
      </w:pPr>
      <w:hyperlink w:anchor="_Toc22806703" w:history="1">
        <w:r w:rsidR="009C4579" w:rsidRPr="00962E24">
          <w:rPr>
            <w:rStyle w:val="Hyperlink"/>
          </w:rPr>
          <w:t>2.1.1</w:t>
        </w:r>
        <w:r w:rsidR="009C4579">
          <w:rPr>
            <w:rFonts w:asciiTheme="minorHAnsi" w:eastAsiaTheme="minorEastAsia" w:hAnsiTheme="minorHAnsi" w:cstheme="minorBidi"/>
            <w:sz w:val="22"/>
            <w:szCs w:val="22"/>
            <w:lang w:eastAsia="en-AU"/>
          </w:rPr>
          <w:tab/>
        </w:r>
        <w:r w:rsidR="009C4579" w:rsidRPr="00962E24">
          <w:rPr>
            <w:rStyle w:val="Hyperlink"/>
          </w:rPr>
          <w:t>Implementation of the 2015 Reactive Monitoring Mission’s recommendations</w:t>
        </w:r>
        <w:r w:rsidR="009C4579">
          <w:rPr>
            <w:webHidden/>
          </w:rPr>
          <w:tab/>
        </w:r>
        <w:r w:rsidR="009C4579">
          <w:rPr>
            <w:webHidden/>
          </w:rPr>
          <w:fldChar w:fldCharType="begin"/>
        </w:r>
        <w:r w:rsidR="009C4579">
          <w:rPr>
            <w:webHidden/>
          </w:rPr>
          <w:instrText xml:space="preserve"> PAGEREF _Toc22806703 \h </w:instrText>
        </w:r>
        <w:r w:rsidR="009C4579">
          <w:rPr>
            <w:webHidden/>
          </w:rPr>
        </w:r>
        <w:r w:rsidR="009C4579">
          <w:rPr>
            <w:webHidden/>
          </w:rPr>
          <w:fldChar w:fldCharType="separate"/>
        </w:r>
        <w:r w:rsidR="00C12507">
          <w:rPr>
            <w:webHidden/>
          </w:rPr>
          <w:t>8</w:t>
        </w:r>
        <w:r w:rsidR="009C4579">
          <w:rPr>
            <w:webHidden/>
          </w:rPr>
          <w:fldChar w:fldCharType="end"/>
        </w:r>
      </w:hyperlink>
    </w:p>
    <w:p w14:paraId="1220D530" w14:textId="4CDCF23A" w:rsidR="009C4579" w:rsidRDefault="008157F9" w:rsidP="009C4579">
      <w:pPr>
        <w:pStyle w:val="TOC3"/>
        <w:rPr>
          <w:rFonts w:asciiTheme="minorHAnsi" w:eastAsiaTheme="minorEastAsia" w:hAnsiTheme="minorHAnsi" w:cstheme="minorBidi"/>
          <w:sz w:val="22"/>
          <w:szCs w:val="22"/>
          <w:lang w:eastAsia="en-AU"/>
        </w:rPr>
      </w:pPr>
      <w:hyperlink w:anchor="_Toc22806704" w:history="1">
        <w:r w:rsidR="009C4579" w:rsidRPr="00962E24">
          <w:rPr>
            <w:rStyle w:val="Hyperlink"/>
          </w:rPr>
          <w:t>2.1.2</w:t>
        </w:r>
        <w:r w:rsidR="009C4579">
          <w:rPr>
            <w:rFonts w:asciiTheme="minorHAnsi" w:eastAsiaTheme="minorEastAsia" w:hAnsiTheme="minorHAnsi" w:cstheme="minorBidi"/>
            <w:sz w:val="22"/>
            <w:szCs w:val="22"/>
            <w:lang w:eastAsia="en-AU"/>
          </w:rPr>
          <w:tab/>
        </w:r>
        <w:r w:rsidR="009C4579" w:rsidRPr="00962E24">
          <w:rPr>
            <w:rStyle w:val="Hyperlink"/>
          </w:rPr>
          <w:t>Assessment criteria for commercial tourism proposals</w:t>
        </w:r>
        <w:r w:rsidR="009C4579">
          <w:rPr>
            <w:webHidden/>
          </w:rPr>
          <w:tab/>
        </w:r>
        <w:r w:rsidR="009C4579">
          <w:rPr>
            <w:webHidden/>
          </w:rPr>
          <w:fldChar w:fldCharType="begin"/>
        </w:r>
        <w:r w:rsidR="009C4579">
          <w:rPr>
            <w:webHidden/>
          </w:rPr>
          <w:instrText xml:space="preserve"> PAGEREF _Toc22806704 \h </w:instrText>
        </w:r>
        <w:r w:rsidR="009C4579">
          <w:rPr>
            <w:webHidden/>
          </w:rPr>
        </w:r>
        <w:r w:rsidR="009C4579">
          <w:rPr>
            <w:webHidden/>
          </w:rPr>
          <w:fldChar w:fldCharType="separate"/>
        </w:r>
        <w:r w:rsidR="00C12507">
          <w:rPr>
            <w:webHidden/>
          </w:rPr>
          <w:t>9</w:t>
        </w:r>
        <w:r w:rsidR="009C4579">
          <w:rPr>
            <w:webHidden/>
          </w:rPr>
          <w:fldChar w:fldCharType="end"/>
        </w:r>
      </w:hyperlink>
    </w:p>
    <w:p w14:paraId="109F4159" w14:textId="77777777" w:rsidR="009C4579" w:rsidRDefault="008157F9" w:rsidP="009C4579">
      <w:pPr>
        <w:pStyle w:val="TOC3"/>
        <w:rPr>
          <w:rFonts w:asciiTheme="minorHAnsi" w:eastAsiaTheme="minorEastAsia" w:hAnsiTheme="minorHAnsi" w:cstheme="minorBidi"/>
          <w:sz w:val="22"/>
          <w:szCs w:val="22"/>
          <w:lang w:eastAsia="en-AU"/>
        </w:rPr>
      </w:pPr>
      <w:hyperlink w:anchor="_Toc22806705" w:history="1">
        <w:r w:rsidR="009C4579" w:rsidRPr="00962E24">
          <w:rPr>
            <w:rStyle w:val="Hyperlink"/>
          </w:rPr>
          <w:t>2.1.3</w:t>
        </w:r>
        <w:r w:rsidR="009C4579">
          <w:rPr>
            <w:rFonts w:asciiTheme="minorHAnsi" w:eastAsiaTheme="minorEastAsia" w:hAnsiTheme="minorHAnsi" w:cstheme="minorBidi"/>
            <w:sz w:val="22"/>
            <w:szCs w:val="22"/>
            <w:lang w:eastAsia="en-AU"/>
          </w:rPr>
          <w:tab/>
        </w:r>
        <w:r w:rsidR="009C4579" w:rsidRPr="00962E24">
          <w:rPr>
            <w:rStyle w:val="Hyperlink"/>
          </w:rPr>
          <w:t>Tourism Master Plan</w:t>
        </w:r>
        <w:r w:rsidR="009C4579">
          <w:rPr>
            <w:webHidden/>
          </w:rPr>
          <w:tab/>
        </w:r>
        <w:r w:rsidR="009C4579">
          <w:rPr>
            <w:webHidden/>
          </w:rPr>
          <w:fldChar w:fldCharType="begin"/>
        </w:r>
        <w:r w:rsidR="009C4579">
          <w:rPr>
            <w:webHidden/>
          </w:rPr>
          <w:instrText xml:space="preserve"> PAGEREF _Toc22806705 \h </w:instrText>
        </w:r>
        <w:r w:rsidR="009C4579">
          <w:rPr>
            <w:webHidden/>
          </w:rPr>
        </w:r>
        <w:r w:rsidR="009C4579">
          <w:rPr>
            <w:webHidden/>
          </w:rPr>
          <w:fldChar w:fldCharType="separate"/>
        </w:r>
        <w:r w:rsidR="00C12507">
          <w:rPr>
            <w:webHidden/>
          </w:rPr>
          <w:t>10</w:t>
        </w:r>
        <w:r w:rsidR="009C4579">
          <w:rPr>
            <w:webHidden/>
          </w:rPr>
          <w:fldChar w:fldCharType="end"/>
        </w:r>
      </w:hyperlink>
    </w:p>
    <w:p w14:paraId="489A9B91" w14:textId="77777777" w:rsidR="009C4579" w:rsidRDefault="008157F9" w:rsidP="009C4579">
      <w:pPr>
        <w:pStyle w:val="TOC3"/>
        <w:rPr>
          <w:rFonts w:asciiTheme="minorHAnsi" w:eastAsiaTheme="minorEastAsia" w:hAnsiTheme="minorHAnsi" w:cstheme="minorBidi"/>
          <w:sz w:val="22"/>
          <w:szCs w:val="22"/>
          <w:lang w:eastAsia="en-AU"/>
        </w:rPr>
      </w:pPr>
      <w:hyperlink w:anchor="_Toc22806706" w:history="1">
        <w:r w:rsidR="009C4579" w:rsidRPr="00962E24">
          <w:rPr>
            <w:rStyle w:val="Hyperlink"/>
          </w:rPr>
          <w:t>2.1.4</w:t>
        </w:r>
        <w:r w:rsidR="009C4579">
          <w:rPr>
            <w:rFonts w:asciiTheme="minorHAnsi" w:eastAsiaTheme="minorEastAsia" w:hAnsiTheme="minorHAnsi" w:cstheme="minorBidi"/>
            <w:sz w:val="22"/>
            <w:szCs w:val="22"/>
            <w:lang w:eastAsia="en-AU"/>
          </w:rPr>
          <w:tab/>
        </w:r>
        <w:r w:rsidR="009C4579" w:rsidRPr="00962E24">
          <w:rPr>
            <w:rStyle w:val="Hyperlink"/>
          </w:rPr>
          <w:t>Designation of land zoned for potential timber production as reserves</w:t>
        </w:r>
        <w:r w:rsidR="009C4579">
          <w:rPr>
            <w:webHidden/>
          </w:rPr>
          <w:tab/>
        </w:r>
        <w:r w:rsidR="009C4579">
          <w:rPr>
            <w:webHidden/>
          </w:rPr>
          <w:fldChar w:fldCharType="begin"/>
        </w:r>
        <w:r w:rsidR="009C4579">
          <w:rPr>
            <w:webHidden/>
          </w:rPr>
          <w:instrText xml:space="preserve"> PAGEREF _Toc22806706 \h </w:instrText>
        </w:r>
        <w:r w:rsidR="009C4579">
          <w:rPr>
            <w:webHidden/>
          </w:rPr>
        </w:r>
        <w:r w:rsidR="009C4579">
          <w:rPr>
            <w:webHidden/>
          </w:rPr>
          <w:fldChar w:fldCharType="separate"/>
        </w:r>
        <w:r w:rsidR="00C12507">
          <w:rPr>
            <w:webHidden/>
          </w:rPr>
          <w:t>11</w:t>
        </w:r>
        <w:r w:rsidR="009C4579">
          <w:rPr>
            <w:webHidden/>
          </w:rPr>
          <w:fldChar w:fldCharType="end"/>
        </w:r>
      </w:hyperlink>
    </w:p>
    <w:p w14:paraId="6E4EF844" w14:textId="77777777" w:rsidR="009C4579" w:rsidRDefault="008157F9" w:rsidP="004D0F44">
      <w:pPr>
        <w:pStyle w:val="TOC3"/>
        <w:rPr>
          <w:rFonts w:asciiTheme="minorHAnsi" w:eastAsiaTheme="minorEastAsia" w:hAnsiTheme="minorHAnsi" w:cstheme="minorBidi"/>
          <w:sz w:val="22"/>
          <w:szCs w:val="22"/>
          <w:lang w:eastAsia="en-AU"/>
        </w:rPr>
      </w:pPr>
      <w:hyperlink w:anchor="_Toc22806707" w:history="1">
        <w:r w:rsidR="009C4579" w:rsidRPr="00962E24">
          <w:rPr>
            <w:rStyle w:val="Hyperlink"/>
          </w:rPr>
          <w:t>2.1.5</w:t>
        </w:r>
        <w:r w:rsidR="009C4579">
          <w:rPr>
            <w:rFonts w:asciiTheme="minorHAnsi" w:eastAsiaTheme="minorEastAsia" w:hAnsiTheme="minorHAnsi" w:cstheme="minorBidi"/>
            <w:sz w:val="22"/>
            <w:szCs w:val="22"/>
            <w:lang w:eastAsia="en-AU"/>
          </w:rPr>
          <w:tab/>
        </w:r>
        <w:r w:rsidR="009C4579" w:rsidRPr="00962E24">
          <w:rPr>
            <w:rStyle w:val="Hyperlink"/>
          </w:rPr>
          <w:t>Assessing cultural heritage assets</w:t>
        </w:r>
        <w:r w:rsidR="009C4579">
          <w:rPr>
            <w:webHidden/>
          </w:rPr>
          <w:tab/>
        </w:r>
        <w:r w:rsidR="009C4579">
          <w:rPr>
            <w:webHidden/>
          </w:rPr>
          <w:fldChar w:fldCharType="begin"/>
        </w:r>
        <w:r w:rsidR="009C4579">
          <w:rPr>
            <w:webHidden/>
          </w:rPr>
          <w:instrText xml:space="preserve"> PAGEREF _Toc22806707 \h </w:instrText>
        </w:r>
        <w:r w:rsidR="009C4579">
          <w:rPr>
            <w:webHidden/>
          </w:rPr>
        </w:r>
        <w:r w:rsidR="009C4579">
          <w:rPr>
            <w:webHidden/>
          </w:rPr>
          <w:fldChar w:fldCharType="separate"/>
        </w:r>
        <w:r w:rsidR="00C12507">
          <w:rPr>
            <w:webHidden/>
          </w:rPr>
          <w:t>12</w:t>
        </w:r>
        <w:r w:rsidR="009C4579">
          <w:rPr>
            <w:webHidden/>
          </w:rPr>
          <w:fldChar w:fldCharType="end"/>
        </w:r>
      </w:hyperlink>
    </w:p>
    <w:p w14:paraId="66974CCD" w14:textId="77777777" w:rsidR="009C4579" w:rsidRDefault="008157F9" w:rsidP="009C4579">
      <w:pPr>
        <w:pStyle w:val="TOC3"/>
        <w:rPr>
          <w:rFonts w:asciiTheme="minorHAnsi" w:eastAsiaTheme="minorEastAsia" w:hAnsiTheme="minorHAnsi" w:cstheme="minorBidi"/>
          <w:sz w:val="22"/>
          <w:szCs w:val="22"/>
          <w:lang w:eastAsia="en-AU"/>
        </w:rPr>
      </w:pPr>
      <w:hyperlink w:anchor="_Toc22806708" w:history="1">
        <w:r w:rsidR="009C4579" w:rsidRPr="00962E24">
          <w:rPr>
            <w:rStyle w:val="Hyperlink"/>
          </w:rPr>
          <w:t>2.1.6</w:t>
        </w:r>
        <w:r w:rsidR="009C4579">
          <w:rPr>
            <w:rFonts w:asciiTheme="minorHAnsi" w:eastAsiaTheme="minorEastAsia" w:hAnsiTheme="minorHAnsi" w:cstheme="minorBidi"/>
            <w:sz w:val="22"/>
            <w:szCs w:val="22"/>
            <w:lang w:eastAsia="en-AU"/>
          </w:rPr>
          <w:tab/>
        </w:r>
        <w:r w:rsidR="009C4579" w:rsidRPr="00962E24">
          <w:rPr>
            <w:rStyle w:val="Hyperlink"/>
          </w:rPr>
          <w:t>Detailed Plan for a Comprehensive Cultural Assessment of the property</w:t>
        </w:r>
        <w:r w:rsidR="009C4579">
          <w:rPr>
            <w:webHidden/>
          </w:rPr>
          <w:tab/>
        </w:r>
        <w:r w:rsidR="009C4579">
          <w:rPr>
            <w:webHidden/>
          </w:rPr>
          <w:fldChar w:fldCharType="begin"/>
        </w:r>
        <w:r w:rsidR="009C4579">
          <w:rPr>
            <w:webHidden/>
          </w:rPr>
          <w:instrText xml:space="preserve"> PAGEREF _Toc22806708 \h </w:instrText>
        </w:r>
        <w:r w:rsidR="009C4579">
          <w:rPr>
            <w:webHidden/>
          </w:rPr>
        </w:r>
        <w:r w:rsidR="009C4579">
          <w:rPr>
            <w:webHidden/>
          </w:rPr>
          <w:fldChar w:fldCharType="separate"/>
        </w:r>
        <w:r w:rsidR="00C12507">
          <w:rPr>
            <w:webHidden/>
          </w:rPr>
          <w:t>13</w:t>
        </w:r>
        <w:r w:rsidR="009C4579">
          <w:rPr>
            <w:webHidden/>
          </w:rPr>
          <w:fldChar w:fldCharType="end"/>
        </w:r>
      </w:hyperlink>
    </w:p>
    <w:p w14:paraId="556A374D" w14:textId="77777777" w:rsidR="009C4579" w:rsidRDefault="008157F9" w:rsidP="009C4579">
      <w:pPr>
        <w:pStyle w:val="TOC3"/>
        <w:rPr>
          <w:rFonts w:asciiTheme="minorHAnsi" w:eastAsiaTheme="minorEastAsia" w:hAnsiTheme="minorHAnsi" w:cstheme="minorBidi"/>
          <w:sz w:val="22"/>
          <w:szCs w:val="22"/>
          <w:lang w:eastAsia="en-AU"/>
        </w:rPr>
      </w:pPr>
      <w:hyperlink w:anchor="_Toc22806709" w:history="1">
        <w:r w:rsidR="009C4579" w:rsidRPr="00962E24">
          <w:rPr>
            <w:rStyle w:val="Hyperlink"/>
          </w:rPr>
          <w:t>2.1.7</w:t>
        </w:r>
        <w:r w:rsidR="009C4579">
          <w:rPr>
            <w:rFonts w:asciiTheme="minorHAnsi" w:eastAsiaTheme="minorEastAsia" w:hAnsiTheme="minorHAnsi" w:cstheme="minorBidi"/>
            <w:sz w:val="22"/>
            <w:szCs w:val="22"/>
            <w:lang w:eastAsia="en-AU"/>
          </w:rPr>
          <w:tab/>
        </w:r>
        <w:r w:rsidR="009C4579" w:rsidRPr="00962E24">
          <w:rPr>
            <w:rStyle w:val="Hyperlink"/>
          </w:rPr>
          <w:t>Draft Retrospective Statement of Outstanding Universal Value</w:t>
        </w:r>
        <w:r w:rsidR="009C4579">
          <w:rPr>
            <w:webHidden/>
          </w:rPr>
          <w:tab/>
        </w:r>
        <w:r w:rsidR="009C4579">
          <w:rPr>
            <w:webHidden/>
          </w:rPr>
          <w:fldChar w:fldCharType="begin"/>
        </w:r>
        <w:r w:rsidR="009C4579">
          <w:rPr>
            <w:webHidden/>
          </w:rPr>
          <w:instrText xml:space="preserve"> PAGEREF _Toc22806709 \h </w:instrText>
        </w:r>
        <w:r w:rsidR="009C4579">
          <w:rPr>
            <w:webHidden/>
          </w:rPr>
        </w:r>
        <w:r w:rsidR="009C4579">
          <w:rPr>
            <w:webHidden/>
          </w:rPr>
          <w:fldChar w:fldCharType="separate"/>
        </w:r>
        <w:r w:rsidR="00C12507">
          <w:rPr>
            <w:webHidden/>
          </w:rPr>
          <w:t>14</w:t>
        </w:r>
        <w:r w:rsidR="009C4579">
          <w:rPr>
            <w:webHidden/>
          </w:rPr>
          <w:fldChar w:fldCharType="end"/>
        </w:r>
      </w:hyperlink>
    </w:p>
    <w:p w14:paraId="66D87537" w14:textId="534581B9" w:rsidR="009C4579" w:rsidRDefault="008157F9" w:rsidP="009C4579">
      <w:pPr>
        <w:pStyle w:val="TOC3"/>
        <w:rPr>
          <w:rFonts w:asciiTheme="minorHAnsi" w:eastAsiaTheme="minorEastAsia" w:hAnsiTheme="minorHAnsi" w:cstheme="minorBidi"/>
          <w:sz w:val="22"/>
          <w:szCs w:val="22"/>
          <w:lang w:eastAsia="en-AU"/>
        </w:rPr>
      </w:pPr>
      <w:hyperlink w:anchor="_Toc22806710" w:history="1">
        <w:r w:rsidR="009C4579" w:rsidRPr="00962E24">
          <w:rPr>
            <w:rStyle w:val="Hyperlink"/>
          </w:rPr>
          <w:t>2.1.8</w:t>
        </w:r>
        <w:r w:rsidR="009C4579">
          <w:rPr>
            <w:rFonts w:asciiTheme="minorHAnsi" w:eastAsiaTheme="minorEastAsia" w:hAnsiTheme="minorHAnsi" w:cstheme="minorBidi"/>
            <w:sz w:val="22"/>
            <w:szCs w:val="22"/>
            <w:lang w:eastAsia="en-AU"/>
          </w:rPr>
          <w:tab/>
        </w:r>
        <w:r w:rsidR="009C4579" w:rsidRPr="00962E24">
          <w:rPr>
            <w:rStyle w:val="Hyperlink"/>
          </w:rPr>
          <w:t>Addition of cultural heritage specialists to the property staff</w:t>
        </w:r>
        <w:r w:rsidR="009C4579">
          <w:rPr>
            <w:webHidden/>
          </w:rPr>
          <w:tab/>
        </w:r>
        <w:r w:rsidR="009C4579">
          <w:rPr>
            <w:webHidden/>
          </w:rPr>
          <w:fldChar w:fldCharType="begin"/>
        </w:r>
        <w:r w:rsidR="009C4579">
          <w:rPr>
            <w:webHidden/>
          </w:rPr>
          <w:instrText xml:space="preserve"> PAGEREF _Toc22806710 \h </w:instrText>
        </w:r>
        <w:r w:rsidR="009C4579">
          <w:rPr>
            <w:webHidden/>
          </w:rPr>
        </w:r>
        <w:r w:rsidR="009C4579">
          <w:rPr>
            <w:webHidden/>
          </w:rPr>
          <w:fldChar w:fldCharType="separate"/>
        </w:r>
        <w:r w:rsidR="00C12507">
          <w:rPr>
            <w:webHidden/>
          </w:rPr>
          <w:t>14</w:t>
        </w:r>
        <w:r w:rsidR="009C4579">
          <w:rPr>
            <w:webHidden/>
          </w:rPr>
          <w:fldChar w:fldCharType="end"/>
        </w:r>
      </w:hyperlink>
    </w:p>
    <w:p w14:paraId="19159C92" w14:textId="77777777" w:rsidR="009C4579" w:rsidRDefault="008157F9">
      <w:pPr>
        <w:pStyle w:val="TOC2"/>
        <w:rPr>
          <w:rFonts w:asciiTheme="minorHAnsi" w:eastAsiaTheme="minorEastAsia" w:hAnsiTheme="minorHAnsi" w:cstheme="minorBidi"/>
          <w:sz w:val="22"/>
          <w:szCs w:val="22"/>
          <w:lang w:eastAsia="en-AU"/>
        </w:rPr>
      </w:pPr>
      <w:hyperlink w:anchor="_Toc22806711" w:history="1">
        <w:r w:rsidR="009C4579" w:rsidRPr="00962E24">
          <w:rPr>
            <w:rStyle w:val="Hyperlink"/>
          </w:rPr>
          <w:t>2.2</w:t>
        </w:r>
        <w:r w:rsidR="009C4579">
          <w:rPr>
            <w:rFonts w:asciiTheme="minorHAnsi" w:eastAsiaTheme="minorEastAsia" w:hAnsiTheme="minorHAnsi" w:cstheme="minorBidi"/>
            <w:sz w:val="22"/>
            <w:szCs w:val="22"/>
            <w:lang w:eastAsia="en-AU"/>
          </w:rPr>
          <w:tab/>
        </w:r>
        <w:r w:rsidR="009C4579" w:rsidRPr="00962E24">
          <w:rPr>
            <w:rStyle w:val="Hyperlink"/>
          </w:rPr>
          <w:t>Implementation of Decision 40 COM 7B.66</w:t>
        </w:r>
        <w:r w:rsidR="009C4579">
          <w:rPr>
            <w:webHidden/>
          </w:rPr>
          <w:tab/>
        </w:r>
        <w:r w:rsidR="009C4579">
          <w:rPr>
            <w:webHidden/>
          </w:rPr>
          <w:fldChar w:fldCharType="begin"/>
        </w:r>
        <w:r w:rsidR="009C4579">
          <w:rPr>
            <w:webHidden/>
          </w:rPr>
          <w:instrText xml:space="preserve"> PAGEREF _Toc22806711 \h </w:instrText>
        </w:r>
        <w:r w:rsidR="009C4579">
          <w:rPr>
            <w:webHidden/>
          </w:rPr>
        </w:r>
        <w:r w:rsidR="009C4579">
          <w:rPr>
            <w:webHidden/>
          </w:rPr>
          <w:fldChar w:fldCharType="separate"/>
        </w:r>
        <w:r w:rsidR="00C12507">
          <w:rPr>
            <w:webHidden/>
          </w:rPr>
          <w:t>15</w:t>
        </w:r>
        <w:r w:rsidR="009C4579">
          <w:rPr>
            <w:webHidden/>
          </w:rPr>
          <w:fldChar w:fldCharType="end"/>
        </w:r>
      </w:hyperlink>
    </w:p>
    <w:p w14:paraId="6D243B7E" w14:textId="77777777" w:rsidR="009C4579" w:rsidRDefault="008157F9" w:rsidP="009C4579">
      <w:pPr>
        <w:pStyle w:val="TOC3"/>
        <w:rPr>
          <w:rFonts w:asciiTheme="minorHAnsi" w:eastAsiaTheme="minorEastAsia" w:hAnsiTheme="minorHAnsi" w:cstheme="minorBidi"/>
          <w:sz w:val="22"/>
          <w:szCs w:val="22"/>
          <w:lang w:eastAsia="en-AU"/>
        </w:rPr>
      </w:pPr>
      <w:hyperlink w:anchor="_Toc22806712" w:history="1">
        <w:r w:rsidR="009C4579" w:rsidRPr="00962E24">
          <w:rPr>
            <w:rStyle w:val="Hyperlink"/>
          </w:rPr>
          <w:t>2.2.1</w:t>
        </w:r>
        <w:r w:rsidR="009C4579">
          <w:rPr>
            <w:rFonts w:asciiTheme="minorHAnsi" w:eastAsiaTheme="minorEastAsia" w:hAnsiTheme="minorHAnsi" w:cstheme="minorBidi"/>
            <w:sz w:val="22"/>
            <w:szCs w:val="22"/>
            <w:lang w:eastAsia="en-AU"/>
          </w:rPr>
          <w:tab/>
        </w:r>
        <w:r w:rsidR="009C4579" w:rsidRPr="00962E24">
          <w:rPr>
            <w:rStyle w:val="Hyperlink"/>
          </w:rPr>
          <w:t>Dual naming</w:t>
        </w:r>
        <w:r w:rsidR="009C4579">
          <w:rPr>
            <w:webHidden/>
          </w:rPr>
          <w:tab/>
        </w:r>
        <w:r w:rsidR="009C4579">
          <w:rPr>
            <w:webHidden/>
          </w:rPr>
          <w:fldChar w:fldCharType="begin"/>
        </w:r>
        <w:r w:rsidR="009C4579">
          <w:rPr>
            <w:webHidden/>
          </w:rPr>
          <w:instrText xml:space="preserve"> PAGEREF _Toc22806712 \h </w:instrText>
        </w:r>
        <w:r w:rsidR="009C4579">
          <w:rPr>
            <w:webHidden/>
          </w:rPr>
        </w:r>
        <w:r w:rsidR="009C4579">
          <w:rPr>
            <w:webHidden/>
          </w:rPr>
          <w:fldChar w:fldCharType="separate"/>
        </w:r>
        <w:r w:rsidR="00C12507">
          <w:rPr>
            <w:webHidden/>
          </w:rPr>
          <w:t>15</w:t>
        </w:r>
        <w:r w:rsidR="009C4579">
          <w:rPr>
            <w:webHidden/>
          </w:rPr>
          <w:fldChar w:fldCharType="end"/>
        </w:r>
      </w:hyperlink>
    </w:p>
    <w:p w14:paraId="220B424B" w14:textId="77777777" w:rsidR="009C4579" w:rsidRDefault="008157F9">
      <w:pPr>
        <w:pStyle w:val="TOC1"/>
        <w:rPr>
          <w:rFonts w:asciiTheme="minorHAnsi" w:eastAsiaTheme="minorEastAsia" w:hAnsiTheme="minorHAnsi" w:cstheme="minorBidi"/>
          <w:b w:val="0"/>
          <w:bCs w:val="0"/>
          <w:caps w:val="0"/>
          <w:color w:val="auto"/>
          <w:szCs w:val="22"/>
          <w:lang w:val="en-AU" w:eastAsia="en-AU"/>
        </w:rPr>
      </w:pPr>
      <w:hyperlink w:anchor="_Toc22806713" w:history="1">
        <w:r w:rsidR="009C4579" w:rsidRPr="00962E24">
          <w:rPr>
            <w:rStyle w:val="Hyperlink"/>
          </w:rPr>
          <w:t>3</w:t>
        </w:r>
        <w:r w:rsidR="009C4579">
          <w:rPr>
            <w:rFonts w:asciiTheme="minorHAnsi" w:eastAsiaTheme="minorEastAsia" w:hAnsiTheme="minorHAnsi" w:cstheme="minorBidi"/>
            <w:b w:val="0"/>
            <w:bCs w:val="0"/>
            <w:caps w:val="0"/>
            <w:color w:val="auto"/>
            <w:szCs w:val="22"/>
            <w:lang w:val="en-AU" w:eastAsia="en-AU"/>
          </w:rPr>
          <w:tab/>
        </w:r>
        <w:r w:rsidR="009C4579" w:rsidRPr="00962E24">
          <w:rPr>
            <w:rStyle w:val="Hyperlink"/>
          </w:rPr>
          <w:t>OTHER CURRENT CONSERVATION ISSUES IDENTIFIED BY THE STATE PARTY WHICH MAY HAVE AN IMPACT ON THE PROPERTY’S OUTSTANDING UNIVERSAL VALUE</w:t>
        </w:r>
        <w:r w:rsidR="009C4579">
          <w:rPr>
            <w:webHidden/>
          </w:rPr>
          <w:tab/>
        </w:r>
        <w:r w:rsidR="009C4579">
          <w:rPr>
            <w:webHidden/>
          </w:rPr>
          <w:fldChar w:fldCharType="begin"/>
        </w:r>
        <w:r w:rsidR="009C4579">
          <w:rPr>
            <w:webHidden/>
          </w:rPr>
          <w:instrText xml:space="preserve"> PAGEREF _Toc22806713 \h </w:instrText>
        </w:r>
        <w:r w:rsidR="009C4579">
          <w:rPr>
            <w:webHidden/>
          </w:rPr>
        </w:r>
        <w:r w:rsidR="009C4579">
          <w:rPr>
            <w:webHidden/>
          </w:rPr>
          <w:fldChar w:fldCharType="separate"/>
        </w:r>
        <w:r w:rsidR="00C12507">
          <w:rPr>
            <w:webHidden/>
          </w:rPr>
          <w:t>16</w:t>
        </w:r>
        <w:r w:rsidR="009C4579">
          <w:rPr>
            <w:webHidden/>
          </w:rPr>
          <w:fldChar w:fldCharType="end"/>
        </w:r>
      </w:hyperlink>
    </w:p>
    <w:p w14:paraId="24FAF1EB" w14:textId="77777777" w:rsidR="009C4579" w:rsidRDefault="008157F9">
      <w:pPr>
        <w:pStyle w:val="TOC2"/>
        <w:rPr>
          <w:rFonts w:asciiTheme="minorHAnsi" w:eastAsiaTheme="minorEastAsia" w:hAnsiTheme="minorHAnsi" w:cstheme="minorBidi"/>
          <w:sz w:val="22"/>
          <w:szCs w:val="22"/>
          <w:lang w:eastAsia="en-AU"/>
        </w:rPr>
      </w:pPr>
      <w:hyperlink w:anchor="_Toc22806714" w:history="1">
        <w:r w:rsidR="009C4579" w:rsidRPr="00962E24">
          <w:rPr>
            <w:rStyle w:val="Hyperlink"/>
          </w:rPr>
          <w:t>3.1</w:t>
        </w:r>
        <w:r w:rsidR="009C4579">
          <w:rPr>
            <w:rFonts w:asciiTheme="minorHAnsi" w:eastAsiaTheme="minorEastAsia" w:hAnsiTheme="minorHAnsi" w:cstheme="minorBidi"/>
            <w:sz w:val="22"/>
            <w:szCs w:val="22"/>
            <w:lang w:eastAsia="en-AU"/>
          </w:rPr>
          <w:tab/>
        </w:r>
        <w:r w:rsidR="009C4579" w:rsidRPr="00962E24">
          <w:rPr>
            <w:rStyle w:val="Hyperlink"/>
          </w:rPr>
          <w:t>Impacts of Wildfires</w:t>
        </w:r>
        <w:r w:rsidR="009C4579">
          <w:rPr>
            <w:webHidden/>
          </w:rPr>
          <w:tab/>
        </w:r>
        <w:r w:rsidR="009C4579">
          <w:rPr>
            <w:webHidden/>
          </w:rPr>
          <w:fldChar w:fldCharType="begin"/>
        </w:r>
        <w:r w:rsidR="009C4579">
          <w:rPr>
            <w:webHidden/>
          </w:rPr>
          <w:instrText xml:space="preserve"> PAGEREF _Toc22806714 \h </w:instrText>
        </w:r>
        <w:r w:rsidR="009C4579">
          <w:rPr>
            <w:webHidden/>
          </w:rPr>
        </w:r>
        <w:r w:rsidR="009C4579">
          <w:rPr>
            <w:webHidden/>
          </w:rPr>
          <w:fldChar w:fldCharType="separate"/>
        </w:r>
        <w:r w:rsidR="00C12507">
          <w:rPr>
            <w:webHidden/>
          </w:rPr>
          <w:t>16</w:t>
        </w:r>
        <w:r w:rsidR="009C4579">
          <w:rPr>
            <w:webHidden/>
          </w:rPr>
          <w:fldChar w:fldCharType="end"/>
        </w:r>
      </w:hyperlink>
    </w:p>
    <w:p w14:paraId="4A1F8077" w14:textId="6A9619B6" w:rsidR="009C4579" w:rsidRDefault="008157F9">
      <w:pPr>
        <w:pStyle w:val="TOC2"/>
        <w:rPr>
          <w:rFonts w:asciiTheme="minorHAnsi" w:eastAsiaTheme="minorEastAsia" w:hAnsiTheme="minorHAnsi" w:cstheme="minorBidi"/>
          <w:sz w:val="22"/>
          <w:szCs w:val="22"/>
          <w:lang w:eastAsia="en-AU"/>
        </w:rPr>
      </w:pPr>
      <w:hyperlink w:anchor="_Toc22806715" w:history="1">
        <w:r w:rsidR="009C4579" w:rsidRPr="00962E24">
          <w:rPr>
            <w:rStyle w:val="Hyperlink"/>
          </w:rPr>
          <w:t>3.2</w:t>
        </w:r>
        <w:r w:rsidR="009C4579">
          <w:rPr>
            <w:rFonts w:asciiTheme="minorHAnsi" w:eastAsiaTheme="minorEastAsia" w:hAnsiTheme="minorHAnsi" w:cstheme="minorBidi"/>
            <w:sz w:val="22"/>
            <w:szCs w:val="22"/>
            <w:lang w:eastAsia="en-AU"/>
          </w:rPr>
          <w:tab/>
        </w:r>
        <w:r w:rsidR="007F2BC6">
          <w:rPr>
            <w:rStyle w:val="Hyperlink"/>
          </w:rPr>
          <w:t>Orange-</w:t>
        </w:r>
        <w:r w:rsidR="009C4579" w:rsidRPr="00962E24">
          <w:rPr>
            <w:rStyle w:val="Hyperlink"/>
          </w:rPr>
          <w:t>bellied parrot</w:t>
        </w:r>
        <w:r w:rsidR="009C4579">
          <w:rPr>
            <w:webHidden/>
          </w:rPr>
          <w:tab/>
        </w:r>
        <w:r w:rsidR="009C4579">
          <w:rPr>
            <w:webHidden/>
          </w:rPr>
          <w:fldChar w:fldCharType="begin"/>
        </w:r>
        <w:r w:rsidR="009C4579">
          <w:rPr>
            <w:webHidden/>
          </w:rPr>
          <w:instrText xml:space="preserve"> PAGEREF _Toc22806715 \h </w:instrText>
        </w:r>
        <w:r w:rsidR="009C4579">
          <w:rPr>
            <w:webHidden/>
          </w:rPr>
        </w:r>
        <w:r w:rsidR="009C4579">
          <w:rPr>
            <w:webHidden/>
          </w:rPr>
          <w:fldChar w:fldCharType="separate"/>
        </w:r>
        <w:r w:rsidR="00C12507">
          <w:rPr>
            <w:webHidden/>
          </w:rPr>
          <w:t>19</w:t>
        </w:r>
        <w:r w:rsidR="009C4579">
          <w:rPr>
            <w:webHidden/>
          </w:rPr>
          <w:fldChar w:fldCharType="end"/>
        </w:r>
      </w:hyperlink>
    </w:p>
    <w:p w14:paraId="359022A2" w14:textId="77777777" w:rsidR="009C4579" w:rsidRDefault="008157F9">
      <w:pPr>
        <w:pStyle w:val="TOC2"/>
        <w:rPr>
          <w:rFonts w:asciiTheme="minorHAnsi" w:eastAsiaTheme="minorEastAsia" w:hAnsiTheme="minorHAnsi" w:cstheme="minorBidi"/>
          <w:sz w:val="22"/>
          <w:szCs w:val="22"/>
          <w:lang w:eastAsia="en-AU"/>
        </w:rPr>
      </w:pPr>
      <w:hyperlink w:anchor="_Toc22806716" w:history="1">
        <w:r w:rsidR="009C4579" w:rsidRPr="00962E24">
          <w:rPr>
            <w:rStyle w:val="Hyperlink"/>
          </w:rPr>
          <w:t>3.3</w:t>
        </w:r>
        <w:r w:rsidR="009C4579">
          <w:rPr>
            <w:rFonts w:asciiTheme="minorHAnsi" w:eastAsiaTheme="minorEastAsia" w:hAnsiTheme="minorHAnsi" w:cstheme="minorBidi"/>
            <w:sz w:val="22"/>
            <w:szCs w:val="22"/>
            <w:lang w:eastAsia="en-AU"/>
          </w:rPr>
          <w:tab/>
        </w:r>
        <w:r w:rsidR="009C4579" w:rsidRPr="00962E24">
          <w:rPr>
            <w:rStyle w:val="Hyperlink"/>
          </w:rPr>
          <w:t>Maugean Skate, Macquarie Harbour</w:t>
        </w:r>
        <w:r w:rsidR="009C4579">
          <w:rPr>
            <w:webHidden/>
          </w:rPr>
          <w:tab/>
        </w:r>
        <w:r w:rsidR="009C4579">
          <w:rPr>
            <w:webHidden/>
          </w:rPr>
          <w:fldChar w:fldCharType="begin"/>
        </w:r>
        <w:r w:rsidR="009C4579">
          <w:rPr>
            <w:webHidden/>
          </w:rPr>
          <w:instrText xml:space="preserve"> PAGEREF _Toc22806716 \h </w:instrText>
        </w:r>
        <w:r w:rsidR="009C4579">
          <w:rPr>
            <w:webHidden/>
          </w:rPr>
        </w:r>
        <w:r w:rsidR="009C4579">
          <w:rPr>
            <w:webHidden/>
          </w:rPr>
          <w:fldChar w:fldCharType="separate"/>
        </w:r>
        <w:r w:rsidR="00C12507">
          <w:rPr>
            <w:webHidden/>
          </w:rPr>
          <w:t>21</w:t>
        </w:r>
        <w:r w:rsidR="009C4579">
          <w:rPr>
            <w:webHidden/>
          </w:rPr>
          <w:fldChar w:fldCharType="end"/>
        </w:r>
      </w:hyperlink>
    </w:p>
    <w:p w14:paraId="758D6CAD" w14:textId="77777777" w:rsidR="009C4579" w:rsidRDefault="008157F9">
      <w:pPr>
        <w:pStyle w:val="TOC2"/>
        <w:rPr>
          <w:rFonts w:asciiTheme="minorHAnsi" w:eastAsiaTheme="minorEastAsia" w:hAnsiTheme="minorHAnsi" w:cstheme="minorBidi"/>
          <w:sz w:val="22"/>
          <w:szCs w:val="22"/>
          <w:lang w:eastAsia="en-AU"/>
        </w:rPr>
      </w:pPr>
      <w:hyperlink w:anchor="_Toc22806717" w:history="1">
        <w:r w:rsidR="009C4579" w:rsidRPr="00962E24">
          <w:rPr>
            <w:rStyle w:val="Hyperlink"/>
          </w:rPr>
          <w:t>3.4</w:t>
        </w:r>
        <w:r w:rsidR="009C4579">
          <w:rPr>
            <w:rFonts w:asciiTheme="minorHAnsi" w:eastAsiaTheme="minorEastAsia" w:hAnsiTheme="minorHAnsi" w:cstheme="minorBidi"/>
            <w:sz w:val="22"/>
            <w:szCs w:val="22"/>
            <w:lang w:eastAsia="en-AU"/>
          </w:rPr>
          <w:tab/>
        </w:r>
        <w:r w:rsidR="009C4579" w:rsidRPr="00962E24">
          <w:rPr>
            <w:rStyle w:val="Hyperlink"/>
          </w:rPr>
          <w:t>Recent research related to previous mining activity adjacent to the Tasmanian Wilderness World Heritage Area</w:t>
        </w:r>
        <w:r w:rsidR="009C4579">
          <w:rPr>
            <w:webHidden/>
          </w:rPr>
          <w:tab/>
        </w:r>
        <w:r w:rsidR="009C4579">
          <w:rPr>
            <w:webHidden/>
          </w:rPr>
          <w:fldChar w:fldCharType="begin"/>
        </w:r>
        <w:r w:rsidR="009C4579">
          <w:rPr>
            <w:webHidden/>
          </w:rPr>
          <w:instrText xml:space="preserve"> PAGEREF _Toc22806717 \h </w:instrText>
        </w:r>
        <w:r w:rsidR="009C4579">
          <w:rPr>
            <w:webHidden/>
          </w:rPr>
        </w:r>
        <w:r w:rsidR="009C4579">
          <w:rPr>
            <w:webHidden/>
          </w:rPr>
          <w:fldChar w:fldCharType="separate"/>
        </w:r>
        <w:r w:rsidR="00C12507">
          <w:rPr>
            <w:webHidden/>
          </w:rPr>
          <w:t>21</w:t>
        </w:r>
        <w:r w:rsidR="009C4579">
          <w:rPr>
            <w:webHidden/>
          </w:rPr>
          <w:fldChar w:fldCharType="end"/>
        </w:r>
      </w:hyperlink>
    </w:p>
    <w:p w14:paraId="4D8F2228" w14:textId="77777777" w:rsidR="009C4579" w:rsidRDefault="008157F9">
      <w:pPr>
        <w:pStyle w:val="TOC1"/>
        <w:rPr>
          <w:rFonts w:asciiTheme="minorHAnsi" w:eastAsiaTheme="minorEastAsia" w:hAnsiTheme="minorHAnsi" w:cstheme="minorBidi"/>
          <w:b w:val="0"/>
          <w:bCs w:val="0"/>
          <w:caps w:val="0"/>
          <w:color w:val="auto"/>
          <w:szCs w:val="22"/>
          <w:lang w:val="en-AU" w:eastAsia="en-AU"/>
        </w:rPr>
      </w:pPr>
      <w:hyperlink w:anchor="_Toc22806718" w:history="1">
        <w:r w:rsidR="009C4579" w:rsidRPr="00962E24">
          <w:rPr>
            <w:rStyle w:val="Hyperlink"/>
          </w:rPr>
          <w:t>4</w:t>
        </w:r>
        <w:r w:rsidR="009C4579">
          <w:rPr>
            <w:rFonts w:asciiTheme="minorHAnsi" w:eastAsiaTheme="minorEastAsia" w:hAnsiTheme="minorHAnsi" w:cstheme="minorBidi"/>
            <w:b w:val="0"/>
            <w:bCs w:val="0"/>
            <w:caps w:val="0"/>
            <w:color w:val="auto"/>
            <w:szCs w:val="22"/>
            <w:lang w:val="en-AU" w:eastAsia="en-AU"/>
          </w:rPr>
          <w:tab/>
        </w:r>
        <w:r w:rsidR="009C4579" w:rsidRPr="00962E24">
          <w:rPr>
            <w:rStyle w:val="Hyperlink"/>
          </w:rPr>
          <w:t>POTENTIAL MAJOR RESTORATIONS, ALTERATIONS AND/OR NEW CONSTRUCTIONS intended within the property, the buffer zones and/or corridors or other areas, where such developments may affect the outstanding Universal value of the property, including authenticity and integrity</w:t>
        </w:r>
        <w:r w:rsidR="009C4579">
          <w:rPr>
            <w:webHidden/>
          </w:rPr>
          <w:tab/>
        </w:r>
        <w:r w:rsidR="009C4579">
          <w:rPr>
            <w:webHidden/>
          </w:rPr>
          <w:fldChar w:fldCharType="begin"/>
        </w:r>
        <w:r w:rsidR="009C4579">
          <w:rPr>
            <w:webHidden/>
          </w:rPr>
          <w:instrText xml:space="preserve"> PAGEREF _Toc22806718 \h </w:instrText>
        </w:r>
        <w:r w:rsidR="009C4579">
          <w:rPr>
            <w:webHidden/>
          </w:rPr>
        </w:r>
        <w:r w:rsidR="009C4579">
          <w:rPr>
            <w:webHidden/>
          </w:rPr>
          <w:fldChar w:fldCharType="separate"/>
        </w:r>
        <w:r w:rsidR="00C12507">
          <w:rPr>
            <w:webHidden/>
          </w:rPr>
          <w:t>23</w:t>
        </w:r>
        <w:r w:rsidR="009C4579">
          <w:rPr>
            <w:webHidden/>
          </w:rPr>
          <w:fldChar w:fldCharType="end"/>
        </w:r>
      </w:hyperlink>
    </w:p>
    <w:p w14:paraId="071E355F" w14:textId="77777777" w:rsidR="009C4579" w:rsidRDefault="008157F9">
      <w:pPr>
        <w:pStyle w:val="TOC2"/>
        <w:rPr>
          <w:rFonts w:asciiTheme="minorHAnsi" w:eastAsiaTheme="minorEastAsia" w:hAnsiTheme="minorHAnsi" w:cstheme="minorBidi"/>
          <w:sz w:val="22"/>
          <w:szCs w:val="22"/>
          <w:lang w:eastAsia="en-AU"/>
        </w:rPr>
      </w:pPr>
      <w:hyperlink w:anchor="_Toc22806719" w:history="1">
        <w:r w:rsidR="009C4579" w:rsidRPr="00962E24">
          <w:rPr>
            <w:rStyle w:val="Hyperlink"/>
          </w:rPr>
          <w:t>4.1</w:t>
        </w:r>
        <w:r w:rsidR="009C4579">
          <w:rPr>
            <w:rFonts w:asciiTheme="minorHAnsi" w:eastAsiaTheme="minorEastAsia" w:hAnsiTheme="minorHAnsi" w:cstheme="minorBidi"/>
            <w:sz w:val="22"/>
            <w:szCs w:val="22"/>
            <w:lang w:eastAsia="en-AU"/>
          </w:rPr>
          <w:tab/>
        </w:r>
        <w:r w:rsidR="009C4579" w:rsidRPr="00962E24">
          <w:rPr>
            <w:rStyle w:val="Hyperlink"/>
          </w:rPr>
          <w:t>Proposed Tourism Development, Halls Island, Lake Malbena,</w:t>
        </w:r>
        <w:r w:rsidR="009C4579" w:rsidRPr="00962E24">
          <w:rPr>
            <w:rStyle w:val="Hyperlink"/>
            <w:bCs/>
          </w:rPr>
          <w:t xml:space="preserve"> Walls</w:t>
        </w:r>
        <w:r w:rsidR="009C4579" w:rsidRPr="00962E24">
          <w:rPr>
            <w:rStyle w:val="Hyperlink"/>
          </w:rPr>
          <w:t xml:space="preserve"> of Jerusalem National Park</w:t>
        </w:r>
        <w:r w:rsidR="009C4579">
          <w:rPr>
            <w:webHidden/>
          </w:rPr>
          <w:tab/>
        </w:r>
        <w:r w:rsidR="009C4579">
          <w:rPr>
            <w:webHidden/>
          </w:rPr>
          <w:fldChar w:fldCharType="begin"/>
        </w:r>
        <w:r w:rsidR="009C4579">
          <w:rPr>
            <w:webHidden/>
          </w:rPr>
          <w:instrText xml:space="preserve"> PAGEREF _Toc22806719 \h </w:instrText>
        </w:r>
        <w:r w:rsidR="009C4579">
          <w:rPr>
            <w:webHidden/>
          </w:rPr>
        </w:r>
        <w:r w:rsidR="009C4579">
          <w:rPr>
            <w:webHidden/>
          </w:rPr>
          <w:fldChar w:fldCharType="separate"/>
        </w:r>
        <w:r w:rsidR="00C12507">
          <w:rPr>
            <w:webHidden/>
          </w:rPr>
          <w:t>23</w:t>
        </w:r>
        <w:r w:rsidR="009C4579">
          <w:rPr>
            <w:webHidden/>
          </w:rPr>
          <w:fldChar w:fldCharType="end"/>
        </w:r>
      </w:hyperlink>
    </w:p>
    <w:p w14:paraId="2CF23303" w14:textId="77777777" w:rsidR="009C4579" w:rsidRDefault="008157F9">
      <w:pPr>
        <w:pStyle w:val="TOC2"/>
        <w:rPr>
          <w:rFonts w:asciiTheme="minorHAnsi" w:eastAsiaTheme="minorEastAsia" w:hAnsiTheme="minorHAnsi" w:cstheme="minorBidi"/>
          <w:sz w:val="22"/>
          <w:szCs w:val="22"/>
          <w:lang w:eastAsia="en-AU"/>
        </w:rPr>
      </w:pPr>
      <w:hyperlink w:anchor="_Toc22806720" w:history="1">
        <w:r w:rsidR="009C4579" w:rsidRPr="00962E24">
          <w:rPr>
            <w:rStyle w:val="Hyperlink"/>
          </w:rPr>
          <w:t>4.2</w:t>
        </w:r>
        <w:r w:rsidR="009C4579">
          <w:rPr>
            <w:rFonts w:asciiTheme="minorHAnsi" w:eastAsiaTheme="minorEastAsia" w:hAnsiTheme="minorHAnsi" w:cstheme="minorBidi"/>
            <w:sz w:val="22"/>
            <w:szCs w:val="22"/>
            <w:lang w:eastAsia="en-AU"/>
          </w:rPr>
          <w:tab/>
        </w:r>
        <w:r w:rsidR="009C4579" w:rsidRPr="00962E24">
          <w:rPr>
            <w:rStyle w:val="Hyperlink"/>
          </w:rPr>
          <w:t>Cradle Mountain Master Plan</w:t>
        </w:r>
        <w:r w:rsidR="009C4579">
          <w:rPr>
            <w:webHidden/>
          </w:rPr>
          <w:tab/>
        </w:r>
        <w:r w:rsidR="009C4579">
          <w:rPr>
            <w:webHidden/>
          </w:rPr>
          <w:fldChar w:fldCharType="begin"/>
        </w:r>
        <w:r w:rsidR="009C4579">
          <w:rPr>
            <w:webHidden/>
          </w:rPr>
          <w:instrText xml:space="preserve"> PAGEREF _Toc22806720 \h </w:instrText>
        </w:r>
        <w:r w:rsidR="009C4579">
          <w:rPr>
            <w:webHidden/>
          </w:rPr>
        </w:r>
        <w:r w:rsidR="009C4579">
          <w:rPr>
            <w:webHidden/>
          </w:rPr>
          <w:fldChar w:fldCharType="separate"/>
        </w:r>
        <w:r w:rsidR="00C12507">
          <w:rPr>
            <w:webHidden/>
          </w:rPr>
          <w:t>23</w:t>
        </w:r>
        <w:r w:rsidR="009C4579">
          <w:rPr>
            <w:webHidden/>
          </w:rPr>
          <w:fldChar w:fldCharType="end"/>
        </w:r>
      </w:hyperlink>
    </w:p>
    <w:p w14:paraId="629BC817" w14:textId="77777777" w:rsidR="009C4579" w:rsidRDefault="008157F9">
      <w:pPr>
        <w:pStyle w:val="TOC2"/>
        <w:rPr>
          <w:rFonts w:asciiTheme="minorHAnsi" w:eastAsiaTheme="minorEastAsia" w:hAnsiTheme="minorHAnsi" w:cstheme="minorBidi"/>
          <w:sz w:val="22"/>
          <w:szCs w:val="22"/>
          <w:lang w:eastAsia="en-AU"/>
        </w:rPr>
      </w:pPr>
      <w:hyperlink w:anchor="_Toc22806721" w:history="1">
        <w:r w:rsidR="009C4579" w:rsidRPr="00962E24">
          <w:rPr>
            <w:rStyle w:val="Hyperlink"/>
          </w:rPr>
          <w:t>4.3</w:t>
        </w:r>
        <w:r w:rsidR="009C4579">
          <w:rPr>
            <w:rFonts w:asciiTheme="minorHAnsi" w:eastAsiaTheme="minorEastAsia" w:hAnsiTheme="minorHAnsi" w:cstheme="minorBidi"/>
            <w:sz w:val="22"/>
            <w:szCs w:val="22"/>
            <w:lang w:eastAsia="en-AU"/>
          </w:rPr>
          <w:tab/>
        </w:r>
        <w:r w:rsidR="009C4579" w:rsidRPr="00962E24">
          <w:rPr>
            <w:rStyle w:val="Hyperlink"/>
          </w:rPr>
          <w:t xml:space="preserve">Dove Lake Shelter, Cradle Mountain </w:t>
        </w:r>
        <w:r w:rsidR="009C4579" w:rsidRPr="00962E24">
          <w:rPr>
            <w:rStyle w:val="Hyperlink"/>
            <w:rFonts w:cs="Times New Roman"/>
          </w:rPr>
          <w:t>-</w:t>
        </w:r>
        <w:r w:rsidR="009C4579" w:rsidRPr="00962E24">
          <w:rPr>
            <w:rStyle w:val="Hyperlink"/>
          </w:rPr>
          <w:t xml:space="preserve"> Lake St Clair National Park</w:t>
        </w:r>
        <w:r w:rsidR="009C4579">
          <w:rPr>
            <w:webHidden/>
          </w:rPr>
          <w:tab/>
        </w:r>
        <w:r w:rsidR="009C4579">
          <w:rPr>
            <w:webHidden/>
          </w:rPr>
          <w:fldChar w:fldCharType="begin"/>
        </w:r>
        <w:r w:rsidR="009C4579">
          <w:rPr>
            <w:webHidden/>
          </w:rPr>
          <w:instrText xml:space="preserve"> PAGEREF _Toc22806721 \h </w:instrText>
        </w:r>
        <w:r w:rsidR="009C4579">
          <w:rPr>
            <w:webHidden/>
          </w:rPr>
        </w:r>
        <w:r w:rsidR="009C4579">
          <w:rPr>
            <w:webHidden/>
          </w:rPr>
          <w:fldChar w:fldCharType="separate"/>
        </w:r>
        <w:r w:rsidR="00C12507">
          <w:rPr>
            <w:webHidden/>
          </w:rPr>
          <w:t>24</w:t>
        </w:r>
        <w:r w:rsidR="009C4579">
          <w:rPr>
            <w:webHidden/>
          </w:rPr>
          <w:fldChar w:fldCharType="end"/>
        </w:r>
      </w:hyperlink>
    </w:p>
    <w:p w14:paraId="0D57F792" w14:textId="77777777" w:rsidR="009C4579" w:rsidRDefault="008157F9">
      <w:pPr>
        <w:pStyle w:val="TOC1"/>
        <w:rPr>
          <w:rFonts w:asciiTheme="minorHAnsi" w:eastAsiaTheme="minorEastAsia" w:hAnsiTheme="minorHAnsi" w:cstheme="minorBidi"/>
          <w:b w:val="0"/>
          <w:bCs w:val="0"/>
          <w:caps w:val="0"/>
          <w:color w:val="auto"/>
          <w:szCs w:val="22"/>
          <w:lang w:val="en-AU" w:eastAsia="en-AU"/>
        </w:rPr>
      </w:pPr>
      <w:hyperlink w:anchor="_Toc22806722" w:history="1">
        <w:r w:rsidR="009C4579" w:rsidRPr="00962E24">
          <w:rPr>
            <w:rStyle w:val="Hyperlink"/>
          </w:rPr>
          <w:t>APPENDICES</w:t>
        </w:r>
        <w:r w:rsidR="009C4579">
          <w:rPr>
            <w:webHidden/>
          </w:rPr>
          <w:tab/>
        </w:r>
        <w:r w:rsidR="009C4579">
          <w:rPr>
            <w:webHidden/>
          </w:rPr>
          <w:fldChar w:fldCharType="begin"/>
        </w:r>
        <w:r w:rsidR="009C4579">
          <w:rPr>
            <w:webHidden/>
          </w:rPr>
          <w:instrText xml:space="preserve"> PAGEREF _Toc22806722 \h </w:instrText>
        </w:r>
        <w:r w:rsidR="009C4579">
          <w:rPr>
            <w:webHidden/>
          </w:rPr>
        </w:r>
        <w:r w:rsidR="009C4579">
          <w:rPr>
            <w:webHidden/>
          </w:rPr>
          <w:fldChar w:fldCharType="separate"/>
        </w:r>
        <w:r w:rsidR="00C12507">
          <w:rPr>
            <w:webHidden/>
          </w:rPr>
          <w:t>25</w:t>
        </w:r>
        <w:r w:rsidR="009C4579">
          <w:rPr>
            <w:webHidden/>
          </w:rPr>
          <w:fldChar w:fldCharType="end"/>
        </w:r>
      </w:hyperlink>
    </w:p>
    <w:p w14:paraId="02C14E05" w14:textId="77777777" w:rsidR="009C4579" w:rsidRDefault="008157F9">
      <w:pPr>
        <w:pStyle w:val="TOC2"/>
        <w:rPr>
          <w:rFonts w:asciiTheme="minorHAnsi" w:eastAsiaTheme="minorEastAsia" w:hAnsiTheme="minorHAnsi" w:cstheme="minorBidi"/>
          <w:sz w:val="22"/>
          <w:szCs w:val="22"/>
          <w:lang w:eastAsia="en-AU"/>
        </w:rPr>
      </w:pPr>
      <w:hyperlink w:anchor="_Toc22806723" w:history="1">
        <w:r w:rsidR="009C4579" w:rsidRPr="00962E24">
          <w:rPr>
            <w:rStyle w:val="Hyperlink"/>
          </w:rPr>
          <w:t>Appendix 1: Tasmanian Wilderness (Australia) (C/N 181quinquies) Decision: 42 COM 7B.61 (2018)</w:t>
        </w:r>
        <w:r w:rsidR="009C4579">
          <w:rPr>
            <w:webHidden/>
          </w:rPr>
          <w:tab/>
        </w:r>
        <w:r w:rsidR="009C4579">
          <w:rPr>
            <w:webHidden/>
          </w:rPr>
          <w:fldChar w:fldCharType="begin"/>
        </w:r>
        <w:r w:rsidR="009C4579">
          <w:rPr>
            <w:webHidden/>
          </w:rPr>
          <w:instrText xml:space="preserve"> PAGEREF _Toc22806723 \h </w:instrText>
        </w:r>
        <w:r w:rsidR="009C4579">
          <w:rPr>
            <w:webHidden/>
          </w:rPr>
        </w:r>
        <w:r w:rsidR="009C4579">
          <w:rPr>
            <w:webHidden/>
          </w:rPr>
          <w:fldChar w:fldCharType="separate"/>
        </w:r>
        <w:r w:rsidR="00C12507">
          <w:rPr>
            <w:webHidden/>
          </w:rPr>
          <w:t>25</w:t>
        </w:r>
        <w:r w:rsidR="009C4579">
          <w:rPr>
            <w:webHidden/>
          </w:rPr>
          <w:fldChar w:fldCharType="end"/>
        </w:r>
      </w:hyperlink>
    </w:p>
    <w:p w14:paraId="4CDACF36" w14:textId="77777777" w:rsidR="009C4579" w:rsidRDefault="008157F9">
      <w:pPr>
        <w:pStyle w:val="TOC2"/>
        <w:rPr>
          <w:rFonts w:asciiTheme="minorHAnsi" w:eastAsiaTheme="minorEastAsia" w:hAnsiTheme="minorHAnsi" w:cstheme="minorBidi"/>
          <w:sz w:val="22"/>
          <w:szCs w:val="22"/>
          <w:lang w:eastAsia="en-AU"/>
        </w:rPr>
      </w:pPr>
      <w:hyperlink w:anchor="_Toc22806724" w:history="1">
        <w:r w:rsidR="009C4579" w:rsidRPr="00962E24">
          <w:rPr>
            <w:rStyle w:val="Hyperlink"/>
          </w:rPr>
          <w:t>Appendix 2: Tasmanian Wilderness (Australia) (C/N 181quinquies) Decision: 40 COM 7B.66 (2016)</w:t>
        </w:r>
        <w:r w:rsidR="009C4579">
          <w:rPr>
            <w:webHidden/>
          </w:rPr>
          <w:tab/>
        </w:r>
        <w:r w:rsidR="009C4579">
          <w:rPr>
            <w:webHidden/>
          </w:rPr>
          <w:fldChar w:fldCharType="begin"/>
        </w:r>
        <w:r w:rsidR="009C4579">
          <w:rPr>
            <w:webHidden/>
          </w:rPr>
          <w:instrText xml:space="preserve"> PAGEREF _Toc22806724 \h </w:instrText>
        </w:r>
        <w:r w:rsidR="009C4579">
          <w:rPr>
            <w:webHidden/>
          </w:rPr>
        </w:r>
        <w:r w:rsidR="009C4579">
          <w:rPr>
            <w:webHidden/>
          </w:rPr>
          <w:fldChar w:fldCharType="separate"/>
        </w:r>
        <w:r w:rsidR="00C12507">
          <w:rPr>
            <w:webHidden/>
          </w:rPr>
          <w:t>26</w:t>
        </w:r>
        <w:r w:rsidR="009C4579">
          <w:rPr>
            <w:webHidden/>
          </w:rPr>
          <w:fldChar w:fldCharType="end"/>
        </w:r>
      </w:hyperlink>
    </w:p>
    <w:p w14:paraId="014C29B5" w14:textId="77777777" w:rsidR="009C4579" w:rsidRDefault="008157F9">
      <w:pPr>
        <w:pStyle w:val="TOC2"/>
        <w:rPr>
          <w:rFonts w:asciiTheme="minorHAnsi" w:eastAsiaTheme="minorEastAsia" w:hAnsiTheme="minorHAnsi" w:cstheme="minorBidi"/>
          <w:sz w:val="22"/>
          <w:szCs w:val="22"/>
          <w:lang w:eastAsia="en-AU"/>
        </w:rPr>
      </w:pPr>
      <w:hyperlink w:anchor="_Toc22806725" w:history="1">
        <w:r w:rsidR="009C4579" w:rsidRPr="00962E24">
          <w:rPr>
            <w:rStyle w:val="Hyperlink"/>
          </w:rPr>
          <w:t>Appendix 3: Implementation of the 2015 Reactive Monitoring Mission’s recommendations</w:t>
        </w:r>
        <w:r w:rsidR="009C4579">
          <w:rPr>
            <w:webHidden/>
          </w:rPr>
          <w:tab/>
        </w:r>
        <w:r w:rsidR="009C4579">
          <w:rPr>
            <w:webHidden/>
          </w:rPr>
          <w:fldChar w:fldCharType="begin"/>
        </w:r>
        <w:r w:rsidR="009C4579">
          <w:rPr>
            <w:webHidden/>
          </w:rPr>
          <w:instrText xml:space="preserve"> PAGEREF _Toc22806725 \h </w:instrText>
        </w:r>
        <w:r w:rsidR="009C4579">
          <w:rPr>
            <w:webHidden/>
          </w:rPr>
        </w:r>
        <w:r w:rsidR="009C4579">
          <w:rPr>
            <w:webHidden/>
          </w:rPr>
          <w:fldChar w:fldCharType="separate"/>
        </w:r>
        <w:r w:rsidR="00C12507">
          <w:rPr>
            <w:webHidden/>
          </w:rPr>
          <w:t>27</w:t>
        </w:r>
        <w:r w:rsidR="009C4579">
          <w:rPr>
            <w:webHidden/>
          </w:rPr>
          <w:fldChar w:fldCharType="end"/>
        </w:r>
      </w:hyperlink>
    </w:p>
    <w:p w14:paraId="1F607757" w14:textId="50212FDC" w:rsidR="00AF505E" w:rsidRPr="00D52FB7" w:rsidRDefault="008157F9" w:rsidP="00293B4B">
      <w:pPr>
        <w:pStyle w:val="TOC2"/>
      </w:pPr>
      <w:hyperlink w:anchor="_Toc22806727" w:history="1">
        <w:r w:rsidR="009C4579" w:rsidRPr="00962E24">
          <w:rPr>
            <w:rStyle w:val="Hyperlink"/>
          </w:rPr>
          <w:t xml:space="preserve">Appendix </w:t>
        </w:r>
        <w:r w:rsidR="004240EF">
          <w:rPr>
            <w:rStyle w:val="Hyperlink"/>
          </w:rPr>
          <w:t>4</w:t>
        </w:r>
        <w:r w:rsidR="009C4579" w:rsidRPr="00962E24">
          <w:rPr>
            <w:rStyle w:val="Hyperlink"/>
          </w:rPr>
          <w:t>: EPBC Act process for protection of Outstanding Universal Value</w:t>
        </w:r>
        <w:r w:rsidR="009C4579">
          <w:rPr>
            <w:webHidden/>
          </w:rPr>
          <w:tab/>
        </w:r>
        <w:r w:rsidR="009C4579">
          <w:rPr>
            <w:webHidden/>
          </w:rPr>
          <w:fldChar w:fldCharType="begin"/>
        </w:r>
        <w:r w:rsidR="009C4579">
          <w:rPr>
            <w:webHidden/>
          </w:rPr>
          <w:instrText xml:space="preserve"> PAGEREF _Toc22806727 \h </w:instrText>
        </w:r>
        <w:r w:rsidR="009C4579">
          <w:rPr>
            <w:webHidden/>
          </w:rPr>
        </w:r>
        <w:r w:rsidR="009C4579">
          <w:rPr>
            <w:webHidden/>
          </w:rPr>
          <w:fldChar w:fldCharType="separate"/>
        </w:r>
        <w:r w:rsidR="00C12507">
          <w:rPr>
            <w:webHidden/>
          </w:rPr>
          <w:t>38</w:t>
        </w:r>
        <w:r w:rsidR="009C4579">
          <w:rPr>
            <w:webHidden/>
          </w:rPr>
          <w:fldChar w:fldCharType="end"/>
        </w:r>
      </w:hyperlink>
      <w:r w:rsidR="00B05938">
        <w:fldChar w:fldCharType="end"/>
      </w:r>
    </w:p>
    <w:p w14:paraId="52CF0D5C" w14:textId="77777777" w:rsidR="00AF505E" w:rsidRPr="00D52FB7" w:rsidRDefault="00AF505E" w:rsidP="00A01202">
      <w:pPr>
        <w:pStyle w:val="01HEADING1"/>
        <w:spacing w:before="170"/>
        <w:sectPr w:rsidR="00AF505E" w:rsidRPr="00D52FB7" w:rsidSect="009A2A52">
          <w:headerReference w:type="default" r:id="rId19"/>
          <w:footerReference w:type="default" r:id="rId20"/>
          <w:pgSz w:w="11906" w:h="16838" w:code="9"/>
          <w:pgMar w:top="992" w:right="1134" w:bottom="709" w:left="1134" w:header="709" w:footer="595" w:gutter="0"/>
          <w:pgNumType w:start="1"/>
          <w:cols w:space="708"/>
          <w:docGrid w:linePitch="360"/>
        </w:sectPr>
      </w:pPr>
      <w:bookmarkStart w:id="9" w:name="_Toc484601097"/>
      <w:bookmarkStart w:id="10" w:name="_Toc488415801"/>
    </w:p>
    <w:p w14:paraId="6C406A92" w14:textId="77777777" w:rsidR="00AF505E" w:rsidRDefault="00AF505E" w:rsidP="00A01202">
      <w:pPr>
        <w:pStyle w:val="Heading1"/>
        <w:numPr>
          <w:ilvl w:val="0"/>
          <w:numId w:val="0"/>
        </w:numPr>
        <w:spacing w:before="170"/>
      </w:pPr>
      <w:bookmarkStart w:id="11" w:name="_Toc5373731"/>
      <w:bookmarkStart w:id="12" w:name="_Toc19270647"/>
      <w:bookmarkStart w:id="13" w:name="_Toc22806692"/>
      <w:r w:rsidRPr="00D52FB7">
        <w:lastRenderedPageBreak/>
        <w:t>EXECUTIVE SUMMARY</w:t>
      </w:r>
      <w:bookmarkEnd w:id="9"/>
      <w:bookmarkEnd w:id="10"/>
      <w:bookmarkEnd w:id="11"/>
      <w:bookmarkEnd w:id="12"/>
      <w:bookmarkEnd w:id="13"/>
    </w:p>
    <w:p w14:paraId="6586336B" w14:textId="067D867E" w:rsidR="0081054D" w:rsidRDefault="008D6FB7" w:rsidP="00127FA8">
      <w:pPr>
        <w:spacing w:after="228"/>
        <w:ind w:right="329"/>
        <w:rPr>
          <w:lang w:val="en-US" w:eastAsia="ja-JP"/>
        </w:rPr>
      </w:pPr>
      <w:r>
        <w:rPr>
          <w:lang w:val="en-US" w:eastAsia="ja-JP"/>
        </w:rPr>
        <w:t xml:space="preserve">This report </w:t>
      </w:r>
      <w:r w:rsidR="009613F1">
        <w:rPr>
          <w:lang w:val="en-US" w:eastAsia="ja-JP"/>
        </w:rPr>
        <w:t xml:space="preserve">responds to </w:t>
      </w:r>
      <w:r>
        <w:rPr>
          <w:lang w:val="en-US" w:eastAsia="ja-JP"/>
        </w:rPr>
        <w:t xml:space="preserve">the </w:t>
      </w:r>
      <w:r w:rsidR="00006C5F">
        <w:rPr>
          <w:lang w:val="en-US" w:eastAsia="ja-JP"/>
        </w:rPr>
        <w:t xml:space="preserve">request of the </w:t>
      </w:r>
      <w:r>
        <w:rPr>
          <w:lang w:val="en-US" w:eastAsia="ja-JP"/>
        </w:rPr>
        <w:t xml:space="preserve">World Heritage </w:t>
      </w:r>
      <w:r w:rsidRPr="009613F1">
        <w:rPr>
          <w:lang w:val="en-US" w:eastAsia="ja-JP"/>
        </w:rPr>
        <w:t xml:space="preserve">Committee </w:t>
      </w:r>
      <w:r w:rsidR="00006C5F">
        <w:rPr>
          <w:lang w:val="en-US" w:eastAsia="ja-JP"/>
        </w:rPr>
        <w:t>in 2018 (</w:t>
      </w:r>
      <w:r w:rsidR="009613F1" w:rsidRPr="004E5FAC">
        <w:rPr>
          <w:lang w:val="en-US" w:eastAsia="ja-JP"/>
        </w:rPr>
        <w:t>Decision</w:t>
      </w:r>
      <w:r w:rsidR="00006C5F">
        <w:rPr>
          <w:lang w:val="en-US" w:eastAsia="ja-JP"/>
        </w:rPr>
        <w:t> </w:t>
      </w:r>
      <w:hyperlink r:id="rId21" w:history="1">
        <w:r w:rsidR="000A343D" w:rsidRPr="000A343D">
          <w:rPr>
            <w:b/>
            <w:color w:val="0000FF"/>
            <w:u w:val="single"/>
            <w:lang w:val="en-US" w:eastAsia="ja-JP"/>
          </w:rPr>
          <w:t>42</w:t>
        </w:r>
        <w:r w:rsidR="00006C5F">
          <w:rPr>
            <w:b/>
            <w:color w:val="0000FF"/>
            <w:u w:val="single"/>
            <w:lang w:val="en-US" w:eastAsia="ja-JP"/>
          </w:rPr>
          <w:t> </w:t>
        </w:r>
        <w:r w:rsidR="000A343D" w:rsidRPr="000A343D">
          <w:rPr>
            <w:b/>
            <w:color w:val="0000FF"/>
            <w:u w:val="single"/>
            <w:lang w:val="en-US" w:eastAsia="ja-JP"/>
          </w:rPr>
          <w:t>COM</w:t>
        </w:r>
        <w:r w:rsidR="00006C5F">
          <w:rPr>
            <w:b/>
            <w:color w:val="0000FF"/>
            <w:u w:val="single"/>
            <w:lang w:val="en-US" w:eastAsia="ja-JP"/>
          </w:rPr>
          <w:t> </w:t>
        </w:r>
        <w:r w:rsidR="000A343D" w:rsidRPr="000A343D">
          <w:rPr>
            <w:b/>
            <w:color w:val="0000FF"/>
            <w:u w:val="single"/>
            <w:lang w:val="en-US" w:eastAsia="ja-JP"/>
          </w:rPr>
          <w:t>7B.61</w:t>
        </w:r>
      </w:hyperlink>
      <w:r w:rsidR="00DC2656" w:rsidRPr="004E5FAC">
        <w:rPr>
          <w:lang w:val="en-US" w:eastAsia="ja-JP"/>
        </w:rPr>
        <w:t xml:space="preserve"> paragraph 10</w:t>
      </w:r>
      <w:r w:rsidR="00006C5F">
        <w:rPr>
          <w:lang w:val="en-US" w:eastAsia="ja-JP"/>
        </w:rPr>
        <w:t>) to provide a report on the state of conservation of</w:t>
      </w:r>
      <w:r w:rsidR="000046CF">
        <w:rPr>
          <w:lang w:val="en-US" w:eastAsia="ja-JP"/>
        </w:rPr>
        <w:t xml:space="preserve"> the Tasmanian Wilderness World Heritage Area</w:t>
      </w:r>
      <w:r w:rsidR="0003248B" w:rsidRPr="0003248B">
        <w:rPr>
          <w:lang w:eastAsia="ja-JP"/>
        </w:rPr>
        <w:t xml:space="preserve"> </w:t>
      </w:r>
      <w:r w:rsidR="0003248B">
        <w:rPr>
          <w:lang w:eastAsia="ja-JP"/>
        </w:rPr>
        <w:t>(the property).</w:t>
      </w:r>
      <w:r w:rsidR="0003248B">
        <w:rPr>
          <w:lang w:val="en-US" w:eastAsia="ja-JP"/>
        </w:rPr>
        <w:t xml:space="preserve"> It also </w:t>
      </w:r>
      <w:r w:rsidR="000A343D">
        <w:rPr>
          <w:lang w:val="en-US" w:eastAsia="ja-JP"/>
        </w:rPr>
        <w:t xml:space="preserve">provides an </w:t>
      </w:r>
      <w:r w:rsidR="000A343D" w:rsidRPr="004E5FAC">
        <w:rPr>
          <w:lang w:val="en-US" w:eastAsia="ja-JP"/>
        </w:rPr>
        <w:t xml:space="preserve">update on </w:t>
      </w:r>
      <w:r w:rsidR="000A343D">
        <w:rPr>
          <w:lang w:val="en-US" w:eastAsia="ja-JP"/>
        </w:rPr>
        <w:t>the</w:t>
      </w:r>
      <w:r w:rsidR="000A343D" w:rsidRPr="004E5FAC">
        <w:rPr>
          <w:lang w:val="en-US" w:eastAsia="ja-JP"/>
        </w:rPr>
        <w:t xml:space="preserve"> implementation of </w:t>
      </w:r>
      <w:r w:rsidR="000A343D">
        <w:rPr>
          <w:lang w:val="en-US" w:eastAsia="ja-JP"/>
        </w:rPr>
        <w:t xml:space="preserve">the </w:t>
      </w:r>
      <w:r w:rsidR="000A343D" w:rsidRPr="00B74CED">
        <w:rPr>
          <w:lang w:val="en-US" w:eastAsia="ja-JP"/>
        </w:rPr>
        <w:t>2016</w:t>
      </w:r>
      <w:r w:rsidR="000A343D">
        <w:rPr>
          <w:lang w:val="en-US" w:eastAsia="ja-JP"/>
        </w:rPr>
        <w:t xml:space="preserve"> </w:t>
      </w:r>
      <w:r w:rsidR="000A343D" w:rsidRPr="004E5FAC">
        <w:rPr>
          <w:lang w:val="en-US" w:eastAsia="ja-JP"/>
        </w:rPr>
        <w:t xml:space="preserve">World Heritage Committee </w:t>
      </w:r>
      <w:r w:rsidR="000A343D" w:rsidRPr="00B74CED">
        <w:rPr>
          <w:lang w:val="en-US" w:eastAsia="ja-JP"/>
        </w:rPr>
        <w:t>Decision </w:t>
      </w:r>
      <w:hyperlink r:id="rId22" w:history="1">
        <w:r w:rsidR="000A343D" w:rsidRPr="00EE530C">
          <w:rPr>
            <w:rStyle w:val="Hyperlink"/>
            <w:rFonts w:cs="Times New Roman"/>
            <w:b/>
            <w:lang w:val="en-US" w:eastAsia="ja-JP"/>
          </w:rPr>
          <w:t>40 COM 7B.66</w:t>
        </w:r>
      </w:hyperlink>
      <w:r w:rsidR="0003248B">
        <w:rPr>
          <w:rStyle w:val="Hyperlink"/>
          <w:rFonts w:cs="Times New Roman"/>
          <w:b/>
          <w:lang w:val="en-US" w:eastAsia="ja-JP"/>
        </w:rPr>
        <w:t xml:space="preserve"> </w:t>
      </w:r>
      <w:r w:rsidR="0003248B">
        <w:rPr>
          <w:lang w:val="en-US" w:eastAsia="ja-JP"/>
        </w:rPr>
        <w:t>and i</w:t>
      </w:r>
      <w:r w:rsidR="000A343D">
        <w:rPr>
          <w:lang w:val="en-US" w:eastAsia="ja-JP"/>
        </w:rPr>
        <w:t>mplementation of the</w:t>
      </w:r>
      <w:r w:rsidR="004E5FAC" w:rsidRPr="004E5FAC">
        <w:rPr>
          <w:lang w:val="en-US" w:eastAsia="ja-JP"/>
        </w:rPr>
        <w:t xml:space="preserve"> recommendations of the 2015 </w:t>
      </w:r>
      <w:r w:rsidR="004F4AB7" w:rsidRPr="00B74CED">
        <w:rPr>
          <w:lang w:eastAsia="ja-JP"/>
        </w:rPr>
        <w:t>Report of the joint ICOMOS</w:t>
      </w:r>
      <w:r w:rsidR="000A343D">
        <w:rPr>
          <w:lang w:eastAsia="ja-JP"/>
        </w:rPr>
        <w:t xml:space="preserve"> </w:t>
      </w:r>
      <w:r w:rsidR="004F4AB7" w:rsidRPr="00B74CED">
        <w:rPr>
          <w:lang w:eastAsia="ja-JP"/>
        </w:rPr>
        <w:t>/</w:t>
      </w:r>
      <w:r w:rsidR="000A343D">
        <w:rPr>
          <w:lang w:eastAsia="ja-JP"/>
        </w:rPr>
        <w:t xml:space="preserve"> </w:t>
      </w:r>
      <w:r w:rsidR="004F4AB7" w:rsidRPr="00B74CED">
        <w:rPr>
          <w:lang w:eastAsia="ja-JP"/>
        </w:rPr>
        <w:t xml:space="preserve">IUCN Reactive Monitoring </w:t>
      </w:r>
      <w:r w:rsidR="00700F2F">
        <w:rPr>
          <w:lang w:eastAsia="ja-JP"/>
        </w:rPr>
        <w:t>M</w:t>
      </w:r>
      <w:r w:rsidR="004F4AB7" w:rsidRPr="00B74CED">
        <w:rPr>
          <w:lang w:eastAsia="ja-JP"/>
        </w:rPr>
        <w:t>iss</w:t>
      </w:r>
      <w:r w:rsidR="005D7114">
        <w:rPr>
          <w:lang w:eastAsia="ja-JP"/>
        </w:rPr>
        <w:t xml:space="preserve">ion to the </w:t>
      </w:r>
      <w:r w:rsidR="007E0BD2">
        <w:rPr>
          <w:lang w:eastAsia="ja-JP"/>
        </w:rPr>
        <w:t>property</w:t>
      </w:r>
      <w:r w:rsidR="0081054D">
        <w:rPr>
          <w:lang w:val="en-US" w:eastAsia="ja-JP"/>
        </w:rPr>
        <w:t>.</w:t>
      </w:r>
    </w:p>
    <w:p w14:paraId="65B31D32" w14:textId="189D5649" w:rsidR="00471934" w:rsidRDefault="00471934" w:rsidP="00471934">
      <w:pPr>
        <w:spacing w:after="228"/>
        <w:ind w:right="329"/>
        <w:rPr>
          <w:lang w:eastAsia="ja-JP"/>
        </w:rPr>
      </w:pPr>
      <w:r>
        <w:rPr>
          <w:lang w:eastAsia="ja-JP"/>
        </w:rPr>
        <w:t xml:space="preserve">The Tasmanian Wilderness World Heritage Area </w:t>
      </w:r>
      <w:r w:rsidRPr="00C8648F">
        <w:rPr>
          <w:lang w:eastAsia="ja-JP"/>
        </w:rPr>
        <w:t>is one of the Southern Hemisphere’s largest temperate wilderness areas</w:t>
      </w:r>
      <w:r>
        <w:rPr>
          <w:lang w:eastAsia="ja-JP"/>
        </w:rPr>
        <w:t>, encompassing</w:t>
      </w:r>
      <w:r w:rsidRPr="00C8648F">
        <w:rPr>
          <w:lang w:eastAsia="ja-JP"/>
        </w:rPr>
        <w:t xml:space="preserve"> more than 1.58 million hectares</w:t>
      </w:r>
      <w:r>
        <w:rPr>
          <w:lang w:eastAsia="ja-JP"/>
        </w:rPr>
        <w:t xml:space="preserve"> and covering</w:t>
      </w:r>
      <w:r w:rsidRPr="00C8648F">
        <w:rPr>
          <w:lang w:eastAsia="ja-JP"/>
        </w:rPr>
        <w:t xml:space="preserve"> almost a qua</w:t>
      </w:r>
      <w:r>
        <w:rPr>
          <w:lang w:eastAsia="ja-JP"/>
        </w:rPr>
        <w:t>rter of the state of Tasmania</w:t>
      </w:r>
      <w:r w:rsidRPr="00C8648F">
        <w:rPr>
          <w:lang w:eastAsia="ja-JP"/>
        </w:rPr>
        <w:t>.</w:t>
      </w:r>
      <w:r>
        <w:rPr>
          <w:lang w:eastAsia="ja-JP"/>
        </w:rPr>
        <w:t xml:space="preserve"> It i</w:t>
      </w:r>
      <w:r w:rsidRPr="005D7114">
        <w:rPr>
          <w:lang w:eastAsia="ja-JP"/>
        </w:rPr>
        <w:t>s recognised as having natural and cultural heritage of O</w:t>
      </w:r>
      <w:r>
        <w:rPr>
          <w:lang w:eastAsia="ja-JP"/>
        </w:rPr>
        <w:t xml:space="preserve">utstanding Universal Value and is </w:t>
      </w:r>
      <w:r w:rsidRPr="005D7114">
        <w:rPr>
          <w:lang w:eastAsia="ja-JP"/>
        </w:rPr>
        <w:t xml:space="preserve">one of only two World Heritage properties that meet </w:t>
      </w:r>
      <w:r>
        <w:rPr>
          <w:lang w:eastAsia="ja-JP"/>
        </w:rPr>
        <w:t>seven</w:t>
      </w:r>
      <w:r w:rsidRPr="005D7114">
        <w:rPr>
          <w:lang w:eastAsia="ja-JP"/>
        </w:rPr>
        <w:t xml:space="preserve"> </w:t>
      </w:r>
      <w:r>
        <w:rPr>
          <w:lang w:eastAsia="ja-JP"/>
        </w:rPr>
        <w:t xml:space="preserve">World Heritage criteria (the other is </w:t>
      </w:r>
      <w:r w:rsidRPr="005D7114">
        <w:rPr>
          <w:lang w:val="en" w:eastAsia="ja-JP"/>
        </w:rPr>
        <w:t xml:space="preserve">Mount </w:t>
      </w:r>
      <w:proofErr w:type="spellStart"/>
      <w:r w:rsidRPr="005D7114">
        <w:rPr>
          <w:lang w:val="en" w:eastAsia="ja-JP"/>
        </w:rPr>
        <w:t>Taishan</w:t>
      </w:r>
      <w:proofErr w:type="spellEnd"/>
      <w:r>
        <w:rPr>
          <w:lang w:val="en" w:eastAsia="ja-JP"/>
        </w:rPr>
        <w:t>, China)</w:t>
      </w:r>
      <w:r w:rsidRPr="005D7114">
        <w:rPr>
          <w:lang w:eastAsia="ja-JP"/>
        </w:rPr>
        <w:t xml:space="preserve">. </w:t>
      </w:r>
    </w:p>
    <w:p w14:paraId="2373EA12" w14:textId="1DCCF8A9" w:rsidR="00471934" w:rsidRDefault="00471934" w:rsidP="00471934">
      <w:pPr>
        <w:spacing w:after="228"/>
        <w:ind w:right="329"/>
        <w:rPr>
          <w:lang w:eastAsia="ja-JP"/>
        </w:rPr>
      </w:pPr>
      <w:r w:rsidRPr="005D7114">
        <w:rPr>
          <w:lang w:eastAsia="ja-JP"/>
        </w:rPr>
        <w:t xml:space="preserve">The </w:t>
      </w:r>
      <w:r>
        <w:rPr>
          <w:lang w:eastAsia="ja-JP"/>
        </w:rPr>
        <w:t xml:space="preserve">property has a </w:t>
      </w:r>
      <w:r w:rsidRPr="00C8648F">
        <w:rPr>
          <w:lang w:eastAsia="ja-JP"/>
        </w:rPr>
        <w:t>robust system of protection and management</w:t>
      </w:r>
      <w:r>
        <w:rPr>
          <w:lang w:eastAsia="ja-JP"/>
        </w:rPr>
        <w:t xml:space="preserve"> in place. </w:t>
      </w:r>
      <w:r w:rsidRPr="00ED7D74">
        <w:rPr>
          <w:lang w:eastAsia="ja-JP"/>
        </w:rPr>
        <w:t xml:space="preserve">The </w:t>
      </w:r>
      <w:r w:rsidRPr="006E4F13">
        <w:rPr>
          <w:i/>
        </w:rPr>
        <w:t>Tasmanian Wilderness World Heritage Area Management Plan</w:t>
      </w:r>
      <w:r w:rsidRPr="00ED7D74">
        <w:rPr>
          <w:lang w:eastAsia="ja-JP"/>
        </w:rPr>
        <w:t xml:space="preserve"> came into effect </w:t>
      </w:r>
      <w:r>
        <w:rPr>
          <w:lang w:eastAsia="ja-JP"/>
        </w:rPr>
        <w:t>in</w:t>
      </w:r>
      <w:r w:rsidRPr="00ED7D74">
        <w:rPr>
          <w:lang w:eastAsia="ja-JP"/>
        </w:rPr>
        <w:t xml:space="preserve"> December 2016. </w:t>
      </w:r>
      <w:r>
        <w:rPr>
          <w:lang w:eastAsia="ja-JP"/>
        </w:rPr>
        <w:t>This</w:t>
      </w:r>
      <w:r w:rsidRPr="00ED7D74">
        <w:rPr>
          <w:lang w:eastAsia="ja-JP"/>
        </w:rPr>
        <w:t xml:space="preserve"> Management Plan meets the legislative requirements of the Tasma</w:t>
      </w:r>
      <w:r>
        <w:rPr>
          <w:lang w:eastAsia="ja-JP"/>
        </w:rPr>
        <w:t>nian and Australian governments and is guiding the actions encouraged by the</w:t>
      </w:r>
      <w:r w:rsidRPr="008612F5">
        <w:rPr>
          <w:lang w:val="en-US" w:eastAsia="ja-JP"/>
        </w:rPr>
        <w:t xml:space="preserve"> World Heritage Committee</w:t>
      </w:r>
      <w:r>
        <w:rPr>
          <w:lang w:eastAsia="ja-JP"/>
        </w:rPr>
        <w:t xml:space="preserve">. </w:t>
      </w:r>
    </w:p>
    <w:p w14:paraId="4AAE817C" w14:textId="4D301084" w:rsidR="00EE530C" w:rsidRDefault="0003248B" w:rsidP="00F955E3">
      <w:pPr>
        <w:spacing w:after="228"/>
        <w:ind w:right="329"/>
        <w:rPr>
          <w:lang w:val="en-US" w:eastAsia="ja-JP"/>
        </w:rPr>
      </w:pPr>
      <w:r>
        <w:rPr>
          <w:lang w:eastAsia="ja-JP"/>
        </w:rPr>
        <w:t xml:space="preserve">The Australian and Tasmanian governments have made significant progress in responding to </w:t>
      </w:r>
      <w:r w:rsidR="007E0BD2">
        <w:rPr>
          <w:lang w:eastAsia="ja-JP"/>
        </w:rPr>
        <w:t xml:space="preserve">the </w:t>
      </w:r>
      <w:r>
        <w:rPr>
          <w:lang w:eastAsia="ja-JP"/>
        </w:rPr>
        <w:t>recommendations from the 2</w:t>
      </w:r>
      <w:r w:rsidR="0095659A">
        <w:rPr>
          <w:lang w:eastAsia="ja-JP"/>
        </w:rPr>
        <w:t xml:space="preserve">015 Reactive Monitoring Mission. </w:t>
      </w:r>
      <w:r>
        <w:rPr>
          <w:lang w:eastAsia="ja-JP"/>
        </w:rPr>
        <w:t xml:space="preserve">The </w:t>
      </w:r>
      <w:r w:rsidR="007E0BD2">
        <w:rPr>
          <w:lang w:eastAsia="ja-JP"/>
        </w:rPr>
        <w:t>requests</w:t>
      </w:r>
      <w:r>
        <w:rPr>
          <w:lang w:eastAsia="ja-JP"/>
        </w:rPr>
        <w:t xml:space="preserve"> of the subsequent 2016 and 2018 decisions of the World Heritage Committee are also being actively addressed. </w:t>
      </w:r>
      <w:r>
        <w:rPr>
          <w:lang w:val="en-US" w:eastAsia="ja-JP"/>
        </w:rPr>
        <w:t>M</w:t>
      </w:r>
      <w:r w:rsidR="00EE530C">
        <w:rPr>
          <w:lang w:val="en-US" w:eastAsia="ja-JP"/>
        </w:rPr>
        <w:t>ost have been fully implemented</w:t>
      </w:r>
      <w:r w:rsidR="005D5115">
        <w:rPr>
          <w:lang w:val="en-US" w:eastAsia="ja-JP"/>
        </w:rPr>
        <w:t>,</w:t>
      </w:r>
      <w:r w:rsidR="00EE530C">
        <w:rPr>
          <w:lang w:val="en-US" w:eastAsia="ja-JP"/>
        </w:rPr>
        <w:t xml:space="preserve"> and all others are in the process of being implemented.</w:t>
      </w:r>
    </w:p>
    <w:p w14:paraId="2DE31A63" w14:textId="61411F5A" w:rsidR="0003248B" w:rsidRDefault="0003248B" w:rsidP="0003248B">
      <w:pPr>
        <w:spacing w:after="228"/>
        <w:ind w:right="329"/>
        <w:rPr>
          <w:lang w:eastAsia="ja-JP"/>
        </w:rPr>
      </w:pPr>
      <w:r>
        <w:rPr>
          <w:lang w:eastAsia="ja-JP"/>
        </w:rPr>
        <w:t xml:space="preserve">Improved engagement with Tasmanian Aboriginal people and better understanding and protection of their cultural heritage within the </w:t>
      </w:r>
      <w:r w:rsidR="00700F2F">
        <w:rPr>
          <w:lang w:eastAsia="ja-JP"/>
        </w:rPr>
        <w:t>property</w:t>
      </w:r>
      <w:r w:rsidR="00FD4A63" w:rsidRPr="00FD4A63">
        <w:rPr>
          <w:lang w:eastAsia="ja-JP"/>
        </w:rPr>
        <w:t xml:space="preserve"> </w:t>
      </w:r>
      <w:r w:rsidR="00471934">
        <w:rPr>
          <w:lang w:eastAsia="ja-JP"/>
        </w:rPr>
        <w:t>is</w:t>
      </w:r>
      <w:r>
        <w:rPr>
          <w:lang w:eastAsia="ja-JP"/>
        </w:rPr>
        <w:t xml:space="preserve"> a major </w:t>
      </w:r>
      <w:r w:rsidR="00471934">
        <w:rPr>
          <w:lang w:eastAsia="ja-JP"/>
        </w:rPr>
        <w:t>achievement</w:t>
      </w:r>
      <w:r>
        <w:rPr>
          <w:lang w:eastAsia="ja-JP"/>
        </w:rPr>
        <w:t xml:space="preserve">. </w:t>
      </w:r>
      <w:r w:rsidR="00471934">
        <w:rPr>
          <w:lang w:eastAsia="ja-JP"/>
        </w:rPr>
        <w:t>P</w:t>
      </w:r>
      <w:r>
        <w:rPr>
          <w:lang w:eastAsia="ja-JP"/>
        </w:rPr>
        <w:t xml:space="preserve">rogress is significant and ongoing. Cultural heritage specialists are on staff and are involved in the protection and management of the </w:t>
      </w:r>
      <w:r w:rsidR="0095659A">
        <w:rPr>
          <w:lang w:eastAsia="ja-JP"/>
        </w:rPr>
        <w:t>property</w:t>
      </w:r>
      <w:r>
        <w:rPr>
          <w:lang w:eastAsia="ja-JP"/>
        </w:rPr>
        <w:t>.</w:t>
      </w:r>
      <w:r w:rsidR="0095659A" w:rsidRPr="0095659A">
        <w:rPr>
          <w:lang w:eastAsia="ja-JP"/>
        </w:rPr>
        <w:t xml:space="preserve"> </w:t>
      </w:r>
      <w:r w:rsidR="0095659A" w:rsidRPr="00ED1723">
        <w:rPr>
          <w:lang w:eastAsia="ja-JP"/>
        </w:rPr>
        <w:t xml:space="preserve">A policy to guide the identification of a dual name for the World Heritage property </w:t>
      </w:r>
      <w:r w:rsidR="0095659A">
        <w:rPr>
          <w:lang w:eastAsia="ja-JP"/>
        </w:rPr>
        <w:t xml:space="preserve">has been prepared </w:t>
      </w:r>
      <w:r w:rsidR="0095659A" w:rsidRPr="00ED1723">
        <w:rPr>
          <w:lang w:eastAsia="ja-JP"/>
        </w:rPr>
        <w:t>in consultation with the Tasmanian Aboriginal community</w:t>
      </w:r>
      <w:r w:rsidR="0095659A">
        <w:rPr>
          <w:lang w:eastAsia="ja-JP"/>
        </w:rPr>
        <w:t xml:space="preserve"> and</w:t>
      </w:r>
      <w:r w:rsidR="0095659A" w:rsidRPr="00ED1723">
        <w:rPr>
          <w:lang w:eastAsia="ja-JP"/>
        </w:rPr>
        <w:t xml:space="preserve"> is now in place.</w:t>
      </w:r>
    </w:p>
    <w:p w14:paraId="3973728F" w14:textId="28F17593" w:rsidR="004000C8" w:rsidRPr="00ED7D74" w:rsidRDefault="00EF432D" w:rsidP="00127FA8">
      <w:pPr>
        <w:spacing w:after="228"/>
        <w:ind w:right="329"/>
        <w:rPr>
          <w:lang w:eastAsia="ja-JP"/>
        </w:rPr>
      </w:pPr>
      <w:r>
        <w:rPr>
          <w:lang w:eastAsia="ja-JP"/>
        </w:rPr>
        <w:t xml:space="preserve">The </w:t>
      </w:r>
      <w:r w:rsidRPr="00EF432D">
        <w:rPr>
          <w:lang w:eastAsia="ja-JP"/>
        </w:rPr>
        <w:t xml:space="preserve">2016 Management Plan and </w:t>
      </w:r>
      <w:r>
        <w:rPr>
          <w:lang w:eastAsia="ja-JP"/>
        </w:rPr>
        <w:t xml:space="preserve">accompanying </w:t>
      </w:r>
      <w:r w:rsidRPr="00EF432D">
        <w:rPr>
          <w:lang w:eastAsia="ja-JP"/>
        </w:rPr>
        <w:t xml:space="preserve">Strategic Management Statement rule out </w:t>
      </w:r>
      <w:r w:rsidR="00471934">
        <w:rPr>
          <w:lang w:eastAsia="ja-JP"/>
        </w:rPr>
        <w:t xml:space="preserve">mining and </w:t>
      </w:r>
      <w:r w:rsidRPr="00EF432D">
        <w:rPr>
          <w:lang w:eastAsia="ja-JP"/>
        </w:rPr>
        <w:t>commercial logging, including harvesting of special species timber</w:t>
      </w:r>
      <w:r>
        <w:rPr>
          <w:lang w:eastAsia="ja-JP"/>
        </w:rPr>
        <w:t xml:space="preserve">s, in the whole of the </w:t>
      </w:r>
      <w:r w:rsidR="00700F2F">
        <w:rPr>
          <w:lang w:eastAsia="ja-JP"/>
        </w:rPr>
        <w:t>property</w:t>
      </w:r>
      <w:r>
        <w:rPr>
          <w:lang w:eastAsia="ja-JP"/>
        </w:rPr>
        <w:t xml:space="preserve">. The </w:t>
      </w:r>
      <w:r w:rsidRPr="004000C8">
        <w:rPr>
          <w:lang w:eastAsia="ja-JP"/>
        </w:rPr>
        <w:t xml:space="preserve">Tasmanian Government is </w:t>
      </w:r>
      <w:r>
        <w:rPr>
          <w:lang w:eastAsia="ja-JP"/>
        </w:rPr>
        <w:t xml:space="preserve">now </w:t>
      </w:r>
      <w:r w:rsidRPr="004000C8">
        <w:rPr>
          <w:lang w:eastAsia="ja-JP"/>
        </w:rPr>
        <w:t xml:space="preserve">conducting a two stage process </w:t>
      </w:r>
      <w:r>
        <w:rPr>
          <w:lang w:eastAsia="ja-JP"/>
        </w:rPr>
        <w:t>to proclaim</w:t>
      </w:r>
      <w:r w:rsidRPr="004000C8">
        <w:rPr>
          <w:lang w:eastAsia="ja-JP"/>
        </w:rPr>
        <w:t xml:space="preserve"> </w:t>
      </w:r>
      <w:r>
        <w:rPr>
          <w:lang w:eastAsia="ja-JP"/>
        </w:rPr>
        <w:t xml:space="preserve">land </w:t>
      </w:r>
      <w:r w:rsidR="00471934">
        <w:rPr>
          <w:lang w:eastAsia="ja-JP"/>
        </w:rPr>
        <w:t xml:space="preserve">previously </w:t>
      </w:r>
      <w:r>
        <w:rPr>
          <w:lang w:eastAsia="ja-JP"/>
        </w:rPr>
        <w:t>zoned as timber production</w:t>
      </w:r>
      <w:r w:rsidRPr="004000C8">
        <w:rPr>
          <w:lang w:eastAsia="ja-JP"/>
        </w:rPr>
        <w:t xml:space="preserve"> as reserved land</w:t>
      </w:r>
      <w:r>
        <w:rPr>
          <w:lang w:eastAsia="ja-JP"/>
        </w:rPr>
        <w:t xml:space="preserve">, allowing these areas to be managed in </w:t>
      </w:r>
      <w:r w:rsidRPr="00EF432D">
        <w:rPr>
          <w:lang w:eastAsia="ja-JP"/>
        </w:rPr>
        <w:t>accordance with the 2016 Management Plan</w:t>
      </w:r>
      <w:r>
        <w:rPr>
          <w:lang w:eastAsia="ja-JP"/>
        </w:rPr>
        <w:t>.</w:t>
      </w:r>
    </w:p>
    <w:p w14:paraId="2A88C506" w14:textId="754DC9BD" w:rsidR="00EF432D" w:rsidRDefault="0003248B" w:rsidP="0003248B">
      <w:pPr>
        <w:spacing w:after="228"/>
        <w:ind w:right="329"/>
        <w:rPr>
          <w:lang w:eastAsia="ja-JP"/>
        </w:rPr>
      </w:pPr>
      <w:r>
        <w:rPr>
          <w:lang w:eastAsia="ja-JP"/>
        </w:rPr>
        <w:t xml:space="preserve">Other achievements </w:t>
      </w:r>
      <w:r w:rsidR="0095659A">
        <w:rPr>
          <w:lang w:eastAsia="ja-JP"/>
        </w:rPr>
        <w:t xml:space="preserve">described in this report </w:t>
      </w:r>
      <w:r>
        <w:rPr>
          <w:lang w:eastAsia="ja-JP"/>
        </w:rPr>
        <w:t xml:space="preserve">include significant work towards development of a Tourism Master Plan for the </w:t>
      </w:r>
      <w:r w:rsidR="00700F2F">
        <w:rPr>
          <w:lang w:eastAsia="ja-JP"/>
        </w:rPr>
        <w:t>property</w:t>
      </w:r>
      <w:r w:rsidR="00EF432D" w:rsidRPr="0000142D">
        <w:rPr>
          <w:lang w:eastAsia="ja-JP"/>
        </w:rPr>
        <w:t xml:space="preserve"> </w:t>
      </w:r>
      <w:r w:rsidR="00EF432D">
        <w:rPr>
          <w:lang w:eastAsia="ja-JP"/>
        </w:rPr>
        <w:t xml:space="preserve">in </w:t>
      </w:r>
      <w:r w:rsidR="001E4A8C">
        <w:rPr>
          <w:lang w:eastAsia="ja-JP"/>
        </w:rPr>
        <w:t>consultation</w:t>
      </w:r>
      <w:r w:rsidR="00EF432D">
        <w:rPr>
          <w:lang w:eastAsia="ja-JP"/>
        </w:rPr>
        <w:t xml:space="preserve"> with the </w:t>
      </w:r>
      <w:r w:rsidR="001E4A8C">
        <w:rPr>
          <w:lang w:eastAsia="ja-JP"/>
        </w:rPr>
        <w:t>Tasmanian</w:t>
      </w:r>
      <w:r w:rsidR="00EF432D">
        <w:rPr>
          <w:lang w:eastAsia="ja-JP"/>
        </w:rPr>
        <w:t xml:space="preserve"> community</w:t>
      </w:r>
      <w:r w:rsidR="00EF432D" w:rsidRPr="005B7683">
        <w:rPr>
          <w:lang w:eastAsia="ja-JP"/>
        </w:rPr>
        <w:t xml:space="preserve"> </w:t>
      </w:r>
      <w:r w:rsidR="00EF432D">
        <w:rPr>
          <w:lang w:eastAsia="ja-JP"/>
        </w:rPr>
        <w:t xml:space="preserve">and </w:t>
      </w:r>
      <w:r w:rsidR="00EF432D" w:rsidRPr="0000142D">
        <w:rPr>
          <w:lang w:eastAsia="ja-JP"/>
        </w:rPr>
        <w:t>within the planning framework provided by the 2016 Management Plan</w:t>
      </w:r>
      <w:r w:rsidR="00EF432D">
        <w:rPr>
          <w:lang w:eastAsia="ja-JP"/>
        </w:rPr>
        <w:t>. It</w:t>
      </w:r>
      <w:r w:rsidR="00EF432D" w:rsidRPr="005B7683">
        <w:rPr>
          <w:lang w:eastAsia="ja-JP"/>
        </w:rPr>
        <w:t xml:space="preserve"> </w:t>
      </w:r>
      <w:r w:rsidR="00EF432D">
        <w:rPr>
          <w:lang w:eastAsia="ja-JP"/>
        </w:rPr>
        <w:t xml:space="preserve">will </w:t>
      </w:r>
      <w:r w:rsidR="00EF432D" w:rsidRPr="0000142D">
        <w:rPr>
          <w:lang w:eastAsia="ja-JP"/>
        </w:rPr>
        <w:t>provide guidance, context and policy direction for tourism and recreation</w:t>
      </w:r>
      <w:r w:rsidR="00EF432D">
        <w:rPr>
          <w:lang w:eastAsia="ja-JP"/>
        </w:rPr>
        <w:t xml:space="preserve"> across the property</w:t>
      </w:r>
      <w:r w:rsidR="001E4A8C">
        <w:rPr>
          <w:lang w:eastAsia="ja-JP"/>
        </w:rPr>
        <w:t>.</w:t>
      </w:r>
    </w:p>
    <w:p w14:paraId="7115B326" w14:textId="76C652C9" w:rsidR="0003248B" w:rsidRPr="002E7B89" w:rsidRDefault="0003248B" w:rsidP="0003248B">
      <w:pPr>
        <w:spacing w:after="228"/>
        <w:ind w:right="329"/>
        <w:rPr>
          <w:lang w:eastAsia="ja-JP"/>
        </w:rPr>
      </w:pPr>
      <w:r w:rsidRPr="00693B13">
        <w:rPr>
          <w:lang w:eastAsia="ja-JP"/>
        </w:rPr>
        <w:t xml:space="preserve">Fire is </w:t>
      </w:r>
      <w:r>
        <w:rPr>
          <w:lang w:eastAsia="ja-JP"/>
        </w:rPr>
        <w:t xml:space="preserve">one of </w:t>
      </w:r>
      <w:r w:rsidRPr="00693B13">
        <w:rPr>
          <w:lang w:eastAsia="ja-JP"/>
        </w:rPr>
        <w:t>the greatest challenge</w:t>
      </w:r>
      <w:r>
        <w:rPr>
          <w:lang w:eastAsia="ja-JP"/>
        </w:rPr>
        <w:t>s</w:t>
      </w:r>
      <w:r w:rsidRPr="00693B13">
        <w:rPr>
          <w:lang w:eastAsia="ja-JP"/>
        </w:rPr>
        <w:t xml:space="preserve"> for the management of the </w:t>
      </w:r>
      <w:r w:rsidR="00700F2F">
        <w:rPr>
          <w:lang w:eastAsia="ja-JP"/>
        </w:rPr>
        <w:t>property</w:t>
      </w:r>
      <w:r w:rsidRPr="00693B13">
        <w:rPr>
          <w:lang w:eastAsia="ja-JP"/>
        </w:rPr>
        <w:t>, particularly in the context of a changing climate.</w:t>
      </w:r>
      <w:r>
        <w:rPr>
          <w:lang w:eastAsia="ja-JP"/>
        </w:rPr>
        <w:t xml:space="preserve"> </w:t>
      </w:r>
      <w:r w:rsidRPr="001E4A8C">
        <w:rPr>
          <w:lang w:eastAsia="ja-JP"/>
        </w:rPr>
        <w:t xml:space="preserve">The property experienced significant fires in 2016 and again in 2019. </w:t>
      </w:r>
      <w:r>
        <w:rPr>
          <w:lang w:eastAsia="ja-JP"/>
        </w:rPr>
        <w:t>Lessons learned from the</w:t>
      </w:r>
      <w:r w:rsidRPr="001E4A8C">
        <w:rPr>
          <w:lang w:eastAsia="ja-JP"/>
        </w:rPr>
        <w:t xml:space="preserve"> 2016 </w:t>
      </w:r>
      <w:r>
        <w:rPr>
          <w:lang w:eastAsia="ja-JP"/>
        </w:rPr>
        <w:t xml:space="preserve">fires </w:t>
      </w:r>
      <w:r w:rsidRPr="001E4A8C">
        <w:rPr>
          <w:lang w:eastAsia="ja-JP"/>
        </w:rPr>
        <w:t>helped with preparation and response capacity during the even more extensive 2019 fires.</w:t>
      </w:r>
    </w:p>
    <w:p w14:paraId="66CE0361" w14:textId="32511C7A" w:rsidR="00541A00" w:rsidRPr="00B74CED" w:rsidRDefault="00693B13" w:rsidP="00127FA8">
      <w:pPr>
        <w:spacing w:after="228"/>
        <w:ind w:right="329"/>
        <w:rPr>
          <w:lang w:val="en-US" w:eastAsia="ja-JP"/>
        </w:rPr>
      </w:pPr>
      <w:r w:rsidRPr="00412ADC">
        <w:rPr>
          <w:lang w:eastAsia="ja-JP"/>
        </w:rPr>
        <w:t xml:space="preserve">A draft Statement of Outstanding </w:t>
      </w:r>
      <w:r w:rsidR="001E4A8C" w:rsidRPr="00412ADC">
        <w:rPr>
          <w:lang w:eastAsia="ja-JP"/>
        </w:rPr>
        <w:t>Universal</w:t>
      </w:r>
      <w:r w:rsidR="003536B4">
        <w:rPr>
          <w:lang w:eastAsia="ja-JP"/>
        </w:rPr>
        <w:t xml:space="preserve"> Value</w:t>
      </w:r>
      <w:r w:rsidRPr="00412ADC">
        <w:rPr>
          <w:lang w:eastAsia="ja-JP"/>
        </w:rPr>
        <w:t xml:space="preserve"> </w:t>
      </w:r>
      <w:r w:rsidR="00EE530C" w:rsidRPr="00412ADC">
        <w:rPr>
          <w:lang w:eastAsia="ja-JP"/>
        </w:rPr>
        <w:t>has been prepared</w:t>
      </w:r>
      <w:r w:rsidR="009B2701" w:rsidRPr="00412ADC">
        <w:rPr>
          <w:rFonts w:cs="Arial"/>
          <w:color w:val="000000"/>
          <w:szCs w:val="20"/>
        </w:rPr>
        <w:t xml:space="preserve"> and </w:t>
      </w:r>
      <w:r w:rsidR="009B2701" w:rsidRPr="00412ADC">
        <w:rPr>
          <w:lang w:eastAsia="ja-JP"/>
        </w:rPr>
        <w:t>provided to the World Heritage Centre for review by the Advisory Bodies</w:t>
      </w:r>
      <w:r w:rsidR="000046CF" w:rsidRPr="00412ADC">
        <w:rPr>
          <w:lang w:eastAsia="ja-JP"/>
        </w:rPr>
        <w:t>.</w:t>
      </w:r>
    </w:p>
    <w:p w14:paraId="158DDBD6" w14:textId="17EC0ED1" w:rsidR="00DC2656" w:rsidRPr="00DC2656" w:rsidRDefault="00DC2656" w:rsidP="005E2F7D">
      <w:pPr>
        <w:spacing w:after="228"/>
        <w:ind w:right="329"/>
        <w:rPr>
          <w:lang w:eastAsia="ja-JP"/>
        </w:rPr>
        <w:sectPr w:rsidR="00DC2656" w:rsidRPr="00DC2656">
          <w:pgSz w:w="12240" w:h="15840"/>
          <w:pgMar w:top="1440" w:right="1440" w:bottom="1440" w:left="1440" w:header="708" w:footer="708" w:gutter="0"/>
          <w:cols w:space="708"/>
          <w:docGrid w:linePitch="360"/>
        </w:sectPr>
      </w:pPr>
    </w:p>
    <w:p w14:paraId="440075AC" w14:textId="77777777" w:rsidR="00AF505E" w:rsidRDefault="008F5ECC" w:rsidP="00A01202">
      <w:pPr>
        <w:pStyle w:val="Heading1"/>
        <w:numPr>
          <w:ilvl w:val="0"/>
          <w:numId w:val="0"/>
        </w:numPr>
        <w:spacing w:before="170"/>
      </w:pPr>
      <w:bookmarkStart w:id="14" w:name="_Toc484601098"/>
      <w:bookmarkStart w:id="15" w:name="_Toc488415802"/>
      <w:bookmarkStart w:id="16" w:name="_Toc5373732"/>
      <w:bookmarkStart w:id="17" w:name="_Toc19270648"/>
      <w:bookmarkStart w:id="18" w:name="_Toc22806693"/>
      <w:r w:rsidRPr="00D52FB7">
        <w:lastRenderedPageBreak/>
        <w:t>RÉSUMÉ</w:t>
      </w:r>
      <w:bookmarkEnd w:id="14"/>
      <w:bookmarkEnd w:id="15"/>
      <w:bookmarkEnd w:id="16"/>
      <w:bookmarkEnd w:id="17"/>
      <w:bookmarkEnd w:id="18"/>
    </w:p>
    <w:p w14:paraId="774E2C47" w14:textId="6786C4F1" w:rsidR="002A58D5" w:rsidRPr="00950CD9" w:rsidRDefault="002A58D5" w:rsidP="002A58D5">
      <w:pPr>
        <w:spacing w:before="170"/>
        <w:rPr>
          <w:lang w:val="fr-FR" w:eastAsia="ja-JP"/>
        </w:rPr>
      </w:pPr>
      <w:r>
        <w:rPr>
          <w:lang w:val="fr-FR" w:eastAsia="ja-JP"/>
        </w:rPr>
        <w:t xml:space="preserve">Ce </w:t>
      </w:r>
      <w:r w:rsidRPr="00950CD9">
        <w:rPr>
          <w:lang w:val="fr-FR" w:eastAsia="ja-JP"/>
        </w:rPr>
        <w:t xml:space="preserve">rapport répond à la demande </w:t>
      </w:r>
      <w:r>
        <w:rPr>
          <w:lang w:val="fr-FR" w:eastAsia="ja-JP"/>
        </w:rPr>
        <w:t>du</w:t>
      </w:r>
      <w:r w:rsidRPr="00950CD9">
        <w:rPr>
          <w:lang w:val="fr-FR" w:eastAsia="ja-JP"/>
        </w:rPr>
        <w:t xml:space="preserve"> Comité du patrimoine mondial </w:t>
      </w:r>
      <w:r>
        <w:rPr>
          <w:lang w:val="fr-FR" w:eastAsia="ja-JP"/>
        </w:rPr>
        <w:t xml:space="preserve">en 2018 </w:t>
      </w:r>
      <w:r w:rsidRPr="00950CD9">
        <w:rPr>
          <w:lang w:val="fr-FR" w:eastAsia="ja-JP"/>
        </w:rPr>
        <w:t>(Décision </w:t>
      </w:r>
      <w:hyperlink r:id="rId23" w:history="1">
        <w:r w:rsidRPr="00950CD9">
          <w:rPr>
            <w:b/>
            <w:color w:val="0000FF"/>
            <w:u w:val="single"/>
            <w:lang w:val="fr-FR" w:eastAsia="ja-JP"/>
          </w:rPr>
          <w:t>42 COM 7B.61</w:t>
        </w:r>
      </w:hyperlink>
      <w:r w:rsidRPr="00950CD9">
        <w:rPr>
          <w:lang w:val="fr-FR" w:eastAsia="ja-JP"/>
        </w:rPr>
        <w:t xml:space="preserve">, paragraphe 10) </w:t>
      </w:r>
      <w:r>
        <w:rPr>
          <w:lang w:val="fr-FR" w:eastAsia="ja-JP"/>
        </w:rPr>
        <w:t xml:space="preserve">de soumettre </w:t>
      </w:r>
      <w:r w:rsidRPr="00950CD9">
        <w:rPr>
          <w:lang w:val="fr-FR" w:eastAsia="ja-JP"/>
        </w:rPr>
        <w:t>un rapport sur l’état de conservation de la Zone de nature sauvage</w:t>
      </w:r>
      <w:r>
        <w:rPr>
          <w:lang w:val="fr-FR" w:eastAsia="ja-JP"/>
        </w:rPr>
        <w:t xml:space="preserve"> de</w:t>
      </w:r>
      <w:r w:rsidRPr="00950CD9">
        <w:rPr>
          <w:lang w:val="fr-FR" w:eastAsia="ja-JP"/>
        </w:rPr>
        <w:t xml:space="preserve"> </w:t>
      </w:r>
      <w:r>
        <w:rPr>
          <w:lang w:val="fr-FR" w:eastAsia="ja-JP"/>
        </w:rPr>
        <w:t xml:space="preserve">Tasmanie </w:t>
      </w:r>
      <w:r w:rsidRPr="00950CD9">
        <w:rPr>
          <w:lang w:val="fr-FR" w:eastAsia="ja-JP"/>
        </w:rPr>
        <w:t xml:space="preserve">(le </w:t>
      </w:r>
      <w:r>
        <w:rPr>
          <w:lang w:val="fr-FR" w:eastAsia="ja-JP"/>
        </w:rPr>
        <w:t>bien</w:t>
      </w:r>
      <w:r w:rsidRPr="00950CD9">
        <w:rPr>
          <w:lang w:val="fr-FR" w:eastAsia="ja-JP"/>
        </w:rPr>
        <w:t xml:space="preserve">). Il </w:t>
      </w:r>
      <w:r>
        <w:rPr>
          <w:lang w:val="fr-FR" w:eastAsia="ja-JP"/>
        </w:rPr>
        <w:t>fait</w:t>
      </w:r>
      <w:r w:rsidRPr="00950CD9">
        <w:rPr>
          <w:lang w:val="fr-FR" w:eastAsia="ja-JP"/>
        </w:rPr>
        <w:t xml:space="preserve"> également </w:t>
      </w:r>
      <w:r>
        <w:rPr>
          <w:lang w:val="fr-FR" w:eastAsia="ja-JP"/>
        </w:rPr>
        <w:t>le point sur la</w:t>
      </w:r>
      <w:r w:rsidRPr="00950CD9">
        <w:rPr>
          <w:lang w:val="fr-FR" w:eastAsia="ja-JP"/>
        </w:rPr>
        <w:t xml:space="preserve"> mise</w:t>
      </w:r>
      <w:r>
        <w:rPr>
          <w:lang w:val="fr-FR" w:eastAsia="ja-JP"/>
        </w:rPr>
        <w:t xml:space="preserve"> en œuvre </w:t>
      </w:r>
      <w:r w:rsidRPr="00950CD9">
        <w:rPr>
          <w:lang w:val="fr-FR" w:eastAsia="ja-JP"/>
        </w:rPr>
        <w:t xml:space="preserve">de la Décision </w:t>
      </w:r>
      <w:hyperlink r:id="rId24" w:history="1">
        <w:r w:rsidRPr="00950CD9">
          <w:rPr>
            <w:b/>
            <w:color w:val="0000FF"/>
            <w:u w:val="single"/>
            <w:lang w:val="fr-FR" w:eastAsia="ja-JP"/>
          </w:rPr>
          <w:t>40 COM 7B.66</w:t>
        </w:r>
      </w:hyperlink>
      <w:r w:rsidRPr="00950CD9">
        <w:rPr>
          <w:lang w:val="fr-FR" w:eastAsia="ja-JP"/>
        </w:rPr>
        <w:t xml:space="preserve"> prise en 2016 par le Comité du patrimoine mondial, ainsi que sur la mise en œuvre des recommandations de la Mission conjointe ICOMOS/IUCN suivi réactif du </w:t>
      </w:r>
      <w:r>
        <w:rPr>
          <w:lang w:val="fr-FR" w:eastAsia="ja-JP"/>
        </w:rPr>
        <w:t>bien en 2015</w:t>
      </w:r>
      <w:r w:rsidRPr="00950CD9">
        <w:rPr>
          <w:lang w:val="fr-FR" w:eastAsia="ja-JP"/>
        </w:rPr>
        <w:t>.</w:t>
      </w:r>
    </w:p>
    <w:p w14:paraId="0D0597C2" w14:textId="77777777" w:rsidR="002A58D5" w:rsidRPr="00950CD9" w:rsidRDefault="002A58D5" w:rsidP="002A58D5">
      <w:pPr>
        <w:spacing w:before="170"/>
        <w:rPr>
          <w:lang w:val="fr-FR" w:eastAsia="ja-JP"/>
        </w:rPr>
      </w:pPr>
      <w:r w:rsidRPr="00950CD9">
        <w:rPr>
          <w:lang w:val="fr-FR" w:eastAsia="ja-JP"/>
        </w:rPr>
        <w:t>La Zone de nature sauvage</w:t>
      </w:r>
      <w:r>
        <w:rPr>
          <w:lang w:val="fr-FR" w:eastAsia="ja-JP"/>
        </w:rPr>
        <w:t xml:space="preserve"> de Tasmanie</w:t>
      </w:r>
      <w:r w:rsidRPr="00950CD9">
        <w:rPr>
          <w:lang w:val="fr-FR" w:eastAsia="ja-JP"/>
        </w:rPr>
        <w:t xml:space="preserve"> est l’une des plus vastes </w:t>
      </w:r>
      <w:r>
        <w:rPr>
          <w:lang w:val="fr-FR" w:eastAsia="ja-JP"/>
        </w:rPr>
        <w:t xml:space="preserve">zones </w:t>
      </w:r>
      <w:r w:rsidRPr="00950CD9">
        <w:rPr>
          <w:lang w:val="fr-FR" w:eastAsia="ja-JP"/>
        </w:rPr>
        <w:t>de nature sauvage tempérée</w:t>
      </w:r>
      <w:r>
        <w:rPr>
          <w:lang w:val="fr-FR" w:eastAsia="ja-JP"/>
        </w:rPr>
        <w:t>s</w:t>
      </w:r>
      <w:r w:rsidRPr="00950CD9">
        <w:rPr>
          <w:lang w:val="fr-FR" w:eastAsia="ja-JP"/>
        </w:rPr>
        <w:t xml:space="preserve"> de l’hémisphère Sud : elle s’étend sur plus de 1,58 million d’hectares et couvre presque un quart de l’État de Tasmanie. Elle est reconnue comme ayant une valeur universelle exceptionnelle pour le patrimoine naturel et culturel, et représente l’un des deux </w:t>
      </w:r>
      <w:r>
        <w:rPr>
          <w:lang w:val="fr-FR" w:eastAsia="ja-JP"/>
        </w:rPr>
        <w:t>biens</w:t>
      </w:r>
      <w:r w:rsidRPr="00950CD9">
        <w:rPr>
          <w:lang w:val="fr-FR" w:eastAsia="ja-JP"/>
        </w:rPr>
        <w:t xml:space="preserve"> répondant à sept critères du Patrimoine mondial (l’autre étant le mont </w:t>
      </w:r>
      <w:proofErr w:type="spellStart"/>
      <w:r w:rsidRPr="00950CD9">
        <w:rPr>
          <w:lang w:val="fr-FR" w:eastAsia="ja-JP"/>
        </w:rPr>
        <w:t>Taishan</w:t>
      </w:r>
      <w:proofErr w:type="spellEnd"/>
      <w:r w:rsidRPr="00950CD9">
        <w:rPr>
          <w:lang w:val="fr-FR" w:eastAsia="ja-JP"/>
        </w:rPr>
        <w:t xml:space="preserve">, en Chine). </w:t>
      </w:r>
    </w:p>
    <w:p w14:paraId="2A9B999C" w14:textId="314218C1" w:rsidR="002A58D5" w:rsidRPr="00950CD9" w:rsidRDefault="002A58D5" w:rsidP="002A58D5">
      <w:pPr>
        <w:spacing w:before="170"/>
        <w:rPr>
          <w:lang w:val="fr-FR" w:eastAsia="ja-JP"/>
        </w:rPr>
      </w:pPr>
      <w:r>
        <w:rPr>
          <w:lang w:val="fr-FR" w:eastAsia="ja-JP"/>
        </w:rPr>
        <w:t>Le bien dispose</w:t>
      </w:r>
      <w:r w:rsidRPr="00950CD9">
        <w:rPr>
          <w:lang w:val="fr-FR" w:eastAsia="ja-JP"/>
        </w:rPr>
        <w:t xml:space="preserve"> d’un solide système de protection et de gestion. Le </w:t>
      </w:r>
      <w:r w:rsidRPr="00950CD9">
        <w:rPr>
          <w:i/>
          <w:lang w:val="fr-FR" w:eastAsia="ja-JP"/>
        </w:rPr>
        <w:t xml:space="preserve">Plan de gestion de la Zone de nature sauvage </w:t>
      </w:r>
      <w:r>
        <w:rPr>
          <w:i/>
          <w:lang w:val="fr-FR" w:eastAsia="ja-JP"/>
        </w:rPr>
        <w:t xml:space="preserve">de Tasmanie </w:t>
      </w:r>
      <w:r w:rsidRPr="00950CD9">
        <w:rPr>
          <w:i/>
          <w:lang w:val="fr-FR" w:eastAsia="ja-JP"/>
        </w:rPr>
        <w:t>du patrimoine mondial</w:t>
      </w:r>
      <w:r w:rsidRPr="00950CD9">
        <w:rPr>
          <w:lang w:val="fr-FR" w:eastAsia="ja-JP"/>
        </w:rPr>
        <w:t xml:space="preserve"> est entré en vigueur en décembre 2016. Ce plan de gestion est conforme aux exigences législatives des gouvernements </w:t>
      </w:r>
      <w:r>
        <w:rPr>
          <w:lang w:val="fr-FR" w:eastAsia="ja-JP"/>
        </w:rPr>
        <w:t>de l’Australie</w:t>
      </w:r>
      <w:r w:rsidRPr="00950CD9">
        <w:rPr>
          <w:lang w:val="fr-FR" w:eastAsia="ja-JP"/>
        </w:rPr>
        <w:t xml:space="preserve"> et </w:t>
      </w:r>
      <w:r>
        <w:rPr>
          <w:lang w:val="fr-FR" w:eastAsia="ja-JP"/>
        </w:rPr>
        <w:t>de Tasmanie</w:t>
      </w:r>
      <w:r w:rsidRPr="00950CD9">
        <w:rPr>
          <w:lang w:val="fr-FR" w:eastAsia="ja-JP"/>
        </w:rPr>
        <w:t xml:space="preserve">, et oriente les actions </w:t>
      </w:r>
      <w:r>
        <w:rPr>
          <w:lang w:val="fr-FR" w:eastAsia="ja-JP"/>
        </w:rPr>
        <w:t>encouragées</w:t>
      </w:r>
      <w:r w:rsidRPr="00950CD9">
        <w:rPr>
          <w:lang w:val="fr-FR" w:eastAsia="ja-JP"/>
        </w:rPr>
        <w:t xml:space="preserve"> par le Comité du patrimoine mondial. </w:t>
      </w:r>
    </w:p>
    <w:p w14:paraId="2E60CEFD" w14:textId="0884AC0F" w:rsidR="002A58D5" w:rsidRPr="00950CD9" w:rsidRDefault="002A58D5" w:rsidP="002A58D5">
      <w:pPr>
        <w:spacing w:before="170"/>
        <w:rPr>
          <w:lang w:val="fr-FR" w:eastAsia="ja-JP"/>
        </w:rPr>
      </w:pPr>
      <w:r w:rsidRPr="00950CD9">
        <w:rPr>
          <w:lang w:val="fr-FR" w:eastAsia="ja-JP"/>
        </w:rPr>
        <w:t xml:space="preserve">Les gouvernements </w:t>
      </w:r>
      <w:r>
        <w:rPr>
          <w:lang w:val="fr-FR" w:eastAsia="ja-JP"/>
        </w:rPr>
        <w:t>de l’Australie</w:t>
      </w:r>
      <w:r w:rsidRPr="00950CD9">
        <w:rPr>
          <w:lang w:val="fr-FR" w:eastAsia="ja-JP"/>
        </w:rPr>
        <w:t xml:space="preserve"> et </w:t>
      </w:r>
      <w:r>
        <w:rPr>
          <w:lang w:val="fr-FR" w:eastAsia="ja-JP"/>
        </w:rPr>
        <w:t>de Tasmanie</w:t>
      </w:r>
      <w:r w:rsidRPr="00950CD9">
        <w:rPr>
          <w:lang w:val="fr-FR" w:eastAsia="ja-JP"/>
        </w:rPr>
        <w:t xml:space="preserve"> ont fait des </w:t>
      </w:r>
      <w:r>
        <w:rPr>
          <w:lang w:val="fr-FR" w:eastAsia="ja-JP"/>
        </w:rPr>
        <w:t>progrès significatifs</w:t>
      </w:r>
      <w:r w:rsidRPr="00950CD9">
        <w:rPr>
          <w:lang w:val="fr-FR" w:eastAsia="ja-JP"/>
        </w:rPr>
        <w:t xml:space="preserve"> pour répondre aux recommandations </w:t>
      </w:r>
      <w:r>
        <w:rPr>
          <w:lang w:val="fr-FR" w:eastAsia="ja-JP"/>
        </w:rPr>
        <w:t>de</w:t>
      </w:r>
      <w:r w:rsidRPr="00950CD9">
        <w:rPr>
          <w:lang w:val="fr-FR" w:eastAsia="ja-JP"/>
        </w:rPr>
        <w:t xml:space="preserve"> la Mission de suivi réactif</w:t>
      </w:r>
      <w:r>
        <w:rPr>
          <w:lang w:val="fr-FR" w:eastAsia="ja-JP"/>
        </w:rPr>
        <w:t xml:space="preserve"> de 2015</w:t>
      </w:r>
      <w:r w:rsidRPr="00950CD9">
        <w:rPr>
          <w:lang w:val="fr-FR" w:eastAsia="ja-JP"/>
        </w:rPr>
        <w:t>. Les demandes formulées dans le cadre des décisions ultérieures de 2016 et 2018 par le Comité du patrimoine mondial sont également abordées de manière résolue. La plupart ont été intégralement mises en œuvre, les autres étant en cours d’exécution.</w:t>
      </w:r>
    </w:p>
    <w:p w14:paraId="52F1872B" w14:textId="4993EDA1" w:rsidR="002A58D5" w:rsidRPr="00950CD9" w:rsidRDefault="002A58D5" w:rsidP="002A58D5">
      <w:pPr>
        <w:spacing w:before="170"/>
        <w:rPr>
          <w:lang w:val="fr-FR" w:eastAsia="ja-JP"/>
        </w:rPr>
      </w:pPr>
      <w:r w:rsidRPr="00950CD9">
        <w:rPr>
          <w:lang w:val="fr-FR" w:eastAsia="ja-JP"/>
        </w:rPr>
        <w:t xml:space="preserve">Une concertation plus poussée avec les </w:t>
      </w:r>
      <w:r>
        <w:rPr>
          <w:lang w:val="fr-FR" w:eastAsia="ja-JP"/>
        </w:rPr>
        <w:t xml:space="preserve">peuples </w:t>
      </w:r>
      <w:r w:rsidRPr="00950CD9">
        <w:rPr>
          <w:lang w:val="fr-FR" w:eastAsia="ja-JP"/>
        </w:rPr>
        <w:t xml:space="preserve">Aborigènes de Tasmanie ainsi qu’une meilleure compréhension et </w:t>
      </w:r>
      <w:r>
        <w:rPr>
          <w:lang w:val="fr-FR" w:eastAsia="ja-JP"/>
        </w:rPr>
        <w:t>protection</w:t>
      </w:r>
      <w:r w:rsidRPr="00950CD9">
        <w:rPr>
          <w:lang w:val="fr-FR" w:eastAsia="ja-JP"/>
        </w:rPr>
        <w:t xml:space="preserve"> de leur patrimoine culturel au sein du </w:t>
      </w:r>
      <w:r>
        <w:rPr>
          <w:lang w:val="fr-FR" w:eastAsia="ja-JP"/>
        </w:rPr>
        <w:t>bien</w:t>
      </w:r>
      <w:r w:rsidRPr="00950CD9">
        <w:rPr>
          <w:lang w:val="fr-FR" w:eastAsia="ja-JP"/>
        </w:rPr>
        <w:t xml:space="preserve"> représentent un accomplissement majeur. Les avancées réalisées sont importantes et continues. Des experts du patrimoine culturel font partie de l’équipe en place et participent à la </w:t>
      </w:r>
      <w:r>
        <w:rPr>
          <w:lang w:val="fr-FR" w:eastAsia="ja-JP"/>
        </w:rPr>
        <w:t>protection</w:t>
      </w:r>
      <w:r w:rsidRPr="00950CD9">
        <w:rPr>
          <w:lang w:val="fr-FR" w:eastAsia="ja-JP"/>
        </w:rPr>
        <w:t xml:space="preserve"> et à la gestion du </w:t>
      </w:r>
      <w:r>
        <w:rPr>
          <w:lang w:val="fr-FR" w:eastAsia="ja-JP"/>
        </w:rPr>
        <w:t>bien</w:t>
      </w:r>
      <w:r w:rsidRPr="00950CD9">
        <w:rPr>
          <w:lang w:val="fr-FR" w:eastAsia="ja-JP"/>
        </w:rPr>
        <w:t xml:space="preserve">. Une stratégie pour guider l’identification d’un nom double pour </w:t>
      </w:r>
      <w:r>
        <w:rPr>
          <w:lang w:val="fr-FR" w:eastAsia="ja-JP"/>
        </w:rPr>
        <w:t xml:space="preserve">le bien </w:t>
      </w:r>
      <w:r w:rsidRPr="00950CD9">
        <w:rPr>
          <w:lang w:val="fr-FR" w:eastAsia="ja-JP"/>
        </w:rPr>
        <w:t xml:space="preserve">du Patrimoine mondial a été élaborée et mise en application, en consultation avec </w:t>
      </w:r>
      <w:r>
        <w:rPr>
          <w:lang w:val="fr-FR" w:eastAsia="ja-JP"/>
        </w:rPr>
        <w:t>les</w:t>
      </w:r>
      <w:r w:rsidRPr="00950CD9">
        <w:rPr>
          <w:lang w:val="fr-FR" w:eastAsia="ja-JP"/>
        </w:rPr>
        <w:t xml:space="preserve"> communauté</w:t>
      </w:r>
      <w:r>
        <w:rPr>
          <w:lang w:val="fr-FR" w:eastAsia="ja-JP"/>
        </w:rPr>
        <w:t>s</w:t>
      </w:r>
      <w:r w:rsidRPr="00950CD9">
        <w:rPr>
          <w:lang w:val="fr-FR" w:eastAsia="ja-JP"/>
        </w:rPr>
        <w:t xml:space="preserve"> aborigène</w:t>
      </w:r>
      <w:r>
        <w:rPr>
          <w:lang w:val="fr-FR" w:eastAsia="ja-JP"/>
        </w:rPr>
        <w:t>s</w:t>
      </w:r>
      <w:r w:rsidRPr="00950CD9">
        <w:rPr>
          <w:lang w:val="fr-FR" w:eastAsia="ja-JP"/>
        </w:rPr>
        <w:t xml:space="preserve"> de Tasmanie.</w:t>
      </w:r>
    </w:p>
    <w:p w14:paraId="16DB4C7F" w14:textId="77777777" w:rsidR="002A58D5" w:rsidRPr="00950CD9" w:rsidRDefault="002A58D5" w:rsidP="002A58D5">
      <w:pPr>
        <w:spacing w:before="170"/>
        <w:rPr>
          <w:lang w:val="fr-FR" w:eastAsia="ja-JP"/>
        </w:rPr>
      </w:pPr>
      <w:r w:rsidRPr="00950CD9">
        <w:rPr>
          <w:lang w:val="fr-FR" w:eastAsia="ja-JP"/>
        </w:rPr>
        <w:t>Le Plan de gestion de 2016 et la Déclaration de gestion stratégique qui l’accompagne interdisent, dans l’ensemble du</w:t>
      </w:r>
      <w:r>
        <w:rPr>
          <w:lang w:val="fr-FR" w:eastAsia="ja-JP"/>
        </w:rPr>
        <w:t xml:space="preserve"> bien</w:t>
      </w:r>
      <w:r w:rsidRPr="00950CD9">
        <w:rPr>
          <w:lang w:val="fr-FR" w:eastAsia="ja-JP"/>
        </w:rPr>
        <w:t xml:space="preserve">, les exploitations minières et forestières à des fins commerciales, y compris l’abattage d’espèces exceptionnelles. Le gouvernement </w:t>
      </w:r>
      <w:r>
        <w:rPr>
          <w:lang w:val="fr-FR" w:eastAsia="ja-JP"/>
        </w:rPr>
        <w:t>de Tasmanie</w:t>
      </w:r>
      <w:r w:rsidRPr="00950CD9">
        <w:rPr>
          <w:lang w:val="fr-FR" w:eastAsia="ja-JP"/>
        </w:rPr>
        <w:t xml:space="preserve"> met actuellement en place un processus en deux étapes visant à proclamer comme réserve des terres précédemment considérées comme exploitables pour la production de bois, permettant ainsi à ces zones d’être gouvernées par le Plan de gestion de 2016.</w:t>
      </w:r>
    </w:p>
    <w:p w14:paraId="76126FBD" w14:textId="046B78A8" w:rsidR="002A58D5" w:rsidRPr="00950CD9" w:rsidRDefault="002A58D5" w:rsidP="002A58D5">
      <w:pPr>
        <w:spacing w:before="170"/>
        <w:rPr>
          <w:lang w:val="fr-FR" w:eastAsia="ja-JP"/>
        </w:rPr>
      </w:pPr>
      <w:r w:rsidRPr="00950CD9">
        <w:rPr>
          <w:lang w:val="fr-FR" w:eastAsia="ja-JP"/>
        </w:rPr>
        <w:t>Les accomplissements décrits dans ce rapport comprennent également des avancées significatives vers la rédaction d’un Plan directeur en matière de tourisme pour le</w:t>
      </w:r>
      <w:r>
        <w:rPr>
          <w:lang w:val="fr-FR" w:eastAsia="ja-JP"/>
        </w:rPr>
        <w:t xml:space="preserve"> bien</w:t>
      </w:r>
      <w:r w:rsidRPr="00950CD9">
        <w:rPr>
          <w:lang w:val="fr-FR" w:eastAsia="ja-JP"/>
        </w:rPr>
        <w:t xml:space="preserve">, en consultation avec la communauté tasmanienne et dans les limites du cadre de planification établi par le Plan de gestion de 2016. Ce plan apportera des lignes directrices, un contexte et une orientation stratégique pour le tourisme et les loisirs dans l’ensemble du </w:t>
      </w:r>
      <w:r>
        <w:rPr>
          <w:lang w:val="fr-FR" w:eastAsia="ja-JP"/>
        </w:rPr>
        <w:t>bien</w:t>
      </w:r>
      <w:r w:rsidRPr="00950CD9">
        <w:rPr>
          <w:lang w:val="fr-FR" w:eastAsia="ja-JP"/>
        </w:rPr>
        <w:t>.</w:t>
      </w:r>
    </w:p>
    <w:p w14:paraId="3C558A11" w14:textId="7671BD57" w:rsidR="002A58D5" w:rsidRPr="00950CD9" w:rsidRDefault="002A58D5" w:rsidP="002A58D5">
      <w:pPr>
        <w:spacing w:before="170"/>
        <w:rPr>
          <w:lang w:val="fr-FR" w:eastAsia="ja-JP"/>
        </w:rPr>
      </w:pPr>
      <w:r w:rsidRPr="00950CD9">
        <w:rPr>
          <w:lang w:val="fr-FR" w:eastAsia="ja-JP"/>
        </w:rPr>
        <w:t xml:space="preserve">Les incendies représentent </w:t>
      </w:r>
      <w:r>
        <w:rPr>
          <w:lang w:val="fr-FR" w:eastAsia="ja-JP"/>
        </w:rPr>
        <w:t>l’</w:t>
      </w:r>
      <w:r w:rsidRPr="00950CD9">
        <w:rPr>
          <w:lang w:val="fr-FR" w:eastAsia="ja-JP"/>
        </w:rPr>
        <w:t xml:space="preserve">un </w:t>
      </w:r>
      <w:r>
        <w:rPr>
          <w:lang w:val="fr-FR" w:eastAsia="ja-JP"/>
        </w:rPr>
        <w:t>des plus grands défis</w:t>
      </w:r>
      <w:r w:rsidRPr="00950CD9">
        <w:rPr>
          <w:lang w:val="fr-FR" w:eastAsia="ja-JP"/>
        </w:rPr>
        <w:t xml:space="preserve"> pour la gestion du </w:t>
      </w:r>
      <w:r>
        <w:rPr>
          <w:lang w:val="fr-FR" w:eastAsia="ja-JP"/>
        </w:rPr>
        <w:t>bien</w:t>
      </w:r>
      <w:r w:rsidRPr="00950CD9">
        <w:rPr>
          <w:lang w:val="fr-FR" w:eastAsia="ja-JP"/>
        </w:rPr>
        <w:t xml:space="preserve">, notamment dans le contexte du changement climatique. Des incendies de grande ampleur ont affecté le </w:t>
      </w:r>
      <w:r>
        <w:rPr>
          <w:lang w:val="fr-FR" w:eastAsia="ja-JP"/>
        </w:rPr>
        <w:t>bien</w:t>
      </w:r>
      <w:r w:rsidRPr="00950CD9">
        <w:rPr>
          <w:lang w:val="fr-FR" w:eastAsia="ja-JP"/>
        </w:rPr>
        <w:t xml:space="preserve"> en 2016 et 2019. Les leçons tirées des incendies de 2016 ont été mises à profit en termes de préparation et de capacité de réaction lors des incendies encore plus dévastateurs de 2019.</w:t>
      </w:r>
    </w:p>
    <w:p w14:paraId="38288FA3" w14:textId="47A0310E" w:rsidR="009A40CE" w:rsidRDefault="002A58D5" w:rsidP="00A01202">
      <w:pPr>
        <w:spacing w:before="170"/>
      </w:pPr>
      <w:r>
        <w:rPr>
          <w:lang w:val="fr-FR" w:eastAsia="ja-JP"/>
        </w:rPr>
        <w:t xml:space="preserve">Un projet </w:t>
      </w:r>
      <w:r w:rsidRPr="00950CD9">
        <w:rPr>
          <w:lang w:val="fr-FR" w:eastAsia="ja-JP"/>
        </w:rPr>
        <w:t xml:space="preserve">de la Déclaration de valeur universelle exceptionnelle a été </w:t>
      </w:r>
      <w:proofErr w:type="gramStart"/>
      <w:r w:rsidRPr="00950CD9">
        <w:rPr>
          <w:lang w:val="fr-FR" w:eastAsia="ja-JP"/>
        </w:rPr>
        <w:t>rédigée</w:t>
      </w:r>
      <w:proofErr w:type="gramEnd"/>
      <w:r w:rsidRPr="00950CD9">
        <w:rPr>
          <w:lang w:val="fr-FR" w:eastAsia="ja-JP"/>
        </w:rPr>
        <w:t xml:space="preserve"> et </w:t>
      </w:r>
      <w:r>
        <w:rPr>
          <w:lang w:val="fr-FR" w:eastAsia="ja-JP"/>
        </w:rPr>
        <w:t>soumis au</w:t>
      </w:r>
      <w:r w:rsidRPr="00950CD9">
        <w:rPr>
          <w:lang w:val="fr-FR" w:eastAsia="ja-JP"/>
        </w:rPr>
        <w:t xml:space="preserve"> Centre du patrimoine mondial </w:t>
      </w:r>
      <w:r>
        <w:rPr>
          <w:lang w:val="fr-FR" w:eastAsia="ja-JP"/>
        </w:rPr>
        <w:t>pour</w:t>
      </w:r>
      <w:r w:rsidRPr="00950CD9">
        <w:rPr>
          <w:lang w:val="fr-FR" w:eastAsia="ja-JP"/>
        </w:rPr>
        <w:t xml:space="preserve"> examen par les organes consultatifs.</w:t>
      </w:r>
      <w:r w:rsidR="009A40CE">
        <w:br w:type="page"/>
      </w:r>
    </w:p>
    <w:p w14:paraId="08D5B2F5" w14:textId="01CE955F" w:rsidR="009C311D" w:rsidRDefault="009C311D" w:rsidP="00A01202">
      <w:pPr>
        <w:spacing w:before="170"/>
      </w:pPr>
      <w:bookmarkStart w:id="19" w:name="_GoBack"/>
      <w:r>
        <w:rPr>
          <w:noProof/>
          <w:lang w:eastAsia="en-AU"/>
        </w:rPr>
        <w:lastRenderedPageBreak/>
        <w:drawing>
          <wp:inline distT="0" distB="0" distL="0" distR="0" wp14:anchorId="1408F9E4" wp14:editId="14912953">
            <wp:extent cx="6086475" cy="7574960"/>
            <wp:effectExtent l="19050" t="19050" r="9525" b="26035"/>
            <wp:docPr id="1" name="Picture 1" descr="Map 1 Location of the Tasmanian Wilderness World Heritage Area (red outline)" title="Map 1 Location of the Tasmanian Wilderness World Heritage Area (r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86475" cy="7574960"/>
                    </a:xfrm>
                    <a:prstGeom prst="rect">
                      <a:avLst/>
                    </a:prstGeom>
                    <a:ln>
                      <a:solidFill>
                        <a:schemeClr val="tx2"/>
                      </a:solidFill>
                    </a:ln>
                  </pic:spPr>
                </pic:pic>
              </a:graphicData>
            </a:graphic>
          </wp:inline>
        </w:drawing>
      </w:r>
      <w:bookmarkEnd w:id="19"/>
    </w:p>
    <w:p w14:paraId="3A49FFDD" w14:textId="77777777" w:rsidR="00A96655" w:rsidRDefault="00A96655" w:rsidP="00A01202">
      <w:pPr>
        <w:spacing w:before="170"/>
      </w:pPr>
      <w:r>
        <w:t>Map 1 Location of the Tasmanian Wilderness World Heritage Area</w:t>
      </w:r>
      <w:r w:rsidR="00DD0C49">
        <w:t xml:space="preserve"> (red</w:t>
      </w:r>
      <w:r w:rsidR="000147FA">
        <w:t xml:space="preserve"> outline</w:t>
      </w:r>
      <w:r w:rsidR="00DD0C49">
        <w:t>)</w:t>
      </w:r>
    </w:p>
    <w:p w14:paraId="43E98A7D" w14:textId="77777777" w:rsidR="00A96655" w:rsidRDefault="00A96655" w:rsidP="00A01202">
      <w:pPr>
        <w:spacing w:before="170"/>
      </w:pPr>
    </w:p>
    <w:p w14:paraId="7172C901" w14:textId="77777777" w:rsidR="007A6E48" w:rsidRDefault="007A6E48" w:rsidP="00A01202">
      <w:pPr>
        <w:pStyle w:val="Heading1"/>
        <w:spacing w:before="170"/>
        <w:ind w:left="0"/>
      </w:pPr>
      <w:bookmarkStart w:id="20" w:name="_Toc19270649"/>
      <w:bookmarkStart w:id="21" w:name="_Toc22806694"/>
      <w:bookmarkStart w:id="22" w:name="_Toc5373733"/>
      <w:r>
        <w:lastRenderedPageBreak/>
        <w:t>Introduction</w:t>
      </w:r>
      <w:bookmarkEnd w:id="20"/>
      <w:bookmarkEnd w:id="21"/>
    </w:p>
    <w:tbl>
      <w:tblPr>
        <w:tblStyle w:val="TableGrid"/>
        <w:tblW w:w="0" w:type="auto"/>
        <w:tblLook w:val="04A0" w:firstRow="1" w:lastRow="0" w:firstColumn="1" w:lastColumn="0" w:noHBand="0" w:noVBand="1"/>
      </w:tblPr>
      <w:tblGrid>
        <w:gridCol w:w="9350"/>
      </w:tblGrid>
      <w:tr w:rsidR="00EF6248" w14:paraId="13B4642C" w14:textId="77777777" w:rsidTr="00EF6248">
        <w:tc>
          <w:tcPr>
            <w:tcW w:w="9350" w:type="dxa"/>
          </w:tcPr>
          <w:p w14:paraId="77BFD840" w14:textId="46CC099F" w:rsidR="00EF6248" w:rsidRDefault="00EF6248" w:rsidP="00EF6248">
            <w:pPr>
              <w:spacing w:before="120" w:after="120" w:line="276" w:lineRule="auto"/>
              <w:ind w:left="0" w:firstLine="0"/>
              <w:rPr>
                <w:rStyle w:val="Advisorytext"/>
                <w:color w:val="auto"/>
              </w:rPr>
            </w:pPr>
            <w:r>
              <w:rPr>
                <w:lang w:val="en"/>
              </w:rPr>
              <w:t>The</w:t>
            </w:r>
            <w:r>
              <w:rPr>
                <w:rStyle w:val="Advisorytext"/>
                <w:color w:val="auto"/>
              </w:rPr>
              <w:t xml:space="preserve"> </w:t>
            </w:r>
            <w:r w:rsidRPr="00F54493">
              <w:rPr>
                <w:rStyle w:val="Advisorytext"/>
                <w:color w:val="auto"/>
              </w:rPr>
              <w:t xml:space="preserve">Australian and Tasmanian governments have made significant progress in responding to recommendations </w:t>
            </w:r>
            <w:r>
              <w:rPr>
                <w:rStyle w:val="Advisorytext"/>
                <w:color w:val="auto"/>
              </w:rPr>
              <w:t>from</w:t>
            </w:r>
            <w:r w:rsidRPr="00F54493">
              <w:rPr>
                <w:rStyle w:val="Advisorytext"/>
                <w:color w:val="auto"/>
              </w:rPr>
              <w:t xml:space="preserve"> the November 2015 </w:t>
            </w:r>
            <w:r>
              <w:rPr>
                <w:rStyle w:val="Advisorytext"/>
                <w:color w:val="auto"/>
              </w:rPr>
              <w:t>Reactive Monitoring M</w:t>
            </w:r>
            <w:r w:rsidRPr="00F54493">
              <w:rPr>
                <w:rStyle w:val="Advisorytext"/>
                <w:color w:val="auto"/>
              </w:rPr>
              <w:t xml:space="preserve">ission </w:t>
            </w:r>
            <w:r>
              <w:rPr>
                <w:rStyle w:val="Advisorytext"/>
                <w:color w:val="auto"/>
              </w:rPr>
              <w:t xml:space="preserve">to the </w:t>
            </w:r>
            <w:r w:rsidRPr="00D415FE">
              <w:t>Tasmanian Wilderness World Heritage Area</w:t>
            </w:r>
            <w:r>
              <w:rPr>
                <w:rStyle w:val="Advisorytext"/>
                <w:color w:val="auto"/>
              </w:rPr>
              <w:t xml:space="preserve"> (the property). The</w:t>
            </w:r>
            <w:r>
              <w:rPr>
                <w:lang w:val="en-US"/>
              </w:rPr>
              <w:t xml:space="preserve"> recommendations of the </w:t>
            </w:r>
            <w:r w:rsidRPr="00F54493">
              <w:rPr>
                <w:rStyle w:val="Advisorytext"/>
                <w:color w:val="auto"/>
              </w:rPr>
              <w:t xml:space="preserve">subsequent 2016 and 2018 </w:t>
            </w:r>
            <w:r>
              <w:rPr>
                <w:rStyle w:val="Advisorytext"/>
                <w:color w:val="auto"/>
              </w:rPr>
              <w:t>d</w:t>
            </w:r>
            <w:r w:rsidRPr="00F54493">
              <w:rPr>
                <w:rStyle w:val="Advisorytext"/>
                <w:color w:val="auto"/>
              </w:rPr>
              <w:t xml:space="preserve">ecisions of the </w:t>
            </w:r>
            <w:r w:rsidRPr="00F54493">
              <w:t xml:space="preserve">World Heritage </w:t>
            </w:r>
            <w:r w:rsidRPr="00F54493">
              <w:rPr>
                <w:rStyle w:val="Advisorytext"/>
                <w:color w:val="auto"/>
              </w:rPr>
              <w:t>Committee</w:t>
            </w:r>
            <w:r>
              <w:rPr>
                <w:rStyle w:val="Advisorytext"/>
                <w:color w:val="auto"/>
              </w:rPr>
              <w:t xml:space="preserve"> </w:t>
            </w:r>
            <w:r>
              <w:t>are also being actively addressed</w:t>
            </w:r>
            <w:r>
              <w:rPr>
                <w:rStyle w:val="Advisorytext"/>
                <w:color w:val="auto"/>
              </w:rPr>
              <w:t xml:space="preserve">. </w:t>
            </w:r>
            <w:r w:rsidRPr="0003248B">
              <w:rPr>
                <w:rStyle w:val="Advisorytext"/>
                <w:color w:val="auto"/>
              </w:rPr>
              <w:t>Most have been fully implemented and all others are being implemented</w:t>
            </w:r>
            <w:r>
              <w:rPr>
                <w:rStyle w:val="Advisorytext"/>
                <w:color w:val="auto"/>
              </w:rPr>
              <w:t>.</w:t>
            </w:r>
          </w:p>
          <w:p w14:paraId="2804EBCA" w14:textId="78C3DA72" w:rsidR="00EF6248" w:rsidRDefault="00EF6248" w:rsidP="00EF6248">
            <w:pPr>
              <w:spacing w:before="120" w:after="120" w:line="276" w:lineRule="auto"/>
              <w:ind w:left="0" w:firstLine="0"/>
            </w:pPr>
            <w:r>
              <w:rPr>
                <w:rStyle w:val="Advisorytext"/>
                <w:color w:val="auto"/>
              </w:rPr>
              <w:t>Improved</w:t>
            </w:r>
            <w:r w:rsidRPr="00F54493">
              <w:rPr>
                <w:rStyle w:val="Advisorytext"/>
                <w:color w:val="auto"/>
              </w:rPr>
              <w:t xml:space="preserve"> </w:t>
            </w:r>
            <w:r>
              <w:rPr>
                <w:rStyle w:val="Advisorytext"/>
                <w:color w:val="auto"/>
              </w:rPr>
              <w:t xml:space="preserve">engagement with Tasmanian </w:t>
            </w:r>
            <w:r w:rsidRPr="00F54493">
              <w:rPr>
                <w:rStyle w:val="Advisorytext"/>
                <w:color w:val="auto"/>
              </w:rPr>
              <w:t>Aboriginal people</w:t>
            </w:r>
            <w:r>
              <w:rPr>
                <w:rStyle w:val="Advisorytext"/>
                <w:color w:val="auto"/>
              </w:rPr>
              <w:t xml:space="preserve"> and</w:t>
            </w:r>
            <w:r w:rsidRPr="00F54493">
              <w:rPr>
                <w:rStyle w:val="Advisorytext"/>
                <w:color w:val="auto"/>
              </w:rPr>
              <w:t xml:space="preserve"> </w:t>
            </w:r>
            <w:r>
              <w:rPr>
                <w:rStyle w:val="Advisorytext"/>
                <w:color w:val="auto"/>
              </w:rPr>
              <w:t xml:space="preserve">better </w:t>
            </w:r>
            <w:r w:rsidRPr="00F54493">
              <w:rPr>
                <w:rStyle w:val="Advisorytext"/>
                <w:color w:val="auto"/>
              </w:rPr>
              <w:t>understand</w:t>
            </w:r>
            <w:r>
              <w:rPr>
                <w:rStyle w:val="Advisorytext"/>
                <w:color w:val="auto"/>
              </w:rPr>
              <w:t>ing and</w:t>
            </w:r>
            <w:r w:rsidRPr="00F54493">
              <w:rPr>
                <w:rStyle w:val="Advisorytext"/>
                <w:color w:val="auto"/>
              </w:rPr>
              <w:t xml:space="preserve"> protect</w:t>
            </w:r>
            <w:r>
              <w:rPr>
                <w:rStyle w:val="Advisorytext"/>
                <w:color w:val="auto"/>
              </w:rPr>
              <w:t>ion of</w:t>
            </w:r>
            <w:r w:rsidRPr="00F54493">
              <w:rPr>
                <w:rStyle w:val="Advisorytext"/>
                <w:color w:val="auto"/>
              </w:rPr>
              <w:t xml:space="preserve"> </w:t>
            </w:r>
            <w:r>
              <w:rPr>
                <w:rStyle w:val="Advisorytext"/>
                <w:color w:val="auto"/>
              </w:rPr>
              <w:t>their</w:t>
            </w:r>
            <w:r w:rsidRPr="00F54493">
              <w:rPr>
                <w:rStyle w:val="Advisorytext"/>
                <w:color w:val="auto"/>
              </w:rPr>
              <w:t xml:space="preserve"> cultural heritage </w:t>
            </w:r>
            <w:r>
              <w:rPr>
                <w:rStyle w:val="Advisorytext"/>
                <w:color w:val="auto"/>
              </w:rPr>
              <w:t xml:space="preserve">within the </w:t>
            </w:r>
            <w:r>
              <w:t>property</w:t>
            </w:r>
            <w:r w:rsidRPr="00FD4A63">
              <w:t xml:space="preserve"> </w:t>
            </w:r>
            <w:r>
              <w:rPr>
                <w:rStyle w:val="Advisorytext"/>
                <w:color w:val="auto"/>
              </w:rPr>
              <w:t>is a major achievement. P</w:t>
            </w:r>
            <w:r w:rsidRPr="00F54493">
              <w:rPr>
                <w:rStyle w:val="Advisorytext"/>
                <w:color w:val="auto"/>
              </w:rPr>
              <w:t>rogress</w:t>
            </w:r>
            <w:r>
              <w:rPr>
                <w:rStyle w:val="Advisorytext"/>
                <w:color w:val="auto"/>
              </w:rPr>
              <w:t xml:space="preserve"> is</w:t>
            </w:r>
            <w:r w:rsidRPr="00F54493">
              <w:rPr>
                <w:rStyle w:val="Advisorytext"/>
                <w:color w:val="auto"/>
              </w:rPr>
              <w:t xml:space="preserve"> significant</w:t>
            </w:r>
            <w:r>
              <w:rPr>
                <w:rStyle w:val="Advisorytext"/>
                <w:color w:val="auto"/>
              </w:rPr>
              <w:t xml:space="preserve"> and</w:t>
            </w:r>
            <w:r w:rsidRPr="00F54493">
              <w:rPr>
                <w:rStyle w:val="Advisorytext"/>
                <w:color w:val="auto"/>
              </w:rPr>
              <w:t xml:space="preserve"> ongoing.</w:t>
            </w:r>
            <w:r>
              <w:rPr>
                <w:rStyle w:val="Advisorytext"/>
                <w:color w:val="auto"/>
              </w:rPr>
              <w:t xml:space="preserve"> </w:t>
            </w:r>
            <w:r w:rsidRPr="00F54493">
              <w:rPr>
                <w:rStyle w:val="Advisorytext"/>
                <w:color w:val="auto"/>
              </w:rPr>
              <w:t xml:space="preserve">Cultural heritage specialists </w:t>
            </w:r>
            <w:r>
              <w:rPr>
                <w:rStyle w:val="Advisorytext"/>
                <w:color w:val="auto"/>
              </w:rPr>
              <w:t xml:space="preserve">are on staff and are involved in the protection and management of the </w:t>
            </w:r>
            <w:r w:rsidRPr="006E4F13">
              <w:t>Tasmanian Wilderness World Heritage Area</w:t>
            </w:r>
            <w:r>
              <w:t>.</w:t>
            </w:r>
          </w:p>
          <w:p w14:paraId="0AC3C6F5" w14:textId="7851CA9F" w:rsidR="00EF6248" w:rsidRDefault="00EF6248" w:rsidP="00EF6248">
            <w:pPr>
              <w:spacing w:before="120" w:after="120" w:line="276" w:lineRule="auto"/>
              <w:ind w:left="0" w:firstLine="0"/>
              <w:rPr>
                <w:lang w:val="en-US" w:eastAsia="ja-JP"/>
              </w:rPr>
            </w:pPr>
            <w:r w:rsidRPr="0015562F">
              <w:rPr>
                <w:rStyle w:val="Advisorytext"/>
                <w:color w:val="auto"/>
              </w:rPr>
              <w:t xml:space="preserve">Other achievements include significant </w:t>
            </w:r>
            <w:r>
              <w:rPr>
                <w:rStyle w:val="Advisorytext"/>
                <w:color w:val="auto"/>
              </w:rPr>
              <w:t>work towards</w:t>
            </w:r>
            <w:r w:rsidRPr="0015562F">
              <w:rPr>
                <w:rStyle w:val="Advisorytext"/>
                <w:color w:val="auto"/>
              </w:rPr>
              <w:t xml:space="preserve"> development of a Tourism Master Plan for the property</w:t>
            </w:r>
            <w:r>
              <w:rPr>
                <w:rStyle w:val="Advisorytext"/>
                <w:color w:val="auto"/>
              </w:rPr>
              <w:t>,</w:t>
            </w:r>
            <w:r w:rsidRPr="0015562F">
              <w:rPr>
                <w:rStyle w:val="Advisorytext"/>
                <w:color w:val="auto"/>
              </w:rPr>
              <w:t xml:space="preserve"> as well as progress in proclaiming areas</w:t>
            </w:r>
            <w:r w:rsidR="00137E91">
              <w:rPr>
                <w:rStyle w:val="Advisorytext"/>
                <w:color w:val="auto"/>
              </w:rPr>
              <w:t xml:space="preserve"> previously</w:t>
            </w:r>
            <w:r w:rsidRPr="0015562F">
              <w:rPr>
                <w:rStyle w:val="Advisorytext"/>
                <w:color w:val="auto"/>
              </w:rPr>
              <w:t xml:space="preserve"> zoned for timber production as reserve</w:t>
            </w:r>
            <w:r w:rsidR="00137E91">
              <w:rPr>
                <w:rStyle w:val="Advisorytext"/>
                <w:color w:val="auto"/>
              </w:rPr>
              <w:t>d land</w:t>
            </w:r>
            <w:r>
              <w:rPr>
                <w:rStyle w:val="Advisorytext"/>
                <w:color w:val="auto"/>
              </w:rPr>
              <w:t>.</w:t>
            </w:r>
          </w:p>
        </w:tc>
      </w:tr>
    </w:tbl>
    <w:p w14:paraId="7FE47649" w14:textId="57E3AA0D" w:rsidR="007A6E48" w:rsidRDefault="00EC59E5" w:rsidP="00A01202">
      <w:pPr>
        <w:pStyle w:val="Heading2"/>
        <w:spacing w:before="170"/>
      </w:pPr>
      <w:bookmarkStart w:id="23" w:name="_Toc19270650"/>
      <w:bookmarkStart w:id="24" w:name="_Toc22806695"/>
      <w:r>
        <w:t>Decisions of the World Heritage Committee</w:t>
      </w:r>
      <w:bookmarkEnd w:id="23"/>
      <w:bookmarkEnd w:id="24"/>
    </w:p>
    <w:p w14:paraId="7A9ADC48" w14:textId="09FDA566" w:rsidR="00AB4A8D" w:rsidRDefault="00F54493" w:rsidP="00D075DF">
      <w:pPr>
        <w:spacing w:before="170" w:after="0"/>
      </w:pPr>
      <w:r>
        <w:rPr>
          <w:lang w:val="en-US" w:eastAsia="ja-JP"/>
        </w:rPr>
        <w:t xml:space="preserve">This State Party Report, prepared in cooperation with the Tasmanian Government, </w:t>
      </w:r>
      <w:r w:rsidR="00B40C11">
        <w:rPr>
          <w:lang w:val="en-US" w:eastAsia="ja-JP"/>
        </w:rPr>
        <w:t xml:space="preserve">responds to the </w:t>
      </w:r>
      <w:r w:rsidR="00C254A5">
        <w:rPr>
          <w:lang w:val="en-US" w:eastAsia="ja-JP"/>
        </w:rPr>
        <w:t xml:space="preserve">2018 </w:t>
      </w:r>
      <w:r w:rsidR="00D84BE2">
        <w:rPr>
          <w:lang w:val="en-US" w:eastAsia="ja-JP"/>
        </w:rPr>
        <w:t>and 2016 d</w:t>
      </w:r>
      <w:r w:rsidR="00C254A5">
        <w:rPr>
          <w:lang w:val="en-US" w:eastAsia="ja-JP"/>
        </w:rPr>
        <w:t>ecision</w:t>
      </w:r>
      <w:r w:rsidR="00D84BE2">
        <w:rPr>
          <w:lang w:val="en-US" w:eastAsia="ja-JP"/>
        </w:rPr>
        <w:t>s</w:t>
      </w:r>
      <w:r w:rsidR="00C254A5">
        <w:rPr>
          <w:lang w:val="en-US" w:eastAsia="ja-JP"/>
        </w:rPr>
        <w:t xml:space="preserve"> of the</w:t>
      </w:r>
      <w:r w:rsidR="00B40C11">
        <w:rPr>
          <w:lang w:val="en-US" w:eastAsia="ja-JP"/>
        </w:rPr>
        <w:t xml:space="preserve"> World Heritage Committee </w:t>
      </w:r>
      <w:r w:rsidR="00C254A5">
        <w:rPr>
          <w:lang w:val="en-US" w:eastAsia="ja-JP"/>
        </w:rPr>
        <w:t xml:space="preserve">on the state of conservation of </w:t>
      </w:r>
      <w:r w:rsidR="00B40C11">
        <w:rPr>
          <w:lang w:val="en-US" w:eastAsia="ja-JP"/>
        </w:rPr>
        <w:t xml:space="preserve">the </w:t>
      </w:r>
      <w:r w:rsidR="00B40C11" w:rsidRPr="006E4F13">
        <w:t xml:space="preserve">Tasmanian </w:t>
      </w:r>
      <w:r w:rsidR="00C254A5" w:rsidRPr="006E4F13">
        <w:t>Wilderness World Heritage Area</w:t>
      </w:r>
      <w:r w:rsidR="00C254A5">
        <w:rPr>
          <w:lang w:val="en-US" w:eastAsia="ja-JP"/>
        </w:rPr>
        <w:t xml:space="preserve"> (see Decision</w:t>
      </w:r>
      <w:r w:rsidR="00D84BE2">
        <w:rPr>
          <w:lang w:val="en-US" w:eastAsia="ja-JP"/>
        </w:rPr>
        <w:t xml:space="preserve"> </w:t>
      </w:r>
      <w:hyperlink r:id="rId26" w:history="1">
        <w:r w:rsidR="00D84BE2" w:rsidRPr="00B05938">
          <w:rPr>
            <w:rStyle w:val="Hyperlink"/>
            <w:rFonts w:cs="Times New Roman"/>
            <w:b/>
            <w:lang w:val="en-US" w:eastAsia="ja-JP"/>
          </w:rPr>
          <w:t>42 COM 7B.61</w:t>
        </w:r>
      </w:hyperlink>
      <w:r w:rsidR="00D84BE2">
        <w:rPr>
          <w:lang w:val="en-US" w:eastAsia="ja-JP"/>
        </w:rPr>
        <w:t xml:space="preserve"> at </w:t>
      </w:r>
      <w:r w:rsidR="00393DE9">
        <w:rPr>
          <w:b/>
          <w:lang w:val="en-US" w:eastAsia="ja-JP"/>
        </w:rPr>
        <w:t xml:space="preserve">Appendix </w:t>
      </w:r>
      <w:r w:rsidR="00C708A3">
        <w:rPr>
          <w:b/>
          <w:lang w:val="en-US" w:eastAsia="ja-JP"/>
        </w:rPr>
        <w:t>1</w:t>
      </w:r>
      <w:r w:rsidR="00D84BE2">
        <w:rPr>
          <w:b/>
          <w:lang w:val="en-US" w:eastAsia="ja-JP"/>
        </w:rPr>
        <w:t xml:space="preserve"> </w:t>
      </w:r>
      <w:r w:rsidR="00D84BE2" w:rsidRPr="00AB4A8D">
        <w:rPr>
          <w:lang w:val="en-US" w:eastAsia="ja-JP"/>
        </w:rPr>
        <w:t>and</w:t>
      </w:r>
      <w:r w:rsidR="00D84BE2">
        <w:rPr>
          <w:b/>
          <w:lang w:val="en-US" w:eastAsia="ja-JP"/>
        </w:rPr>
        <w:t xml:space="preserve"> </w:t>
      </w:r>
      <w:r w:rsidR="00D84BE2" w:rsidRPr="009426C2">
        <w:rPr>
          <w:lang w:val="en-US" w:eastAsia="ja-JP"/>
        </w:rPr>
        <w:t>Decision</w:t>
      </w:r>
      <w:r>
        <w:rPr>
          <w:b/>
          <w:lang w:val="en-US" w:eastAsia="ja-JP"/>
        </w:rPr>
        <w:t> </w:t>
      </w:r>
      <w:hyperlink r:id="rId27" w:history="1">
        <w:r>
          <w:rPr>
            <w:rStyle w:val="Hyperlink"/>
            <w:rFonts w:cs="Times New Roman"/>
            <w:b/>
            <w:lang w:val="en-US" w:eastAsia="ja-JP"/>
          </w:rPr>
          <w:t>40 COM </w:t>
        </w:r>
        <w:r w:rsidR="00D84BE2" w:rsidRPr="00B05938">
          <w:rPr>
            <w:rStyle w:val="Hyperlink"/>
            <w:rFonts w:cs="Times New Roman"/>
            <w:b/>
            <w:lang w:val="en-US" w:eastAsia="ja-JP"/>
          </w:rPr>
          <w:t>7B.66</w:t>
        </w:r>
      </w:hyperlink>
      <w:r w:rsidR="00D84BE2">
        <w:rPr>
          <w:lang w:val="en-US" w:eastAsia="ja-JP"/>
        </w:rPr>
        <w:t xml:space="preserve"> at </w:t>
      </w:r>
      <w:r w:rsidR="00393DE9">
        <w:rPr>
          <w:b/>
          <w:lang w:val="en-US" w:eastAsia="ja-JP"/>
        </w:rPr>
        <w:t xml:space="preserve">Appendix </w:t>
      </w:r>
      <w:r w:rsidR="00C708A3">
        <w:rPr>
          <w:b/>
          <w:lang w:val="en-US" w:eastAsia="ja-JP"/>
        </w:rPr>
        <w:t>2</w:t>
      </w:r>
      <w:r w:rsidR="00C254A5">
        <w:rPr>
          <w:lang w:val="en-US" w:eastAsia="ja-JP"/>
        </w:rPr>
        <w:t>).</w:t>
      </w:r>
      <w:r w:rsidR="00B40C11">
        <w:rPr>
          <w:lang w:val="en-US" w:eastAsia="ja-JP"/>
        </w:rPr>
        <w:t xml:space="preserve"> </w:t>
      </w:r>
    </w:p>
    <w:p w14:paraId="2201A979" w14:textId="583B5423" w:rsidR="00B40C11" w:rsidRDefault="00B40C11" w:rsidP="00D075DF">
      <w:pPr>
        <w:spacing w:before="170" w:after="0"/>
        <w:rPr>
          <w:lang w:val="en-US" w:eastAsia="ja-JP"/>
        </w:rPr>
      </w:pPr>
      <w:r>
        <w:rPr>
          <w:lang w:val="en-US" w:eastAsia="ja-JP"/>
        </w:rPr>
        <w:t xml:space="preserve">An update on the implementation of the recommendations of the 2015 Reactive Monitoring Mission </w:t>
      </w:r>
      <w:r w:rsidR="00E3616E">
        <w:rPr>
          <w:lang w:val="en-US" w:eastAsia="ja-JP"/>
        </w:rPr>
        <w:t>is</w:t>
      </w:r>
      <w:r w:rsidR="00437EBA">
        <w:rPr>
          <w:lang w:val="en-US" w:eastAsia="ja-JP"/>
        </w:rPr>
        <w:t xml:space="preserve"> also included in this report (see </w:t>
      </w:r>
      <w:r w:rsidR="00393DE9">
        <w:rPr>
          <w:b/>
          <w:lang w:val="en-US" w:eastAsia="ja-JP"/>
        </w:rPr>
        <w:t xml:space="preserve">Appendix </w:t>
      </w:r>
      <w:r w:rsidR="00C708A3">
        <w:rPr>
          <w:b/>
          <w:lang w:val="en-US" w:eastAsia="ja-JP"/>
        </w:rPr>
        <w:t>3</w:t>
      </w:r>
      <w:r w:rsidR="00437EBA">
        <w:rPr>
          <w:lang w:val="en-US" w:eastAsia="ja-JP"/>
        </w:rPr>
        <w:t>).</w:t>
      </w:r>
    </w:p>
    <w:p w14:paraId="34CF4F6A" w14:textId="77777777" w:rsidR="00EC59E5" w:rsidRDefault="00EC59E5" w:rsidP="00D075DF">
      <w:pPr>
        <w:pStyle w:val="Heading2"/>
        <w:spacing w:before="170"/>
      </w:pPr>
      <w:bookmarkStart w:id="25" w:name="_Toc19270651"/>
      <w:bookmarkStart w:id="26" w:name="_Toc22806696"/>
      <w:r>
        <w:t>The Tasmanian Wilderness World Heritage Area</w:t>
      </w:r>
      <w:bookmarkEnd w:id="25"/>
      <w:bookmarkEnd w:id="26"/>
    </w:p>
    <w:p w14:paraId="2B82326A" w14:textId="4A5D0732" w:rsidR="00395621" w:rsidRDefault="006E3159" w:rsidP="00F955E3">
      <w:pPr>
        <w:pStyle w:val="Text"/>
        <w:rPr>
          <w:lang w:val="en"/>
        </w:rPr>
      </w:pPr>
      <w:r w:rsidRPr="00F955E3">
        <w:rPr>
          <w:lang w:val="en"/>
        </w:rPr>
        <w:t xml:space="preserve">The </w:t>
      </w:r>
      <w:r w:rsidR="00073F2B" w:rsidRPr="00073F2B">
        <w:t>Tasmanian Wilderness World Heritage Area</w:t>
      </w:r>
      <w:r w:rsidRPr="00F955E3">
        <w:rPr>
          <w:lang w:val="en"/>
        </w:rPr>
        <w:t xml:space="preserve"> was inscribed on the World Heritage List in 1982 and extended in 1989, 2010, 2012 and 2013. It is inscribed on the basis of </w:t>
      </w:r>
      <w:r w:rsidR="00BC6166" w:rsidRPr="00F955E3">
        <w:rPr>
          <w:lang w:val="en"/>
        </w:rPr>
        <w:t xml:space="preserve">seven World Heritage criteria – three </w:t>
      </w:r>
      <w:r w:rsidRPr="00F955E3">
        <w:rPr>
          <w:lang w:val="en"/>
        </w:rPr>
        <w:t xml:space="preserve">cultural </w:t>
      </w:r>
      <w:r w:rsidR="00BC6166" w:rsidRPr="00F955E3">
        <w:rPr>
          <w:lang w:val="en"/>
        </w:rPr>
        <w:t>(</w:t>
      </w:r>
      <w:r w:rsidRPr="00F955E3">
        <w:rPr>
          <w:lang w:val="en"/>
        </w:rPr>
        <w:t>(iii), (</w:t>
      </w:r>
      <w:proofErr w:type="gramStart"/>
      <w:r w:rsidR="00910C7A" w:rsidRPr="00F955E3">
        <w:rPr>
          <w:lang w:val="en"/>
        </w:rPr>
        <w:t>i</w:t>
      </w:r>
      <w:r w:rsidRPr="00F955E3">
        <w:rPr>
          <w:lang w:val="en"/>
        </w:rPr>
        <w:t>v</w:t>
      </w:r>
      <w:proofErr w:type="gramEnd"/>
      <w:r w:rsidRPr="00F955E3">
        <w:rPr>
          <w:lang w:val="en"/>
        </w:rPr>
        <w:t>) and (vi)</w:t>
      </w:r>
      <w:r w:rsidR="00BC6166" w:rsidRPr="00F955E3">
        <w:rPr>
          <w:lang w:val="en"/>
        </w:rPr>
        <w:t>)</w:t>
      </w:r>
      <w:r w:rsidRPr="00F955E3">
        <w:rPr>
          <w:lang w:val="en"/>
        </w:rPr>
        <w:t xml:space="preserve"> and </w:t>
      </w:r>
      <w:r w:rsidR="00BC6166" w:rsidRPr="00F955E3">
        <w:rPr>
          <w:lang w:val="en"/>
        </w:rPr>
        <w:t xml:space="preserve">four </w:t>
      </w:r>
      <w:r w:rsidRPr="00F955E3">
        <w:rPr>
          <w:lang w:val="en"/>
        </w:rPr>
        <w:t xml:space="preserve">natural </w:t>
      </w:r>
      <w:r w:rsidR="00BC6166" w:rsidRPr="00F955E3">
        <w:rPr>
          <w:lang w:val="en"/>
        </w:rPr>
        <w:t>(</w:t>
      </w:r>
      <w:r w:rsidR="00395621" w:rsidRPr="00F955E3">
        <w:rPr>
          <w:lang w:val="en"/>
        </w:rPr>
        <w:t>(vii), (viii), (ix) and (x)</w:t>
      </w:r>
      <w:r w:rsidR="00BC6166" w:rsidRPr="00F955E3">
        <w:rPr>
          <w:lang w:val="en"/>
        </w:rPr>
        <w:t>)</w:t>
      </w:r>
      <w:r w:rsidR="00395621" w:rsidRPr="00F955E3">
        <w:rPr>
          <w:lang w:val="en"/>
        </w:rPr>
        <w:t>.</w:t>
      </w:r>
    </w:p>
    <w:p w14:paraId="700B36EC" w14:textId="044746E3" w:rsidR="007A36F9" w:rsidRPr="00F955E3" w:rsidRDefault="007A36F9" w:rsidP="00F955E3">
      <w:pPr>
        <w:pStyle w:val="Text"/>
        <w:rPr>
          <w:lang w:val="en"/>
        </w:rPr>
      </w:pPr>
      <w:r w:rsidRPr="007A36F9">
        <w:rPr>
          <w:lang w:val="en"/>
        </w:rPr>
        <w:t xml:space="preserve">The </w:t>
      </w:r>
      <w:r w:rsidR="00700F2F">
        <w:t>property</w:t>
      </w:r>
      <w:r w:rsidR="00073F2B" w:rsidRPr="00073F2B">
        <w:rPr>
          <w:lang w:val="en"/>
        </w:rPr>
        <w:t xml:space="preserve"> </w:t>
      </w:r>
      <w:r w:rsidRPr="007A36F9">
        <w:rPr>
          <w:lang w:val="en"/>
        </w:rPr>
        <w:t>is one of the world’s largest temperate wilderness areas and is a precious cultural landscape for Tasmanian Aboriginal people who have</w:t>
      </w:r>
      <w:r w:rsidR="000944C0">
        <w:rPr>
          <w:lang w:val="en"/>
        </w:rPr>
        <w:t xml:space="preserve"> </w:t>
      </w:r>
      <w:r w:rsidRPr="007A36F9">
        <w:rPr>
          <w:lang w:val="en"/>
        </w:rPr>
        <w:t xml:space="preserve">lived there for at least 35,000 years. Tasmanian Aboriginal people adapted to changes in climate and the natural environment through a full glacial-interglacial climatic cycle and were the southernmost people in the world during the last ice age. The intangible and tangible evidence of their continuing culture is of outstanding universal significance. The ecosystems within the extensive wilderness areas of western Tasmania are of outstanding significance for their exceptional natural beauty, distinctive landforms, </w:t>
      </w:r>
      <w:proofErr w:type="spellStart"/>
      <w:r w:rsidRPr="007A36F9">
        <w:rPr>
          <w:lang w:val="en"/>
        </w:rPr>
        <w:t>palaeoendemic</w:t>
      </w:r>
      <w:proofErr w:type="spellEnd"/>
      <w:r w:rsidRPr="007A36F9">
        <w:rPr>
          <w:lang w:val="en"/>
        </w:rPr>
        <w:t xml:space="preserve"> species and communities, unusual threatened plants and animals, and ecological processes that result in some of the tallest vegetation in the world. The alpine ecosystems, with their hard green cushion plants; the moorland ecosystems, with their burrowing crayfish; the estuarine ecosystems, with their dark surface waters; and the alkaline wetland systems, with their freshwater stromatolites, are without analogue.</w:t>
      </w:r>
    </w:p>
    <w:p w14:paraId="3CD4D08B" w14:textId="6A11E865" w:rsidR="006E3159" w:rsidRPr="00F955E3" w:rsidRDefault="006E3159" w:rsidP="00F955E3">
      <w:pPr>
        <w:pStyle w:val="Text"/>
        <w:rPr>
          <w:lang w:val="en"/>
        </w:rPr>
      </w:pPr>
      <w:r w:rsidRPr="00F955E3">
        <w:rPr>
          <w:lang w:val="en"/>
        </w:rPr>
        <w:t xml:space="preserve">The </w:t>
      </w:r>
      <w:r w:rsidR="00BA750F">
        <w:t>property</w:t>
      </w:r>
      <w:r w:rsidR="00FD4A63" w:rsidRPr="00FD4A63">
        <w:t xml:space="preserve"> </w:t>
      </w:r>
      <w:r w:rsidRPr="00F955E3">
        <w:rPr>
          <w:lang w:val="en"/>
        </w:rPr>
        <w:t>covers approximately 1.58 million hectares</w:t>
      </w:r>
      <w:r w:rsidR="00F75A9E">
        <w:rPr>
          <w:lang w:val="en"/>
        </w:rPr>
        <w:t>,</w:t>
      </w:r>
      <w:r w:rsidRPr="00F955E3">
        <w:rPr>
          <w:lang w:val="en"/>
        </w:rPr>
        <w:t xml:space="preserve"> or around 23</w:t>
      </w:r>
      <w:r w:rsidR="00BA750F">
        <w:rPr>
          <w:lang w:val="en"/>
        </w:rPr>
        <w:t xml:space="preserve"> per cent</w:t>
      </w:r>
      <w:r w:rsidR="00BA750F" w:rsidRPr="00F955E3">
        <w:rPr>
          <w:lang w:val="en"/>
        </w:rPr>
        <w:t xml:space="preserve"> </w:t>
      </w:r>
      <w:r w:rsidRPr="00F955E3">
        <w:rPr>
          <w:lang w:val="en"/>
        </w:rPr>
        <w:t>of the State of Tasmania</w:t>
      </w:r>
      <w:r w:rsidR="008E2D2E" w:rsidRPr="00F955E3">
        <w:rPr>
          <w:lang w:val="en"/>
        </w:rPr>
        <w:t xml:space="preserve"> (see </w:t>
      </w:r>
      <w:r w:rsidR="008E2D2E" w:rsidRPr="00F955E3">
        <w:rPr>
          <w:b/>
          <w:lang w:val="en"/>
        </w:rPr>
        <w:t>Map 1</w:t>
      </w:r>
      <w:r w:rsidR="008E2D2E" w:rsidRPr="00F955E3">
        <w:rPr>
          <w:lang w:val="en"/>
        </w:rPr>
        <w:t>)</w:t>
      </w:r>
      <w:r w:rsidR="00471934">
        <w:rPr>
          <w:lang w:val="en"/>
        </w:rPr>
        <w:t xml:space="preserve">. </w:t>
      </w:r>
      <w:r w:rsidR="00BA750F">
        <w:rPr>
          <w:lang w:val="en"/>
        </w:rPr>
        <w:t>D</w:t>
      </w:r>
      <w:r w:rsidRPr="00F955E3">
        <w:rPr>
          <w:lang w:val="en"/>
        </w:rPr>
        <w:t>ay-to-day management is</w:t>
      </w:r>
      <w:r w:rsidR="00922CB3" w:rsidRPr="00F955E3">
        <w:rPr>
          <w:lang w:val="en"/>
        </w:rPr>
        <w:t xml:space="preserve"> primarily </w:t>
      </w:r>
      <w:r w:rsidRPr="00F955E3">
        <w:rPr>
          <w:lang w:val="en"/>
        </w:rPr>
        <w:t xml:space="preserve">undertaken by </w:t>
      </w:r>
      <w:r w:rsidR="006F425A" w:rsidRPr="00F955E3">
        <w:rPr>
          <w:lang w:val="en"/>
        </w:rPr>
        <w:t xml:space="preserve">the </w:t>
      </w:r>
      <w:r w:rsidRPr="00F955E3">
        <w:rPr>
          <w:lang w:val="en"/>
        </w:rPr>
        <w:t>Tasmanian Government</w:t>
      </w:r>
      <w:r w:rsidR="00922CB3" w:rsidRPr="00F955E3">
        <w:rPr>
          <w:lang w:val="en"/>
        </w:rPr>
        <w:t xml:space="preserve">. A small number of </w:t>
      </w:r>
      <w:r w:rsidRPr="00F955E3">
        <w:rPr>
          <w:lang w:val="en"/>
        </w:rPr>
        <w:t>private landholders</w:t>
      </w:r>
      <w:r w:rsidR="00620748" w:rsidRPr="00F955E3">
        <w:rPr>
          <w:lang w:val="en"/>
        </w:rPr>
        <w:t xml:space="preserve"> (</w:t>
      </w:r>
      <w:r w:rsidR="00403952" w:rsidRPr="00F955E3">
        <w:rPr>
          <w:lang w:val="en"/>
        </w:rPr>
        <w:t xml:space="preserve">for example Bush Heritage Australia, </w:t>
      </w:r>
      <w:r w:rsidR="008275F5" w:rsidRPr="00F955E3">
        <w:rPr>
          <w:lang w:val="en"/>
        </w:rPr>
        <w:t xml:space="preserve">Hydro Tasmania, </w:t>
      </w:r>
      <w:r w:rsidR="00403952" w:rsidRPr="00F955E3">
        <w:rPr>
          <w:lang w:val="en"/>
        </w:rPr>
        <w:t>the Tasmanian Land Conservancy and others)</w:t>
      </w:r>
      <w:r w:rsidR="00922CB3" w:rsidRPr="00F955E3">
        <w:rPr>
          <w:lang w:val="en"/>
        </w:rPr>
        <w:t xml:space="preserve"> also manage land within the </w:t>
      </w:r>
      <w:r w:rsidR="001702DF" w:rsidRPr="00F955E3">
        <w:rPr>
          <w:lang w:val="en"/>
        </w:rPr>
        <w:t>property</w:t>
      </w:r>
      <w:r w:rsidR="00403952" w:rsidRPr="00F955E3">
        <w:rPr>
          <w:lang w:val="en"/>
        </w:rPr>
        <w:t>.</w:t>
      </w:r>
    </w:p>
    <w:p w14:paraId="4B513BA3" w14:textId="2B2AB04D" w:rsidR="007A6E48" w:rsidRDefault="00EC59E5" w:rsidP="00D075DF">
      <w:pPr>
        <w:pStyle w:val="Heading2"/>
        <w:spacing w:before="170"/>
      </w:pPr>
      <w:bookmarkStart w:id="27" w:name="_Toc19270652"/>
      <w:bookmarkStart w:id="28" w:name="_Toc22806697"/>
      <w:r>
        <w:lastRenderedPageBreak/>
        <w:t>Legislative Protection of the Tasmanian Wilderness World Heritage Area</w:t>
      </w:r>
      <w:bookmarkEnd w:id="27"/>
      <w:bookmarkEnd w:id="28"/>
    </w:p>
    <w:tbl>
      <w:tblPr>
        <w:tblStyle w:val="TableGrid"/>
        <w:tblW w:w="0" w:type="auto"/>
        <w:tblLook w:val="04A0" w:firstRow="1" w:lastRow="0" w:firstColumn="1" w:lastColumn="0" w:noHBand="0" w:noVBand="1"/>
      </w:tblPr>
      <w:tblGrid>
        <w:gridCol w:w="9350"/>
      </w:tblGrid>
      <w:tr w:rsidR="00EF6248" w14:paraId="641B44D4" w14:textId="77777777" w:rsidTr="00EF6248">
        <w:tc>
          <w:tcPr>
            <w:tcW w:w="9350" w:type="dxa"/>
          </w:tcPr>
          <w:p w14:paraId="47D2267C" w14:textId="54D658DA" w:rsidR="00EF6248" w:rsidRDefault="00EF6248" w:rsidP="00137E91">
            <w:pPr>
              <w:spacing w:before="120" w:after="120" w:line="276" w:lineRule="auto"/>
              <w:ind w:left="0" w:firstLine="0"/>
              <w:rPr>
                <w:lang w:val="en-US" w:eastAsia="ja-JP"/>
              </w:rPr>
            </w:pPr>
            <w:r w:rsidRPr="00B4760A">
              <w:t xml:space="preserve">Australia’s national environmental law, the </w:t>
            </w:r>
            <w:r w:rsidRPr="00B4760A">
              <w:rPr>
                <w:i/>
              </w:rPr>
              <w:t>Environment Protection and Biodiversity Conservation Act</w:t>
            </w:r>
            <w:r w:rsidR="00293B4B">
              <w:rPr>
                <w:i/>
              </w:rPr>
              <w:t> </w:t>
            </w:r>
            <w:r w:rsidRPr="00B4760A">
              <w:rPr>
                <w:i/>
              </w:rPr>
              <w:t>1999</w:t>
            </w:r>
            <w:r w:rsidRPr="00B4760A">
              <w:t xml:space="preserve"> (EPBC Act) provides an overarching high level of protection for the Outstanding Universal Value of the </w:t>
            </w:r>
            <w:r>
              <w:t>Tasmanian Wilderness World Heritage Area</w:t>
            </w:r>
            <w:r w:rsidRPr="00B4760A">
              <w:t>.</w:t>
            </w:r>
            <w:r>
              <w:t xml:space="preserve"> The two key pieces of Tasmanian legislation that provide for the management of the property are</w:t>
            </w:r>
            <w:r w:rsidRPr="008D0AC4">
              <w:t xml:space="preserve"> the </w:t>
            </w:r>
            <w:hyperlink r:id="rId28" w:tgtFrame="_blank" w:history="1">
              <w:r w:rsidRPr="009C4DC5">
                <w:rPr>
                  <w:rStyle w:val="Hyperlink"/>
                  <w:i/>
                  <w:iCs/>
                </w:rPr>
                <w:t>Nature Conservation Act 2002</w:t>
              </w:r>
            </w:hyperlink>
            <w:r>
              <w:t xml:space="preserve"> and the </w:t>
            </w:r>
            <w:hyperlink r:id="rId29" w:tgtFrame="_blank" w:history="1">
              <w:r w:rsidRPr="009C4DC5">
                <w:rPr>
                  <w:rStyle w:val="Hyperlink"/>
                  <w:i/>
                  <w:iCs/>
                </w:rPr>
                <w:t>National Parks and Reserves Management Act 2002</w:t>
              </w:r>
            </w:hyperlink>
          </w:p>
        </w:tc>
      </w:tr>
    </w:tbl>
    <w:p w14:paraId="670C465F" w14:textId="795FD51C" w:rsidR="005601B0" w:rsidRDefault="00A36E27" w:rsidP="00FF381A">
      <w:pPr>
        <w:pStyle w:val="Text"/>
      </w:pPr>
      <w:r w:rsidRPr="00A36E27">
        <w:t>Where a</w:t>
      </w:r>
      <w:r w:rsidR="00AF2ACE">
        <w:t>n</w:t>
      </w:r>
      <w:r w:rsidRPr="00A36E27">
        <w:t xml:space="preserve"> </w:t>
      </w:r>
      <w:r>
        <w:t>action</w:t>
      </w:r>
      <w:r w:rsidRPr="00A36E27">
        <w:t xml:space="preserve"> </w:t>
      </w:r>
      <w:r w:rsidR="00AF2ACE">
        <w:t xml:space="preserve">that is </w:t>
      </w:r>
      <w:r w:rsidR="00AF2ACE" w:rsidRPr="00A36E27">
        <w:t xml:space="preserve">likely to have a significant impact </w:t>
      </w:r>
      <w:r w:rsidR="00AF2ACE">
        <w:t>is proposed</w:t>
      </w:r>
      <w:r w:rsidR="00AF2ACE">
        <w:rPr>
          <w:lang w:val="en"/>
        </w:rPr>
        <w:t xml:space="preserve"> </w:t>
      </w:r>
      <w:r w:rsidR="00471934">
        <w:rPr>
          <w:lang w:val="en"/>
        </w:rPr>
        <w:t xml:space="preserve">to be undertaken </w:t>
      </w:r>
      <w:r w:rsidRPr="00B4760A">
        <w:t>within</w:t>
      </w:r>
      <w:r w:rsidR="00AF2ACE">
        <w:t>,</w:t>
      </w:r>
      <w:r w:rsidRPr="00B4760A">
        <w:t xml:space="preserve"> or outside</w:t>
      </w:r>
      <w:r w:rsidR="00AF2ACE">
        <w:t>,</w:t>
      </w:r>
      <w:r w:rsidRPr="00B4760A">
        <w:t xml:space="preserve"> a </w:t>
      </w:r>
      <w:r w:rsidR="00AF2ACE">
        <w:t xml:space="preserve">World Heritage Area, </w:t>
      </w:r>
      <w:r w:rsidR="00AF2ACE" w:rsidRPr="009D32C0">
        <w:rPr>
          <w:lang w:val="en"/>
        </w:rPr>
        <w:t>the EPBC Act</w:t>
      </w:r>
      <w:r w:rsidR="00AF2ACE">
        <w:rPr>
          <w:lang w:val="en"/>
        </w:rPr>
        <w:t xml:space="preserve"> ensures that </w:t>
      </w:r>
      <w:r w:rsidR="00AF2ACE" w:rsidRPr="00A36E27">
        <w:t>Outstanding Universal Value</w:t>
      </w:r>
      <w:r w:rsidR="00AF2ACE">
        <w:rPr>
          <w:lang w:val="en"/>
        </w:rPr>
        <w:t xml:space="preserve"> is protected</w:t>
      </w:r>
      <w:r w:rsidR="00675D29">
        <w:rPr>
          <w:lang w:val="en"/>
        </w:rPr>
        <w:t>.</w:t>
      </w:r>
      <w:r w:rsidR="00AF2ACE">
        <w:rPr>
          <w:lang w:val="en"/>
        </w:rPr>
        <w:t xml:space="preserve"> </w:t>
      </w:r>
      <w:r w:rsidR="00AF2ACE">
        <w:t xml:space="preserve">Under </w:t>
      </w:r>
      <w:r w:rsidR="008B1039">
        <w:t>this legislation</w:t>
      </w:r>
      <w:r w:rsidR="00AF2ACE">
        <w:t>, a proposed action</w:t>
      </w:r>
      <w:r w:rsidR="00AF2ACE" w:rsidRPr="00AF2ACE">
        <w:t xml:space="preserve"> </w:t>
      </w:r>
      <w:r w:rsidR="00D37816">
        <w:t xml:space="preserve">of this type </w:t>
      </w:r>
      <w:r w:rsidR="00AF2ACE" w:rsidRPr="00AF2ACE">
        <w:t xml:space="preserve">is determined to be a ‘controlled action’ and must undergo assessment and a decision </w:t>
      </w:r>
      <w:r w:rsidR="00D37816">
        <w:t xml:space="preserve">as to </w:t>
      </w:r>
      <w:r w:rsidR="00AF2ACE" w:rsidRPr="00AF2ACE">
        <w:t xml:space="preserve">whether or not </w:t>
      </w:r>
      <w:r w:rsidR="00B302C2">
        <w:t xml:space="preserve">it can </w:t>
      </w:r>
      <w:r w:rsidR="00471934">
        <w:t>proceed</w:t>
      </w:r>
      <w:r w:rsidR="00AF2ACE" w:rsidRPr="00AF2ACE">
        <w:t xml:space="preserve">. </w:t>
      </w:r>
    </w:p>
    <w:p w14:paraId="399D5BFB" w14:textId="5CF48CD1" w:rsidR="009947C0" w:rsidRDefault="009D32C0" w:rsidP="00824985">
      <w:pPr>
        <w:pStyle w:val="Text"/>
      </w:pPr>
      <w:r w:rsidRPr="009D32C0">
        <w:rPr>
          <w:lang w:val="en"/>
        </w:rPr>
        <w:t xml:space="preserve">This process allows the </w:t>
      </w:r>
      <w:r>
        <w:rPr>
          <w:lang w:val="en"/>
        </w:rPr>
        <w:t>Australian</w:t>
      </w:r>
      <w:r w:rsidRPr="009D32C0">
        <w:rPr>
          <w:lang w:val="en"/>
        </w:rPr>
        <w:t xml:space="preserve"> Minister for the Environment to grant or refuse approval to take an action, and to impose conditions on the taking of an action.</w:t>
      </w:r>
      <w:r w:rsidR="009947C0" w:rsidRPr="009947C0">
        <w:t xml:space="preserve"> </w:t>
      </w:r>
      <w:r w:rsidR="00D225B6" w:rsidRPr="009D32C0">
        <w:rPr>
          <w:lang w:val="en"/>
        </w:rPr>
        <w:t>The EPBC Act imposes substantial civil and criminal penalties on a person who takes an unlawful action</w:t>
      </w:r>
      <w:r w:rsidR="00D225B6">
        <w:t xml:space="preserve">. Further information on </w:t>
      </w:r>
      <w:r w:rsidR="00675D29">
        <w:t xml:space="preserve">the </w:t>
      </w:r>
      <w:r w:rsidR="00D225B6">
        <w:t xml:space="preserve">EPBC Act </w:t>
      </w:r>
      <w:r w:rsidR="00675D29">
        <w:t xml:space="preserve">processes that </w:t>
      </w:r>
      <w:r w:rsidR="00D225B6">
        <w:t xml:space="preserve">operate to protect </w:t>
      </w:r>
      <w:r w:rsidR="00675D29">
        <w:t>World Heritage</w:t>
      </w:r>
      <w:r w:rsidR="00D225B6">
        <w:t xml:space="preserve"> is available at </w:t>
      </w:r>
      <w:r w:rsidR="00D225B6" w:rsidRPr="007447EF">
        <w:rPr>
          <w:b/>
        </w:rPr>
        <w:t>Appendix</w:t>
      </w:r>
      <w:r w:rsidR="00675D29" w:rsidRPr="007447EF">
        <w:rPr>
          <w:b/>
        </w:rPr>
        <w:t xml:space="preserve"> 5</w:t>
      </w:r>
      <w:r w:rsidR="00675D29">
        <w:t>.</w:t>
      </w:r>
      <w:r w:rsidR="00D225B6">
        <w:t xml:space="preserve"> </w:t>
      </w:r>
    </w:p>
    <w:p w14:paraId="7D9F0688" w14:textId="7838DBC4" w:rsidR="0004172E" w:rsidRPr="000056D2" w:rsidRDefault="0004172E" w:rsidP="00824985">
      <w:pPr>
        <w:pStyle w:val="Text"/>
        <w:rPr>
          <w:rStyle w:val="Hyperlink"/>
          <w:color w:val="auto"/>
          <w:u w:val="none"/>
        </w:rPr>
      </w:pPr>
      <w:r w:rsidRPr="000056D2">
        <w:rPr>
          <w:rStyle w:val="Hyperlink"/>
          <w:color w:val="auto"/>
          <w:u w:val="none"/>
        </w:rPr>
        <w:t xml:space="preserve">The component </w:t>
      </w:r>
      <w:r w:rsidR="00471934">
        <w:rPr>
          <w:rStyle w:val="Hyperlink"/>
          <w:color w:val="auto"/>
          <w:u w:val="none"/>
        </w:rPr>
        <w:t>collective of</w:t>
      </w:r>
      <w:r w:rsidR="00471934" w:rsidRPr="000056D2">
        <w:rPr>
          <w:rStyle w:val="Hyperlink"/>
          <w:color w:val="auto"/>
          <w:u w:val="none"/>
        </w:rPr>
        <w:t xml:space="preserve"> </w:t>
      </w:r>
      <w:r w:rsidRPr="000056D2">
        <w:rPr>
          <w:rStyle w:val="Hyperlink"/>
          <w:color w:val="auto"/>
          <w:u w:val="none"/>
        </w:rPr>
        <w:t xml:space="preserve">reserves </w:t>
      </w:r>
      <w:r w:rsidR="00471934">
        <w:rPr>
          <w:rStyle w:val="Hyperlink"/>
          <w:color w:val="auto"/>
          <w:u w:val="none"/>
        </w:rPr>
        <w:t xml:space="preserve">that form </w:t>
      </w:r>
      <w:r w:rsidRPr="000056D2">
        <w:rPr>
          <w:rStyle w:val="Hyperlink"/>
          <w:color w:val="auto"/>
          <w:u w:val="none"/>
        </w:rPr>
        <w:t xml:space="preserve">the </w:t>
      </w:r>
      <w:r w:rsidR="00137E91" w:rsidRPr="00137E91">
        <w:rPr>
          <w:color w:val="auto"/>
        </w:rPr>
        <w:t>Tasmanian Wilderness World Heritage Area</w:t>
      </w:r>
      <w:r w:rsidRPr="000056D2">
        <w:rPr>
          <w:rStyle w:val="Hyperlink"/>
          <w:color w:val="auto"/>
          <w:u w:val="none"/>
        </w:rPr>
        <w:t xml:space="preserve"> </w:t>
      </w:r>
      <w:r w:rsidRPr="000056D2">
        <w:rPr>
          <w:color w:val="auto"/>
        </w:rPr>
        <w:t xml:space="preserve">are declared under </w:t>
      </w:r>
      <w:r w:rsidR="000046CF" w:rsidRPr="000056D2">
        <w:rPr>
          <w:color w:val="auto"/>
        </w:rPr>
        <w:t xml:space="preserve">Tasmania’s </w:t>
      </w:r>
      <w:hyperlink r:id="rId30" w:tgtFrame="_blank" w:history="1">
        <w:r w:rsidRPr="000056D2">
          <w:rPr>
            <w:rStyle w:val="Hyperlink"/>
            <w:i/>
            <w:iCs/>
            <w:u w:val="none"/>
          </w:rPr>
          <w:t>Nature Conservation Act 2002</w:t>
        </w:r>
      </w:hyperlink>
      <w:r w:rsidRPr="000056D2">
        <w:rPr>
          <w:i/>
          <w:iCs/>
          <w:color w:val="auto"/>
        </w:rPr>
        <w:t> </w:t>
      </w:r>
      <w:r w:rsidRPr="000056D2">
        <w:rPr>
          <w:color w:val="auto"/>
        </w:rPr>
        <w:t> which sets out the values and purposes of each reserve class</w:t>
      </w:r>
      <w:r w:rsidR="009C4DC5" w:rsidRPr="000056D2">
        <w:rPr>
          <w:color w:val="auto"/>
        </w:rPr>
        <w:t>.</w:t>
      </w:r>
      <w:r w:rsidRPr="000056D2">
        <w:rPr>
          <w:color w:val="auto"/>
        </w:rPr>
        <w:t xml:space="preserve"> </w:t>
      </w:r>
      <w:r w:rsidR="009C4DC5" w:rsidRPr="000056D2">
        <w:rPr>
          <w:color w:val="auto"/>
        </w:rPr>
        <w:t xml:space="preserve">The reserves are managed under </w:t>
      </w:r>
      <w:r w:rsidR="000046CF" w:rsidRPr="000056D2">
        <w:rPr>
          <w:color w:val="auto"/>
        </w:rPr>
        <w:t xml:space="preserve">Tasmania’s </w:t>
      </w:r>
      <w:hyperlink r:id="rId31" w:tgtFrame="_blank" w:history="1">
        <w:r w:rsidRPr="000056D2">
          <w:rPr>
            <w:rStyle w:val="Hyperlink"/>
            <w:i/>
            <w:iCs/>
            <w:u w:val="none"/>
          </w:rPr>
          <w:t>National Parks and Reserves Management Act 2002</w:t>
        </w:r>
      </w:hyperlink>
      <w:r w:rsidRPr="000056D2">
        <w:rPr>
          <w:color w:val="auto"/>
        </w:rPr>
        <w:t>  according to management objectives for each</w:t>
      </w:r>
      <w:r w:rsidR="009C4DC5" w:rsidRPr="000056D2">
        <w:rPr>
          <w:color w:val="auto"/>
        </w:rPr>
        <w:t xml:space="preserve"> reserve</w:t>
      </w:r>
      <w:r w:rsidRPr="000056D2">
        <w:rPr>
          <w:color w:val="auto"/>
        </w:rPr>
        <w:t xml:space="preserve"> class.</w:t>
      </w:r>
    </w:p>
    <w:p w14:paraId="476C69FD" w14:textId="77777777" w:rsidR="00EC59E5" w:rsidRDefault="00EC59E5" w:rsidP="00D075DF">
      <w:pPr>
        <w:pStyle w:val="Heading2"/>
        <w:spacing w:before="170"/>
      </w:pPr>
      <w:bookmarkStart w:id="29" w:name="_Toc19270653"/>
      <w:bookmarkStart w:id="30" w:name="_Toc22806698"/>
      <w:r w:rsidRPr="005831D0">
        <w:t>Quarterly reporting to the World Heritage Centre</w:t>
      </w:r>
      <w:bookmarkEnd w:id="29"/>
      <w:bookmarkEnd w:id="30"/>
    </w:p>
    <w:tbl>
      <w:tblPr>
        <w:tblStyle w:val="TableGrid"/>
        <w:tblW w:w="0" w:type="auto"/>
        <w:tblLook w:val="04A0" w:firstRow="1" w:lastRow="0" w:firstColumn="1" w:lastColumn="0" w:noHBand="0" w:noVBand="1"/>
      </w:tblPr>
      <w:tblGrid>
        <w:gridCol w:w="9350"/>
      </w:tblGrid>
      <w:tr w:rsidR="00EF6248" w14:paraId="1CC316E3" w14:textId="77777777" w:rsidTr="00EF6248">
        <w:tc>
          <w:tcPr>
            <w:tcW w:w="9350" w:type="dxa"/>
          </w:tcPr>
          <w:p w14:paraId="4430BCAD" w14:textId="3EF2C49A" w:rsidR="00EF6248" w:rsidRDefault="00EF6248" w:rsidP="0020450F">
            <w:pPr>
              <w:spacing w:before="120" w:after="120" w:line="276" w:lineRule="auto"/>
              <w:ind w:left="0" w:firstLine="0"/>
              <w:rPr>
                <w:lang w:val="en-US" w:eastAsia="ja-JP"/>
              </w:rPr>
            </w:pPr>
            <w:r>
              <w:t>The A</w:t>
            </w:r>
            <w:r w:rsidRPr="008459F2">
              <w:t>ustralian Government informs the World Heritage Centre of 'controlled actions' under the EPBC Act that are relevant to Australian World Heritage properties</w:t>
            </w:r>
            <w:r w:rsidR="00137E91">
              <w:t>.</w:t>
            </w:r>
          </w:p>
        </w:tc>
      </w:tr>
    </w:tbl>
    <w:p w14:paraId="019137CB" w14:textId="03CFCDE7" w:rsidR="00532A18" w:rsidRDefault="005831D0" w:rsidP="0020450F">
      <w:pPr>
        <w:pStyle w:val="Text"/>
      </w:pPr>
      <w:r w:rsidRPr="00D52FB7">
        <w:t>In 2011</w:t>
      </w:r>
      <w:r w:rsidR="00A36E27">
        <w:t>,</w:t>
      </w:r>
      <w:r w:rsidRPr="00D52FB7">
        <w:t xml:space="preserve"> Australia formalised a procedure for providing quarterly notification repor</w:t>
      </w:r>
      <w:r w:rsidR="009232B5">
        <w:t>ts to the World Heritage Centre</w:t>
      </w:r>
      <w:r w:rsidRPr="00D52FB7">
        <w:t>.</w:t>
      </w:r>
      <w:r w:rsidR="009A6FED">
        <w:t xml:space="preserve"> </w:t>
      </w:r>
      <w:r w:rsidR="009A6FED">
        <w:rPr>
          <w:lang w:val="en"/>
        </w:rPr>
        <w:t>T</w:t>
      </w:r>
      <w:r w:rsidR="009A6FED" w:rsidRPr="009A6FED">
        <w:rPr>
          <w:lang w:val="en"/>
        </w:rPr>
        <w:t>he following decisions</w:t>
      </w:r>
      <w:r w:rsidR="009A6FED">
        <w:rPr>
          <w:lang w:val="en"/>
        </w:rPr>
        <w:t xml:space="preserve"> are reported:</w:t>
      </w:r>
    </w:p>
    <w:p w14:paraId="3B1613A1" w14:textId="19639A36" w:rsidR="00EE35F5" w:rsidRDefault="00EF6248" w:rsidP="000902A6">
      <w:pPr>
        <w:pStyle w:val="Text"/>
        <w:numPr>
          <w:ilvl w:val="0"/>
          <w:numId w:val="6"/>
        </w:numPr>
        <w:spacing w:before="120" w:after="120" w:line="240" w:lineRule="atLeast"/>
        <w:ind w:left="714" w:hanging="357"/>
        <w:rPr>
          <w:lang w:val="en"/>
        </w:rPr>
      </w:pPr>
      <w:r>
        <w:rPr>
          <w:lang w:val="en"/>
        </w:rPr>
        <w:t>c</w:t>
      </w:r>
      <w:r w:rsidR="00532A18" w:rsidRPr="00EE35F5">
        <w:rPr>
          <w:lang w:val="en"/>
        </w:rPr>
        <w:t>on</w:t>
      </w:r>
      <w:r w:rsidR="00993668">
        <w:rPr>
          <w:lang w:val="en"/>
        </w:rPr>
        <w:t>trolled a</w:t>
      </w:r>
      <w:r w:rsidR="00532A18" w:rsidRPr="00EE35F5">
        <w:rPr>
          <w:lang w:val="en"/>
        </w:rPr>
        <w:t xml:space="preserve">ctions with </w:t>
      </w:r>
      <w:r w:rsidR="00EE35F5" w:rsidRPr="00EE35F5">
        <w:rPr>
          <w:lang w:val="en"/>
        </w:rPr>
        <w:t xml:space="preserve">a </w:t>
      </w:r>
      <w:r w:rsidR="00EE35F5" w:rsidRPr="001A43B7">
        <w:rPr>
          <w:lang w:val="en"/>
        </w:rPr>
        <w:t xml:space="preserve">World Heritage </w:t>
      </w:r>
      <w:r w:rsidR="00471934">
        <w:rPr>
          <w:lang w:val="en"/>
        </w:rPr>
        <w:t>“</w:t>
      </w:r>
      <w:r w:rsidR="00EE35F5" w:rsidRPr="001A43B7">
        <w:rPr>
          <w:lang w:val="en"/>
        </w:rPr>
        <w:t>trigger</w:t>
      </w:r>
      <w:r w:rsidR="00471934">
        <w:rPr>
          <w:lang w:val="en"/>
        </w:rPr>
        <w:t>”</w:t>
      </w:r>
      <w:r w:rsidR="00EE35F5" w:rsidRPr="00EE35F5">
        <w:rPr>
          <w:lang w:val="en"/>
        </w:rPr>
        <w:t xml:space="preserve"> under </w:t>
      </w:r>
      <w:r w:rsidR="0096706E">
        <w:rPr>
          <w:lang w:val="en"/>
        </w:rPr>
        <w:t xml:space="preserve">Section 12 of the </w:t>
      </w:r>
      <w:r w:rsidR="000350FB">
        <w:rPr>
          <w:lang w:val="en"/>
        </w:rPr>
        <w:t>EPBC Act</w:t>
      </w:r>
    </w:p>
    <w:p w14:paraId="58FBD9C2" w14:textId="1D1FB7C7" w:rsidR="00532A18" w:rsidRPr="00EE35F5" w:rsidRDefault="00EF6248">
      <w:pPr>
        <w:pStyle w:val="Text"/>
        <w:numPr>
          <w:ilvl w:val="0"/>
          <w:numId w:val="6"/>
        </w:numPr>
        <w:spacing w:before="120" w:after="120" w:line="240" w:lineRule="atLeast"/>
        <w:ind w:left="714" w:hanging="357"/>
        <w:rPr>
          <w:lang w:val="en"/>
        </w:rPr>
      </w:pPr>
      <w:r>
        <w:rPr>
          <w:lang w:val="en"/>
        </w:rPr>
        <w:t>p</w:t>
      </w:r>
      <w:r w:rsidR="00532A18" w:rsidRPr="00EE35F5">
        <w:rPr>
          <w:lang w:val="en"/>
        </w:rPr>
        <w:t>reviously notified proposals under assessment</w:t>
      </w:r>
    </w:p>
    <w:p w14:paraId="50DDDDB6" w14:textId="64D9FC92" w:rsidR="00532A18" w:rsidRPr="00532A18" w:rsidRDefault="00EF6248">
      <w:pPr>
        <w:pStyle w:val="Text"/>
        <w:numPr>
          <w:ilvl w:val="0"/>
          <w:numId w:val="6"/>
        </w:numPr>
        <w:spacing w:before="120" w:after="120" w:line="240" w:lineRule="atLeast"/>
        <w:ind w:left="714" w:hanging="357"/>
        <w:rPr>
          <w:lang w:val="en"/>
        </w:rPr>
      </w:pPr>
      <w:proofErr w:type="gramStart"/>
      <w:r>
        <w:rPr>
          <w:lang w:val="en"/>
        </w:rPr>
        <w:t>w</w:t>
      </w:r>
      <w:r w:rsidR="00532A18" w:rsidRPr="00532A18">
        <w:rPr>
          <w:lang w:val="en"/>
        </w:rPr>
        <w:t>ithd</w:t>
      </w:r>
      <w:r w:rsidR="00993668">
        <w:rPr>
          <w:lang w:val="en"/>
        </w:rPr>
        <w:t>rawal</w:t>
      </w:r>
      <w:proofErr w:type="gramEnd"/>
      <w:r w:rsidR="00993668">
        <w:rPr>
          <w:lang w:val="en"/>
        </w:rPr>
        <w:t xml:space="preserve"> of a previously notified controlled a</w:t>
      </w:r>
      <w:r w:rsidR="00532A18" w:rsidRPr="00532A18">
        <w:rPr>
          <w:lang w:val="en"/>
        </w:rPr>
        <w:t>ction by a proponent</w:t>
      </w:r>
      <w:r>
        <w:rPr>
          <w:lang w:val="en"/>
        </w:rPr>
        <w:t>.</w:t>
      </w:r>
    </w:p>
    <w:p w14:paraId="0EE49A28" w14:textId="77777777" w:rsidR="000056D2" w:rsidRDefault="005831D0" w:rsidP="00824985">
      <w:pPr>
        <w:pStyle w:val="Text"/>
      </w:pPr>
      <w:r w:rsidRPr="00D52FB7">
        <w:t xml:space="preserve">Notification reports are available at: </w:t>
      </w:r>
      <w:hyperlink r:id="rId32" w:history="1">
        <w:r w:rsidRPr="00D52FB7">
          <w:rPr>
            <w:rStyle w:val="Hyperlink"/>
          </w:rPr>
          <w:t>www.environment.gov.au/heritage/about/world/notification-development-proposals</w:t>
        </w:r>
      </w:hyperlink>
      <w:r w:rsidRPr="00D52FB7">
        <w:t xml:space="preserve">. </w:t>
      </w:r>
    </w:p>
    <w:p w14:paraId="20FD793A" w14:textId="7EC6EFDA" w:rsidR="000056D2" w:rsidRDefault="000056D2" w:rsidP="00824985">
      <w:pPr>
        <w:pStyle w:val="Text"/>
        <w:rPr>
          <w:rStyle w:val="Hyperlink"/>
          <w:color w:val="auto"/>
        </w:rPr>
      </w:pPr>
      <w:r w:rsidRPr="0096684F">
        <w:t xml:space="preserve">Recent EPBC </w:t>
      </w:r>
      <w:r w:rsidR="00F75A9E">
        <w:t>Act</w:t>
      </w:r>
      <w:r w:rsidRPr="0096684F">
        <w:t xml:space="preserve"> referrals for proposals in the </w:t>
      </w:r>
      <w:r w:rsidR="00FD4A63" w:rsidRPr="00FD4A63">
        <w:t xml:space="preserve">Tasmanian Wilderness World Heritage Area </w:t>
      </w:r>
      <w:r w:rsidRPr="0096684F">
        <w:t xml:space="preserve">are detailed </w:t>
      </w:r>
      <w:r>
        <w:t>under</w:t>
      </w:r>
      <w:r w:rsidRPr="0096684F">
        <w:t xml:space="preserve"> </w:t>
      </w:r>
      <w:r w:rsidRPr="00B16801">
        <w:rPr>
          <w:b/>
        </w:rPr>
        <w:t>Section 4</w:t>
      </w:r>
      <w:r w:rsidRPr="0096684F">
        <w:t xml:space="preserve"> and further information can be accessed at </w:t>
      </w:r>
      <w:hyperlink r:id="rId33" w:history="1">
        <w:r w:rsidRPr="0096684F">
          <w:rPr>
            <w:rStyle w:val="Hyperlink"/>
          </w:rPr>
          <w:t>http://epbcnotices.environment.gov.au/referralslist/</w:t>
        </w:r>
      </w:hyperlink>
      <w:r w:rsidRPr="0096684F">
        <w:rPr>
          <w:rStyle w:val="Hyperlink"/>
          <w:color w:val="auto"/>
        </w:rPr>
        <w:t>.</w:t>
      </w:r>
    </w:p>
    <w:p w14:paraId="43FF5E00" w14:textId="77777777" w:rsidR="00E01225" w:rsidRDefault="00E01225" w:rsidP="00824985">
      <w:pPr>
        <w:pStyle w:val="Text"/>
        <w:rPr>
          <w:rStyle w:val="Hyperlink"/>
          <w:color w:val="auto"/>
        </w:rPr>
      </w:pPr>
    </w:p>
    <w:p w14:paraId="1E57E709" w14:textId="19FB3938" w:rsidR="00EC59E5" w:rsidRDefault="00EC59E5" w:rsidP="00D075DF">
      <w:pPr>
        <w:pStyle w:val="Heading2"/>
        <w:spacing w:before="170"/>
      </w:pPr>
      <w:bookmarkStart w:id="31" w:name="_Toc19270654"/>
      <w:bookmarkStart w:id="32" w:name="_Toc22806699"/>
      <w:r>
        <w:lastRenderedPageBreak/>
        <w:t>Effective Management and Planning</w:t>
      </w:r>
      <w:bookmarkEnd w:id="31"/>
      <w:bookmarkEnd w:id="32"/>
    </w:p>
    <w:tbl>
      <w:tblPr>
        <w:tblStyle w:val="TableGrid"/>
        <w:tblW w:w="0" w:type="auto"/>
        <w:tblLook w:val="04A0" w:firstRow="1" w:lastRow="0" w:firstColumn="1" w:lastColumn="0" w:noHBand="0" w:noVBand="1"/>
      </w:tblPr>
      <w:tblGrid>
        <w:gridCol w:w="9350"/>
      </w:tblGrid>
      <w:tr w:rsidR="0020450F" w14:paraId="6541DB1B" w14:textId="77777777" w:rsidTr="0020450F">
        <w:tc>
          <w:tcPr>
            <w:tcW w:w="9350" w:type="dxa"/>
          </w:tcPr>
          <w:p w14:paraId="7912E757" w14:textId="026D15A6" w:rsidR="0020450F" w:rsidRDefault="0020450F" w:rsidP="0020450F">
            <w:pPr>
              <w:spacing w:before="120" w:after="120" w:line="276" w:lineRule="auto"/>
              <w:ind w:left="0" w:firstLine="0"/>
              <w:rPr>
                <w:lang w:val="en-US" w:eastAsia="ja-JP"/>
              </w:rPr>
            </w:pPr>
            <w:r w:rsidRPr="00154E5A">
              <w:t>The Australian and Tasmanian governments are fully committed to protecting the Outstanding Universal Value of the Tasmanian Wilderness World Heritage Area</w:t>
            </w:r>
            <w:r>
              <w:t xml:space="preserve">. The </w:t>
            </w:r>
            <w:r w:rsidRPr="006E4F13">
              <w:rPr>
                <w:i/>
              </w:rPr>
              <w:t xml:space="preserve">2016 </w:t>
            </w:r>
            <w:r w:rsidRPr="003E2F65">
              <w:rPr>
                <w:i/>
              </w:rPr>
              <w:t>Tasmanian Wilderness World Heritage Area Management Plan</w:t>
            </w:r>
            <w:r w:rsidRPr="003E2F65">
              <w:t xml:space="preserve"> </w:t>
            </w:r>
            <w:r>
              <w:t>guides the property’s management</w:t>
            </w:r>
            <w:r w:rsidR="00137E91">
              <w:t>.</w:t>
            </w:r>
          </w:p>
        </w:tc>
      </w:tr>
    </w:tbl>
    <w:p w14:paraId="18E591AE" w14:textId="44B69C18" w:rsidR="00861A52" w:rsidRPr="00D52FB7" w:rsidRDefault="00861A52" w:rsidP="00FF381A">
      <w:pPr>
        <w:pStyle w:val="Text"/>
      </w:pPr>
      <w:r w:rsidRPr="00154E5A">
        <w:t xml:space="preserve">The </w:t>
      </w:r>
      <w:r w:rsidRPr="006E4F13">
        <w:rPr>
          <w:i/>
        </w:rPr>
        <w:t xml:space="preserve">2016 </w:t>
      </w:r>
      <w:r w:rsidR="00B30368" w:rsidRPr="006E4F13">
        <w:rPr>
          <w:i/>
        </w:rPr>
        <w:t xml:space="preserve">Tasmanian Wilderness World Heritage Area </w:t>
      </w:r>
      <w:r w:rsidRPr="006E4F13">
        <w:rPr>
          <w:i/>
        </w:rPr>
        <w:t>Management Plan</w:t>
      </w:r>
      <w:r w:rsidRPr="00154E5A">
        <w:rPr>
          <w:vertAlign w:val="superscript"/>
        </w:rPr>
        <w:footnoteReference w:id="2"/>
      </w:r>
      <w:r w:rsidRPr="00154E5A">
        <w:t xml:space="preserve"> was approved by the Governor of Tasmania on 29 November 2016 and</w:t>
      </w:r>
      <w:r w:rsidRPr="00D52FB7">
        <w:t xml:space="preserve"> came into effect on 21 December 2016. The 2016 Management Plan meets the legislative requirements of the Tasmanian and Australian governments and applies to all land in the property reserved under Tasmania’s </w:t>
      </w:r>
      <w:r w:rsidRPr="00D52FB7">
        <w:rPr>
          <w:i/>
        </w:rPr>
        <w:t>Nature Conservation Act 2002</w:t>
      </w:r>
      <w:r w:rsidR="00061DE1">
        <w:rPr>
          <w:rStyle w:val="FootnoteReference"/>
          <w:i/>
        </w:rPr>
        <w:footnoteReference w:id="3"/>
      </w:r>
      <w:r w:rsidRPr="00061DE1">
        <w:t xml:space="preserve"> </w:t>
      </w:r>
      <w:r w:rsidRPr="00D52FB7">
        <w:t xml:space="preserve">(over 97 per cent of the </w:t>
      </w:r>
      <w:r w:rsidR="00EF6248">
        <w:t>property</w:t>
      </w:r>
      <w:r w:rsidRPr="00D52FB7">
        <w:t>)</w:t>
      </w:r>
      <w:r w:rsidRPr="00D52FB7">
        <w:rPr>
          <w:i/>
        </w:rPr>
        <w:t xml:space="preserve">. </w:t>
      </w:r>
      <w:r w:rsidRPr="00D52FB7">
        <w:t>A Strategic Management Statement details management arrangements for the remaining area.</w:t>
      </w:r>
    </w:p>
    <w:p w14:paraId="3A127689" w14:textId="2799AEF0" w:rsidR="00861A52" w:rsidRPr="00F879E6" w:rsidRDefault="00861A52" w:rsidP="00824985">
      <w:pPr>
        <w:pStyle w:val="Text"/>
        <w:rPr>
          <w:color w:val="auto"/>
        </w:rPr>
      </w:pPr>
      <w:r w:rsidRPr="00F879E6">
        <w:t xml:space="preserve">The recommendations of the 2015 Reactive Monitoring Mission and the </w:t>
      </w:r>
      <w:r w:rsidRPr="0072366C">
        <w:rPr>
          <w:color w:val="auto"/>
        </w:rPr>
        <w:t>2016</w:t>
      </w:r>
      <w:r w:rsidR="00B30368" w:rsidRPr="0072366C">
        <w:rPr>
          <w:color w:val="auto"/>
        </w:rPr>
        <w:t xml:space="preserve"> and 2018</w:t>
      </w:r>
      <w:r w:rsidRPr="0072366C">
        <w:rPr>
          <w:color w:val="auto"/>
        </w:rPr>
        <w:t xml:space="preserve"> </w:t>
      </w:r>
      <w:r w:rsidR="000056D2">
        <w:rPr>
          <w:color w:val="auto"/>
        </w:rPr>
        <w:t xml:space="preserve">decisions </w:t>
      </w:r>
      <w:r w:rsidRPr="00F879E6">
        <w:t xml:space="preserve">of the World Heritage Committee are implemented through the 2016 Management Plan, the </w:t>
      </w:r>
      <w:r w:rsidR="00B634E8" w:rsidRPr="00F879E6">
        <w:t>Strategic Management State</w:t>
      </w:r>
      <w:r w:rsidR="000350FB" w:rsidRPr="00F879E6">
        <w:t>ment</w:t>
      </w:r>
      <w:r w:rsidR="00B634E8" w:rsidRPr="00F879E6">
        <w:t xml:space="preserve"> </w:t>
      </w:r>
      <w:r w:rsidR="009334E0" w:rsidRPr="00F879E6">
        <w:t xml:space="preserve">and other statutory </w:t>
      </w:r>
      <w:r w:rsidR="009334E0" w:rsidRPr="00F879E6">
        <w:rPr>
          <w:color w:val="auto"/>
        </w:rPr>
        <w:t>measures</w:t>
      </w:r>
      <w:r w:rsidR="00B634E8" w:rsidRPr="00F879E6">
        <w:rPr>
          <w:color w:val="auto"/>
        </w:rPr>
        <w:t>, as well as the</w:t>
      </w:r>
      <w:r w:rsidR="00B634E8" w:rsidRPr="00F879E6">
        <w:t xml:space="preserve"> </w:t>
      </w:r>
      <w:r w:rsidR="001702DF" w:rsidRPr="00F879E6">
        <w:rPr>
          <w:i/>
        </w:rPr>
        <w:t>Tasmanian Wilderness World Heritage Area</w:t>
      </w:r>
      <w:r w:rsidR="00B634E8" w:rsidRPr="00F879E6">
        <w:rPr>
          <w:i/>
        </w:rPr>
        <w:t xml:space="preserve"> Business Strategy </w:t>
      </w:r>
      <w:r w:rsidR="00137E91" w:rsidRPr="00137E91">
        <w:rPr>
          <w:i/>
        </w:rPr>
        <w:t>(2018 - 2022</w:t>
      </w:r>
      <w:r w:rsidR="00B634E8" w:rsidRPr="00F879E6">
        <w:rPr>
          <w:i/>
        </w:rPr>
        <w:t>)</w:t>
      </w:r>
      <w:r w:rsidR="00B634E8" w:rsidRPr="00F879E6">
        <w:t xml:space="preserve"> and Annual Plans for the </w:t>
      </w:r>
      <w:r w:rsidR="001702DF" w:rsidRPr="00F879E6">
        <w:t>property</w:t>
      </w:r>
      <w:r w:rsidR="009334E0" w:rsidRPr="00F879E6">
        <w:rPr>
          <w:color w:val="auto"/>
        </w:rPr>
        <w:t>.</w:t>
      </w:r>
    </w:p>
    <w:p w14:paraId="715A33B1" w14:textId="3CCF3D9F" w:rsidR="00EC59E5" w:rsidRDefault="00861A52" w:rsidP="00824985">
      <w:pPr>
        <w:pStyle w:val="Text"/>
        <w:rPr>
          <w:lang w:val="en-US" w:eastAsia="ja-JP"/>
        </w:rPr>
      </w:pPr>
      <w:r w:rsidRPr="00F879E6">
        <w:t xml:space="preserve">The 2016 Management Plan reflects the Tasmanian Government’s strong commitment to protecting the property’s Outstanding Universal Value, while </w:t>
      </w:r>
      <w:r w:rsidR="009334E0" w:rsidRPr="00F879E6">
        <w:t>allowing</w:t>
      </w:r>
      <w:r w:rsidRPr="00F879E6">
        <w:t xml:space="preserve"> opportunities for sensitive and appropriate tourism experiences to present the property.</w:t>
      </w:r>
    </w:p>
    <w:p w14:paraId="2C7E09E8" w14:textId="77777777" w:rsidR="00EC59E5" w:rsidRDefault="00EC59E5" w:rsidP="00D075DF">
      <w:pPr>
        <w:pStyle w:val="Heading2"/>
        <w:spacing w:before="170"/>
      </w:pPr>
      <w:bookmarkStart w:id="33" w:name="_Toc19270655"/>
      <w:bookmarkStart w:id="34" w:name="_Toc22806700"/>
      <w:r>
        <w:t>Funding</w:t>
      </w:r>
      <w:bookmarkEnd w:id="33"/>
      <w:bookmarkEnd w:id="34"/>
    </w:p>
    <w:tbl>
      <w:tblPr>
        <w:tblStyle w:val="TableGrid"/>
        <w:tblW w:w="0" w:type="auto"/>
        <w:tblLook w:val="04A0" w:firstRow="1" w:lastRow="0" w:firstColumn="1" w:lastColumn="0" w:noHBand="0" w:noVBand="1"/>
      </w:tblPr>
      <w:tblGrid>
        <w:gridCol w:w="9350"/>
      </w:tblGrid>
      <w:tr w:rsidR="0020450F" w14:paraId="6F88B8D2" w14:textId="77777777" w:rsidTr="0020450F">
        <w:tc>
          <w:tcPr>
            <w:tcW w:w="9350" w:type="dxa"/>
          </w:tcPr>
          <w:p w14:paraId="56A41364" w14:textId="38EBE7DE" w:rsidR="0020450F" w:rsidRDefault="0020450F" w:rsidP="0020450F">
            <w:pPr>
              <w:spacing w:before="120" w:after="120" w:line="276" w:lineRule="auto"/>
              <w:ind w:left="0" w:firstLine="0"/>
              <w:rPr>
                <w:lang w:val="en-US" w:eastAsia="ja-JP"/>
              </w:rPr>
            </w:pPr>
            <w:r>
              <w:t>T</w:t>
            </w:r>
            <w:r w:rsidRPr="001C53C6">
              <w:t xml:space="preserve">he management of the </w:t>
            </w:r>
            <w:r w:rsidRPr="000056D2">
              <w:t>Tasmanian Wilderness World Heritage Area</w:t>
            </w:r>
            <w:r w:rsidRPr="001C53C6">
              <w:t xml:space="preserve"> is jointly funded by the Australian and Tasmanian </w:t>
            </w:r>
            <w:r>
              <w:t xml:space="preserve">governments. The </w:t>
            </w:r>
            <w:r w:rsidRPr="00895413">
              <w:t xml:space="preserve">total annual budget </w:t>
            </w:r>
            <w:r>
              <w:t xml:space="preserve">is </w:t>
            </w:r>
            <w:r w:rsidRPr="00895413">
              <w:t>AUD $10.2 millio</w:t>
            </w:r>
            <w:r>
              <w:t>n.</w:t>
            </w:r>
          </w:p>
        </w:tc>
      </w:tr>
    </w:tbl>
    <w:p w14:paraId="3FD36947" w14:textId="12EB0BEA" w:rsidR="00893D5B" w:rsidRPr="008E0419" w:rsidRDefault="00893D5B" w:rsidP="00B3473E">
      <w:pPr>
        <w:spacing w:before="170" w:after="0"/>
      </w:pPr>
      <w:r>
        <w:t>T</w:t>
      </w:r>
      <w:r w:rsidRPr="002049BD">
        <w:t>he Australian and Tasmanian governments</w:t>
      </w:r>
      <w:r>
        <w:t xml:space="preserve"> have a five</w:t>
      </w:r>
      <w:r w:rsidR="0020450F">
        <w:t>-</w:t>
      </w:r>
      <w:r>
        <w:t xml:space="preserve">year agreement (2018-2023) to each provide </w:t>
      </w:r>
      <w:r w:rsidRPr="008E0419">
        <w:t xml:space="preserve">AUD $5.1 million towards a total annual budget for </w:t>
      </w:r>
      <w:r w:rsidR="000056D2">
        <w:t xml:space="preserve">management and presentation of </w:t>
      </w:r>
      <w:r w:rsidRPr="008E0419">
        <w:t xml:space="preserve">the </w:t>
      </w:r>
      <w:r w:rsidR="0020450F">
        <w:t>property</w:t>
      </w:r>
      <w:r w:rsidRPr="008E0419">
        <w:t xml:space="preserve"> of AUD $10.2 million. </w:t>
      </w:r>
    </w:p>
    <w:p w14:paraId="2C7AA76E" w14:textId="7B83F1B5" w:rsidR="00893D5B" w:rsidRPr="008E0419" w:rsidRDefault="00893D5B" w:rsidP="00B3473E">
      <w:pPr>
        <w:spacing w:before="170" w:after="0"/>
      </w:pPr>
      <w:r w:rsidRPr="008E0419">
        <w:t xml:space="preserve">The Australian Government has </w:t>
      </w:r>
      <w:r w:rsidR="00BF251E">
        <w:t xml:space="preserve">also </w:t>
      </w:r>
      <w:r w:rsidRPr="008E0419">
        <w:t>provided one</w:t>
      </w:r>
      <w:r w:rsidR="00F75A9E">
        <w:noBreakHyphen/>
      </w:r>
      <w:r w:rsidRPr="008E0419">
        <w:t>off grants for specific purposes</w:t>
      </w:r>
      <w:r>
        <w:t>.</w:t>
      </w:r>
    </w:p>
    <w:p w14:paraId="7875EA3E" w14:textId="5E34D278" w:rsidR="00893D5B" w:rsidRPr="008E0419" w:rsidRDefault="00893D5B" w:rsidP="00B3473E">
      <w:pPr>
        <w:spacing w:before="170" w:after="0"/>
      </w:pPr>
      <w:r>
        <w:t>T</w:t>
      </w:r>
      <w:r w:rsidRPr="008E0419">
        <w:t xml:space="preserve">he Tasmanian Government provides </w:t>
      </w:r>
      <w:r w:rsidR="00BF251E" w:rsidRPr="008E0419">
        <w:t>management</w:t>
      </w:r>
      <w:r w:rsidR="00BF251E">
        <w:t xml:space="preserve"> </w:t>
      </w:r>
      <w:r w:rsidRPr="008E0419">
        <w:t xml:space="preserve">funding </w:t>
      </w:r>
      <w:r w:rsidR="00BF251E">
        <w:t xml:space="preserve">which is additional to the co-contribution </w:t>
      </w:r>
      <w:r w:rsidR="000046CF">
        <w:t>requirement</w:t>
      </w:r>
      <w:r w:rsidR="000046CF" w:rsidRPr="008E0419">
        <w:t xml:space="preserve">. </w:t>
      </w:r>
      <w:r w:rsidRPr="008E0419">
        <w:t xml:space="preserve">This provides for additional labour to support </w:t>
      </w:r>
      <w:r w:rsidR="007D20AF">
        <w:t>increased</w:t>
      </w:r>
      <w:r w:rsidRPr="008E0419">
        <w:t xml:space="preserve"> visitation, operating expenses and the maintenance and renewal of assets.  </w:t>
      </w:r>
    </w:p>
    <w:p w14:paraId="7A3B05D0" w14:textId="3F370CBB" w:rsidR="00893D5B" w:rsidRDefault="007D20AF" w:rsidP="00B3473E">
      <w:pPr>
        <w:spacing w:before="170" w:after="0"/>
      </w:pPr>
      <w:r>
        <w:t>In order to</w:t>
      </w:r>
      <w:r w:rsidR="00893D5B" w:rsidRPr="008E0419">
        <w:t xml:space="preserve"> ensure adequate and fit for purpose</w:t>
      </w:r>
      <w:r w:rsidRPr="007D20AF">
        <w:t xml:space="preserve"> </w:t>
      </w:r>
      <w:r w:rsidRPr="008E0419">
        <w:t>facilities</w:t>
      </w:r>
      <w:r w:rsidR="00893D5B" w:rsidRPr="008E0419">
        <w:t xml:space="preserve">, the Tasmanian Government </w:t>
      </w:r>
      <w:r w:rsidR="00893D5B">
        <w:t>has</w:t>
      </w:r>
      <w:r w:rsidR="00893D5B" w:rsidRPr="008E0419">
        <w:t xml:space="preserve"> committed a considerable capital infrastructure program to s</w:t>
      </w:r>
      <w:r w:rsidR="00895413">
        <w:t>upport tourism infrastructure</w:t>
      </w:r>
      <w:r w:rsidR="00BF251E">
        <w:t xml:space="preserve"> for the </w:t>
      </w:r>
      <w:r w:rsidR="0020450F">
        <w:t>property</w:t>
      </w:r>
      <w:r w:rsidR="00895413">
        <w:t xml:space="preserve">. </w:t>
      </w:r>
      <w:r w:rsidR="00895413" w:rsidRPr="00895413">
        <w:rPr>
          <w:b/>
        </w:rPr>
        <w:t>Table 1</w:t>
      </w:r>
      <w:r w:rsidR="00895413">
        <w:t>, s</w:t>
      </w:r>
      <w:r w:rsidR="00895413" w:rsidRPr="00895413">
        <w:rPr>
          <w:lang w:eastAsia="ja-JP"/>
        </w:rPr>
        <w:t xml:space="preserve">ourced from </w:t>
      </w:r>
      <w:r w:rsidR="00895413" w:rsidRPr="00895413">
        <w:rPr>
          <w:i/>
          <w:lang w:eastAsia="ja-JP"/>
        </w:rPr>
        <w:t>Tasmanian Wilderness World Heritage Area Business Strategy</w:t>
      </w:r>
      <w:r w:rsidR="0015562F">
        <w:rPr>
          <w:i/>
          <w:lang w:eastAsia="ja-JP"/>
        </w:rPr>
        <w:t> </w:t>
      </w:r>
      <w:r w:rsidR="00895413" w:rsidRPr="00895413">
        <w:rPr>
          <w:i/>
          <w:lang w:eastAsia="ja-JP"/>
        </w:rPr>
        <w:t>(2018</w:t>
      </w:r>
      <w:r w:rsidR="0015562F">
        <w:rPr>
          <w:i/>
          <w:lang w:eastAsia="ja-JP"/>
        </w:rPr>
        <w:t> </w:t>
      </w:r>
      <w:r w:rsidR="00895413" w:rsidRPr="00895413">
        <w:rPr>
          <w:i/>
          <w:lang w:eastAsia="ja-JP"/>
        </w:rPr>
        <w:t>-</w:t>
      </w:r>
      <w:r w:rsidR="0015562F">
        <w:rPr>
          <w:i/>
          <w:lang w:eastAsia="ja-JP"/>
        </w:rPr>
        <w:t> </w:t>
      </w:r>
      <w:r w:rsidR="00895413" w:rsidRPr="00895413">
        <w:rPr>
          <w:i/>
          <w:lang w:eastAsia="ja-JP"/>
        </w:rPr>
        <w:t>2022)</w:t>
      </w:r>
      <w:r w:rsidR="00895413">
        <w:rPr>
          <w:lang w:eastAsia="ja-JP"/>
        </w:rPr>
        <w:t xml:space="preserve">, </w:t>
      </w:r>
      <w:r>
        <w:t>outlines</w:t>
      </w:r>
      <w:r w:rsidR="00893D5B" w:rsidRPr="008E0419">
        <w:t xml:space="preserve"> the significant investment </w:t>
      </w:r>
      <w:r w:rsidR="00895413">
        <w:t xml:space="preserve">in </w:t>
      </w:r>
      <w:r w:rsidR="00895413" w:rsidRPr="008E0419">
        <w:t xml:space="preserve">assets </w:t>
      </w:r>
      <w:r w:rsidR="00895413">
        <w:t>to be</w:t>
      </w:r>
      <w:r w:rsidR="00895413" w:rsidRPr="008E0419">
        <w:t xml:space="preserve"> made</w:t>
      </w:r>
      <w:r w:rsidR="00895413">
        <w:t xml:space="preserve"> </w:t>
      </w:r>
      <w:r w:rsidR="00895413" w:rsidRPr="008E0419">
        <w:t>over the next several years</w:t>
      </w:r>
      <w:r w:rsidR="00893D5B" w:rsidRPr="008E0419">
        <w:t xml:space="preserve">. </w:t>
      </w:r>
    </w:p>
    <w:p w14:paraId="0F52CCDE" w14:textId="5E914DFA" w:rsidR="000506AC" w:rsidRDefault="00F75A9E" w:rsidP="00D415FE">
      <w:r>
        <w:br w:type="page"/>
      </w:r>
    </w:p>
    <w:p w14:paraId="5B3FF548" w14:textId="6247BF95" w:rsidR="000506AC" w:rsidRDefault="000506AC" w:rsidP="00D075DF">
      <w:pPr>
        <w:spacing w:before="170"/>
      </w:pPr>
    </w:p>
    <w:tbl>
      <w:tblPr>
        <w:tblStyle w:val="TableGridLight"/>
        <w:tblpPr w:leftFromText="180" w:rightFromText="180" w:vertAnchor="text" w:tblpXSpec="right" w:tblpY="1"/>
        <w:tblOverlap w:val="never"/>
        <w:tblW w:w="9364" w:type="dxa"/>
        <w:tblLayout w:type="fixed"/>
        <w:tblLook w:val="04A0" w:firstRow="1" w:lastRow="0" w:firstColumn="1" w:lastColumn="0" w:noHBand="0" w:noVBand="1"/>
      </w:tblPr>
      <w:tblGrid>
        <w:gridCol w:w="2849"/>
        <w:gridCol w:w="1303"/>
        <w:gridCol w:w="1303"/>
        <w:gridCol w:w="1303"/>
        <w:gridCol w:w="1303"/>
        <w:gridCol w:w="1303"/>
      </w:tblGrid>
      <w:tr w:rsidR="00034AB6" w14:paraId="4F6D81EE" w14:textId="77777777" w:rsidTr="00E01225">
        <w:trPr>
          <w:trHeight w:val="284"/>
        </w:trPr>
        <w:tc>
          <w:tcPr>
            <w:tcW w:w="2849" w:type="dxa"/>
            <w:noWrap/>
            <w:tcFitText/>
          </w:tcPr>
          <w:p w14:paraId="5A320008" w14:textId="3E34B0D0" w:rsidR="001F5B80" w:rsidRPr="00E550C7" w:rsidRDefault="001F5B80" w:rsidP="00894B1D">
            <w:pPr>
              <w:spacing w:before="170"/>
              <w:rPr>
                <w:rFonts w:cs="Arial"/>
                <w:b/>
                <w:szCs w:val="20"/>
                <w:lang w:eastAsia="ja-JP"/>
              </w:rPr>
            </w:pPr>
            <w:r w:rsidRPr="008157F9">
              <w:rPr>
                <w:rFonts w:cs="Arial"/>
                <w:b/>
                <w:spacing w:val="15"/>
                <w:szCs w:val="20"/>
                <w:lang w:eastAsia="ja-JP"/>
              </w:rPr>
              <w:t>Major capital project</w:t>
            </w:r>
            <w:r w:rsidRPr="008157F9">
              <w:rPr>
                <w:rFonts w:cs="Arial"/>
                <w:b/>
                <w:spacing w:val="285"/>
                <w:szCs w:val="20"/>
                <w:lang w:eastAsia="ja-JP"/>
              </w:rPr>
              <w:t>s</w:t>
            </w:r>
          </w:p>
        </w:tc>
        <w:tc>
          <w:tcPr>
            <w:tcW w:w="1303" w:type="dxa"/>
            <w:noWrap/>
            <w:tcFitText/>
          </w:tcPr>
          <w:p w14:paraId="35AD4C57" w14:textId="77777777" w:rsidR="001F5B80" w:rsidRPr="009D77FA" w:rsidRDefault="001F5B80" w:rsidP="00894B1D">
            <w:pPr>
              <w:spacing w:before="170"/>
              <w:rPr>
                <w:rFonts w:cs="Arial"/>
                <w:b/>
                <w:szCs w:val="20"/>
                <w:lang w:eastAsia="ja-JP"/>
              </w:rPr>
            </w:pPr>
            <w:r w:rsidRPr="008157F9">
              <w:rPr>
                <w:rFonts w:cs="Arial"/>
                <w:b/>
                <w:spacing w:val="60"/>
                <w:szCs w:val="20"/>
                <w:lang w:eastAsia="ja-JP"/>
              </w:rPr>
              <w:t>2018/1</w:t>
            </w:r>
            <w:r w:rsidRPr="008157F9">
              <w:rPr>
                <w:rFonts w:cs="Arial"/>
                <w:b/>
                <w:spacing w:val="15"/>
                <w:szCs w:val="20"/>
                <w:lang w:eastAsia="ja-JP"/>
              </w:rPr>
              <w:t>9</w:t>
            </w:r>
          </w:p>
          <w:p w14:paraId="4B3828B1" w14:textId="1D294FF2" w:rsidR="001F5B80" w:rsidRPr="00E550C7" w:rsidRDefault="00E01225" w:rsidP="00894B1D">
            <w:pPr>
              <w:spacing w:before="170"/>
              <w:rPr>
                <w:rFonts w:cs="Arial"/>
                <w:b/>
                <w:szCs w:val="20"/>
                <w:lang w:eastAsia="ja-JP"/>
              </w:rPr>
            </w:pPr>
            <w:r w:rsidRPr="009D77FA">
              <w:rPr>
                <w:rFonts w:cs="Arial"/>
                <w:b/>
                <w:spacing w:val="23"/>
                <w:szCs w:val="20"/>
                <w:lang w:eastAsia="ja-JP"/>
              </w:rPr>
              <w:t>(</w:t>
            </w:r>
            <w:r w:rsidR="00BB4A49" w:rsidRPr="009D77FA">
              <w:rPr>
                <w:rFonts w:cs="Arial"/>
                <w:b/>
                <w:spacing w:val="23"/>
                <w:szCs w:val="20"/>
                <w:lang w:eastAsia="ja-JP"/>
              </w:rPr>
              <w:t>AUD</w:t>
            </w:r>
            <w:r w:rsidR="009D77FA" w:rsidRPr="009D77FA">
              <w:rPr>
                <w:rFonts w:cs="Arial"/>
                <w:b/>
                <w:spacing w:val="23"/>
                <w:szCs w:val="20"/>
                <w:lang w:eastAsia="ja-JP"/>
              </w:rPr>
              <w:t xml:space="preserve"> </w:t>
            </w:r>
            <w:r w:rsidR="001F5B80" w:rsidRPr="009D77FA">
              <w:rPr>
                <w:b/>
                <w:spacing w:val="23"/>
              </w:rPr>
              <w:t>$M</w:t>
            </w:r>
            <w:r w:rsidRPr="009D77FA">
              <w:rPr>
                <w:rFonts w:cs="Arial"/>
                <w:b/>
                <w:spacing w:val="7"/>
                <w:szCs w:val="20"/>
                <w:lang w:eastAsia="ja-JP"/>
              </w:rPr>
              <w:t>)</w:t>
            </w:r>
          </w:p>
        </w:tc>
        <w:tc>
          <w:tcPr>
            <w:tcW w:w="1303" w:type="dxa"/>
            <w:noWrap/>
            <w:tcFitText/>
          </w:tcPr>
          <w:p w14:paraId="15446B83" w14:textId="77777777" w:rsidR="001F5B80" w:rsidRPr="009D77FA" w:rsidRDefault="001F5B80" w:rsidP="00894B1D">
            <w:pPr>
              <w:spacing w:before="170"/>
              <w:rPr>
                <w:rFonts w:cs="Arial"/>
                <w:b/>
                <w:szCs w:val="20"/>
                <w:lang w:eastAsia="ja-JP"/>
              </w:rPr>
            </w:pPr>
            <w:r w:rsidRPr="008157F9">
              <w:rPr>
                <w:rFonts w:cs="Arial"/>
                <w:b/>
                <w:spacing w:val="60"/>
                <w:szCs w:val="20"/>
                <w:lang w:eastAsia="ja-JP"/>
              </w:rPr>
              <w:t>2019/2</w:t>
            </w:r>
            <w:r w:rsidRPr="008157F9">
              <w:rPr>
                <w:rFonts w:cs="Arial"/>
                <w:b/>
                <w:spacing w:val="15"/>
                <w:szCs w:val="20"/>
                <w:lang w:eastAsia="ja-JP"/>
              </w:rPr>
              <w:t>0</w:t>
            </w:r>
          </w:p>
          <w:p w14:paraId="447DFCD2" w14:textId="43A5E6FB" w:rsidR="001F5B80" w:rsidRPr="00E550C7" w:rsidRDefault="00E01225" w:rsidP="00894B1D">
            <w:pPr>
              <w:spacing w:before="170"/>
              <w:rPr>
                <w:rFonts w:cs="Arial"/>
                <w:b/>
                <w:szCs w:val="20"/>
                <w:lang w:eastAsia="ja-JP"/>
              </w:rPr>
            </w:pPr>
            <w:r w:rsidRPr="009D77FA">
              <w:rPr>
                <w:rFonts w:cs="Arial"/>
                <w:b/>
                <w:spacing w:val="23"/>
                <w:szCs w:val="20"/>
                <w:lang w:eastAsia="ja-JP"/>
              </w:rPr>
              <w:t>(</w:t>
            </w:r>
            <w:r w:rsidR="00BB4A49" w:rsidRPr="009D77FA">
              <w:rPr>
                <w:rFonts w:cs="Arial"/>
                <w:b/>
                <w:spacing w:val="23"/>
                <w:szCs w:val="20"/>
                <w:lang w:eastAsia="ja-JP"/>
              </w:rPr>
              <w:t>AUD</w:t>
            </w:r>
            <w:r w:rsidR="009D77FA" w:rsidRPr="009D77FA">
              <w:rPr>
                <w:rFonts w:cs="Arial"/>
                <w:b/>
                <w:spacing w:val="23"/>
                <w:szCs w:val="20"/>
                <w:lang w:eastAsia="ja-JP"/>
              </w:rPr>
              <w:t xml:space="preserve"> </w:t>
            </w:r>
            <w:r w:rsidR="001F5B80" w:rsidRPr="009D77FA">
              <w:rPr>
                <w:b/>
                <w:spacing w:val="23"/>
              </w:rPr>
              <w:t>$M</w:t>
            </w:r>
            <w:r w:rsidRPr="009D77FA">
              <w:rPr>
                <w:rFonts w:cs="Arial"/>
                <w:b/>
                <w:spacing w:val="7"/>
                <w:szCs w:val="20"/>
                <w:lang w:eastAsia="ja-JP"/>
              </w:rPr>
              <w:t>)</w:t>
            </w:r>
          </w:p>
        </w:tc>
        <w:tc>
          <w:tcPr>
            <w:tcW w:w="1303" w:type="dxa"/>
            <w:noWrap/>
            <w:tcFitText/>
          </w:tcPr>
          <w:p w14:paraId="4E1D5699" w14:textId="77777777" w:rsidR="001F5B80" w:rsidRPr="009D77FA" w:rsidRDefault="001F5B80" w:rsidP="00894B1D">
            <w:pPr>
              <w:spacing w:before="170"/>
              <w:rPr>
                <w:rFonts w:cs="Arial"/>
                <w:b/>
                <w:szCs w:val="20"/>
                <w:lang w:eastAsia="ja-JP"/>
              </w:rPr>
            </w:pPr>
            <w:r w:rsidRPr="008157F9">
              <w:rPr>
                <w:rFonts w:cs="Arial"/>
                <w:b/>
                <w:spacing w:val="60"/>
                <w:szCs w:val="20"/>
                <w:lang w:eastAsia="ja-JP"/>
              </w:rPr>
              <w:t>2020/2</w:t>
            </w:r>
            <w:r w:rsidRPr="008157F9">
              <w:rPr>
                <w:rFonts w:cs="Arial"/>
                <w:b/>
                <w:spacing w:val="15"/>
                <w:szCs w:val="20"/>
                <w:lang w:eastAsia="ja-JP"/>
              </w:rPr>
              <w:t>1</w:t>
            </w:r>
          </w:p>
          <w:p w14:paraId="3058DB0F" w14:textId="2A942B6E" w:rsidR="001F5B80" w:rsidRPr="00E550C7" w:rsidRDefault="00E01225" w:rsidP="00894B1D">
            <w:pPr>
              <w:spacing w:before="170"/>
              <w:rPr>
                <w:rFonts w:cs="Arial"/>
                <w:b/>
                <w:szCs w:val="20"/>
                <w:lang w:eastAsia="ja-JP"/>
              </w:rPr>
            </w:pPr>
            <w:r w:rsidRPr="009D77FA">
              <w:rPr>
                <w:rFonts w:cs="Arial"/>
                <w:b/>
                <w:spacing w:val="23"/>
                <w:szCs w:val="20"/>
                <w:lang w:eastAsia="ja-JP"/>
              </w:rPr>
              <w:t>(</w:t>
            </w:r>
            <w:r w:rsidR="00BB4A49" w:rsidRPr="009D77FA">
              <w:rPr>
                <w:rFonts w:cs="Arial"/>
                <w:b/>
                <w:spacing w:val="23"/>
                <w:szCs w:val="20"/>
                <w:lang w:eastAsia="ja-JP"/>
              </w:rPr>
              <w:t>AUD</w:t>
            </w:r>
            <w:r w:rsidR="009D77FA" w:rsidRPr="009D77FA">
              <w:rPr>
                <w:rFonts w:cs="Arial"/>
                <w:b/>
                <w:spacing w:val="23"/>
                <w:szCs w:val="20"/>
                <w:lang w:eastAsia="ja-JP"/>
              </w:rPr>
              <w:t xml:space="preserve"> </w:t>
            </w:r>
            <w:r w:rsidR="001F5B80" w:rsidRPr="009D77FA">
              <w:rPr>
                <w:b/>
                <w:spacing w:val="23"/>
              </w:rPr>
              <w:t>$M</w:t>
            </w:r>
            <w:r w:rsidRPr="009D77FA">
              <w:rPr>
                <w:rFonts w:cs="Arial"/>
                <w:b/>
                <w:spacing w:val="7"/>
                <w:szCs w:val="20"/>
                <w:lang w:eastAsia="ja-JP"/>
              </w:rPr>
              <w:t>)</w:t>
            </w:r>
          </w:p>
        </w:tc>
        <w:tc>
          <w:tcPr>
            <w:tcW w:w="1303" w:type="dxa"/>
            <w:noWrap/>
            <w:tcFitText/>
          </w:tcPr>
          <w:p w14:paraId="6C21A971" w14:textId="77777777" w:rsidR="001F5B80" w:rsidRPr="009D77FA" w:rsidRDefault="001F5B80" w:rsidP="00894B1D">
            <w:pPr>
              <w:spacing w:before="170"/>
              <w:rPr>
                <w:rFonts w:cs="Arial"/>
                <w:b/>
                <w:szCs w:val="20"/>
                <w:lang w:eastAsia="ja-JP"/>
              </w:rPr>
            </w:pPr>
            <w:r w:rsidRPr="008157F9">
              <w:rPr>
                <w:rFonts w:cs="Arial"/>
                <w:b/>
                <w:spacing w:val="60"/>
                <w:szCs w:val="20"/>
                <w:lang w:eastAsia="ja-JP"/>
              </w:rPr>
              <w:t>2021/2</w:t>
            </w:r>
            <w:r w:rsidRPr="008157F9">
              <w:rPr>
                <w:rFonts w:cs="Arial"/>
                <w:b/>
                <w:spacing w:val="15"/>
                <w:szCs w:val="20"/>
                <w:lang w:eastAsia="ja-JP"/>
              </w:rPr>
              <w:t>2</w:t>
            </w:r>
          </w:p>
          <w:p w14:paraId="5BD88EF6" w14:textId="104137FF" w:rsidR="001F5B80" w:rsidRPr="00E550C7" w:rsidRDefault="00E01225" w:rsidP="00894B1D">
            <w:pPr>
              <w:spacing w:before="170"/>
              <w:rPr>
                <w:rFonts w:cs="Arial"/>
                <w:b/>
                <w:szCs w:val="20"/>
                <w:lang w:eastAsia="ja-JP"/>
              </w:rPr>
            </w:pPr>
            <w:r w:rsidRPr="009D77FA">
              <w:rPr>
                <w:rFonts w:cs="Arial"/>
                <w:b/>
                <w:spacing w:val="23"/>
                <w:szCs w:val="20"/>
                <w:lang w:eastAsia="ja-JP"/>
              </w:rPr>
              <w:t>(</w:t>
            </w:r>
            <w:r w:rsidR="00BB4A49" w:rsidRPr="009D77FA">
              <w:rPr>
                <w:rFonts w:cs="Arial"/>
                <w:b/>
                <w:spacing w:val="23"/>
                <w:szCs w:val="20"/>
                <w:lang w:eastAsia="ja-JP"/>
              </w:rPr>
              <w:t>AUD</w:t>
            </w:r>
            <w:r w:rsidR="009D77FA" w:rsidRPr="009D77FA">
              <w:rPr>
                <w:rFonts w:cs="Arial"/>
                <w:b/>
                <w:spacing w:val="23"/>
                <w:szCs w:val="20"/>
                <w:lang w:eastAsia="ja-JP"/>
              </w:rPr>
              <w:t xml:space="preserve"> </w:t>
            </w:r>
            <w:r w:rsidR="001F5B80" w:rsidRPr="009D77FA">
              <w:rPr>
                <w:b/>
                <w:spacing w:val="23"/>
              </w:rPr>
              <w:t>$M</w:t>
            </w:r>
            <w:r w:rsidRPr="009D77FA">
              <w:rPr>
                <w:rFonts w:cs="Arial"/>
                <w:b/>
                <w:spacing w:val="7"/>
                <w:szCs w:val="20"/>
                <w:lang w:eastAsia="ja-JP"/>
              </w:rPr>
              <w:t>)</w:t>
            </w:r>
          </w:p>
        </w:tc>
        <w:tc>
          <w:tcPr>
            <w:tcW w:w="1303" w:type="dxa"/>
            <w:noWrap/>
            <w:tcFitText/>
          </w:tcPr>
          <w:p w14:paraId="3AFCB1E2" w14:textId="77777777" w:rsidR="001F5B80" w:rsidRPr="009D77FA" w:rsidRDefault="001F5B80" w:rsidP="00894B1D">
            <w:pPr>
              <w:spacing w:before="170"/>
              <w:rPr>
                <w:rFonts w:cs="Arial"/>
                <w:b/>
                <w:szCs w:val="20"/>
                <w:lang w:eastAsia="ja-JP"/>
              </w:rPr>
            </w:pPr>
            <w:r w:rsidRPr="008157F9">
              <w:rPr>
                <w:rFonts w:cs="Arial"/>
                <w:b/>
                <w:spacing w:val="60"/>
                <w:szCs w:val="20"/>
                <w:lang w:eastAsia="ja-JP"/>
              </w:rPr>
              <w:t>2022/2</w:t>
            </w:r>
            <w:r w:rsidRPr="008157F9">
              <w:rPr>
                <w:rFonts w:cs="Arial"/>
                <w:b/>
                <w:spacing w:val="15"/>
                <w:szCs w:val="20"/>
                <w:lang w:eastAsia="ja-JP"/>
              </w:rPr>
              <w:t>3</w:t>
            </w:r>
          </w:p>
          <w:p w14:paraId="1DF15C45" w14:textId="296CA675" w:rsidR="001F5B80" w:rsidRPr="00E550C7" w:rsidRDefault="00E01225" w:rsidP="00894B1D">
            <w:pPr>
              <w:spacing w:before="170"/>
              <w:rPr>
                <w:rFonts w:cs="Arial"/>
                <w:b/>
                <w:szCs w:val="20"/>
                <w:lang w:eastAsia="ja-JP"/>
              </w:rPr>
            </w:pPr>
            <w:r w:rsidRPr="009D77FA">
              <w:rPr>
                <w:rFonts w:cs="Arial"/>
                <w:b/>
                <w:spacing w:val="23"/>
                <w:szCs w:val="20"/>
                <w:lang w:eastAsia="ja-JP"/>
              </w:rPr>
              <w:t>(</w:t>
            </w:r>
            <w:r w:rsidR="00BB4A49" w:rsidRPr="009D77FA">
              <w:rPr>
                <w:rFonts w:cs="Arial"/>
                <w:b/>
                <w:spacing w:val="23"/>
                <w:szCs w:val="20"/>
                <w:lang w:eastAsia="ja-JP"/>
              </w:rPr>
              <w:t>AUD</w:t>
            </w:r>
            <w:r w:rsidR="009D77FA" w:rsidRPr="009D77FA">
              <w:rPr>
                <w:rFonts w:cs="Arial"/>
                <w:b/>
                <w:spacing w:val="23"/>
                <w:szCs w:val="20"/>
                <w:lang w:eastAsia="ja-JP"/>
              </w:rPr>
              <w:t xml:space="preserve"> </w:t>
            </w:r>
            <w:r w:rsidR="001F5B80" w:rsidRPr="009D77FA">
              <w:rPr>
                <w:b/>
                <w:spacing w:val="23"/>
              </w:rPr>
              <w:t>$M</w:t>
            </w:r>
            <w:r w:rsidRPr="009D77FA">
              <w:rPr>
                <w:rFonts w:cs="Arial"/>
                <w:b/>
                <w:szCs w:val="20"/>
                <w:lang w:eastAsia="ja-JP"/>
              </w:rPr>
              <w:t>)</w:t>
            </w:r>
          </w:p>
        </w:tc>
      </w:tr>
      <w:tr w:rsidR="00034AB6" w14:paraId="3F4E781F" w14:textId="77777777" w:rsidTr="00293B4B">
        <w:trPr>
          <w:trHeight w:val="284"/>
        </w:trPr>
        <w:tc>
          <w:tcPr>
            <w:tcW w:w="2849" w:type="dxa"/>
          </w:tcPr>
          <w:p w14:paraId="371E7083" w14:textId="7024FC97" w:rsidR="001F5B80" w:rsidRDefault="001F5B80" w:rsidP="00137E91">
            <w:pPr>
              <w:spacing w:before="170"/>
              <w:rPr>
                <w:lang w:eastAsia="ja-JP"/>
              </w:rPr>
            </w:pPr>
            <w:r>
              <w:rPr>
                <w:lang w:eastAsia="ja-JP"/>
              </w:rPr>
              <w:t xml:space="preserve">Cradle Mountain Visitor Experience </w:t>
            </w:r>
          </w:p>
        </w:tc>
        <w:tc>
          <w:tcPr>
            <w:tcW w:w="1303" w:type="dxa"/>
            <w:vAlign w:val="center"/>
          </w:tcPr>
          <w:p w14:paraId="25CF1E65" w14:textId="7763A00C" w:rsidR="001F5B80" w:rsidRDefault="001F5B80" w:rsidP="0020450F">
            <w:pPr>
              <w:spacing w:before="170"/>
              <w:jc w:val="center"/>
              <w:rPr>
                <w:lang w:eastAsia="ja-JP"/>
              </w:rPr>
            </w:pPr>
            <w:r>
              <w:rPr>
                <w:lang w:eastAsia="ja-JP"/>
              </w:rPr>
              <w:t>17.6</w:t>
            </w:r>
          </w:p>
        </w:tc>
        <w:tc>
          <w:tcPr>
            <w:tcW w:w="1303" w:type="dxa"/>
            <w:vAlign w:val="center"/>
          </w:tcPr>
          <w:p w14:paraId="15CDC323" w14:textId="43FFD7E2" w:rsidR="001F5B80" w:rsidRDefault="001F5B80" w:rsidP="0020450F">
            <w:pPr>
              <w:spacing w:before="170"/>
              <w:jc w:val="center"/>
              <w:rPr>
                <w:lang w:eastAsia="ja-JP"/>
              </w:rPr>
            </w:pPr>
            <w:r>
              <w:rPr>
                <w:lang w:eastAsia="ja-JP"/>
              </w:rPr>
              <w:t>3.0</w:t>
            </w:r>
          </w:p>
        </w:tc>
        <w:tc>
          <w:tcPr>
            <w:tcW w:w="1303" w:type="dxa"/>
            <w:vAlign w:val="center"/>
          </w:tcPr>
          <w:p w14:paraId="11C3E345" w14:textId="4909C5C1" w:rsidR="001F5B80" w:rsidRDefault="001F5B80" w:rsidP="00CC0099">
            <w:pPr>
              <w:spacing w:before="170"/>
              <w:jc w:val="center"/>
              <w:rPr>
                <w:lang w:eastAsia="ja-JP"/>
              </w:rPr>
            </w:pPr>
            <w:r>
              <w:rPr>
                <w:lang w:eastAsia="ja-JP"/>
              </w:rPr>
              <w:t>3.0</w:t>
            </w:r>
          </w:p>
        </w:tc>
        <w:tc>
          <w:tcPr>
            <w:tcW w:w="1303" w:type="dxa"/>
            <w:vAlign w:val="center"/>
          </w:tcPr>
          <w:p w14:paraId="22F28178" w14:textId="10E8DAA2" w:rsidR="001F5B80" w:rsidRDefault="001F5B80" w:rsidP="00CC0099">
            <w:pPr>
              <w:spacing w:before="170"/>
              <w:jc w:val="center"/>
              <w:rPr>
                <w:lang w:eastAsia="ja-JP"/>
              </w:rPr>
            </w:pPr>
          </w:p>
        </w:tc>
        <w:tc>
          <w:tcPr>
            <w:tcW w:w="1303" w:type="dxa"/>
            <w:vAlign w:val="center"/>
          </w:tcPr>
          <w:p w14:paraId="4C5DA34C" w14:textId="77777777" w:rsidR="001F5B80" w:rsidRDefault="001F5B80" w:rsidP="00CC0099">
            <w:pPr>
              <w:spacing w:before="170"/>
              <w:jc w:val="center"/>
              <w:rPr>
                <w:lang w:eastAsia="ja-JP"/>
              </w:rPr>
            </w:pPr>
          </w:p>
        </w:tc>
      </w:tr>
      <w:tr w:rsidR="00034AB6" w14:paraId="43CF5112" w14:textId="77777777" w:rsidTr="00293B4B">
        <w:trPr>
          <w:trHeight w:val="284"/>
        </w:trPr>
        <w:tc>
          <w:tcPr>
            <w:tcW w:w="2849" w:type="dxa"/>
          </w:tcPr>
          <w:p w14:paraId="40630B1D" w14:textId="7C8F681A" w:rsidR="001F5B80" w:rsidRDefault="00034AB6" w:rsidP="00137E91">
            <w:pPr>
              <w:spacing w:before="170"/>
              <w:rPr>
                <w:lang w:eastAsia="ja-JP"/>
              </w:rPr>
            </w:pPr>
            <w:r w:rsidRPr="00034AB6">
              <w:rPr>
                <w:lang w:eastAsia="ja-JP"/>
              </w:rPr>
              <w:t xml:space="preserve">Cradle Mountain Experience </w:t>
            </w:r>
          </w:p>
        </w:tc>
        <w:tc>
          <w:tcPr>
            <w:tcW w:w="1303" w:type="dxa"/>
            <w:vAlign w:val="center"/>
          </w:tcPr>
          <w:p w14:paraId="32AE26CF" w14:textId="089ECA6C" w:rsidR="001F5B80" w:rsidRDefault="00034AB6" w:rsidP="0020450F">
            <w:pPr>
              <w:spacing w:before="170"/>
              <w:jc w:val="center"/>
              <w:rPr>
                <w:lang w:eastAsia="ja-JP"/>
              </w:rPr>
            </w:pPr>
            <w:r>
              <w:rPr>
                <w:lang w:eastAsia="ja-JP"/>
              </w:rPr>
              <w:t>3.0</w:t>
            </w:r>
          </w:p>
        </w:tc>
        <w:tc>
          <w:tcPr>
            <w:tcW w:w="1303" w:type="dxa"/>
            <w:vAlign w:val="center"/>
          </w:tcPr>
          <w:p w14:paraId="5E13B3C8" w14:textId="4EC856FE" w:rsidR="001F5B80" w:rsidRDefault="00034AB6" w:rsidP="0020450F">
            <w:pPr>
              <w:spacing w:before="170"/>
              <w:jc w:val="center"/>
              <w:rPr>
                <w:lang w:eastAsia="ja-JP"/>
              </w:rPr>
            </w:pPr>
            <w:r>
              <w:rPr>
                <w:lang w:eastAsia="ja-JP"/>
              </w:rPr>
              <w:t>13.0</w:t>
            </w:r>
          </w:p>
        </w:tc>
        <w:tc>
          <w:tcPr>
            <w:tcW w:w="1303" w:type="dxa"/>
            <w:vAlign w:val="center"/>
          </w:tcPr>
          <w:p w14:paraId="34E4DEAB" w14:textId="76BE2C3B" w:rsidR="001F5B80" w:rsidRDefault="00034AB6" w:rsidP="00CC0099">
            <w:pPr>
              <w:spacing w:before="170"/>
              <w:jc w:val="center"/>
              <w:rPr>
                <w:lang w:eastAsia="ja-JP"/>
              </w:rPr>
            </w:pPr>
            <w:r>
              <w:rPr>
                <w:lang w:eastAsia="ja-JP"/>
              </w:rPr>
              <w:t>15.0</w:t>
            </w:r>
          </w:p>
        </w:tc>
        <w:tc>
          <w:tcPr>
            <w:tcW w:w="1303" w:type="dxa"/>
            <w:vAlign w:val="center"/>
          </w:tcPr>
          <w:p w14:paraId="4B3F05E2" w14:textId="78B3CB17" w:rsidR="001F5B80" w:rsidRDefault="00034AB6" w:rsidP="00CC0099">
            <w:pPr>
              <w:spacing w:before="170"/>
              <w:jc w:val="center"/>
              <w:rPr>
                <w:lang w:eastAsia="ja-JP"/>
              </w:rPr>
            </w:pPr>
            <w:r>
              <w:rPr>
                <w:lang w:eastAsia="ja-JP"/>
              </w:rPr>
              <w:t>20.0</w:t>
            </w:r>
          </w:p>
        </w:tc>
        <w:tc>
          <w:tcPr>
            <w:tcW w:w="1303" w:type="dxa"/>
            <w:vAlign w:val="center"/>
          </w:tcPr>
          <w:p w14:paraId="4BD19F0B" w14:textId="248334B5" w:rsidR="001F5B80" w:rsidRDefault="00034AB6" w:rsidP="00CC0099">
            <w:pPr>
              <w:spacing w:before="170"/>
              <w:jc w:val="center"/>
              <w:rPr>
                <w:lang w:eastAsia="ja-JP"/>
              </w:rPr>
            </w:pPr>
            <w:r>
              <w:rPr>
                <w:lang w:eastAsia="ja-JP"/>
              </w:rPr>
              <w:t>14.0</w:t>
            </w:r>
          </w:p>
        </w:tc>
      </w:tr>
      <w:tr w:rsidR="00034AB6" w14:paraId="4CCBAAC1" w14:textId="77777777" w:rsidTr="00293B4B">
        <w:trPr>
          <w:trHeight w:val="284"/>
        </w:trPr>
        <w:tc>
          <w:tcPr>
            <w:tcW w:w="2849" w:type="dxa"/>
          </w:tcPr>
          <w:p w14:paraId="036604D9" w14:textId="5889C743" w:rsidR="001F5B80" w:rsidRDefault="00034AB6" w:rsidP="00894B1D">
            <w:pPr>
              <w:spacing w:before="170"/>
              <w:rPr>
                <w:lang w:eastAsia="ja-JP"/>
              </w:rPr>
            </w:pPr>
            <w:r>
              <w:rPr>
                <w:lang w:eastAsia="ja-JP"/>
              </w:rPr>
              <w:t>Overland Track Huts</w:t>
            </w:r>
          </w:p>
        </w:tc>
        <w:tc>
          <w:tcPr>
            <w:tcW w:w="1303" w:type="dxa"/>
            <w:vAlign w:val="center"/>
          </w:tcPr>
          <w:p w14:paraId="7BD49C1F" w14:textId="38AE486E" w:rsidR="001F5B80" w:rsidRDefault="00034AB6" w:rsidP="0020450F">
            <w:pPr>
              <w:spacing w:before="170"/>
              <w:jc w:val="center"/>
              <w:rPr>
                <w:lang w:eastAsia="ja-JP"/>
              </w:rPr>
            </w:pPr>
            <w:r>
              <w:rPr>
                <w:lang w:eastAsia="ja-JP"/>
              </w:rPr>
              <w:t>0.40</w:t>
            </w:r>
          </w:p>
        </w:tc>
        <w:tc>
          <w:tcPr>
            <w:tcW w:w="1303" w:type="dxa"/>
            <w:vAlign w:val="center"/>
          </w:tcPr>
          <w:p w14:paraId="2676404F" w14:textId="70F63F17" w:rsidR="001F5B80" w:rsidRDefault="00034AB6" w:rsidP="0020450F">
            <w:pPr>
              <w:spacing w:before="170"/>
              <w:jc w:val="center"/>
              <w:rPr>
                <w:lang w:eastAsia="ja-JP"/>
              </w:rPr>
            </w:pPr>
            <w:r>
              <w:rPr>
                <w:lang w:eastAsia="ja-JP"/>
              </w:rPr>
              <w:t>0</w:t>
            </w:r>
            <w:r w:rsidR="00926920">
              <w:rPr>
                <w:lang w:eastAsia="ja-JP"/>
              </w:rPr>
              <w:t>.</w:t>
            </w:r>
            <w:r>
              <w:rPr>
                <w:lang w:eastAsia="ja-JP"/>
              </w:rPr>
              <w:t>50</w:t>
            </w:r>
          </w:p>
        </w:tc>
        <w:tc>
          <w:tcPr>
            <w:tcW w:w="1303" w:type="dxa"/>
            <w:vAlign w:val="center"/>
          </w:tcPr>
          <w:p w14:paraId="218DD1AC" w14:textId="336FF325" w:rsidR="001F5B80" w:rsidRDefault="00034AB6" w:rsidP="00CC0099">
            <w:pPr>
              <w:spacing w:before="170"/>
              <w:jc w:val="center"/>
              <w:rPr>
                <w:lang w:eastAsia="ja-JP"/>
              </w:rPr>
            </w:pPr>
            <w:r>
              <w:rPr>
                <w:lang w:eastAsia="ja-JP"/>
              </w:rPr>
              <w:t>0.96</w:t>
            </w:r>
          </w:p>
        </w:tc>
        <w:tc>
          <w:tcPr>
            <w:tcW w:w="1303" w:type="dxa"/>
            <w:vAlign w:val="center"/>
          </w:tcPr>
          <w:p w14:paraId="58B16516" w14:textId="68CFABD4" w:rsidR="001F5B80" w:rsidRDefault="00034AB6" w:rsidP="00CC0099">
            <w:pPr>
              <w:spacing w:before="170"/>
              <w:jc w:val="center"/>
              <w:rPr>
                <w:lang w:eastAsia="ja-JP"/>
              </w:rPr>
            </w:pPr>
            <w:r>
              <w:rPr>
                <w:lang w:eastAsia="ja-JP"/>
              </w:rPr>
              <w:t>1.14</w:t>
            </w:r>
          </w:p>
        </w:tc>
        <w:tc>
          <w:tcPr>
            <w:tcW w:w="1303" w:type="dxa"/>
            <w:vAlign w:val="center"/>
          </w:tcPr>
          <w:p w14:paraId="287FE046" w14:textId="77777777" w:rsidR="001F5B80" w:rsidRDefault="001F5B80" w:rsidP="00CC0099">
            <w:pPr>
              <w:spacing w:before="170"/>
              <w:jc w:val="center"/>
              <w:rPr>
                <w:lang w:eastAsia="ja-JP"/>
              </w:rPr>
            </w:pPr>
          </w:p>
        </w:tc>
      </w:tr>
      <w:tr w:rsidR="00034AB6" w14:paraId="3C7D92DB" w14:textId="77777777" w:rsidTr="00293B4B">
        <w:trPr>
          <w:trHeight w:val="284"/>
        </w:trPr>
        <w:tc>
          <w:tcPr>
            <w:tcW w:w="2849" w:type="dxa"/>
          </w:tcPr>
          <w:p w14:paraId="3C629956" w14:textId="24999F90" w:rsidR="001F5B80" w:rsidRDefault="00034AB6" w:rsidP="00137E91">
            <w:pPr>
              <w:spacing w:before="170"/>
              <w:rPr>
                <w:lang w:eastAsia="ja-JP"/>
              </w:rPr>
            </w:pPr>
            <w:r>
              <w:rPr>
                <w:lang w:eastAsia="ja-JP"/>
              </w:rPr>
              <w:t xml:space="preserve">Cockle Creek improvement to the southern gateway to the </w:t>
            </w:r>
            <w:r w:rsidR="00082F78">
              <w:rPr>
                <w:lang w:eastAsia="ja-JP"/>
              </w:rPr>
              <w:t>Tasmanian Wilderness World Heritage Area</w:t>
            </w:r>
            <w:r>
              <w:rPr>
                <w:lang w:eastAsia="ja-JP"/>
              </w:rPr>
              <w:t xml:space="preserve"> </w:t>
            </w:r>
          </w:p>
        </w:tc>
        <w:tc>
          <w:tcPr>
            <w:tcW w:w="1303" w:type="dxa"/>
            <w:vAlign w:val="center"/>
          </w:tcPr>
          <w:p w14:paraId="2DA14F4F" w14:textId="056BF846" w:rsidR="001F5B80" w:rsidRDefault="00034AB6" w:rsidP="0020450F">
            <w:pPr>
              <w:spacing w:before="170"/>
              <w:jc w:val="center"/>
              <w:rPr>
                <w:lang w:eastAsia="ja-JP"/>
              </w:rPr>
            </w:pPr>
            <w:r>
              <w:rPr>
                <w:lang w:eastAsia="ja-JP"/>
              </w:rPr>
              <w:t>0.40</w:t>
            </w:r>
          </w:p>
        </w:tc>
        <w:tc>
          <w:tcPr>
            <w:tcW w:w="1303" w:type="dxa"/>
            <w:vAlign w:val="center"/>
          </w:tcPr>
          <w:p w14:paraId="206C6617" w14:textId="31DF4227" w:rsidR="001F5B80" w:rsidRDefault="00034AB6" w:rsidP="0020450F">
            <w:pPr>
              <w:spacing w:before="170"/>
              <w:jc w:val="center"/>
              <w:rPr>
                <w:lang w:eastAsia="ja-JP"/>
              </w:rPr>
            </w:pPr>
            <w:r>
              <w:rPr>
                <w:lang w:eastAsia="ja-JP"/>
              </w:rPr>
              <w:t>0</w:t>
            </w:r>
            <w:r w:rsidR="00926920">
              <w:rPr>
                <w:lang w:eastAsia="ja-JP"/>
              </w:rPr>
              <w:t>.</w:t>
            </w:r>
            <w:r>
              <w:rPr>
                <w:lang w:eastAsia="ja-JP"/>
              </w:rPr>
              <w:t>20</w:t>
            </w:r>
          </w:p>
        </w:tc>
        <w:tc>
          <w:tcPr>
            <w:tcW w:w="1303" w:type="dxa"/>
            <w:vAlign w:val="center"/>
          </w:tcPr>
          <w:p w14:paraId="79953268" w14:textId="5CF9A21D" w:rsidR="001F5B80" w:rsidRDefault="00034AB6" w:rsidP="00CC0099">
            <w:pPr>
              <w:spacing w:before="170"/>
              <w:jc w:val="center"/>
              <w:rPr>
                <w:lang w:eastAsia="ja-JP"/>
              </w:rPr>
            </w:pPr>
            <w:r>
              <w:rPr>
                <w:lang w:eastAsia="ja-JP"/>
              </w:rPr>
              <w:t>0</w:t>
            </w:r>
            <w:r w:rsidR="00926920">
              <w:rPr>
                <w:lang w:eastAsia="ja-JP"/>
              </w:rPr>
              <w:t>.</w:t>
            </w:r>
            <w:r>
              <w:rPr>
                <w:lang w:eastAsia="ja-JP"/>
              </w:rPr>
              <w:t>20</w:t>
            </w:r>
          </w:p>
        </w:tc>
        <w:tc>
          <w:tcPr>
            <w:tcW w:w="1303" w:type="dxa"/>
            <w:vAlign w:val="center"/>
          </w:tcPr>
          <w:p w14:paraId="6BBBA681" w14:textId="77777777" w:rsidR="001F5B80" w:rsidRDefault="001F5B80" w:rsidP="00CC0099">
            <w:pPr>
              <w:spacing w:before="170"/>
              <w:jc w:val="center"/>
              <w:rPr>
                <w:lang w:eastAsia="ja-JP"/>
              </w:rPr>
            </w:pPr>
          </w:p>
        </w:tc>
        <w:tc>
          <w:tcPr>
            <w:tcW w:w="1303" w:type="dxa"/>
            <w:vAlign w:val="center"/>
          </w:tcPr>
          <w:p w14:paraId="18EFA444" w14:textId="77777777" w:rsidR="001F5B80" w:rsidRDefault="001F5B80" w:rsidP="00CC0099">
            <w:pPr>
              <w:spacing w:before="170"/>
              <w:jc w:val="center"/>
              <w:rPr>
                <w:lang w:eastAsia="ja-JP"/>
              </w:rPr>
            </w:pPr>
          </w:p>
        </w:tc>
      </w:tr>
      <w:tr w:rsidR="00034AB6" w14:paraId="5F1DB3CD" w14:textId="77777777" w:rsidTr="00293B4B">
        <w:trPr>
          <w:trHeight w:val="284"/>
        </w:trPr>
        <w:tc>
          <w:tcPr>
            <w:tcW w:w="2849" w:type="dxa"/>
          </w:tcPr>
          <w:p w14:paraId="3877A058" w14:textId="348B235E" w:rsidR="001F5B80" w:rsidRDefault="000046CF" w:rsidP="00137E91">
            <w:pPr>
              <w:spacing w:before="170"/>
              <w:rPr>
                <w:lang w:eastAsia="ja-JP"/>
              </w:rPr>
            </w:pPr>
            <w:r>
              <w:rPr>
                <w:lang w:eastAsia="ja-JP"/>
              </w:rPr>
              <w:t>Maintenance</w:t>
            </w:r>
            <w:r w:rsidR="00034AB6">
              <w:rPr>
                <w:lang w:eastAsia="ja-JP"/>
              </w:rPr>
              <w:t xml:space="preserve"> Boost Funding </w:t>
            </w:r>
          </w:p>
        </w:tc>
        <w:tc>
          <w:tcPr>
            <w:tcW w:w="1303" w:type="dxa"/>
            <w:vAlign w:val="center"/>
          </w:tcPr>
          <w:p w14:paraId="604F2011" w14:textId="6EA61551" w:rsidR="001F5B80" w:rsidRDefault="00034AB6" w:rsidP="0020450F">
            <w:pPr>
              <w:spacing w:before="170"/>
              <w:jc w:val="center"/>
              <w:rPr>
                <w:lang w:eastAsia="ja-JP"/>
              </w:rPr>
            </w:pPr>
            <w:r>
              <w:rPr>
                <w:lang w:eastAsia="ja-JP"/>
              </w:rPr>
              <w:t>0</w:t>
            </w:r>
            <w:r w:rsidR="009613F1">
              <w:rPr>
                <w:lang w:eastAsia="ja-JP"/>
              </w:rPr>
              <w:t>.</w:t>
            </w:r>
            <w:r>
              <w:rPr>
                <w:lang w:eastAsia="ja-JP"/>
              </w:rPr>
              <w:t>68</w:t>
            </w:r>
          </w:p>
        </w:tc>
        <w:tc>
          <w:tcPr>
            <w:tcW w:w="1303" w:type="dxa"/>
            <w:vAlign w:val="center"/>
          </w:tcPr>
          <w:p w14:paraId="568E0CAF" w14:textId="0FBFC134" w:rsidR="001F5B80" w:rsidRDefault="00034AB6" w:rsidP="0020450F">
            <w:pPr>
              <w:spacing w:before="170"/>
              <w:jc w:val="center"/>
              <w:rPr>
                <w:lang w:eastAsia="ja-JP"/>
              </w:rPr>
            </w:pPr>
            <w:r>
              <w:rPr>
                <w:lang w:eastAsia="ja-JP"/>
              </w:rPr>
              <w:t>0.68</w:t>
            </w:r>
          </w:p>
        </w:tc>
        <w:tc>
          <w:tcPr>
            <w:tcW w:w="1303" w:type="dxa"/>
            <w:vAlign w:val="center"/>
          </w:tcPr>
          <w:p w14:paraId="22896D9E" w14:textId="4A63A542" w:rsidR="001F5B80" w:rsidRDefault="00034AB6" w:rsidP="00CC0099">
            <w:pPr>
              <w:spacing w:before="170"/>
              <w:jc w:val="center"/>
              <w:rPr>
                <w:lang w:eastAsia="ja-JP"/>
              </w:rPr>
            </w:pPr>
            <w:r>
              <w:rPr>
                <w:lang w:eastAsia="ja-JP"/>
              </w:rPr>
              <w:t>0.68</w:t>
            </w:r>
          </w:p>
        </w:tc>
        <w:tc>
          <w:tcPr>
            <w:tcW w:w="1303" w:type="dxa"/>
            <w:vAlign w:val="center"/>
          </w:tcPr>
          <w:p w14:paraId="0D3F0A49" w14:textId="6BC7A5BF" w:rsidR="001F5B80" w:rsidRDefault="00034AB6" w:rsidP="00CC0099">
            <w:pPr>
              <w:spacing w:before="170"/>
              <w:jc w:val="center"/>
              <w:rPr>
                <w:lang w:eastAsia="ja-JP"/>
              </w:rPr>
            </w:pPr>
            <w:r>
              <w:rPr>
                <w:lang w:eastAsia="ja-JP"/>
              </w:rPr>
              <w:t>0.68</w:t>
            </w:r>
          </w:p>
        </w:tc>
        <w:tc>
          <w:tcPr>
            <w:tcW w:w="1303" w:type="dxa"/>
            <w:vAlign w:val="center"/>
          </w:tcPr>
          <w:p w14:paraId="467A5BB9" w14:textId="652E893E" w:rsidR="001F5B80" w:rsidRDefault="00034AB6" w:rsidP="00CC0099">
            <w:pPr>
              <w:spacing w:before="170"/>
              <w:jc w:val="center"/>
              <w:rPr>
                <w:lang w:eastAsia="ja-JP"/>
              </w:rPr>
            </w:pPr>
            <w:r>
              <w:rPr>
                <w:lang w:eastAsia="ja-JP"/>
              </w:rPr>
              <w:t>0.68</w:t>
            </w:r>
          </w:p>
        </w:tc>
      </w:tr>
      <w:tr w:rsidR="00034AB6" w14:paraId="3BE3432B" w14:textId="77777777" w:rsidTr="00E01225">
        <w:trPr>
          <w:trHeight w:val="284"/>
        </w:trPr>
        <w:tc>
          <w:tcPr>
            <w:tcW w:w="2849" w:type="dxa"/>
          </w:tcPr>
          <w:p w14:paraId="1187B962" w14:textId="44DAE505" w:rsidR="001F5B80" w:rsidRPr="00E550C7" w:rsidRDefault="00034AB6" w:rsidP="00894B1D">
            <w:pPr>
              <w:spacing w:before="170"/>
              <w:rPr>
                <w:b/>
                <w:lang w:eastAsia="ja-JP"/>
              </w:rPr>
            </w:pPr>
            <w:r w:rsidRPr="00E550C7">
              <w:rPr>
                <w:b/>
                <w:lang w:eastAsia="ja-JP"/>
              </w:rPr>
              <w:t>Totals</w:t>
            </w:r>
          </w:p>
        </w:tc>
        <w:tc>
          <w:tcPr>
            <w:tcW w:w="1303" w:type="dxa"/>
          </w:tcPr>
          <w:p w14:paraId="1EDFAC63" w14:textId="27154E58" w:rsidR="001F5B80" w:rsidRPr="00E550C7" w:rsidRDefault="001D5BCC" w:rsidP="0020450F">
            <w:pPr>
              <w:spacing w:before="170"/>
              <w:jc w:val="center"/>
              <w:rPr>
                <w:b/>
                <w:lang w:eastAsia="ja-JP"/>
              </w:rPr>
            </w:pPr>
            <w:r>
              <w:rPr>
                <w:b/>
                <w:lang w:eastAsia="ja-JP"/>
              </w:rPr>
              <w:t>22.08</w:t>
            </w:r>
          </w:p>
        </w:tc>
        <w:tc>
          <w:tcPr>
            <w:tcW w:w="1303" w:type="dxa"/>
          </w:tcPr>
          <w:p w14:paraId="05E505E5" w14:textId="7DF5480D" w:rsidR="001F5B80" w:rsidRPr="00E550C7" w:rsidRDefault="009613F1" w:rsidP="00D415FE">
            <w:pPr>
              <w:spacing w:before="170"/>
              <w:jc w:val="center"/>
              <w:rPr>
                <w:b/>
                <w:lang w:eastAsia="ja-JP"/>
              </w:rPr>
            </w:pPr>
            <w:r w:rsidRPr="00E550C7">
              <w:rPr>
                <w:b/>
                <w:lang w:eastAsia="ja-JP"/>
              </w:rPr>
              <w:t>17.38</w:t>
            </w:r>
          </w:p>
        </w:tc>
        <w:tc>
          <w:tcPr>
            <w:tcW w:w="1303" w:type="dxa"/>
          </w:tcPr>
          <w:p w14:paraId="3E1FD0F2" w14:textId="065A77BC" w:rsidR="001F5B80" w:rsidRPr="00E550C7" w:rsidRDefault="009613F1" w:rsidP="00D415FE">
            <w:pPr>
              <w:spacing w:before="170"/>
              <w:jc w:val="center"/>
              <w:rPr>
                <w:b/>
                <w:lang w:eastAsia="ja-JP"/>
              </w:rPr>
            </w:pPr>
            <w:r w:rsidRPr="00E550C7">
              <w:rPr>
                <w:b/>
                <w:lang w:eastAsia="ja-JP"/>
              </w:rPr>
              <w:t>19.84</w:t>
            </w:r>
          </w:p>
        </w:tc>
        <w:tc>
          <w:tcPr>
            <w:tcW w:w="1303" w:type="dxa"/>
          </w:tcPr>
          <w:p w14:paraId="659FBAF0" w14:textId="6A94ACB3" w:rsidR="001F5B80" w:rsidRPr="00E550C7" w:rsidRDefault="009613F1" w:rsidP="00D415FE">
            <w:pPr>
              <w:spacing w:before="170"/>
              <w:jc w:val="center"/>
              <w:rPr>
                <w:b/>
                <w:lang w:eastAsia="ja-JP"/>
              </w:rPr>
            </w:pPr>
            <w:r w:rsidRPr="00E550C7">
              <w:rPr>
                <w:b/>
                <w:lang w:eastAsia="ja-JP"/>
              </w:rPr>
              <w:t>21.82</w:t>
            </w:r>
          </w:p>
        </w:tc>
        <w:tc>
          <w:tcPr>
            <w:tcW w:w="1303" w:type="dxa"/>
          </w:tcPr>
          <w:p w14:paraId="3BD38006" w14:textId="0F4A7742" w:rsidR="001F5B80" w:rsidRPr="00E550C7" w:rsidRDefault="004E5FAC" w:rsidP="00D415FE">
            <w:pPr>
              <w:spacing w:before="170"/>
              <w:jc w:val="center"/>
              <w:rPr>
                <w:b/>
                <w:lang w:eastAsia="ja-JP"/>
              </w:rPr>
            </w:pPr>
            <w:r w:rsidRPr="00E550C7">
              <w:rPr>
                <w:b/>
                <w:lang w:eastAsia="ja-JP"/>
              </w:rPr>
              <w:t>14.68</w:t>
            </w:r>
          </w:p>
        </w:tc>
      </w:tr>
    </w:tbl>
    <w:p w14:paraId="4E46A0E2" w14:textId="6D7DB3BF" w:rsidR="00895413" w:rsidRDefault="00895413" w:rsidP="00824985">
      <w:pPr>
        <w:spacing w:before="170"/>
        <w:rPr>
          <w:lang w:val="en-US" w:eastAsia="ja-JP"/>
        </w:rPr>
      </w:pPr>
      <w:r w:rsidRPr="00895413">
        <w:rPr>
          <w:b/>
          <w:lang w:eastAsia="ja-JP"/>
        </w:rPr>
        <w:t>Table 1</w:t>
      </w:r>
      <w:r w:rsidRPr="00895413">
        <w:rPr>
          <w:lang w:eastAsia="ja-JP"/>
        </w:rPr>
        <w:t xml:space="preserve"> </w:t>
      </w:r>
      <w:r w:rsidR="00DD6B63">
        <w:rPr>
          <w:lang w:eastAsia="ja-JP"/>
        </w:rPr>
        <w:t>Investment</w:t>
      </w:r>
      <w:r>
        <w:rPr>
          <w:lang w:eastAsia="ja-JP"/>
        </w:rPr>
        <w:t xml:space="preserve"> in assets</w:t>
      </w:r>
      <w:r w:rsidRPr="00895413">
        <w:rPr>
          <w:lang w:eastAsia="ja-JP"/>
        </w:rPr>
        <w:t xml:space="preserve"> </w:t>
      </w:r>
      <w:r w:rsidR="00DD6B63">
        <w:rPr>
          <w:lang w:eastAsia="ja-JP"/>
        </w:rPr>
        <w:t>in the Tasmanian Wilderness World Heritage Area.</w:t>
      </w:r>
    </w:p>
    <w:p w14:paraId="0696E428" w14:textId="118021F2" w:rsidR="00D02E32" w:rsidRDefault="00BF251E" w:rsidP="00B3473E">
      <w:pPr>
        <w:spacing w:before="170" w:after="0"/>
        <w:rPr>
          <w:lang w:val="en-US" w:eastAsia="ja-JP"/>
        </w:rPr>
      </w:pPr>
      <w:r>
        <w:rPr>
          <w:lang w:val="en-US" w:eastAsia="ja-JP"/>
        </w:rPr>
        <w:t>I</w:t>
      </w:r>
      <w:r w:rsidR="00D02E32">
        <w:rPr>
          <w:lang w:val="en-US" w:eastAsia="ja-JP"/>
        </w:rPr>
        <w:t xml:space="preserve">n 2017-18 the Tasmanian Government provided </w:t>
      </w:r>
      <w:r w:rsidR="000506AC">
        <w:rPr>
          <w:lang w:val="en-US" w:eastAsia="ja-JP"/>
        </w:rPr>
        <w:t>AUD</w:t>
      </w:r>
      <w:r w:rsidR="00F75A9E">
        <w:rPr>
          <w:lang w:val="en-US" w:eastAsia="ja-JP"/>
        </w:rPr>
        <w:t> </w:t>
      </w:r>
      <w:r w:rsidR="000506AC">
        <w:rPr>
          <w:lang w:val="en-US" w:eastAsia="ja-JP"/>
        </w:rPr>
        <w:t>$</w:t>
      </w:r>
      <w:r w:rsidR="00D02E32">
        <w:rPr>
          <w:lang w:val="en-US" w:eastAsia="ja-JP"/>
        </w:rPr>
        <w:t>4</w:t>
      </w:r>
      <w:r w:rsidR="00F75A9E">
        <w:rPr>
          <w:lang w:val="en-US" w:eastAsia="ja-JP"/>
        </w:rPr>
        <w:t> </w:t>
      </w:r>
      <w:r w:rsidR="00D02E32">
        <w:rPr>
          <w:lang w:val="en-US" w:eastAsia="ja-JP"/>
        </w:rPr>
        <w:t xml:space="preserve">million over four years in order to develop a better understanding of fire and to undertake planned burns within the </w:t>
      </w:r>
      <w:r>
        <w:rPr>
          <w:lang w:val="en-US" w:eastAsia="ja-JP"/>
        </w:rPr>
        <w:t xml:space="preserve">property (more detail is provided in </w:t>
      </w:r>
      <w:r w:rsidRPr="00895413">
        <w:rPr>
          <w:b/>
          <w:lang w:val="en-US" w:eastAsia="ja-JP"/>
        </w:rPr>
        <w:t>Section 3.1</w:t>
      </w:r>
      <w:r w:rsidRPr="00BF251E">
        <w:rPr>
          <w:lang w:val="en-US" w:eastAsia="ja-JP"/>
        </w:rPr>
        <w:t>)</w:t>
      </w:r>
      <w:r>
        <w:rPr>
          <w:lang w:val="en-US" w:eastAsia="ja-JP"/>
        </w:rPr>
        <w:t>. A</w:t>
      </w:r>
      <w:r w:rsidR="000673DC">
        <w:rPr>
          <w:lang w:val="en-US" w:eastAsia="ja-JP"/>
        </w:rPr>
        <w:t xml:space="preserve"> further </w:t>
      </w:r>
      <w:r w:rsidR="000506AC">
        <w:rPr>
          <w:lang w:val="en-US" w:eastAsia="ja-JP"/>
        </w:rPr>
        <w:t>AUD</w:t>
      </w:r>
      <w:r w:rsidR="00F75A9E">
        <w:rPr>
          <w:lang w:val="en-US" w:eastAsia="ja-JP"/>
        </w:rPr>
        <w:t> </w:t>
      </w:r>
      <w:r w:rsidR="000673DC">
        <w:rPr>
          <w:lang w:val="en-US" w:eastAsia="ja-JP"/>
        </w:rPr>
        <w:t xml:space="preserve">$2.68M over four years </w:t>
      </w:r>
      <w:r>
        <w:rPr>
          <w:lang w:val="en-US" w:eastAsia="ja-JP"/>
        </w:rPr>
        <w:t xml:space="preserve">was provided </w:t>
      </w:r>
      <w:r w:rsidR="00750448">
        <w:rPr>
          <w:lang w:val="en-US" w:eastAsia="ja-JP"/>
        </w:rPr>
        <w:t>to support the r</w:t>
      </w:r>
      <w:r w:rsidR="000673DC">
        <w:rPr>
          <w:lang w:val="en-US" w:eastAsia="ja-JP"/>
        </w:rPr>
        <w:t xml:space="preserve">ecovery of the </w:t>
      </w:r>
      <w:r w:rsidR="0066718D">
        <w:rPr>
          <w:lang w:val="en-US" w:eastAsia="ja-JP"/>
        </w:rPr>
        <w:t>O</w:t>
      </w:r>
      <w:r w:rsidR="000673DC">
        <w:rPr>
          <w:lang w:val="en-US" w:eastAsia="ja-JP"/>
        </w:rPr>
        <w:t>range</w:t>
      </w:r>
      <w:r w:rsidR="00F75A9E">
        <w:rPr>
          <w:lang w:val="en-US" w:eastAsia="ja-JP"/>
        </w:rPr>
        <w:t>-b</w:t>
      </w:r>
      <w:r w:rsidR="000673DC">
        <w:rPr>
          <w:lang w:val="en-US" w:eastAsia="ja-JP"/>
        </w:rPr>
        <w:t xml:space="preserve">ellied </w:t>
      </w:r>
      <w:r w:rsidR="0020450F">
        <w:rPr>
          <w:lang w:val="en-US" w:eastAsia="ja-JP"/>
        </w:rPr>
        <w:t>p</w:t>
      </w:r>
      <w:r w:rsidR="000673DC">
        <w:rPr>
          <w:lang w:val="en-US" w:eastAsia="ja-JP"/>
        </w:rPr>
        <w:t>arrot</w:t>
      </w:r>
      <w:r w:rsidR="00CE3ED2">
        <w:rPr>
          <w:lang w:val="en-US" w:eastAsia="ja-JP"/>
        </w:rPr>
        <w:t xml:space="preserve"> </w:t>
      </w:r>
      <w:r w:rsidR="00CE3ED2" w:rsidRPr="00CE3ED2">
        <w:rPr>
          <w:lang w:val="en-US" w:eastAsia="ja-JP"/>
        </w:rPr>
        <w:t xml:space="preserve">(more detail is provided in </w:t>
      </w:r>
      <w:r w:rsidR="00CE3ED2">
        <w:rPr>
          <w:b/>
          <w:lang w:val="en-US" w:eastAsia="ja-JP"/>
        </w:rPr>
        <w:t>Section</w:t>
      </w:r>
      <w:r w:rsidR="00014F5F">
        <w:rPr>
          <w:b/>
          <w:lang w:val="en-US" w:eastAsia="ja-JP"/>
        </w:rPr>
        <w:t> </w:t>
      </w:r>
      <w:r w:rsidR="00CE3ED2">
        <w:rPr>
          <w:b/>
          <w:lang w:val="en-US" w:eastAsia="ja-JP"/>
        </w:rPr>
        <w:t>3.2</w:t>
      </w:r>
      <w:r w:rsidR="00CE3ED2" w:rsidRPr="00CE3ED2">
        <w:rPr>
          <w:lang w:val="en-US" w:eastAsia="ja-JP"/>
        </w:rPr>
        <w:t>)</w:t>
      </w:r>
      <w:r w:rsidR="00D02E32">
        <w:rPr>
          <w:lang w:val="en-US" w:eastAsia="ja-JP"/>
        </w:rPr>
        <w:t>.</w:t>
      </w:r>
    </w:p>
    <w:p w14:paraId="4D840470" w14:textId="530249A3" w:rsidR="00E01225" w:rsidRDefault="00E01225" w:rsidP="00412ADC">
      <w:pPr>
        <w:rPr>
          <w:lang w:val="en-US" w:eastAsia="ja-JP"/>
        </w:rPr>
      </w:pPr>
    </w:p>
    <w:p w14:paraId="68557246" w14:textId="3A1BFC5D" w:rsidR="00AF505E" w:rsidRPr="00B05938" w:rsidRDefault="00AF505E" w:rsidP="00824985">
      <w:pPr>
        <w:pStyle w:val="Heading1"/>
        <w:spacing w:before="170"/>
        <w:ind w:left="0"/>
      </w:pPr>
      <w:bookmarkStart w:id="35" w:name="_Toc19270656"/>
      <w:bookmarkStart w:id="36" w:name="_Toc22806701"/>
      <w:r w:rsidRPr="00B05938">
        <w:t>RESPONSE FROM THE STATE PARTY TO decisions of the WORLD HERITAGE COMMITTEE</w:t>
      </w:r>
      <w:bookmarkEnd w:id="22"/>
      <w:bookmarkEnd w:id="35"/>
      <w:bookmarkEnd w:id="36"/>
    </w:p>
    <w:p w14:paraId="310DCC5C" w14:textId="77777777" w:rsidR="00EC59E5" w:rsidRDefault="007E7A7D" w:rsidP="00824985">
      <w:pPr>
        <w:pStyle w:val="Heading2"/>
        <w:spacing w:before="170"/>
      </w:pPr>
      <w:bookmarkStart w:id="37" w:name="_Toc484601100"/>
      <w:bookmarkStart w:id="38" w:name="_Toc488415804"/>
      <w:bookmarkStart w:id="39" w:name="_Toc19270657"/>
      <w:bookmarkStart w:id="40" w:name="_Toc22806702"/>
      <w:bookmarkStart w:id="41" w:name="_Toc5373735"/>
      <w:bookmarkEnd w:id="37"/>
      <w:bookmarkEnd w:id="38"/>
      <w:r>
        <w:t>Implementation of Decision</w:t>
      </w:r>
      <w:r w:rsidR="00EC59E5">
        <w:t xml:space="preserve"> 42.COM 7B.61</w:t>
      </w:r>
      <w:bookmarkEnd w:id="39"/>
      <w:bookmarkEnd w:id="40"/>
    </w:p>
    <w:p w14:paraId="7965B298" w14:textId="42536D3A" w:rsidR="005831D0" w:rsidRPr="0087285B" w:rsidRDefault="005831D0" w:rsidP="00E01225">
      <w:pPr>
        <w:spacing w:before="170" w:after="0"/>
      </w:pPr>
      <w:r>
        <w:rPr>
          <w:lang w:val="en-US" w:eastAsia="ja-JP"/>
        </w:rPr>
        <w:t xml:space="preserve">The full text of the 2018 World Heritage Committee decision </w:t>
      </w:r>
      <w:r w:rsidR="00CE3ED2">
        <w:rPr>
          <w:lang w:val="en-US" w:eastAsia="ja-JP"/>
        </w:rPr>
        <w:t xml:space="preserve">is provided </w:t>
      </w:r>
      <w:r w:rsidR="00393DE9" w:rsidRPr="00415F44">
        <w:rPr>
          <w:lang w:val="en-US" w:eastAsia="ja-JP"/>
        </w:rPr>
        <w:t>at</w:t>
      </w:r>
      <w:r w:rsidRPr="00415F44">
        <w:rPr>
          <w:lang w:val="en-US" w:eastAsia="ja-JP"/>
        </w:rPr>
        <w:t xml:space="preserve"> </w:t>
      </w:r>
      <w:r w:rsidRPr="00415F44">
        <w:rPr>
          <w:b/>
          <w:lang w:val="en-US" w:eastAsia="ja-JP"/>
        </w:rPr>
        <w:t>Appendix 1</w:t>
      </w:r>
      <w:r>
        <w:rPr>
          <w:lang w:val="en-US" w:eastAsia="ja-JP"/>
        </w:rPr>
        <w:t>.</w:t>
      </w:r>
      <w:r w:rsidR="00D82DEC">
        <w:rPr>
          <w:lang w:val="en-US" w:eastAsia="ja-JP"/>
        </w:rPr>
        <w:t xml:space="preserve"> Relevant paragraphs </w:t>
      </w:r>
      <w:r w:rsidR="00DA2E97">
        <w:rPr>
          <w:lang w:val="en-US" w:eastAsia="ja-JP"/>
        </w:rPr>
        <w:t xml:space="preserve">from the decision </w:t>
      </w:r>
      <w:r w:rsidR="00D82DEC">
        <w:rPr>
          <w:lang w:val="en-US" w:eastAsia="ja-JP"/>
        </w:rPr>
        <w:t>are quoted below</w:t>
      </w:r>
      <w:r w:rsidR="00CE3ED2">
        <w:rPr>
          <w:lang w:val="en-US" w:eastAsia="ja-JP"/>
        </w:rPr>
        <w:t>,</w:t>
      </w:r>
      <w:r w:rsidR="00D82DEC">
        <w:rPr>
          <w:lang w:val="en-US" w:eastAsia="ja-JP"/>
        </w:rPr>
        <w:t xml:space="preserve"> </w:t>
      </w:r>
      <w:r w:rsidR="000046CF">
        <w:rPr>
          <w:lang w:val="en-US" w:eastAsia="ja-JP"/>
        </w:rPr>
        <w:t>and a</w:t>
      </w:r>
      <w:r w:rsidR="00D82DEC">
        <w:rPr>
          <w:lang w:val="en-US" w:eastAsia="ja-JP"/>
        </w:rPr>
        <w:t xml:space="preserve"> State Party </w:t>
      </w:r>
      <w:r w:rsidR="00393DE9">
        <w:rPr>
          <w:lang w:val="en-US" w:eastAsia="ja-JP"/>
        </w:rPr>
        <w:t>r</w:t>
      </w:r>
      <w:r w:rsidR="00D82DEC">
        <w:rPr>
          <w:lang w:val="en-US" w:eastAsia="ja-JP"/>
        </w:rPr>
        <w:t>esponse</w:t>
      </w:r>
      <w:r w:rsidR="00DA2E97">
        <w:rPr>
          <w:lang w:val="en-US" w:eastAsia="ja-JP"/>
        </w:rPr>
        <w:t xml:space="preserve"> is provided for each</w:t>
      </w:r>
      <w:r w:rsidR="00D82DEC">
        <w:rPr>
          <w:lang w:val="en-US" w:eastAsia="ja-JP"/>
        </w:rPr>
        <w:t>.</w:t>
      </w:r>
    </w:p>
    <w:p w14:paraId="4D8174DE" w14:textId="48202491" w:rsidR="00DD0C49" w:rsidRPr="00DD0C49" w:rsidRDefault="00DD0C49" w:rsidP="00824985">
      <w:pPr>
        <w:pStyle w:val="Heading3"/>
        <w:spacing w:before="170"/>
      </w:pPr>
      <w:bookmarkStart w:id="42" w:name="_Toc19270658"/>
      <w:bookmarkStart w:id="43" w:name="_Toc22806703"/>
      <w:bookmarkStart w:id="44" w:name="_Toc8747895"/>
      <w:r w:rsidRPr="00DD0C49">
        <w:t xml:space="preserve">Implementation of the </w:t>
      </w:r>
      <w:r w:rsidR="00CE3ED2">
        <w:t xml:space="preserve">2015 </w:t>
      </w:r>
      <w:r w:rsidRPr="00DD0C49">
        <w:t>Reactive Monitoring Mission’s recommendations</w:t>
      </w:r>
      <w:bookmarkEnd w:id="42"/>
      <w:bookmarkEnd w:id="43"/>
    </w:p>
    <w:bookmarkEnd w:id="41"/>
    <w:bookmarkEnd w:id="44"/>
    <w:p w14:paraId="7A6D4807" w14:textId="77777777" w:rsidR="00DD0C49" w:rsidRDefault="00DD0C49" w:rsidP="000902A6">
      <w:pPr>
        <w:spacing w:before="170" w:after="0"/>
        <w:ind w:left="720"/>
        <w:rPr>
          <w:i/>
        </w:rPr>
      </w:pPr>
      <w:r w:rsidRPr="00DB6E51">
        <w:rPr>
          <w:b/>
        </w:rPr>
        <w:t>2018 Decision 42 COM 7B.61 Paragraph 3:</w:t>
      </w:r>
      <w:r>
        <w:rPr>
          <w:u w:val="single"/>
        </w:rPr>
        <w:t xml:space="preserve"> </w:t>
      </w:r>
      <w:r w:rsidRPr="004B4B42">
        <w:rPr>
          <w:i/>
          <w:u w:val="single"/>
        </w:rPr>
        <w:t>Welcomes</w:t>
      </w:r>
      <w:r w:rsidRPr="004B4B42">
        <w:rPr>
          <w:i/>
        </w:rPr>
        <w:t xml:space="preserve"> the ongoing implementation of the recommendations of the 2015 mission through the new 2016 Management Plan for the property, particularly the ban on commercial logging along with mineral exploration and extraction within the property and the recommendations related to fire research and management, and </w:t>
      </w:r>
      <w:r w:rsidRPr="004B4B42">
        <w:rPr>
          <w:i/>
          <w:u w:val="single"/>
        </w:rPr>
        <w:t>encourages</w:t>
      </w:r>
      <w:r w:rsidRPr="004B4B42">
        <w:rPr>
          <w:i/>
        </w:rPr>
        <w:t xml:space="preserve"> the State Party to continue its efforts in this regard.</w:t>
      </w:r>
    </w:p>
    <w:p w14:paraId="17D29B1A" w14:textId="6A94AD38" w:rsidR="00CC0099" w:rsidRDefault="00CC0099">
      <w:pPr>
        <w:spacing w:before="170" w:after="120"/>
        <w:rPr>
          <w:b/>
        </w:rPr>
      </w:pPr>
      <w:r>
        <w:rPr>
          <w:b/>
        </w:rPr>
        <w:t>State Party’s response</w:t>
      </w:r>
    </w:p>
    <w:tbl>
      <w:tblPr>
        <w:tblStyle w:val="TableGrid"/>
        <w:tblW w:w="0" w:type="auto"/>
        <w:tblLook w:val="04A0" w:firstRow="1" w:lastRow="0" w:firstColumn="1" w:lastColumn="0" w:noHBand="0" w:noVBand="1"/>
      </w:tblPr>
      <w:tblGrid>
        <w:gridCol w:w="9350"/>
      </w:tblGrid>
      <w:tr w:rsidR="00CC0099" w14:paraId="067E8980" w14:textId="77777777" w:rsidTr="00CC0099">
        <w:tc>
          <w:tcPr>
            <w:tcW w:w="9350" w:type="dxa"/>
          </w:tcPr>
          <w:p w14:paraId="1AB0AA36" w14:textId="5E7D3A8B" w:rsidR="00CC0099" w:rsidRDefault="00CC0099" w:rsidP="00CC0099">
            <w:pPr>
              <w:spacing w:before="120" w:after="120" w:line="276" w:lineRule="auto"/>
              <w:ind w:left="0" w:firstLine="0"/>
            </w:pPr>
            <w:r w:rsidRPr="00AC18FA">
              <w:t>The 2016</w:t>
            </w:r>
            <w:r>
              <w:t xml:space="preserve"> Management Plan and </w:t>
            </w:r>
            <w:r w:rsidRPr="009178CE">
              <w:t>other statutory measures</w:t>
            </w:r>
            <w:r>
              <w:t xml:space="preserve"> remain in place.</w:t>
            </w:r>
          </w:p>
        </w:tc>
      </w:tr>
    </w:tbl>
    <w:p w14:paraId="0C51A5EE" w14:textId="31F851A5" w:rsidR="00DD0C49" w:rsidRDefault="00DD0C49" w:rsidP="00E01225">
      <w:pPr>
        <w:spacing w:before="170" w:after="0"/>
      </w:pPr>
      <w:r w:rsidRPr="00AC18FA">
        <w:t xml:space="preserve">The recommendations of the 2015 Reactive Monitoring Mission and the 2016 requests of the World Heritage Committee </w:t>
      </w:r>
      <w:r w:rsidR="00DD6B63">
        <w:t>(</w:t>
      </w:r>
      <w:r w:rsidR="00DD6B63" w:rsidRPr="009426C2">
        <w:rPr>
          <w:lang w:val="en-US" w:eastAsia="ja-JP"/>
        </w:rPr>
        <w:t>Decision</w:t>
      </w:r>
      <w:r w:rsidR="00DD6B63">
        <w:rPr>
          <w:b/>
          <w:lang w:val="en-US" w:eastAsia="ja-JP"/>
        </w:rPr>
        <w:t> </w:t>
      </w:r>
      <w:hyperlink r:id="rId34" w:history="1">
        <w:r w:rsidR="00DD6B63">
          <w:rPr>
            <w:rStyle w:val="Hyperlink"/>
            <w:rFonts w:cs="Times New Roman"/>
            <w:b/>
            <w:lang w:val="en-US" w:eastAsia="ja-JP"/>
          </w:rPr>
          <w:t>40 COM </w:t>
        </w:r>
        <w:r w:rsidR="00DD6B63" w:rsidRPr="00B05938">
          <w:rPr>
            <w:rStyle w:val="Hyperlink"/>
            <w:rFonts w:cs="Times New Roman"/>
            <w:b/>
            <w:lang w:val="en-US" w:eastAsia="ja-JP"/>
          </w:rPr>
          <w:t>7B.66</w:t>
        </w:r>
      </w:hyperlink>
      <w:r w:rsidR="00DD6B63">
        <w:rPr>
          <w:lang w:val="en-US" w:eastAsia="ja-JP"/>
        </w:rPr>
        <w:t xml:space="preserve"> at </w:t>
      </w:r>
      <w:r w:rsidR="00DD6B63" w:rsidRPr="00415F44">
        <w:rPr>
          <w:b/>
          <w:lang w:val="en-US" w:eastAsia="ja-JP"/>
        </w:rPr>
        <w:t xml:space="preserve">Appendix </w:t>
      </w:r>
      <w:r w:rsidR="00DD6B63" w:rsidRPr="00855774">
        <w:rPr>
          <w:b/>
          <w:lang w:val="en-US" w:eastAsia="ja-JP"/>
        </w:rPr>
        <w:t>2</w:t>
      </w:r>
      <w:r w:rsidR="00DD6B63" w:rsidRPr="00415F44">
        <w:rPr>
          <w:lang w:val="en-US" w:eastAsia="ja-JP"/>
        </w:rPr>
        <w:t>)</w:t>
      </w:r>
      <w:r w:rsidR="00DD6B63" w:rsidRPr="00DD6B63">
        <w:rPr>
          <w:lang w:val="en-US" w:eastAsia="ja-JP"/>
        </w:rPr>
        <w:t xml:space="preserve"> </w:t>
      </w:r>
      <w:r w:rsidRPr="00DD6B63">
        <w:t>a</w:t>
      </w:r>
      <w:r w:rsidRPr="00AC18FA">
        <w:t xml:space="preserve">re implemented through the 2016 Management Plan, the Strategic Management Statement and other statutory measures. </w:t>
      </w:r>
      <w:r w:rsidRPr="00415F44">
        <w:rPr>
          <w:b/>
        </w:rPr>
        <w:t>Appendix 3</w:t>
      </w:r>
      <w:r w:rsidRPr="00415F44">
        <w:t xml:space="preserve"> of</w:t>
      </w:r>
      <w:r w:rsidRPr="00AC18FA">
        <w:t xml:space="preserve"> this report provides detail on how each of the </w:t>
      </w:r>
      <w:r w:rsidR="00575D5D" w:rsidRPr="00575D5D">
        <w:t>Reactive Monitoring Mission</w:t>
      </w:r>
      <w:r w:rsidRPr="00AC18FA">
        <w:t xml:space="preserve">’s recommendations </w:t>
      </w:r>
      <w:r w:rsidR="00471934">
        <w:t>is</w:t>
      </w:r>
      <w:r w:rsidR="00471934" w:rsidRPr="00AC18FA">
        <w:t xml:space="preserve"> </w:t>
      </w:r>
      <w:r w:rsidRPr="00AC18FA">
        <w:t>being implemented</w:t>
      </w:r>
      <w:r>
        <w:t>.</w:t>
      </w:r>
    </w:p>
    <w:p w14:paraId="6F661E89" w14:textId="713DDB22" w:rsidR="000506AC" w:rsidRDefault="000506AC" w:rsidP="00E01225">
      <w:pPr>
        <w:spacing w:before="170" w:after="0"/>
      </w:pPr>
      <w:r>
        <w:lastRenderedPageBreak/>
        <w:t xml:space="preserve">Almost all of the recommendations have been implemented and </w:t>
      </w:r>
      <w:r w:rsidR="00471934">
        <w:t xml:space="preserve">the </w:t>
      </w:r>
      <w:r>
        <w:t>other recommendation</w:t>
      </w:r>
      <w:r w:rsidR="00471934">
        <w:t>s</w:t>
      </w:r>
      <w:r>
        <w:t xml:space="preserve"> </w:t>
      </w:r>
      <w:r w:rsidR="000164AF">
        <w:t xml:space="preserve">are </w:t>
      </w:r>
      <w:r>
        <w:t xml:space="preserve">being implemented as a priority. </w:t>
      </w:r>
    </w:p>
    <w:p w14:paraId="33575F0C" w14:textId="77777777" w:rsidR="00DD0C49" w:rsidRDefault="00DD0C49" w:rsidP="00824985">
      <w:pPr>
        <w:pStyle w:val="Heading3"/>
        <w:spacing w:before="170"/>
      </w:pPr>
      <w:bookmarkStart w:id="45" w:name="_Toc19270659"/>
      <w:bookmarkStart w:id="46" w:name="_Toc22806704"/>
      <w:r>
        <w:t>Assessment criteria for commercial tourism proposals</w:t>
      </w:r>
      <w:bookmarkEnd w:id="45"/>
      <w:bookmarkEnd w:id="46"/>
    </w:p>
    <w:p w14:paraId="39E6230E" w14:textId="77777777" w:rsidR="007A6E48" w:rsidRDefault="007A6E48" w:rsidP="000902A6">
      <w:pPr>
        <w:spacing w:before="170" w:after="0"/>
        <w:ind w:left="720"/>
        <w:rPr>
          <w:i/>
          <w:szCs w:val="22"/>
        </w:rPr>
      </w:pPr>
      <w:r w:rsidRPr="00DB6E51">
        <w:rPr>
          <w:b/>
        </w:rPr>
        <w:t>2018 Decision 42 COM 7B.61 Paragraph</w:t>
      </w:r>
      <w:r>
        <w:rPr>
          <w:b/>
        </w:rPr>
        <w:t xml:space="preserve"> 4: </w:t>
      </w:r>
      <w:r w:rsidRPr="00945DBB">
        <w:rPr>
          <w:i/>
          <w:szCs w:val="22"/>
          <w:u w:val="single"/>
        </w:rPr>
        <w:t>Also welcomes</w:t>
      </w:r>
      <w:r w:rsidRPr="00945DBB">
        <w:rPr>
          <w:i/>
          <w:szCs w:val="22"/>
        </w:rPr>
        <w:t xml:space="preserve"> the specific inclusion in the Management Plan of additional assessment criteria for commercial tourism proposals and requirements to consider potential impacts on the wilderness values of the property.</w:t>
      </w:r>
    </w:p>
    <w:p w14:paraId="7E594E26" w14:textId="77777777" w:rsidR="00CC0099" w:rsidRDefault="00CC0099">
      <w:pPr>
        <w:spacing w:before="170" w:after="120"/>
        <w:rPr>
          <w:b/>
        </w:rPr>
      </w:pPr>
      <w:r>
        <w:rPr>
          <w:b/>
        </w:rPr>
        <w:t>State Party’s response</w:t>
      </w:r>
    </w:p>
    <w:tbl>
      <w:tblPr>
        <w:tblStyle w:val="TableGrid"/>
        <w:tblW w:w="0" w:type="auto"/>
        <w:tblLook w:val="04A0" w:firstRow="1" w:lastRow="0" w:firstColumn="1" w:lastColumn="0" w:noHBand="0" w:noVBand="1"/>
      </w:tblPr>
      <w:tblGrid>
        <w:gridCol w:w="9350"/>
      </w:tblGrid>
      <w:tr w:rsidR="00CC0099" w14:paraId="478131E2" w14:textId="77777777" w:rsidTr="00CC0099">
        <w:tc>
          <w:tcPr>
            <w:tcW w:w="9350" w:type="dxa"/>
          </w:tcPr>
          <w:p w14:paraId="3458A365" w14:textId="27561AA1" w:rsidR="00CC0099" w:rsidRDefault="00CC0099" w:rsidP="00CC0099">
            <w:pPr>
              <w:spacing w:before="120" w:after="120" w:line="276" w:lineRule="auto"/>
              <w:ind w:left="0" w:firstLine="0"/>
              <w:rPr>
                <w:i/>
              </w:rPr>
            </w:pPr>
            <w:r w:rsidRPr="00B0452B">
              <w:rPr>
                <w:lang w:val="en-US"/>
              </w:rPr>
              <w:t xml:space="preserve">Tasmanian and Australian government assessment and approval requirements are in place in relation to commercial tourism proposals for the </w:t>
            </w:r>
            <w:r>
              <w:rPr>
                <w:lang w:val="en-US"/>
              </w:rPr>
              <w:t>property.</w:t>
            </w:r>
          </w:p>
        </w:tc>
      </w:tr>
    </w:tbl>
    <w:p w14:paraId="2174A1E2" w14:textId="0594E484" w:rsidR="00485919" w:rsidRPr="008C0700" w:rsidRDefault="00485919" w:rsidP="00E01225">
      <w:pPr>
        <w:spacing w:before="170" w:after="0"/>
      </w:pPr>
      <w:r w:rsidRPr="008C0700">
        <w:t xml:space="preserve">The 2016 Management Plan includes a number of measures </w:t>
      </w:r>
      <w:r w:rsidR="00915F49" w:rsidRPr="008C0700">
        <w:t>in relation to commercial tourism that</w:t>
      </w:r>
      <w:r w:rsidRPr="008C0700">
        <w:t xml:space="preserve"> protect the property’s Outstanding Universal Value, including its wilderness character and cultural attributes. These include:</w:t>
      </w:r>
    </w:p>
    <w:p w14:paraId="127330F9" w14:textId="201092A3" w:rsidR="00485919" w:rsidRPr="00CC0099" w:rsidRDefault="00485919" w:rsidP="000902A6">
      <w:pPr>
        <w:pStyle w:val="Text"/>
        <w:numPr>
          <w:ilvl w:val="0"/>
          <w:numId w:val="6"/>
        </w:numPr>
        <w:spacing w:before="120" w:after="120" w:line="240" w:lineRule="atLeast"/>
        <w:ind w:left="714" w:hanging="357"/>
        <w:rPr>
          <w:lang w:val="en"/>
        </w:rPr>
      </w:pPr>
      <w:r w:rsidRPr="00CE477A">
        <w:t xml:space="preserve">additional </w:t>
      </w:r>
      <w:r w:rsidRPr="000902A6">
        <w:rPr>
          <w:lang w:val="en"/>
        </w:rPr>
        <w:t xml:space="preserve">criteria for the assessment of activities and proposals in the property that require assessment under </w:t>
      </w:r>
      <w:r w:rsidR="00987A3B" w:rsidRPr="00CC0099">
        <w:rPr>
          <w:lang w:val="en"/>
        </w:rPr>
        <w:t xml:space="preserve">Tasmania’s </w:t>
      </w:r>
      <w:r w:rsidRPr="00CC0099">
        <w:rPr>
          <w:lang w:val="en"/>
        </w:rPr>
        <w:t xml:space="preserve">Reserve Activity Assessment process to ensure </w:t>
      </w:r>
      <w:r w:rsidR="00987A3B" w:rsidRPr="00CC0099">
        <w:rPr>
          <w:lang w:val="en"/>
        </w:rPr>
        <w:t xml:space="preserve">that </w:t>
      </w:r>
      <w:r w:rsidR="00471934" w:rsidRPr="00CC0099">
        <w:rPr>
          <w:lang w:val="en"/>
        </w:rPr>
        <w:t xml:space="preserve">where </w:t>
      </w:r>
      <w:r w:rsidR="00F310BD" w:rsidRPr="00CC0099">
        <w:rPr>
          <w:lang w:val="en"/>
        </w:rPr>
        <w:t xml:space="preserve">World </w:t>
      </w:r>
      <w:r w:rsidR="00073F2B" w:rsidRPr="00CC0099">
        <w:rPr>
          <w:lang w:val="en"/>
        </w:rPr>
        <w:t>Heritage values</w:t>
      </w:r>
      <w:r w:rsidR="00471934" w:rsidRPr="00CC0099">
        <w:rPr>
          <w:lang w:val="en"/>
        </w:rPr>
        <w:t xml:space="preserve"> are </w:t>
      </w:r>
      <w:r w:rsidR="00987A3B" w:rsidRPr="00CC0099">
        <w:rPr>
          <w:lang w:val="en"/>
        </w:rPr>
        <w:t xml:space="preserve">likely to be affected </w:t>
      </w:r>
      <w:r w:rsidR="000E3689" w:rsidRPr="00CC0099">
        <w:rPr>
          <w:lang w:val="en"/>
        </w:rPr>
        <w:t xml:space="preserve">they </w:t>
      </w:r>
      <w:r w:rsidR="00987A3B" w:rsidRPr="00CC0099">
        <w:rPr>
          <w:lang w:val="en"/>
        </w:rPr>
        <w:t xml:space="preserve">are identified and managed or mitigated </w:t>
      </w:r>
      <w:r w:rsidR="00B16801" w:rsidRPr="00CC0099">
        <w:rPr>
          <w:lang w:val="en"/>
        </w:rPr>
        <w:t>(</w:t>
      </w:r>
      <w:r w:rsidR="002F0BC3">
        <w:rPr>
          <w:lang w:val="en"/>
        </w:rPr>
        <w:t>s</w:t>
      </w:r>
      <w:r w:rsidRPr="00CC0099">
        <w:rPr>
          <w:lang w:val="en"/>
        </w:rPr>
        <w:t>ection</w:t>
      </w:r>
      <w:r w:rsidR="007D1D44">
        <w:rPr>
          <w:lang w:val="en"/>
        </w:rPr>
        <w:t> </w:t>
      </w:r>
      <w:r w:rsidRPr="00CC0099">
        <w:rPr>
          <w:lang w:val="en"/>
        </w:rPr>
        <w:t>3.3.1 of the management plan)</w:t>
      </w:r>
    </w:p>
    <w:p w14:paraId="682A7A13" w14:textId="36D640CC" w:rsidR="00485919" w:rsidRPr="00CC0099" w:rsidRDefault="00485919">
      <w:pPr>
        <w:pStyle w:val="Text"/>
        <w:numPr>
          <w:ilvl w:val="0"/>
          <w:numId w:val="6"/>
        </w:numPr>
        <w:spacing w:before="120" w:after="120" w:line="240" w:lineRule="atLeast"/>
        <w:ind w:left="714" w:hanging="357"/>
        <w:rPr>
          <w:lang w:val="en"/>
        </w:rPr>
      </w:pPr>
      <w:r w:rsidRPr="00CC0099">
        <w:rPr>
          <w:lang w:val="en"/>
        </w:rPr>
        <w:t>additional strict assessment criteria to ensure commercial tourism proposals do not impact negatively on the property’</w:t>
      </w:r>
      <w:r w:rsidR="00B16801" w:rsidRPr="00CC0099">
        <w:rPr>
          <w:lang w:val="en"/>
        </w:rPr>
        <w:t>s Outstanding Universal Value (</w:t>
      </w:r>
      <w:r w:rsidR="002F0BC3">
        <w:rPr>
          <w:lang w:val="en"/>
        </w:rPr>
        <w:t>s</w:t>
      </w:r>
      <w:r w:rsidRPr="00CC0099">
        <w:rPr>
          <w:lang w:val="en"/>
        </w:rPr>
        <w:t>ection 6.8 of the management plan)</w:t>
      </w:r>
    </w:p>
    <w:p w14:paraId="409A1EE4" w14:textId="548093D2" w:rsidR="00485919" w:rsidRPr="008C0700" w:rsidRDefault="00485919">
      <w:pPr>
        <w:pStyle w:val="Text"/>
        <w:numPr>
          <w:ilvl w:val="0"/>
          <w:numId w:val="6"/>
        </w:numPr>
        <w:spacing w:before="120" w:after="120" w:line="240" w:lineRule="atLeast"/>
        <w:ind w:left="714" w:hanging="357"/>
      </w:pPr>
      <w:proofErr w:type="gramStart"/>
      <w:r w:rsidRPr="00CC0099">
        <w:rPr>
          <w:lang w:val="en"/>
        </w:rPr>
        <w:t>consideration</w:t>
      </w:r>
      <w:proofErr w:type="gramEnd"/>
      <w:r w:rsidRPr="00CC0099">
        <w:rPr>
          <w:lang w:val="en"/>
        </w:rPr>
        <w:t xml:space="preserve"> of impacts on wilderness values in the assessment of any activity in the </w:t>
      </w:r>
      <w:r w:rsidR="00831A23" w:rsidRPr="00CC0099">
        <w:rPr>
          <w:lang w:val="en"/>
        </w:rPr>
        <w:t>Tasmanian Wilderness</w:t>
      </w:r>
      <w:r w:rsidR="00831A23" w:rsidRPr="00CC0099">
        <w:rPr>
          <w:lang w:val="en-US"/>
        </w:rPr>
        <w:t xml:space="preserve"> World Heritage Area</w:t>
      </w:r>
      <w:r w:rsidR="00B16801">
        <w:t xml:space="preserve"> (</w:t>
      </w:r>
      <w:r w:rsidR="002F0BC3">
        <w:t>s</w:t>
      </w:r>
      <w:r w:rsidRPr="008C0700">
        <w:t>ection 8.2 of the management plan).</w:t>
      </w:r>
    </w:p>
    <w:p w14:paraId="739FF18F" w14:textId="7426ED8D" w:rsidR="000A1166" w:rsidRPr="008C0700" w:rsidRDefault="00485919" w:rsidP="00E01225">
      <w:pPr>
        <w:spacing w:before="170" w:after="0"/>
      </w:pPr>
      <w:r w:rsidRPr="008C0700">
        <w:t xml:space="preserve">In addition to these measures, proposed tourism activities likely to have a significant impact on the property’s World Heritage values, including the property’s wilderness character and cultural attributes, </w:t>
      </w:r>
      <w:r w:rsidR="000E3689">
        <w:t>are</w:t>
      </w:r>
      <w:r w:rsidR="000E3689" w:rsidRPr="008C0700">
        <w:t xml:space="preserve"> </w:t>
      </w:r>
      <w:r w:rsidRPr="008C0700">
        <w:t>also subject to assessment under the EPBC Act.</w:t>
      </w:r>
      <w:r w:rsidR="00DD6B63">
        <w:t xml:space="preserve"> </w:t>
      </w:r>
    </w:p>
    <w:p w14:paraId="5A02E7E5" w14:textId="0FD705EF" w:rsidR="00C708A3" w:rsidRDefault="000A1166" w:rsidP="00E01225">
      <w:pPr>
        <w:spacing w:before="170" w:after="0"/>
        <w:rPr>
          <w:lang w:val="en-US" w:eastAsia="ja-JP"/>
        </w:rPr>
      </w:pPr>
      <w:r w:rsidRPr="008C0700">
        <w:rPr>
          <w:lang w:val="en-US" w:eastAsia="ja-JP"/>
        </w:rPr>
        <w:t xml:space="preserve">Proposals under the Tasmanian Government’s expressions of interest process for tourism investment opportunities in the </w:t>
      </w:r>
      <w:r w:rsidR="00CC0099">
        <w:rPr>
          <w:lang w:val="en-US" w:eastAsia="ja-JP"/>
        </w:rPr>
        <w:t>property</w:t>
      </w:r>
      <w:r w:rsidRPr="008C0700">
        <w:rPr>
          <w:lang w:val="en-US" w:eastAsia="ja-JP"/>
        </w:rPr>
        <w:t xml:space="preserve"> must meet Tasmanian and Australian government assessment and approval requirements. </w:t>
      </w:r>
      <w:r w:rsidR="00915F49" w:rsidRPr="008C0700">
        <w:rPr>
          <w:lang w:val="en-US" w:eastAsia="ja-JP"/>
        </w:rPr>
        <w:t>Under the EPBC Act, p</w:t>
      </w:r>
      <w:r w:rsidRPr="008C0700">
        <w:rPr>
          <w:lang w:val="en-US" w:eastAsia="ja-JP"/>
        </w:rPr>
        <w:t xml:space="preserve">roposals are required to demonstrate that the activity would not have a significant impact on the Outstanding Universal Value of the </w:t>
      </w:r>
      <w:r w:rsidR="00CC0099">
        <w:rPr>
          <w:lang w:val="en-US" w:eastAsia="ja-JP"/>
        </w:rPr>
        <w:t>property</w:t>
      </w:r>
      <w:r w:rsidRPr="008C0700">
        <w:rPr>
          <w:lang w:val="en-US" w:eastAsia="ja-JP"/>
        </w:rPr>
        <w:t xml:space="preserve">. All </w:t>
      </w:r>
      <w:r w:rsidR="00667CF4" w:rsidRPr="008C0700">
        <w:rPr>
          <w:lang w:val="en-US" w:eastAsia="ja-JP"/>
        </w:rPr>
        <w:t xml:space="preserve">proposals determined to be </w:t>
      </w:r>
      <w:r w:rsidR="00993668" w:rsidRPr="008C0700">
        <w:rPr>
          <w:lang w:val="en-US" w:eastAsia="ja-JP"/>
        </w:rPr>
        <w:t>controlled a</w:t>
      </w:r>
      <w:r w:rsidR="00915F49" w:rsidRPr="008C0700">
        <w:rPr>
          <w:lang w:val="en-US" w:eastAsia="ja-JP"/>
        </w:rPr>
        <w:t>ctions</w:t>
      </w:r>
      <w:r w:rsidRPr="008C0700">
        <w:rPr>
          <w:lang w:val="en-US" w:eastAsia="ja-JP"/>
        </w:rPr>
        <w:t xml:space="preserve"> under the EPBC Act </w:t>
      </w:r>
      <w:r w:rsidR="00667CF4" w:rsidRPr="008C0700">
        <w:rPr>
          <w:lang w:val="en-US" w:eastAsia="ja-JP"/>
        </w:rPr>
        <w:t>are</w:t>
      </w:r>
      <w:r w:rsidRPr="008C0700">
        <w:rPr>
          <w:lang w:val="en-US" w:eastAsia="ja-JP"/>
        </w:rPr>
        <w:t xml:space="preserve"> included in quarterly notification reports to the World Heritage Centre</w:t>
      </w:r>
      <w:r w:rsidR="00BD1B5A" w:rsidRPr="008C0700">
        <w:rPr>
          <w:lang w:val="en-US" w:eastAsia="ja-JP"/>
        </w:rPr>
        <w:t xml:space="preserve"> (see </w:t>
      </w:r>
      <w:r w:rsidR="00BD1B5A" w:rsidRPr="00831A23">
        <w:rPr>
          <w:b/>
          <w:lang w:val="en-US" w:eastAsia="ja-JP"/>
        </w:rPr>
        <w:t>Section 1.4</w:t>
      </w:r>
      <w:r w:rsidR="00BD1B5A" w:rsidRPr="008C0700">
        <w:rPr>
          <w:lang w:val="en-US" w:eastAsia="ja-JP"/>
        </w:rPr>
        <w:t xml:space="preserve"> above)</w:t>
      </w:r>
      <w:r w:rsidRPr="008C0700">
        <w:rPr>
          <w:lang w:val="en-US" w:eastAsia="ja-JP"/>
        </w:rPr>
        <w:t>.</w:t>
      </w:r>
    </w:p>
    <w:p w14:paraId="735A71F5" w14:textId="77777777" w:rsidR="00C708A3" w:rsidRDefault="00C708A3">
      <w:pPr>
        <w:rPr>
          <w:lang w:val="en-US" w:eastAsia="ja-JP"/>
        </w:rPr>
      </w:pPr>
      <w:r>
        <w:rPr>
          <w:lang w:val="en-US" w:eastAsia="ja-JP"/>
        </w:rPr>
        <w:br w:type="page"/>
      </w:r>
    </w:p>
    <w:p w14:paraId="0CDF782D" w14:textId="77777777" w:rsidR="000A1166" w:rsidRDefault="000A1166" w:rsidP="00E01225">
      <w:pPr>
        <w:spacing w:before="170" w:after="0"/>
        <w:rPr>
          <w:lang w:val="en-US" w:eastAsia="ja-JP"/>
        </w:rPr>
      </w:pPr>
    </w:p>
    <w:p w14:paraId="3C871A3A" w14:textId="77777777" w:rsidR="00922CB3" w:rsidRDefault="00E6766E" w:rsidP="00824985">
      <w:pPr>
        <w:pStyle w:val="Heading3"/>
        <w:spacing w:before="170"/>
      </w:pPr>
      <w:bookmarkStart w:id="47" w:name="_Toc5373736"/>
      <w:bookmarkStart w:id="48" w:name="_Toc8747896"/>
      <w:bookmarkStart w:id="49" w:name="_Toc19270660"/>
      <w:bookmarkStart w:id="50" w:name="_Toc22806705"/>
      <w:r>
        <w:t>Tourism Master P</w:t>
      </w:r>
      <w:r w:rsidR="00922CB3">
        <w:t>lan</w:t>
      </w:r>
      <w:bookmarkEnd w:id="47"/>
      <w:bookmarkEnd w:id="48"/>
      <w:bookmarkEnd w:id="49"/>
      <w:bookmarkEnd w:id="50"/>
    </w:p>
    <w:p w14:paraId="2605FB56" w14:textId="3C9C2F70" w:rsidR="00C028AA" w:rsidRDefault="004B4B42" w:rsidP="000902A6">
      <w:pPr>
        <w:spacing w:before="170" w:after="0"/>
        <w:ind w:left="720"/>
        <w:rPr>
          <w:i/>
          <w:szCs w:val="22"/>
        </w:rPr>
      </w:pPr>
      <w:r w:rsidRPr="00DB6E51">
        <w:rPr>
          <w:b/>
        </w:rPr>
        <w:t>2018 Decision 42 COM 7B.61 Paragraph</w:t>
      </w:r>
      <w:r>
        <w:rPr>
          <w:b/>
        </w:rPr>
        <w:t xml:space="preserve"> 5:</w:t>
      </w:r>
      <w:r w:rsidR="00945DBB">
        <w:rPr>
          <w:b/>
        </w:rPr>
        <w:t xml:space="preserve"> </w:t>
      </w:r>
      <w:r w:rsidR="00945DBB" w:rsidRPr="00945DBB">
        <w:rPr>
          <w:i/>
          <w:szCs w:val="22"/>
          <w:u w:val="single"/>
        </w:rPr>
        <w:t>Urges</w:t>
      </w:r>
      <w:r w:rsidR="00945DBB" w:rsidRPr="00945DBB">
        <w:rPr>
          <w:i/>
          <w:szCs w:val="22"/>
        </w:rPr>
        <w:t xml:space="preserve"> the State Party to expedite the development of the Tourism Master Plan in order to ensure a strategic approach to tourism development within the property, in line with the primary goal of protecting its Outstanding Universal Value (OUV), and to submit the draft Tourism Master Plan to the World Heritage Centre for review by the Advisory Bodies prior to its finali</w:t>
      </w:r>
      <w:r w:rsidR="0024755F">
        <w:rPr>
          <w:i/>
          <w:szCs w:val="22"/>
        </w:rPr>
        <w:t>s</w:t>
      </w:r>
      <w:r w:rsidR="00945DBB" w:rsidRPr="00945DBB">
        <w:rPr>
          <w:i/>
          <w:szCs w:val="22"/>
        </w:rPr>
        <w:t>ation.</w:t>
      </w:r>
    </w:p>
    <w:p w14:paraId="5A92979A" w14:textId="6E90DE23" w:rsidR="00CC0099" w:rsidRDefault="00CC0099">
      <w:pPr>
        <w:spacing w:before="170" w:after="120"/>
        <w:rPr>
          <w:b/>
        </w:rPr>
      </w:pPr>
      <w:r>
        <w:rPr>
          <w:b/>
        </w:rPr>
        <w:t>State Party’s response</w:t>
      </w:r>
    </w:p>
    <w:tbl>
      <w:tblPr>
        <w:tblStyle w:val="TableGrid"/>
        <w:tblW w:w="0" w:type="auto"/>
        <w:tblLook w:val="04A0" w:firstRow="1" w:lastRow="0" w:firstColumn="1" w:lastColumn="0" w:noHBand="0" w:noVBand="1"/>
      </w:tblPr>
      <w:tblGrid>
        <w:gridCol w:w="9350"/>
      </w:tblGrid>
      <w:tr w:rsidR="00CC0099" w14:paraId="0CDF0C89" w14:textId="77777777" w:rsidTr="00CC0099">
        <w:tc>
          <w:tcPr>
            <w:tcW w:w="9350" w:type="dxa"/>
          </w:tcPr>
          <w:p w14:paraId="1AD23244" w14:textId="36442977" w:rsidR="00CC0099" w:rsidRDefault="00CC0099" w:rsidP="0066718D">
            <w:pPr>
              <w:spacing w:before="120" w:after="120" w:line="276" w:lineRule="auto"/>
              <w:ind w:left="0" w:firstLine="0"/>
            </w:pPr>
            <w:r w:rsidRPr="009B3884">
              <w:rPr>
                <w:lang w:val="en"/>
              </w:rPr>
              <w:t xml:space="preserve">A Tourism </w:t>
            </w:r>
            <w:r w:rsidRPr="00CC0099">
              <w:rPr>
                <w:lang w:val="en-US"/>
              </w:rPr>
              <w:t>Master</w:t>
            </w:r>
            <w:r w:rsidRPr="009B3884">
              <w:rPr>
                <w:lang w:val="en"/>
              </w:rPr>
              <w:t xml:space="preserve"> Plan for the </w:t>
            </w:r>
            <w:r>
              <w:rPr>
                <w:lang w:val="en"/>
              </w:rPr>
              <w:t xml:space="preserve">property </w:t>
            </w:r>
            <w:r w:rsidRPr="009B3884">
              <w:rPr>
                <w:lang w:val="en"/>
              </w:rPr>
              <w:t xml:space="preserve">is being </w:t>
            </w:r>
            <w:r>
              <w:rPr>
                <w:lang w:val="en"/>
              </w:rPr>
              <w:t>developed.</w:t>
            </w:r>
            <w:r w:rsidRPr="006B3F91">
              <w:rPr>
                <w:lang w:val="en"/>
              </w:rPr>
              <w:t xml:space="preserve"> A strategic paper that outline</w:t>
            </w:r>
            <w:r w:rsidR="0066718D">
              <w:rPr>
                <w:lang w:val="en"/>
              </w:rPr>
              <w:t>s</w:t>
            </w:r>
            <w:r w:rsidRPr="006B3F91">
              <w:rPr>
                <w:lang w:val="en"/>
              </w:rPr>
              <w:t xml:space="preserve"> key policy positions </w:t>
            </w:r>
            <w:r>
              <w:rPr>
                <w:lang w:val="en"/>
              </w:rPr>
              <w:t>will</w:t>
            </w:r>
            <w:r w:rsidRPr="006B3F91">
              <w:rPr>
                <w:lang w:val="en"/>
              </w:rPr>
              <w:t xml:space="preserve"> be released </w:t>
            </w:r>
            <w:r>
              <w:rPr>
                <w:lang w:val="en"/>
              </w:rPr>
              <w:t xml:space="preserve">to the </w:t>
            </w:r>
            <w:r w:rsidRPr="006B3F91">
              <w:rPr>
                <w:lang w:val="en"/>
              </w:rPr>
              <w:t xml:space="preserve">public by December 2019. A draft </w:t>
            </w:r>
            <w:r w:rsidR="007D1D44">
              <w:rPr>
                <w:lang w:val="en"/>
              </w:rPr>
              <w:t xml:space="preserve">of the </w:t>
            </w:r>
            <w:r w:rsidR="007D1D44" w:rsidRPr="007D1D44">
              <w:rPr>
                <w:lang w:val="en"/>
              </w:rPr>
              <w:t xml:space="preserve">Tourism </w:t>
            </w:r>
            <w:r w:rsidR="007D1D44" w:rsidRPr="007D1D44">
              <w:rPr>
                <w:lang w:val="en-US"/>
              </w:rPr>
              <w:t>Master</w:t>
            </w:r>
            <w:r w:rsidR="007D1D44" w:rsidRPr="007D1D44">
              <w:rPr>
                <w:lang w:val="en"/>
              </w:rPr>
              <w:t xml:space="preserve"> Plan </w:t>
            </w:r>
            <w:r w:rsidRPr="006B3F91">
              <w:rPr>
                <w:lang w:val="en"/>
              </w:rPr>
              <w:t xml:space="preserve">will then be </w:t>
            </w:r>
            <w:r>
              <w:rPr>
                <w:lang w:val="en"/>
              </w:rPr>
              <w:t xml:space="preserve">released </w:t>
            </w:r>
            <w:r w:rsidRPr="006B3F91">
              <w:rPr>
                <w:lang w:val="en"/>
              </w:rPr>
              <w:t xml:space="preserve">for </w:t>
            </w:r>
            <w:r w:rsidRPr="00D415FE">
              <w:rPr>
                <w:lang w:val="en"/>
              </w:rPr>
              <w:t xml:space="preserve">public </w:t>
            </w:r>
            <w:r>
              <w:rPr>
                <w:lang w:val="en"/>
              </w:rPr>
              <w:t>consultation</w:t>
            </w:r>
            <w:r w:rsidRPr="00D415FE">
              <w:rPr>
                <w:lang w:val="en"/>
              </w:rPr>
              <w:t xml:space="preserve"> in March 2020</w:t>
            </w:r>
            <w:r w:rsidR="00BB292E">
              <w:rPr>
                <w:lang w:val="en"/>
              </w:rPr>
              <w:t>.</w:t>
            </w:r>
          </w:p>
        </w:tc>
      </w:tr>
    </w:tbl>
    <w:p w14:paraId="4F50751C" w14:textId="7F1B4037" w:rsidR="00564250" w:rsidRPr="00087C5B" w:rsidRDefault="00564250" w:rsidP="00FF381A">
      <w:pPr>
        <w:pStyle w:val="Text"/>
      </w:pPr>
      <w:r w:rsidRPr="00087C5B">
        <w:t xml:space="preserve">The </w:t>
      </w:r>
      <w:r w:rsidR="00BB292E">
        <w:t>property</w:t>
      </w:r>
      <w:r w:rsidRPr="00087C5B">
        <w:t xml:space="preserve"> is a popular destination for </w:t>
      </w:r>
      <w:r w:rsidR="00BD1B5A" w:rsidRPr="00087C5B">
        <w:t xml:space="preserve">local, </w:t>
      </w:r>
      <w:r w:rsidRPr="00087C5B">
        <w:t>domestic and international visitors</w:t>
      </w:r>
      <w:r w:rsidR="00B97F42">
        <w:t xml:space="preserve"> and its</w:t>
      </w:r>
      <w:r w:rsidRPr="00087C5B">
        <w:t xml:space="preserve"> </w:t>
      </w:r>
      <w:r w:rsidR="0022533F" w:rsidRPr="00087C5B">
        <w:t xml:space="preserve">Outstanding Universal </w:t>
      </w:r>
      <w:r w:rsidR="00087C5B" w:rsidRPr="00087C5B">
        <w:t>Value is presented through many</w:t>
      </w:r>
      <w:r w:rsidR="0022533F" w:rsidRPr="00087C5B">
        <w:t xml:space="preserve"> diverse visitor e</w:t>
      </w:r>
      <w:r w:rsidRPr="00087C5B">
        <w:t>xperiences.</w:t>
      </w:r>
    </w:p>
    <w:p w14:paraId="0B7CA7F8" w14:textId="63B3C497" w:rsidR="00B97F42" w:rsidRDefault="00B97F42" w:rsidP="00FF381A">
      <w:pPr>
        <w:pStyle w:val="Text"/>
      </w:pPr>
      <w:r>
        <w:t>T</w:t>
      </w:r>
      <w:r w:rsidR="00564250" w:rsidRPr="00087C5B">
        <w:t xml:space="preserve">he 2016 Management Plan </w:t>
      </w:r>
      <w:r w:rsidR="005337A4" w:rsidRPr="00087C5B">
        <w:t>(</w:t>
      </w:r>
      <w:r w:rsidR="002F0BC3">
        <w:t>s</w:t>
      </w:r>
      <w:r w:rsidR="005337A4" w:rsidRPr="007D1D44">
        <w:t>ection 6.1</w:t>
      </w:r>
      <w:r w:rsidR="005337A4" w:rsidRPr="00087C5B">
        <w:t>)</w:t>
      </w:r>
      <w:r w:rsidR="005337A4">
        <w:t xml:space="preserve"> </w:t>
      </w:r>
      <w:r w:rsidR="00564250" w:rsidRPr="00087C5B">
        <w:t>requires that a Tourism Master Plan be developed for the property</w:t>
      </w:r>
      <w:r w:rsidR="005337A4">
        <w:t>,</w:t>
      </w:r>
      <w:r w:rsidR="00564250" w:rsidRPr="00087C5B">
        <w:t xml:space="preserve"> </w:t>
      </w:r>
      <w:r>
        <w:t>in order to</w:t>
      </w:r>
      <w:r w:rsidRPr="00087C5B">
        <w:t xml:space="preserve"> ensure a strategic approach to </w:t>
      </w:r>
      <w:r>
        <w:t>its</w:t>
      </w:r>
      <w:r w:rsidRPr="00087C5B">
        <w:t xml:space="preserve"> presentation</w:t>
      </w:r>
      <w:r>
        <w:t xml:space="preserve">. </w:t>
      </w:r>
      <w:r w:rsidR="005337A4">
        <w:t>A</w:t>
      </w:r>
      <w:r w:rsidR="005337A4" w:rsidRPr="005337A4">
        <w:t xml:space="preserve"> Tourism Master Plan </w:t>
      </w:r>
      <w:r w:rsidR="005337A4">
        <w:t xml:space="preserve">is being </w:t>
      </w:r>
      <w:r w:rsidR="000046CF">
        <w:t>developed,</w:t>
      </w:r>
      <w:r w:rsidRPr="00F05B1D">
        <w:t xml:space="preserve"> in consultation with the tourism industry, Tasmanian Aboriginal people and key stakeholders. </w:t>
      </w:r>
    </w:p>
    <w:p w14:paraId="7F4C6808" w14:textId="5B109F50" w:rsidR="00B97F42" w:rsidRPr="00F05B1D" w:rsidRDefault="00B97F42" w:rsidP="00D415FE">
      <w:pPr>
        <w:pStyle w:val="Text"/>
      </w:pPr>
      <w:r w:rsidRPr="00F05B1D">
        <w:t xml:space="preserve">The Tourism Master Plan will be based on an analysis of data, including current and future visitor expectations and demand. It will consider factors such as the diversity of visitor experiences, social inclusion, access, sustainable use, accreditation for staff and operators and opportunities to present and conserve the </w:t>
      </w:r>
      <w:r w:rsidR="00BB292E">
        <w:t>property’s</w:t>
      </w:r>
      <w:r w:rsidRPr="00F05B1D">
        <w:t xml:space="preserve"> values through strategic partnership arrangements, including with neighbouring communities. </w:t>
      </w:r>
    </w:p>
    <w:p w14:paraId="695CB94B" w14:textId="0762CEF1" w:rsidR="00B97F42" w:rsidRDefault="00081B3B" w:rsidP="00824985">
      <w:pPr>
        <w:pStyle w:val="Text"/>
      </w:pPr>
      <w:r w:rsidRPr="00D73679">
        <w:t>A</w:t>
      </w:r>
      <w:r w:rsidR="00B121C2" w:rsidRPr="00D73679">
        <w:t xml:space="preserve"> </w:t>
      </w:r>
      <w:r w:rsidR="005A308D" w:rsidRPr="00D73679">
        <w:t xml:space="preserve">strategic paper </w:t>
      </w:r>
      <w:r w:rsidR="00B97F42">
        <w:t>outlining</w:t>
      </w:r>
      <w:r w:rsidR="005A308D" w:rsidRPr="00D73679">
        <w:t xml:space="preserve"> </w:t>
      </w:r>
      <w:r w:rsidR="00061DE1" w:rsidRPr="00D73679">
        <w:t xml:space="preserve">key </w:t>
      </w:r>
      <w:r w:rsidR="005A308D" w:rsidRPr="00D73679">
        <w:t xml:space="preserve">policy positions </w:t>
      </w:r>
      <w:r w:rsidR="0024755F">
        <w:t>will</w:t>
      </w:r>
      <w:r w:rsidR="005A308D" w:rsidRPr="00D73679">
        <w:t xml:space="preserve"> be released </w:t>
      </w:r>
      <w:r w:rsidR="001D110B">
        <w:t xml:space="preserve">to the </w:t>
      </w:r>
      <w:r w:rsidR="005A308D" w:rsidRPr="00D73679">
        <w:t xml:space="preserve">public </w:t>
      </w:r>
      <w:r w:rsidR="00073F2B">
        <w:t>in</w:t>
      </w:r>
      <w:r w:rsidR="00073F2B" w:rsidRPr="00D73679">
        <w:t xml:space="preserve"> December</w:t>
      </w:r>
      <w:r w:rsidR="005A308D" w:rsidRPr="00D73679">
        <w:t xml:space="preserve"> 2019. This will be followed by the release of a </w:t>
      </w:r>
      <w:r w:rsidR="00B121C2" w:rsidRPr="00D73679">
        <w:t xml:space="preserve">draft Tourism Master Plan for public comment in </w:t>
      </w:r>
      <w:r w:rsidR="00061DE1" w:rsidRPr="00D73679">
        <w:t>March</w:t>
      </w:r>
      <w:r w:rsidR="005A308D" w:rsidRPr="00D73679">
        <w:t xml:space="preserve"> 2020</w:t>
      </w:r>
      <w:r w:rsidR="00061DE1" w:rsidRPr="00D73679">
        <w:t>.</w:t>
      </w:r>
      <w:r w:rsidR="00E268DA" w:rsidRPr="00E268DA">
        <w:t xml:space="preserve"> </w:t>
      </w:r>
      <w:r w:rsidR="00AD1655">
        <w:t>T</w:t>
      </w:r>
      <w:r w:rsidR="007D4C47" w:rsidRPr="00DE3FDF">
        <w:t>he</w:t>
      </w:r>
      <w:r w:rsidR="007D4C47" w:rsidRPr="00582FA1">
        <w:t xml:space="preserve"> draft Tourism Master Plan will be submitted to the World Heritage Centre for review, as required in Decision 42 COM 7B.61, Paragraph</w:t>
      </w:r>
      <w:r w:rsidR="004B3EC2">
        <w:t> </w:t>
      </w:r>
      <w:r w:rsidR="007D4C47" w:rsidRPr="00582FA1">
        <w:t>5.</w:t>
      </w:r>
      <w:r w:rsidR="00E268DA" w:rsidRPr="00582FA1">
        <w:t xml:space="preserve"> </w:t>
      </w:r>
    </w:p>
    <w:p w14:paraId="5CA99FE4" w14:textId="33F2D93A" w:rsidR="00F05B1D" w:rsidRPr="00F05B1D" w:rsidRDefault="008203DD" w:rsidP="00824985">
      <w:pPr>
        <w:pStyle w:val="Text"/>
      </w:pPr>
      <w:r>
        <w:t>When completed, t</w:t>
      </w:r>
      <w:r w:rsidR="00061DE1" w:rsidRPr="00D73679">
        <w:t>he final Tourism Master Plan</w:t>
      </w:r>
      <w:r w:rsidR="00081B3B" w:rsidRPr="00D73679">
        <w:t xml:space="preserve"> </w:t>
      </w:r>
      <w:r w:rsidR="00F05B1D" w:rsidRPr="00F05B1D">
        <w:t>will provide additional guidance, context and policy direction for tourism and recreation in the property, within the planning framework provided by the 2016</w:t>
      </w:r>
      <w:r w:rsidR="00BB292E">
        <w:t> </w:t>
      </w:r>
      <w:r w:rsidR="00F05B1D" w:rsidRPr="00F05B1D">
        <w:t xml:space="preserve">Management Plan. </w:t>
      </w:r>
    </w:p>
    <w:p w14:paraId="7267DD2B" w14:textId="59DEABF6" w:rsidR="00C708A3" w:rsidRDefault="00B97F42" w:rsidP="00824985">
      <w:pPr>
        <w:pStyle w:val="Text"/>
        <w:rPr>
          <w:color w:val="auto"/>
        </w:rPr>
      </w:pPr>
      <w:r w:rsidRPr="00B97F42">
        <w:t>The Tourism Master Plan</w:t>
      </w:r>
      <w:r w:rsidRPr="00B97F42" w:rsidDel="00B97F42">
        <w:t xml:space="preserve"> </w:t>
      </w:r>
      <w:r w:rsidR="00F05B1D" w:rsidRPr="00F05B1D">
        <w:t xml:space="preserve">will promote protection and presentation of the </w:t>
      </w:r>
      <w:r w:rsidR="00BB292E">
        <w:t>property</w:t>
      </w:r>
      <w:r w:rsidR="00F05B1D" w:rsidRPr="00F05B1D">
        <w:t xml:space="preserve">’s natural and cultural values and will ensure that the interpretation and presentation of the property’s Aboriginal cultural values is determined by Aboriginal people and guided </w:t>
      </w:r>
      <w:r w:rsidR="00F05B1D" w:rsidRPr="002433E6">
        <w:rPr>
          <w:color w:val="auto"/>
        </w:rPr>
        <w:t xml:space="preserve">by </w:t>
      </w:r>
      <w:r w:rsidRPr="002433E6">
        <w:rPr>
          <w:color w:val="auto"/>
        </w:rPr>
        <w:t xml:space="preserve">the </w:t>
      </w:r>
      <w:r w:rsidR="00F05B1D" w:rsidRPr="00F05B1D">
        <w:rPr>
          <w:color w:val="auto"/>
        </w:rPr>
        <w:t>projects underway as part of Aboriginal Heritage Tasmania’s priority works program</w:t>
      </w:r>
      <w:r w:rsidR="00AC1A04">
        <w:rPr>
          <w:color w:val="auto"/>
        </w:rPr>
        <w:t xml:space="preserve"> (further detail on this is provided at </w:t>
      </w:r>
      <w:r w:rsidR="00AC1A04" w:rsidRPr="00B16801">
        <w:rPr>
          <w:b/>
          <w:color w:val="auto"/>
        </w:rPr>
        <w:t>Section 2.1.6</w:t>
      </w:r>
      <w:r w:rsidR="00AC1A04">
        <w:rPr>
          <w:color w:val="auto"/>
        </w:rPr>
        <w:t>)</w:t>
      </w:r>
      <w:r w:rsidR="00F05B1D">
        <w:rPr>
          <w:color w:val="auto"/>
        </w:rPr>
        <w:t>.</w:t>
      </w:r>
    </w:p>
    <w:p w14:paraId="4E77D049" w14:textId="77777777" w:rsidR="00C708A3" w:rsidRDefault="00C708A3">
      <w:pPr>
        <w:rPr>
          <w:rFonts w:eastAsiaTheme="minorHAnsi" w:cs="Arial"/>
          <w:szCs w:val="20"/>
        </w:rPr>
      </w:pPr>
      <w:r>
        <w:br w:type="page"/>
      </w:r>
    </w:p>
    <w:p w14:paraId="1A5C16AD" w14:textId="77777777" w:rsidR="00B121C2" w:rsidRPr="00087C5B" w:rsidRDefault="00B121C2" w:rsidP="00824985">
      <w:pPr>
        <w:pStyle w:val="Text"/>
      </w:pPr>
    </w:p>
    <w:p w14:paraId="77DBFB18" w14:textId="04603AD1" w:rsidR="00C028AA" w:rsidRDefault="00C028AA" w:rsidP="00824985">
      <w:pPr>
        <w:pStyle w:val="Heading3"/>
        <w:spacing w:before="170"/>
      </w:pPr>
      <w:bookmarkStart w:id="51" w:name="_Toc5373737"/>
      <w:bookmarkStart w:id="52" w:name="_Toc19270661"/>
      <w:bookmarkStart w:id="53" w:name="_Toc22806706"/>
      <w:r>
        <w:t>Designation of land zoned for potential timber production as reserves</w:t>
      </w:r>
      <w:bookmarkEnd w:id="51"/>
      <w:bookmarkEnd w:id="52"/>
      <w:bookmarkEnd w:id="53"/>
    </w:p>
    <w:p w14:paraId="4D3CB4BD" w14:textId="66E52E7F" w:rsidR="00C028AA" w:rsidRDefault="004B4B42" w:rsidP="000902A6">
      <w:pPr>
        <w:spacing w:before="170" w:after="0"/>
        <w:ind w:left="720"/>
        <w:rPr>
          <w:i/>
          <w:szCs w:val="22"/>
        </w:rPr>
      </w:pPr>
      <w:r w:rsidRPr="00DB6E51">
        <w:rPr>
          <w:b/>
        </w:rPr>
        <w:t>2018</w:t>
      </w:r>
      <w:r>
        <w:rPr>
          <w:b/>
        </w:rPr>
        <w:t xml:space="preserve"> Decision 42 COM 7B.61 Paragraph 6:</w:t>
      </w:r>
      <w:r w:rsidR="00945DBB" w:rsidRPr="00945DBB">
        <w:rPr>
          <w:szCs w:val="22"/>
          <w:u w:val="single"/>
        </w:rPr>
        <w:t xml:space="preserve"> </w:t>
      </w:r>
      <w:r w:rsidR="00945DBB" w:rsidRPr="00945DBB">
        <w:rPr>
          <w:i/>
          <w:szCs w:val="22"/>
          <w:u w:val="single"/>
        </w:rPr>
        <w:t>Requests</w:t>
      </w:r>
      <w:r w:rsidR="00945DBB" w:rsidRPr="00945DBB">
        <w:rPr>
          <w:i/>
          <w:szCs w:val="22"/>
        </w:rPr>
        <w:t xml:space="preserve"> the State Party to finalize, as a matter of priority, the on-going process to designate Permanent Timber Production Zone Land (PTPZL) and Future Potential Production Forest Land (FPPFL) within the property as reserves.</w:t>
      </w:r>
    </w:p>
    <w:p w14:paraId="23091D35" w14:textId="77777777" w:rsidR="00BB292E" w:rsidRDefault="00BB292E" w:rsidP="00BB292E">
      <w:pPr>
        <w:spacing w:before="170" w:after="120"/>
        <w:rPr>
          <w:b/>
        </w:rPr>
      </w:pPr>
      <w:r>
        <w:rPr>
          <w:b/>
        </w:rPr>
        <w:t>State Party’s response</w:t>
      </w:r>
    </w:p>
    <w:tbl>
      <w:tblPr>
        <w:tblStyle w:val="TableGrid"/>
        <w:tblW w:w="0" w:type="auto"/>
        <w:tblLook w:val="04A0" w:firstRow="1" w:lastRow="0" w:firstColumn="1" w:lastColumn="0" w:noHBand="0" w:noVBand="1"/>
      </w:tblPr>
      <w:tblGrid>
        <w:gridCol w:w="9350"/>
      </w:tblGrid>
      <w:tr w:rsidR="00BB292E" w14:paraId="4CD57120" w14:textId="77777777" w:rsidTr="00BB292E">
        <w:tc>
          <w:tcPr>
            <w:tcW w:w="9350" w:type="dxa"/>
          </w:tcPr>
          <w:p w14:paraId="1755ACDE" w14:textId="5E089E6F" w:rsidR="00BB292E" w:rsidRDefault="00BB292E" w:rsidP="00BB292E">
            <w:pPr>
              <w:spacing w:before="120" w:after="120" w:line="276" w:lineRule="auto"/>
              <w:ind w:left="0" w:firstLine="0"/>
              <w:rPr>
                <w:i/>
                <w:szCs w:val="22"/>
              </w:rPr>
            </w:pPr>
            <w:r w:rsidRPr="00EC0D10">
              <w:t xml:space="preserve">The reservation </w:t>
            </w:r>
            <w:r w:rsidRPr="00EC0D10">
              <w:rPr>
                <w:i/>
              </w:rPr>
              <w:t xml:space="preserve">process for </w:t>
            </w:r>
            <w:r w:rsidRPr="008E19E8">
              <w:rPr>
                <w:i/>
              </w:rPr>
              <w:t>Future Potential Production Forest Land</w:t>
            </w:r>
            <w:r w:rsidRPr="00B302C2">
              <w:rPr>
                <w:i/>
              </w:rPr>
              <w:t xml:space="preserve"> </w:t>
            </w:r>
            <w:r>
              <w:rPr>
                <w:i/>
              </w:rPr>
              <w:t xml:space="preserve">and </w:t>
            </w:r>
            <w:r w:rsidRPr="00EC0D10">
              <w:rPr>
                <w:i/>
              </w:rPr>
              <w:t xml:space="preserve">Permanent Timber </w:t>
            </w:r>
            <w:r w:rsidRPr="00BB292E">
              <w:rPr>
                <w:lang w:val="en"/>
              </w:rPr>
              <w:t>Production</w:t>
            </w:r>
            <w:r w:rsidRPr="00EC0D10">
              <w:rPr>
                <w:i/>
              </w:rPr>
              <w:t xml:space="preserve"> Zone Land </w:t>
            </w:r>
            <w:r w:rsidRPr="00EC0D10">
              <w:t xml:space="preserve">within the property is </w:t>
            </w:r>
            <w:r>
              <w:t>progressing. Re</w:t>
            </w:r>
            <w:r w:rsidRPr="00EC0D10">
              <w:t>serve class will be determined following stakeholder consultation.</w:t>
            </w:r>
            <w:r w:rsidRPr="0010298D">
              <w:t xml:space="preserve"> </w:t>
            </w:r>
            <w:r>
              <w:t>No native forest logging is permitted in the property.</w:t>
            </w:r>
          </w:p>
        </w:tc>
      </w:tr>
    </w:tbl>
    <w:p w14:paraId="1F784595" w14:textId="6831A87E" w:rsidR="00B302C2" w:rsidRPr="00EC0D10" w:rsidRDefault="00B302C2" w:rsidP="00FF381A">
      <w:pPr>
        <w:pStyle w:val="Text"/>
        <w:rPr>
          <w:u w:val="single"/>
        </w:rPr>
      </w:pPr>
      <w:r w:rsidRPr="00EC0D10">
        <w:rPr>
          <w:u w:val="single"/>
        </w:rPr>
        <w:t>Future Potential Production Forest Land (FPPFL)</w:t>
      </w:r>
    </w:p>
    <w:p w14:paraId="6CF0C5B9" w14:textId="2EEF09FD" w:rsidR="00B302C2" w:rsidRDefault="00B302C2" w:rsidP="00824985">
      <w:pPr>
        <w:pStyle w:val="Text"/>
      </w:pPr>
      <w:r w:rsidRPr="00EC0D10">
        <w:t>FPPFL</w:t>
      </w:r>
      <w:r w:rsidRPr="00EC0D10" w:rsidDel="006137C5">
        <w:t xml:space="preserve"> </w:t>
      </w:r>
      <w:r w:rsidRPr="00EC0D10">
        <w:t xml:space="preserve">in the </w:t>
      </w:r>
      <w:r w:rsidR="00BB292E">
        <w:t>property</w:t>
      </w:r>
      <w:r w:rsidRPr="00EC0D10">
        <w:t xml:space="preserve"> consists of unallocated Crown </w:t>
      </w:r>
      <w:r w:rsidR="008B13C6">
        <w:t>l</w:t>
      </w:r>
      <w:r w:rsidRPr="00EC0D10">
        <w:t>and (25,428</w:t>
      </w:r>
      <w:r w:rsidR="00AC1A04">
        <w:t> </w:t>
      </w:r>
      <w:r w:rsidRPr="00EC0D10">
        <w:t>hectares) managed by the Tasmania Parks and Wildlife Service, as well as vested or freehold land managed by Hy</w:t>
      </w:r>
      <w:r w:rsidR="00BD0EC2">
        <w:t>dr</w:t>
      </w:r>
      <w:r w:rsidRPr="00EC0D10">
        <w:t>o Tasmania (9,735 hectares</w:t>
      </w:r>
      <w:r w:rsidR="00AC1A04">
        <w:t>).</w:t>
      </w:r>
    </w:p>
    <w:p w14:paraId="4F407D60" w14:textId="3B8FDC85" w:rsidR="006137C5" w:rsidRPr="00EC0D10" w:rsidRDefault="006137C5" w:rsidP="00824985">
      <w:pPr>
        <w:pStyle w:val="Text"/>
        <w:rPr>
          <w:u w:val="single"/>
        </w:rPr>
      </w:pPr>
      <w:r w:rsidRPr="00EC0D10">
        <w:rPr>
          <w:u w:val="single"/>
        </w:rPr>
        <w:t>Permanent Timber Production Zone Land</w:t>
      </w:r>
      <w:r w:rsidR="00B302C2">
        <w:rPr>
          <w:u w:val="single"/>
        </w:rPr>
        <w:t xml:space="preserve"> (</w:t>
      </w:r>
      <w:r w:rsidR="00B302C2" w:rsidRPr="00B302C2">
        <w:rPr>
          <w:u w:val="single"/>
        </w:rPr>
        <w:t>PTPZL</w:t>
      </w:r>
      <w:r w:rsidR="00B302C2">
        <w:rPr>
          <w:u w:val="single"/>
        </w:rPr>
        <w:t>)</w:t>
      </w:r>
    </w:p>
    <w:p w14:paraId="22EDA470" w14:textId="600FF433" w:rsidR="0053771D" w:rsidRPr="00EC0D10" w:rsidRDefault="00531B72" w:rsidP="00824985">
      <w:pPr>
        <w:pStyle w:val="Text"/>
      </w:pPr>
      <w:r>
        <w:t>There is a</w:t>
      </w:r>
      <w:r w:rsidR="00E66C91" w:rsidRPr="00EC0D10">
        <w:t xml:space="preserve"> total area </w:t>
      </w:r>
      <w:r w:rsidR="00BD0EC2">
        <w:t xml:space="preserve">of </w:t>
      </w:r>
      <w:r w:rsidR="00E66C91" w:rsidRPr="00EC0D10">
        <w:t>942.3 h</w:t>
      </w:r>
      <w:r w:rsidR="00AC1A04">
        <w:t>ectares</w:t>
      </w:r>
      <w:r w:rsidR="00E66C91" w:rsidRPr="00EC0D10">
        <w:t xml:space="preserve"> of </w:t>
      </w:r>
      <w:r w:rsidR="006137C5" w:rsidRPr="00EC0D10">
        <w:t>PTPZL</w:t>
      </w:r>
      <w:r w:rsidR="0075751B" w:rsidRPr="00EC0D10">
        <w:rPr>
          <w:i/>
        </w:rPr>
        <w:t xml:space="preserve"> </w:t>
      </w:r>
      <w:r>
        <w:t>within</w:t>
      </w:r>
      <w:r w:rsidR="00E66C91" w:rsidRPr="00EC0D10">
        <w:t xml:space="preserve"> the </w:t>
      </w:r>
      <w:r>
        <w:t xml:space="preserve">Tasmanian Wilderness </w:t>
      </w:r>
      <w:r w:rsidR="00203D56" w:rsidRPr="00EC0D10">
        <w:t>World Heritage Area</w:t>
      </w:r>
      <w:r w:rsidR="00E66C91" w:rsidRPr="00EC0D10">
        <w:t>.</w:t>
      </w:r>
      <w:r w:rsidR="00B90C3D" w:rsidRPr="00EC0D10">
        <w:t xml:space="preserve"> </w:t>
      </w:r>
    </w:p>
    <w:p w14:paraId="77069FF6" w14:textId="1FF5F50C" w:rsidR="0053771D" w:rsidRPr="00EC0D10" w:rsidRDefault="00E66C91" w:rsidP="00824985">
      <w:pPr>
        <w:pStyle w:val="Text"/>
      </w:pPr>
      <w:r w:rsidRPr="00EC0D10">
        <w:t>A</w:t>
      </w:r>
      <w:r w:rsidR="00B90C3D" w:rsidRPr="00EC0D10">
        <w:t xml:space="preserve">t the time of the 2013 minor boundary extension nomination there were a number of </w:t>
      </w:r>
      <w:r w:rsidRPr="00EC0D10">
        <w:t xml:space="preserve">timber production </w:t>
      </w:r>
      <w:r w:rsidR="00B90C3D" w:rsidRPr="00EC0D10">
        <w:t xml:space="preserve">coupes subject to existing Forest Practices Plans. These were mostly ‘transitional coupes’ </w:t>
      </w:r>
      <w:r w:rsidR="00E4788B" w:rsidRPr="00EC0D10">
        <w:t xml:space="preserve">and </w:t>
      </w:r>
      <w:r w:rsidR="00B90C3D" w:rsidRPr="00EC0D10">
        <w:t>it was understood they would be harvested. The transitional coupes have now been harvested in accordance with certified Forest Practices Plans and have been</w:t>
      </w:r>
      <w:r w:rsidR="00CF73E5">
        <w:t>,</w:t>
      </w:r>
      <w:r w:rsidR="00B90C3D" w:rsidRPr="00EC0D10">
        <w:t xml:space="preserve"> or will be</w:t>
      </w:r>
      <w:r w:rsidR="00CF73E5">
        <w:t>,</w:t>
      </w:r>
      <w:r w:rsidR="00B90C3D" w:rsidRPr="00EC0D10">
        <w:t xml:space="preserve"> regenerated. </w:t>
      </w:r>
    </w:p>
    <w:p w14:paraId="4E07B931" w14:textId="12F8B548" w:rsidR="00B90C3D" w:rsidRPr="00EC0D10" w:rsidRDefault="00B90C3D" w:rsidP="00824985">
      <w:pPr>
        <w:pStyle w:val="Text"/>
      </w:pPr>
      <w:r w:rsidRPr="00EC0D10">
        <w:t xml:space="preserve">There are also a small number of plantation coupes in </w:t>
      </w:r>
      <w:r w:rsidR="006137C5" w:rsidRPr="00EC0D10">
        <w:t>PTPZL</w:t>
      </w:r>
      <w:r w:rsidR="0075751B" w:rsidRPr="00EC0D10">
        <w:rPr>
          <w:i/>
        </w:rPr>
        <w:t xml:space="preserve"> </w:t>
      </w:r>
      <w:r w:rsidRPr="00EC0D10">
        <w:t xml:space="preserve">within the </w:t>
      </w:r>
      <w:r w:rsidR="00BB292E">
        <w:t>property</w:t>
      </w:r>
      <w:r w:rsidRPr="00EC0D10">
        <w:t xml:space="preserve">. These plantation coupes require ongoing management, including thinning, and are expected to be harvested and regenerated to native forest. </w:t>
      </w:r>
    </w:p>
    <w:p w14:paraId="32490C9E" w14:textId="52A1019B" w:rsidR="006137C5" w:rsidRPr="00EC0D10" w:rsidRDefault="0075751B" w:rsidP="00824985">
      <w:pPr>
        <w:pStyle w:val="Text"/>
        <w:rPr>
          <w:u w:val="single"/>
        </w:rPr>
      </w:pPr>
      <w:r w:rsidRPr="00EC0D10">
        <w:rPr>
          <w:u w:val="single"/>
        </w:rPr>
        <w:t xml:space="preserve">Management and </w:t>
      </w:r>
      <w:r w:rsidR="00C32599">
        <w:rPr>
          <w:u w:val="single"/>
        </w:rPr>
        <w:t>p</w:t>
      </w:r>
      <w:r w:rsidR="006137C5" w:rsidRPr="00EC0D10">
        <w:rPr>
          <w:u w:val="single"/>
        </w:rPr>
        <w:t>roclamation of these areas as reserved land</w:t>
      </w:r>
    </w:p>
    <w:p w14:paraId="70069FAB" w14:textId="54759120" w:rsidR="006137C5" w:rsidRPr="00EC0D10" w:rsidRDefault="006137C5" w:rsidP="00824985">
      <w:pPr>
        <w:pStyle w:val="Text"/>
      </w:pPr>
      <w:r w:rsidRPr="00EC0D10">
        <w:t>PTPZL and FPPFL</w:t>
      </w:r>
      <w:r w:rsidRPr="00EC0D10" w:rsidDel="006137C5">
        <w:t xml:space="preserve"> </w:t>
      </w:r>
      <w:r w:rsidRPr="00EC0D10">
        <w:t xml:space="preserve">are not covered in the </w:t>
      </w:r>
      <w:r w:rsidR="00EC0D10" w:rsidRPr="00D415FE">
        <w:rPr>
          <w:i/>
        </w:rPr>
        <w:t xml:space="preserve">2016 </w:t>
      </w:r>
      <w:r w:rsidR="007323FB" w:rsidRPr="00D415FE">
        <w:rPr>
          <w:i/>
        </w:rPr>
        <w:t xml:space="preserve">Tasmanian Wilderness </w:t>
      </w:r>
      <w:r w:rsidR="00EC0D10" w:rsidRPr="00D415FE">
        <w:rPr>
          <w:i/>
        </w:rPr>
        <w:t>World Heritage Area Management Plan</w:t>
      </w:r>
      <w:r w:rsidRPr="00EC0D10">
        <w:t xml:space="preserve">. </w:t>
      </w:r>
      <w:r w:rsidR="0075751B" w:rsidRPr="00EC0D10">
        <w:t>M</w:t>
      </w:r>
      <w:r w:rsidRPr="00EC0D10">
        <w:t>anagemen</w:t>
      </w:r>
      <w:r w:rsidR="00B16801">
        <w:t>t of this land is described in s</w:t>
      </w:r>
      <w:r w:rsidRPr="00EC0D10">
        <w:t>ection</w:t>
      </w:r>
      <w:r w:rsidR="00B16801">
        <w:t>s</w:t>
      </w:r>
      <w:r w:rsidRPr="00EC0D10">
        <w:t xml:space="preserve"> 10.2.4 and 10.2.5 of the </w:t>
      </w:r>
      <w:r w:rsidR="009E682B">
        <w:t>Tasmanian</w:t>
      </w:r>
      <w:r w:rsidR="002F4664" w:rsidRPr="002F4664">
        <w:t xml:space="preserve"> Wilderness World Heritage Area </w:t>
      </w:r>
      <w:r w:rsidRPr="00EC0D10">
        <w:t>Strategic Management Statement</w:t>
      </w:r>
      <w:r w:rsidR="002F4664">
        <w:t xml:space="preserve"> (</w:t>
      </w:r>
      <w:r w:rsidR="002F4664" w:rsidRPr="00EC0D10">
        <w:t>attached to the</w:t>
      </w:r>
      <w:r w:rsidR="002F4664">
        <w:t xml:space="preserve"> 2016 Management P</w:t>
      </w:r>
      <w:r w:rsidR="002F4664" w:rsidRPr="00EC0D10">
        <w:t>lan</w:t>
      </w:r>
      <w:r w:rsidR="002F4664">
        <w:t xml:space="preserve">), which details management </w:t>
      </w:r>
      <w:r w:rsidR="009E682B">
        <w:t>arrangements</w:t>
      </w:r>
      <w:r w:rsidR="002F4664">
        <w:t xml:space="preserve"> for tenures that cannot be subject to the </w:t>
      </w:r>
      <w:r w:rsidR="009E682B">
        <w:t>statutory</w:t>
      </w:r>
      <w:r w:rsidR="002F4664">
        <w:t xml:space="preserve"> management plan</w:t>
      </w:r>
      <w:r w:rsidRPr="00EC0D10">
        <w:t xml:space="preserve">. </w:t>
      </w:r>
    </w:p>
    <w:p w14:paraId="19586C1D" w14:textId="2189E14F" w:rsidR="00B90C3D" w:rsidRPr="00EC0D10" w:rsidRDefault="001375F4" w:rsidP="00824985">
      <w:pPr>
        <w:pStyle w:val="Text"/>
      </w:pPr>
      <w:r w:rsidRPr="00EC0D10">
        <w:t xml:space="preserve">The Strategic Management Statement provides that </w:t>
      </w:r>
      <w:r w:rsidR="006137C5" w:rsidRPr="00EC0D10">
        <w:t>FPPFL</w:t>
      </w:r>
      <w:r w:rsidR="006137C5" w:rsidRPr="00EC0D10" w:rsidDel="006137C5">
        <w:t xml:space="preserve"> </w:t>
      </w:r>
      <w:r w:rsidRPr="00EC0D10">
        <w:t xml:space="preserve">will not be exchanged or converted to </w:t>
      </w:r>
      <w:r w:rsidR="006137C5" w:rsidRPr="00EC0D10">
        <w:t>PTPZL</w:t>
      </w:r>
      <w:r w:rsidRPr="00EC0D10">
        <w:t xml:space="preserve">. </w:t>
      </w:r>
    </w:p>
    <w:p w14:paraId="76259BB7" w14:textId="0CA62487" w:rsidR="00FE357B" w:rsidRPr="00EC0D10" w:rsidRDefault="00FE357B" w:rsidP="00824985">
      <w:pPr>
        <w:pStyle w:val="Text"/>
      </w:pPr>
      <w:r w:rsidRPr="00EC0D10">
        <w:t xml:space="preserve">The Tasmanian Government is </w:t>
      </w:r>
      <w:r w:rsidR="00990389" w:rsidRPr="00EC0D10">
        <w:t xml:space="preserve">now </w:t>
      </w:r>
      <w:r w:rsidRPr="00EC0D10">
        <w:t xml:space="preserve">conducting a two stage process for proclamation of </w:t>
      </w:r>
      <w:r w:rsidR="0075751B" w:rsidRPr="00EC0D10">
        <w:t xml:space="preserve">FPPFL and PTPZL </w:t>
      </w:r>
      <w:r w:rsidRPr="00EC0D10">
        <w:t>as reserved land</w:t>
      </w:r>
      <w:r w:rsidR="00990389" w:rsidRPr="00EC0D10">
        <w:t>:</w:t>
      </w:r>
    </w:p>
    <w:p w14:paraId="0F09B5C9" w14:textId="3CF13205" w:rsidR="00990389" w:rsidRPr="00EC0D10" w:rsidRDefault="0075751B" w:rsidP="000902A6">
      <w:pPr>
        <w:pStyle w:val="Text"/>
        <w:ind w:left="567"/>
      </w:pPr>
      <w:r w:rsidRPr="00EC0D10">
        <w:t xml:space="preserve">Stage 1 – </w:t>
      </w:r>
      <w:r w:rsidR="000046CF" w:rsidRPr="00EC0D10">
        <w:t>a stakeholder</w:t>
      </w:r>
      <w:r w:rsidR="00990389" w:rsidRPr="00EC0D10">
        <w:t xml:space="preserve"> consultation process for proclamation of FPPFL within the </w:t>
      </w:r>
      <w:r w:rsidR="00531B72" w:rsidRPr="00531B72">
        <w:t>Tasmanian Wilderness World Heritage Area</w:t>
      </w:r>
      <w:r w:rsidR="00990389" w:rsidRPr="00EC0D10">
        <w:t xml:space="preserve"> </w:t>
      </w:r>
      <w:r w:rsidR="00EC0D10" w:rsidRPr="00D415FE">
        <w:t xml:space="preserve">will </w:t>
      </w:r>
      <w:r w:rsidR="00EC0D10" w:rsidRPr="007323FB">
        <w:t xml:space="preserve">commence </w:t>
      </w:r>
      <w:r w:rsidR="00CB7115">
        <w:t xml:space="preserve">in </w:t>
      </w:r>
      <w:r w:rsidR="00E16B55">
        <w:t xml:space="preserve">the first quarter of </w:t>
      </w:r>
      <w:r w:rsidR="00CB7115">
        <w:t>2020</w:t>
      </w:r>
      <w:r w:rsidR="00DA2E97">
        <w:t>.</w:t>
      </w:r>
      <w:r w:rsidR="00990389" w:rsidRPr="00EC0D10">
        <w:t xml:space="preserve"> Reserve class will be determined following </w:t>
      </w:r>
      <w:r w:rsidR="006748DD" w:rsidRPr="00EC0D10">
        <w:t xml:space="preserve">this </w:t>
      </w:r>
      <w:r w:rsidR="00990389" w:rsidRPr="00EC0D10">
        <w:t>consultation.</w:t>
      </w:r>
    </w:p>
    <w:p w14:paraId="5833B220" w14:textId="44EDD11D" w:rsidR="00990389" w:rsidRPr="00EC0D10" w:rsidRDefault="0075751B">
      <w:pPr>
        <w:pStyle w:val="Text"/>
        <w:ind w:left="567"/>
      </w:pPr>
      <w:r w:rsidRPr="00EC0D10">
        <w:lastRenderedPageBreak/>
        <w:t xml:space="preserve">Stage 2 - </w:t>
      </w:r>
      <w:r w:rsidR="00990389" w:rsidRPr="00EC0D10">
        <w:t xml:space="preserve">operations consistent with the Strategic Management Statement are underway for regeneration of </w:t>
      </w:r>
      <w:r w:rsidR="006137C5" w:rsidRPr="00EC0D10">
        <w:t>PTPZL</w:t>
      </w:r>
      <w:r w:rsidR="00EC0D10">
        <w:t xml:space="preserve"> </w:t>
      </w:r>
      <w:r w:rsidR="00990389" w:rsidRPr="00EC0D10">
        <w:t xml:space="preserve">within the </w:t>
      </w:r>
      <w:r w:rsidR="00531B72" w:rsidRPr="00531B72">
        <w:t>Tasmanian Wilderness World Heritage Area</w:t>
      </w:r>
      <w:r w:rsidR="00990389" w:rsidRPr="00EC0D10">
        <w:t xml:space="preserve">. Once this regeneration process has been completed, proclamation as reserved land will </w:t>
      </w:r>
      <w:r w:rsidR="00B10646" w:rsidRPr="00EC0D10">
        <w:t>occur</w:t>
      </w:r>
      <w:r w:rsidR="00BB292E">
        <w:t>.</w:t>
      </w:r>
      <w:r w:rsidR="00CB7115">
        <w:t xml:space="preserve"> </w:t>
      </w:r>
      <w:r w:rsidR="00741AA5" w:rsidDel="00741AA5">
        <w:t xml:space="preserve"> </w:t>
      </w:r>
    </w:p>
    <w:p w14:paraId="4A0A94A0" w14:textId="3E476C63" w:rsidR="00990389" w:rsidRPr="00EC0D10" w:rsidRDefault="004158DA">
      <w:pPr>
        <w:pStyle w:val="Text"/>
        <w:ind w:left="567"/>
      </w:pPr>
      <w:r>
        <w:t>Once reserved, these areas</w:t>
      </w:r>
      <w:r w:rsidR="00990389" w:rsidRPr="00EC0D10">
        <w:t xml:space="preserve"> will be managed in accordance with the 2016 Management Plan</w:t>
      </w:r>
      <w:r w:rsidR="007323FB">
        <w:t xml:space="preserve">, </w:t>
      </w:r>
      <w:r w:rsidR="002F4664">
        <w:t>but until the process is complete</w:t>
      </w:r>
      <w:r w:rsidR="00CF73E5">
        <w:t>,</w:t>
      </w:r>
      <w:r w:rsidR="00990389" w:rsidRPr="00EC0D10">
        <w:t xml:space="preserve"> this land will be managed in accordance with the Strategic Management Statement.</w:t>
      </w:r>
    </w:p>
    <w:p w14:paraId="1F063BC2" w14:textId="6FCFAF6F" w:rsidR="001375F4" w:rsidRPr="00EC0D10" w:rsidRDefault="001375F4" w:rsidP="00824985">
      <w:pPr>
        <w:pStyle w:val="Text"/>
      </w:pPr>
      <w:r w:rsidRPr="00EC0D10">
        <w:t xml:space="preserve">The World Heritage Centre will be advised </w:t>
      </w:r>
      <w:r w:rsidR="00D6460C">
        <w:t>when</w:t>
      </w:r>
      <w:r w:rsidR="00D6460C" w:rsidRPr="00EC0D10">
        <w:t xml:space="preserve"> </w:t>
      </w:r>
      <w:r w:rsidRPr="00EC0D10">
        <w:t xml:space="preserve">the reservation process </w:t>
      </w:r>
      <w:r w:rsidR="00D6460C">
        <w:t>is complete</w:t>
      </w:r>
      <w:r w:rsidRPr="00EC0D10">
        <w:t>.</w:t>
      </w:r>
    </w:p>
    <w:p w14:paraId="28C152C9" w14:textId="77777777" w:rsidR="00C028AA" w:rsidRPr="008C0700" w:rsidRDefault="00DD6B63" w:rsidP="00824985">
      <w:pPr>
        <w:pStyle w:val="Heading3"/>
        <w:spacing w:before="170"/>
      </w:pPr>
      <w:bookmarkStart w:id="54" w:name="_Toc19270662"/>
      <w:bookmarkStart w:id="55" w:name="_Toc22806707"/>
      <w:r>
        <w:t>A</w:t>
      </w:r>
      <w:proofErr w:type="spellStart"/>
      <w:r w:rsidRPr="008C0700">
        <w:rPr>
          <w:lang w:val="en-AU"/>
        </w:rPr>
        <w:t>ssessing</w:t>
      </w:r>
      <w:proofErr w:type="spellEnd"/>
      <w:r w:rsidR="008C0700">
        <w:rPr>
          <w:lang w:val="en-AU"/>
        </w:rPr>
        <w:t xml:space="preserve"> </w:t>
      </w:r>
      <w:r w:rsidR="00F071C5" w:rsidRPr="008C0700">
        <w:rPr>
          <w:lang w:val="en-AU"/>
        </w:rPr>
        <w:t>cultural heritage assets</w:t>
      </w:r>
      <w:bookmarkEnd w:id="54"/>
      <w:bookmarkEnd w:id="55"/>
    </w:p>
    <w:p w14:paraId="1B91B9F2" w14:textId="77777777" w:rsidR="00C028AA" w:rsidRDefault="004B4B42" w:rsidP="000902A6">
      <w:pPr>
        <w:spacing w:before="170" w:after="0"/>
        <w:ind w:left="720"/>
        <w:rPr>
          <w:i/>
          <w:szCs w:val="22"/>
        </w:rPr>
      </w:pPr>
      <w:r w:rsidRPr="00DB6E51">
        <w:rPr>
          <w:b/>
        </w:rPr>
        <w:t>2018 Decision 42 COM 7B.61 Paragraph</w:t>
      </w:r>
      <w:r>
        <w:rPr>
          <w:b/>
        </w:rPr>
        <w:t xml:space="preserve"> 7:</w:t>
      </w:r>
      <w:r w:rsidR="00945DBB">
        <w:rPr>
          <w:b/>
        </w:rPr>
        <w:t xml:space="preserve"> </w:t>
      </w:r>
      <w:r w:rsidR="00945DBB" w:rsidRPr="00945DBB">
        <w:rPr>
          <w:i/>
          <w:szCs w:val="22"/>
          <w:u w:val="single"/>
        </w:rPr>
        <w:t>Commends</w:t>
      </w:r>
      <w:r w:rsidR="00945DBB" w:rsidRPr="00945DBB">
        <w:rPr>
          <w:i/>
          <w:szCs w:val="22"/>
        </w:rPr>
        <w:t xml:space="preserve"> the State Party for the progress made with assessing cultural heritage assets by documenting archaeological and other research undertaken over the past 40 years.</w:t>
      </w:r>
    </w:p>
    <w:p w14:paraId="7144F0E0" w14:textId="77777777" w:rsidR="00BB292E" w:rsidRDefault="00BB292E" w:rsidP="00BB292E">
      <w:pPr>
        <w:spacing w:before="170" w:after="120"/>
        <w:rPr>
          <w:b/>
        </w:rPr>
      </w:pPr>
      <w:r>
        <w:rPr>
          <w:b/>
        </w:rPr>
        <w:t>State Party’s response</w:t>
      </w:r>
    </w:p>
    <w:tbl>
      <w:tblPr>
        <w:tblStyle w:val="TableGrid"/>
        <w:tblW w:w="0" w:type="auto"/>
        <w:tblLook w:val="04A0" w:firstRow="1" w:lastRow="0" w:firstColumn="1" w:lastColumn="0" w:noHBand="0" w:noVBand="1"/>
      </w:tblPr>
      <w:tblGrid>
        <w:gridCol w:w="9350"/>
      </w:tblGrid>
      <w:tr w:rsidR="00BB292E" w14:paraId="57EE695F" w14:textId="77777777" w:rsidTr="00BB292E">
        <w:tc>
          <w:tcPr>
            <w:tcW w:w="9350" w:type="dxa"/>
          </w:tcPr>
          <w:p w14:paraId="6F1A1D99" w14:textId="59301192" w:rsidR="00BB292E" w:rsidRDefault="00BB292E" w:rsidP="00BB292E">
            <w:pPr>
              <w:spacing w:before="120" w:after="120" w:line="276" w:lineRule="auto"/>
              <w:ind w:left="0" w:firstLine="0"/>
            </w:pPr>
            <w:r w:rsidRPr="0008638A">
              <w:t xml:space="preserve">A Cultural Values Assessment of the 2013 Extension Area to the </w:t>
            </w:r>
            <w:r>
              <w:t>Tasmanian</w:t>
            </w:r>
            <w:r w:rsidRPr="00833630">
              <w:t xml:space="preserve"> Wilderness World Heritage Area</w:t>
            </w:r>
            <w:r w:rsidRPr="0008638A">
              <w:t xml:space="preserve"> </w:t>
            </w:r>
            <w:r w:rsidRPr="00F42D73">
              <w:t>has been completed</w:t>
            </w:r>
            <w:r>
              <w:t>.</w:t>
            </w:r>
          </w:p>
        </w:tc>
      </w:tr>
    </w:tbl>
    <w:p w14:paraId="3CFE8179" w14:textId="77777777" w:rsidR="00D44220" w:rsidRPr="0008638A" w:rsidRDefault="00D44220" w:rsidP="00FF381A">
      <w:pPr>
        <w:pStyle w:val="Text"/>
      </w:pPr>
      <w:r w:rsidRPr="0008638A">
        <w:t>The Australian and Tasmanian governments funded the ‘</w:t>
      </w:r>
      <w:r w:rsidRPr="0008638A">
        <w:rPr>
          <w:i/>
        </w:rPr>
        <w:t>Cultural Values Assessment of the 2013 Extension Area of the Tasmanian Wilderness World Heritage Area Project’</w:t>
      </w:r>
      <w:r w:rsidRPr="0008638A">
        <w:t xml:space="preserve">. This project involved community consultation and cultural heritage surveys within the areas </w:t>
      </w:r>
      <w:r w:rsidRPr="0008638A">
        <w:rPr>
          <w:lang w:val="en-US"/>
        </w:rPr>
        <w:t>added</w:t>
      </w:r>
      <w:r w:rsidRPr="0008638A">
        <w:t xml:space="preserve"> to the World Heritage property in 2013. </w:t>
      </w:r>
    </w:p>
    <w:p w14:paraId="0AB9E3E4" w14:textId="02F659B6" w:rsidR="00D44220" w:rsidRPr="004B4B42" w:rsidRDefault="00D44220" w:rsidP="00824985">
      <w:pPr>
        <w:pStyle w:val="Text"/>
        <w:ind w:right="-143"/>
      </w:pPr>
      <w:r>
        <w:t>The cultural values</w:t>
      </w:r>
      <w:r w:rsidRPr="00D52FB7">
        <w:t xml:space="preserve"> assessment responds to the 2013 request from the World Heritage Committee (Decision </w:t>
      </w:r>
      <w:hyperlink r:id="rId35" w:history="1">
        <w:r w:rsidRPr="00786FB2">
          <w:rPr>
            <w:rStyle w:val="Hyperlink"/>
          </w:rPr>
          <w:t>37 COM 8B.44</w:t>
        </w:r>
      </w:hyperlink>
      <w:r w:rsidRPr="00D52FB7">
        <w:t>)</w:t>
      </w:r>
      <w:r>
        <w:t xml:space="preserve"> to “</w:t>
      </w:r>
      <w:r>
        <w:rPr>
          <w:lang w:val="en"/>
        </w:rPr>
        <w:t>undertake further study and consultation with the Tasmanian Aboriginal community in order to provide more detailed information on the cultural value of the additional areas and how these relate to the Outstanding Universal Value of the existing property”</w:t>
      </w:r>
      <w:r w:rsidRPr="00D52FB7">
        <w:t>.</w:t>
      </w:r>
      <w:r>
        <w:t xml:space="preserve"> </w:t>
      </w:r>
    </w:p>
    <w:p w14:paraId="73B798DC" w14:textId="4BEE179A" w:rsidR="00D44220" w:rsidRDefault="00D44220" w:rsidP="00824985">
      <w:pPr>
        <w:pStyle w:val="Text"/>
        <w:ind w:right="-143"/>
      </w:pPr>
      <w:r w:rsidRPr="0008638A">
        <w:t xml:space="preserve">The project commenced in December 2016 and </w:t>
      </w:r>
      <w:r>
        <w:t xml:space="preserve">was completed in June 2019. The initial consultation meetings were invaluable for refining and directing the field survey assessment methodology. The field survey assessment encompassed two field teams completing a combined 90 days of field survey that covered a total of approximately 980 linear kilometres. The field surveys resulted in the identification and recording of 132 Aboriginal cultural heritage sites. The total number of registered Aboriginal cultural heritage sites in the Tasmanian Wilderness World Heritage Area 2013 Extension Area is now 231 individual sites. </w:t>
      </w:r>
    </w:p>
    <w:p w14:paraId="65703598" w14:textId="4439D0E8" w:rsidR="00D44220" w:rsidRDefault="00D44220" w:rsidP="00824985">
      <w:pPr>
        <w:pStyle w:val="Text"/>
        <w:ind w:right="-143"/>
      </w:pPr>
      <w:r>
        <w:t>The Aboriginal cultural heritage sites recorded in the Tasmanian Wilderness World Heritage Area 2013 Extension Area</w:t>
      </w:r>
      <w:r w:rsidR="007323FB">
        <w:t>,</w:t>
      </w:r>
      <w:r>
        <w:t xml:space="preserve"> and the cultural values they represent</w:t>
      </w:r>
      <w:r w:rsidR="00CF73E5">
        <w:t>,</w:t>
      </w:r>
      <w:r>
        <w:t xml:space="preserve"> are considered to be non-renewable resources providing insights into the lives of Aboriginal people in the past</w:t>
      </w:r>
      <w:r w:rsidR="00CF73E5">
        <w:t>,</w:t>
      </w:r>
      <w:r>
        <w:t xml:space="preserve"> and ongoing connections to Country for their </w:t>
      </w:r>
      <w:r w:rsidR="000046CF">
        <w:t>descendants</w:t>
      </w:r>
      <w:r>
        <w:t xml:space="preserve"> in the contemporary Tasmanian Aboriginal community. This point was strongly emphasised by most of the Aboriginal community representatives who were involved in this project. </w:t>
      </w:r>
      <w:r w:rsidRPr="00D52FB7">
        <w:t xml:space="preserve"> </w:t>
      </w:r>
    </w:p>
    <w:p w14:paraId="57DD5F47" w14:textId="77777777" w:rsidR="00855774" w:rsidRDefault="00855774" w:rsidP="00824985">
      <w:pPr>
        <w:pStyle w:val="Text"/>
        <w:ind w:right="-143"/>
      </w:pPr>
    </w:p>
    <w:p w14:paraId="3EBD7B0A" w14:textId="77777777" w:rsidR="00855774" w:rsidRDefault="00855774">
      <w:pPr>
        <w:rPr>
          <w:rFonts w:eastAsiaTheme="minorHAnsi" w:cs="Arial"/>
          <w:color w:val="000000"/>
          <w:szCs w:val="20"/>
        </w:rPr>
      </w:pPr>
      <w:r>
        <w:br w:type="page"/>
      </w:r>
    </w:p>
    <w:p w14:paraId="38249FDC" w14:textId="629D11B7" w:rsidR="00855774" w:rsidRPr="00D52FB7" w:rsidRDefault="00855774" w:rsidP="00824985">
      <w:pPr>
        <w:pStyle w:val="Text"/>
        <w:ind w:right="-143"/>
      </w:pPr>
    </w:p>
    <w:p w14:paraId="02E000E7" w14:textId="043B36DD" w:rsidR="00D44220" w:rsidRDefault="00D44220" w:rsidP="00824985">
      <w:pPr>
        <w:pStyle w:val="Heading3"/>
        <w:spacing w:before="170"/>
      </w:pPr>
      <w:bookmarkStart w:id="56" w:name="_Toc22806708"/>
      <w:r w:rsidRPr="00D44220">
        <w:t>Detailed Plan for a Comprehensive Cultural Assessment of the property</w:t>
      </w:r>
      <w:bookmarkEnd w:id="56"/>
    </w:p>
    <w:p w14:paraId="409732FC" w14:textId="6E73CFCF" w:rsidR="004B4B42" w:rsidRDefault="004B4B42" w:rsidP="000902A6">
      <w:pPr>
        <w:spacing w:before="170" w:after="0"/>
        <w:ind w:left="720"/>
        <w:rPr>
          <w:i/>
          <w:szCs w:val="22"/>
        </w:rPr>
      </w:pPr>
      <w:r w:rsidRPr="00DB6E51">
        <w:rPr>
          <w:b/>
        </w:rPr>
        <w:t>2018 Decision 42 COM 7B.61 Paragraph</w:t>
      </w:r>
      <w:r>
        <w:rPr>
          <w:b/>
        </w:rPr>
        <w:t xml:space="preserve"> 8: </w:t>
      </w:r>
      <w:r w:rsidR="00945DBB" w:rsidRPr="00945DBB">
        <w:rPr>
          <w:i/>
          <w:szCs w:val="22"/>
          <w:u w:val="single"/>
        </w:rPr>
        <w:t>Also encourages</w:t>
      </w:r>
      <w:r w:rsidR="00945DBB" w:rsidRPr="00945DBB">
        <w:rPr>
          <w:i/>
          <w:szCs w:val="22"/>
        </w:rPr>
        <w:t xml:space="preserve"> the State Party to implement the Detailed Plan for a Comprehensive Cultural Assessment of the property, in order to fully define both living and archaeological heritage and to support co-management of these resources with the Aboriginal communitie</w:t>
      </w:r>
      <w:r w:rsidR="00C32599">
        <w:rPr>
          <w:i/>
          <w:szCs w:val="22"/>
        </w:rPr>
        <w:t>s</w:t>
      </w:r>
      <w:r w:rsidR="001947AE">
        <w:rPr>
          <w:i/>
          <w:szCs w:val="22"/>
        </w:rPr>
        <w:t>.</w:t>
      </w:r>
    </w:p>
    <w:p w14:paraId="2017E8BD" w14:textId="77777777" w:rsidR="001947AE" w:rsidRDefault="001947AE" w:rsidP="001947AE">
      <w:pPr>
        <w:spacing w:before="170" w:after="120"/>
        <w:rPr>
          <w:b/>
        </w:rPr>
      </w:pPr>
      <w:r>
        <w:rPr>
          <w:b/>
        </w:rPr>
        <w:t>State Party’s response</w:t>
      </w:r>
    </w:p>
    <w:tbl>
      <w:tblPr>
        <w:tblStyle w:val="TableGrid"/>
        <w:tblW w:w="0" w:type="auto"/>
        <w:tblLook w:val="04A0" w:firstRow="1" w:lastRow="0" w:firstColumn="1" w:lastColumn="0" w:noHBand="0" w:noVBand="1"/>
      </w:tblPr>
      <w:tblGrid>
        <w:gridCol w:w="9350"/>
      </w:tblGrid>
      <w:tr w:rsidR="001947AE" w14:paraId="7DDB3639" w14:textId="77777777" w:rsidTr="001947AE">
        <w:tc>
          <w:tcPr>
            <w:tcW w:w="9350" w:type="dxa"/>
          </w:tcPr>
          <w:p w14:paraId="1F00D43F" w14:textId="78444C61" w:rsidR="001947AE" w:rsidRDefault="001947AE" w:rsidP="001947AE">
            <w:pPr>
              <w:spacing w:before="120" w:after="120" w:line="276" w:lineRule="auto"/>
              <w:ind w:left="0" w:firstLine="0"/>
              <w:rPr>
                <w:i/>
                <w:szCs w:val="22"/>
              </w:rPr>
            </w:pPr>
            <w:r w:rsidRPr="00EE389E">
              <w:t>The</w:t>
            </w:r>
            <w:r w:rsidRPr="00EE389E">
              <w:rPr>
                <w:i/>
              </w:rPr>
              <w:t xml:space="preserve"> Detailed Plan for a</w:t>
            </w:r>
            <w:r w:rsidRPr="00EE389E">
              <w:t xml:space="preserve"> </w:t>
            </w:r>
            <w:r w:rsidRPr="00EE389E">
              <w:rPr>
                <w:i/>
              </w:rPr>
              <w:t xml:space="preserve">Comprehensive Cultural Assessment of the Tasmanian Wilderness World Heritage Area </w:t>
            </w:r>
            <w:r w:rsidRPr="00EE389E">
              <w:t>has been completed</w:t>
            </w:r>
            <w:r>
              <w:t xml:space="preserve"> and is being implemented.</w:t>
            </w:r>
          </w:p>
        </w:tc>
      </w:tr>
    </w:tbl>
    <w:p w14:paraId="21087D5A" w14:textId="058A0B7A" w:rsidR="001375F4" w:rsidRDefault="00AB6084" w:rsidP="00824985">
      <w:pPr>
        <w:pStyle w:val="Text"/>
      </w:pPr>
      <w:r>
        <w:t>The</w:t>
      </w:r>
      <w:r w:rsidR="001375F4" w:rsidRPr="00D52FB7">
        <w:t xml:space="preserve"> </w:t>
      </w:r>
      <w:r w:rsidR="001375F4" w:rsidRPr="00D52FB7">
        <w:rPr>
          <w:i/>
        </w:rPr>
        <w:t>Detailed Plan for a</w:t>
      </w:r>
      <w:r w:rsidR="001375F4" w:rsidRPr="00D52FB7">
        <w:t xml:space="preserve"> </w:t>
      </w:r>
      <w:r w:rsidR="001375F4" w:rsidRPr="00D52FB7">
        <w:rPr>
          <w:i/>
        </w:rPr>
        <w:t xml:space="preserve">Comprehensive Cultural Assessment of the Tasmanian </w:t>
      </w:r>
      <w:r w:rsidR="008740C5">
        <w:rPr>
          <w:i/>
        </w:rPr>
        <w:t>Wilderness World Heritage Area</w:t>
      </w:r>
      <w:r w:rsidR="001375F4" w:rsidRPr="00A5228B">
        <w:rPr>
          <w:i/>
        </w:rPr>
        <w:t xml:space="preserve"> </w:t>
      </w:r>
      <w:r w:rsidR="002A5B6C">
        <w:t xml:space="preserve">(the </w:t>
      </w:r>
      <w:r w:rsidR="00ED47C1">
        <w:t xml:space="preserve">Detailed </w:t>
      </w:r>
      <w:r w:rsidR="002A5B6C">
        <w:t>Plan) was</w:t>
      </w:r>
      <w:r w:rsidR="00C13429" w:rsidRPr="00A5228B">
        <w:t xml:space="preserve"> </w:t>
      </w:r>
      <w:r w:rsidR="00CE5F14">
        <w:t>provided</w:t>
      </w:r>
      <w:r w:rsidR="00CE5F14" w:rsidRPr="00A5228B">
        <w:t xml:space="preserve"> </w:t>
      </w:r>
      <w:r w:rsidR="001375F4" w:rsidRPr="00A5228B">
        <w:t>to the World Heritage Centre</w:t>
      </w:r>
      <w:r w:rsidR="0063223A" w:rsidRPr="00A5228B">
        <w:t xml:space="preserve"> </w:t>
      </w:r>
      <w:r w:rsidR="002A5B6C">
        <w:t xml:space="preserve">in February 2018 (see </w:t>
      </w:r>
      <w:hyperlink r:id="rId36" w:history="1">
        <w:r w:rsidR="002A5B6C" w:rsidRPr="005A4B0D">
          <w:rPr>
            <w:rStyle w:val="Hyperlink"/>
          </w:rPr>
          <w:t>https://www.environment.gov.au/heritage/publications/cultural-assessment-twwha</w:t>
        </w:r>
      </w:hyperlink>
      <w:r w:rsidR="002A5B6C">
        <w:t>)</w:t>
      </w:r>
      <w:r w:rsidR="00A5228B" w:rsidRPr="00A5228B">
        <w:t>.</w:t>
      </w:r>
    </w:p>
    <w:p w14:paraId="5DBDAB9A" w14:textId="4342CD58" w:rsidR="002A5B6C" w:rsidRPr="002A5B6C" w:rsidRDefault="002A5B6C" w:rsidP="00824985">
      <w:pPr>
        <w:pStyle w:val="Text"/>
      </w:pPr>
      <w:r>
        <w:t xml:space="preserve">The </w:t>
      </w:r>
      <w:r w:rsidR="001947AE">
        <w:t xml:space="preserve">Detailed </w:t>
      </w:r>
      <w:r>
        <w:t xml:space="preserve">Plan </w:t>
      </w:r>
      <w:r w:rsidRPr="002A5B6C">
        <w:t>outline</w:t>
      </w:r>
      <w:r>
        <w:t>s</w:t>
      </w:r>
      <w:r w:rsidRPr="002A5B6C">
        <w:t xml:space="preserve"> a multi-year comprehensive cultural assessment of the </w:t>
      </w:r>
      <w:r w:rsidR="001947AE">
        <w:t>property</w:t>
      </w:r>
      <w:r w:rsidRPr="002A5B6C">
        <w:t>.</w:t>
      </w:r>
    </w:p>
    <w:p w14:paraId="506D1ED7" w14:textId="7837F579" w:rsidR="002A5B6C" w:rsidRPr="002A5B6C" w:rsidRDefault="002A5B6C" w:rsidP="00824985">
      <w:pPr>
        <w:pStyle w:val="Text"/>
      </w:pPr>
      <w:r w:rsidRPr="002A5B6C">
        <w:t xml:space="preserve">Tasmanian Aboriginal community organisations and individuals were engaged and consulted throughout the preparation of the </w:t>
      </w:r>
      <w:r w:rsidR="00A41B45">
        <w:t>Detail</w:t>
      </w:r>
      <w:r w:rsidR="00ED47C1">
        <w:t xml:space="preserve">ed </w:t>
      </w:r>
      <w:r w:rsidRPr="002A5B6C">
        <w:t xml:space="preserve">Plan, and it was guided and supported by the </w:t>
      </w:r>
      <w:r w:rsidR="00531B72">
        <w:t xml:space="preserve">Tasmanian </w:t>
      </w:r>
      <w:r w:rsidRPr="002A5B6C">
        <w:t>A</w:t>
      </w:r>
      <w:r w:rsidR="00ED47C1">
        <w:t>boriginal Heritage Council</w:t>
      </w:r>
      <w:r w:rsidR="008E6A7C">
        <w:t>.</w:t>
      </w:r>
      <w:r w:rsidRPr="002A5B6C">
        <w:t xml:space="preserve"> While consultation and engagement were undertaken, it is recognised that any future implementation of the </w:t>
      </w:r>
      <w:r w:rsidR="001947AE">
        <w:t xml:space="preserve">Detailed </w:t>
      </w:r>
      <w:r w:rsidRPr="002A5B6C">
        <w:t>Plan will require additional engagement with, and the involvement of, the Tasmanian Aboriginal community.</w:t>
      </w:r>
    </w:p>
    <w:p w14:paraId="05450D87" w14:textId="7138804C" w:rsidR="002A5B6C" w:rsidRPr="002A5B6C" w:rsidRDefault="002A5B6C" w:rsidP="00824985">
      <w:pPr>
        <w:pStyle w:val="Text"/>
      </w:pPr>
      <w:r w:rsidRPr="002A5B6C">
        <w:t xml:space="preserve">The </w:t>
      </w:r>
      <w:r w:rsidR="001947AE">
        <w:t xml:space="preserve">Detailed </w:t>
      </w:r>
      <w:r w:rsidRPr="002A5B6C">
        <w:t xml:space="preserve">Plan was prepared as one component of </w:t>
      </w:r>
      <w:r w:rsidR="00ED47C1">
        <w:t>an</w:t>
      </w:r>
      <w:r w:rsidRPr="002A5B6C">
        <w:t xml:space="preserve"> ‘Assessment</w:t>
      </w:r>
      <w:r w:rsidR="00ED47C1">
        <w:t xml:space="preserve"> of Aboriginal Cultural Values</w:t>
      </w:r>
      <w:r w:rsidRPr="002A5B6C">
        <w:t xml:space="preserve"> Project’ for the </w:t>
      </w:r>
      <w:r w:rsidR="001947AE">
        <w:t>property</w:t>
      </w:r>
      <w:r w:rsidR="00ED47C1">
        <w:t xml:space="preserve"> </w:t>
      </w:r>
      <w:r w:rsidRPr="002A5B6C">
        <w:t xml:space="preserve">and </w:t>
      </w:r>
      <w:r w:rsidR="00ED47C1">
        <w:t>was</w:t>
      </w:r>
      <w:r w:rsidRPr="002A5B6C">
        <w:t xml:space="preserve"> funded by the Australian Government.</w:t>
      </w:r>
    </w:p>
    <w:p w14:paraId="4524AB57" w14:textId="6013D209" w:rsidR="00786FB2" w:rsidRDefault="00AD0477" w:rsidP="00824985">
      <w:pPr>
        <w:pStyle w:val="Text"/>
      </w:pPr>
      <w:r>
        <w:t xml:space="preserve">Aboriginal Heritage Tasmania </w:t>
      </w:r>
      <w:r w:rsidR="00F310BD" w:rsidRPr="00F310BD">
        <w:rPr>
          <w:lang w:val="en"/>
        </w:rPr>
        <w:t>(part of the Natural and Cultural Heritage Division, in Tasmania’s Department of Primary Industries, Parks, Water and Environment)</w:t>
      </w:r>
      <w:r w:rsidR="00F310BD">
        <w:rPr>
          <w:lang w:val="en"/>
        </w:rPr>
        <w:t xml:space="preserve"> </w:t>
      </w:r>
      <w:r>
        <w:t>has commenced the management and implementation of the following projects:</w:t>
      </w:r>
    </w:p>
    <w:p w14:paraId="2ACE0465" w14:textId="45ED1D58" w:rsidR="00AD0477" w:rsidRDefault="00AD0477" w:rsidP="000902A6">
      <w:pPr>
        <w:pStyle w:val="Text"/>
        <w:numPr>
          <w:ilvl w:val="0"/>
          <w:numId w:val="6"/>
        </w:numPr>
        <w:spacing w:before="120" w:after="120" w:line="240" w:lineRule="atLeast"/>
        <w:ind w:left="714" w:hanging="357"/>
      </w:pPr>
      <w:r>
        <w:rPr>
          <w:i/>
        </w:rPr>
        <w:t xml:space="preserve">Rock Art in the Landscape and Seascape of the </w:t>
      </w:r>
      <w:r w:rsidR="008740C5" w:rsidRPr="008740C5">
        <w:rPr>
          <w:i/>
        </w:rPr>
        <w:t>Tasmanian Wilderness World Heritage Area</w:t>
      </w:r>
      <w:r>
        <w:rPr>
          <w:i/>
        </w:rPr>
        <w:t>: recording, conservation and risk management</w:t>
      </w:r>
      <w:r>
        <w:t xml:space="preserve"> – Understanding </w:t>
      </w:r>
      <w:r w:rsidR="00ED47C1">
        <w:t xml:space="preserve">Values project outlined in the </w:t>
      </w:r>
      <w:r>
        <w:t xml:space="preserve">Detailed Plan. Field </w:t>
      </w:r>
      <w:r w:rsidR="001947AE">
        <w:t>t</w:t>
      </w:r>
      <w:r>
        <w:t xml:space="preserve">rips have commenced to provide opportunities for Aboriginal people to access and record rock marking sites throughout the </w:t>
      </w:r>
      <w:r w:rsidR="001947AE">
        <w:t>property</w:t>
      </w:r>
      <w:r>
        <w:t xml:space="preserve"> and contribute to their ongoing conservation and management</w:t>
      </w:r>
      <w:r w:rsidR="00E7274F">
        <w:t xml:space="preserve">. </w:t>
      </w:r>
    </w:p>
    <w:p w14:paraId="3C8B5DB9" w14:textId="5B3B5D5D" w:rsidR="00AD0477" w:rsidRDefault="00AD0477">
      <w:pPr>
        <w:pStyle w:val="Text"/>
        <w:numPr>
          <w:ilvl w:val="0"/>
          <w:numId w:val="6"/>
        </w:numPr>
        <w:spacing w:before="120" w:after="120" w:line="240" w:lineRule="atLeast"/>
        <w:ind w:left="714" w:hanging="357"/>
      </w:pPr>
      <w:r>
        <w:rPr>
          <w:i/>
        </w:rPr>
        <w:t xml:space="preserve">Interpretation and Presentation of the Aboriginal Cultural Values of the Tasmanian Wilderness World Heritage Area – </w:t>
      </w:r>
      <w:r>
        <w:t xml:space="preserve">Key Desired Outcome (KDO) </w:t>
      </w:r>
      <w:r w:rsidR="002669B6">
        <w:t>4.6</w:t>
      </w:r>
      <w:r>
        <w:t xml:space="preserve"> of the </w:t>
      </w:r>
      <w:r w:rsidR="00A05688">
        <w:t>2016 M</w:t>
      </w:r>
      <w:r>
        <w:t>a</w:t>
      </w:r>
      <w:r w:rsidR="00A05688">
        <w:t>na</w:t>
      </w:r>
      <w:r>
        <w:t>geme</w:t>
      </w:r>
      <w:r w:rsidR="00A05688">
        <w:t>nt Plan</w:t>
      </w:r>
      <w:r>
        <w:t xml:space="preserve">. </w:t>
      </w:r>
      <w:r w:rsidR="00ED47C1">
        <w:t>The p</w:t>
      </w:r>
      <w:r>
        <w:t xml:space="preserve">roject involves the development of a guide to support interpretation and presentation of Aboriginal cultural values of the </w:t>
      </w:r>
      <w:r w:rsidR="001947AE">
        <w:t>property</w:t>
      </w:r>
      <w:r>
        <w:t xml:space="preserve">. </w:t>
      </w:r>
      <w:r w:rsidR="00E7274F" w:rsidRPr="00AA2248">
        <w:t xml:space="preserve">The </w:t>
      </w:r>
      <w:r w:rsidR="001947AE">
        <w:t>g</w:t>
      </w:r>
      <w:r w:rsidR="00E7274F" w:rsidRPr="00AA2248">
        <w:t xml:space="preserve">uide will provide practical, step by step instruction to inform projects and initiatives on how to interpret and present Aboriginal cultural values in the </w:t>
      </w:r>
      <w:r w:rsidR="001947AE">
        <w:t>property</w:t>
      </w:r>
      <w:r w:rsidR="00AB6084">
        <w:t>. It will</w:t>
      </w:r>
      <w:r w:rsidR="00E7274F" w:rsidRPr="00AA2248">
        <w:t xml:space="preserve"> includ</w:t>
      </w:r>
      <w:r w:rsidR="00AB6084">
        <w:t>e</w:t>
      </w:r>
      <w:r w:rsidR="00E7274F" w:rsidRPr="00AA2248">
        <w:t xml:space="preserve"> guidance on appropriate engagement, consultation and collaboration with Aboriginal communities.</w:t>
      </w:r>
      <w:r w:rsidR="00E7274F">
        <w:t xml:space="preserve"> </w:t>
      </w:r>
      <w:r>
        <w:t>The project has commenced with initial Aboriginal community engagement and consultation underway</w:t>
      </w:r>
      <w:r w:rsidR="00ED47C1">
        <w:t>.</w:t>
      </w:r>
    </w:p>
    <w:p w14:paraId="4997638A" w14:textId="7A1B8FFF" w:rsidR="00AD0477" w:rsidRPr="00412ADC" w:rsidRDefault="00AD0477">
      <w:pPr>
        <w:pStyle w:val="Text"/>
        <w:numPr>
          <w:ilvl w:val="0"/>
          <w:numId w:val="6"/>
        </w:numPr>
        <w:spacing w:before="120" w:after="120" w:line="240" w:lineRule="atLeast"/>
        <w:ind w:left="714" w:hanging="357"/>
      </w:pPr>
      <w:r w:rsidRPr="00412ADC">
        <w:rPr>
          <w:i/>
        </w:rPr>
        <w:t xml:space="preserve">Aboriginal Community Access Visits to the </w:t>
      </w:r>
      <w:r w:rsidR="008740C5" w:rsidRPr="00412ADC">
        <w:rPr>
          <w:i/>
        </w:rPr>
        <w:t>Tasmanian Wilderness World Heritage Area</w:t>
      </w:r>
      <w:r w:rsidRPr="00412ADC">
        <w:t xml:space="preserve"> – Key Desired Outcome (KDO) 4.7 of the </w:t>
      </w:r>
      <w:r w:rsidR="00A05688" w:rsidRPr="00412ADC">
        <w:t>2016 Management Plan</w:t>
      </w:r>
      <w:r w:rsidRPr="00412ADC">
        <w:t xml:space="preserve">. </w:t>
      </w:r>
      <w:r w:rsidR="00A05688" w:rsidRPr="00412ADC">
        <w:t>The p</w:t>
      </w:r>
      <w:r w:rsidRPr="00412ADC">
        <w:t xml:space="preserve">roject will provide opportunities for Aboriginal people to be </w:t>
      </w:r>
      <w:r w:rsidR="00833630" w:rsidRPr="00412ADC">
        <w:t>“</w:t>
      </w:r>
      <w:r w:rsidRPr="00412ADC">
        <w:t>on Country</w:t>
      </w:r>
      <w:r w:rsidR="00833630" w:rsidRPr="00412ADC">
        <w:t>”</w:t>
      </w:r>
      <w:r w:rsidRPr="00412ADC">
        <w:t xml:space="preserve"> </w:t>
      </w:r>
      <w:r w:rsidR="00833630" w:rsidRPr="00412ADC">
        <w:t xml:space="preserve">(i.e. </w:t>
      </w:r>
      <w:r w:rsidR="00412ADC" w:rsidRPr="00412ADC">
        <w:t>accessing</w:t>
      </w:r>
      <w:r w:rsidR="00FE1855" w:rsidRPr="00412ADC">
        <w:t xml:space="preserve"> and working </w:t>
      </w:r>
      <w:r w:rsidR="00833630" w:rsidRPr="00412ADC">
        <w:t xml:space="preserve">on traditional lands) </w:t>
      </w:r>
      <w:r w:rsidR="001947AE">
        <w:t>to</w:t>
      </w:r>
      <w:r w:rsidR="001947AE" w:rsidRPr="00412ADC">
        <w:t xml:space="preserve"> </w:t>
      </w:r>
      <w:r w:rsidRPr="00412ADC">
        <w:t xml:space="preserve">access resources, pursue activities and actively participate in the management of the </w:t>
      </w:r>
      <w:r w:rsidR="001947AE">
        <w:t>property</w:t>
      </w:r>
      <w:r w:rsidRPr="00412ADC">
        <w:t xml:space="preserve">. </w:t>
      </w:r>
      <w:r w:rsidR="00ED47C1" w:rsidRPr="00412ADC">
        <w:t>The p</w:t>
      </w:r>
      <w:r w:rsidRPr="00412ADC">
        <w:t xml:space="preserve">roject has commenced with three Aboriginal organisations undertaking access visits to the </w:t>
      </w:r>
      <w:r w:rsidR="001947AE">
        <w:t>property</w:t>
      </w:r>
      <w:r w:rsidRPr="00412ADC">
        <w:t>.</w:t>
      </w:r>
    </w:p>
    <w:p w14:paraId="4FD27D19" w14:textId="7C787783" w:rsidR="00E7274F" w:rsidRPr="00B251D1" w:rsidRDefault="00AD0477">
      <w:pPr>
        <w:pStyle w:val="Text"/>
        <w:numPr>
          <w:ilvl w:val="0"/>
          <w:numId w:val="6"/>
        </w:numPr>
        <w:spacing w:before="120" w:after="120" w:line="240" w:lineRule="atLeast"/>
        <w:ind w:left="714" w:hanging="357"/>
      </w:pPr>
      <w:r>
        <w:rPr>
          <w:i/>
        </w:rPr>
        <w:lastRenderedPageBreak/>
        <w:t>Aboriginal Cultural and Heritage Awareness Training –</w:t>
      </w:r>
      <w:r>
        <w:t xml:space="preserve"> Key Desired Outcome (KDO) 4.3 of the </w:t>
      </w:r>
      <w:r w:rsidR="00A05688">
        <w:t>2016</w:t>
      </w:r>
      <w:r>
        <w:t xml:space="preserve"> Management Plan. </w:t>
      </w:r>
      <w:r w:rsidR="00E7274F" w:rsidRPr="00B251D1">
        <w:rPr>
          <w:rFonts w:eastAsia="Times New Roman"/>
          <w:lang w:eastAsia="en-AU"/>
        </w:rPr>
        <w:t xml:space="preserve">The purpose of </w:t>
      </w:r>
      <w:r w:rsidR="00E7274F" w:rsidRPr="00B251D1">
        <w:t xml:space="preserve">the </w:t>
      </w:r>
      <w:r w:rsidR="00ED47C1">
        <w:rPr>
          <w:rFonts w:eastAsia="Times New Roman"/>
          <w:lang w:eastAsia="en-AU"/>
        </w:rPr>
        <w:t>training</w:t>
      </w:r>
      <w:r w:rsidR="00E7274F" w:rsidRPr="00B251D1">
        <w:rPr>
          <w:rFonts w:eastAsia="Times New Roman"/>
          <w:lang w:eastAsia="en-AU"/>
        </w:rPr>
        <w:t xml:space="preserve"> is to ensure </w:t>
      </w:r>
      <w:r w:rsidR="00E7274F" w:rsidRPr="00B251D1">
        <w:t xml:space="preserve">all </w:t>
      </w:r>
      <w:r w:rsidR="00833630">
        <w:t>relevant Tasmanian Government</w:t>
      </w:r>
      <w:r w:rsidR="00833630" w:rsidRPr="00B251D1">
        <w:t xml:space="preserve"> </w:t>
      </w:r>
      <w:r w:rsidR="00E7274F" w:rsidRPr="00B251D1">
        <w:t xml:space="preserve">staff who have responsibility for and/or undertake regular management activities in the </w:t>
      </w:r>
      <w:r w:rsidR="001947AE">
        <w:t>property</w:t>
      </w:r>
      <w:r w:rsidR="00E7274F" w:rsidRPr="00B251D1">
        <w:t xml:space="preserve"> have an appropriate level of knowledge, understanding and appreciation of the </w:t>
      </w:r>
      <w:r w:rsidR="001947AE">
        <w:t>property’s</w:t>
      </w:r>
      <w:r w:rsidR="001947AE" w:rsidRPr="00B251D1">
        <w:t xml:space="preserve"> </w:t>
      </w:r>
      <w:r w:rsidR="00E7274F" w:rsidRPr="00B251D1">
        <w:t>Aboriginal heritage values for the effective management, protection and conservation of those values.</w:t>
      </w:r>
      <w:r w:rsidR="00E7274F" w:rsidRPr="00B251D1">
        <w:rPr>
          <w:i/>
        </w:rPr>
        <w:t xml:space="preserve"> </w:t>
      </w:r>
    </w:p>
    <w:p w14:paraId="59160B5C" w14:textId="348DD620" w:rsidR="00AD0477" w:rsidRDefault="00A05688" w:rsidP="00824985">
      <w:pPr>
        <w:pStyle w:val="Text"/>
      </w:pPr>
      <w:r>
        <w:t>These projects</w:t>
      </w:r>
      <w:r w:rsidR="00AD0477">
        <w:t xml:space="preserve"> </w:t>
      </w:r>
      <w:r w:rsidR="00E7274F">
        <w:t xml:space="preserve">will </w:t>
      </w:r>
      <w:r w:rsidR="00AD0477">
        <w:t xml:space="preserve">provide cultural and heritage awareness training and will offer employment opportunities for Aboriginal people to develop and deliver course material to </w:t>
      </w:r>
      <w:r w:rsidR="008740C5">
        <w:t xml:space="preserve">the </w:t>
      </w:r>
      <w:r w:rsidR="001947AE">
        <w:t>property</w:t>
      </w:r>
      <w:r w:rsidR="008740C5">
        <w:t>’s</w:t>
      </w:r>
      <w:r w:rsidR="00AD0477">
        <w:t xml:space="preserve"> land managers.</w:t>
      </w:r>
    </w:p>
    <w:p w14:paraId="645B8BC1" w14:textId="6E9095ED" w:rsidR="00C403D9" w:rsidRPr="00BE42DA" w:rsidRDefault="00ED47C1" w:rsidP="00824985">
      <w:pPr>
        <w:pStyle w:val="Heading3"/>
        <w:spacing w:before="170"/>
      </w:pPr>
      <w:bookmarkStart w:id="57" w:name="_Toc19270663"/>
      <w:bookmarkStart w:id="58" w:name="_Toc22806709"/>
      <w:r w:rsidRPr="00BE42DA">
        <w:t xml:space="preserve">Draft </w:t>
      </w:r>
      <w:r w:rsidR="00C403D9" w:rsidRPr="00BE42DA">
        <w:t>Retrospective Statement of Outstanding Universal Value</w:t>
      </w:r>
      <w:bookmarkEnd w:id="57"/>
      <w:bookmarkEnd w:id="58"/>
      <w:r w:rsidR="00C403D9" w:rsidRPr="00BE42DA">
        <w:t xml:space="preserve"> </w:t>
      </w:r>
    </w:p>
    <w:p w14:paraId="2751A662" w14:textId="43CC7BCA" w:rsidR="00D736BA" w:rsidRDefault="00D736BA" w:rsidP="000902A6">
      <w:pPr>
        <w:spacing w:before="170" w:after="0"/>
        <w:ind w:left="720"/>
        <w:rPr>
          <w:szCs w:val="22"/>
        </w:rPr>
      </w:pPr>
      <w:r w:rsidRPr="00D736BA">
        <w:rPr>
          <w:b/>
          <w:szCs w:val="22"/>
        </w:rPr>
        <w:t>2018 Decision 42 COM 7B.61 Paragraph 8</w:t>
      </w:r>
      <w:r w:rsidR="00C32599">
        <w:rPr>
          <w:szCs w:val="22"/>
        </w:rPr>
        <w:t xml:space="preserve"> (continued)</w:t>
      </w:r>
      <w:r w:rsidRPr="003E57F6">
        <w:rPr>
          <w:szCs w:val="22"/>
        </w:rPr>
        <w:t xml:space="preserve"> </w:t>
      </w:r>
      <w:r w:rsidR="00930F13" w:rsidRPr="00C32599">
        <w:rPr>
          <w:szCs w:val="22"/>
        </w:rPr>
        <w:t>…</w:t>
      </w:r>
      <w:r w:rsidRPr="000902A6">
        <w:rPr>
          <w:i/>
          <w:szCs w:val="22"/>
        </w:rPr>
        <w:t xml:space="preserve">and </w:t>
      </w:r>
      <w:r w:rsidRPr="001947AE">
        <w:rPr>
          <w:i/>
          <w:szCs w:val="22"/>
          <w:u w:val="single"/>
        </w:rPr>
        <w:t>further encourages</w:t>
      </w:r>
      <w:r w:rsidRPr="001947AE">
        <w:rPr>
          <w:i/>
          <w:szCs w:val="22"/>
        </w:rPr>
        <w:t xml:space="preserve"> it to use these data to complete the drafting of a Retrospective Statement of OUV</w:t>
      </w:r>
      <w:r w:rsidRPr="003E57F6">
        <w:rPr>
          <w:szCs w:val="22"/>
        </w:rPr>
        <w:t>;</w:t>
      </w:r>
    </w:p>
    <w:p w14:paraId="3365ECB1" w14:textId="77777777" w:rsidR="001947AE" w:rsidRDefault="001947AE" w:rsidP="001947AE">
      <w:pPr>
        <w:spacing w:before="170" w:after="120"/>
        <w:rPr>
          <w:b/>
        </w:rPr>
      </w:pPr>
      <w:r>
        <w:rPr>
          <w:b/>
        </w:rPr>
        <w:t>State Party’s response</w:t>
      </w:r>
    </w:p>
    <w:tbl>
      <w:tblPr>
        <w:tblStyle w:val="TableGrid"/>
        <w:tblW w:w="0" w:type="auto"/>
        <w:tblLook w:val="04A0" w:firstRow="1" w:lastRow="0" w:firstColumn="1" w:lastColumn="0" w:noHBand="0" w:noVBand="1"/>
      </w:tblPr>
      <w:tblGrid>
        <w:gridCol w:w="9350"/>
      </w:tblGrid>
      <w:tr w:rsidR="001947AE" w14:paraId="5A0A9DF1" w14:textId="77777777" w:rsidTr="001947AE">
        <w:tc>
          <w:tcPr>
            <w:tcW w:w="9350" w:type="dxa"/>
          </w:tcPr>
          <w:p w14:paraId="179A2C72" w14:textId="77777777" w:rsidR="00532452" w:rsidRDefault="001947AE" w:rsidP="00532452">
            <w:pPr>
              <w:spacing w:before="120" w:after="120" w:line="276" w:lineRule="auto"/>
              <w:ind w:left="0" w:firstLine="0"/>
            </w:pPr>
            <w:r>
              <w:t>A</w:t>
            </w:r>
            <w:r w:rsidRPr="00930F13">
              <w:t xml:space="preserve"> revised draft Retrospective Statement of Outstanding Universal Value has been prepared in consultation with the Aboriginal Heritage Council and</w:t>
            </w:r>
            <w:r>
              <w:t xml:space="preserve"> the</w:t>
            </w:r>
            <w:r w:rsidRPr="00930F13">
              <w:t xml:space="preserve"> Tasmanian National Parks and Wildlife Advisory Council</w:t>
            </w:r>
            <w:r>
              <w:t xml:space="preserve"> and other stakeholders.</w:t>
            </w:r>
          </w:p>
          <w:p w14:paraId="61BE3BD7" w14:textId="48964B9B" w:rsidR="001947AE" w:rsidRDefault="00532452" w:rsidP="003B19C7">
            <w:pPr>
              <w:spacing w:before="120" w:after="120" w:line="276" w:lineRule="auto"/>
              <w:ind w:left="0" w:firstLine="0"/>
              <w:rPr>
                <w:szCs w:val="22"/>
              </w:rPr>
            </w:pPr>
            <w:r>
              <w:t xml:space="preserve">The Australian Government sent </w:t>
            </w:r>
            <w:r w:rsidR="00FC0632">
              <w:t>the</w:t>
            </w:r>
            <w:r>
              <w:t xml:space="preserve"> revised draft </w:t>
            </w:r>
            <w:r w:rsidR="00333E44">
              <w:t>Retrospective</w:t>
            </w:r>
            <w:r>
              <w:t xml:space="preserve"> Statement of Outstanding Universal Value to the World Heritage Centre on </w:t>
            </w:r>
            <w:r w:rsidR="003B19C7">
              <w:t>2 October 2019</w:t>
            </w:r>
            <w:r w:rsidR="001947AE">
              <w:t xml:space="preserve"> for review by the Advisory Bodies.</w:t>
            </w:r>
          </w:p>
        </w:tc>
      </w:tr>
    </w:tbl>
    <w:p w14:paraId="4346345F" w14:textId="4EACDB70" w:rsidR="00184E4C" w:rsidRPr="00A41B45" w:rsidRDefault="00184E4C" w:rsidP="00824985">
      <w:pPr>
        <w:spacing w:before="170" w:after="0"/>
      </w:pPr>
      <w:r>
        <w:rPr>
          <w:rFonts w:cs="Arial"/>
          <w:color w:val="000000"/>
          <w:szCs w:val="20"/>
        </w:rPr>
        <w:t xml:space="preserve">In response to this request and the recommendation of the </w:t>
      </w:r>
      <w:r w:rsidR="008A17B7">
        <w:rPr>
          <w:rFonts w:cs="Arial"/>
          <w:color w:val="000000"/>
          <w:szCs w:val="20"/>
        </w:rPr>
        <w:t xml:space="preserve">2015 </w:t>
      </w:r>
      <w:r>
        <w:rPr>
          <w:rFonts w:cs="Arial"/>
          <w:color w:val="000000"/>
          <w:szCs w:val="20"/>
        </w:rPr>
        <w:t xml:space="preserve">Reactive Monitoring Mission (see recommendation 16 in </w:t>
      </w:r>
      <w:r w:rsidRPr="00184E4C">
        <w:rPr>
          <w:rFonts w:cs="Arial"/>
          <w:b/>
          <w:color w:val="000000"/>
          <w:szCs w:val="20"/>
        </w:rPr>
        <w:t xml:space="preserve">Appendix </w:t>
      </w:r>
      <w:r w:rsidRPr="00415F44">
        <w:rPr>
          <w:rFonts w:cs="Arial"/>
          <w:b/>
          <w:color w:val="000000"/>
          <w:szCs w:val="20"/>
        </w:rPr>
        <w:t>3</w:t>
      </w:r>
      <w:r>
        <w:rPr>
          <w:rFonts w:cs="Arial"/>
          <w:color w:val="000000"/>
          <w:szCs w:val="20"/>
        </w:rPr>
        <w:t>)</w:t>
      </w:r>
      <w:r w:rsidR="00F477F2">
        <w:rPr>
          <w:rFonts w:cs="Arial"/>
          <w:color w:val="000000"/>
          <w:szCs w:val="20"/>
        </w:rPr>
        <w:t>,</w:t>
      </w:r>
      <w:r>
        <w:rPr>
          <w:rFonts w:cs="Arial"/>
          <w:color w:val="000000"/>
          <w:szCs w:val="20"/>
        </w:rPr>
        <w:t xml:space="preserve"> a revised draft Retrospective </w:t>
      </w:r>
      <w:r w:rsidRPr="00D52FB7">
        <w:rPr>
          <w:rFonts w:cs="Arial"/>
          <w:color w:val="000000"/>
          <w:szCs w:val="20"/>
        </w:rPr>
        <w:t>Statement of Outstanding Universal Value</w:t>
      </w:r>
      <w:r>
        <w:rPr>
          <w:rFonts w:cs="Arial"/>
          <w:color w:val="000000"/>
          <w:szCs w:val="20"/>
        </w:rPr>
        <w:t xml:space="preserve"> </w:t>
      </w:r>
      <w:r w:rsidR="001947AE">
        <w:rPr>
          <w:rFonts w:cs="Arial"/>
          <w:color w:val="000000"/>
          <w:szCs w:val="20"/>
        </w:rPr>
        <w:t>(</w:t>
      </w:r>
      <w:r w:rsidR="001F3F83">
        <w:rPr>
          <w:rFonts w:cs="Arial"/>
          <w:color w:val="000000"/>
          <w:szCs w:val="20"/>
        </w:rPr>
        <w:t>draft Statement</w:t>
      </w:r>
      <w:r w:rsidR="001947AE">
        <w:rPr>
          <w:rFonts w:cs="Arial"/>
          <w:color w:val="000000"/>
          <w:szCs w:val="20"/>
        </w:rPr>
        <w:t xml:space="preserve">) </w:t>
      </w:r>
      <w:r>
        <w:rPr>
          <w:rFonts w:cs="Arial"/>
          <w:color w:val="000000"/>
          <w:szCs w:val="20"/>
        </w:rPr>
        <w:t xml:space="preserve">has been prepared in consultation with the </w:t>
      </w:r>
      <w:r w:rsidR="00A41B45">
        <w:rPr>
          <w:rFonts w:cs="Arial"/>
          <w:color w:val="000000"/>
          <w:szCs w:val="20"/>
        </w:rPr>
        <w:t xml:space="preserve">Aboriginal Heritage Council and </w:t>
      </w:r>
      <w:r>
        <w:rPr>
          <w:rFonts w:cs="Arial"/>
          <w:color w:val="000000"/>
          <w:szCs w:val="20"/>
        </w:rPr>
        <w:t>Tasmanian National Park</w:t>
      </w:r>
      <w:r w:rsidR="009C44D1">
        <w:rPr>
          <w:rFonts w:cs="Arial"/>
          <w:color w:val="000000"/>
          <w:szCs w:val="20"/>
        </w:rPr>
        <w:t>s and Wildlife Advisory Council</w:t>
      </w:r>
      <w:r w:rsidRPr="00D52FB7">
        <w:rPr>
          <w:rFonts w:cs="Arial"/>
          <w:color w:val="000000"/>
          <w:szCs w:val="20"/>
        </w:rPr>
        <w:t xml:space="preserve">. </w:t>
      </w:r>
      <w:r>
        <w:rPr>
          <w:rFonts w:cs="Arial"/>
          <w:color w:val="000000"/>
          <w:szCs w:val="20"/>
        </w:rPr>
        <w:t xml:space="preserve">A number of other organisations and private landholders were also consulted and their comments considered in preparing the draft Statement. These include the Australian Committee for IUCN, Australia ICOMOS, Bush Heritage Australia, Hydro Tasmania, </w:t>
      </w:r>
      <w:proofErr w:type="spellStart"/>
      <w:r>
        <w:rPr>
          <w:rFonts w:cs="Arial"/>
          <w:color w:val="000000"/>
          <w:szCs w:val="20"/>
        </w:rPr>
        <w:t>TasNetworks</w:t>
      </w:r>
      <w:proofErr w:type="spellEnd"/>
      <w:r w:rsidR="00D60864">
        <w:rPr>
          <w:rFonts w:cs="Arial"/>
          <w:color w:val="000000"/>
          <w:szCs w:val="20"/>
        </w:rPr>
        <w:t>,</w:t>
      </w:r>
      <w:r>
        <w:rPr>
          <w:rFonts w:cs="Arial"/>
          <w:color w:val="000000"/>
          <w:szCs w:val="20"/>
        </w:rPr>
        <w:t xml:space="preserve"> the </w:t>
      </w:r>
      <w:r w:rsidR="00531B72">
        <w:rPr>
          <w:rFonts w:cs="Arial"/>
          <w:color w:val="000000"/>
          <w:szCs w:val="20"/>
        </w:rPr>
        <w:t>Tasmanian Land Conservancy and T</w:t>
      </w:r>
      <w:r>
        <w:rPr>
          <w:rFonts w:cs="Arial"/>
          <w:color w:val="000000"/>
          <w:szCs w:val="20"/>
        </w:rPr>
        <w:t xml:space="preserve">he Wilderness </w:t>
      </w:r>
      <w:r w:rsidR="00A41B45">
        <w:rPr>
          <w:rFonts w:cs="Arial"/>
          <w:szCs w:val="20"/>
        </w:rPr>
        <w:t>Society.</w:t>
      </w:r>
    </w:p>
    <w:p w14:paraId="775408CF" w14:textId="01164A53" w:rsidR="00790C15" w:rsidRPr="00790C15" w:rsidRDefault="00790C15" w:rsidP="00824985">
      <w:pPr>
        <w:spacing w:before="170" w:after="0"/>
      </w:pPr>
      <w:r w:rsidRPr="00790C15">
        <w:t xml:space="preserve">The draft Statement includes </w:t>
      </w:r>
      <w:r>
        <w:t xml:space="preserve">information about the Aboriginal cultural heritage of Outstanding Universal Value of the </w:t>
      </w:r>
      <w:r w:rsidR="001F3F83">
        <w:t>property</w:t>
      </w:r>
      <w:r>
        <w:t xml:space="preserve">, including </w:t>
      </w:r>
      <w:r w:rsidR="002E0D1B">
        <w:t xml:space="preserve">in </w:t>
      </w:r>
      <w:r>
        <w:t xml:space="preserve">the </w:t>
      </w:r>
      <w:r w:rsidR="00A05688">
        <w:t>area</w:t>
      </w:r>
      <w:r>
        <w:t xml:space="preserve"> added in 2013.</w:t>
      </w:r>
      <w:r w:rsidR="00C26EE0">
        <w:t xml:space="preserve"> </w:t>
      </w:r>
    </w:p>
    <w:p w14:paraId="6DE2E768" w14:textId="77777777" w:rsidR="00C028AA" w:rsidRDefault="00C028AA" w:rsidP="00824985">
      <w:pPr>
        <w:pStyle w:val="Heading3"/>
        <w:spacing w:before="170"/>
      </w:pPr>
      <w:bookmarkStart w:id="59" w:name="_Toc5373741"/>
      <w:bookmarkStart w:id="60" w:name="_Toc19270664"/>
      <w:bookmarkStart w:id="61" w:name="_Toc22806710"/>
      <w:r>
        <w:t>Addition of cultural heritage specialist</w:t>
      </w:r>
      <w:r w:rsidR="00D61AEA">
        <w:t>s</w:t>
      </w:r>
      <w:r>
        <w:t xml:space="preserve"> to the property staff</w:t>
      </w:r>
      <w:bookmarkEnd w:id="59"/>
      <w:bookmarkEnd w:id="60"/>
      <w:bookmarkEnd w:id="61"/>
    </w:p>
    <w:p w14:paraId="34D46483" w14:textId="77777777" w:rsidR="00F071C5" w:rsidRDefault="00F071C5" w:rsidP="00F728F4">
      <w:pPr>
        <w:spacing w:before="170" w:after="0"/>
        <w:ind w:left="720"/>
        <w:rPr>
          <w:i/>
          <w:szCs w:val="22"/>
        </w:rPr>
      </w:pPr>
      <w:r w:rsidRPr="00F071C5">
        <w:rPr>
          <w:b/>
          <w:szCs w:val="22"/>
        </w:rPr>
        <w:t>2018 Decision 42 COM 7B.61 Paragraph 9</w:t>
      </w:r>
      <w:r w:rsidRPr="00F071C5">
        <w:rPr>
          <w:i/>
          <w:szCs w:val="22"/>
        </w:rPr>
        <w:t>: Reiterates its recommendation to the State Party to add cultural heritage specialists to the property staff, in order to ensure the effective protection and management of cultural sites within the property.</w:t>
      </w:r>
    </w:p>
    <w:p w14:paraId="7D2BADC2" w14:textId="77777777" w:rsidR="001F3F83" w:rsidRDefault="001F3F83" w:rsidP="001F3F83">
      <w:pPr>
        <w:spacing w:before="170" w:after="120"/>
        <w:rPr>
          <w:b/>
        </w:rPr>
      </w:pPr>
      <w:r>
        <w:rPr>
          <w:b/>
        </w:rPr>
        <w:t>State Party’s response</w:t>
      </w:r>
    </w:p>
    <w:tbl>
      <w:tblPr>
        <w:tblStyle w:val="TableGrid"/>
        <w:tblW w:w="0" w:type="auto"/>
        <w:tblLook w:val="04A0" w:firstRow="1" w:lastRow="0" w:firstColumn="1" w:lastColumn="0" w:noHBand="0" w:noVBand="1"/>
      </w:tblPr>
      <w:tblGrid>
        <w:gridCol w:w="9350"/>
      </w:tblGrid>
      <w:tr w:rsidR="001F3F83" w14:paraId="7A3CFF39" w14:textId="77777777" w:rsidTr="001F3F83">
        <w:tc>
          <w:tcPr>
            <w:tcW w:w="9350" w:type="dxa"/>
          </w:tcPr>
          <w:p w14:paraId="4E17985D" w14:textId="604B31C2" w:rsidR="001F3F83" w:rsidRDefault="001F3F83" w:rsidP="001F3F83">
            <w:pPr>
              <w:spacing w:before="120" w:after="120" w:line="276" w:lineRule="auto"/>
              <w:ind w:left="0" w:firstLine="0"/>
              <w:rPr>
                <w:szCs w:val="22"/>
              </w:rPr>
            </w:pPr>
            <w:r w:rsidRPr="00FE1855">
              <w:t xml:space="preserve">Cultural heritage specialists are employed within </w:t>
            </w:r>
            <w:r w:rsidRPr="00FE1855">
              <w:rPr>
                <w:lang w:val="en"/>
              </w:rPr>
              <w:t>Tasmania’s Department of Primary Industries, Parks, Water and Environment</w:t>
            </w:r>
            <w:r>
              <w:rPr>
                <w:lang w:val="en"/>
              </w:rPr>
              <w:t>.</w:t>
            </w:r>
          </w:p>
        </w:tc>
      </w:tr>
    </w:tbl>
    <w:p w14:paraId="2BC3A06B" w14:textId="70E8A604" w:rsidR="0057215D" w:rsidRDefault="006A622F" w:rsidP="00824985">
      <w:pPr>
        <w:spacing w:before="170" w:after="0"/>
        <w:rPr>
          <w:rFonts w:cs="Arial"/>
          <w:color w:val="000000"/>
          <w:szCs w:val="20"/>
        </w:rPr>
      </w:pPr>
      <w:r w:rsidRPr="0008638A">
        <w:rPr>
          <w:rFonts w:cs="Arial"/>
          <w:color w:val="000000"/>
          <w:szCs w:val="20"/>
        </w:rPr>
        <w:t xml:space="preserve">A </w:t>
      </w:r>
      <w:r w:rsidR="00E7274F" w:rsidRPr="0008638A">
        <w:rPr>
          <w:rFonts w:cs="Arial"/>
          <w:color w:val="000000"/>
          <w:szCs w:val="20"/>
        </w:rPr>
        <w:t>Cultural Management Group</w:t>
      </w:r>
      <w:r w:rsidR="0057215D" w:rsidRPr="0008638A">
        <w:rPr>
          <w:rFonts w:cs="Arial"/>
          <w:color w:val="000000"/>
          <w:szCs w:val="20"/>
        </w:rPr>
        <w:t>,</w:t>
      </w:r>
      <w:r w:rsidR="00E7274F" w:rsidRPr="0008638A">
        <w:rPr>
          <w:rFonts w:cs="Arial"/>
          <w:color w:val="000000"/>
          <w:szCs w:val="20"/>
        </w:rPr>
        <w:t xml:space="preserve"> </w:t>
      </w:r>
      <w:r w:rsidR="00F6372F" w:rsidRPr="0008638A">
        <w:rPr>
          <w:rFonts w:cs="Arial"/>
          <w:color w:val="000000"/>
          <w:szCs w:val="20"/>
        </w:rPr>
        <w:t>with responsibility</w:t>
      </w:r>
      <w:r w:rsidR="00E7274F" w:rsidRPr="0008638A">
        <w:rPr>
          <w:rFonts w:cs="Arial"/>
          <w:color w:val="000000"/>
          <w:szCs w:val="20"/>
        </w:rPr>
        <w:t xml:space="preserve"> for the management of cultural values and delivery of </w:t>
      </w:r>
      <w:r w:rsidRPr="0008638A">
        <w:rPr>
          <w:rFonts w:cs="Arial"/>
          <w:color w:val="000000"/>
          <w:szCs w:val="20"/>
        </w:rPr>
        <w:t xml:space="preserve">relevant </w:t>
      </w:r>
      <w:r w:rsidR="00C403D9" w:rsidRPr="0008638A">
        <w:rPr>
          <w:rFonts w:cs="Arial"/>
          <w:color w:val="000000"/>
          <w:szCs w:val="20"/>
        </w:rPr>
        <w:t xml:space="preserve">key desired outcomes </w:t>
      </w:r>
      <w:r w:rsidR="00E7274F" w:rsidRPr="0008638A">
        <w:rPr>
          <w:rFonts w:cs="Arial"/>
          <w:color w:val="000000"/>
          <w:szCs w:val="20"/>
        </w:rPr>
        <w:t xml:space="preserve">in the </w:t>
      </w:r>
      <w:r w:rsidR="0008638A">
        <w:rPr>
          <w:rFonts w:cs="Arial"/>
          <w:color w:val="000000"/>
          <w:szCs w:val="20"/>
        </w:rPr>
        <w:t>2016</w:t>
      </w:r>
      <w:r w:rsidR="0078235D" w:rsidRPr="0008638A">
        <w:rPr>
          <w:rFonts w:cs="Arial"/>
          <w:color w:val="000000"/>
          <w:szCs w:val="20"/>
        </w:rPr>
        <w:t xml:space="preserve"> Management Plan</w:t>
      </w:r>
      <w:r w:rsidR="0057215D" w:rsidRPr="0008638A">
        <w:rPr>
          <w:rFonts w:cs="Arial"/>
          <w:color w:val="000000"/>
          <w:szCs w:val="20"/>
        </w:rPr>
        <w:t>, has been established</w:t>
      </w:r>
      <w:r w:rsidR="00FE1855" w:rsidRPr="00FE1855">
        <w:t xml:space="preserve"> </w:t>
      </w:r>
      <w:r w:rsidR="00FE1855" w:rsidRPr="00FE1855">
        <w:rPr>
          <w:rFonts w:cs="Arial"/>
          <w:color w:val="000000"/>
          <w:szCs w:val="20"/>
        </w:rPr>
        <w:t xml:space="preserve">within </w:t>
      </w:r>
      <w:r w:rsidR="00FE1855" w:rsidRPr="00FE1855">
        <w:rPr>
          <w:rFonts w:cs="Arial"/>
          <w:color w:val="000000"/>
          <w:szCs w:val="20"/>
          <w:lang w:val="en"/>
        </w:rPr>
        <w:t>Aboriginal Heritage Tasmania (part of the Natural and Cultural Heritage Division, in Tasmania’s Department of Primary Industries, Parks, Water and Environment)</w:t>
      </w:r>
      <w:r w:rsidR="0078235D" w:rsidRPr="0008638A">
        <w:rPr>
          <w:rFonts w:cs="Arial"/>
          <w:color w:val="000000"/>
          <w:szCs w:val="20"/>
        </w:rPr>
        <w:t>. Th</w:t>
      </w:r>
      <w:r w:rsidR="0057215D" w:rsidRPr="0008638A">
        <w:rPr>
          <w:rFonts w:cs="Arial"/>
          <w:color w:val="000000"/>
          <w:szCs w:val="20"/>
        </w:rPr>
        <w:t>is group is</w:t>
      </w:r>
      <w:r w:rsidRPr="0008638A">
        <w:rPr>
          <w:rFonts w:cs="Arial"/>
          <w:color w:val="000000"/>
          <w:szCs w:val="20"/>
        </w:rPr>
        <w:t xml:space="preserve"> </w:t>
      </w:r>
      <w:r w:rsidR="0078235D" w:rsidRPr="0008638A">
        <w:rPr>
          <w:rFonts w:cs="Arial"/>
          <w:color w:val="000000"/>
          <w:szCs w:val="20"/>
        </w:rPr>
        <w:t>comprise</w:t>
      </w:r>
      <w:r w:rsidRPr="0008638A">
        <w:rPr>
          <w:rFonts w:cs="Arial"/>
          <w:color w:val="000000"/>
          <w:szCs w:val="20"/>
        </w:rPr>
        <w:t>d of</w:t>
      </w:r>
      <w:r w:rsidR="0078235D" w:rsidRPr="0008638A">
        <w:rPr>
          <w:rFonts w:cs="Arial"/>
          <w:color w:val="000000"/>
          <w:szCs w:val="20"/>
        </w:rPr>
        <w:t xml:space="preserve"> a Manager, Executive Services, two archaeologists, a </w:t>
      </w:r>
      <w:r w:rsidR="001F3F83">
        <w:rPr>
          <w:rFonts w:cs="Arial"/>
          <w:color w:val="000000"/>
          <w:szCs w:val="20"/>
        </w:rPr>
        <w:t>P</w:t>
      </w:r>
      <w:r w:rsidR="0078235D" w:rsidRPr="0008638A">
        <w:rPr>
          <w:rFonts w:cs="Arial"/>
          <w:color w:val="000000"/>
          <w:szCs w:val="20"/>
        </w:rPr>
        <w:t xml:space="preserve">roject </w:t>
      </w:r>
      <w:r w:rsidR="001F3F83">
        <w:rPr>
          <w:rFonts w:cs="Arial"/>
          <w:color w:val="000000"/>
          <w:szCs w:val="20"/>
        </w:rPr>
        <w:t>O</w:t>
      </w:r>
      <w:r w:rsidR="0078235D" w:rsidRPr="0008638A">
        <w:rPr>
          <w:rFonts w:cs="Arial"/>
          <w:color w:val="000000"/>
          <w:szCs w:val="20"/>
        </w:rPr>
        <w:t>fficer and an Aboriginal Heritage Advisor. A Senior Aboriginal Heritage Advisor within Aboriginal Heritage Tasmania also supports the Cultural Management Group</w:t>
      </w:r>
      <w:r w:rsidR="0008638A">
        <w:rPr>
          <w:rFonts w:cs="Arial"/>
          <w:color w:val="000000"/>
          <w:szCs w:val="20"/>
        </w:rPr>
        <w:t>.</w:t>
      </w:r>
    </w:p>
    <w:p w14:paraId="5A8D6437" w14:textId="5FC3ECAA" w:rsidR="007E7A7D" w:rsidRDefault="007E7A7D" w:rsidP="00824985">
      <w:pPr>
        <w:pStyle w:val="Heading2"/>
        <w:spacing w:before="170"/>
      </w:pPr>
      <w:bookmarkStart w:id="62" w:name="_Toc19270665"/>
      <w:bookmarkStart w:id="63" w:name="_Toc22806711"/>
      <w:r>
        <w:lastRenderedPageBreak/>
        <w:t>Implementation of Decision 40 COM 7B.66</w:t>
      </w:r>
      <w:bookmarkEnd w:id="62"/>
      <w:bookmarkEnd w:id="63"/>
    </w:p>
    <w:p w14:paraId="2EE59D1F" w14:textId="17294A37" w:rsidR="00C028AA" w:rsidRDefault="00C028AA" w:rsidP="00824985">
      <w:pPr>
        <w:pStyle w:val="Heading3"/>
        <w:spacing w:before="170"/>
      </w:pPr>
      <w:bookmarkStart w:id="64" w:name="_Toc6219841"/>
      <w:bookmarkStart w:id="65" w:name="_Toc6219960"/>
      <w:bookmarkStart w:id="66" w:name="_Toc6220084"/>
      <w:bookmarkStart w:id="67" w:name="_Toc6220133"/>
      <w:bookmarkStart w:id="68" w:name="_Toc6220182"/>
      <w:bookmarkStart w:id="69" w:name="_Toc6220247"/>
      <w:bookmarkStart w:id="70" w:name="_Toc7440600"/>
      <w:bookmarkStart w:id="71" w:name="_Toc7440664"/>
      <w:bookmarkStart w:id="72" w:name="_Toc6219842"/>
      <w:bookmarkStart w:id="73" w:name="_Toc6219961"/>
      <w:bookmarkStart w:id="74" w:name="_Toc6220085"/>
      <w:bookmarkStart w:id="75" w:name="_Toc6220134"/>
      <w:bookmarkStart w:id="76" w:name="_Toc6220183"/>
      <w:bookmarkStart w:id="77" w:name="_Toc6220248"/>
      <w:bookmarkStart w:id="78" w:name="_Toc7440601"/>
      <w:bookmarkStart w:id="79" w:name="_Toc7440665"/>
      <w:bookmarkStart w:id="80" w:name="_Toc6219843"/>
      <w:bookmarkStart w:id="81" w:name="_Toc6219962"/>
      <w:bookmarkStart w:id="82" w:name="_Toc6220086"/>
      <w:bookmarkStart w:id="83" w:name="_Toc6220135"/>
      <w:bookmarkStart w:id="84" w:name="_Toc6220184"/>
      <w:bookmarkStart w:id="85" w:name="_Toc6220249"/>
      <w:bookmarkStart w:id="86" w:name="_Toc7440602"/>
      <w:bookmarkStart w:id="87" w:name="_Toc7440666"/>
      <w:bookmarkStart w:id="88" w:name="_Toc6219844"/>
      <w:bookmarkStart w:id="89" w:name="_Toc6219963"/>
      <w:bookmarkStart w:id="90" w:name="_Toc6220087"/>
      <w:bookmarkStart w:id="91" w:name="_Toc6220136"/>
      <w:bookmarkStart w:id="92" w:name="_Toc6220185"/>
      <w:bookmarkStart w:id="93" w:name="_Toc6220250"/>
      <w:bookmarkStart w:id="94" w:name="_Toc7440603"/>
      <w:bookmarkStart w:id="95" w:name="_Toc7440667"/>
      <w:bookmarkStart w:id="96" w:name="_Toc6219845"/>
      <w:bookmarkStart w:id="97" w:name="_Toc6219964"/>
      <w:bookmarkStart w:id="98" w:name="_Toc6220088"/>
      <w:bookmarkStart w:id="99" w:name="_Toc6220137"/>
      <w:bookmarkStart w:id="100" w:name="_Toc6220186"/>
      <w:bookmarkStart w:id="101" w:name="_Toc6220251"/>
      <w:bookmarkStart w:id="102" w:name="_Toc7440604"/>
      <w:bookmarkStart w:id="103" w:name="_Toc7440668"/>
      <w:bookmarkStart w:id="104" w:name="_Toc6219846"/>
      <w:bookmarkStart w:id="105" w:name="_Toc6219965"/>
      <w:bookmarkStart w:id="106" w:name="_Toc6220089"/>
      <w:bookmarkStart w:id="107" w:name="_Toc6220138"/>
      <w:bookmarkStart w:id="108" w:name="_Toc6220187"/>
      <w:bookmarkStart w:id="109" w:name="_Toc6220252"/>
      <w:bookmarkStart w:id="110" w:name="_Toc7440605"/>
      <w:bookmarkStart w:id="111" w:name="_Toc7440669"/>
      <w:bookmarkStart w:id="112" w:name="_Toc5373742"/>
      <w:bookmarkStart w:id="113" w:name="_Toc19270666"/>
      <w:bookmarkStart w:id="114" w:name="_Toc2280671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Dual naming</w:t>
      </w:r>
      <w:bookmarkEnd w:id="112"/>
      <w:bookmarkEnd w:id="113"/>
      <w:bookmarkEnd w:id="114"/>
    </w:p>
    <w:p w14:paraId="39C977C4" w14:textId="77777777" w:rsidR="00C028AA" w:rsidRDefault="00945DBB" w:rsidP="00F728F4">
      <w:pPr>
        <w:spacing w:before="170" w:after="0"/>
        <w:ind w:left="720"/>
        <w:rPr>
          <w:i/>
        </w:rPr>
      </w:pPr>
      <w:r w:rsidRPr="00945DBB">
        <w:rPr>
          <w:b/>
        </w:rPr>
        <w:t>2016 Decision 40 COM 7B.66 Paragraph 6:</w:t>
      </w:r>
      <w:r>
        <w:t xml:space="preserve"> </w:t>
      </w:r>
      <w:r w:rsidRPr="003549BB">
        <w:rPr>
          <w:i/>
          <w:u w:val="single"/>
        </w:rPr>
        <w:t>Encourages</w:t>
      </w:r>
      <w:r>
        <w:rPr>
          <w:i/>
        </w:rPr>
        <w:t xml:space="preserve"> the State Party to explore the possibility of dual naming for the property, to reflect its wilderness character, its Aboriginal heritage and the relationship of the Tasmanian Aboriginal Community with the property.</w:t>
      </w:r>
    </w:p>
    <w:p w14:paraId="1BF92982" w14:textId="77777777" w:rsidR="001F3F83" w:rsidRDefault="001F3F83" w:rsidP="001F3F83">
      <w:pPr>
        <w:spacing w:before="170" w:after="120"/>
        <w:rPr>
          <w:b/>
        </w:rPr>
      </w:pPr>
      <w:r>
        <w:rPr>
          <w:b/>
        </w:rPr>
        <w:t>State Party’s response</w:t>
      </w:r>
    </w:p>
    <w:tbl>
      <w:tblPr>
        <w:tblStyle w:val="TableGrid"/>
        <w:tblW w:w="0" w:type="auto"/>
        <w:tblLook w:val="04A0" w:firstRow="1" w:lastRow="0" w:firstColumn="1" w:lastColumn="0" w:noHBand="0" w:noVBand="1"/>
      </w:tblPr>
      <w:tblGrid>
        <w:gridCol w:w="9350"/>
      </w:tblGrid>
      <w:tr w:rsidR="001F3F83" w14:paraId="25F89DED" w14:textId="77777777" w:rsidTr="001F3F83">
        <w:tc>
          <w:tcPr>
            <w:tcW w:w="9350" w:type="dxa"/>
          </w:tcPr>
          <w:p w14:paraId="46E04D0C" w14:textId="79A0A6C8" w:rsidR="001F3F83" w:rsidRDefault="001F3F83" w:rsidP="001F3F83">
            <w:pPr>
              <w:pStyle w:val="Boxedtext"/>
              <w:ind w:left="29" w:hanging="29"/>
              <w:rPr>
                <w:i/>
              </w:rPr>
            </w:pPr>
            <w:r>
              <w:t>A</w:t>
            </w:r>
            <w:r w:rsidRPr="00D52FB7">
              <w:t xml:space="preserve"> dual name for the Tasmanian Wilderness World Heritage Area </w:t>
            </w:r>
            <w:r>
              <w:t>will be identified</w:t>
            </w:r>
            <w:r w:rsidRPr="00D52FB7">
              <w:t xml:space="preserve"> in consultation with the Tasmanian Aboriginal community</w:t>
            </w:r>
            <w:r>
              <w:t>.</w:t>
            </w:r>
          </w:p>
        </w:tc>
      </w:tr>
    </w:tbl>
    <w:p w14:paraId="566600B4" w14:textId="09ECA422" w:rsidR="00C34B85" w:rsidRDefault="001375F4" w:rsidP="001F3F83">
      <w:pPr>
        <w:spacing w:before="170" w:after="0"/>
        <w:rPr>
          <w:rFonts w:eastAsia="Calibri"/>
        </w:rPr>
      </w:pPr>
      <w:bookmarkStart w:id="115" w:name="_Toc5373734"/>
      <w:r w:rsidRPr="00D52FB7">
        <w:t xml:space="preserve">Dual naming of the </w:t>
      </w:r>
      <w:r w:rsidR="00F728F4" w:rsidRPr="00F728F4">
        <w:t>Tasmanian Wilderness World Heritage Area</w:t>
      </w:r>
      <w:r w:rsidR="00AB6084">
        <w:t xml:space="preserve"> </w:t>
      </w:r>
      <w:r w:rsidR="0057215D">
        <w:t>to</w:t>
      </w:r>
      <w:r w:rsidR="0057215D" w:rsidRPr="00D52FB7">
        <w:t xml:space="preserve"> reflect</w:t>
      </w:r>
      <w:r w:rsidRPr="00D52FB7">
        <w:t xml:space="preserve"> </w:t>
      </w:r>
      <w:r w:rsidR="001F3F83">
        <w:t>its</w:t>
      </w:r>
      <w:r w:rsidRPr="00D52FB7">
        <w:t xml:space="preserve"> wilderness character, Aboriginal heritage and the </w:t>
      </w:r>
      <w:r w:rsidRPr="00D52FB7">
        <w:rPr>
          <w:lang w:val="en-US"/>
        </w:rPr>
        <w:t>Tasmanian</w:t>
      </w:r>
      <w:r w:rsidRPr="00D52FB7">
        <w:t xml:space="preserve"> Aboriginal community’s relationship with the </w:t>
      </w:r>
      <w:r w:rsidR="001F3F83">
        <w:t>property</w:t>
      </w:r>
      <w:r w:rsidRPr="00D52FB7">
        <w:t xml:space="preserve"> will be implemented through the 2016 Management Plan</w:t>
      </w:r>
      <w:r w:rsidRPr="00D52FB7">
        <w:rPr>
          <w:rStyle w:val="FootnoteReference"/>
        </w:rPr>
        <w:footnoteReference w:id="4"/>
      </w:r>
      <w:r w:rsidRPr="00D52FB7">
        <w:t xml:space="preserve"> using the process outlined in the ‘</w:t>
      </w:r>
      <w:r w:rsidRPr="00D52FB7">
        <w:rPr>
          <w:i/>
        </w:rPr>
        <w:t xml:space="preserve">Aboriginal and Dual Naming Policy. A policy for </w:t>
      </w:r>
      <w:r w:rsidR="008B0189">
        <w:rPr>
          <w:i/>
        </w:rPr>
        <w:t xml:space="preserve">the </w:t>
      </w:r>
      <w:r w:rsidRPr="00D52FB7">
        <w:rPr>
          <w:i/>
        </w:rPr>
        <w:t>naming of Tasmanian geographic</w:t>
      </w:r>
      <w:r w:rsidR="008B0189">
        <w:rPr>
          <w:i/>
        </w:rPr>
        <w:t xml:space="preserve"> </w:t>
      </w:r>
      <w:r w:rsidRPr="00D52FB7">
        <w:rPr>
          <w:i/>
        </w:rPr>
        <w:t>features’</w:t>
      </w:r>
      <w:r w:rsidRPr="00D52FB7">
        <w:t>.</w:t>
      </w:r>
    </w:p>
    <w:p w14:paraId="073461C1" w14:textId="59F83A42" w:rsidR="00C34B85" w:rsidRDefault="001375F4" w:rsidP="00F728F4">
      <w:pPr>
        <w:spacing w:before="170" w:after="0"/>
        <w:rPr>
          <w:rStyle w:val="Hyperlink"/>
        </w:rPr>
      </w:pPr>
      <w:r w:rsidRPr="00D52FB7">
        <w:rPr>
          <w:rFonts w:eastAsia="Calibri"/>
        </w:rPr>
        <w:t xml:space="preserve">The </w:t>
      </w:r>
      <w:r w:rsidRPr="00F728F4">
        <w:rPr>
          <w:rFonts w:eastAsia="Calibri"/>
        </w:rPr>
        <w:t>policy</w:t>
      </w:r>
      <w:r w:rsidRPr="00D52FB7">
        <w:rPr>
          <w:rFonts w:eastAsia="Calibri"/>
        </w:rPr>
        <w:t xml:space="preserve"> is available at </w:t>
      </w:r>
      <w:hyperlink r:id="rId37" w:history="1">
        <w:r w:rsidRPr="00D52FB7">
          <w:rPr>
            <w:rStyle w:val="Hyperlink"/>
          </w:rPr>
          <w:t>http://www.dpac.tas.gov.au/__data/assets/pdf_file/0008/189314/Aboriginal_and_Dual_Naming_Policy.pdf</w:t>
        </w:r>
      </w:hyperlink>
    </w:p>
    <w:p w14:paraId="7FE2E7E7" w14:textId="37D7C6F7" w:rsidR="00B37508" w:rsidRDefault="001375F4" w:rsidP="00F728F4">
      <w:pPr>
        <w:spacing w:before="170" w:after="120"/>
        <w:rPr>
          <w:rFonts w:eastAsia="Calibri"/>
        </w:rPr>
      </w:pPr>
      <w:r w:rsidRPr="00D52FB7">
        <w:rPr>
          <w:rFonts w:eastAsia="Calibri"/>
        </w:rPr>
        <w:t>The process involves engagement with the Tasmanian Aboriginal community to identify and approve an appropriate Aboriginal name</w:t>
      </w:r>
      <w:r w:rsidR="0067029D">
        <w:rPr>
          <w:rFonts w:eastAsia="Calibri"/>
        </w:rPr>
        <w:t>/s</w:t>
      </w:r>
      <w:r w:rsidRPr="00D52FB7">
        <w:rPr>
          <w:rFonts w:eastAsia="Calibri"/>
        </w:rPr>
        <w:t xml:space="preserve"> with the process likely to be </w:t>
      </w:r>
      <w:r w:rsidRPr="00F728F4">
        <w:rPr>
          <w:rFonts w:cs="Arial"/>
          <w:color w:val="000000"/>
          <w:szCs w:val="20"/>
        </w:rPr>
        <w:t>undertaken</w:t>
      </w:r>
      <w:r w:rsidRPr="00D52FB7">
        <w:rPr>
          <w:rFonts w:eastAsia="Calibri"/>
        </w:rPr>
        <w:t xml:space="preserve"> over </w:t>
      </w:r>
      <w:r w:rsidR="00815637">
        <w:rPr>
          <w:rFonts w:eastAsia="Calibri"/>
        </w:rPr>
        <w:t>several</w:t>
      </w:r>
      <w:r w:rsidR="00815637" w:rsidRPr="00D52FB7">
        <w:rPr>
          <w:rFonts w:eastAsia="Calibri"/>
        </w:rPr>
        <w:t xml:space="preserve"> </w:t>
      </w:r>
      <w:r w:rsidRPr="00D52FB7">
        <w:rPr>
          <w:rFonts w:eastAsia="Calibri"/>
        </w:rPr>
        <w:t>yea</w:t>
      </w:r>
      <w:r w:rsidR="00B37508">
        <w:rPr>
          <w:rFonts w:eastAsia="Calibri"/>
        </w:rPr>
        <w:t>rs.</w:t>
      </w:r>
    </w:p>
    <w:tbl>
      <w:tblPr>
        <w:tblStyle w:val="TableGrid"/>
        <w:tblW w:w="0" w:type="auto"/>
        <w:tblLook w:val="04A0" w:firstRow="1" w:lastRow="0" w:firstColumn="1" w:lastColumn="0" w:noHBand="0" w:noVBand="1"/>
      </w:tblPr>
      <w:tblGrid>
        <w:gridCol w:w="9350"/>
      </w:tblGrid>
      <w:tr w:rsidR="001F3F83" w14:paraId="4CA79263" w14:textId="77777777" w:rsidTr="001F3F83">
        <w:tc>
          <w:tcPr>
            <w:tcW w:w="9350" w:type="dxa"/>
          </w:tcPr>
          <w:p w14:paraId="76DB0DA6" w14:textId="5F5D99E0" w:rsidR="001F3F83" w:rsidRDefault="001F3F83" w:rsidP="00F728F4">
            <w:pPr>
              <w:pStyle w:val="Boxedtext"/>
              <w:ind w:left="29" w:hanging="29"/>
              <w:rPr>
                <w:rFonts w:eastAsia="Calibri"/>
              </w:rPr>
            </w:pPr>
            <w:r>
              <w:rPr>
                <w:rFonts w:eastAsia="Calibri"/>
              </w:rPr>
              <w:t xml:space="preserve">All of </w:t>
            </w:r>
            <w:r w:rsidR="007D1D44">
              <w:rPr>
                <w:rFonts w:eastAsia="Calibri"/>
              </w:rPr>
              <w:t xml:space="preserve">the </w:t>
            </w:r>
            <w:r>
              <w:rPr>
                <w:rFonts w:eastAsia="Calibri"/>
              </w:rPr>
              <w:t>World Heritage Committee’s requests in Decision 40 COM 7B.66 have now been addressed by the State Party.</w:t>
            </w:r>
          </w:p>
        </w:tc>
      </w:tr>
    </w:tbl>
    <w:p w14:paraId="0392FE2F" w14:textId="77777777" w:rsidR="001F3F83" w:rsidRDefault="001F3F83" w:rsidP="00F728F4">
      <w:pPr>
        <w:spacing w:before="170" w:after="0"/>
        <w:rPr>
          <w:rFonts w:eastAsia="Calibri"/>
        </w:rPr>
      </w:pPr>
    </w:p>
    <w:p w14:paraId="617EE52A" w14:textId="77777777" w:rsidR="00621A06" w:rsidRDefault="00621A06">
      <w:pPr>
        <w:rPr>
          <w:rFonts w:cs="Arial"/>
          <w:caps/>
          <w:sz w:val="32"/>
          <w:szCs w:val="48"/>
          <w:lang w:val="en-US" w:eastAsia="ja-JP"/>
        </w:rPr>
      </w:pPr>
      <w:bookmarkStart w:id="116" w:name="_Toc5373743"/>
      <w:bookmarkStart w:id="117" w:name="_Toc19270667"/>
      <w:bookmarkStart w:id="118" w:name="_Toc22806713"/>
      <w:bookmarkEnd w:id="115"/>
      <w:r>
        <w:br w:type="page"/>
      </w:r>
    </w:p>
    <w:p w14:paraId="73CAD243" w14:textId="1DF1D4D6" w:rsidR="00AF505E" w:rsidRPr="00D52FB7" w:rsidRDefault="00AF505E" w:rsidP="00FF381A">
      <w:pPr>
        <w:pStyle w:val="Heading1"/>
        <w:spacing w:before="170"/>
      </w:pPr>
      <w:r w:rsidRPr="00D52FB7">
        <w:lastRenderedPageBreak/>
        <w:t>OTHER CURRENT CONSERVATION ISSUES IDENTIFIED BY THE STATE PARTY WHICH MAY HAVE AN IMPACT ON THE PROPERTY’S OUTSTANDING UNIVERSAL VALUE</w:t>
      </w:r>
      <w:bookmarkEnd w:id="116"/>
      <w:bookmarkEnd w:id="117"/>
      <w:bookmarkEnd w:id="118"/>
    </w:p>
    <w:p w14:paraId="46F1384B" w14:textId="77777777" w:rsidR="00521A82" w:rsidRDefault="00C344FB" w:rsidP="00FF381A">
      <w:pPr>
        <w:pStyle w:val="Heading2"/>
        <w:spacing w:before="170"/>
      </w:pPr>
      <w:bookmarkStart w:id="119" w:name="_Toc19270668"/>
      <w:bookmarkStart w:id="120" w:name="_Toc22806714"/>
      <w:bookmarkStart w:id="121" w:name="_Toc5373744"/>
      <w:r>
        <w:t>Impacts of Wildfires</w:t>
      </w:r>
      <w:bookmarkEnd w:id="119"/>
      <w:bookmarkEnd w:id="120"/>
      <w:r>
        <w:t xml:space="preserve"> </w:t>
      </w:r>
    </w:p>
    <w:tbl>
      <w:tblPr>
        <w:tblStyle w:val="TableGrid"/>
        <w:tblW w:w="0" w:type="auto"/>
        <w:tblLook w:val="04A0" w:firstRow="1" w:lastRow="0" w:firstColumn="1" w:lastColumn="0" w:noHBand="0" w:noVBand="1"/>
      </w:tblPr>
      <w:tblGrid>
        <w:gridCol w:w="9350"/>
      </w:tblGrid>
      <w:tr w:rsidR="00621A06" w14:paraId="6997668B" w14:textId="77777777" w:rsidTr="00621A06">
        <w:tc>
          <w:tcPr>
            <w:tcW w:w="9350" w:type="dxa"/>
          </w:tcPr>
          <w:p w14:paraId="047DCFBE" w14:textId="36EC5136" w:rsidR="00621A06" w:rsidRDefault="00621A06" w:rsidP="00621A06">
            <w:pPr>
              <w:pStyle w:val="Boxedtext"/>
              <w:ind w:left="29" w:hanging="29"/>
              <w:rPr>
                <w:lang w:val="en-US" w:eastAsia="ja-JP"/>
              </w:rPr>
            </w:pPr>
            <w:r>
              <w:t xml:space="preserve">Fire is a major management challenge for the </w:t>
            </w:r>
            <w:r w:rsidRPr="00815637">
              <w:t>Tasmanian Wilderness World Heritage Area</w:t>
            </w:r>
            <w:r>
              <w:t>. The property experienced significant fires in</w:t>
            </w:r>
            <w:r w:rsidRPr="00540EA1">
              <w:t xml:space="preserve"> 2016</w:t>
            </w:r>
            <w:r>
              <w:t>,</w:t>
            </w:r>
            <w:r w:rsidRPr="00540EA1">
              <w:t xml:space="preserve"> </w:t>
            </w:r>
            <w:r>
              <w:t xml:space="preserve">and again in 2019. The 2016 fires </w:t>
            </w:r>
            <w:r w:rsidRPr="00540EA1">
              <w:t>created opportunities to learn about the interactions between fire, the natural e</w:t>
            </w:r>
            <w:r>
              <w:t>nvironment and fire management practices. These lessons helped with</w:t>
            </w:r>
            <w:r w:rsidRPr="0034210D">
              <w:rPr>
                <w:lang w:eastAsia="ja-JP"/>
              </w:rPr>
              <w:t xml:space="preserve"> </w:t>
            </w:r>
            <w:r>
              <w:rPr>
                <w:lang w:eastAsia="ja-JP"/>
              </w:rPr>
              <w:t>the</w:t>
            </w:r>
            <w:r w:rsidRPr="0034210D">
              <w:rPr>
                <w:lang w:eastAsia="ja-JP"/>
              </w:rPr>
              <w:t xml:space="preserve"> </w:t>
            </w:r>
            <w:r w:rsidRPr="0034210D">
              <w:t>preparation and response capacity</w:t>
            </w:r>
            <w:r>
              <w:t xml:space="preserve"> during the even more extensive fires in 2019.</w:t>
            </w:r>
          </w:p>
        </w:tc>
      </w:tr>
    </w:tbl>
    <w:p w14:paraId="19C35BF9" w14:textId="777C13CC" w:rsidR="003F5D84" w:rsidRPr="003F5D84" w:rsidRDefault="00521A82" w:rsidP="00FF381A">
      <w:pPr>
        <w:spacing w:before="170" w:after="0"/>
        <w:rPr>
          <w:lang w:eastAsia="ja-JP"/>
        </w:rPr>
      </w:pPr>
      <w:r w:rsidRPr="00AE7319">
        <w:rPr>
          <w:lang w:eastAsia="ja-JP"/>
        </w:rPr>
        <w:t xml:space="preserve">Fire is </w:t>
      </w:r>
      <w:r w:rsidR="00815637">
        <w:rPr>
          <w:lang w:eastAsia="ja-JP"/>
        </w:rPr>
        <w:t>one of</w:t>
      </w:r>
      <w:r w:rsidR="00815637" w:rsidRPr="00AE7319">
        <w:rPr>
          <w:lang w:eastAsia="ja-JP"/>
        </w:rPr>
        <w:t xml:space="preserve"> </w:t>
      </w:r>
      <w:r w:rsidRPr="00AE7319">
        <w:rPr>
          <w:lang w:eastAsia="ja-JP"/>
        </w:rPr>
        <w:t>the greatest challenge</w:t>
      </w:r>
      <w:r w:rsidR="00A26217">
        <w:rPr>
          <w:lang w:eastAsia="ja-JP"/>
        </w:rPr>
        <w:t>s</w:t>
      </w:r>
      <w:r w:rsidRPr="00AE7319">
        <w:rPr>
          <w:lang w:eastAsia="ja-JP"/>
        </w:rPr>
        <w:t xml:space="preserve"> for the management of the </w:t>
      </w:r>
      <w:r w:rsidR="00621A06">
        <w:rPr>
          <w:lang w:eastAsia="ja-JP"/>
        </w:rPr>
        <w:t>property</w:t>
      </w:r>
      <w:r w:rsidRPr="00AE7319">
        <w:rPr>
          <w:lang w:eastAsia="ja-JP"/>
        </w:rPr>
        <w:t xml:space="preserve">, particularly in the context of a changing climate. </w:t>
      </w:r>
      <w:r w:rsidR="003F5D84" w:rsidRPr="00C671EB">
        <w:rPr>
          <w:lang w:eastAsia="ja-JP"/>
        </w:rPr>
        <w:t xml:space="preserve">The cumulative area burnt by bushfires in the </w:t>
      </w:r>
      <w:r w:rsidR="00621A06">
        <w:rPr>
          <w:lang w:eastAsia="ja-JP"/>
        </w:rPr>
        <w:t xml:space="preserve">property </w:t>
      </w:r>
      <w:r w:rsidR="003F5D84" w:rsidRPr="00C671EB">
        <w:rPr>
          <w:lang w:eastAsia="ja-JP"/>
        </w:rPr>
        <w:t>since 2006-07 equates to 194,005 h</w:t>
      </w:r>
      <w:r w:rsidR="00815637">
        <w:rPr>
          <w:lang w:eastAsia="ja-JP"/>
        </w:rPr>
        <w:t>ectares</w:t>
      </w:r>
      <w:r w:rsidR="003F5D84" w:rsidRPr="00C671EB">
        <w:rPr>
          <w:lang w:eastAsia="ja-JP"/>
        </w:rPr>
        <w:t xml:space="preserve"> </w:t>
      </w:r>
      <w:r w:rsidR="0034210D">
        <w:rPr>
          <w:lang w:eastAsia="ja-JP"/>
        </w:rPr>
        <w:t>(</w:t>
      </w:r>
      <w:r w:rsidR="003F5D84" w:rsidRPr="00C671EB">
        <w:rPr>
          <w:lang w:eastAsia="ja-JP"/>
        </w:rPr>
        <w:t>or 12</w:t>
      </w:r>
      <w:r w:rsidR="00621A06">
        <w:rPr>
          <w:lang w:eastAsia="ja-JP"/>
        </w:rPr>
        <w:t xml:space="preserve"> per cent</w:t>
      </w:r>
      <w:r w:rsidR="0034210D">
        <w:rPr>
          <w:lang w:eastAsia="ja-JP"/>
        </w:rPr>
        <w:t>)</w:t>
      </w:r>
      <w:r w:rsidR="00621A06">
        <w:rPr>
          <w:lang w:eastAsia="ja-JP"/>
        </w:rPr>
        <w:t xml:space="preserve">. </w:t>
      </w:r>
      <w:r w:rsidR="003F5D84" w:rsidRPr="00C671EB">
        <w:rPr>
          <w:lang w:eastAsia="ja-JP"/>
        </w:rPr>
        <w:t>14,602 h</w:t>
      </w:r>
      <w:r w:rsidR="00815637">
        <w:rPr>
          <w:lang w:eastAsia="ja-JP"/>
        </w:rPr>
        <w:t>ectares</w:t>
      </w:r>
      <w:r w:rsidR="003F5D84" w:rsidRPr="00C671EB">
        <w:rPr>
          <w:lang w:eastAsia="ja-JP"/>
        </w:rPr>
        <w:t xml:space="preserve"> (</w:t>
      </w:r>
      <w:r w:rsidR="0034210D">
        <w:rPr>
          <w:lang w:eastAsia="ja-JP"/>
        </w:rPr>
        <w:t xml:space="preserve">or </w:t>
      </w:r>
      <w:r w:rsidR="003F5D84" w:rsidRPr="00C671EB">
        <w:rPr>
          <w:lang w:eastAsia="ja-JP"/>
        </w:rPr>
        <w:t>0.92</w:t>
      </w:r>
      <w:r w:rsidR="00621A06">
        <w:rPr>
          <w:lang w:eastAsia="ja-JP"/>
        </w:rPr>
        <w:t xml:space="preserve"> per cent</w:t>
      </w:r>
      <w:r w:rsidR="003F5D84" w:rsidRPr="00C671EB">
        <w:rPr>
          <w:lang w:eastAsia="ja-JP"/>
        </w:rPr>
        <w:t xml:space="preserve">) </w:t>
      </w:r>
      <w:r w:rsidR="0034210D" w:rsidRPr="0034210D">
        <w:rPr>
          <w:lang w:eastAsia="ja-JP"/>
        </w:rPr>
        <w:t xml:space="preserve">of the </w:t>
      </w:r>
      <w:r w:rsidR="00621A06">
        <w:rPr>
          <w:lang w:eastAsia="ja-JP"/>
        </w:rPr>
        <w:t>property</w:t>
      </w:r>
      <w:r w:rsidR="0034210D" w:rsidRPr="0034210D">
        <w:rPr>
          <w:lang w:eastAsia="ja-JP"/>
        </w:rPr>
        <w:t xml:space="preserve"> </w:t>
      </w:r>
      <w:r w:rsidR="003F5D84" w:rsidRPr="00C671EB">
        <w:rPr>
          <w:lang w:eastAsia="ja-JP"/>
        </w:rPr>
        <w:t>has burnt more than once</w:t>
      </w:r>
      <w:r w:rsidR="0034210D">
        <w:rPr>
          <w:lang w:eastAsia="ja-JP"/>
        </w:rPr>
        <w:t xml:space="preserve"> in that timeframe</w:t>
      </w:r>
      <w:r w:rsidR="003F5D84" w:rsidRPr="00C671EB">
        <w:rPr>
          <w:lang w:eastAsia="ja-JP"/>
        </w:rPr>
        <w:t>.</w:t>
      </w:r>
    </w:p>
    <w:p w14:paraId="76AC31A6" w14:textId="449AC0BF" w:rsidR="00521A82" w:rsidRPr="00AE7319" w:rsidRDefault="00521A82" w:rsidP="00FF381A">
      <w:pPr>
        <w:spacing w:before="170" w:after="0"/>
      </w:pPr>
      <w:r w:rsidRPr="00AE7319">
        <w:rPr>
          <w:lang w:eastAsia="ja-JP"/>
        </w:rPr>
        <w:t>According to climate change projections, the current trends of increased fire frequency and longer fire</w:t>
      </w:r>
      <w:r w:rsidR="00CE5F14">
        <w:rPr>
          <w:lang w:eastAsia="ja-JP"/>
        </w:rPr>
        <w:t xml:space="preserve"> </w:t>
      </w:r>
      <w:r w:rsidRPr="00AE7319">
        <w:rPr>
          <w:lang w:eastAsia="ja-JP"/>
        </w:rPr>
        <w:t xml:space="preserve">season duration are likely to continue, together with an increase in the flammability of fire-sensitive communities and </w:t>
      </w:r>
      <w:r w:rsidR="00881D96" w:rsidRPr="00AE7319">
        <w:rPr>
          <w:lang w:eastAsia="ja-JP"/>
        </w:rPr>
        <w:t>organic soils</w:t>
      </w:r>
      <w:r w:rsidRPr="00AE7319">
        <w:rPr>
          <w:lang w:eastAsia="ja-JP"/>
        </w:rPr>
        <w:t>. This is illustrated by the increased number of fire ignitions caused by dry lightning strikes and the number of peat fires in recent years.</w:t>
      </w:r>
      <w:r w:rsidR="00F4437C" w:rsidRPr="00AE7319">
        <w:rPr>
          <w:color w:val="FF0000"/>
          <w:lang w:eastAsia="ja-JP"/>
        </w:rPr>
        <w:t xml:space="preserve"> </w:t>
      </w:r>
    </w:p>
    <w:p w14:paraId="46F9B779" w14:textId="77777777" w:rsidR="00521A82" w:rsidRPr="008727B9" w:rsidRDefault="00F93EB5" w:rsidP="00FF381A">
      <w:pPr>
        <w:spacing w:before="170" w:after="0"/>
        <w:rPr>
          <w:u w:val="single"/>
        </w:rPr>
      </w:pPr>
      <w:r w:rsidRPr="008727B9">
        <w:rPr>
          <w:u w:val="single"/>
        </w:rPr>
        <w:t>Fires</w:t>
      </w:r>
      <w:r w:rsidR="008727B9" w:rsidRPr="008727B9">
        <w:rPr>
          <w:u w:val="single"/>
        </w:rPr>
        <w:t xml:space="preserve"> in 2016</w:t>
      </w:r>
    </w:p>
    <w:p w14:paraId="750074B2" w14:textId="24E50E4D" w:rsidR="00521A82" w:rsidRPr="00F21E30" w:rsidRDefault="00521A82" w:rsidP="00FF381A">
      <w:pPr>
        <w:spacing w:before="170" w:after="0"/>
        <w:rPr>
          <w:lang w:eastAsia="ja-JP"/>
        </w:rPr>
      </w:pPr>
      <w:r w:rsidRPr="008727B9">
        <w:rPr>
          <w:lang w:eastAsia="ja-JP"/>
        </w:rPr>
        <w:t xml:space="preserve">Tasmania experienced a series of dry lightning strikes in January and February 2016. During this period, 18 fires affected the </w:t>
      </w:r>
      <w:r w:rsidR="00621A06">
        <w:rPr>
          <w:lang w:eastAsia="ja-JP"/>
        </w:rPr>
        <w:t>property</w:t>
      </w:r>
      <w:r w:rsidRPr="008727B9">
        <w:rPr>
          <w:lang w:eastAsia="ja-JP"/>
        </w:rPr>
        <w:t>, burning approximately 19,936 h</w:t>
      </w:r>
      <w:r w:rsidR="008727B9">
        <w:rPr>
          <w:lang w:eastAsia="ja-JP"/>
        </w:rPr>
        <w:t>ectares</w:t>
      </w:r>
      <w:r w:rsidRPr="008727B9">
        <w:rPr>
          <w:lang w:eastAsia="ja-JP"/>
        </w:rPr>
        <w:t xml:space="preserve"> (1.3</w:t>
      </w:r>
      <w:r w:rsidR="00621A06">
        <w:rPr>
          <w:lang w:eastAsia="ja-JP"/>
        </w:rPr>
        <w:t xml:space="preserve"> per </w:t>
      </w:r>
      <w:r w:rsidR="00333E44">
        <w:rPr>
          <w:lang w:eastAsia="ja-JP"/>
        </w:rPr>
        <w:t>cent</w:t>
      </w:r>
      <w:r w:rsidR="00333E44" w:rsidRPr="008727B9">
        <w:rPr>
          <w:lang w:eastAsia="ja-JP"/>
        </w:rPr>
        <w:t xml:space="preserve"> of</w:t>
      </w:r>
      <w:r w:rsidR="005C17C8" w:rsidRPr="008727B9">
        <w:rPr>
          <w:lang w:eastAsia="ja-JP"/>
        </w:rPr>
        <w:t xml:space="preserve"> the </w:t>
      </w:r>
      <w:r w:rsidR="008B0BB1">
        <w:rPr>
          <w:lang w:eastAsia="ja-JP"/>
        </w:rPr>
        <w:t>propert</w:t>
      </w:r>
      <w:r w:rsidR="008B0BB1" w:rsidRPr="007D1D44">
        <w:rPr>
          <w:lang w:eastAsia="ja-JP"/>
        </w:rPr>
        <w:t>y</w:t>
      </w:r>
      <w:r w:rsidR="007D1D44">
        <w:rPr>
          <w:lang w:eastAsia="ja-JP"/>
        </w:rPr>
        <w:t>)</w:t>
      </w:r>
      <w:r w:rsidRPr="008727B9">
        <w:rPr>
          <w:lang w:eastAsia="ja-JP"/>
        </w:rPr>
        <w:t xml:space="preserve">. As reported to the World Heritage Committee in the 2017 State Party Report, </w:t>
      </w:r>
      <w:r w:rsidR="00D07B2B" w:rsidRPr="008727B9">
        <w:rPr>
          <w:lang w:eastAsia="ja-JP"/>
        </w:rPr>
        <w:t xml:space="preserve">high altitude grassland, </w:t>
      </w:r>
      <w:proofErr w:type="spellStart"/>
      <w:r w:rsidR="00D07B2B" w:rsidRPr="008727B9">
        <w:rPr>
          <w:lang w:eastAsia="ja-JP"/>
        </w:rPr>
        <w:t>sedgelands</w:t>
      </w:r>
      <w:proofErr w:type="spellEnd"/>
      <w:r w:rsidR="00D07B2B" w:rsidRPr="008727B9">
        <w:rPr>
          <w:lang w:eastAsia="ja-JP"/>
        </w:rPr>
        <w:t xml:space="preserve"> and some cushion </w:t>
      </w:r>
      <w:r w:rsidR="00D07B2B" w:rsidRPr="00F21E30">
        <w:rPr>
          <w:lang w:eastAsia="ja-JP"/>
        </w:rPr>
        <w:t xml:space="preserve">plant communities are recovering well, </w:t>
      </w:r>
      <w:r w:rsidR="001B4486" w:rsidRPr="00F21E30">
        <w:rPr>
          <w:lang w:eastAsia="ja-JP"/>
        </w:rPr>
        <w:t>h</w:t>
      </w:r>
      <w:r w:rsidR="00D07B2B" w:rsidRPr="00F21E30">
        <w:rPr>
          <w:lang w:eastAsia="ja-JP"/>
        </w:rPr>
        <w:t xml:space="preserve">owever </w:t>
      </w:r>
      <w:r w:rsidRPr="00F21E30">
        <w:rPr>
          <w:lang w:eastAsia="ja-JP"/>
        </w:rPr>
        <w:t xml:space="preserve">some areas remain susceptible to ongoing erosion, </w:t>
      </w:r>
      <w:r w:rsidR="00D07B2B" w:rsidRPr="00F21E30">
        <w:rPr>
          <w:lang w:eastAsia="ja-JP"/>
        </w:rPr>
        <w:t xml:space="preserve">which is being addressed by a rehabilitation trials project jointly conducted by </w:t>
      </w:r>
      <w:r w:rsidR="00F2790D" w:rsidRPr="00F21E30">
        <w:rPr>
          <w:lang w:eastAsia="ja-JP"/>
        </w:rPr>
        <w:t>the Tasmanian Government</w:t>
      </w:r>
      <w:r w:rsidR="00D07B2B" w:rsidRPr="00F21E30">
        <w:rPr>
          <w:lang w:eastAsia="ja-JP"/>
        </w:rPr>
        <w:t xml:space="preserve"> and the University of Tasmania</w:t>
      </w:r>
      <w:r w:rsidR="00F2790D" w:rsidRPr="00F21E30">
        <w:rPr>
          <w:lang w:eastAsia="ja-JP"/>
        </w:rPr>
        <w:t>.</w:t>
      </w:r>
      <w:r w:rsidR="00D07B2B" w:rsidRPr="00F21E30">
        <w:rPr>
          <w:lang w:eastAsia="ja-JP"/>
        </w:rPr>
        <w:t xml:space="preserve"> </w:t>
      </w:r>
    </w:p>
    <w:p w14:paraId="2D89C567" w14:textId="703B3D7F" w:rsidR="00C028AA" w:rsidRPr="00AE7319" w:rsidRDefault="008727B9" w:rsidP="00FF381A">
      <w:pPr>
        <w:spacing w:before="170" w:after="0"/>
        <w:rPr>
          <w:u w:val="single"/>
        </w:rPr>
      </w:pPr>
      <w:r w:rsidRPr="00AE7319">
        <w:rPr>
          <w:u w:val="single"/>
        </w:rPr>
        <w:t>Fire</w:t>
      </w:r>
      <w:r>
        <w:rPr>
          <w:u w:val="single"/>
        </w:rPr>
        <w:t>s in 2018/</w:t>
      </w:r>
      <w:r w:rsidR="00C344FB" w:rsidRPr="00AE7319">
        <w:rPr>
          <w:u w:val="single"/>
        </w:rPr>
        <w:t>19</w:t>
      </w:r>
      <w:bookmarkEnd w:id="121"/>
      <w:r w:rsidR="00F93EB5" w:rsidRPr="00AE7319">
        <w:rPr>
          <w:u w:val="single"/>
        </w:rPr>
        <w:t xml:space="preserve"> </w:t>
      </w:r>
    </w:p>
    <w:p w14:paraId="1966DA42" w14:textId="1E9E1662" w:rsidR="009B16BC" w:rsidRPr="00AE7319" w:rsidRDefault="006148F9" w:rsidP="00FF381A">
      <w:pPr>
        <w:spacing w:before="170" w:after="0"/>
        <w:rPr>
          <w:lang w:val="en-US" w:eastAsia="ja-JP"/>
        </w:rPr>
      </w:pPr>
      <w:r w:rsidRPr="00AE7319">
        <w:rPr>
          <w:lang w:val="en-US" w:eastAsia="ja-JP"/>
        </w:rPr>
        <w:t>A fire was ignited by a lightning storm that crossed Tasmania on the evening of 27 December 2018. Further fires were ignited by a number of bands of dry lightning that crossed the state around 15</w:t>
      </w:r>
      <w:r w:rsidR="00621A06">
        <w:rPr>
          <w:lang w:val="en-US" w:eastAsia="ja-JP"/>
        </w:rPr>
        <w:t> </w:t>
      </w:r>
      <w:r w:rsidRPr="00AE7319">
        <w:rPr>
          <w:lang w:val="en-US" w:eastAsia="ja-JP"/>
        </w:rPr>
        <w:t>January</w:t>
      </w:r>
      <w:r w:rsidR="00621A06">
        <w:rPr>
          <w:lang w:val="en-US" w:eastAsia="ja-JP"/>
        </w:rPr>
        <w:t> </w:t>
      </w:r>
      <w:r w:rsidR="00815637">
        <w:rPr>
          <w:lang w:val="en-US" w:eastAsia="ja-JP"/>
        </w:rPr>
        <w:t>2019</w:t>
      </w:r>
      <w:r w:rsidR="0056404C" w:rsidRPr="00AE7319">
        <w:rPr>
          <w:lang w:val="en-US" w:eastAsia="ja-JP"/>
        </w:rPr>
        <w:t>.</w:t>
      </w:r>
    </w:p>
    <w:p w14:paraId="62547A79" w14:textId="2C1CCED0" w:rsidR="00A41D22" w:rsidRDefault="006148F9" w:rsidP="00FF381A">
      <w:pPr>
        <w:spacing w:before="170" w:after="0"/>
        <w:rPr>
          <w:lang w:val="en-US" w:eastAsia="ja-JP"/>
        </w:rPr>
      </w:pPr>
      <w:r w:rsidRPr="00AE7319">
        <w:rPr>
          <w:lang w:val="en-US" w:eastAsia="ja-JP"/>
        </w:rPr>
        <w:t xml:space="preserve">The </w:t>
      </w:r>
      <w:r w:rsidR="007B2B1B" w:rsidRPr="00AE7319">
        <w:rPr>
          <w:lang w:val="en-US" w:eastAsia="ja-JP"/>
        </w:rPr>
        <w:t xml:space="preserve">area of the </w:t>
      </w:r>
      <w:r w:rsidR="00621A06">
        <w:rPr>
          <w:lang w:val="en-US" w:eastAsia="ja-JP"/>
        </w:rPr>
        <w:t>property</w:t>
      </w:r>
      <w:r w:rsidR="007B2B1B" w:rsidRPr="00AE7319">
        <w:rPr>
          <w:lang w:val="en-US" w:eastAsia="ja-JP"/>
        </w:rPr>
        <w:t xml:space="preserve"> </w:t>
      </w:r>
      <w:r w:rsidRPr="00AE7319">
        <w:rPr>
          <w:lang w:val="en-US" w:eastAsia="ja-JP"/>
        </w:rPr>
        <w:t xml:space="preserve">affected </w:t>
      </w:r>
      <w:r w:rsidR="007B2B1B" w:rsidRPr="00AE7319">
        <w:rPr>
          <w:lang w:val="en-US" w:eastAsia="ja-JP"/>
        </w:rPr>
        <w:t>by these fires</w:t>
      </w:r>
      <w:r w:rsidRPr="00AE7319">
        <w:rPr>
          <w:lang w:val="en-US" w:eastAsia="ja-JP"/>
        </w:rPr>
        <w:t xml:space="preserve"> is estimated at </w:t>
      </w:r>
      <w:r w:rsidR="004B763F">
        <w:rPr>
          <w:lang w:val="en-US" w:eastAsia="ja-JP"/>
        </w:rPr>
        <w:t xml:space="preserve">approximately </w:t>
      </w:r>
      <w:r w:rsidR="00D144B8" w:rsidRPr="00AE7319">
        <w:rPr>
          <w:lang w:val="en-US" w:eastAsia="ja-JP"/>
        </w:rPr>
        <w:t>95,</w:t>
      </w:r>
      <w:r w:rsidR="004B763F">
        <w:rPr>
          <w:lang w:val="en-US" w:eastAsia="ja-JP"/>
        </w:rPr>
        <w:t>000</w:t>
      </w:r>
      <w:r w:rsidRPr="00AE7319">
        <w:rPr>
          <w:lang w:val="en-US" w:eastAsia="ja-JP"/>
        </w:rPr>
        <w:t xml:space="preserve"> hectares </w:t>
      </w:r>
      <w:r w:rsidR="008727B9">
        <w:rPr>
          <w:lang w:val="en-US" w:eastAsia="ja-JP"/>
        </w:rPr>
        <w:t>(</w:t>
      </w:r>
      <w:r w:rsidRPr="00AE7319">
        <w:rPr>
          <w:lang w:val="en-US" w:eastAsia="ja-JP"/>
        </w:rPr>
        <w:t xml:space="preserve">about </w:t>
      </w:r>
      <w:r w:rsidR="00D144B8" w:rsidRPr="00AE7319">
        <w:rPr>
          <w:lang w:val="en-US" w:eastAsia="ja-JP"/>
        </w:rPr>
        <w:t>6</w:t>
      </w:r>
      <w:r w:rsidR="007F7A44">
        <w:rPr>
          <w:lang w:val="en-US" w:eastAsia="ja-JP"/>
        </w:rPr>
        <w:t> </w:t>
      </w:r>
      <w:r w:rsidR="00621A06">
        <w:rPr>
          <w:lang w:val="en-US" w:eastAsia="ja-JP"/>
        </w:rPr>
        <w:t>per cent</w:t>
      </w:r>
      <w:r w:rsidR="007F7A44">
        <w:rPr>
          <w:lang w:val="en-US" w:eastAsia="ja-JP"/>
        </w:rPr>
        <w:t>)</w:t>
      </w:r>
      <w:r w:rsidR="00621A06">
        <w:rPr>
          <w:lang w:val="en-US" w:eastAsia="ja-JP"/>
        </w:rPr>
        <w:t>.</w:t>
      </w:r>
    </w:p>
    <w:p w14:paraId="7B8C553F" w14:textId="51AF3FBB" w:rsidR="00A41D22" w:rsidRPr="00A41D22" w:rsidRDefault="00A41D22" w:rsidP="00FF381A">
      <w:pPr>
        <w:spacing w:before="170" w:after="0"/>
        <w:rPr>
          <w:u w:val="single"/>
          <w:lang w:val="en-US" w:eastAsia="ja-JP"/>
        </w:rPr>
      </w:pPr>
      <w:r w:rsidRPr="00A41D22">
        <w:rPr>
          <w:u w:val="single"/>
          <w:lang w:val="en-US" w:eastAsia="ja-JP"/>
        </w:rPr>
        <w:t>Vegetation impacts</w:t>
      </w:r>
    </w:p>
    <w:p w14:paraId="598A0A90" w14:textId="6749FA8F" w:rsidR="006C0B4F" w:rsidRDefault="00F5797E" w:rsidP="00FF381A">
      <w:pPr>
        <w:spacing w:before="170" w:after="0"/>
        <w:rPr>
          <w:lang w:val="en-US" w:eastAsia="ja-JP"/>
        </w:rPr>
      </w:pPr>
      <w:r w:rsidRPr="00AE7319">
        <w:rPr>
          <w:lang w:val="en-US" w:eastAsia="ja-JP"/>
        </w:rPr>
        <w:t>The fires have affected</w:t>
      </w:r>
      <w:r w:rsidR="006148F9" w:rsidRPr="00AE7319">
        <w:rPr>
          <w:lang w:val="en-US" w:eastAsia="ja-JP"/>
        </w:rPr>
        <w:t xml:space="preserve"> a variety of vegetation types, ranging from communities that exhibit extreme fire sensitivity</w:t>
      </w:r>
      <w:r w:rsidR="00980350">
        <w:rPr>
          <w:lang w:val="en-US" w:eastAsia="ja-JP"/>
        </w:rPr>
        <w:t>,</w:t>
      </w:r>
      <w:r w:rsidR="006148F9" w:rsidRPr="00AE7319">
        <w:rPr>
          <w:lang w:val="en-US" w:eastAsia="ja-JP"/>
        </w:rPr>
        <w:t xml:space="preserve"> to communities that are fire adapted.</w:t>
      </w:r>
      <w:r w:rsidR="00465172">
        <w:rPr>
          <w:lang w:val="en-US" w:eastAsia="ja-JP"/>
        </w:rPr>
        <w:t xml:space="preserve"> </w:t>
      </w:r>
    </w:p>
    <w:p w14:paraId="03DFC425" w14:textId="0AE04F3C" w:rsidR="006C0B4F" w:rsidRDefault="00465172" w:rsidP="00FF381A">
      <w:pPr>
        <w:spacing w:before="170" w:after="0"/>
        <w:rPr>
          <w:lang w:val="en-US" w:eastAsia="ja-JP"/>
        </w:rPr>
      </w:pPr>
      <w:r>
        <w:rPr>
          <w:lang w:val="en-US" w:eastAsia="ja-JP"/>
        </w:rPr>
        <w:t xml:space="preserve">A rapid impact assessment was undertaken immediately following the </w:t>
      </w:r>
      <w:r w:rsidR="00CE5F14">
        <w:rPr>
          <w:lang w:val="en-US" w:eastAsia="ja-JP"/>
        </w:rPr>
        <w:t xml:space="preserve">2019 </w:t>
      </w:r>
      <w:r>
        <w:rPr>
          <w:lang w:val="en-US" w:eastAsia="ja-JP"/>
        </w:rPr>
        <w:t xml:space="preserve">fires to </w:t>
      </w:r>
      <w:r w:rsidR="00F74358">
        <w:rPr>
          <w:lang w:val="en-US" w:eastAsia="ja-JP"/>
        </w:rPr>
        <w:t xml:space="preserve">provide </w:t>
      </w:r>
      <w:r w:rsidR="000046CF">
        <w:rPr>
          <w:lang w:val="en-US" w:eastAsia="ja-JP"/>
        </w:rPr>
        <w:t>rigorous</w:t>
      </w:r>
      <w:r w:rsidR="00F74358">
        <w:rPr>
          <w:lang w:val="en-US" w:eastAsia="ja-JP"/>
        </w:rPr>
        <w:t xml:space="preserve"> information on the</w:t>
      </w:r>
      <w:r>
        <w:rPr>
          <w:lang w:val="en-US" w:eastAsia="ja-JP"/>
        </w:rPr>
        <w:t xml:space="preserve"> impacts arising from the 2019 fire season</w:t>
      </w:r>
      <w:r w:rsidR="00D078E0">
        <w:rPr>
          <w:lang w:val="en-US" w:eastAsia="ja-JP"/>
        </w:rPr>
        <w:t>.</w:t>
      </w:r>
      <w:r>
        <w:rPr>
          <w:lang w:val="en-US" w:eastAsia="ja-JP"/>
        </w:rPr>
        <w:t xml:space="preserve"> </w:t>
      </w:r>
      <w:r w:rsidR="004268BC" w:rsidRPr="0087178B">
        <w:rPr>
          <w:lang w:val="en-US" w:eastAsia="ja-JP"/>
        </w:rPr>
        <w:t>Of the 9</w:t>
      </w:r>
      <w:r w:rsidR="004601B4">
        <w:rPr>
          <w:lang w:val="en-US" w:eastAsia="ja-JP"/>
        </w:rPr>
        <w:t>5,</w:t>
      </w:r>
      <w:r w:rsidR="004B763F">
        <w:rPr>
          <w:lang w:val="en-US" w:eastAsia="ja-JP"/>
        </w:rPr>
        <w:t>000</w:t>
      </w:r>
      <w:r w:rsidR="006C0B4F">
        <w:rPr>
          <w:lang w:val="en-US" w:eastAsia="ja-JP"/>
        </w:rPr>
        <w:t> </w:t>
      </w:r>
      <w:r w:rsidR="004268BC" w:rsidRPr="0087178B">
        <w:rPr>
          <w:lang w:val="en-US" w:eastAsia="ja-JP"/>
        </w:rPr>
        <w:t>h</w:t>
      </w:r>
      <w:r w:rsidR="0087178B" w:rsidRPr="0087178B">
        <w:rPr>
          <w:lang w:val="en-US" w:eastAsia="ja-JP"/>
        </w:rPr>
        <w:t>ectares</w:t>
      </w:r>
      <w:r w:rsidR="004268BC" w:rsidRPr="0087178B">
        <w:rPr>
          <w:lang w:val="en-US" w:eastAsia="ja-JP"/>
        </w:rPr>
        <w:t xml:space="preserve"> burnt in the </w:t>
      </w:r>
      <w:r w:rsidR="00621A06">
        <w:rPr>
          <w:lang w:eastAsia="ja-JP"/>
        </w:rPr>
        <w:t>property</w:t>
      </w:r>
      <w:r w:rsidR="004268BC" w:rsidRPr="0087178B">
        <w:rPr>
          <w:lang w:val="en-US" w:eastAsia="ja-JP"/>
        </w:rPr>
        <w:t xml:space="preserve">, </w:t>
      </w:r>
      <w:r w:rsidR="004B763F">
        <w:rPr>
          <w:lang w:val="en-US" w:eastAsia="ja-JP"/>
        </w:rPr>
        <w:t xml:space="preserve">approximately </w:t>
      </w:r>
      <w:r w:rsidR="004268BC" w:rsidRPr="0087178B">
        <w:rPr>
          <w:lang w:val="en-US" w:eastAsia="ja-JP"/>
        </w:rPr>
        <w:t xml:space="preserve">83,140 </w:t>
      </w:r>
      <w:r w:rsidR="0087178B" w:rsidRPr="0087178B">
        <w:rPr>
          <w:lang w:val="en-US" w:eastAsia="ja-JP"/>
        </w:rPr>
        <w:t>hectares</w:t>
      </w:r>
      <w:r w:rsidR="004268BC" w:rsidRPr="0087178B">
        <w:rPr>
          <w:lang w:val="en-US" w:eastAsia="ja-JP"/>
        </w:rPr>
        <w:t>, or 87</w:t>
      </w:r>
      <w:r w:rsidR="004601B4">
        <w:rPr>
          <w:lang w:val="en-US" w:eastAsia="ja-JP"/>
        </w:rPr>
        <w:t>.7</w:t>
      </w:r>
      <w:r w:rsidR="00621A06">
        <w:rPr>
          <w:lang w:val="en-US" w:eastAsia="ja-JP"/>
        </w:rPr>
        <w:t xml:space="preserve"> per cent</w:t>
      </w:r>
      <w:r w:rsidR="00980350">
        <w:rPr>
          <w:lang w:val="en-US" w:eastAsia="ja-JP"/>
        </w:rPr>
        <w:t>,</w:t>
      </w:r>
      <w:r w:rsidR="004268BC" w:rsidRPr="0087178B">
        <w:rPr>
          <w:lang w:val="en-US" w:eastAsia="ja-JP"/>
        </w:rPr>
        <w:t xml:space="preserve"> </w:t>
      </w:r>
      <w:r w:rsidR="0087178B">
        <w:rPr>
          <w:lang w:val="en-US" w:eastAsia="ja-JP"/>
        </w:rPr>
        <w:t>is</w:t>
      </w:r>
      <w:r w:rsidR="004268BC" w:rsidRPr="0087178B">
        <w:rPr>
          <w:lang w:val="en-US" w:eastAsia="ja-JP"/>
        </w:rPr>
        <w:t xml:space="preserve"> fire adapted vegetation communities such as </w:t>
      </w:r>
      <w:proofErr w:type="spellStart"/>
      <w:r w:rsidR="0087178B">
        <w:rPr>
          <w:lang w:val="en-US" w:eastAsia="ja-JP"/>
        </w:rPr>
        <w:t>b</w:t>
      </w:r>
      <w:r w:rsidR="004268BC" w:rsidRPr="0087178B">
        <w:rPr>
          <w:lang w:val="en-US" w:eastAsia="ja-JP"/>
        </w:rPr>
        <w:t>uttongrass</w:t>
      </w:r>
      <w:proofErr w:type="spellEnd"/>
      <w:r w:rsidR="004268BC" w:rsidRPr="0087178B">
        <w:rPr>
          <w:lang w:val="en-US" w:eastAsia="ja-JP"/>
        </w:rPr>
        <w:t xml:space="preserve"> moorland, dry and wet eucalypt forest </w:t>
      </w:r>
      <w:r w:rsidR="00E629B3" w:rsidRPr="0087178B">
        <w:rPr>
          <w:lang w:val="en-US" w:eastAsia="ja-JP"/>
        </w:rPr>
        <w:t>and scrub communitie</w:t>
      </w:r>
      <w:r w:rsidR="004268BC" w:rsidRPr="0087178B">
        <w:rPr>
          <w:lang w:val="en-US" w:eastAsia="ja-JP"/>
        </w:rPr>
        <w:t xml:space="preserve">s. </w:t>
      </w:r>
    </w:p>
    <w:p w14:paraId="200E6F18" w14:textId="77777777" w:rsidR="00C708A3" w:rsidRDefault="00C708A3" w:rsidP="00FF381A">
      <w:pPr>
        <w:spacing w:before="170" w:after="0"/>
        <w:rPr>
          <w:lang w:val="en-US" w:eastAsia="ja-JP"/>
        </w:rPr>
      </w:pPr>
    </w:p>
    <w:p w14:paraId="00D7C419" w14:textId="77777777" w:rsidR="00C708A3" w:rsidRDefault="00C708A3">
      <w:pPr>
        <w:rPr>
          <w:lang w:val="en-US" w:eastAsia="ja-JP"/>
        </w:rPr>
      </w:pPr>
      <w:r>
        <w:rPr>
          <w:lang w:val="en-US" w:eastAsia="ja-JP"/>
        </w:rPr>
        <w:br w:type="page"/>
      </w:r>
    </w:p>
    <w:p w14:paraId="0300129F" w14:textId="64C8A7BC" w:rsidR="00C708A3" w:rsidRDefault="00C708A3" w:rsidP="00FF381A">
      <w:pPr>
        <w:spacing w:before="170" w:after="0"/>
        <w:rPr>
          <w:lang w:val="en-US" w:eastAsia="ja-JP"/>
        </w:rPr>
      </w:pPr>
    </w:p>
    <w:p w14:paraId="57F6A4B1" w14:textId="3A746B46" w:rsidR="004268BC" w:rsidRPr="0087178B" w:rsidRDefault="004268BC" w:rsidP="00FF381A">
      <w:pPr>
        <w:spacing w:before="170" w:after="0"/>
        <w:rPr>
          <w:lang w:val="en-US" w:eastAsia="ja-JP"/>
        </w:rPr>
      </w:pPr>
      <w:r w:rsidRPr="0087178B">
        <w:rPr>
          <w:lang w:val="en-US" w:eastAsia="ja-JP"/>
        </w:rPr>
        <w:t xml:space="preserve">The remaining area consists of other communities </w:t>
      </w:r>
      <w:r w:rsidR="000E300A">
        <w:rPr>
          <w:lang w:val="en-US" w:eastAsia="ja-JP"/>
        </w:rPr>
        <w:t>that vary in fire sensitivity</w:t>
      </w:r>
      <w:r w:rsidRPr="0087178B">
        <w:rPr>
          <w:lang w:val="en-US" w:eastAsia="ja-JP"/>
        </w:rPr>
        <w:t>.</w:t>
      </w:r>
    </w:p>
    <w:p w14:paraId="2C190EE4" w14:textId="43D2A51E" w:rsidR="004268BC" w:rsidRPr="0087178B" w:rsidRDefault="00E629B3" w:rsidP="007F7A44">
      <w:pPr>
        <w:pStyle w:val="Text"/>
        <w:numPr>
          <w:ilvl w:val="0"/>
          <w:numId w:val="6"/>
        </w:numPr>
        <w:spacing w:before="120" w:after="120" w:line="240" w:lineRule="atLeast"/>
        <w:ind w:left="714" w:hanging="357"/>
        <w:rPr>
          <w:lang w:val="en-US" w:eastAsia="ja-JP"/>
        </w:rPr>
      </w:pPr>
      <w:r w:rsidRPr="0087178B">
        <w:rPr>
          <w:lang w:val="en-US" w:eastAsia="ja-JP"/>
        </w:rPr>
        <w:t xml:space="preserve">Extreme fire sensitive communities contain components that will not recover from fire. This includes </w:t>
      </w:r>
      <w:r w:rsidRPr="007F7A44">
        <w:t>communities</w:t>
      </w:r>
      <w:r w:rsidRPr="0087178B">
        <w:rPr>
          <w:lang w:val="en-US" w:eastAsia="ja-JP"/>
        </w:rPr>
        <w:t xml:space="preserve"> such as rainforest with King Billy pine, alpine conifer communities, </w:t>
      </w:r>
      <w:r w:rsidR="003606F4">
        <w:rPr>
          <w:lang w:val="en-US" w:eastAsia="ja-JP"/>
        </w:rPr>
        <w:t xml:space="preserve">and </w:t>
      </w:r>
      <w:r w:rsidRPr="0087178B">
        <w:rPr>
          <w:lang w:val="en-US" w:eastAsia="ja-JP"/>
        </w:rPr>
        <w:t xml:space="preserve">alpine rainforest </w:t>
      </w:r>
      <w:r w:rsidR="003606F4">
        <w:rPr>
          <w:lang w:val="en-US" w:eastAsia="ja-JP"/>
        </w:rPr>
        <w:t xml:space="preserve">communities with </w:t>
      </w:r>
      <w:r w:rsidR="0087178B">
        <w:rPr>
          <w:lang w:val="en-US" w:eastAsia="ja-JP"/>
        </w:rPr>
        <w:t>d</w:t>
      </w:r>
      <w:r w:rsidRPr="0087178B">
        <w:rPr>
          <w:lang w:val="en-US" w:eastAsia="ja-JP"/>
        </w:rPr>
        <w:t>eciduous beech</w:t>
      </w:r>
      <w:r w:rsidR="003606F4">
        <w:rPr>
          <w:lang w:val="en-US" w:eastAsia="ja-JP"/>
        </w:rPr>
        <w:t xml:space="preserve"> (Fagus)</w:t>
      </w:r>
      <w:r w:rsidRPr="0087178B">
        <w:rPr>
          <w:lang w:val="en-US" w:eastAsia="ja-JP"/>
        </w:rPr>
        <w:t>.</w:t>
      </w:r>
    </w:p>
    <w:p w14:paraId="346231FA" w14:textId="6E7A9AFC" w:rsidR="007154BC" w:rsidRDefault="006148F9" w:rsidP="007F7A44">
      <w:pPr>
        <w:pStyle w:val="Text"/>
        <w:numPr>
          <w:ilvl w:val="0"/>
          <w:numId w:val="6"/>
        </w:numPr>
        <w:spacing w:before="120" w:after="120" w:line="240" w:lineRule="atLeast"/>
        <w:ind w:left="714" w:hanging="357"/>
        <w:rPr>
          <w:lang w:val="en-US" w:eastAsia="ja-JP"/>
        </w:rPr>
      </w:pPr>
      <w:r w:rsidRPr="0087178B">
        <w:rPr>
          <w:lang w:val="en-US" w:eastAsia="ja-JP"/>
        </w:rPr>
        <w:t xml:space="preserve">The </w:t>
      </w:r>
      <w:r w:rsidR="00621A06">
        <w:t>property</w:t>
      </w:r>
      <w:r w:rsidR="00A26217" w:rsidRPr="00A26217">
        <w:rPr>
          <w:lang w:val="en-US" w:eastAsia="ja-JP"/>
        </w:rPr>
        <w:t xml:space="preserve"> </w:t>
      </w:r>
      <w:r w:rsidRPr="0087178B">
        <w:rPr>
          <w:lang w:val="en-US" w:eastAsia="ja-JP"/>
        </w:rPr>
        <w:t xml:space="preserve">contains 93,344 </w:t>
      </w:r>
      <w:r w:rsidR="0087178B" w:rsidRPr="0087178B">
        <w:rPr>
          <w:lang w:val="en-US" w:eastAsia="ja-JP"/>
        </w:rPr>
        <w:t xml:space="preserve">hectares </w:t>
      </w:r>
      <w:r w:rsidRPr="0087178B">
        <w:rPr>
          <w:lang w:val="en-US" w:eastAsia="ja-JP"/>
        </w:rPr>
        <w:t xml:space="preserve">of mapped vegetation that is classified </w:t>
      </w:r>
      <w:r w:rsidRPr="00AE7319">
        <w:rPr>
          <w:lang w:val="en-US" w:eastAsia="ja-JP"/>
        </w:rPr>
        <w:t xml:space="preserve">as being of </w:t>
      </w:r>
      <w:r w:rsidR="00621A06">
        <w:rPr>
          <w:lang w:val="en-US" w:eastAsia="ja-JP"/>
        </w:rPr>
        <w:t>e</w:t>
      </w:r>
      <w:r w:rsidRPr="00AE7319">
        <w:rPr>
          <w:lang w:val="en-US" w:eastAsia="ja-JP"/>
        </w:rPr>
        <w:t>xtreme fire sensitivity</w:t>
      </w:r>
      <w:r w:rsidR="00135E72" w:rsidRPr="00AE7319">
        <w:rPr>
          <w:lang w:val="en-US" w:eastAsia="ja-JP"/>
        </w:rPr>
        <w:t xml:space="preserve"> (e.g. conifer rainforest communities, coniferous heath)</w:t>
      </w:r>
      <w:r w:rsidRPr="00AE7319">
        <w:rPr>
          <w:lang w:val="en-US" w:eastAsia="ja-JP"/>
        </w:rPr>
        <w:t xml:space="preserve">. </w:t>
      </w:r>
    </w:p>
    <w:p w14:paraId="585D0C94" w14:textId="7D1CD735" w:rsidR="006148F9" w:rsidRPr="00AE7319" w:rsidRDefault="007154BC" w:rsidP="00FF381A">
      <w:pPr>
        <w:pStyle w:val="ListParagraph"/>
        <w:numPr>
          <w:ilvl w:val="1"/>
          <w:numId w:val="9"/>
        </w:numPr>
        <w:spacing w:before="170" w:after="0"/>
        <w:rPr>
          <w:lang w:val="en-US" w:eastAsia="ja-JP"/>
        </w:rPr>
      </w:pPr>
      <w:r>
        <w:rPr>
          <w:lang w:val="en-US" w:eastAsia="ja-JP"/>
        </w:rPr>
        <w:t xml:space="preserve">514.2 </w:t>
      </w:r>
      <w:r w:rsidR="00ED3C23" w:rsidRPr="007154BC">
        <w:rPr>
          <w:lang w:val="en-US" w:eastAsia="ja-JP"/>
        </w:rPr>
        <w:t>hectares</w:t>
      </w:r>
      <w:r w:rsidR="00ED3C23">
        <w:rPr>
          <w:lang w:val="en-US" w:eastAsia="ja-JP"/>
        </w:rPr>
        <w:t xml:space="preserve"> </w:t>
      </w:r>
      <w:r w:rsidR="00ED3C23" w:rsidRPr="00AE7319">
        <w:rPr>
          <w:lang w:val="en-US" w:eastAsia="ja-JP"/>
        </w:rPr>
        <w:t xml:space="preserve">of </w:t>
      </w:r>
      <w:r w:rsidR="00621A06">
        <w:rPr>
          <w:lang w:val="en-US" w:eastAsia="ja-JP"/>
        </w:rPr>
        <w:t>e</w:t>
      </w:r>
      <w:r w:rsidR="00ED3C23" w:rsidRPr="00AE7319">
        <w:rPr>
          <w:lang w:val="en-US" w:eastAsia="ja-JP"/>
        </w:rPr>
        <w:t>xtreme fire sensitivity vegetation is within the boundaries of the 2019 fires</w:t>
      </w:r>
      <w:r w:rsidR="00ED3C23">
        <w:rPr>
          <w:lang w:val="en-US" w:eastAsia="ja-JP"/>
        </w:rPr>
        <w:t>, representing</w:t>
      </w:r>
      <w:r w:rsidR="00ED3C23" w:rsidRPr="00AE7319" w:rsidDel="003606F4">
        <w:rPr>
          <w:lang w:val="en-US" w:eastAsia="ja-JP"/>
        </w:rPr>
        <w:t xml:space="preserve"> </w:t>
      </w:r>
      <w:r w:rsidR="003606F4">
        <w:rPr>
          <w:lang w:val="en-US" w:eastAsia="ja-JP"/>
        </w:rPr>
        <w:t>0.06</w:t>
      </w:r>
      <w:r w:rsidR="00621A06">
        <w:rPr>
          <w:lang w:val="en-US" w:eastAsia="ja-JP"/>
        </w:rPr>
        <w:t xml:space="preserve"> per cent </w:t>
      </w:r>
      <w:r w:rsidR="00ED3C23">
        <w:rPr>
          <w:lang w:val="en-US" w:eastAsia="ja-JP"/>
        </w:rPr>
        <w:t xml:space="preserve">of </w:t>
      </w:r>
      <w:r w:rsidR="00EF5B99">
        <w:rPr>
          <w:lang w:val="en-US" w:eastAsia="ja-JP"/>
        </w:rPr>
        <w:t xml:space="preserve">the extent </w:t>
      </w:r>
      <w:r w:rsidR="00854CC4">
        <w:rPr>
          <w:lang w:val="en-US" w:eastAsia="ja-JP"/>
        </w:rPr>
        <w:t xml:space="preserve">of </w:t>
      </w:r>
      <w:r w:rsidR="00EF5B99">
        <w:rPr>
          <w:lang w:val="en-US" w:eastAsia="ja-JP"/>
        </w:rPr>
        <w:t>this vegetation</w:t>
      </w:r>
      <w:r w:rsidR="00ED3C23">
        <w:rPr>
          <w:lang w:val="en-US" w:eastAsia="ja-JP"/>
        </w:rPr>
        <w:t xml:space="preserve"> </w:t>
      </w:r>
      <w:r w:rsidR="005E1201" w:rsidRPr="00AE7319">
        <w:rPr>
          <w:lang w:val="en-US" w:eastAsia="ja-JP"/>
        </w:rPr>
        <w:t xml:space="preserve">within the </w:t>
      </w:r>
      <w:r w:rsidR="00A26217">
        <w:rPr>
          <w:lang w:val="en-US" w:eastAsia="ja-JP"/>
        </w:rPr>
        <w:t>property</w:t>
      </w:r>
      <w:r w:rsidR="001D6A04" w:rsidRPr="00AE7319">
        <w:rPr>
          <w:lang w:val="en-US" w:eastAsia="ja-JP"/>
        </w:rPr>
        <w:t>.</w:t>
      </w:r>
    </w:p>
    <w:p w14:paraId="3BEAD700" w14:textId="38F28145" w:rsidR="007154BC" w:rsidRPr="00815637" w:rsidRDefault="006148F9" w:rsidP="007F7A44">
      <w:pPr>
        <w:pStyle w:val="Text"/>
        <w:numPr>
          <w:ilvl w:val="0"/>
          <w:numId w:val="6"/>
        </w:numPr>
        <w:spacing w:before="120" w:after="120" w:line="240" w:lineRule="atLeast"/>
        <w:ind w:left="714" w:hanging="357"/>
        <w:rPr>
          <w:lang w:val="en-US" w:eastAsia="ja-JP"/>
        </w:rPr>
      </w:pPr>
      <w:r w:rsidRPr="00551FD1">
        <w:t xml:space="preserve">The </w:t>
      </w:r>
      <w:r w:rsidR="00621A06">
        <w:rPr>
          <w:lang w:eastAsia="ja-JP"/>
        </w:rPr>
        <w:t>property</w:t>
      </w:r>
      <w:r w:rsidR="00A26217" w:rsidRPr="00551FD1">
        <w:t xml:space="preserve"> </w:t>
      </w:r>
      <w:r w:rsidRPr="00551FD1">
        <w:t>contains 46</w:t>
      </w:r>
      <w:r w:rsidR="005E1201" w:rsidRPr="00551FD1">
        <w:t>5</w:t>
      </w:r>
      <w:r w:rsidRPr="00551FD1">
        <w:t xml:space="preserve">,029 </w:t>
      </w:r>
      <w:r w:rsidR="0087178B" w:rsidRPr="00551FD1">
        <w:t>hect</w:t>
      </w:r>
      <w:r w:rsidR="00ED3C23" w:rsidRPr="00551FD1">
        <w:t>a</w:t>
      </w:r>
      <w:r w:rsidR="0087178B" w:rsidRPr="00551FD1">
        <w:t>res</w:t>
      </w:r>
      <w:r w:rsidRPr="00551FD1">
        <w:t xml:space="preserve"> of mapped </w:t>
      </w:r>
      <w:r w:rsidRPr="00621A06">
        <w:t>vegetation</w:t>
      </w:r>
      <w:r w:rsidRPr="00551FD1">
        <w:t xml:space="preserve"> that is classified as being of </w:t>
      </w:r>
      <w:r w:rsidR="00621A06">
        <w:t>v</w:t>
      </w:r>
      <w:r w:rsidRPr="00551FD1">
        <w:t xml:space="preserve">ery </w:t>
      </w:r>
      <w:r w:rsidR="00621A06">
        <w:t>h</w:t>
      </w:r>
      <w:r w:rsidRPr="00551FD1">
        <w:t>igh fire sensitivity</w:t>
      </w:r>
      <w:r w:rsidR="00A20F1F" w:rsidRPr="00551FD1">
        <w:t xml:space="preserve">. This includes </w:t>
      </w:r>
      <w:r w:rsidR="002505BA" w:rsidRPr="00012D5F">
        <w:rPr>
          <w:lang w:eastAsia="ja-JP"/>
        </w:rPr>
        <w:t xml:space="preserve">alpine vegetation, rainforest and </w:t>
      </w:r>
      <w:r w:rsidR="00A20F1F" w:rsidRPr="00551FD1">
        <w:t>mixed forest (eucalypt forest with rainforest understory</w:t>
      </w:r>
      <w:r w:rsidR="002505BA" w:rsidRPr="00012D5F">
        <w:rPr>
          <w:lang w:eastAsia="ja-JP"/>
        </w:rPr>
        <w:t>). The latter</w:t>
      </w:r>
      <w:r w:rsidR="00A20F1F" w:rsidRPr="00551FD1">
        <w:t xml:space="preserve"> vegetation</w:t>
      </w:r>
      <w:r w:rsidR="002505BA" w:rsidRPr="00012D5F">
        <w:rPr>
          <w:lang w:eastAsia="ja-JP"/>
        </w:rPr>
        <w:t xml:space="preserve"> type</w:t>
      </w:r>
      <w:r w:rsidR="00A20F1F" w:rsidRPr="00551FD1">
        <w:t xml:space="preserve"> requires fire at very long intervals (100-350 years) to persist.</w:t>
      </w:r>
    </w:p>
    <w:p w14:paraId="1FA665EB" w14:textId="69D6D83E" w:rsidR="008D2668" w:rsidRPr="00815637" w:rsidRDefault="00ED3C23" w:rsidP="00FF381A">
      <w:pPr>
        <w:pStyle w:val="ListParagraph"/>
        <w:numPr>
          <w:ilvl w:val="1"/>
          <w:numId w:val="9"/>
        </w:numPr>
        <w:spacing w:before="170" w:after="0"/>
        <w:rPr>
          <w:lang w:val="en-US" w:eastAsia="ja-JP"/>
        </w:rPr>
      </w:pPr>
      <w:r w:rsidRPr="00815637">
        <w:rPr>
          <w:lang w:val="en-US" w:eastAsia="ja-JP"/>
        </w:rPr>
        <w:t>11,</w:t>
      </w:r>
      <w:r w:rsidR="007154BC" w:rsidRPr="00815637">
        <w:rPr>
          <w:lang w:val="en-US" w:eastAsia="ja-JP"/>
        </w:rPr>
        <w:t xml:space="preserve">717 </w:t>
      </w:r>
      <w:r w:rsidRPr="00815637">
        <w:rPr>
          <w:lang w:val="en-US" w:eastAsia="ja-JP"/>
        </w:rPr>
        <w:t xml:space="preserve">hectares </w:t>
      </w:r>
      <w:r w:rsidR="006148F9" w:rsidRPr="00815637">
        <w:rPr>
          <w:lang w:val="en-US" w:eastAsia="ja-JP"/>
        </w:rPr>
        <w:t xml:space="preserve">of the </w:t>
      </w:r>
      <w:r w:rsidR="00621A06">
        <w:rPr>
          <w:lang w:val="en-US" w:eastAsia="ja-JP"/>
        </w:rPr>
        <w:t>v</w:t>
      </w:r>
      <w:r w:rsidR="006148F9" w:rsidRPr="00815637">
        <w:rPr>
          <w:lang w:val="en-US" w:eastAsia="ja-JP"/>
        </w:rPr>
        <w:t xml:space="preserve">ery </w:t>
      </w:r>
      <w:r w:rsidR="00621A06">
        <w:rPr>
          <w:lang w:val="en-US" w:eastAsia="ja-JP"/>
        </w:rPr>
        <w:t>h</w:t>
      </w:r>
      <w:r w:rsidR="006148F9" w:rsidRPr="00815637">
        <w:rPr>
          <w:lang w:val="en-US" w:eastAsia="ja-JP"/>
        </w:rPr>
        <w:t xml:space="preserve">igh fire sensitivity vegetation is within the </w:t>
      </w:r>
      <w:r w:rsidR="00D07B2B" w:rsidRPr="00815637">
        <w:rPr>
          <w:lang w:val="en-US" w:eastAsia="ja-JP"/>
        </w:rPr>
        <w:t xml:space="preserve">2019 </w:t>
      </w:r>
      <w:r w:rsidR="006148F9" w:rsidRPr="00815637">
        <w:rPr>
          <w:lang w:val="en-US" w:eastAsia="ja-JP"/>
        </w:rPr>
        <w:t>fire boundaries</w:t>
      </w:r>
      <w:r w:rsidR="007B682E" w:rsidRPr="00815637">
        <w:rPr>
          <w:lang w:val="en-US" w:eastAsia="ja-JP"/>
        </w:rPr>
        <w:t>, representing 2.5</w:t>
      </w:r>
      <w:r w:rsidR="00621A06">
        <w:rPr>
          <w:lang w:val="en-US" w:eastAsia="ja-JP"/>
        </w:rPr>
        <w:t xml:space="preserve"> per cent</w:t>
      </w:r>
      <w:r w:rsidR="007B682E" w:rsidRPr="00815637">
        <w:rPr>
          <w:lang w:val="en-US" w:eastAsia="ja-JP"/>
        </w:rPr>
        <w:t xml:space="preserve"> </w:t>
      </w:r>
      <w:r w:rsidR="00EF5B99" w:rsidRPr="00EF5B99">
        <w:rPr>
          <w:lang w:val="en-US" w:eastAsia="ja-JP"/>
        </w:rPr>
        <w:t xml:space="preserve">of the extent </w:t>
      </w:r>
      <w:r w:rsidR="00854CC4">
        <w:rPr>
          <w:lang w:val="en-US" w:eastAsia="ja-JP"/>
        </w:rPr>
        <w:t xml:space="preserve">of </w:t>
      </w:r>
      <w:r w:rsidR="00EF5B99" w:rsidRPr="00EF5B99">
        <w:rPr>
          <w:lang w:val="en-US" w:eastAsia="ja-JP"/>
        </w:rPr>
        <w:t>this vegetation within the property</w:t>
      </w:r>
      <w:r w:rsidR="006148F9" w:rsidRPr="00815637">
        <w:rPr>
          <w:lang w:val="en-US" w:eastAsia="ja-JP"/>
        </w:rPr>
        <w:t>.</w:t>
      </w:r>
    </w:p>
    <w:p w14:paraId="347DF8B1" w14:textId="26571DEA" w:rsidR="008727B9" w:rsidRDefault="0047685F" w:rsidP="00FF381A">
      <w:pPr>
        <w:spacing w:before="170" w:after="0"/>
        <w:rPr>
          <w:lang w:val="en-US" w:eastAsia="ja-JP"/>
        </w:rPr>
      </w:pPr>
      <w:r>
        <w:rPr>
          <w:lang w:val="en-US" w:eastAsia="ja-JP"/>
        </w:rPr>
        <w:t>Targeted aerial and on-ground i</w:t>
      </w:r>
      <w:r w:rsidR="00F5797E">
        <w:rPr>
          <w:lang w:val="en-US" w:eastAsia="ja-JP"/>
        </w:rPr>
        <w:t xml:space="preserve">mpact assessments </w:t>
      </w:r>
      <w:r w:rsidR="004B763F">
        <w:rPr>
          <w:lang w:val="en-US" w:eastAsia="ja-JP"/>
        </w:rPr>
        <w:t>immediately following the</w:t>
      </w:r>
      <w:r w:rsidR="00815637">
        <w:rPr>
          <w:lang w:val="en-US" w:eastAsia="ja-JP"/>
        </w:rPr>
        <w:t xml:space="preserve"> 2018</w:t>
      </w:r>
      <w:r w:rsidR="00854CC4">
        <w:rPr>
          <w:lang w:val="en-US" w:eastAsia="ja-JP"/>
        </w:rPr>
        <w:noBreakHyphen/>
      </w:r>
      <w:r w:rsidR="00815637">
        <w:rPr>
          <w:lang w:val="en-US" w:eastAsia="ja-JP"/>
        </w:rPr>
        <w:t>19</w:t>
      </w:r>
      <w:r w:rsidR="004B763F">
        <w:rPr>
          <w:lang w:val="en-US" w:eastAsia="ja-JP"/>
        </w:rPr>
        <w:t xml:space="preserve"> fires </w:t>
      </w:r>
      <w:r w:rsidR="00F5797E">
        <w:rPr>
          <w:lang w:val="en-US" w:eastAsia="ja-JP"/>
        </w:rPr>
        <w:t>confirmed that m</w:t>
      </w:r>
      <w:r w:rsidR="00CA5AA0">
        <w:rPr>
          <w:lang w:val="en-US" w:eastAsia="ja-JP"/>
        </w:rPr>
        <w:t xml:space="preserve">ost of the </w:t>
      </w:r>
      <w:r>
        <w:rPr>
          <w:lang w:val="en-US" w:eastAsia="ja-JP"/>
        </w:rPr>
        <w:t xml:space="preserve">affected </w:t>
      </w:r>
      <w:r w:rsidR="00CA5AA0">
        <w:rPr>
          <w:lang w:val="en-US" w:eastAsia="ja-JP"/>
        </w:rPr>
        <w:t>vegetation is resilient to fire and</w:t>
      </w:r>
      <w:r w:rsidR="00854CC4">
        <w:rPr>
          <w:lang w:val="en-US" w:eastAsia="ja-JP"/>
        </w:rPr>
        <w:t>,</w:t>
      </w:r>
      <w:r w:rsidR="00CA5AA0">
        <w:rPr>
          <w:lang w:val="en-US" w:eastAsia="ja-JP"/>
        </w:rPr>
        <w:t xml:space="preserve"> as such</w:t>
      </w:r>
      <w:r w:rsidR="00854CC4">
        <w:rPr>
          <w:lang w:val="en-US" w:eastAsia="ja-JP"/>
        </w:rPr>
        <w:t>,</w:t>
      </w:r>
      <w:r w:rsidR="00CA5AA0">
        <w:rPr>
          <w:lang w:val="en-US" w:eastAsia="ja-JP"/>
        </w:rPr>
        <w:t xml:space="preserve"> is expected to fully recover</w:t>
      </w:r>
      <w:r w:rsidR="00A41D22">
        <w:rPr>
          <w:lang w:val="en-US" w:eastAsia="ja-JP"/>
        </w:rPr>
        <w:t>, al</w:t>
      </w:r>
      <w:r w:rsidR="00CA5AA0">
        <w:rPr>
          <w:lang w:val="en-US" w:eastAsia="ja-JP"/>
        </w:rPr>
        <w:t xml:space="preserve">though for some communities this will take several decades. </w:t>
      </w:r>
    </w:p>
    <w:p w14:paraId="5FBA72D1" w14:textId="3E6506F8" w:rsidR="00ED6B26" w:rsidRDefault="008727B9" w:rsidP="00FF381A">
      <w:pPr>
        <w:spacing w:before="170" w:after="0"/>
        <w:rPr>
          <w:lang w:val="en-US" w:eastAsia="ja-JP"/>
        </w:rPr>
      </w:pPr>
      <w:r>
        <w:rPr>
          <w:lang w:val="en-US" w:eastAsia="ja-JP"/>
        </w:rPr>
        <w:t>There have</w:t>
      </w:r>
      <w:r w:rsidR="00CE5F14">
        <w:rPr>
          <w:lang w:val="en-US" w:eastAsia="ja-JP"/>
        </w:rPr>
        <w:t xml:space="preserve"> </w:t>
      </w:r>
      <w:r w:rsidR="00CA5AA0">
        <w:rPr>
          <w:lang w:val="en-US" w:eastAsia="ja-JP"/>
        </w:rPr>
        <w:t xml:space="preserve">been </w:t>
      </w:r>
      <w:proofErr w:type="spellStart"/>
      <w:r w:rsidR="0047685F">
        <w:rPr>
          <w:lang w:val="en-US" w:eastAsia="ja-JP"/>
        </w:rPr>
        <w:t>localis</w:t>
      </w:r>
      <w:r w:rsidR="00CA5AA0">
        <w:rPr>
          <w:lang w:val="en-US" w:eastAsia="ja-JP"/>
        </w:rPr>
        <w:t>ed</w:t>
      </w:r>
      <w:proofErr w:type="spellEnd"/>
      <w:r w:rsidR="00CA5AA0">
        <w:rPr>
          <w:lang w:val="en-US" w:eastAsia="ja-JP"/>
        </w:rPr>
        <w:t xml:space="preserve"> impacts on </w:t>
      </w:r>
      <w:r w:rsidR="00A41D22">
        <w:rPr>
          <w:lang w:val="en-US" w:eastAsia="ja-JP"/>
        </w:rPr>
        <w:t xml:space="preserve">important </w:t>
      </w:r>
      <w:r w:rsidR="00CA5AA0">
        <w:rPr>
          <w:lang w:val="en-US" w:eastAsia="ja-JP"/>
        </w:rPr>
        <w:t>fire sensitive vegetation</w:t>
      </w:r>
      <w:r w:rsidR="003F5D84">
        <w:rPr>
          <w:lang w:val="en-US" w:eastAsia="ja-JP"/>
        </w:rPr>
        <w:t xml:space="preserve"> values</w:t>
      </w:r>
      <w:r w:rsidR="00CA5AA0">
        <w:rPr>
          <w:lang w:val="en-US" w:eastAsia="ja-JP"/>
        </w:rPr>
        <w:t>. These include</w:t>
      </w:r>
      <w:r w:rsidR="00ED6B26">
        <w:rPr>
          <w:lang w:val="en-US" w:eastAsia="ja-JP"/>
        </w:rPr>
        <w:t>:</w:t>
      </w:r>
    </w:p>
    <w:p w14:paraId="0ED3B7EF" w14:textId="44DD4F27" w:rsidR="00ED6B26" w:rsidRPr="00ED6B26" w:rsidRDefault="00CA5AA0" w:rsidP="007F7A44">
      <w:pPr>
        <w:pStyle w:val="Text"/>
        <w:numPr>
          <w:ilvl w:val="0"/>
          <w:numId w:val="6"/>
        </w:numPr>
        <w:spacing w:before="120" w:after="120" w:line="240" w:lineRule="atLeast"/>
        <w:ind w:left="714" w:hanging="357"/>
        <w:rPr>
          <w:lang w:val="en-US" w:eastAsia="ja-JP"/>
        </w:rPr>
      </w:pPr>
      <w:r w:rsidRPr="00ED6B26">
        <w:rPr>
          <w:lang w:val="en-US" w:eastAsia="ja-JP"/>
        </w:rPr>
        <w:t xml:space="preserve">the </w:t>
      </w:r>
      <w:r w:rsidRPr="007F7A44">
        <w:t>loss</w:t>
      </w:r>
      <w:r w:rsidRPr="00ED6B26">
        <w:rPr>
          <w:lang w:val="en-US" w:eastAsia="ja-JP"/>
        </w:rPr>
        <w:t xml:space="preserve"> of approximately half of a </w:t>
      </w:r>
      <w:proofErr w:type="spellStart"/>
      <w:r w:rsidRPr="00ED6B26">
        <w:rPr>
          <w:lang w:val="en-US" w:eastAsia="ja-JP"/>
        </w:rPr>
        <w:t>relictual</w:t>
      </w:r>
      <w:proofErr w:type="spellEnd"/>
      <w:r w:rsidRPr="00ED6B26">
        <w:rPr>
          <w:lang w:val="en-US" w:eastAsia="ja-JP"/>
        </w:rPr>
        <w:t xml:space="preserve"> population of pencil pines at Crooked Lake in the Denison Range </w:t>
      </w:r>
    </w:p>
    <w:p w14:paraId="6B4416E6" w14:textId="70154636" w:rsidR="00ED6B26" w:rsidRPr="00ED6B26" w:rsidRDefault="007C072C" w:rsidP="007F7A44">
      <w:pPr>
        <w:pStyle w:val="Text"/>
        <w:numPr>
          <w:ilvl w:val="0"/>
          <w:numId w:val="6"/>
        </w:numPr>
        <w:spacing w:before="120" w:after="120" w:line="240" w:lineRule="atLeast"/>
        <w:ind w:left="714" w:hanging="357"/>
        <w:rPr>
          <w:lang w:val="en-US" w:eastAsia="ja-JP"/>
        </w:rPr>
      </w:pPr>
      <w:r w:rsidRPr="00551FD1">
        <w:rPr>
          <w:lang w:val="en-US"/>
        </w:rPr>
        <w:t>fire affected</w:t>
      </w:r>
      <w:r w:rsidRPr="00ED6B26">
        <w:rPr>
          <w:lang w:val="en-US" w:eastAsia="ja-JP"/>
        </w:rPr>
        <w:t xml:space="preserve"> very tall forest in the Coles Creek </w:t>
      </w:r>
      <w:r w:rsidR="00062C72" w:rsidRPr="00ED6B26">
        <w:rPr>
          <w:lang w:val="en-US" w:eastAsia="ja-JP"/>
        </w:rPr>
        <w:t xml:space="preserve">area </w:t>
      </w:r>
      <w:r w:rsidR="00062C72">
        <w:rPr>
          <w:lang w:val="en-US" w:eastAsia="ja-JP"/>
        </w:rPr>
        <w:t>(</w:t>
      </w:r>
      <w:r w:rsidR="00CA5AA0" w:rsidRPr="00ED6B26">
        <w:rPr>
          <w:lang w:val="en-US" w:eastAsia="ja-JP"/>
        </w:rPr>
        <w:t xml:space="preserve">the world’s largest known stand </w:t>
      </w:r>
      <w:r w:rsidR="00062C72">
        <w:rPr>
          <w:lang w:val="en-US" w:eastAsia="ja-JP"/>
        </w:rPr>
        <w:t>-</w:t>
      </w:r>
      <w:r w:rsidR="0020496D">
        <w:rPr>
          <w:lang w:val="en-US" w:eastAsia="ja-JP"/>
        </w:rPr>
        <w:t xml:space="preserve"> </w:t>
      </w:r>
      <w:r w:rsidR="00CA5AA0" w:rsidRPr="00ED6B26">
        <w:rPr>
          <w:lang w:val="en-US" w:eastAsia="ja-JP"/>
        </w:rPr>
        <w:t>average canopy height &gt; 70m)</w:t>
      </w:r>
      <w:r w:rsidR="00595F58" w:rsidRPr="00ED6B26">
        <w:rPr>
          <w:lang w:val="en-US" w:eastAsia="ja-JP"/>
        </w:rPr>
        <w:t xml:space="preserve"> </w:t>
      </w:r>
      <w:r w:rsidR="00097017" w:rsidRPr="00ED6B26">
        <w:rPr>
          <w:lang w:val="en-US" w:eastAsia="ja-JP"/>
        </w:rPr>
        <w:t xml:space="preserve"> </w:t>
      </w:r>
    </w:p>
    <w:p w14:paraId="2E2F75E9" w14:textId="5218B313" w:rsidR="00ED6B26" w:rsidRPr="00ED6B26" w:rsidRDefault="0047685F" w:rsidP="007F7A44">
      <w:pPr>
        <w:pStyle w:val="Text"/>
        <w:numPr>
          <w:ilvl w:val="0"/>
          <w:numId w:val="6"/>
        </w:numPr>
        <w:spacing w:before="120" w:after="120" w:line="240" w:lineRule="atLeast"/>
        <w:ind w:left="714" w:hanging="357"/>
        <w:rPr>
          <w:lang w:val="en-US" w:eastAsia="ja-JP"/>
        </w:rPr>
      </w:pPr>
      <w:proofErr w:type="gramStart"/>
      <w:r w:rsidRPr="00ED6B26">
        <w:rPr>
          <w:lang w:val="en-US" w:eastAsia="ja-JP"/>
        </w:rPr>
        <w:t>a</w:t>
      </w:r>
      <w:proofErr w:type="gramEnd"/>
      <w:r w:rsidRPr="00ED6B26">
        <w:rPr>
          <w:lang w:val="en-US" w:eastAsia="ja-JP"/>
        </w:rPr>
        <w:t xml:space="preserve"> </w:t>
      </w:r>
      <w:r w:rsidRPr="007F7A44">
        <w:t>number</w:t>
      </w:r>
      <w:r w:rsidRPr="00ED6B26">
        <w:rPr>
          <w:lang w:val="en-US" w:eastAsia="ja-JP"/>
        </w:rPr>
        <w:t xml:space="preserve"> of</w:t>
      </w:r>
      <w:r w:rsidR="00097017" w:rsidRPr="00ED6B26">
        <w:rPr>
          <w:lang w:val="en-US" w:eastAsia="ja-JP"/>
        </w:rPr>
        <w:t xml:space="preserve"> giant trees </w:t>
      </w:r>
      <w:r w:rsidRPr="00ED6B26">
        <w:rPr>
          <w:lang w:val="en-US" w:eastAsia="ja-JP"/>
        </w:rPr>
        <w:t>(trees &gt; 85m tall or 280m</w:t>
      </w:r>
      <w:r w:rsidRPr="00ED6B26">
        <w:rPr>
          <w:vertAlign w:val="superscript"/>
          <w:lang w:val="en-US" w:eastAsia="ja-JP"/>
        </w:rPr>
        <w:t>3</w:t>
      </w:r>
      <w:r w:rsidRPr="00ED6B26">
        <w:rPr>
          <w:lang w:val="en-US" w:eastAsia="ja-JP"/>
        </w:rPr>
        <w:t xml:space="preserve"> volume) </w:t>
      </w:r>
      <w:r w:rsidR="00595F58" w:rsidRPr="00ED6B26">
        <w:rPr>
          <w:lang w:val="en-US" w:eastAsia="ja-JP"/>
        </w:rPr>
        <w:t xml:space="preserve">in the southern forests affected by the </w:t>
      </w:r>
      <w:proofErr w:type="spellStart"/>
      <w:r w:rsidR="00595F58" w:rsidRPr="00ED6B26">
        <w:rPr>
          <w:lang w:val="en-US" w:eastAsia="ja-JP"/>
        </w:rPr>
        <w:t>Riveaux</w:t>
      </w:r>
      <w:proofErr w:type="spellEnd"/>
      <w:r w:rsidR="00595F58" w:rsidRPr="00ED6B26">
        <w:rPr>
          <w:lang w:val="en-US" w:eastAsia="ja-JP"/>
        </w:rPr>
        <w:t xml:space="preserve"> Road fire</w:t>
      </w:r>
      <w:r w:rsidR="008A7C80">
        <w:rPr>
          <w:lang w:val="en-US" w:eastAsia="ja-JP"/>
        </w:rPr>
        <w:t>.</w:t>
      </w:r>
      <w:r w:rsidR="00595F58" w:rsidRPr="00ED6B26">
        <w:rPr>
          <w:lang w:val="en-US" w:eastAsia="ja-JP"/>
        </w:rPr>
        <w:t xml:space="preserve"> </w:t>
      </w:r>
    </w:p>
    <w:p w14:paraId="6DCB24F6" w14:textId="48E8E858" w:rsidR="00CA5AA0" w:rsidRDefault="00595F58" w:rsidP="00FF381A">
      <w:pPr>
        <w:spacing w:before="170" w:after="0"/>
        <w:rPr>
          <w:lang w:val="en-US" w:eastAsia="ja-JP"/>
        </w:rPr>
      </w:pPr>
      <w:r>
        <w:rPr>
          <w:lang w:val="en-US" w:eastAsia="ja-JP"/>
        </w:rPr>
        <w:t>The vegetation communities supporting the very tall forests</w:t>
      </w:r>
      <w:r w:rsidR="00621A06">
        <w:rPr>
          <w:lang w:val="en-US" w:eastAsia="ja-JP"/>
        </w:rPr>
        <w:t>—</w:t>
      </w:r>
      <w:r>
        <w:rPr>
          <w:lang w:val="en-US" w:eastAsia="ja-JP"/>
        </w:rPr>
        <w:t>although impacted</w:t>
      </w:r>
      <w:r w:rsidR="00621A06">
        <w:rPr>
          <w:lang w:val="en-US" w:eastAsia="ja-JP"/>
        </w:rPr>
        <w:t>—</w:t>
      </w:r>
      <w:r>
        <w:rPr>
          <w:lang w:val="en-US" w:eastAsia="ja-JP"/>
        </w:rPr>
        <w:t>will recover</w:t>
      </w:r>
      <w:r w:rsidR="00854CC4">
        <w:rPr>
          <w:lang w:val="en-US" w:eastAsia="ja-JP"/>
        </w:rPr>
        <w:t>,</w:t>
      </w:r>
      <w:r>
        <w:rPr>
          <w:lang w:val="en-US" w:eastAsia="ja-JP"/>
        </w:rPr>
        <w:t xml:space="preserve"> given long fire-free intervals. </w:t>
      </w:r>
    </w:p>
    <w:p w14:paraId="2555EFD9" w14:textId="61F910B4" w:rsidR="004B763F" w:rsidRDefault="004B763F" w:rsidP="00FF381A">
      <w:pPr>
        <w:spacing w:before="170" w:after="0"/>
        <w:rPr>
          <w:lang w:val="en-US" w:eastAsia="ja-JP"/>
        </w:rPr>
      </w:pPr>
      <w:r>
        <w:rPr>
          <w:lang w:val="en-US" w:eastAsia="ja-JP"/>
        </w:rPr>
        <w:t>The long</w:t>
      </w:r>
      <w:r w:rsidR="00854CC4">
        <w:rPr>
          <w:lang w:val="en-US" w:eastAsia="ja-JP"/>
        </w:rPr>
        <w:noBreakHyphen/>
      </w:r>
      <w:r>
        <w:rPr>
          <w:lang w:val="en-US" w:eastAsia="ja-JP"/>
        </w:rPr>
        <w:t>term recovery of fire sensitive vegetation is not able to be quantified at this stage and is reliant on further field inspections.</w:t>
      </w:r>
    </w:p>
    <w:p w14:paraId="57AAA06F" w14:textId="3CF3D488" w:rsidR="00A41D22" w:rsidRPr="00A41D22" w:rsidRDefault="00A41D22" w:rsidP="00FF381A">
      <w:pPr>
        <w:spacing w:before="170" w:after="0"/>
        <w:rPr>
          <w:u w:val="single"/>
          <w:lang w:val="en-US" w:eastAsia="ja-JP"/>
        </w:rPr>
      </w:pPr>
      <w:r w:rsidRPr="00A41D22">
        <w:rPr>
          <w:u w:val="single"/>
          <w:lang w:val="en-US" w:eastAsia="ja-JP"/>
        </w:rPr>
        <w:t>Impacts on earth features</w:t>
      </w:r>
    </w:p>
    <w:p w14:paraId="6CDF22AF" w14:textId="2A2664D7" w:rsidR="0068530E" w:rsidRPr="00CA5AA0" w:rsidRDefault="0068530E" w:rsidP="00FF381A">
      <w:pPr>
        <w:spacing w:before="170" w:after="0"/>
        <w:rPr>
          <w:lang w:val="en-US" w:eastAsia="ja-JP"/>
        </w:rPr>
      </w:pPr>
      <w:r w:rsidRPr="00691336">
        <w:rPr>
          <w:lang w:val="en-US" w:eastAsia="ja-JP"/>
        </w:rPr>
        <w:t xml:space="preserve">The </w:t>
      </w:r>
      <w:r w:rsidR="00621A06">
        <w:rPr>
          <w:lang w:eastAsia="ja-JP"/>
        </w:rPr>
        <w:t>property</w:t>
      </w:r>
      <w:r w:rsidR="008A7C80" w:rsidRPr="008A7C80">
        <w:rPr>
          <w:lang w:eastAsia="ja-JP"/>
        </w:rPr>
        <w:t xml:space="preserve"> </w:t>
      </w:r>
      <w:r w:rsidRPr="00691336">
        <w:rPr>
          <w:lang w:val="en-US" w:eastAsia="ja-JP"/>
        </w:rPr>
        <w:t>also contains earth features that are</w:t>
      </w:r>
      <w:r w:rsidR="00377253" w:rsidRPr="00691336">
        <w:rPr>
          <w:lang w:val="en-US" w:eastAsia="ja-JP"/>
        </w:rPr>
        <w:t xml:space="preserve"> potentially</w:t>
      </w:r>
      <w:r w:rsidRPr="00691336">
        <w:rPr>
          <w:lang w:val="en-US" w:eastAsia="ja-JP"/>
        </w:rPr>
        <w:t xml:space="preserve"> fire sensitive, including karst areas, </w:t>
      </w:r>
      <w:r w:rsidR="009F4A50">
        <w:rPr>
          <w:lang w:val="en-US" w:eastAsia="ja-JP"/>
        </w:rPr>
        <w:t xml:space="preserve">long undisturbed catchments, </w:t>
      </w:r>
      <w:proofErr w:type="spellStart"/>
      <w:r w:rsidRPr="00691336">
        <w:rPr>
          <w:lang w:val="en-US" w:eastAsia="ja-JP"/>
        </w:rPr>
        <w:t>aeolian</w:t>
      </w:r>
      <w:proofErr w:type="spellEnd"/>
      <w:r w:rsidRPr="00691336">
        <w:rPr>
          <w:lang w:val="en-US" w:eastAsia="ja-JP"/>
        </w:rPr>
        <w:t xml:space="preserve"> features, and</w:t>
      </w:r>
      <w:r w:rsidR="009F4A50">
        <w:rPr>
          <w:lang w:val="en-US" w:eastAsia="ja-JP"/>
        </w:rPr>
        <w:t xml:space="preserve"> organic soils.</w:t>
      </w:r>
    </w:p>
    <w:p w14:paraId="47427F05" w14:textId="07936496" w:rsidR="0068530E" w:rsidRPr="009B656D" w:rsidRDefault="00C74D13" w:rsidP="007F7A44">
      <w:pPr>
        <w:pStyle w:val="Text"/>
        <w:numPr>
          <w:ilvl w:val="0"/>
          <w:numId w:val="6"/>
        </w:numPr>
        <w:spacing w:before="120" w:after="120" w:line="240" w:lineRule="atLeast"/>
        <w:ind w:left="714" w:hanging="357"/>
        <w:rPr>
          <w:lang w:val="en-US" w:eastAsia="ja-JP"/>
        </w:rPr>
      </w:pPr>
      <w:r w:rsidRPr="009F4A50">
        <w:rPr>
          <w:lang w:val="en-US" w:eastAsia="ja-JP"/>
        </w:rPr>
        <w:t xml:space="preserve">The </w:t>
      </w:r>
      <w:r w:rsidR="00621A06">
        <w:rPr>
          <w:lang w:eastAsia="ja-JP"/>
        </w:rPr>
        <w:t>property</w:t>
      </w:r>
      <w:r w:rsidRPr="009F4A50">
        <w:rPr>
          <w:lang w:val="en-US" w:eastAsia="ja-JP"/>
        </w:rPr>
        <w:t xml:space="preserve"> </w:t>
      </w:r>
      <w:r w:rsidR="00621A06">
        <w:rPr>
          <w:lang w:val="en-US" w:eastAsia="ja-JP"/>
        </w:rPr>
        <w:t xml:space="preserve">contains </w:t>
      </w:r>
      <w:r w:rsidR="00805375" w:rsidRPr="00C42673">
        <w:rPr>
          <w:lang w:val="en-US" w:eastAsia="ja-JP"/>
        </w:rPr>
        <w:t>69</w:t>
      </w:r>
      <w:r w:rsidR="00805375">
        <w:rPr>
          <w:lang w:val="en-US" w:eastAsia="ja-JP"/>
        </w:rPr>
        <w:t>,</w:t>
      </w:r>
      <w:r w:rsidR="00805375" w:rsidRPr="00C42673">
        <w:rPr>
          <w:lang w:val="en-US" w:eastAsia="ja-JP"/>
        </w:rPr>
        <w:t>153</w:t>
      </w:r>
      <w:r w:rsidR="00805375">
        <w:rPr>
          <w:lang w:val="en-US" w:eastAsia="ja-JP"/>
        </w:rPr>
        <w:t xml:space="preserve"> hectares </w:t>
      </w:r>
      <w:r w:rsidRPr="009F4A50">
        <w:rPr>
          <w:lang w:val="en-US" w:eastAsia="ja-JP"/>
        </w:rPr>
        <w:t xml:space="preserve">of mapped </w:t>
      </w:r>
      <w:r w:rsidR="00481548">
        <w:rPr>
          <w:lang w:val="en-US" w:eastAsia="ja-JP"/>
        </w:rPr>
        <w:t>geodiversity</w:t>
      </w:r>
      <w:r w:rsidRPr="009F4A50">
        <w:rPr>
          <w:lang w:val="en-US" w:eastAsia="ja-JP"/>
        </w:rPr>
        <w:t xml:space="preserve"> </w:t>
      </w:r>
      <w:r w:rsidRPr="007F7A44">
        <w:t>features</w:t>
      </w:r>
      <w:r w:rsidRPr="009F4A50">
        <w:rPr>
          <w:lang w:val="en-US" w:eastAsia="ja-JP"/>
        </w:rPr>
        <w:t xml:space="preserve"> that are classified as being of </w:t>
      </w:r>
      <w:r w:rsidR="00621A06">
        <w:rPr>
          <w:lang w:val="en-US" w:eastAsia="ja-JP"/>
        </w:rPr>
        <w:t>v</w:t>
      </w:r>
      <w:r w:rsidRPr="009F4A50">
        <w:rPr>
          <w:lang w:val="en-US" w:eastAsia="ja-JP"/>
        </w:rPr>
        <w:t xml:space="preserve">ery </w:t>
      </w:r>
      <w:r w:rsidR="00621A06">
        <w:rPr>
          <w:lang w:val="en-US" w:eastAsia="ja-JP"/>
        </w:rPr>
        <w:t>h</w:t>
      </w:r>
      <w:r w:rsidRPr="009F4A50">
        <w:rPr>
          <w:lang w:val="en-US" w:eastAsia="ja-JP"/>
        </w:rPr>
        <w:t>igh fire sensitivity (e.g.</w:t>
      </w:r>
      <w:r w:rsidR="009B656D" w:rsidRPr="009F4A50">
        <w:rPr>
          <w:lang w:val="en-US" w:eastAsia="ja-JP"/>
        </w:rPr>
        <w:t xml:space="preserve"> patterned peatlands, significant sand dunes and previously undisturbed catchments</w:t>
      </w:r>
      <w:r w:rsidRPr="009F4A50">
        <w:rPr>
          <w:lang w:val="en-US" w:eastAsia="ja-JP"/>
        </w:rPr>
        <w:t xml:space="preserve">). Approximately </w:t>
      </w:r>
      <w:r w:rsidR="009B656D" w:rsidRPr="009F4A50">
        <w:rPr>
          <w:lang w:val="en-US" w:eastAsia="ja-JP"/>
        </w:rPr>
        <w:t>1</w:t>
      </w:r>
      <w:r w:rsidRPr="009F4A50">
        <w:rPr>
          <w:lang w:val="en-US" w:eastAsia="ja-JP"/>
        </w:rPr>
        <w:t>.5</w:t>
      </w:r>
      <w:r w:rsidR="00621A06">
        <w:rPr>
          <w:lang w:val="en-US" w:eastAsia="ja-JP"/>
        </w:rPr>
        <w:t xml:space="preserve"> per cent</w:t>
      </w:r>
      <w:r w:rsidRPr="009F4A50">
        <w:rPr>
          <w:lang w:val="en-US" w:eastAsia="ja-JP"/>
        </w:rPr>
        <w:t xml:space="preserve"> of the </w:t>
      </w:r>
      <w:r w:rsidR="00621A06">
        <w:rPr>
          <w:lang w:val="en-US" w:eastAsia="ja-JP"/>
        </w:rPr>
        <w:t>v</w:t>
      </w:r>
      <w:r w:rsidRPr="009F4A50">
        <w:rPr>
          <w:lang w:val="en-US" w:eastAsia="ja-JP"/>
        </w:rPr>
        <w:t xml:space="preserve">ery </w:t>
      </w:r>
      <w:r w:rsidR="00621A06">
        <w:rPr>
          <w:lang w:val="en-US" w:eastAsia="ja-JP"/>
        </w:rPr>
        <w:t>h</w:t>
      </w:r>
      <w:r w:rsidRPr="009F4A50">
        <w:rPr>
          <w:lang w:val="en-US" w:eastAsia="ja-JP"/>
        </w:rPr>
        <w:t xml:space="preserve">igh fire sensitivity </w:t>
      </w:r>
      <w:r w:rsidR="009B656D" w:rsidRPr="009F4A50">
        <w:rPr>
          <w:lang w:val="en-US" w:eastAsia="ja-JP"/>
        </w:rPr>
        <w:t>geo features</w:t>
      </w:r>
      <w:r w:rsidRPr="009F4A50">
        <w:rPr>
          <w:lang w:val="en-US" w:eastAsia="ja-JP"/>
        </w:rPr>
        <w:t xml:space="preserve"> within the </w:t>
      </w:r>
      <w:r w:rsidR="00621A06">
        <w:rPr>
          <w:lang w:eastAsia="ja-JP"/>
        </w:rPr>
        <w:t>property</w:t>
      </w:r>
      <w:r w:rsidRPr="009F4A50">
        <w:rPr>
          <w:lang w:val="en-US" w:eastAsia="ja-JP"/>
        </w:rPr>
        <w:t xml:space="preserve"> </w:t>
      </w:r>
      <w:r w:rsidR="009B656D" w:rsidRPr="009F4A50">
        <w:rPr>
          <w:lang w:val="en-US" w:eastAsia="ja-JP"/>
        </w:rPr>
        <w:t>are</w:t>
      </w:r>
      <w:r w:rsidRPr="009F4A50">
        <w:rPr>
          <w:lang w:val="en-US" w:eastAsia="ja-JP"/>
        </w:rPr>
        <w:t xml:space="preserve"> within the </w:t>
      </w:r>
      <w:r w:rsidR="00805375">
        <w:rPr>
          <w:lang w:val="en-US" w:eastAsia="ja-JP"/>
        </w:rPr>
        <w:t xml:space="preserve">2019 </w:t>
      </w:r>
      <w:r w:rsidRPr="009F4A50">
        <w:rPr>
          <w:lang w:val="en-US" w:eastAsia="ja-JP"/>
        </w:rPr>
        <w:t>fire boundaries</w:t>
      </w:r>
      <w:r w:rsidR="000046CF">
        <w:rPr>
          <w:lang w:val="en-US" w:eastAsia="ja-JP"/>
        </w:rPr>
        <w:t>.</w:t>
      </w:r>
    </w:p>
    <w:p w14:paraId="5D0FCEF0" w14:textId="79E6F87E" w:rsidR="00377253" w:rsidRDefault="009B656D" w:rsidP="007F7A44">
      <w:pPr>
        <w:pStyle w:val="Text"/>
        <w:numPr>
          <w:ilvl w:val="0"/>
          <w:numId w:val="6"/>
        </w:numPr>
        <w:spacing w:before="120" w:after="120" w:line="240" w:lineRule="atLeast"/>
        <w:ind w:left="714" w:hanging="357"/>
        <w:rPr>
          <w:lang w:val="en-US" w:eastAsia="ja-JP"/>
        </w:rPr>
      </w:pPr>
      <w:r w:rsidRPr="009B656D">
        <w:rPr>
          <w:lang w:val="en-US" w:eastAsia="ja-JP"/>
        </w:rPr>
        <w:t xml:space="preserve">The </w:t>
      </w:r>
      <w:r w:rsidR="00621A06">
        <w:rPr>
          <w:lang w:eastAsia="ja-JP"/>
        </w:rPr>
        <w:t>property</w:t>
      </w:r>
      <w:r w:rsidR="00A26217" w:rsidRPr="00A26217">
        <w:rPr>
          <w:lang w:val="en-US" w:eastAsia="ja-JP"/>
        </w:rPr>
        <w:t xml:space="preserve"> </w:t>
      </w:r>
      <w:r w:rsidRPr="009F4A50">
        <w:rPr>
          <w:lang w:val="en-US" w:eastAsia="ja-JP"/>
        </w:rPr>
        <w:t xml:space="preserve">contains </w:t>
      </w:r>
      <w:r w:rsidR="00805375" w:rsidRPr="00C42673">
        <w:rPr>
          <w:lang w:val="en-US" w:eastAsia="ja-JP"/>
        </w:rPr>
        <w:t>447</w:t>
      </w:r>
      <w:r w:rsidR="00805375">
        <w:rPr>
          <w:lang w:val="en-US" w:eastAsia="ja-JP"/>
        </w:rPr>
        <w:t>,</w:t>
      </w:r>
      <w:r w:rsidR="00805375" w:rsidRPr="00C42673">
        <w:rPr>
          <w:lang w:val="en-US" w:eastAsia="ja-JP"/>
        </w:rPr>
        <w:t>874</w:t>
      </w:r>
      <w:r w:rsidR="00805375">
        <w:rPr>
          <w:lang w:val="en-US" w:eastAsia="ja-JP"/>
        </w:rPr>
        <w:t xml:space="preserve"> hectares</w:t>
      </w:r>
      <w:r w:rsidRPr="009F4A50">
        <w:rPr>
          <w:lang w:val="en-US" w:eastAsia="ja-JP"/>
        </w:rPr>
        <w:t xml:space="preserve"> of mapped </w:t>
      </w:r>
      <w:r w:rsidR="009D06CA">
        <w:rPr>
          <w:lang w:val="en-US" w:eastAsia="ja-JP"/>
        </w:rPr>
        <w:t>geodiversity</w:t>
      </w:r>
      <w:r w:rsidRPr="009F4A50">
        <w:rPr>
          <w:lang w:val="en-US" w:eastAsia="ja-JP"/>
        </w:rPr>
        <w:t xml:space="preserve"> features that are classified as being of </w:t>
      </w:r>
      <w:r w:rsidR="00621A06">
        <w:rPr>
          <w:lang w:val="en-US" w:eastAsia="ja-JP"/>
        </w:rPr>
        <w:t>h</w:t>
      </w:r>
      <w:r w:rsidRPr="009F4A50">
        <w:rPr>
          <w:lang w:val="en-US" w:eastAsia="ja-JP"/>
        </w:rPr>
        <w:t>igh fire sensitivity (e.g.</w:t>
      </w:r>
      <w:r>
        <w:rPr>
          <w:lang w:val="en-US" w:eastAsia="ja-JP"/>
        </w:rPr>
        <w:t xml:space="preserve"> peat mounds, karst areas, relict </w:t>
      </w:r>
      <w:proofErr w:type="spellStart"/>
      <w:r>
        <w:rPr>
          <w:lang w:val="en-US" w:eastAsia="ja-JP"/>
        </w:rPr>
        <w:t>aeolian</w:t>
      </w:r>
      <w:proofErr w:type="spellEnd"/>
      <w:r>
        <w:rPr>
          <w:lang w:val="en-US" w:eastAsia="ja-JP"/>
        </w:rPr>
        <w:t xml:space="preserve"> and periglacial features reflecting past climates</w:t>
      </w:r>
      <w:r w:rsidRPr="009F4A50">
        <w:rPr>
          <w:lang w:val="en-US" w:eastAsia="ja-JP"/>
        </w:rPr>
        <w:t>)</w:t>
      </w:r>
      <w:r>
        <w:rPr>
          <w:lang w:val="en-US" w:eastAsia="ja-JP"/>
        </w:rPr>
        <w:t>. Approximately 0.1</w:t>
      </w:r>
      <w:r w:rsidR="00621A06">
        <w:rPr>
          <w:lang w:val="en-US" w:eastAsia="ja-JP"/>
        </w:rPr>
        <w:t xml:space="preserve"> per cent</w:t>
      </w:r>
      <w:r>
        <w:rPr>
          <w:lang w:val="en-US" w:eastAsia="ja-JP"/>
        </w:rPr>
        <w:t xml:space="preserve"> </w:t>
      </w:r>
      <w:r w:rsidR="007C5236">
        <w:rPr>
          <w:lang w:val="en-US" w:eastAsia="ja-JP"/>
        </w:rPr>
        <w:t xml:space="preserve">of </w:t>
      </w:r>
      <w:r w:rsidR="00621A06">
        <w:rPr>
          <w:lang w:val="en-US" w:eastAsia="ja-JP"/>
        </w:rPr>
        <w:t>h</w:t>
      </w:r>
      <w:r w:rsidR="007C5236">
        <w:rPr>
          <w:lang w:val="en-US" w:eastAsia="ja-JP"/>
        </w:rPr>
        <w:t xml:space="preserve">igh fire sensitivity geo features within the </w:t>
      </w:r>
      <w:r w:rsidR="00621A06">
        <w:rPr>
          <w:lang w:val="en-US" w:eastAsia="ja-JP"/>
        </w:rPr>
        <w:t>property</w:t>
      </w:r>
      <w:r w:rsidR="007C5236">
        <w:rPr>
          <w:lang w:val="en-US" w:eastAsia="ja-JP"/>
        </w:rPr>
        <w:t xml:space="preserve"> are within the</w:t>
      </w:r>
      <w:r w:rsidR="00805375">
        <w:rPr>
          <w:lang w:val="en-US" w:eastAsia="ja-JP"/>
        </w:rPr>
        <w:t xml:space="preserve"> 2019</w:t>
      </w:r>
      <w:r w:rsidR="007C5236">
        <w:rPr>
          <w:lang w:val="en-US" w:eastAsia="ja-JP"/>
        </w:rPr>
        <w:t xml:space="preserve"> </w:t>
      </w:r>
      <w:r w:rsidR="007C5236" w:rsidRPr="0059625A">
        <w:rPr>
          <w:lang w:val="en-US" w:eastAsia="ja-JP"/>
        </w:rPr>
        <w:t>fire boundaries</w:t>
      </w:r>
      <w:r w:rsidR="007C5236">
        <w:rPr>
          <w:lang w:val="en-US" w:eastAsia="ja-JP"/>
        </w:rPr>
        <w:t>.</w:t>
      </w:r>
    </w:p>
    <w:p w14:paraId="4282AB26" w14:textId="16604816" w:rsidR="008B2544" w:rsidRPr="00805375" w:rsidRDefault="007C5236" w:rsidP="00FF381A">
      <w:pPr>
        <w:spacing w:before="170" w:after="0"/>
        <w:rPr>
          <w:lang w:val="en-US" w:eastAsia="ja-JP"/>
        </w:rPr>
      </w:pPr>
      <w:r>
        <w:rPr>
          <w:lang w:val="en-US" w:eastAsia="ja-JP"/>
        </w:rPr>
        <w:t>Targeted on-ground and aerial impact assessments confirmed that</w:t>
      </w:r>
      <w:r w:rsidR="00FD0D6C">
        <w:rPr>
          <w:lang w:val="en-US" w:eastAsia="ja-JP"/>
        </w:rPr>
        <w:t xml:space="preserve"> across the vast majority of the impacted area, </w:t>
      </w:r>
      <w:r>
        <w:rPr>
          <w:lang w:val="en-US" w:eastAsia="ja-JP"/>
        </w:rPr>
        <w:t xml:space="preserve">the disturbance created by fire is within the normal range and will not cause significant </w:t>
      </w:r>
      <w:r>
        <w:rPr>
          <w:lang w:val="en-US" w:eastAsia="ja-JP"/>
        </w:rPr>
        <w:lastRenderedPageBreak/>
        <w:t>degradation</w:t>
      </w:r>
      <w:r w:rsidR="009F4A50">
        <w:rPr>
          <w:lang w:val="en-US" w:eastAsia="ja-JP"/>
        </w:rPr>
        <w:t xml:space="preserve">. </w:t>
      </w:r>
      <w:r>
        <w:rPr>
          <w:lang w:val="en-US" w:eastAsia="ja-JP"/>
        </w:rPr>
        <w:t xml:space="preserve">However, there were several classes of </w:t>
      </w:r>
      <w:r w:rsidR="009F4A50">
        <w:rPr>
          <w:lang w:val="en-US" w:eastAsia="ja-JP"/>
        </w:rPr>
        <w:t>feature</w:t>
      </w:r>
      <w:r w:rsidR="00854CC4">
        <w:rPr>
          <w:lang w:val="en-US" w:eastAsia="ja-JP"/>
        </w:rPr>
        <w:t>s</w:t>
      </w:r>
      <w:r w:rsidR="009F4A50">
        <w:rPr>
          <w:lang w:val="en-US" w:eastAsia="ja-JP"/>
        </w:rPr>
        <w:t xml:space="preserve"> that suffered </w:t>
      </w:r>
      <w:r>
        <w:rPr>
          <w:lang w:val="en-US" w:eastAsia="ja-JP"/>
        </w:rPr>
        <w:t>significant damage at a local scale</w:t>
      </w:r>
      <w:r w:rsidR="009F4A50">
        <w:rPr>
          <w:lang w:val="en-US" w:eastAsia="ja-JP"/>
        </w:rPr>
        <w:t>, including</w:t>
      </w:r>
      <w:r>
        <w:rPr>
          <w:lang w:val="en-US" w:eastAsia="ja-JP"/>
        </w:rPr>
        <w:t xml:space="preserve"> organic soils, important karst areas,</w:t>
      </w:r>
      <w:r w:rsidR="009F4A50">
        <w:rPr>
          <w:lang w:val="en-US" w:eastAsia="ja-JP"/>
        </w:rPr>
        <w:t xml:space="preserve"> and</w:t>
      </w:r>
      <w:r>
        <w:rPr>
          <w:lang w:val="en-US" w:eastAsia="ja-JP"/>
        </w:rPr>
        <w:t xml:space="preserve"> one important high elevation sand</w:t>
      </w:r>
      <w:r w:rsidR="00534418">
        <w:rPr>
          <w:lang w:val="en-US" w:eastAsia="ja-JP"/>
        </w:rPr>
        <w:t xml:space="preserve"> dune</w:t>
      </w:r>
      <w:r>
        <w:rPr>
          <w:lang w:val="en-US" w:eastAsia="ja-JP"/>
        </w:rPr>
        <w:t xml:space="preserve">. </w:t>
      </w:r>
    </w:p>
    <w:p w14:paraId="29ECA21B" w14:textId="2CD7F39C" w:rsidR="00941916" w:rsidRDefault="007C5236" w:rsidP="00FF381A">
      <w:pPr>
        <w:spacing w:before="170" w:after="0"/>
        <w:rPr>
          <w:lang w:val="en-US" w:eastAsia="ja-JP"/>
        </w:rPr>
      </w:pPr>
      <w:r>
        <w:rPr>
          <w:lang w:val="en-US" w:eastAsia="ja-JP"/>
        </w:rPr>
        <w:t xml:space="preserve">Combustion of organic soils occurred as widespread </w:t>
      </w:r>
      <w:proofErr w:type="spellStart"/>
      <w:r>
        <w:rPr>
          <w:lang w:val="en-US" w:eastAsia="ja-JP"/>
        </w:rPr>
        <w:t>localised</w:t>
      </w:r>
      <w:proofErr w:type="spellEnd"/>
      <w:r>
        <w:rPr>
          <w:lang w:val="en-US" w:eastAsia="ja-JP"/>
        </w:rPr>
        <w:t xml:space="preserve"> pockets</w:t>
      </w:r>
      <w:r w:rsidR="009F4A50">
        <w:rPr>
          <w:lang w:val="en-US" w:eastAsia="ja-JP"/>
        </w:rPr>
        <w:t>, with the total impact impossible to quantify with the existing mapping. M</w:t>
      </w:r>
      <w:r>
        <w:rPr>
          <w:lang w:val="en-US" w:eastAsia="ja-JP"/>
        </w:rPr>
        <w:t xml:space="preserve">ore significant and widespread damage </w:t>
      </w:r>
      <w:r w:rsidR="009F4A50">
        <w:rPr>
          <w:lang w:val="en-US" w:eastAsia="ja-JP"/>
        </w:rPr>
        <w:t xml:space="preserve">occurred </w:t>
      </w:r>
      <w:r>
        <w:rPr>
          <w:lang w:val="en-US" w:eastAsia="ja-JP"/>
        </w:rPr>
        <w:t xml:space="preserve">to the sensitive alpine </w:t>
      </w:r>
      <w:r w:rsidR="009F4A50">
        <w:rPr>
          <w:lang w:val="en-US" w:eastAsia="ja-JP"/>
        </w:rPr>
        <w:t xml:space="preserve">organic </w:t>
      </w:r>
      <w:r>
        <w:rPr>
          <w:lang w:val="en-US" w:eastAsia="ja-JP"/>
        </w:rPr>
        <w:t>soils of the Central Plateau</w:t>
      </w:r>
      <w:r w:rsidR="009F4A50">
        <w:rPr>
          <w:lang w:val="en-US" w:eastAsia="ja-JP"/>
        </w:rPr>
        <w:t>, where a significant proportion of the soil was lost to fire, and the remnants are likel</w:t>
      </w:r>
      <w:r w:rsidR="00371ED0">
        <w:rPr>
          <w:lang w:val="en-US" w:eastAsia="ja-JP"/>
        </w:rPr>
        <w:t>y to suffer continuing erosion.</w:t>
      </w:r>
      <w:r w:rsidR="009F4A50">
        <w:rPr>
          <w:lang w:val="en-US" w:eastAsia="ja-JP"/>
        </w:rPr>
        <w:t xml:space="preserve"> In addition, </w:t>
      </w:r>
      <w:r>
        <w:rPr>
          <w:lang w:val="en-US" w:eastAsia="ja-JP"/>
        </w:rPr>
        <w:t>two fields of peat mounds in the Wanderer River Catchment</w:t>
      </w:r>
      <w:r w:rsidR="009F4A50">
        <w:rPr>
          <w:lang w:val="en-US" w:eastAsia="ja-JP"/>
        </w:rPr>
        <w:t xml:space="preserve"> suffered major peat loss, with some mounds losing over a </w:t>
      </w:r>
      <w:proofErr w:type="spellStart"/>
      <w:r w:rsidR="009F4A50">
        <w:rPr>
          <w:lang w:val="en-US" w:eastAsia="ja-JP"/>
        </w:rPr>
        <w:t>metre</w:t>
      </w:r>
      <w:proofErr w:type="spellEnd"/>
      <w:r w:rsidR="009F4A50">
        <w:rPr>
          <w:lang w:val="en-US" w:eastAsia="ja-JP"/>
        </w:rPr>
        <w:t xml:space="preserve"> of peat</w:t>
      </w:r>
      <w:r>
        <w:rPr>
          <w:lang w:val="en-US" w:eastAsia="ja-JP"/>
        </w:rPr>
        <w:t xml:space="preserve">. Globally </w:t>
      </w:r>
      <w:r w:rsidR="00534418">
        <w:rPr>
          <w:lang w:val="en-US" w:eastAsia="ja-JP"/>
        </w:rPr>
        <w:t>rare</w:t>
      </w:r>
      <w:r>
        <w:rPr>
          <w:lang w:val="en-US" w:eastAsia="ja-JP"/>
        </w:rPr>
        <w:t xml:space="preserve">, peat mounds are known from only one location </w:t>
      </w:r>
      <w:r w:rsidR="00534418">
        <w:rPr>
          <w:lang w:val="en-US" w:eastAsia="ja-JP"/>
        </w:rPr>
        <w:t xml:space="preserve">outside Tasmania. </w:t>
      </w:r>
      <w:r w:rsidR="009F4A50">
        <w:rPr>
          <w:lang w:val="en-US" w:eastAsia="ja-JP"/>
        </w:rPr>
        <w:t xml:space="preserve">Due to limitations of the available mapping, it is not yet possible to quantify the total losses of organic soils within the </w:t>
      </w:r>
      <w:r w:rsidR="001C608E">
        <w:rPr>
          <w:lang w:eastAsia="ja-JP"/>
        </w:rPr>
        <w:t>property</w:t>
      </w:r>
      <w:r w:rsidR="009F4A50">
        <w:rPr>
          <w:lang w:val="en-US" w:eastAsia="ja-JP"/>
        </w:rPr>
        <w:t>.</w:t>
      </w:r>
      <w:r w:rsidR="0029102A">
        <w:rPr>
          <w:lang w:val="en-US" w:eastAsia="ja-JP"/>
        </w:rPr>
        <w:t xml:space="preserve"> </w:t>
      </w:r>
    </w:p>
    <w:p w14:paraId="696231E3" w14:textId="77777777" w:rsidR="00283814" w:rsidRPr="007F7A44" w:rsidRDefault="00283814" w:rsidP="00FF381A">
      <w:pPr>
        <w:spacing w:before="170" w:after="0"/>
        <w:rPr>
          <w:u w:val="single"/>
          <w:lang w:val="en-US" w:eastAsia="ja-JP"/>
        </w:rPr>
      </w:pPr>
      <w:r w:rsidRPr="007F7A44">
        <w:rPr>
          <w:u w:val="single"/>
          <w:lang w:val="en-US" w:eastAsia="ja-JP"/>
        </w:rPr>
        <w:t xml:space="preserve">Building understanding and capacity in relation to fire </w:t>
      </w:r>
    </w:p>
    <w:p w14:paraId="7720C1C8" w14:textId="66DFF7C2" w:rsidR="0092502D" w:rsidRDefault="00283814" w:rsidP="00FF381A">
      <w:pPr>
        <w:spacing w:before="170" w:after="0"/>
        <w:rPr>
          <w:lang w:eastAsia="ja-JP"/>
        </w:rPr>
      </w:pPr>
      <w:r w:rsidRPr="00283814">
        <w:rPr>
          <w:lang w:eastAsia="ja-JP"/>
        </w:rPr>
        <w:t xml:space="preserve">The January 2016 fires created opportunities to learn about the interactions between fire, the natural environment and fire management. </w:t>
      </w:r>
      <w:r w:rsidR="0066718D" w:rsidRPr="00F626F1">
        <w:rPr>
          <w:lang w:val="en-US"/>
        </w:rPr>
        <w:t>An initial evaluation</w:t>
      </w:r>
      <w:r w:rsidR="0066718D" w:rsidRPr="00F626F1">
        <w:rPr>
          <w:lang w:val="en-US" w:eastAsia="ja-JP"/>
        </w:rPr>
        <w:t xml:space="preserve"> has been undertaken that </w:t>
      </w:r>
      <w:r w:rsidR="0066718D" w:rsidRPr="00F626F1">
        <w:rPr>
          <w:lang w:val="en-US"/>
        </w:rPr>
        <w:t>identified the risks that the 2018</w:t>
      </w:r>
      <w:r w:rsidR="0066718D" w:rsidRPr="00F626F1">
        <w:rPr>
          <w:lang w:val="en-US" w:eastAsia="ja-JP"/>
        </w:rPr>
        <w:noBreakHyphen/>
      </w:r>
      <w:r w:rsidR="0066718D" w:rsidRPr="00F626F1">
        <w:rPr>
          <w:lang w:val="en-US"/>
        </w:rPr>
        <w:t>19 fires pose to the values of the property during the 2019-20 fire season. This evaluation included infra-red scanning which will be ongoing to ensure risks are managed throughout the current fire season. The evaluation has</w:t>
      </w:r>
      <w:r w:rsidR="0066718D" w:rsidRPr="00F626F1">
        <w:rPr>
          <w:lang w:val="en-US" w:eastAsia="ja-JP"/>
        </w:rPr>
        <w:t xml:space="preserve"> </w:t>
      </w:r>
      <w:r w:rsidR="0066718D" w:rsidRPr="00F626F1">
        <w:rPr>
          <w:lang w:val="en-US"/>
        </w:rPr>
        <w:t xml:space="preserve">informed an action plan for the 2019-20 fire season that will assist in </w:t>
      </w:r>
      <w:proofErr w:type="spellStart"/>
      <w:r w:rsidR="0066718D" w:rsidRPr="00F626F1">
        <w:rPr>
          <w:lang w:val="en-US"/>
        </w:rPr>
        <w:t>prioritising</w:t>
      </w:r>
      <w:proofErr w:type="spellEnd"/>
      <w:r w:rsidR="0066718D" w:rsidRPr="00F626F1">
        <w:rPr>
          <w:lang w:val="en-US"/>
        </w:rPr>
        <w:t xml:space="preserve"> fire management resources.</w:t>
      </w:r>
    </w:p>
    <w:p w14:paraId="3EB6FA36" w14:textId="21601DE7" w:rsidR="0092502D" w:rsidRPr="0092502D" w:rsidRDefault="0092502D" w:rsidP="00FF381A">
      <w:pPr>
        <w:spacing w:before="170" w:after="0"/>
        <w:rPr>
          <w:lang w:eastAsia="ja-JP"/>
        </w:rPr>
      </w:pPr>
      <w:r w:rsidRPr="0092502D">
        <w:rPr>
          <w:lang w:eastAsia="ja-JP"/>
        </w:rPr>
        <w:t>An independent operational review of the management of the January 2016 Tasmanian fires</w:t>
      </w:r>
      <w:r>
        <w:rPr>
          <w:rStyle w:val="FootnoteReference"/>
          <w:lang w:eastAsia="ja-JP"/>
        </w:rPr>
        <w:footnoteReference w:id="5"/>
      </w:r>
      <w:r w:rsidRPr="0092502D">
        <w:rPr>
          <w:lang w:eastAsia="ja-JP"/>
        </w:rPr>
        <w:t xml:space="preserve"> </w:t>
      </w:r>
      <w:r w:rsidR="001F6632">
        <w:rPr>
          <w:lang w:eastAsia="ja-JP"/>
        </w:rPr>
        <w:t xml:space="preserve">by </w:t>
      </w:r>
      <w:r w:rsidR="001F6632" w:rsidRPr="00DE3FDF">
        <w:rPr>
          <w:lang w:eastAsia="ja-JP"/>
        </w:rPr>
        <w:t xml:space="preserve">Tasmanian fire agencies (the Tasmania Fire Service, </w:t>
      </w:r>
      <w:r w:rsidR="00A7216C">
        <w:rPr>
          <w:lang w:eastAsia="ja-JP"/>
        </w:rPr>
        <w:t>Tasmania</w:t>
      </w:r>
      <w:r w:rsidR="001F6632" w:rsidRPr="00DE3FDF">
        <w:rPr>
          <w:lang w:eastAsia="ja-JP"/>
        </w:rPr>
        <w:t xml:space="preserve"> P</w:t>
      </w:r>
      <w:r w:rsidR="00414EEC">
        <w:rPr>
          <w:lang w:eastAsia="ja-JP"/>
        </w:rPr>
        <w:t xml:space="preserve">arks and </w:t>
      </w:r>
      <w:r w:rsidR="001F6632">
        <w:rPr>
          <w:lang w:eastAsia="ja-JP"/>
        </w:rPr>
        <w:t>W</w:t>
      </w:r>
      <w:r w:rsidR="00414EEC">
        <w:rPr>
          <w:lang w:eastAsia="ja-JP"/>
        </w:rPr>
        <w:t xml:space="preserve">ildlife </w:t>
      </w:r>
      <w:r w:rsidR="001F6632">
        <w:rPr>
          <w:lang w:eastAsia="ja-JP"/>
        </w:rPr>
        <w:t>S</w:t>
      </w:r>
      <w:r w:rsidR="00414EEC">
        <w:rPr>
          <w:lang w:eastAsia="ja-JP"/>
        </w:rPr>
        <w:t>ervice</w:t>
      </w:r>
      <w:r w:rsidR="001F6632" w:rsidRPr="00DE3FDF">
        <w:rPr>
          <w:lang w:eastAsia="ja-JP"/>
        </w:rPr>
        <w:t xml:space="preserve"> and </w:t>
      </w:r>
      <w:r w:rsidR="001F6632">
        <w:rPr>
          <w:lang w:eastAsia="ja-JP"/>
        </w:rPr>
        <w:t xml:space="preserve">Forestry Tasmania) </w:t>
      </w:r>
      <w:r w:rsidRPr="0092502D">
        <w:rPr>
          <w:lang w:eastAsia="ja-JP"/>
        </w:rPr>
        <w:t xml:space="preserve">was produced by the Australasian Fire and Emergency Service Authorities Council at the request of the Tasmanian </w:t>
      </w:r>
      <w:r w:rsidR="001F6632">
        <w:rPr>
          <w:lang w:eastAsia="ja-JP"/>
        </w:rPr>
        <w:t>Government</w:t>
      </w:r>
      <w:r w:rsidR="00A7216C">
        <w:rPr>
          <w:lang w:eastAsia="ja-JP"/>
        </w:rPr>
        <w:t>.</w:t>
      </w:r>
      <w:r w:rsidRPr="0092502D">
        <w:rPr>
          <w:lang w:eastAsia="ja-JP"/>
        </w:rPr>
        <w:t xml:space="preserve"> These agencies understood that an event of the scale of the 2016 fires would produce examples of good practice to be followed in the future, as well as indicating points where progressive improvement could be applied to optimise future incident management. The report produced 12 recommendations aimed at improving incident response.  </w:t>
      </w:r>
    </w:p>
    <w:p w14:paraId="0CA9BA78" w14:textId="54749E9D" w:rsidR="00283814" w:rsidRDefault="0092502D" w:rsidP="00FF381A">
      <w:pPr>
        <w:spacing w:before="170" w:after="0"/>
        <w:rPr>
          <w:lang w:eastAsia="ja-JP"/>
        </w:rPr>
      </w:pPr>
      <w:r>
        <w:rPr>
          <w:lang w:eastAsia="ja-JP"/>
        </w:rPr>
        <w:t>Also in</w:t>
      </w:r>
      <w:r w:rsidR="00607D64" w:rsidRPr="00607D64">
        <w:rPr>
          <w:lang w:eastAsia="ja-JP"/>
        </w:rPr>
        <w:t xml:space="preserve"> response to the</w:t>
      </w:r>
      <w:r w:rsidR="00D45F62">
        <w:rPr>
          <w:lang w:eastAsia="ja-JP"/>
        </w:rPr>
        <w:t xml:space="preserve"> </w:t>
      </w:r>
      <w:r w:rsidR="00396F7D">
        <w:rPr>
          <w:lang w:eastAsia="ja-JP"/>
        </w:rPr>
        <w:t>2016 f</w:t>
      </w:r>
      <w:r w:rsidR="00396F7D" w:rsidRPr="00607D64">
        <w:rPr>
          <w:lang w:eastAsia="ja-JP"/>
        </w:rPr>
        <w:t>ires</w:t>
      </w:r>
      <w:r w:rsidR="00607D64" w:rsidRPr="00607D64">
        <w:rPr>
          <w:lang w:eastAsia="ja-JP"/>
        </w:rPr>
        <w:t xml:space="preserve">, the Tasmanian Government committed </w:t>
      </w:r>
      <w:r w:rsidR="008A7C80">
        <w:rPr>
          <w:lang w:eastAsia="ja-JP"/>
        </w:rPr>
        <w:t>AUD</w:t>
      </w:r>
      <w:r w:rsidR="009D77FA">
        <w:rPr>
          <w:lang w:eastAsia="ja-JP"/>
        </w:rPr>
        <w:t xml:space="preserve"> </w:t>
      </w:r>
      <w:r w:rsidR="00607D64" w:rsidRPr="00607D64">
        <w:rPr>
          <w:lang w:eastAsia="ja-JP"/>
        </w:rPr>
        <w:t xml:space="preserve">$250,000 for the </w:t>
      </w:r>
      <w:r w:rsidR="00396F7D" w:rsidRPr="00396F7D">
        <w:rPr>
          <w:lang w:val="en-US" w:eastAsia="ja-JP"/>
        </w:rPr>
        <w:t>Tasmanian Wilderness</w:t>
      </w:r>
      <w:r w:rsidR="00607D64" w:rsidRPr="00607D64">
        <w:rPr>
          <w:lang w:eastAsia="ja-JP"/>
        </w:rPr>
        <w:t xml:space="preserve"> Bushfire and Climate Change Research Project. This project investigated the impact of climate change on bushfire risk </w:t>
      </w:r>
      <w:r w:rsidR="00A26217">
        <w:rPr>
          <w:lang w:eastAsia="ja-JP"/>
        </w:rPr>
        <w:t xml:space="preserve">in </w:t>
      </w:r>
      <w:r w:rsidR="00607D64" w:rsidRPr="00607D64">
        <w:rPr>
          <w:lang w:eastAsia="ja-JP"/>
        </w:rPr>
        <w:t xml:space="preserve">the </w:t>
      </w:r>
      <w:r w:rsidR="008A7C80" w:rsidRPr="008A7C80">
        <w:rPr>
          <w:lang w:eastAsia="ja-JP"/>
        </w:rPr>
        <w:t>Tasmanian Wilderness World Heritage Area</w:t>
      </w:r>
      <w:r w:rsidR="00607D64" w:rsidRPr="00607D64">
        <w:rPr>
          <w:lang w:eastAsia="ja-JP"/>
        </w:rPr>
        <w:t xml:space="preserve"> and identified ways to improve bushfire preparation and response capacity. </w:t>
      </w:r>
    </w:p>
    <w:p w14:paraId="666340B1" w14:textId="5DB74BA7" w:rsidR="00607D64" w:rsidRPr="00283814" w:rsidRDefault="00D45F62" w:rsidP="00FF381A">
      <w:pPr>
        <w:spacing w:before="170" w:after="0"/>
        <w:rPr>
          <w:lang w:val="en-US" w:eastAsia="ja-JP"/>
        </w:rPr>
      </w:pPr>
      <w:r>
        <w:rPr>
          <w:lang w:val="en-US" w:eastAsia="ja-JP"/>
        </w:rPr>
        <w:t>I</w:t>
      </w:r>
      <w:r w:rsidR="00607D64" w:rsidRPr="00607D64">
        <w:rPr>
          <w:lang w:val="en-US" w:eastAsia="ja-JP"/>
        </w:rPr>
        <w:t>n 2017-18</w:t>
      </w:r>
      <w:r w:rsidR="0020692A">
        <w:rPr>
          <w:lang w:val="en-US" w:eastAsia="ja-JP"/>
        </w:rPr>
        <w:t>,</w:t>
      </w:r>
      <w:r w:rsidR="00607D64" w:rsidRPr="00607D64">
        <w:rPr>
          <w:lang w:val="en-US" w:eastAsia="ja-JP"/>
        </w:rPr>
        <w:t xml:space="preserve"> the Tasmanian Government committed </w:t>
      </w:r>
      <w:r w:rsidR="001C608E">
        <w:rPr>
          <w:lang w:val="en-US" w:eastAsia="ja-JP"/>
        </w:rPr>
        <w:t>AUD</w:t>
      </w:r>
      <w:r w:rsidR="009D77FA">
        <w:rPr>
          <w:lang w:val="en-US" w:eastAsia="ja-JP"/>
        </w:rPr>
        <w:t xml:space="preserve"> </w:t>
      </w:r>
      <w:r w:rsidR="00607D64" w:rsidRPr="00607D64">
        <w:rPr>
          <w:lang w:val="en-US" w:eastAsia="ja-JP"/>
        </w:rPr>
        <w:t xml:space="preserve">$2 million over a four year period to enable a number of fire related projects to be undertaken, many of which are associated specifically </w:t>
      </w:r>
      <w:r w:rsidR="00177CE7">
        <w:rPr>
          <w:lang w:val="en-US" w:eastAsia="ja-JP"/>
        </w:rPr>
        <w:t>with</w:t>
      </w:r>
      <w:r w:rsidR="00607D64" w:rsidRPr="00607D64">
        <w:rPr>
          <w:lang w:val="en-US" w:eastAsia="ja-JP"/>
        </w:rPr>
        <w:t xml:space="preserve"> the </w:t>
      </w:r>
      <w:r w:rsidR="001C608E">
        <w:t>property</w:t>
      </w:r>
      <w:r w:rsidR="00607D64" w:rsidRPr="00607D64">
        <w:rPr>
          <w:lang w:val="en-US" w:eastAsia="ja-JP"/>
        </w:rPr>
        <w:t xml:space="preserve">. </w:t>
      </w:r>
    </w:p>
    <w:p w14:paraId="08B5C1DC" w14:textId="055F6F8B" w:rsidR="00A413A0" w:rsidRPr="009849FA" w:rsidRDefault="00A413A0" w:rsidP="00FF381A">
      <w:pPr>
        <w:spacing w:before="170" w:after="0"/>
        <w:rPr>
          <w:lang w:eastAsia="ja-JP"/>
        </w:rPr>
      </w:pPr>
      <w:r w:rsidRPr="00A413A0">
        <w:rPr>
          <w:lang w:val="en-US" w:eastAsia="ja-JP"/>
        </w:rPr>
        <w:t>One of the key outputs of th</w:t>
      </w:r>
      <w:r w:rsidR="00987A5C">
        <w:rPr>
          <w:lang w:val="en-US" w:eastAsia="ja-JP"/>
        </w:rPr>
        <w:t>is</w:t>
      </w:r>
      <w:r w:rsidRPr="00A413A0">
        <w:rPr>
          <w:lang w:val="en-US" w:eastAsia="ja-JP"/>
        </w:rPr>
        <w:t xml:space="preserve"> work is the preparation of a comprehensive</w:t>
      </w:r>
      <w:r>
        <w:rPr>
          <w:lang w:val="en-US" w:eastAsia="ja-JP"/>
        </w:rPr>
        <w:t xml:space="preserve"> </w:t>
      </w:r>
      <w:r w:rsidR="00FD4A63" w:rsidRPr="00FD4A63">
        <w:rPr>
          <w:lang w:eastAsia="ja-JP"/>
        </w:rPr>
        <w:t xml:space="preserve">Tasmanian Wilderness World Heritage Area </w:t>
      </w:r>
      <w:r w:rsidRPr="009849FA">
        <w:rPr>
          <w:lang w:eastAsia="ja-JP"/>
        </w:rPr>
        <w:t>Fire Management Plan that will contain:</w:t>
      </w:r>
    </w:p>
    <w:p w14:paraId="3FDADC8E" w14:textId="46E34882" w:rsidR="00A413A0" w:rsidRPr="009849FA" w:rsidRDefault="00A413A0" w:rsidP="007F7A44">
      <w:pPr>
        <w:pStyle w:val="Text"/>
        <w:numPr>
          <w:ilvl w:val="0"/>
          <w:numId w:val="6"/>
        </w:numPr>
        <w:spacing w:before="120" w:after="120" w:line="240" w:lineRule="atLeast"/>
        <w:ind w:left="714" w:hanging="357"/>
        <w:rPr>
          <w:lang w:eastAsia="ja-JP"/>
        </w:rPr>
      </w:pPr>
      <w:r w:rsidRPr="009849FA">
        <w:rPr>
          <w:lang w:eastAsia="ja-JP"/>
        </w:rPr>
        <w:t xml:space="preserve">clear objectives for fire management in the </w:t>
      </w:r>
      <w:r w:rsidR="001C608E">
        <w:rPr>
          <w:lang w:eastAsia="ja-JP"/>
        </w:rPr>
        <w:t>property</w:t>
      </w:r>
    </w:p>
    <w:p w14:paraId="4A4BFFF0" w14:textId="18618C5B" w:rsidR="00A413A0" w:rsidRPr="009849FA" w:rsidRDefault="00A413A0" w:rsidP="007F7A44">
      <w:pPr>
        <w:pStyle w:val="Text"/>
        <w:numPr>
          <w:ilvl w:val="0"/>
          <w:numId w:val="6"/>
        </w:numPr>
        <w:spacing w:before="120" w:after="120" w:line="240" w:lineRule="atLeast"/>
        <w:ind w:left="714" w:hanging="357"/>
        <w:rPr>
          <w:lang w:eastAsia="ja-JP"/>
        </w:rPr>
      </w:pPr>
      <w:r w:rsidRPr="009849FA">
        <w:rPr>
          <w:lang w:eastAsia="ja-JP"/>
        </w:rPr>
        <w:t>clarity regarding circumstances in which priority will be given to protecting the Outstanding</w:t>
      </w:r>
      <w:r>
        <w:rPr>
          <w:lang w:eastAsia="ja-JP"/>
        </w:rPr>
        <w:t xml:space="preserve"> </w:t>
      </w:r>
      <w:r w:rsidRPr="007F7A44">
        <w:rPr>
          <w:lang w:val="en-US" w:eastAsia="ja-JP"/>
        </w:rPr>
        <w:t>Universal</w:t>
      </w:r>
      <w:r w:rsidRPr="009849FA">
        <w:rPr>
          <w:lang w:eastAsia="ja-JP"/>
        </w:rPr>
        <w:t xml:space="preserve"> Value of</w:t>
      </w:r>
      <w:r>
        <w:rPr>
          <w:lang w:eastAsia="ja-JP"/>
        </w:rPr>
        <w:t xml:space="preserve"> </w:t>
      </w:r>
      <w:r w:rsidRPr="009849FA">
        <w:rPr>
          <w:lang w:eastAsia="ja-JP"/>
        </w:rPr>
        <w:t xml:space="preserve">the </w:t>
      </w:r>
      <w:r w:rsidR="001C608E">
        <w:rPr>
          <w:lang w:eastAsia="ja-JP"/>
        </w:rPr>
        <w:t>property</w:t>
      </w:r>
      <w:r w:rsidR="008A7C80" w:rsidRPr="008A7C80">
        <w:rPr>
          <w:lang w:eastAsia="ja-JP"/>
        </w:rPr>
        <w:t xml:space="preserve"> </w:t>
      </w:r>
      <w:r w:rsidRPr="009849FA">
        <w:rPr>
          <w:lang w:eastAsia="ja-JP"/>
        </w:rPr>
        <w:t>over built assets</w:t>
      </w:r>
    </w:p>
    <w:p w14:paraId="60A6778C" w14:textId="7880ADEA" w:rsidR="00A413A0" w:rsidRPr="009849FA" w:rsidRDefault="00A413A0" w:rsidP="007F7A44">
      <w:pPr>
        <w:pStyle w:val="Text"/>
        <w:numPr>
          <w:ilvl w:val="0"/>
          <w:numId w:val="6"/>
        </w:numPr>
        <w:spacing w:before="120" w:after="120" w:line="240" w:lineRule="atLeast"/>
        <w:ind w:left="714" w:hanging="357"/>
        <w:rPr>
          <w:lang w:eastAsia="ja-JP"/>
        </w:rPr>
      </w:pPr>
      <w:r w:rsidRPr="009849FA">
        <w:rPr>
          <w:lang w:eastAsia="ja-JP"/>
        </w:rPr>
        <w:t>clear objectives for management</w:t>
      </w:r>
      <w:r>
        <w:rPr>
          <w:lang w:eastAsia="ja-JP"/>
        </w:rPr>
        <w:t xml:space="preserve"> burning in the </w:t>
      </w:r>
      <w:r w:rsidR="001C608E">
        <w:rPr>
          <w:lang w:eastAsia="ja-JP"/>
        </w:rPr>
        <w:t>property</w:t>
      </w:r>
      <w:r w:rsidRPr="009849FA">
        <w:rPr>
          <w:lang w:eastAsia="ja-JP"/>
        </w:rPr>
        <w:t xml:space="preserve">, including </w:t>
      </w:r>
      <w:r w:rsidR="008A7C80">
        <w:rPr>
          <w:lang w:eastAsia="ja-JP"/>
        </w:rPr>
        <w:t>I</w:t>
      </w:r>
      <w:r w:rsidRPr="009849FA">
        <w:rPr>
          <w:lang w:eastAsia="ja-JP"/>
        </w:rPr>
        <w:t>ndigenous burning practices</w:t>
      </w:r>
      <w:r>
        <w:rPr>
          <w:lang w:eastAsia="ja-JP"/>
        </w:rPr>
        <w:t xml:space="preserve"> </w:t>
      </w:r>
      <w:r w:rsidRPr="009849FA">
        <w:rPr>
          <w:lang w:eastAsia="ja-JP"/>
        </w:rPr>
        <w:t>and</w:t>
      </w:r>
    </w:p>
    <w:p w14:paraId="6D451C22" w14:textId="7B9CDE5E" w:rsidR="00A413A0" w:rsidRPr="009849FA" w:rsidRDefault="00A413A0" w:rsidP="007F7A44">
      <w:pPr>
        <w:pStyle w:val="Text"/>
        <w:numPr>
          <w:ilvl w:val="0"/>
          <w:numId w:val="6"/>
        </w:numPr>
        <w:spacing w:before="120" w:after="120" w:line="240" w:lineRule="atLeast"/>
        <w:ind w:left="714" w:hanging="357"/>
        <w:rPr>
          <w:lang w:eastAsia="ja-JP"/>
        </w:rPr>
      </w:pPr>
      <w:proofErr w:type="gramStart"/>
      <w:r w:rsidRPr="009849FA">
        <w:rPr>
          <w:lang w:eastAsia="ja-JP"/>
        </w:rPr>
        <w:t>a</w:t>
      </w:r>
      <w:proofErr w:type="gramEnd"/>
      <w:r w:rsidRPr="009849FA">
        <w:rPr>
          <w:lang w:eastAsia="ja-JP"/>
        </w:rPr>
        <w:t xml:space="preserve"> </w:t>
      </w:r>
      <w:r w:rsidRPr="007F7A44">
        <w:rPr>
          <w:lang w:val="en-US" w:eastAsia="ja-JP"/>
        </w:rPr>
        <w:t>framework</w:t>
      </w:r>
      <w:r w:rsidRPr="009849FA">
        <w:rPr>
          <w:lang w:eastAsia="ja-JP"/>
        </w:rPr>
        <w:t xml:space="preserve"> for monitoring impacts of bushfires and planned burns in the </w:t>
      </w:r>
      <w:r w:rsidR="001C608E">
        <w:rPr>
          <w:lang w:eastAsia="ja-JP"/>
        </w:rPr>
        <w:t>property</w:t>
      </w:r>
      <w:r w:rsidRPr="009849FA">
        <w:rPr>
          <w:lang w:eastAsia="ja-JP"/>
        </w:rPr>
        <w:t>.</w:t>
      </w:r>
    </w:p>
    <w:p w14:paraId="0F55423C" w14:textId="58219F40" w:rsidR="00987A5C" w:rsidRDefault="007D1D44" w:rsidP="00FF381A">
      <w:pPr>
        <w:spacing w:before="170" w:after="0"/>
        <w:rPr>
          <w:lang w:val="en-US" w:eastAsia="ja-JP"/>
        </w:rPr>
      </w:pPr>
      <w:r>
        <w:rPr>
          <w:lang w:val="en-US" w:eastAsia="ja-JP"/>
        </w:rPr>
        <w:lastRenderedPageBreak/>
        <w:t>T</w:t>
      </w:r>
      <w:r w:rsidR="00A413A0">
        <w:rPr>
          <w:lang w:val="en-US" w:eastAsia="ja-JP"/>
        </w:rPr>
        <w:t xml:space="preserve">he </w:t>
      </w:r>
      <w:r w:rsidR="00A413A0" w:rsidRPr="00A413A0">
        <w:rPr>
          <w:lang w:val="en-US" w:eastAsia="ja-JP"/>
        </w:rPr>
        <w:t xml:space="preserve">manual </w:t>
      </w:r>
      <w:r w:rsidR="00A413A0" w:rsidRPr="00A413A0">
        <w:rPr>
          <w:i/>
          <w:lang w:val="en-US" w:eastAsia="ja-JP"/>
        </w:rPr>
        <w:t>Fire Operations in Tasmania's Parks and Reserves</w:t>
      </w:r>
      <w:r w:rsidR="00A413A0" w:rsidRPr="00A413A0">
        <w:rPr>
          <w:lang w:val="en-US" w:eastAsia="ja-JP"/>
        </w:rPr>
        <w:t xml:space="preserve"> </w:t>
      </w:r>
      <w:r>
        <w:rPr>
          <w:lang w:val="en-US" w:eastAsia="ja-JP"/>
        </w:rPr>
        <w:t>was also prepared</w:t>
      </w:r>
      <w:r w:rsidRPr="00A413A0">
        <w:rPr>
          <w:lang w:val="en-US" w:eastAsia="ja-JP"/>
        </w:rPr>
        <w:t xml:space="preserve"> under this program</w:t>
      </w:r>
      <w:r>
        <w:rPr>
          <w:lang w:val="en-US" w:eastAsia="ja-JP"/>
        </w:rPr>
        <w:t xml:space="preserve">. This document </w:t>
      </w:r>
      <w:r w:rsidR="00A413A0" w:rsidRPr="00A413A0">
        <w:rPr>
          <w:lang w:val="en-US" w:eastAsia="ja-JP"/>
        </w:rPr>
        <w:t xml:space="preserve">guides </w:t>
      </w:r>
      <w:r>
        <w:rPr>
          <w:lang w:val="en-US" w:eastAsia="ja-JP"/>
        </w:rPr>
        <w:t>strategic</w:t>
      </w:r>
      <w:r w:rsidRPr="00A413A0">
        <w:rPr>
          <w:lang w:val="en-US" w:eastAsia="ja-JP"/>
        </w:rPr>
        <w:t xml:space="preserve"> </w:t>
      </w:r>
      <w:r w:rsidR="00A413A0" w:rsidRPr="00A413A0">
        <w:rPr>
          <w:lang w:val="en-US" w:eastAsia="ja-JP"/>
        </w:rPr>
        <w:t>planning and tactics</w:t>
      </w:r>
      <w:r w:rsidR="00C277F1">
        <w:rPr>
          <w:lang w:val="en-US" w:eastAsia="ja-JP"/>
        </w:rPr>
        <w:t xml:space="preserve"> for fire </w:t>
      </w:r>
      <w:r w:rsidR="00FA0E5C">
        <w:rPr>
          <w:lang w:val="en-US" w:eastAsia="ja-JP"/>
        </w:rPr>
        <w:t>operations</w:t>
      </w:r>
      <w:r w:rsidR="00C277F1">
        <w:rPr>
          <w:lang w:val="en-US" w:eastAsia="ja-JP"/>
        </w:rPr>
        <w:t xml:space="preserve"> and details factors such as the</w:t>
      </w:r>
      <w:r w:rsidR="00A413A0" w:rsidRPr="00A413A0">
        <w:rPr>
          <w:lang w:val="en-US" w:eastAsia="ja-JP"/>
        </w:rPr>
        <w:t xml:space="preserve"> conditions under which earthmoving machinery and chemical suppression may be used</w:t>
      </w:r>
      <w:r w:rsidR="00C277F1">
        <w:rPr>
          <w:lang w:val="en-US" w:eastAsia="ja-JP"/>
        </w:rPr>
        <w:t xml:space="preserve">. It also outlines </w:t>
      </w:r>
      <w:r w:rsidR="00A413A0" w:rsidRPr="00A413A0">
        <w:rPr>
          <w:lang w:val="en-US" w:eastAsia="ja-JP"/>
        </w:rPr>
        <w:t xml:space="preserve">procedures for reserve value identification, environmental risk management and biosecurity protection. </w:t>
      </w:r>
      <w:r w:rsidR="00C277F1">
        <w:rPr>
          <w:lang w:val="en-US" w:eastAsia="ja-JP"/>
        </w:rPr>
        <w:t>The manual</w:t>
      </w:r>
      <w:r w:rsidR="00A413A0" w:rsidRPr="00A413A0">
        <w:rPr>
          <w:lang w:val="en-US" w:eastAsia="ja-JP"/>
        </w:rPr>
        <w:t xml:space="preserve"> was used</w:t>
      </w:r>
      <w:r w:rsidR="00A413A0">
        <w:rPr>
          <w:lang w:val="en-US" w:eastAsia="ja-JP"/>
        </w:rPr>
        <w:t xml:space="preserve"> in the 2019 fires</w:t>
      </w:r>
      <w:r w:rsidR="00A413A0" w:rsidRPr="00A413A0">
        <w:rPr>
          <w:lang w:val="en-US" w:eastAsia="ja-JP"/>
        </w:rPr>
        <w:t xml:space="preserve"> to</w:t>
      </w:r>
      <w:r w:rsidR="00A413A0">
        <w:rPr>
          <w:lang w:val="en-US" w:eastAsia="ja-JP"/>
        </w:rPr>
        <w:t xml:space="preserve"> </w:t>
      </w:r>
      <w:r w:rsidR="00A413A0" w:rsidRPr="00987A5C">
        <w:rPr>
          <w:lang w:val="en-US" w:eastAsia="ja-JP"/>
        </w:rPr>
        <w:t xml:space="preserve">induct firefighters from interstate and </w:t>
      </w:r>
      <w:r w:rsidR="00987A5C" w:rsidRPr="00987A5C">
        <w:rPr>
          <w:lang w:val="en-US" w:eastAsia="ja-JP"/>
        </w:rPr>
        <w:t xml:space="preserve">overseas. </w:t>
      </w:r>
    </w:p>
    <w:p w14:paraId="54DAB144" w14:textId="2EC5332E" w:rsidR="00987A5C" w:rsidRDefault="00ED374D" w:rsidP="00FF381A">
      <w:pPr>
        <w:spacing w:before="170" w:after="0"/>
        <w:rPr>
          <w:lang w:val="en-US" w:eastAsia="ja-JP"/>
        </w:rPr>
      </w:pPr>
      <w:r>
        <w:rPr>
          <w:lang w:val="en-US" w:eastAsia="ja-JP"/>
        </w:rPr>
        <w:t xml:space="preserve">Tasmania </w:t>
      </w:r>
      <w:r w:rsidR="00A413A0" w:rsidRPr="00987A5C">
        <w:rPr>
          <w:lang w:val="en-US" w:eastAsia="ja-JP"/>
        </w:rPr>
        <w:t xml:space="preserve">Parks and Wildlife </w:t>
      </w:r>
      <w:r w:rsidR="00987A5C" w:rsidRPr="00987A5C">
        <w:rPr>
          <w:lang w:val="en-US" w:eastAsia="ja-JP"/>
        </w:rPr>
        <w:t>Service</w:t>
      </w:r>
      <w:r w:rsidR="00A413A0" w:rsidRPr="00987A5C">
        <w:rPr>
          <w:lang w:val="en-US" w:eastAsia="ja-JP"/>
        </w:rPr>
        <w:t xml:space="preserve"> </w:t>
      </w:r>
      <w:r w:rsidR="00987A5C">
        <w:rPr>
          <w:lang w:val="en-US" w:eastAsia="ja-JP"/>
        </w:rPr>
        <w:t xml:space="preserve">is </w:t>
      </w:r>
      <w:r w:rsidR="00A413A0" w:rsidRPr="00987A5C">
        <w:rPr>
          <w:lang w:val="en-US" w:eastAsia="ja-JP"/>
        </w:rPr>
        <w:t>enhancing risk assessment tools</w:t>
      </w:r>
      <w:r w:rsidR="0020692A">
        <w:rPr>
          <w:lang w:val="en-US" w:eastAsia="ja-JP"/>
        </w:rPr>
        <w:t>,</w:t>
      </w:r>
      <w:r w:rsidR="00A413A0" w:rsidRPr="00987A5C">
        <w:rPr>
          <w:lang w:val="en-US" w:eastAsia="ja-JP"/>
        </w:rPr>
        <w:t xml:space="preserve"> including</w:t>
      </w:r>
      <w:r w:rsidR="00987A5C">
        <w:rPr>
          <w:lang w:val="en-US" w:eastAsia="ja-JP"/>
        </w:rPr>
        <w:t>:</w:t>
      </w:r>
    </w:p>
    <w:p w14:paraId="64CF63C1" w14:textId="77777777" w:rsidR="00A413A0" w:rsidRPr="007F7A44" w:rsidRDefault="00FE4730" w:rsidP="007F7A44">
      <w:pPr>
        <w:pStyle w:val="Text"/>
        <w:numPr>
          <w:ilvl w:val="0"/>
          <w:numId w:val="6"/>
        </w:numPr>
        <w:spacing w:before="120" w:after="120" w:line="240" w:lineRule="atLeast"/>
        <w:ind w:left="714" w:hanging="357"/>
        <w:rPr>
          <w:lang w:eastAsia="ja-JP"/>
        </w:rPr>
      </w:pPr>
      <w:proofErr w:type="gramStart"/>
      <w:r>
        <w:rPr>
          <w:lang w:val="en-US" w:eastAsia="ja-JP"/>
        </w:rPr>
        <w:t>development</w:t>
      </w:r>
      <w:proofErr w:type="gramEnd"/>
      <w:r>
        <w:rPr>
          <w:lang w:val="en-US" w:eastAsia="ja-JP"/>
        </w:rPr>
        <w:t xml:space="preserve"> of a</w:t>
      </w:r>
      <w:r w:rsidR="00A413A0" w:rsidRPr="00987A5C">
        <w:rPr>
          <w:lang w:val="en-US" w:eastAsia="ja-JP"/>
        </w:rPr>
        <w:t xml:space="preserve"> Bushfire Risk Assessment Model and </w:t>
      </w:r>
      <w:r>
        <w:rPr>
          <w:lang w:val="en-US" w:eastAsia="ja-JP"/>
        </w:rPr>
        <w:t xml:space="preserve">a </w:t>
      </w:r>
      <w:r w:rsidR="00A413A0" w:rsidRPr="00987A5C">
        <w:rPr>
          <w:lang w:val="en-US" w:eastAsia="ja-JP"/>
        </w:rPr>
        <w:t>Bushfire Operational Hazard Model</w:t>
      </w:r>
      <w:r w:rsidR="00987A5C" w:rsidRPr="00987A5C">
        <w:rPr>
          <w:lang w:val="en-US" w:eastAsia="ja-JP"/>
        </w:rPr>
        <w:t xml:space="preserve">. </w:t>
      </w:r>
      <w:r w:rsidR="00987A5C" w:rsidRPr="007F7A44">
        <w:rPr>
          <w:lang w:eastAsia="ja-JP"/>
        </w:rPr>
        <w:t xml:space="preserve">These will </w:t>
      </w:r>
      <w:r w:rsidR="00A413A0" w:rsidRPr="007F7A44">
        <w:rPr>
          <w:lang w:eastAsia="ja-JP"/>
        </w:rPr>
        <w:t>be used to determine long-term resourcing requirements</w:t>
      </w:r>
      <w:r w:rsidR="00987A5C" w:rsidRPr="007F7A44">
        <w:rPr>
          <w:lang w:eastAsia="ja-JP"/>
        </w:rPr>
        <w:t xml:space="preserve"> </w:t>
      </w:r>
      <w:r w:rsidR="00A413A0" w:rsidRPr="007F7A44">
        <w:rPr>
          <w:lang w:eastAsia="ja-JP"/>
        </w:rPr>
        <w:t>based on climate change forecasts</w:t>
      </w:r>
    </w:p>
    <w:p w14:paraId="0332CC18" w14:textId="79B90C93" w:rsidR="00A413A0" w:rsidRPr="007F7A44" w:rsidRDefault="00A413A0" w:rsidP="007F7A44">
      <w:pPr>
        <w:pStyle w:val="Text"/>
        <w:numPr>
          <w:ilvl w:val="0"/>
          <w:numId w:val="6"/>
        </w:numPr>
        <w:spacing w:before="120" w:after="120" w:line="240" w:lineRule="atLeast"/>
        <w:ind w:left="714" w:hanging="357"/>
        <w:rPr>
          <w:lang w:eastAsia="ja-JP"/>
        </w:rPr>
      </w:pPr>
      <w:r w:rsidRPr="007F7A44">
        <w:rPr>
          <w:lang w:eastAsia="ja-JP"/>
        </w:rPr>
        <w:t>revising mapping of alpine and other fire sensitive vegetation communities</w:t>
      </w:r>
      <w:r w:rsidR="00987A5C" w:rsidRPr="007F7A44">
        <w:rPr>
          <w:lang w:eastAsia="ja-JP"/>
        </w:rPr>
        <w:t xml:space="preserve"> </w:t>
      </w:r>
      <w:r w:rsidRPr="007F7A44">
        <w:rPr>
          <w:lang w:eastAsia="ja-JP"/>
        </w:rPr>
        <w:t xml:space="preserve">in the </w:t>
      </w:r>
      <w:r w:rsidR="001C608E">
        <w:rPr>
          <w:lang w:eastAsia="ja-JP"/>
        </w:rPr>
        <w:t>property</w:t>
      </w:r>
      <w:r w:rsidRPr="007F7A44">
        <w:rPr>
          <w:lang w:eastAsia="ja-JP"/>
        </w:rPr>
        <w:t>, informed by improved resolution imagery and information gathered by aerial</w:t>
      </w:r>
      <w:r w:rsidR="00987A5C" w:rsidRPr="007F7A44">
        <w:rPr>
          <w:lang w:eastAsia="ja-JP"/>
        </w:rPr>
        <w:t xml:space="preserve"> </w:t>
      </w:r>
      <w:r w:rsidRPr="007F7A44">
        <w:rPr>
          <w:lang w:eastAsia="ja-JP"/>
        </w:rPr>
        <w:t xml:space="preserve">reconnaissance </w:t>
      </w:r>
      <w:r w:rsidR="00465172" w:rsidRPr="007F7A44">
        <w:rPr>
          <w:lang w:eastAsia="ja-JP"/>
        </w:rPr>
        <w:t xml:space="preserve">during </w:t>
      </w:r>
      <w:r w:rsidRPr="007F7A44">
        <w:rPr>
          <w:lang w:eastAsia="ja-JP"/>
        </w:rPr>
        <w:t>th</w:t>
      </w:r>
      <w:r w:rsidR="00987A5C" w:rsidRPr="007F7A44">
        <w:rPr>
          <w:lang w:eastAsia="ja-JP"/>
        </w:rPr>
        <w:t xml:space="preserve">e 2019 </w:t>
      </w:r>
      <w:r w:rsidRPr="007F7A44">
        <w:rPr>
          <w:lang w:eastAsia="ja-JP"/>
        </w:rPr>
        <w:t>fire season</w:t>
      </w:r>
    </w:p>
    <w:p w14:paraId="4ECC5430" w14:textId="4B244D5A" w:rsidR="00987A5C" w:rsidRPr="00987A5C" w:rsidRDefault="00A413A0" w:rsidP="007F7A44">
      <w:pPr>
        <w:pStyle w:val="Text"/>
        <w:numPr>
          <w:ilvl w:val="0"/>
          <w:numId w:val="6"/>
        </w:numPr>
        <w:spacing w:before="120" w:after="120" w:line="240" w:lineRule="atLeast"/>
        <w:ind w:left="714" w:hanging="357"/>
        <w:rPr>
          <w:lang w:val="en-US" w:eastAsia="ja-JP"/>
        </w:rPr>
      </w:pPr>
      <w:proofErr w:type="gramStart"/>
      <w:r w:rsidRPr="007F7A44">
        <w:rPr>
          <w:lang w:eastAsia="ja-JP"/>
        </w:rPr>
        <w:t>undertaking</w:t>
      </w:r>
      <w:proofErr w:type="gramEnd"/>
      <w:r w:rsidRPr="00987A5C">
        <w:rPr>
          <w:lang w:val="en-US" w:eastAsia="ja-JP"/>
        </w:rPr>
        <w:t xml:space="preserve"> ongoing rehabilitation trials in areas of the </w:t>
      </w:r>
      <w:r w:rsidR="001C608E">
        <w:rPr>
          <w:lang w:eastAsia="ja-JP"/>
        </w:rPr>
        <w:t>property</w:t>
      </w:r>
      <w:r w:rsidRPr="00987A5C">
        <w:rPr>
          <w:lang w:val="en-US" w:eastAsia="ja-JP"/>
        </w:rPr>
        <w:t>that were impacted by the 2016</w:t>
      </w:r>
      <w:r w:rsidR="00987A5C" w:rsidRPr="00987A5C">
        <w:rPr>
          <w:lang w:val="en-US" w:eastAsia="ja-JP"/>
        </w:rPr>
        <w:t xml:space="preserve"> </w:t>
      </w:r>
      <w:r w:rsidRPr="00987A5C">
        <w:rPr>
          <w:lang w:val="en-US" w:eastAsia="ja-JP"/>
        </w:rPr>
        <w:t>fires.</w:t>
      </w:r>
      <w:r w:rsidR="00987A5C" w:rsidRPr="00987A5C">
        <w:rPr>
          <w:lang w:val="en-US" w:eastAsia="ja-JP"/>
        </w:rPr>
        <w:t xml:space="preserve"> </w:t>
      </w:r>
    </w:p>
    <w:p w14:paraId="0FC69A5F" w14:textId="4AC3CCE2" w:rsidR="00CA4CE8" w:rsidRDefault="002F7EE3" w:rsidP="00FF381A">
      <w:pPr>
        <w:spacing w:before="170" w:after="0"/>
        <w:rPr>
          <w:lang w:eastAsia="ja-JP"/>
        </w:rPr>
      </w:pPr>
      <w:r w:rsidRPr="002F7EE3">
        <w:rPr>
          <w:lang w:eastAsia="ja-JP"/>
        </w:rPr>
        <w:t xml:space="preserve">An additional </w:t>
      </w:r>
      <w:r w:rsidR="00ED374D">
        <w:rPr>
          <w:lang w:eastAsia="ja-JP"/>
        </w:rPr>
        <w:t>AUD</w:t>
      </w:r>
      <w:r w:rsidR="009D77FA">
        <w:rPr>
          <w:lang w:eastAsia="ja-JP"/>
        </w:rPr>
        <w:t xml:space="preserve"> </w:t>
      </w:r>
      <w:r w:rsidRPr="002F7EE3">
        <w:rPr>
          <w:lang w:eastAsia="ja-JP"/>
        </w:rPr>
        <w:t xml:space="preserve">$2 million </w:t>
      </w:r>
      <w:r>
        <w:rPr>
          <w:lang w:eastAsia="ja-JP"/>
        </w:rPr>
        <w:t>has been</w:t>
      </w:r>
      <w:r w:rsidRPr="002F7EE3">
        <w:rPr>
          <w:lang w:eastAsia="ja-JP"/>
        </w:rPr>
        <w:t xml:space="preserve"> dedicated to funding a </w:t>
      </w:r>
      <w:r>
        <w:rPr>
          <w:lang w:eastAsia="ja-JP"/>
        </w:rPr>
        <w:t>Tasmania-wide</w:t>
      </w:r>
      <w:r w:rsidRPr="002F7EE3">
        <w:rPr>
          <w:lang w:eastAsia="ja-JP"/>
        </w:rPr>
        <w:t xml:space="preserve"> Fuel Reduction Program. </w:t>
      </w:r>
      <w:r w:rsidR="00ED374D">
        <w:rPr>
          <w:lang w:eastAsia="ja-JP"/>
        </w:rPr>
        <w:t xml:space="preserve">Tasmania </w:t>
      </w:r>
      <w:r w:rsidRPr="002F7EE3">
        <w:rPr>
          <w:lang w:eastAsia="ja-JP"/>
        </w:rPr>
        <w:t>P</w:t>
      </w:r>
      <w:r>
        <w:rPr>
          <w:lang w:eastAsia="ja-JP"/>
        </w:rPr>
        <w:t>arks and Wildlife Service</w:t>
      </w:r>
      <w:r w:rsidR="00CA4CE8">
        <w:rPr>
          <w:lang w:eastAsia="ja-JP"/>
        </w:rPr>
        <w:t xml:space="preserve"> has</w:t>
      </w:r>
      <w:r>
        <w:rPr>
          <w:lang w:eastAsia="ja-JP"/>
        </w:rPr>
        <w:t xml:space="preserve"> increase</w:t>
      </w:r>
      <w:r w:rsidR="00465172">
        <w:rPr>
          <w:lang w:eastAsia="ja-JP"/>
        </w:rPr>
        <w:t>d</w:t>
      </w:r>
      <w:r>
        <w:rPr>
          <w:lang w:eastAsia="ja-JP"/>
        </w:rPr>
        <w:t xml:space="preserve"> </w:t>
      </w:r>
      <w:r w:rsidR="00CA4CE8">
        <w:rPr>
          <w:lang w:eastAsia="ja-JP"/>
        </w:rPr>
        <w:t xml:space="preserve">the number of fire management </w:t>
      </w:r>
      <w:r>
        <w:rPr>
          <w:lang w:eastAsia="ja-JP"/>
        </w:rPr>
        <w:t xml:space="preserve">staff </w:t>
      </w:r>
      <w:r w:rsidR="00CA4CE8">
        <w:rPr>
          <w:lang w:eastAsia="ja-JP"/>
        </w:rPr>
        <w:t xml:space="preserve">to </w:t>
      </w:r>
      <w:r>
        <w:rPr>
          <w:lang w:eastAsia="ja-JP"/>
        </w:rPr>
        <w:t>conduct</w:t>
      </w:r>
      <w:r w:rsidRPr="002F7EE3">
        <w:rPr>
          <w:lang w:eastAsia="ja-JP"/>
        </w:rPr>
        <w:t xml:space="preserve"> fuel reduction burns in, and adjacent to</w:t>
      </w:r>
      <w:r w:rsidR="0020692A">
        <w:rPr>
          <w:lang w:eastAsia="ja-JP"/>
        </w:rPr>
        <w:t>,</w:t>
      </w:r>
      <w:r w:rsidRPr="002F7EE3">
        <w:rPr>
          <w:lang w:eastAsia="ja-JP"/>
        </w:rPr>
        <w:t xml:space="preserve"> the </w:t>
      </w:r>
      <w:r w:rsidR="001C608E">
        <w:rPr>
          <w:lang w:eastAsia="ja-JP"/>
        </w:rPr>
        <w:t>property</w:t>
      </w:r>
      <w:r w:rsidR="00CA4CE8">
        <w:rPr>
          <w:lang w:eastAsia="ja-JP"/>
        </w:rPr>
        <w:t xml:space="preserve">. These </w:t>
      </w:r>
      <w:r w:rsidR="00CA4CE8" w:rsidRPr="002F7EE3">
        <w:rPr>
          <w:lang w:eastAsia="ja-JP"/>
        </w:rPr>
        <w:t xml:space="preserve">burns </w:t>
      </w:r>
      <w:r w:rsidR="00CA4CE8">
        <w:rPr>
          <w:lang w:eastAsia="ja-JP"/>
        </w:rPr>
        <w:t xml:space="preserve">have </w:t>
      </w:r>
      <w:r w:rsidR="00CA4CE8" w:rsidRPr="002F7EE3">
        <w:rPr>
          <w:lang w:eastAsia="ja-JP"/>
        </w:rPr>
        <w:t>slow</w:t>
      </w:r>
      <w:r w:rsidR="00CA4CE8">
        <w:rPr>
          <w:lang w:eastAsia="ja-JP"/>
        </w:rPr>
        <w:t>ed the progress of wild</w:t>
      </w:r>
      <w:r w:rsidR="00CA4CE8" w:rsidRPr="002F7EE3">
        <w:rPr>
          <w:lang w:eastAsia="ja-JP"/>
        </w:rPr>
        <w:t xml:space="preserve">fires, particularly in the western parts </w:t>
      </w:r>
      <w:r w:rsidR="00CA4CE8">
        <w:rPr>
          <w:lang w:eastAsia="ja-JP"/>
        </w:rPr>
        <w:t xml:space="preserve">of the </w:t>
      </w:r>
      <w:r w:rsidR="001C608E">
        <w:rPr>
          <w:lang w:eastAsia="ja-JP"/>
        </w:rPr>
        <w:t>property</w:t>
      </w:r>
      <w:r w:rsidR="0020692A">
        <w:rPr>
          <w:lang w:eastAsia="ja-JP"/>
        </w:rPr>
        <w:t>,</w:t>
      </w:r>
      <w:r w:rsidR="00A26217">
        <w:rPr>
          <w:lang w:eastAsia="ja-JP"/>
        </w:rPr>
        <w:t xml:space="preserve"> </w:t>
      </w:r>
      <w:r w:rsidR="000858E9" w:rsidRPr="002F7EE3">
        <w:rPr>
          <w:lang w:eastAsia="ja-JP"/>
        </w:rPr>
        <w:t>and</w:t>
      </w:r>
      <w:r w:rsidR="00CA4CE8">
        <w:rPr>
          <w:lang w:eastAsia="ja-JP"/>
        </w:rPr>
        <w:t xml:space="preserve"> will help </w:t>
      </w:r>
      <w:r w:rsidRPr="002F7EE3">
        <w:rPr>
          <w:lang w:eastAsia="ja-JP"/>
        </w:rPr>
        <w:t>to mitigate</w:t>
      </w:r>
      <w:r>
        <w:rPr>
          <w:lang w:eastAsia="ja-JP"/>
        </w:rPr>
        <w:t xml:space="preserve"> </w:t>
      </w:r>
      <w:r w:rsidR="00CA4CE8">
        <w:rPr>
          <w:lang w:eastAsia="ja-JP"/>
        </w:rPr>
        <w:t xml:space="preserve">the impact of future fire </w:t>
      </w:r>
      <w:r w:rsidRPr="002F7EE3">
        <w:rPr>
          <w:lang w:eastAsia="ja-JP"/>
        </w:rPr>
        <w:t>events.</w:t>
      </w:r>
      <w:r>
        <w:rPr>
          <w:lang w:eastAsia="ja-JP"/>
        </w:rPr>
        <w:t xml:space="preserve"> </w:t>
      </w:r>
    </w:p>
    <w:p w14:paraId="511CEC54" w14:textId="3930A931" w:rsidR="002F7EE3" w:rsidRPr="002F7EE3" w:rsidRDefault="00CA4CE8" w:rsidP="00FF381A">
      <w:pPr>
        <w:spacing w:before="170" w:after="0"/>
        <w:rPr>
          <w:lang w:eastAsia="ja-JP"/>
        </w:rPr>
      </w:pPr>
      <w:r>
        <w:rPr>
          <w:lang w:eastAsia="ja-JP"/>
        </w:rPr>
        <w:t>These burns can also have</w:t>
      </w:r>
      <w:r w:rsidR="002F7EE3" w:rsidRPr="002F7EE3">
        <w:rPr>
          <w:lang w:eastAsia="ja-JP"/>
        </w:rPr>
        <w:t xml:space="preserve"> significant</w:t>
      </w:r>
      <w:r>
        <w:rPr>
          <w:lang w:eastAsia="ja-JP"/>
        </w:rPr>
        <w:t xml:space="preserve"> </w:t>
      </w:r>
      <w:r w:rsidR="002F7EE3" w:rsidRPr="002F7EE3">
        <w:rPr>
          <w:lang w:eastAsia="ja-JP"/>
        </w:rPr>
        <w:t xml:space="preserve">conservation </w:t>
      </w:r>
      <w:r>
        <w:rPr>
          <w:lang w:eastAsia="ja-JP"/>
        </w:rPr>
        <w:t>benefits</w:t>
      </w:r>
      <w:r w:rsidR="002F7EE3" w:rsidRPr="002F7EE3">
        <w:rPr>
          <w:lang w:eastAsia="ja-JP"/>
        </w:rPr>
        <w:t>.</w:t>
      </w:r>
      <w:r w:rsidR="00FE4730">
        <w:rPr>
          <w:lang w:eastAsia="ja-JP"/>
        </w:rPr>
        <w:t xml:space="preserve"> For example, recent burns conducted at </w:t>
      </w:r>
      <w:r w:rsidR="002F7EE3" w:rsidRPr="002F7EE3">
        <w:rPr>
          <w:lang w:eastAsia="ja-JP"/>
        </w:rPr>
        <w:t>Melaleuca Inlet in the south of</w:t>
      </w:r>
      <w:r>
        <w:rPr>
          <w:lang w:eastAsia="ja-JP"/>
        </w:rPr>
        <w:t xml:space="preserve"> </w:t>
      </w:r>
      <w:r w:rsidR="002F7EE3" w:rsidRPr="002F7EE3">
        <w:rPr>
          <w:lang w:eastAsia="ja-JP"/>
        </w:rPr>
        <w:t xml:space="preserve">the </w:t>
      </w:r>
      <w:r w:rsidR="001C608E">
        <w:rPr>
          <w:lang w:eastAsia="ja-JP"/>
        </w:rPr>
        <w:t>property</w:t>
      </w:r>
      <w:r w:rsidR="00A26217">
        <w:rPr>
          <w:lang w:eastAsia="ja-JP"/>
        </w:rPr>
        <w:t xml:space="preserve"> </w:t>
      </w:r>
      <w:r w:rsidR="00FE4730">
        <w:rPr>
          <w:lang w:eastAsia="ja-JP"/>
        </w:rPr>
        <w:t>are</w:t>
      </w:r>
      <w:r w:rsidR="002F7EE3" w:rsidRPr="002F7EE3">
        <w:rPr>
          <w:lang w:eastAsia="ja-JP"/>
        </w:rPr>
        <w:t xml:space="preserve"> aimed</w:t>
      </w:r>
      <w:r>
        <w:rPr>
          <w:lang w:eastAsia="ja-JP"/>
        </w:rPr>
        <w:t xml:space="preserve"> </w:t>
      </w:r>
      <w:r w:rsidR="002F7EE3" w:rsidRPr="002F7EE3">
        <w:rPr>
          <w:lang w:eastAsia="ja-JP"/>
        </w:rPr>
        <w:t xml:space="preserve">at regenerating foraging habitat for the </w:t>
      </w:r>
      <w:r w:rsidR="0066718D">
        <w:rPr>
          <w:lang w:eastAsia="ja-JP"/>
        </w:rPr>
        <w:t>O</w:t>
      </w:r>
      <w:r w:rsidR="002F7EE3" w:rsidRPr="002F7EE3">
        <w:rPr>
          <w:lang w:eastAsia="ja-JP"/>
        </w:rPr>
        <w:t xml:space="preserve">range-bellied </w:t>
      </w:r>
      <w:r w:rsidR="0020692A">
        <w:rPr>
          <w:lang w:eastAsia="ja-JP"/>
        </w:rPr>
        <w:t>p</w:t>
      </w:r>
      <w:r w:rsidR="002F7EE3" w:rsidRPr="002F7EE3">
        <w:rPr>
          <w:lang w:eastAsia="ja-JP"/>
        </w:rPr>
        <w:t>arrot</w:t>
      </w:r>
      <w:r w:rsidR="00FE4730">
        <w:rPr>
          <w:lang w:eastAsia="ja-JP"/>
        </w:rPr>
        <w:t>.</w:t>
      </w:r>
    </w:p>
    <w:p w14:paraId="5DA326BC" w14:textId="62A564C5" w:rsidR="009849FA" w:rsidRPr="007F7A44" w:rsidRDefault="008727B9" w:rsidP="00FF381A">
      <w:pPr>
        <w:spacing w:before="170" w:after="0"/>
        <w:rPr>
          <w:u w:val="single"/>
          <w:lang w:eastAsia="ja-JP"/>
        </w:rPr>
      </w:pPr>
      <w:r w:rsidRPr="007F7A44">
        <w:rPr>
          <w:u w:val="single"/>
          <w:lang w:eastAsia="ja-JP"/>
        </w:rPr>
        <w:t>Innovation</w:t>
      </w:r>
      <w:r w:rsidR="002038B0" w:rsidRPr="007F7A44">
        <w:rPr>
          <w:u w:val="single"/>
          <w:lang w:eastAsia="ja-JP"/>
        </w:rPr>
        <w:t xml:space="preserve"> during the 2018</w:t>
      </w:r>
      <w:r w:rsidR="0020692A" w:rsidRPr="007F7A44">
        <w:rPr>
          <w:u w:val="single"/>
          <w:lang w:eastAsia="ja-JP"/>
        </w:rPr>
        <w:t>-</w:t>
      </w:r>
      <w:r w:rsidRPr="007F7A44">
        <w:rPr>
          <w:u w:val="single"/>
          <w:lang w:eastAsia="ja-JP"/>
        </w:rPr>
        <w:t>19 f</w:t>
      </w:r>
      <w:r w:rsidR="009849FA" w:rsidRPr="007F7A44">
        <w:rPr>
          <w:u w:val="single"/>
          <w:lang w:eastAsia="ja-JP"/>
        </w:rPr>
        <w:t xml:space="preserve">ire </w:t>
      </w:r>
      <w:r w:rsidRPr="007F7A44">
        <w:rPr>
          <w:u w:val="single"/>
          <w:lang w:eastAsia="ja-JP"/>
        </w:rPr>
        <w:t>r</w:t>
      </w:r>
      <w:r w:rsidR="009849FA" w:rsidRPr="007F7A44">
        <w:rPr>
          <w:u w:val="single"/>
          <w:lang w:eastAsia="ja-JP"/>
        </w:rPr>
        <w:t xml:space="preserve">esponse </w:t>
      </w:r>
    </w:p>
    <w:p w14:paraId="5711DA6E" w14:textId="4BD3393B" w:rsidR="009849FA" w:rsidRPr="009849FA" w:rsidRDefault="009849FA" w:rsidP="00FF381A">
      <w:pPr>
        <w:spacing w:before="170" w:after="0"/>
        <w:rPr>
          <w:lang w:eastAsia="ja-JP"/>
        </w:rPr>
      </w:pPr>
      <w:r w:rsidRPr="009849FA">
        <w:rPr>
          <w:lang w:eastAsia="ja-JP"/>
        </w:rPr>
        <w:t>The</w:t>
      </w:r>
      <w:r w:rsidR="002038B0">
        <w:rPr>
          <w:lang w:eastAsia="ja-JP"/>
        </w:rPr>
        <w:t xml:space="preserve"> fire response to the 2018</w:t>
      </w:r>
      <w:r w:rsidR="0020692A">
        <w:rPr>
          <w:lang w:eastAsia="ja-JP"/>
        </w:rPr>
        <w:t>-</w:t>
      </w:r>
      <w:r w:rsidRPr="009849FA">
        <w:rPr>
          <w:lang w:eastAsia="ja-JP"/>
        </w:rPr>
        <w:t>19 fires included a number of strategies adopted since the 2016</w:t>
      </w:r>
      <w:r w:rsidR="008727B9">
        <w:rPr>
          <w:lang w:eastAsia="ja-JP"/>
        </w:rPr>
        <w:t xml:space="preserve"> </w:t>
      </w:r>
      <w:r w:rsidRPr="009849FA">
        <w:rPr>
          <w:lang w:eastAsia="ja-JP"/>
        </w:rPr>
        <w:t>fires</w:t>
      </w:r>
      <w:r w:rsidR="004B1128">
        <w:rPr>
          <w:lang w:eastAsia="ja-JP"/>
        </w:rPr>
        <w:t>. These included</w:t>
      </w:r>
      <w:r w:rsidRPr="009849FA">
        <w:rPr>
          <w:lang w:eastAsia="ja-JP"/>
        </w:rPr>
        <w:t>:</w:t>
      </w:r>
    </w:p>
    <w:p w14:paraId="62F58986" w14:textId="77777777" w:rsidR="008727B9" w:rsidRPr="007F7A44" w:rsidRDefault="008727B9" w:rsidP="007F7A44">
      <w:pPr>
        <w:pStyle w:val="Text"/>
        <w:numPr>
          <w:ilvl w:val="0"/>
          <w:numId w:val="6"/>
        </w:numPr>
        <w:spacing w:before="120" w:after="120" w:line="240" w:lineRule="atLeast"/>
        <w:ind w:left="714" w:hanging="357"/>
        <w:rPr>
          <w:lang w:val="en-US" w:eastAsia="ja-JP"/>
        </w:rPr>
      </w:pPr>
      <w:r>
        <w:rPr>
          <w:lang w:eastAsia="ja-JP"/>
        </w:rPr>
        <w:t>u</w:t>
      </w:r>
      <w:r w:rsidRPr="009849FA">
        <w:rPr>
          <w:lang w:eastAsia="ja-JP"/>
        </w:rPr>
        <w:t xml:space="preserve">se </w:t>
      </w:r>
      <w:r w:rsidRPr="007F7A44">
        <w:rPr>
          <w:lang w:val="en-US" w:eastAsia="ja-JP"/>
        </w:rPr>
        <w:t xml:space="preserve">of satellite lightning and hotspot detection services delivered by websites such as Sentinel and </w:t>
      </w:r>
      <w:proofErr w:type="spellStart"/>
      <w:r w:rsidRPr="007F7A44">
        <w:rPr>
          <w:lang w:val="en-US" w:eastAsia="ja-JP"/>
        </w:rPr>
        <w:t>Landgate</w:t>
      </w:r>
      <w:proofErr w:type="spellEnd"/>
      <w:r w:rsidRPr="007F7A44">
        <w:rPr>
          <w:lang w:val="en-US" w:eastAsia="ja-JP"/>
        </w:rPr>
        <w:t xml:space="preserve"> </w:t>
      </w:r>
    </w:p>
    <w:p w14:paraId="00A9B22D" w14:textId="77777777" w:rsidR="004B1128" w:rsidRPr="007F7A44" w:rsidRDefault="009849FA" w:rsidP="007F7A44">
      <w:pPr>
        <w:pStyle w:val="Text"/>
        <w:numPr>
          <w:ilvl w:val="0"/>
          <w:numId w:val="6"/>
        </w:numPr>
        <w:spacing w:before="120" w:after="120" w:line="240" w:lineRule="atLeast"/>
        <w:ind w:left="714" w:hanging="357"/>
        <w:rPr>
          <w:lang w:val="en-US" w:eastAsia="ja-JP"/>
        </w:rPr>
      </w:pPr>
      <w:r w:rsidRPr="007F7A44">
        <w:rPr>
          <w:lang w:val="en-US" w:eastAsia="ja-JP"/>
        </w:rPr>
        <w:t xml:space="preserve">early spotter flights </w:t>
      </w:r>
    </w:p>
    <w:p w14:paraId="09250952" w14:textId="77777777" w:rsidR="004B1128" w:rsidRPr="007F7A44" w:rsidRDefault="009849FA" w:rsidP="007F7A44">
      <w:pPr>
        <w:pStyle w:val="Text"/>
        <w:numPr>
          <w:ilvl w:val="0"/>
          <w:numId w:val="6"/>
        </w:numPr>
        <w:spacing w:before="120" w:after="120" w:line="240" w:lineRule="atLeast"/>
        <w:ind w:left="714" w:hanging="357"/>
        <w:rPr>
          <w:lang w:val="en-US" w:eastAsia="ja-JP"/>
        </w:rPr>
      </w:pPr>
      <w:r w:rsidRPr="007F7A44">
        <w:rPr>
          <w:lang w:val="en-US" w:eastAsia="ja-JP"/>
        </w:rPr>
        <w:t>dep</w:t>
      </w:r>
      <w:r w:rsidR="008727B9" w:rsidRPr="007F7A44">
        <w:rPr>
          <w:lang w:val="en-US" w:eastAsia="ja-JP"/>
        </w:rPr>
        <w:t>loyment of initial attack crews</w:t>
      </w:r>
    </w:p>
    <w:p w14:paraId="6CE33F44" w14:textId="7DF4BB03" w:rsidR="004B1128" w:rsidRPr="007F7A44" w:rsidRDefault="004B1128" w:rsidP="007F7A44">
      <w:pPr>
        <w:pStyle w:val="Text"/>
        <w:numPr>
          <w:ilvl w:val="0"/>
          <w:numId w:val="6"/>
        </w:numPr>
        <w:spacing w:before="120" w:after="120" w:line="240" w:lineRule="atLeast"/>
        <w:ind w:left="714" w:hanging="357"/>
        <w:rPr>
          <w:lang w:val="en-US" w:eastAsia="ja-JP"/>
        </w:rPr>
      </w:pPr>
      <w:r w:rsidRPr="007F7A44">
        <w:rPr>
          <w:lang w:val="en-US" w:eastAsia="ja-JP"/>
        </w:rPr>
        <w:t>use of aerial fire retardants delivered by aircraft</w:t>
      </w:r>
      <w:r w:rsidR="00073F2B" w:rsidRPr="007F7A44">
        <w:rPr>
          <w:lang w:val="en-US" w:eastAsia="ja-JP"/>
        </w:rPr>
        <w:t xml:space="preserve"> (this</w:t>
      </w:r>
      <w:r w:rsidRPr="007F7A44">
        <w:rPr>
          <w:lang w:val="en-US" w:eastAsia="ja-JP"/>
        </w:rPr>
        <w:t xml:space="preserve"> deployment was planned using a decision support model developed after the 2016 bushfires</w:t>
      </w:r>
      <w:r w:rsidR="00073F2B" w:rsidRPr="007F7A44">
        <w:rPr>
          <w:lang w:val="en-US" w:eastAsia="ja-JP"/>
        </w:rPr>
        <w:t>)</w:t>
      </w:r>
    </w:p>
    <w:p w14:paraId="64FF0D0C" w14:textId="61FBDAC5" w:rsidR="008727B9" w:rsidRPr="007F7A44" w:rsidRDefault="008727B9" w:rsidP="007F7A44">
      <w:pPr>
        <w:pStyle w:val="Text"/>
        <w:numPr>
          <w:ilvl w:val="0"/>
          <w:numId w:val="6"/>
        </w:numPr>
        <w:spacing w:before="120" w:after="120" w:line="240" w:lineRule="atLeast"/>
        <w:ind w:left="714" w:hanging="357"/>
        <w:rPr>
          <w:lang w:val="en-US" w:eastAsia="ja-JP"/>
        </w:rPr>
      </w:pPr>
      <w:r w:rsidRPr="007F7A44">
        <w:rPr>
          <w:lang w:val="en-US" w:eastAsia="ja-JP"/>
        </w:rPr>
        <w:t>deployment of smaller, more agile, aircraft (fixed-wing "</w:t>
      </w:r>
      <w:proofErr w:type="spellStart"/>
      <w:r w:rsidRPr="007F7A44">
        <w:rPr>
          <w:lang w:val="en-US" w:eastAsia="ja-JP"/>
        </w:rPr>
        <w:t>Fireboss</w:t>
      </w:r>
      <w:proofErr w:type="spellEnd"/>
      <w:r w:rsidRPr="007F7A44">
        <w:rPr>
          <w:lang w:val="en-US" w:eastAsia="ja-JP"/>
        </w:rPr>
        <w:t>" water-bombers)</w:t>
      </w:r>
    </w:p>
    <w:p w14:paraId="27A478D3" w14:textId="77777777" w:rsidR="0029102A" w:rsidRPr="000145A2" w:rsidRDefault="004B1128" w:rsidP="007F7A44">
      <w:pPr>
        <w:pStyle w:val="Text"/>
        <w:numPr>
          <w:ilvl w:val="0"/>
          <w:numId w:val="6"/>
        </w:numPr>
        <w:spacing w:before="120" w:after="120" w:line="240" w:lineRule="atLeast"/>
        <w:ind w:left="714" w:hanging="357"/>
        <w:rPr>
          <w:lang w:val="en-US"/>
        </w:rPr>
      </w:pPr>
      <w:proofErr w:type="gramStart"/>
      <w:r w:rsidRPr="007F7A44">
        <w:rPr>
          <w:lang w:val="en-US" w:eastAsia="ja-JP"/>
        </w:rPr>
        <w:t>d</w:t>
      </w:r>
      <w:r w:rsidR="009849FA" w:rsidRPr="007F7A44">
        <w:rPr>
          <w:lang w:val="en-US" w:eastAsia="ja-JP"/>
        </w:rPr>
        <w:t>evelopment</w:t>
      </w:r>
      <w:proofErr w:type="gramEnd"/>
      <w:r w:rsidR="009849FA" w:rsidRPr="007F7A44">
        <w:rPr>
          <w:lang w:val="en-US" w:eastAsia="ja-JP"/>
        </w:rPr>
        <w:t xml:space="preserve"> and implementation of protection strategies to protect high conservation value</w:t>
      </w:r>
      <w:r w:rsidRPr="007F7A44">
        <w:rPr>
          <w:lang w:val="en-US" w:eastAsia="ja-JP"/>
        </w:rPr>
        <w:t xml:space="preserve"> natural assets (for example, </w:t>
      </w:r>
      <w:r w:rsidR="009849FA" w:rsidRPr="007F7A44">
        <w:rPr>
          <w:lang w:val="en-US" w:eastAsia="ja-JP"/>
        </w:rPr>
        <w:t xml:space="preserve">establishment of sprinkler lines </w:t>
      </w:r>
      <w:r w:rsidRPr="007F7A44">
        <w:rPr>
          <w:lang w:val="en-US" w:eastAsia="ja-JP"/>
        </w:rPr>
        <w:t>to</w:t>
      </w:r>
      <w:r w:rsidR="009849FA" w:rsidRPr="007F7A44">
        <w:rPr>
          <w:lang w:val="en-US" w:eastAsia="ja-JP"/>
        </w:rPr>
        <w:t xml:space="preserve"> p</w:t>
      </w:r>
      <w:r w:rsidRPr="007F7A44">
        <w:rPr>
          <w:lang w:val="en-US" w:eastAsia="ja-JP"/>
        </w:rPr>
        <w:t xml:space="preserve">rotect </w:t>
      </w:r>
      <w:r w:rsidR="009849FA" w:rsidRPr="007F7A44">
        <w:rPr>
          <w:lang w:val="en-US" w:eastAsia="ja-JP"/>
        </w:rPr>
        <w:t xml:space="preserve">vegetation at Lake </w:t>
      </w:r>
      <w:proofErr w:type="spellStart"/>
      <w:r w:rsidR="009849FA" w:rsidRPr="007F7A44">
        <w:rPr>
          <w:lang w:val="en-US" w:eastAsia="ja-JP"/>
        </w:rPr>
        <w:t>Rhona</w:t>
      </w:r>
      <w:proofErr w:type="spellEnd"/>
      <w:r w:rsidR="009849FA" w:rsidRPr="007F7A44">
        <w:rPr>
          <w:lang w:val="en-US" w:eastAsia="ja-JP"/>
        </w:rPr>
        <w:t xml:space="preserve"> in the</w:t>
      </w:r>
      <w:r w:rsidR="009849FA" w:rsidRPr="009849FA">
        <w:rPr>
          <w:lang w:eastAsia="ja-JP"/>
        </w:rPr>
        <w:t xml:space="preserve"> Denison Ranges</w:t>
      </w:r>
      <w:r>
        <w:rPr>
          <w:lang w:eastAsia="ja-JP"/>
        </w:rPr>
        <w:t>)</w:t>
      </w:r>
      <w:r w:rsidR="009849FA" w:rsidRPr="009849FA">
        <w:rPr>
          <w:lang w:eastAsia="ja-JP"/>
        </w:rPr>
        <w:t>.</w:t>
      </w:r>
    </w:p>
    <w:p w14:paraId="284A6986" w14:textId="76F8598C" w:rsidR="00C028AA" w:rsidRDefault="007F2BC6" w:rsidP="00824985">
      <w:pPr>
        <w:pStyle w:val="Heading2"/>
        <w:spacing w:before="170"/>
      </w:pPr>
      <w:bookmarkStart w:id="122" w:name="_Toc5373745"/>
      <w:bookmarkStart w:id="123" w:name="_Toc19270669"/>
      <w:bookmarkStart w:id="124" w:name="_Toc22806715"/>
      <w:r>
        <w:t>Orange-</w:t>
      </w:r>
      <w:r w:rsidR="009B16BC">
        <w:t>bellied parrot</w:t>
      </w:r>
      <w:bookmarkEnd w:id="122"/>
      <w:bookmarkEnd w:id="123"/>
      <w:bookmarkEnd w:id="124"/>
    </w:p>
    <w:tbl>
      <w:tblPr>
        <w:tblStyle w:val="TableGrid"/>
        <w:tblW w:w="0" w:type="auto"/>
        <w:tblLook w:val="04A0" w:firstRow="1" w:lastRow="0" w:firstColumn="1" w:lastColumn="0" w:noHBand="0" w:noVBand="1"/>
      </w:tblPr>
      <w:tblGrid>
        <w:gridCol w:w="9350"/>
      </w:tblGrid>
      <w:tr w:rsidR="001C608E" w14:paraId="0B5B4D69" w14:textId="77777777" w:rsidTr="001C608E">
        <w:tc>
          <w:tcPr>
            <w:tcW w:w="9350" w:type="dxa"/>
          </w:tcPr>
          <w:p w14:paraId="430E0179" w14:textId="08C0018F" w:rsidR="001C608E" w:rsidRDefault="001C608E" w:rsidP="001C608E">
            <w:pPr>
              <w:pStyle w:val="Boxedtext"/>
              <w:ind w:left="29" w:hanging="29"/>
              <w:rPr>
                <w:lang w:val="en-US" w:eastAsia="ja-JP"/>
              </w:rPr>
            </w:pPr>
            <w:r w:rsidRPr="004512CB">
              <w:rPr>
                <w:lang w:val="en-US"/>
              </w:rPr>
              <w:t xml:space="preserve">The Australian and Tasmanian governments are committed to </w:t>
            </w:r>
            <w:r>
              <w:rPr>
                <w:lang w:val="en-US"/>
              </w:rPr>
              <w:t>ensuring</w:t>
            </w:r>
            <w:r w:rsidRPr="004512CB">
              <w:rPr>
                <w:lang w:val="en-US"/>
              </w:rPr>
              <w:t xml:space="preserve"> the survival of the </w:t>
            </w:r>
            <w:r>
              <w:rPr>
                <w:lang w:val="en-US"/>
              </w:rPr>
              <w:t>O</w:t>
            </w:r>
            <w:r w:rsidRPr="004512CB">
              <w:rPr>
                <w:lang w:val="en-US"/>
              </w:rPr>
              <w:t xml:space="preserve">range-bellied </w:t>
            </w:r>
            <w:r w:rsidRPr="001C608E">
              <w:t>parrot</w:t>
            </w:r>
            <w:r>
              <w:t>.</w:t>
            </w:r>
          </w:p>
        </w:tc>
      </w:tr>
    </w:tbl>
    <w:p w14:paraId="42962467" w14:textId="1AD77CDE" w:rsidR="002965DA" w:rsidRPr="002965DA" w:rsidRDefault="002605ED" w:rsidP="00FF381A">
      <w:pPr>
        <w:pStyle w:val="Text"/>
      </w:pPr>
      <w:r w:rsidRPr="00D52FB7">
        <w:rPr>
          <w:lang w:val="en-US"/>
        </w:rPr>
        <w:t>The</w:t>
      </w:r>
      <w:r w:rsidR="0062054C">
        <w:rPr>
          <w:lang w:val="en-US"/>
        </w:rPr>
        <w:t xml:space="preserve"> migratory</w:t>
      </w:r>
      <w:r w:rsidRPr="00D52FB7">
        <w:rPr>
          <w:lang w:val="en-US"/>
        </w:rPr>
        <w:t xml:space="preserve"> </w:t>
      </w:r>
      <w:r w:rsidR="0066718D">
        <w:rPr>
          <w:lang w:val="en-US"/>
        </w:rPr>
        <w:t>O</w:t>
      </w:r>
      <w:r w:rsidR="00133A39">
        <w:rPr>
          <w:lang w:val="en-US"/>
        </w:rPr>
        <w:t>range-bellied p</w:t>
      </w:r>
      <w:r w:rsidRPr="00D52FB7">
        <w:rPr>
          <w:lang w:val="en-US"/>
        </w:rPr>
        <w:t>arrot (</w:t>
      </w:r>
      <w:proofErr w:type="spellStart"/>
      <w:r w:rsidRPr="00D52FB7">
        <w:rPr>
          <w:rStyle w:val="TextItalic"/>
          <w:lang w:val="en-US"/>
        </w:rPr>
        <w:t>Neophema</w:t>
      </w:r>
      <w:proofErr w:type="spellEnd"/>
      <w:r w:rsidRPr="00D52FB7">
        <w:rPr>
          <w:rStyle w:val="TextItalic"/>
          <w:lang w:val="en-US"/>
        </w:rPr>
        <w:t xml:space="preserve"> </w:t>
      </w:r>
      <w:proofErr w:type="spellStart"/>
      <w:r w:rsidRPr="00D52FB7">
        <w:rPr>
          <w:rStyle w:val="TextItalic"/>
          <w:lang w:val="en-US"/>
        </w:rPr>
        <w:t>chrysogaster</w:t>
      </w:r>
      <w:proofErr w:type="spellEnd"/>
      <w:r w:rsidRPr="00D52FB7">
        <w:rPr>
          <w:lang w:val="en-US"/>
        </w:rPr>
        <w:t xml:space="preserve">) is </w:t>
      </w:r>
      <w:r w:rsidR="00BC317F">
        <w:rPr>
          <w:lang w:val="en-US"/>
        </w:rPr>
        <w:t xml:space="preserve">identified as one of the </w:t>
      </w:r>
      <w:r w:rsidR="00BC317F" w:rsidRPr="00BC317F">
        <w:rPr>
          <w:lang w:val="en"/>
        </w:rPr>
        <w:t>World Heritage values that contribute to the property’s Outstanding Universal Value</w:t>
      </w:r>
      <w:r w:rsidR="00BC317F">
        <w:rPr>
          <w:lang w:val="en"/>
        </w:rPr>
        <w:t>. This species</w:t>
      </w:r>
      <w:r w:rsidR="00BC317F" w:rsidRPr="00BC317F">
        <w:rPr>
          <w:lang w:val="en"/>
        </w:rPr>
        <w:t xml:space="preserve"> </w:t>
      </w:r>
      <w:r w:rsidR="00BC317F">
        <w:rPr>
          <w:lang w:val="en"/>
        </w:rPr>
        <w:t xml:space="preserve">is </w:t>
      </w:r>
      <w:r w:rsidRPr="00D52FB7">
        <w:rPr>
          <w:lang w:val="en-US"/>
        </w:rPr>
        <w:t xml:space="preserve">listed as critically endangered under </w:t>
      </w:r>
      <w:r w:rsidR="002965DA">
        <w:rPr>
          <w:lang w:val="en-US"/>
        </w:rPr>
        <w:t>the EPBC Act</w:t>
      </w:r>
      <w:r w:rsidRPr="00D52FB7">
        <w:rPr>
          <w:lang w:val="en-US"/>
        </w:rPr>
        <w:t xml:space="preserve"> and endangered under </w:t>
      </w:r>
      <w:r w:rsidR="002965DA" w:rsidRPr="002965DA">
        <w:t xml:space="preserve">Tasmania’s </w:t>
      </w:r>
      <w:r w:rsidR="002965DA" w:rsidRPr="002965DA">
        <w:rPr>
          <w:i/>
          <w:lang w:val="en"/>
        </w:rPr>
        <w:t xml:space="preserve">Threatened Species Protection </w:t>
      </w:r>
      <w:r w:rsidR="002965DA" w:rsidRPr="002965DA">
        <w:rPr>
          <w:i/>
          <w:lang w:val="en"/>
        </w:rPr>
        <w:lastRenderedPageBreak/>
        <w:t>Act</w:t>
      </w:r>
      <w:r w:rsidR="00C277F1">
        <w:rPr>
          <w:i/>
          <w:lang w:val="en"/>
        </w:rPr>
        <w:t> </w:t>
      </w:r>
      <w:r w:rsidR="002965DA" w:rsidRPr="002965DA">
        <w:rPr>
          <w:i/>
          <w:lang w:val="en"/>
        </w:rPr>
        <w:t>1995</w:t>
      </w:r>
      <w:r w:rsidRPr="00D52FB7">
        <w:rPr>
          <w:lang w:val="en-US"/>
        </w:rPr>
        <w:t>.</w:t>
      </w:r>
      <w:r w:rsidR="00D7297D" w:rsidRPr="00D7297D">
        <w:t xml:space="preserve"> </w:t>
      </w:r>
      <w:r w:rsidR="00D7297D">
        <w:t>There has been considerable investment in recovery efforts in recent years, but wild population numbers are low, and ongoing efforts will be required to prevent functional extinction in the wild.</w:t>
      </w:r>
    </w:p>
    <w:p w14:paraId="14FF571E" w14:textId="573FFE01" w:rsidR="00605DCD" w:rsidRDefault="002965DA" w:rsidP="00824985">
      <w:pPr>
        <w:pStyle w:val="Text"/>
        <w:rPr>
          <w:lang w:val="en-US"/>
        </w:rPr>
      </w:pPr>
      <w:r>
        <w:rPr>
          <w:lang w:val="en-US"/>
        </w:rPr>
        <w:t>T</w:t>
      </w:r>
      <w:r w:rsidR="002605ED" w:rsidRPr="00D52FB7">
        <w:rPr>
          <w:lang w:val="en-US"/>
        </w:rPr>
        <w:t xml:space="preserve">he species is only known </w:t>
      </w:r>
      <w:r w:rsidR="002605ED" w:rsidRPr="00D52FB7">
        <w:t xml:space="preserve">to </w:t>
      </w:r>
      <w:r w:rsidR="002605ED" w:rsidRPr="00D52FB7">
        <w:rPr>
          <w:lang w:val="en-US"/>
        </w:rPr>
        <w:t xml:space="preserve">breed at Melaleuca in the </w:t>
      </w:r>
      <w:r w:rsidR="00605DCD">
        <w:rPr>
          <w:lang w:val="en-US"/>
        </w:rPr>
        <w:t>south</w:t>
      </w:r>
      <w:r>
        <w:rPr>
          <w:lang w:val="en-US"/>
        </w:rPr>
        <w:t>-west</w:t>
      </w:r>
      <w:r w:rsidR="00605DCD">
        <w:rPr>
          <w:lang w:val="en-US"/>
        </w:rPr>
        <w:t xml:space="preserve"> of </w:t>
      </w:r>
      <w:r>
        <w:rPr>
          <w:lang w:val="en-US"/>
        </w:rPr>
        <w:t xml:space="preserve">the </w:t>
      </w:r>
      <w:r w:rsidR="001C608E">
        <w:rPr>
          <w:lang w:val="en-US"/>
        </w:rPr>
        <w:t>property</w:t>
      </w:r>
      <w:r w:rsidR="002605ED" w:rsidRPr="00D52FB7">
        <w:rPr>
          <w:lang w:val="en-US"/>
        </w:rPr>
        <w:t>. Breeding occurs in the months between October and April, after which the birds migrate to the southern coastline of mainland Australia.</w:t>
      </w:r>
    </w:p>
    <w:p w14:paraId="22BDC941" w14:textId="7D0E9D3F" w:rsidR="00DA26CA" w:rsidRDefault="002605ED" w:rsidP="00824985">
      <w:pPr>
        <w:pStyle w:val="Text"/>
      </w:pPr>
      <w:r w:rsidRPr="00922CB3">
        <w:t xml:space="preserve">A National Recovery Plan for the </w:t>
      </w:r>
      <w:r w:rsidR="0066718D">
        <w:t>O</w:t>
      </w:r>
      <w:r w:rsidRPr="00922CB3">
        <w:t xml:space="preserve">range-bellied parrot provides a </w:t>
      </w:r>
      <w:r w:rsidR="00D63061">
        <w:t>coordinated</w:t>
      </w:r>
      <w:r w:rsidR="00D63061" w:rsidRPr="00922CB3">
        <w:t xml:space="preserve"> </w:t>
      </w:r>
      <w:r w:rsidRPr="00922CB3">
        <w:t xml:space="preserve">approach </w:t>
      </w:r>
      <w:r w:rsidR="004A6770">
        <w:t xml:space="preserve">for efforts </w:t>
      </w:r>
      <w:r w:rsidRPr="00922CB3">
        <w:t xml:space="preserve">to ensure the long-term survival of the species in the wild. </w:t>
      </w:r>
      <w:r w:rsidR="00D63061">
        <w:t>Implementation of the Recovery plan is overseen by the National Orange-bellied Parrot Recovery Team, an inter-jurisdictional and multidisciplinary group</w:t>
      </w:r>
      <w:r w:rsidR="001C608E">
        <w:t>. The group</w:t>
      </w:r>
      <w:r w:rsidR="00D63061">
        <w:t xml:space="preserve"> includes representatives from the Australian</w:t>
      </w:r>
      <w:r w:rsidR="001C608E">
        <w:t>, Victorian and Tasmanian g</w:t>
      </w:r>
      <w:r w:rsidR="00D63061">
        <w:t xml:space="preserve">overnments, breeding institutions, researchers and other species experts, veterinary experts and community group members involved in monitoring. </w:t>
      </w:r>
      <w:r w:rsidR="00605DCD" w:rsidRPr="00922CB3">
        <w:t xml:space="preserve">Under </w:t>
      </w:r>
      <w:r w:rsidR="00D63061">
        <w:t>the Recovery Plan</w:t>
      </w:r>
      <w:r w:rsidR="00605DCD" w:rsidRPr="00922CB3">
        <w:t xml:space="preserve">, </w:t>
      </w:r>
      <w:r w:rsidR="004A6770">
        <w:t>the wild and</w:t>
      </w:r>
      <w:r w:rsidR="004A6770" w:rsidRPr="00605DCD">
        <w:t xml:space="preserve"> captive population</w:t>
      </w:r>
      <w:r w:rsidR="004A6770">
        <w:t>s</w:t>
      </w:r>
      <w:r w:rsidR="004A6770" w:rsidRPr="00605DCD">
        <w:t xml:space="preserve"> </w:t>
      </w:r>
      <w:r w:rsidR="004A6770">
        <w:t xml:space="preserve">of </w:t>
      </w:r>
      <w:r w:rsidR="0066718D">
        <w:t>O</w:t>
      </w:r>
      <w:r w:rsidR="00133A39">
        <w:t>range-bellied p</w:t>
      </w:r>
      <w:r w:rsidR="00605DCD" w:rsidRPr="00605DCD">
        <w:t xml:space="preserve">arrots are </w:t>
      </w:r>
      <w:r w:rsidR="004A6770">
        <w:t>intensively managed.</w:t>
      </w:r>
      <w:r w:rsidR="00605DCD" w:rsidRPr="00605DCD">
        <w:t xml:space="preserve"> </w:t>
      </w:r>
      <w:r w:rsidR="00D63061">
        <w:t>T</w:t>
      </w:r>
      <w:r w:rsidR="0059752D" w:rsidRPr="0059752D">
        <w:t>he wild population</w:t>
      </w:r>
      <w:r w:rsidR="00D63061">
        <w:t xml:space="preserve"> consists of </w:t>
      </w:r>
      <w:r w:rsidR="0059752D" w:rsidRPr="0059752D">
        <w:t xml:space="preserve">wild born and captive bred birds. </w:t>
      </w:r>
      <w:r w:rsidR="00EF7B6F">
        <w:t xml:space="preserve">In </w:t>
      </w:r>
      <w:r w:rsidR="002038B0">
        <w:t>the 2018</w:t>
      </w:r>
      <w:r w:rsidR="0020692A">
        <w:t>-</w:t>
      </w:r>
      <w:r w:rsidR="00EF7B6F">
        <w:t>19 breeding season</w:t>
      </w:r>
      <w:r w:rsidR="00D63061">
        <w:t>, 20 birds returned from migration and</w:t>
      </w:r>
      <w:r w:rsidR="0020692A">
        <w:t>,</w:t>
      </w:r>
      <w:r w:rsidR="00D63061">
        <w:t xml:space="preserve"> of these, </w:t>
      </w:r>
      <w:r w:rsidR="0020692A">
        <w:t>four</w:t>
      </w:r>
      <w:r w:rsidR="00D63061">
        <w:t xml:space="preserve"> were female.</w:t>
      </w:r>
      <w:r w:rsidR="0059752D">
        <w:t xml:space="preserve"> </w:t>
      </w:r>
      <w:r w:rsidR="00D63061">
        <w:t>Nineteen</w:t>
      </w:r>
      <w:r w:rsidR="0059752D" w:rsidRPr="0059752D">
        <w:t xml:space="preserve"> birds returned from migration in 2017</w:t>
      </w:r>
      <w:r w:rsidR="001C608E">
        <w:t xml:space="preserve"> of </w:t>
      </w:r>
      <w:r w:rsidR="00333E44">
        <w:t>which</w:t>
      </w:r>
      <w:r w:rsidR="00333E44" w:rsidRPr="0059752D">
        <w:t xml:space="preserve"> three</w:t>
      </w:r>
      <w:r w:rsidR="0059752D" w:rsidRPr="0059752D">
        <w:t xml:space="preserve"> were fem</w:t>
      </w:r>
      <w:r w:rsidR="0059752D">
        <w:t>ale.</w:t>
      </w:r>
      <w:r w:rsidR="0059752D" w:rsidRPr="0059752D">
        <w:t xml:space="preserve"> </w:t>
      </w:r>
    </w:p>
    <w:p w14:paraId="65DE94A8" w14:textId="710BB5D8" w:rsidR="002965DA" w:rsidRPr="002965DA" w:rsidRDefault="00605DCD" w:rsidP="00824985">
      <w:pPr>
        <w:pStyle w:val="Text"/>
      </w:pPr>
      <w:r w:rsidRPr="00605DCD">
        <w:t xml:space="preserve">The captive population is used to supplement the wild population to boost numbers. </w:t>
      </w:r>
      <w:r w:rsidR="002965DA" w:rsidRPr="002965DA">
        <w:t xml:space="preserve">There are approximately </w:t>
      </w:r>
      <w:r w:rsidR="00D63061">
        <w:t>490</w:t>
      </w:r>
      <w:r w:rsidR="00D63061" w:rsidRPr="002965DA">
        <w:t xml:space="preserve"> </w:t>
      </w:r>
      <w:r w:rsidR="002965DA" w:rsidRPr="002965DA">
        <w:t xml:space="preserve">adult birds in the captive population in five institutions involved in the captive breeding program, all of </w:t>
      </w:r>
      <w:r w:rsidR="00DA6A60">
        <w:t>which are accredited by the Zoo</w:t>
      </w:r>
      <w:r w:rsidR="002965DA" w:rsidRPr="002965DA">
        <w:t>s and Aquarium A</w:t>
      </w:r>
      <w:r w:rsidR="00DA6A60">
        <w:t>ssociation</w:t>
      </w:r>
      <w:r w:rsidR="002965DA" w:rsidRPr="002965DA">
        <w:t xml:space="preserve">. </w:t>
      </w:r>
    </w:p>
    <w:p w14:paraId="26F9ED44" w14:textId="34B3870D" w:rsidR="00945BE5" w:rsidRPr="00D52FB7" w:rsidRDefault="00FA4EC1" w:rsidP="00824985">
      <w:pPr>
        <w:pStyle w:val="Text"/>
        <w:rPr>
          <w:lang w:val="en-US"/>
        </w:rPr>
      </w:pPr>
      <w:r>
        <w:rPr>
          <w:lang w:val="en-US"/>
        </w:rPr>
        <w:t xml:space="preserve">In 2015, the Tasmanian Government </w:t>
      </w:r>
      <w:r w:rsidR="00945BE5" w:rsidRPr="00D52FB7">
        <w:rPr>
          <w:lang w:val="en-US"/>
        </w:rPr>
        <w:t>developed stringent biosecurity and disease management protocols for</w:t>
      </w:r>
      <w:r w:rsidR="00C430B7">
        <w:rPr>
          <w:lang w:val="en-US"/>
        </w:rPr>
        <w:t xml:space="preserve"> protection of</w:t>
      </w:r>
      <w:r w:rsidR="00945BE5" w:rsidRPr="00D52FB7">
        <w:rPr>
          <w:lang w:val="en-US"/>
        </w:rPr>
        <w:t xml:space="preserve"> </w:t>
      </w:r>
      <w:r w:rsidR="0066718D">
        <w:rPr>
          <w:lang w:val="en-US"/>
        </w:rPr>
        <w:t>O</w:t>
      </w:r>
      <w:r w:rsidR="00945BE5" w:rsidRPr="00D52FB7">
        <w:rPr>
          <w:lang w:val="en-US"/>
        </w:rPr>
        <w:t>range-bellied parrots</w:t>
      </w:r>
      <w:r>
        <w:rPr>
          <w:lang w:val="en-US"/>
        </w:rPr>
        <w:t>,</w:t>
      </w:r>
      <w:r w:rsidR="00945BE5" w:rsidRPr="00D52FB7">
        <w:rPr>
          <w:lang w:val="en-US"/>
        </w:rPr>
        <w:t xml:space="preserve"> in consultation with an expert </w:t>
      </w:r>
      <w:r w:rsidR="00DA6A60">
        <w:rPr>
          <w:lang w:val="en-US"/>
        </w:rPr>
        <w:t>r</w:t>
      </w:r>
      <w:r w:rsidR="00945BE5" w:rsidRPr="00D52FB7">
        <w:rPr>
          <w:lang w:val="en-US"/>
        </w:rPr>
        <w:t xml:space="preserve">eference </w:t>
      </w:r>
      <w:r w:rsidR="00DA6A60">
        <w:rPr>
          <w:lang w:val="en-US"/>
        </w:rPr>
        <w:t>g</w:t>
      </w:r>
      <w:r w:rsidR="00945BE5" w:rsidRPr="00D52FB7">
        <w:rPr>
          <w:lang w:val="en-US"/>
        </w:rPr>
        <w:t>roup. The protocols outline disease screening and management procedures for captive and wild populations.</w:t>
      </w:r>
    </w:p>
    <w:p w14:paraId="5D100352" w14:textId="6650DFA7" w:rsidR="006020B1" w:rsidRPr="006020B1" w:rsidRDefault="00605DCD" w:rsidP="00824985">
      <w:pPr>
        <w:pStyle w:val="Text"/>
      </w:pPr>
      <w:r w:rsidRPr="00605DCD">
        <w:t>Ongoing management of the wild population includes the release of captive birds, supplemental feeding, threat management, and the ranching of wild birds over winter to increase the survival of juveniles</w:t>
      </w:r>
      <w:r w:rsidR="000D1A79">
        <w:t>. The Tasmania</w:t>
      </w:r>
      <w:r w:rsidR="006020B1">
        <w:t xml:space="preserve"> </w:t>
      </w:r>
      <w:r w:rsidR="006020B1" w:rsidRPr="006020B1">
        <w:t xml:space="preserve">Parks and Wildlife Service </w:t>
      </w:r>
      <w:r w:rsidR="006020B1">
        <w:t>undertake</w:t>
      </w:r>
      <w:r w:rsidR="00D63061">
        <w:t>s</w:t>
      </w:r>
      <w:r w:rsidR="006020B1" w:rsidRPr="006020B1">
        <w:t xml:space="preserve"> planned ecological burns during autumn to help regenerate important habitat areas for </w:t>
      </w:r>
      <w:r w:rsidR="00E86F90">
        <w:t xml:space="preserve">the </w:t>
      </w:r>
      <w:r w:rsidR="0066718D">
        <w:t>O</w:t>
      </w:r>
      <w:r w:rsidR="006020B1" w:rsidRPr="006020B1">
        <w:t>range-bellied parrot.</w:t>
      </w:r>
    </w:p>
    <w:p w14:paraId="08471F19" w14:textId="0497C922" w:rsidR="007F7A44" w:rsidRDefault="002605ED" w:rsidP="00824985">
      <w:pPr>
        <w:pStyle w:val="Text"/>
      </w:pPr>
      <w:r w:rsidRPr="00D52FB7">
        <w:rPr>
          <w:lang w:val="en-US"/>
        </w:rPr>
        <w:t xml:space="preserve">The Australian and Tasmanian governments are committed to do all they can to ensure the survival of the </w:t>
      </w:r>
      <w:r w:rsidR="0066718D">
        <w:rPr>
          <w:lang w:val="en-US"/>
        </w:rPr>
        <w:t>O</w:t>
      </w:r>
      <w:r w:rsidRPr="00D52FB7">
        <w:rPr>
          <w:lang w:val="en-US"/>
        </w:rPr>
        <w:t xml:space="preserve">range-bellied parrot. </w:t>
      </w:r>
      <w:r w:rsidRPr="009D06CA">
        <w:rPr>
          <w:lang w:val="en-US"/>
        </w:rPr>
        <w:t>In May 2017</w:t>
      </w:r>
      <w:r w:rsidR="00E86F90">
        <w:rPr>
          <w:lang w:val="en-US"/>
        </w:rPr>
        <w:t>,</w:t>
      </w:r>
      <w:r w:rsidRPr="009D06CA">
        <w:rPr>
          <w:lang w:val="en-US"/>
        </w:rPr>
        <w:t xml:space="preserve"> the Tasmanian Government announced funding of AUD</w:t>
      </w:r>
      <w:r w:rsidR="00E86F90">
        <w:rPr>
          <w:lang w:val="en-US"/>
        </w:rPr>
        <w:t> </w:t>
      </w:r>
      <w:r w:rsidRPr="009D06CA">
        <w:rPr>
          <w:lang w:val="en-US"/>
        </w:rPr>
        <w:t>$</w:t>
      </w:r>
      <w:r w:rsidR="00D63061" w:rsidRPr="009D06CA">
        <w:rPr>
          <w:lang w:val="en-US"/>
        </w:rPr>
        <w:t>2.5</w:t>
      </w:r>
      <w:r w:rsidRPr="009D06CA">
        <w:rPr>
          <w:lang w:val="en-US"/>
        </w:rPr>
        <w:t xml:space="preserve"> million to construct a new captive breeding facility with an increased capacity to breed birds to assist the recovery of the population in the wild. </w:t>
      </w:r>
      <w:r w:rsidR="00D63061" w:rsidRPr="009D06CA">
        <w:rPr>
          <w:lang w:val="en-US"/>
        </w:rPr>
        <w:t xml:space="preserve">This facility </w:t>
      </w:r>
      <w:r w:rsidR="001F6632">
        <w:rPr>
          <w:lang w:val="en-US"/>
        </w:rPr>
        <w:t xml:space="preserve">has been </w:t>
      </w:r>
      <w:r w:rsidR="00E86F90">
        <w:rPr>
          <w:lang w:val="en-US"/>
        </w:rPr>
        <w:t>complete</w:t>
      </w:r>
      <w:r w:rsidR="001F6632">
        <w:rPr>
          <w:lang w:val="en-US"/>
        </w:rPr>
        <w:t>d</w:t>
      </w:r>
      <w:r w:rsidR="00D63061" w:rsidRPr="009D06CA">
        <w:rPr>
          <w:lang w:val="en-US"/>
        </w:rPr>
        <w:t xml:space="preserve"> for the 2019</w:t>
      </w:r>
      <w:r w:rsidR="00E86F90">
        <w:rPr>
          <w:lang w:val="en-US"/>
        </w:rPr>
        <w:t>-</w:t>
      </w:r>
      <w:r w:rsidR="00D63061" w:rsidRPr="009D06CA">
        <w:rPr>
          <w:lang w:val="en-US"/>
        </w:rPr>
        <w:t>20 breeding season</w:t>
      </w:r>
      <w:r w:rsidR="002505BA">
        <w:rPr>
          <w:lang w:val="en-US"/>
        </w:rPr>
        <w:t xml:space="preserve"> and the breeding capacity at the new faci</w:t>
      </w:r>
      <w:r w:rsidR="00AB4880">
        <w:rPr>
          <w:lang w:val="en-US"/>
        </w:rPr>
        <w:t>lity</w:t>
      </w:r>
      <w:r w:rsidR="002505BA">
        <w:rPr>
          <w:lang w:val="en-US"/>
        </w:rPr>
        <w:t xml:space="preserve"> has doubled compared to the previous facility</w:t>
      </w:r>
      <w:r w:rsidR="00D63061" w:rsidRPr="009D06CA">
        <w:rPr>
          <w:lang w:val="en-US"/>
        </w:rPr>
        <w:t>.</w:t>
      </w:r>
      <w:r w:rsidR="002D3E96" w:rsidRPr="009D06CA">
        <w:rPr>
          <w:color w:val="FF0000"/>
          <w:lang w:val="en-US"/>
        </w:rPr>
        <w:t xml:space="preserve"> </w:t>
      </w:r>
      <w:r w:rsidR="002D3E96" w:rsidRPr="009D06CA">
        <w:rPr>
          <w:color w:val="auto"/>
        </w:rPr>
        <w:t>In</w:t>
      </w:r>
      <w:r w:rsidR="002D3E96" w:rsidRPr="00813E26">
        <w:rPr>
          <w:color w:val="auto"/>
        </w:rPr>
        <w:t xml:space="preserve"> addition to the capital funds to build a new </w:t>
      </w:r>
      <w:r w:rsidR="0066718D">
        <w:rPr>
          <w:color w:val="auto"/>
        </w:rPr>
        <w:t>O</w:t>
      </w:r>
      <w:r w:rsidR="00BC09B7" w:rsidRPr="00BC09B7">
        <w:rPr>
          <w:color w:val="auto"/>
        </w:rPr>
        <w:t>range-bellied parrot</w:t>
      </w:r>
      <w:r w:rsidR="002038B0">
        <w:rPr>
          <w:color w:val="auto"/>
        </w:rPr>
        <w:t xml:space="preserve"> facility, in the 2017</w:t>
      </w:r>
      <w:r w:rsidR="00E86F90">
        <w:rPr>
          <w:color w:val="auto"/>
        </w:rPr>
        <w:t>-</w:t>
      </w:r>
      <w:r w:rsidR="002D3E96" w:rsidRPr="00813E26">
        <w:rPr>
          <w:color w:val="auto"/>
        </w:rPr>
        <w:t xml:space="preserve">18 State Budget the Tasmanian Government committed annual recurrent funding of </w:t>
      </w:r>
      <w:r w:rsidR="008E6C06">
        <w:rPr>
          <w:color w:val="auto"/>
        </w:rPr>
        <w:t>A</w:t>
      </w:r>
      <w:r w:rsidR="00FF381A">
        <w:rPr>
          <w:color w:val="auto"/>
        </w:rPr>
        <w:t>UD</w:t>
      </w:r>
      <w:r w:rsidR="00E86F90">
        <w:rPr>
          <w:color w:val="auto"/>
        </w:rPr>
        <w:t> </w:t>
      </w:r>
      <w:r w:rsidR="002D3E96" w:rsidRPr="00813E26">
        <w:rPr>
          <w:color w:val="auto"/>
        </w:rPr>
        <w:t>$170,000</w:t>
      </w:r>
      <w:r w:rsidR="00E86F90">
        <w:rPr>
          <w:color w:val="auto"/>
        </w:rPr>
        <w:t>. T</w:t>
      </w:r>
      <w:r w:rsidR="002D3E96" w:rsidRPr="00813E26">
        <w:rPr>
          <w:color w:val="auto"/>
        </w:rPr>
        <w:t>his additional investment will support a range of actions, including the care and release into the wild of additional birds, in collaborati</w:t>
      </w:r>
      <w:r w:rsidR="00BC09B7">
        <w:rPr>
          <w:color w:val="auto"/>
        </w:rPr>
        <w:t xml:space="preserve">on with partner organisations. </w:t>
      </w:r>
      <w:r w:rsidRPr="00D52FB7">
        <w:t>The Tasmanian Government is working with the Australian and Victorian governments and researchers to trial a range of novel intervention strategies to he</w:t>
      </w:r>
      <w:r w:rsidR="005F3B76">
        <w:t>lp bolster the wild population.</w:t>
      </w:r>
    </w:p>
    <w:p w14:paraId="056B6D7C" w14:textId="77777777" w:rsidR="007F7A44" w:rsidRDefault="007F7A44">
      <w:pPr>
        <w:rPr>
          <w:rFonts w:eastAsiaTheme="minorHAnsi" w:cs="Arial"/>
          <w:color w:val="000000"/>
          <w:szCs w:val="20"/>
        </w:rPr>
      </w:pPr>
      <w:r>
        <w:br w:type="page"/>
      </w:r>
    </w:p>
    <w:p w14:paraId="532D3706" w14:textId="2B80C0A6" w:rsidR="002605ED" w:rsidRPr="00D52FB7" w:rsidRDefault="002605ED" w:rsidP="00824985">
      <w:pPr>
        <w:pStyle w:val="Text"/>
        <w:rPr>
          <w:b/>
          <w:spacing w:val="18"/>
          <w:szCs w:val="26"/>
          <w:lang w:val="en-US" w:eastAsia="ja-JP"/>
        </w:rPr>
      </w:pPr>
    </w:p>
    <w:p w14:paraId="08A4CE21" w14:textId="77777777" w:rsidR="009B16BC" w:rsidRDefault="009B16BC" w:rsidP="00824985">
      <w:pPr>
        <w:pStyle w:val="Heading2"/>
        <w:spacing w:before="170"/>
      </w:pPr>
      <w:bookmarkStart w:id="125" w:name="_Toc5373747"/>
      <w:bookmarkStart w:id="126" w:name="_Toc19270670"/>
      <w:bookmarkStart w:id="127" w:name="_Toc22806716"/>
      <w:proofErr w:type="spellStart"/>
      <w:r>
        <w:t>Maugean</w:t>
      </w:r>
      <w:proofErr w:type="spellEnd"/>
      <w:r>
        <w:t xml:space="preserve"> Skate</w:t>
      </w:r>
      <w:r w:rsidR="00DB3543">
        <w:t xml:space="preserve">, Macquarie </w:t>
      </w:r>
      <w:proofErr w:type="spellStart"/>
      <w:r w:rsidR="00DB3543">
        <w:t>Harbour</w:t>
      </w:r>
      <w:bookmarkEnd w:id="125"/>
      <w:bookmarkEnd w:id="126"/>
      <w:bookmarkEnd w:id="127"/>
      <w:proofErr w:type="spellEnd"/>
    </w:p>
    <w:tbl>
      <w:tblPr>
        <w:tblStyle w:val="TableGrid"/>
        <w:tblW w:w="0" w:type="auto"/>
        <w:tblLook w:val="04A0" w:firstRow="1" w:lastRow="0" w:firstColumn="1" w:lastColumn="0" w:noHBand="0" w:noVBand="1"/>
      </w:tblPr>
      <w:tblGrid>
        <w:gridCol w:w="9350"/>
      </w:tblGrid>
      <w:tr w:rsidR="001C608E" w14:paraId="73A13C1B" w14:textId="77777777" w:rsidTr="001C608E">
        <w:tc>
          <w:tcPr>
            <w:tcW w:w="9350" w:type="dxa"/>
          </w:tcPr>
          <w:p w14:paraId="34231D32" w14:textId="77777777" w:rsidR="00134713" w:rsidRDefault="001C608E" w:rsidP="001C608E">
            <w:pPr>
              <w:pStyle w:val="Boxedtext"/>
              <w:ind w:left="29" w:hanging="29"/>
              <w:rPr>
                <w:lang w:val="en-US"/>
              </w:rPr>
            </w:pPr>
            <w:r w:rsidRPr="004512CB">
              <w:rPr>
                <w:lang w:val="en-US"/>
              </w:rPr>
              <w:t xml:space="preserve">The Australian and Tasmanian governments are committed to </w:t>
            </w:r>
            <w:r>
              <w:rPr>
                <w:lang w:val="en-US"/>
              </w:rPr>
              <w:t>ensuring</w:t>
            </w:r>
            <w:r w:rsidRPr="004512CB">
              <w:rPr>
                <w:lang w:val="en-US"/>
              </w:rPr>
              <w:t xml:space="preserve"> the survival of the </w:t>
            </w:r>
            <w:proofErr w:type="spellStart"/>
            <w:r w:rsidRPr="004512CB">
              <w:t>Maugean</w:t>
            </w:r>
            <w:proofErr w:type="spellEnd"/>
            <w:r w:rsidRPr="004512CB">
              <w:t xml:space="preserve"> skate</w:t>
            </w:r>
            <w:r w:rsidRPr="004512CB">
              <w:rPr>
                <w:lang w:val="en-US"/>
              </w:rPr>
              <w:t>.</w:t>
            </w:r>
          </w:p>
          <w:p w14:paraId="1C6541FD" w14:textId="144360CA" w:rsidR="001C608E" w:rsidRDefault="001C608E" w:rsidP="001C608E">
            <w:pPr>
              <w:pStyle w:val="Boxedtext"/>
              <w:ind w:left="29" w:hanging="29"/>
              <w:rPr>
                <w:lang w:val="en-US" w:eastAsia="ja-JP"/>
              </w:rPr>
            </w:pPr>
            <w:r>
              <w:rPr>
                <w:lang w:val="en-US"/>
              </w:rPr>
              <w:t xml:space="preserve">The </w:t>
            </w:r>
            <w:r w:rsidRPr="001C608E">
              <w:rPr>
                <w:lang w:val="en-US"/>
              </w:rPr>
              <w:t>maximum</w:t>
            </w:r>
            <w:r w:rsidRPr="007423A0">
              <w:rPr>
                <w:lang w:val="en"/>
              </w:rPr>
              <w:t xml:space="preserve"> permissible biomass for aquaculture in Macquarie </w:t>
            </w:r>
            <w:proofErr w:type="spellStart"/>
            <w:r w:rsidRPr="007423A0">
              <w:rPr>
                <w:lang w:val="en"/>
              </w:rPr>
              <w:t>Harbour</w:t>
            </w:r>
            <w:proofErr w:type="spellEnd"/>
            <w:r w:rsidRPr="007423A0">
              <w:rPr>
                <w:lang w:val="en"/>
              </w:rPr>
              <w:t xml:space="preserve"> has been lowered </w:t>
            </w:r>
            <w:r>
              <w:rPr>
                <w:lang w:val="en"/>
              </w:rPr>
              <w:t xml:space="preserve">to prevent </w:t>
            </w:r>
            <w:r w:rsidRPr="007423A0">
              <w:t>the impact of low dissolved oxygen</w:t>
            </w:r>
            <w:r>
              <w:t xml:space="preserve"> on a range of values in the harbour</w:t>
            </w:r>
            <w:r w:rsidR="005B6DB8">
              <w:t>,</w:t>
            </w:r>
            <w:r>
              <w:t xml:space="preserve"> including the </w:t>
            </w:r>
            <w:proofErr w:type="spellStart"/>
            <w:r>
              <w:t>Maugean</w:t>
            </w:r>
            <w:proofErr w:type="spellEnd"/>
            <w:r>
              <w:t xml:space="preserve"> Skate</w:t>
            </w:r>
            <w:r w:rsidR="00C277F1">
              <w:t>.</w:t>
            </w:r>
          </w:p>
        </w:tc>
      </w:tr>
    </w:tbl>
    <w:p w14:paraId="371C8EEB" w14:textId="13857F37" w:rsidR="007B2DA6" w:rsidRPr="001C5211" w:rsidRDefault="00871AE6" w:rsidP="00824985">
      <w:pPr>
        <w:spacing w:before="170" w:after="0"/>
      </w:pPr>
      <w:r w:rsidRPr="001C5211">
        <w:t>Macquarie Harbour</w:t>
      </w:r>
      <w:r w:rsidR="00FB464A">
        <w:t xml:space="preserve">, in the west of the </w:t>
      </w:r>
      <w:r w:rsidR="00134713">
        <w:t>property</w:t>
      </w:r>
      <w:r w:rsidR="00FB464A">
        <w:t>,</w:t>
      </w:r>
      <w:r w:rsidRPr="001C5211">
        <w:t xml:space="preserve"> supports the only known </w:t>
      </w:r>
      <w:r w:rsidR="00C47732" w:rsidRPr="001C5211">
        <w:t xml:space="preserve">population of the </w:t>
      </w:r>
      <w:proofErr w:type="spellStart"/>
      <w:r w:rsidR="00C47732" w:rsidRPr="001C5211">
        <w:t>Maugean</w:t>
      </w:r>
      <w:proofErr w:type="spellEnd"/>
      <w:r w:rsidR="00C47732" w:rsidRPr="001C5211">
        <w:t xml:space="preserve"> skate</w:t>
      </w:r>
      <w:r w:rsidR="005C17C8">
        <w:t xml:space="preserve"> (</w:t>
      </w:r>
      <w:proofErr w:type="spellStart"/>
      <w:r w:rsidR="005C17C8" w:rsidRPr="005C17C8">
        <w:rPr>
          <w:i/>
        </w:rPr>
        <w:t>Zearaja</w:t>
      </w:r>
      <w:proofErr w:type="spellEnd"/>
      <w:r w:rsidR="005C17C8" w:rsidRPr="005C17C8">
        <w:rPr>
          <w:i/>
        </w:rPr>
        <w:t xml:space="preserve"> </w:t>
      </w:r>
      <w:proofErr w:type="spellStart"/>
      <w:r w:rsidR="005C17C8" w:rsidRPr="005C17C8">
        <w:rPr>
          <w:i/>
        </w:rPr>
        <w:t>maugeana</w:t>
      </w:r>
      <w:proofErr w:type="spellEnd"/>
      <w:r w:rsidR="005C17C8">
        <w:t>)</w:t>
      </w:r>
      <w:r w:rsidRPr="001C5211">
        <w:t>, which is</w:t>
      </w:r>
      <w:r w:rsidR="00C47732" w:rsidRPr="001C5211">
        <w:t xml:space="preserve"> listed as </w:t>
      </w:r>
      <w:r w:rsidR="00C010C1">
        <w:t>e</w:t>
      </w:r>
      <w:r w:rsidR="00C47732" w:rsidRPr="001C5211">
        <w:t xml:space="preserve">ndangered under </w:t>
      </w:r>
      <w:r w:rsidR="00270FC6">
        <w:t xml:space="preserve">both </w:t>
      </w:r>
      <w:r w:rsidR="00C47732" w:rsidRPr="001C5211">
        <w:t xml:space="preserve">the EPBC Act and </w:t>
      </w:r>
      <w:r w:rsidR="00896FB3" w:rsidRPr="001C5211">
        <w:t xml:space="preserve">Tasmania’s </w:t>
      </w:r>
      <w:r w:rsidR="00896FB3" w:rsidRPr="001C5211">
        <w:rPr>
          <w:i/>
          <w:lang w:val="en"/>
        </w:rPr>
        <w:t>Threatened Species Protection Act 1995</w:t>
      </w:r>
      <w:r w:rsidRPr="001C5211">
        <w:t xml:space="preserve">. The skate was previously </w:t>
      </w:r>
      <w:r w:rsidR="005C17C8">
        <w:t xml:space="preserve">also </w:t>
      </w:r>
      <w:r w:rsidRPr="001C5211">
        <w:t>known from Port Davey, to the south of Macquarie Harbour</w:t>
      </w:r>
      <w:r w:rsidR="0066718D" w:rsidRPr="0066718D">
        <w:t xml:space="preserve"> </w:t>
      </w:r>
      <w:r w:rsidR="0066718D" w:rsidRPr="00F626F1">
        <w:t>but has not been found there since 1992, with recent search efforts failing to find any evidence of the species</w:t>
      </w:r>
      <w:r w:rsidRPr="001C5211">
        <w:t>.</w:t>
      </w:r>
      <w:r w:rsidR="007B2DA6">
        <w:t xml:space="preserve"> </w:t>
      </w:r>
      <w:r w:rsidR="007B2DA6" w:rsidRPr="001C5211">
        <w:t xml:space="preserve">Approximately one third of Macquarie Harbour </w:t>
      </w:r>
      <w:r w:rsidR="005817C5">
        <w:t xml:space="preserve">(at </w:t>
      </w:r>
      <w:r w:rsidR="005817C5" w:rsidRPr="001C5211">
        <w:t>the south western end</w:t>
      </w:r>
      <w:r w:rsidR="005817C5">
        <w:t>)</w:t>
      </w:r>
      <w:r w:rsidR="005817C5" w:rsidRPr="001C5211">
        <w:t xml:space="preserve"> </w:t>
      </w:r>
      <w:r w:rsidR="007B2DA6" w:rsidRPr="001C5211">
        <w:t xml:space="preserve">is included in the </w:t>
      </w:r>
      <w:r w:rsidR="007B2DA6">
        <w:rPr>
          <w:lang w:val="en-US"/>
        </w:rPr>
        <w:t>property</w:t>
      </w:r>
      <w:r w:rsidR="007B2DA6" w:rsidRPr="001C5211">
        <w:t xml:space="preserve">. </w:t>
      </w:r>
    </w:p>
    <w:p w14:paraId="5DA3AE67" w14:textId="5321FFF4" w:rsidR="00C47732" w:rsidRPr="001C5211" w:rsidRDefault="00C47732" w:rsidP="00824985">
      <w:pPr>
        <w:spacing w:before="170" w:after="0"/>
      </w:pPr>
      <w:r w:rsidRPr="001C5211">
        <w:t>A</w:t>
      </w:r>
      <w:r w:rsidR="00CF49F4">
        <w:t xml:space="preserve">n </w:t>
      </w:r>
      <w:r w:rsidRPr="001C5211">
        <w:t xml:space="preserve">Institute for Marine and Antarctic Studies </w:t>
      </w:r>
      <w:r w:rsidR="00CF49F4">
        <w:t xml:space="preserve">project has </w:t>
      </w:r>
      <w:r w:rsidRPr="001C5211">
        <w:t xml:space="preserve">highlighted concerns about the long-term survival of the </w:t>
      </w:r>
      <w:proofErr w:type="spellStart"/>
      <w:r w:rsidRPr="001C5211">
        <w:t>Maugean</w:t>
      </w:r>
      <w:proofErr w:type="spellEnd"/>
      <w:r w:rsidRPr="001C5211">
        <w:t xml:space="preserve"> skate in Macquarie Harbour due to </w:t>
      </w:r>
      <w:r w:rsidR="00E86F90">
        <w:t xml:space="preserve">the </w:t>
      </w:r>
      <w:r w:rsidRPr="001C5211">
        <w:t>very low dissolved oxygen levels in the deeper waters. There is</w:t>
      </w:r>
      <w:r w:rsidR="007B2DA6">
        <w:t xml:space="preserve"> sufficient</w:t>
      </w:r>
      <w:r w:rsidRPr="001C5211">
        <w:t xml:space="preserve"> evidence to suggest the low dissolved oxygen levels may have a significant impact on the species.</w:t>
      </w:r>
    </w:p>
    <w:p w14:paraId="6B6687DF" w14:textId="6A9C05E4" w:rsidR="00695271" w:rsidRPr="001C5211" w:rsidRDefault="00155581" w:rsidP="00824985">
      <w:pPr>
        <w:spacing w:before="170" w:after="0"/>
        <w:rPr>
          <w:lang w:val="en"/>
        </w:rPr>
      </w:pPr>
      <w:r w:rsidRPr="008818CC">
        <w:rPr>
          <w:lang w:val="en"/>
        </w:rPr>
        <w:t xml:space="preserve">The Environment Protection Authority Tasmania </w:t>
      </w:r>
      <w:r w:rsidR="00124950" w:rsidRPr="008818CC">
        <w:t xml:space="preserve">issues Management Determinations, Environment Protection Notices and orders for management actions to companies involved in salmon farming. This has included setting the Biomass Limit for </w:t>
      </w:r>
      <w:r w:rsidR="00CF13C9" w:rsidRPr="008818CC">
        <w:t>Macquarie H</w:t>
      </w:r>
      <w:r w:rsidR="00124950" w:rsidRPr="008818CC">
        <w:t>arbour and approving waste capture treatment and disposal</w:t>
      </w:r>
      <w:r w:rsidRPr="008818CC">
        <w:rPr>
          <w:lang w:val="en"/>
        </w:rPr>
        <w:t>.</w:t>
      </w:r>
      <w:r w:rsidRPr="00155581">
        <w:rPr>
          <w:lang w:val="en"/>
        </w:rPr>
        <w:t> </w:t>
      </w:r>
      <w:r w:rsidR="00813E26" w:rsidRPr="009D06CA">
        <w:rPr>
          <w:lang w:val="en"/>
        </w:rPr>
        <w:t>The</w:t>
      </w:r>
      <w:r w:rsidR="000C1E5B" w:rsidRPr="009D06CA">
        <w:rPr>
          <w:lang w:val="en"/>
        </w:rPr>
        <w:t xml:space="preserve"> maximum permissible biomass for aquaculture in Macquarie </w:t>
      </w:r>
      <w:proofErr w:type="spellStart"/>
      <w:r w:rsidR="000C1E5B" w:rsidRPr="009D06CA">
        <w:rPr>
          <w:lang w:val="en"/>
        </w:rPr>
        <w:t>Harbour</w:t>
      </w:r>
      <w:proofErr w:type="spellEnd"/>
      <w:r w:rsidR="000C1E5B" w:rsidRPr="009D06CA">
        <w:rPr>
          <w:lang w:val="en"/>
        </w:rPr>
        <w:t xml:space="preserve"> has been lowered from 21,500</w:t>
      </w:r>
      <w:r w:rsidR="00270FC6">
        <w:rPr>
          <w:lang w:val="en"/>
        </w:rPr>
        <w:t> </w:t>
      </w:r>
      <w:proofErr w:type="spellStart"/>
      <w:r w:rsidR="000C1E5B" w:rsidRPr="009D06CA">
        <w:rPr>
          <w:lang w:val="en"/>
        </w:rPr>
        <w:t>tonnes</w:t>
      </w:r>
      <w:proofErr w:type="spellEnd"/>
      <w:r w:rsidR="000C1E5B" w:rsidRPr="009D06CA">
        <w:rPr>
          <w:lang w:val="en"/>
        </w:rPr>
        <w:t xml:space="preserve"> </w:t>
      </w:r>
      <w:r w:rsidR="00813E26" w:rsidRPr="009D06CA">
        <w:rPr>
          <w:lang w:val="en"/>
        </w:rPr>
        <w:t>in January 2017</w:t>
      </w:r>
      <w:r w:rsidR="001A6233" w:rsidRPr="009D06CA">
        <w:rPr>
          <w:lang w:val="en"/>
        </w:rPr>
        <w:t>,</w:t>
      </w:r>
      <w:r w:rsidR="00813E26" w:rsidRPr="009D06CA">
        <w:rPr>
          <w:lang w:val="en"/>
        </w:rPr>
        <w:t xml:space="preserve"> </w:t>
      </w:r>
      <w:r w:rsidR="000C1E5B" w:rsidRPr="009D06CA">
        <w:rPr>
          <w:lang w:val="en"/>
        </w:rPr>
        <w:t xml:space="preserve">to 9,500 </w:t>
      </w:r>
      <w:proofErr w:type="spellStart"/>
      <w:r w:rsidR="000C1E5B" w:rsidRPr="009D06CA">
        <w:rPr>
          <w:lang w:val="en"/>
        </w:rPr>
        <w:t>tonnes</w:t>
      </w:r>
      <w:proofErr w:type="spellEnd"/>
      <w:r w:rsidR="000C1E5B" w:rsidRPr="009D06CA">
        <w:rPr>
          <w:lang w:val="en"/>
        </w:rPr>
        <w:t xml:space="preserve"> in May 2018. This limit will be in place from </w:t>
      </w:r>
      <w:r w:rsidR="00270FC6" w:rsidRPr="009D06CA">
        <w:rPr>
          <w:lang w:val="en"/>
        </w:rPr>
        <w:t>1</w:t>
      </w:r>
      <w:r w:rsidR="00270FC6">
        <w:rPr>
          <w:lang w:val="en"/>
        </w:rPr>
        <w:t xml:space="preserve"> </w:t>
      </w:r>
      <w:r w:rsidR="000C1E5B" w:rsidRPr="009D06CA">
        <w:rPr>
          <w:lang w:val="en"/>
        </w:rPr>
        <w:t xml:space="preserve">June 2018 until 31 May 2020. </w:t>
      </w:r>
    </w:p>
    <w:p w14:paraId="577769C6" w14:textId="01BA85ED" w:rsidR="00C47732" w:rsidRDefault="00C47732" w:rsidP="00824985">
      <w:pPr>
        <w:spacing w:before="170" w:after="0"/>
      </w:pPr>
      <w:r w:rsidRPr="001C5211">
        <w:t>The University of Tasmania</w:t>
      </w:r>
      <w:r w:rsidR="00531D5E">
        <w:t xml:space="preserve"> </w:t>
      </w:r>
      <w:r w:rsidR="00CE5F14">
        <w:t>is</w:t>
      </w:r>
      <w:r w:rsidR="00CE5F14" w:rsidRPr="001C5211">
        <w:t xml:space="preserve"> </w:t>
      </w:r>
      <w:r w:rsidRPr="001C5211">
        <w:t xml:space="preserve">continuing research into the impact of low dissolved oxygen on </w:t>
      </w:r>
      <w:proofErr w:type="spellStart"/>
      <w:r w:rsidRPr="001C5211">
        <w:t>Maugean</w:t>
      </w:r>
      <w:proofErr w:type="spellEnd"/>
      <w:r w:rsidRPr="001C5211">
        <w:t xml:space="preserve"> skate survival and reproduction through a Fisheries Research and Development Corporation project. The project is funded </w:t>
      </w:r>
      <w:r w:rsidR="0072125A" w:rsidRPr="001C5211">
        <w:t>until</w:t>
      </w:r>
      <w:r w:rsidRPr="001C5211">
        <w:t xml:space="preserve"> 2020.</w:t>
      </w:r>
    </w:p>
    <w:p w14:paraId="794A2F13" w14:textId="129BA368" w:rsidR="007D0405" w:rsidRPr="007D0405" w:rsidRDefault="00C47732" w:rsidP="00824985">
      <w:pPr>
        <w:spacing w:before="170" w:after="0"/>
      </w:pPr>
      <w:r w:rsidRPr="001C5211">
        <w:t xml:space="preserve">The </w:t>
      </w:r>
      <w:r w:rsidR="00896FB3" w:rsidRPr="001C5211">
        <w:t xml:space="preserve">Australian Government </w:t>
      </w:r>
      <w:r w:rsidR="00BC09B7">
        <w:t>has</w:t>
      </w:r>
      <w:r w:rsidRPr="001C5211">
        <w:t xml:space="preserve"> </w:t>
      </w:r>
      <w:r w:rsidR="00BC09B7" w:rsidRPr="007D0405">
        <w:t>prioritised</w:t>
      </w:r>
      <w:r w:rsidR="00BC09B7">
        <w:t xml:space="preserve"> the </w:t>
      </w:r>
      <w:r w:rsidR="00896FB3" w:rsidRPr="001C5211">
        <w:t xml:space="preserve">EPBC Act </w:t>
      </w:r>
      <w:r w:rsidRPr="001C5211">
        <w:t xml:space="preserve">Conservation Advice for the species </w:t>
      </w:r>
      <w:r w:rsidR="00BC09B7" w:rsidRPr="007D0405">
        <w:t>for review</w:t>
      </w:r>
      <w:r w:rsidR="00BC09B7">
        <w:t>,</w:t>
      </w:r>
      <w:r w:rsidR="00BC09B7" w:rsidRPr="001C5211">
        <w:t xml:space="preserve"> </w:t>
      </w:r>
      <w:r w:rsidRPr="001C5211">
        <w:t>to ensure new research and concerns are reflected.</w:t>
      </w:r>
      <w:r w:rsidR="007D0405" w:rsidRPr="007D0405">
        <w:t xml:space="preserve"> This review will be completed when the results of current Fisheries Research and Development Corporation funded research into the vulnerability of the species are available. The current Conservation Advice for the </w:t>
      </w:r>
      <w:proofErr w:type="spellStart"/>
      <w:r w:rsidR="007D0405" w:rsidRPr="007D0405">
        <w:t>Maugean</w:t>
      </w:r>
      <w:proofErr w:type="spellEnd"/>
      <w:r w:rsidR="007D0405" w:rsidRPr="007D0405">
        <w:t xml:space="preserve"> skate was developed in 2008.</w:t>
      </w:r>
    </w:p>
    <w:p w14:paraId="2DFCEAE8" w14:textId="6FC5806F" w:rsidR="00B54324" w:rsidRDefault="00995963" w:rsidP="00F310BD">
      <w:pPr>
        <w:pStyle w:val="Heading2"/>
        <w:spacing w:before="170"/>
      </w:pPr>
      <w:bookmarkStart w:id="128" w:name="_Toc19270671"/>
      <w:bookmarkStart w:id="129" w:name="_Toc22806717"/>
      <w:r>
        <w:t xml:space="preserve">Recent research related to previous </w:t>
      </w:r>
      <w:r w:rsidR="00051F4B" w:rsidRPr="00051F4B">
        <w:t xml:space="preserve">mining activity adjacent to the </w:t>
      </w:r>
      <w:r w:rsidR="00997D4D" w:rsidRPr="00051F4B">
        <w:t>T</w:t>
      </w:r>
      <w:r w:rsidR="00997D4D">
        <w:t>asmanian Wilderness World Heritage Area</w:t>
      </w:r>
      <w:bookmarkEnd w:id="128"/>
      <w:bookmarkEnd w:id="129"/>
    </w:p>
    <w:tbl>
      <w:tblPr>
        <w:tblStyle w:val="TableGrid"/>
        <w:tblW w:w="0" w:type="auto"/>
        <w:tblLook w:val="04A0" w:firstRow="1" w:lastRow="0" w:firstColumn="1" w:lastColumn="0" w:noHBand="0" w:noVBand="1"/>
      </w:tblPr>
      <w:tblGrid>
        <w:gridCol w:w="9350"/>
      </w:tblGrid>
      <w:tr w:rsidR="00D864D0" w14:paraId="518C1908" w14:textId="77777777" w:rsidTr="00D864D0">
        <w:tc>
          <w:tcPr>
            <w:tcW w:w="9350" w:type="dxa"/>
          </w:tcPr>
          <w:p w14:paraId="5D4F9821" w14:textId="782A1368" w:rsidR="00D864D0" w:rsidRDefault="00270E72" w:rsidP="00270E72">
            <w:pPr>
              <w:pStyle w:val="Boxedtext"/>
              <w:ind w:left="29" w:hanging="29"/>
              <w:rPr>
                <w:lang w:val="en-US" w:eastAsia="ja-JP"/>
              </w:rPr>
            </w:pPr>
            <w:r>
              <w:rPr>
                <w:lang w:val="en-US"/>
              </w:rPr>
              <w:t>R</w:t>
            </w:r>
            <w:r w:rsidRPr="00995963">
              <w:rPr>
                <w:lang w:val="en-US"/>
              </w:rPr>
              <w:t>esearch</w:t>
            </w:r>
            <w:r>
              <w:rPr>
                <w:lang w:val="en-US"/>
              </w:rPr>
              <w:t xml:space="preserve"> </w:t>
            </w:r>
            <w:r w:rsidR="00D864D0">
              <w:rPr>
                <w:lang w:val="en-US"/>
              </w:rPr>
              <w:t>on</w:t>
            </w:r>
            <w:r w:rsidR="00D864D0" w:rsidRPr="00995963">
              <w:rPr>
                <w:lang w:val="en-US"/>
              </w:rPr>
              <w:t xml:space="preserve"> possible chemical contamination of lake sediment as a result </w:t>
            </w:r>
            <w:r w:rsidR="00D864D0">
              <w:rPr>
                <w:lang w:val="en-US"/>
              </w:rPr>
              <w:t xml:space="preserve">of </w:t>
            </w:r>
            <w:r w:rsidR="00D864D0" w:rsidRPr="00995963">
              <w:rPr>
                <w:lang w:val="en-US"/>
              </w:rPr>
              <w:t>historic mining activity</w:t>
            </w:r>
            <w:r w:rsidR="00D864D0">
              <w:rPr>
                <w:lang w:val="en-US"/>
              </w:rPr>
              <w:t xml:space="preserve"> adjacent to the Tasmanian Wilderness World Heritage Area</w:t>
            </w:r>
            <w:r>
              <w:rPr>
                <w:lang w:val="en-US"/>
              </w:rPr>
              <w:t>, has r</w:t>
            </w:r>
            <w:r w:rsidRPr="00995963">
              <w:rPr>
                <w:lang w:val="en-US"/>
              </w:rPr>
              <w:t>ecent</w:t>
            </w:r>
            <w:r>
              <w:rPr>
                <w:lang w:val="en-US"/>
              </w:rPr>
              <w:t>ly</w:t>
            </w:r>
            <w:r w:rsidRPr="00995963">
              <w:rPr>
                <w:lang w:val="en-US"/>
              </w:rPr>
              <w:t xml:space="preserve"> </w:t>
            </w:r>
            <w:r>
              <w:rPr>
                <w:lang w:val="en-US"/>
              </w:rPr>
              <w:t>been published</w:t>
            </w:r>
            <w:r w:rsidR="00D864D0" w:rsidRPr="00995963">
              <w:rPr>
                <w:lang w:val="en-US"/>
              </w:rPr>
              <w:t xml:space="preserve">. However, </w:t>
            </w:r>
            <w:r w:rsidR="00D864D0" w:rsidRPr="00995963">
              <w:t>independent reviews of the research paper have raised uncertainties with this work</w:t>
            </w:r>
            <w:r w:rsidR="00D864D0">
              <w:t>.</w:t>
            </w:r>
          </w:p>
        </w:tc>
      </w:tr>
    </w:tbl>
    <w:p w14:paraId="767B1EB1" w14:textId="2295F8CF" w:rsidR="00B54324" w:rsidRPr="00AE7319" w:rsidRDefault="00B54324" w:rsidP="00FF381A">
      <w:pPr>
        <w:shd w:val="clear" w:color="auto" w:fill="FFFFFF" w:themeFill="background1"/>
        <w:spacing w:before="170" w:after="0"/>
      </w:pPr>
      <w:r w:rsidRPr="00AE7319">
        <w:t>Australian National University rese</w:t>
      </w:r>
      <w:r w:rsidR="00B678B8" w:rsidRPr="00AE7319">
        <w:t>archers have published a pape</w:t>
      </w:r>
      <w:r w:rsidR="00FD7299" w:rsidRPr="00AE7319">
        <w:t>r</w:t>
      </w:r>
      <w:r w:rsidR="00D0404A">
        <w:rPr>
          <w:rStyle w:val="FootnoteReference"/>
        </w:rPr>
        <w:footnoteReference w:id="6"/>
      </w:r>
      <w:r w:rsidR="00721727">
        <w:t xml:space="preserve"> which reports on </w:t>
      </w:r>
      <w:r w:rsidR="00E86F90">
        <w:t xml:space="preserve">the </w:t>
      </w:r>
      <w:r w:rsidRPr="00AE7319">
        <w:t xml:space="preserve">levels of lead, copper, arsenic and cadmium in </w:t>
      </w:r>
      <w:r w:rsidR="00B45D81" w:rsidRPr="00AE7319">
        <w:t xml:space="preserve">sediments of </w:t>
      </w:r>
      <w:r w:rsidRPr="00AE7319">
        <w:t xml:space="preserve">four lakes in the </w:t>
      </w:r>
      <w:r w:rsidR="00997D4D" w:rsidRPr="00AE7319">
        <w:t>property</w:t>
      </w:r>
      <w:r w:rsidR="00E86F90">
        <w:t>,</w:t>
      </w:r>
      <w:r w:rsidRPr="00AE7319">
        <w:t xml:space="preserve"> and two lakes to the west of the </w:t>
      </w:r>
      <w:r w:rsidR="008740C5" w:rsidRPr="00AE7319">
        <w:t>property</w:t>
      </w:r>
      <w:r w:rsidR="00995963">
        <w:t>.</w:t>
      </w:r>
    </w:p>
    <w:p w14:paraId="6C5556C6" w14:textId="28B4DA0B" w:rsidR="00B54324" w:rsidRPr="00AE7319" w:rsidRDefault="00B54324" w:rsidP="00185AB3">
      <w:pPr>
        <w:shd w:val="clear" w:color="auto" w:fill="FFFFFF" w:themeFill="background1"/>
        <w:spacing w:before="170" w:after="0"/>
      </w:pPr>
      <w:r w:rsidRPr="00AE7319">
        <w:lastRenderedPageBreak/>
        <w:t xml:space="preserve">These metal contaminants </w:t>
      </w:r>
      <w:r w:rsidR="00FC25E9">
        <w:t>may</w:t>
      </w:r>
      <w:r w:rsidR="00FC25E9" w:rsidRPr="00AE7319">
        <w:t xml:space="preserve"> </w:t>
      </w:r>
      <w:r w:rsidRPr="00AE7319">
        <w:t xml:space="preserve">result from historic mining activity in Queenstown and Rosebery. </w:t>
      </w:r>
      <w:r w:rsidR="00FC25E9">
        <w:t>According to the research</w:t>
      </w:r>
      <w:r w:rsidR="001A6233">
        <w:t>,</w:t>
      </w:r>
      <w:r w:rsidR="00FC25E9">
        <w:t xml:space="preserve"> t</w:t>
      </w:r>
      <w:r w:rsidR="00B678B8" w:rsidRPr="00AE7319">
        <w:t xml:space="preserve">he largest increase in sedimentation and metal contamination occurred around 1930 when open-cut mining commenced and new mining technology was introduced into the region. </w:t>
      </w:r>
      <w:r w:rsidR="00BD53AF" w:rsidRPr="00AE7319">
        <w:t>During this period, t</w:t>
      </w:r>
      <w:r w:rsidR="00B678B8" w:rsidRPr="00AE7319">
        <w:t>he geochemical signal of lake sediments changed from reflecting the underlying geology and lithology to that reflecting mining activities.</w:t>
      </w:r>
    </w:p>
    <w:p w14:paraId="20EEC81E" w14:textId="0E60DB8F" w:rsidR="00B54324" w:rsidRPr="00AE7319" w:rsidRDefault="00B54324" w:rsidP="00824985">
      <w:pPr>
        <w:shd w:val="clear" w:color="auto" w:fill="FFFFFF" w:themeFill="background1"/>
        <w:spacing w:before="170" w:after="0"/>
      </w:pPr>
      <w:r w:rsidRPr="00AE7319">
        <w:t xml:space="preserve">The western boundary of the </w:t>
      </w:r>
      <w:r w:rsidR="00997D4D" w:rsidRPr="00AE7319">
        <w:t>property</w:t>
      </w:r>
      <w:r w:rsidRPr="00AE7319">
        <w:t xml:space="preserve"> lies 11 and 12 km from Queenstown and Rosebery, respectively, in the prevailing wind direction. The paper reveals that contamination from mining sites can influence areas up to </w:t>
      </w:r>
      <w:r w:rsidR="005D5115">
        <w:t>130</w:t>
      </w:r>
      <w:r w:rsidR="00E86F90">
        <w:t> </w:t>
      </w:r>
      <w:r w:rsidR="005D5115">
        <w:t>km down</w:t>
      </w:r>
      <w:r w:rsidRPr="00AE7319">
        <w:t>wind of mining sites (Lake Cygnus).</w:t>
      </w:r>
      <w:r w:rsidR="00B678B8" w:rsidRPr="00AE7319">
        <w:rPr>
          <w:rFonts w:ascii="AdvTT5235d5a9" w:eastAsiaTheme="minorHAnsi" w:hAnsi="AdvTT5235d5a9" w:cs="AdvTT5235d5a9"/>
          <w:sz w:val="14"/>
          <w:szCs w:val="14"/>
        </w:rPr>
        <w:t xml:space="preserve"> </w:t>
      </w:r>
    </w:p>
    <w:p w14:paraId="037FE6D1" w14:textId="2B45A8C6" w:rsidR="00B54324" w:rsidRPr="001A6233" w:rsidRDefault="00B54324" w:rsidP="00824985">
      <w:pPr>
        <w:spacing w:before="170" w:after="0"/>
      </w:pPr>
      <w:r w:rsidRPr="001A6233">
        <w:t xml:space="preserve">Owen Tarn and Basin Lake (outside the </w:t>
      </w:r>
      <w:r w:rsidR="00997D4D" w:rsidRPr="001A6233">
        <w:t>property</w:t>
      </w:r>
      <w:r w:rsidRPr="001A6233">
        <w:t xml:space="preserve"> and closest to the mine sites) had the highest levels of </w:t>
      </w:r>
      <w:r w:rsidR="00B45D81" w:rsidRPr="001A6233">
        <w:t xml:space="preserve">sediment </w:t>
      </w:r>
      <w:r w:rsidRPr="001A6233">
        <w:t xml:space="preserve">contamination. The lakes located within the </w:t>
      </w:r>
      <w:r w:rsidR="00997D4D" w:rsidRPr="001A6233">
        <w:t xml:space="preserve">property </w:t>
      </w:r>
      <w:r w:rsidRPr="001A6233">
        <w:t xml:space="preserve">(Perched Lake, Dove Lake, Lake Dobson and Lake Cygnus) also showed </w:t>
      </w:r>
      <w:r w:rsidR="00B45D81" w:rsidRPr="001A6233">
        <w:t xml:space="preserve">sediment </w:t>
      </w:r>
      <w:r w:rsidRPr="001A6233">
        <w:t>contamination ranging from moderate to very severe.</w:t>
      </w:r>
    </w:p>
    <w:p w14:paraId="5CC69114" w14:textId="0D9AC4F6" w:rsidR="001A6233" w:rsidRPr="001A6233" w:rsidRDefault="001A6233" w:rsidP="00824985">
      <w:pPr>
        <w:spacing w:before="170" w:after="0"/>
      </w:pPr>
      <w:r w:rsidRPr="001A6233">
        <w:t xml:space="preserve">The Tasmanian Government </w:t>
      </w:r>
      <w:r w:rsidR="00C51A92" w:rsidRPr="001A6233">
        <w:t>completed a technical review by scientific staff from E</w:t>
      </w:r>
      <w:r w:rsidR="00D864D0">
        <w:t xml:space="preserve">nvironment </w:t>
      </w:r>
      <w:r w:rsidR="00C51A92" w:rsidRPr="001A6233">
        <w:t>P</w:t>
      </w:r>
      <w:r w:rsidR="00D864D0">
        <w:t xml:space="preserve">rotection </w:t>
      </w:r>
      <w:r w:rsidR="00C51A92" w:rsidRPr="001A6233">
        <w:t>A</w:t>
      </w:r>
      <w:r w:rsidR="00D864D0">
        <w:t>ustralia</w:t>
      </w:r>
      <w:r w:rsidR="00C51A92" w:rsidRPr="001A6233">
        <w:t xml:space="preserve"> </w:t>
      </w:r>
      <w:r w:rsidR="00D864D0">
        <w:t xml:space="preserve">(EPA) </w:t>
      </w:r>
      <w:r w:rsidR="00C51A92" w:rsidRPr="001A6233">
        <w:t>Tasmania and commissioned the University of Tasmania to independently review the paper</w:t>
      </w:r>
      <w:r w:rsidRPr="001A6233">
        <w:t xml:space="preserve">. The review reports are available </w:t>
      </w:r>
      <w:r w:rsidR="00E86F90">
        <w:t>on</w:t>
      </w:r>
      <w:r w:rsidR="007B724E">
        <w:t xml:space="preserve"> </w:t>
      </w:r>
      <w:hyperlink r:id="rId38" w:history="1">
        <w:r w:rsidR="007B724E" w:rsidRPr="007B724E">
          <w:rPr>
            <w:rStyle w:val="Hyperlink"/>
            <w:rFonts w:cs="Times New Roman"/>
          </w:rPr>
          <w:t>EPA Tasmania’s website</w:t>
        </w:r>
      </w:hyperlink>
      <w:r w:rsidR="007B724E">
        <w:t>.</w:t>
      </w:r>
    </w:p>
    <w:p w14:paraId="48B88C19" w14:textId="33031D0E" w:rsidR="0021169E" w:rsidRDefault="00AE6E66" w:rsidP="00824985">
      <w:pPr>
        <w:spacing w:before="170" w:after="0"/>
      </w:pPr>
      <w:r w:rsidRPr="001A6233">
        <w:t>These reviews raised uncertainties with the work, which include potential deficiencies and technical problems, leading to a lack of f</w:t>
      </w:r>
      <w:r w:rsidR="0021169E">
        <w:t>ull confidence in the research.</w:t>
      </w:r>
    </w:p>
    <w:p w14:paraId="6AE38122" w14:textId="77777777" w:rsidR="00AE6E66" w:rsidRPr="001A6233" w:rsidRDefault="0021169E" w:rsidP="00270E72">
      <w:pPr>
        <w:pStyle w:val="Text"/>
        <w:numPr>
          <w:ilvl w:val="0"/>
          <w:numId w:val="6"/>
        </w:numPr>
        <w:spacing w:before="120" w:after="120" w:line="240" w:lineRule="atLeast"/>
        <w:ind w:left="714" w:hanging="357"/>
      </w:pPr>
      <w:r>
        <w:t>B</w:t>
      </w:r>
      <w:r w:rsidR="00AE6E66" w:rsidRPr="001A6233">
        <w:t xml:space="preserve">oth </w:t>
      </w:r>
      <w:r w:rsidRPr="001A6233">
        <w:t>reviews</w:t>
      </w:r>
      <w:r>
        <w:t xml:space="preserve"> </w:t>
      </w:r>
      <w:r w:rsidR="00AE6E66" w:rsidRPr="001A6233">
        <w:t xml:space="preserve">determined that the research paper conclusion linking open-cut mining to metals in lake </w:t>
      </w:r>
      <w:r w:rsidR="00AE6E66" w:rsidRPr="00270E72">
        <w:rPr>
          <w:lang w:val="en-US" w:eastAsia="ja-JP"/>
        </w:rPr>
        <w:t>sediments</w:t>
      </w:r>
      <w:r w:rsidR="00AE6E66" w:rsidRPr="001A6233">
        <w:t xml:space="preserve"> is not supported by the data.</w:t>
      </w:r>
    </w:p>
    <w:p w14:paraId="34DDDE54" w14:textId="77777777" w:rsidR="00AE6E66" w:rsidRPr="001A6233" w:rsidRDefault="007B724E" w:rsidP="00270E72">
      <w:pPr>
        <w:pStyle w:val="Text"/>
        <w:numPr>
          <w:ilvl w:val="0"/>
          <w:numId w:val="6"/>
        </w:numPr>
        <w:spacing w:before="120" w:after="120" w:line="240" w:lineRule="atLeast"/>
        <w:ind w:left="714" w:hanging="357"/>
      </w:pPr>
      <w:r>
        <w:t xml:space="preserve">One of the </w:t>
      </w:r>
      <w:r w:rsidR="00AE6E66" w:rsidRPr="00270E72">
        <w:rPr>
          <w:lang w:val="en-US" w:eastAsia="ja-JP"/>
        </w:rPr>
        <w:t>review</w:t>
      </w:r>
      <w:r w:rsidRPr="00270E72">
        <w:rPr>
          <w:lang w:val="en-US" w:eastAsia="ja-JP"/>
        </w:rPr>
        <w:t>s</w:t>
      </w:r>
      <w:r w:rsidR="00AE6E66" w:rsidRPr="001A6233">
        <w:t xml:space="preserve"> concluded that the researchers' claim that </w:t>
      </w:r>
      <w:r w:rsidR="00AE6E66" w:rsidRPr="0021169E">
        <w:rPr>
          <w:i/>
        </w:rPr>
        <w:t>the</w:t>
      </w:r>
      <w:r w:rsidR="00AE6E66" w:rsidRPr="001A6233">
        <w:t xml:space="preserve"> </w:t>
      </w:r>
      <w:r w:rsidR="00AE6E66" w:rsidRPr="0021169E">
        <w:rPr>
          <w:i/>
        </w:rPr>
        <w:t>metals deposited in the sediments are constantly being remobilised</w:t>
      </w:r>
      <w:r w:rsidR="00AE6E66" w:rsidRPr="001A6233">
        <w:t xml:space="preserve"> is not supported by the data.</w:t>
      </w:r>
    </w:p>
    <w:p w14:paraId="3CA8DF2C" w14:textId="68447F88" w:rsidR="0071065A" w:rsidRDefault="0071065A" w:rsidP="00270E72">
      <w:pPr>
        <w:pStyle w:val="Text"/>
        <w:numPr>
          <w:ilvl w:val="0"/>
          <w:numId w:val="6"/>
        </w:numPr>
        <w:spacing w:before="120" w:after="120" w:line="240" w:lineRule="atLeast"/>
        <w:ind w:left="714" w:hanging="357"/>
      </w:pPr>
      <w:r>
        <w:t xml:space="preserve">Tasmania’s Department of Primary Industries, Parks, Water and Environment collected water samples from sixteen natural lakes and artificial impoundments, in western, south-western, and highland Tasmania, in February and March 2019. </w:t>
      </w:r>
      <w:r w:rsidRPr="0071065A">
        <w:t xml:space="preserve">All metals concentrations, in all lakes, met the </w:t>
      </w:r>
      <w:r w:rsidRPr="00270E72">
        <w:rPr>
          <w:lang w:val="en-US" w:eastAsia="ja-JP"/>
        </w:rPr>
        <w:t>health</w:t>
      </w:r>
      <w:r w:rsidRPr="0071065A">
        <w:t xml:space="preserve"> guideline values of the Australian Drinking Water Guidelines. The results do not indicate that any ecological values are compromised.</w:t>
      </w:r>
    </w:p>
    <w:p w14:paraId="600473CE" w14:textId="6A9691DC" w:rsidR="00693C5C" w:rsidRPr="00693C5C" w:rsidRDefault="00B45D81" w:rsidP="00824985">
      <w:pPr>
        <w:spacing w:before="170" w:after="0"/>
      </w:pPr>
      <w:r w:rsidRPr="001A6233">
        <w:t>Previous studies involving sampling of invertebrates and fish from freshwater lakes within the property failed to demonstrate any adverse findings, indicating that the mining contaminants are most likely strongly bound in the lake sediments.</w:t>
      </w:r>
      <w:r w:rsidR="0021169E" w:rsidRPr="0021169E">
        <w:t xml:space="preserve"> </w:t>
      </w:r>
    </w:p>
    <w:p w14:paraId="42414268" w14:textId="676DFA9F" w:rsidR="0021169E" w:rsidRPr="001A6233" w:rsidRDefault="0021169E" w:rsidP="00824985">
      <w:pPr>
        <w:spacing w:before="170" w:after="0"/>
      </w:pPr>
      <w:r w:rsidRPr="001A6233">
        <w:t>The Tasmanian Government is considering what further action</w:t>
      </w:r>
      <w:r w:rsidR="00E03391">
        <w:t xml:space="preserve"> (if any)</w:t>
      </w:r>
      <w:r w:rsidRPr="001A6233">
        <w:t xml:space="preserve"> may be required. </w:t>
      </w:r>
    </w:p>
    <w:p w14:paraId="5C9D6D71" w14:textId="77777777" w:rsidR="00C028AA" w:rsidRDefault="00C028AA" w:rsidP="00824985">
      <w:pPr>
        <w:spacing w:before="170"/>
        <w:sectPr w:rsidR="00C028AA">
          <w:footerReference w:type="default" r:id="rId39"/>
          <w:pgSz w:w="12240" w:h="15840"/>
          <w:pgMar w:top="1440" w:right="1440" w:bottom="1440" w:left="1440" w:header="708" w:footer="708" w:gutter="0"/>
          <w:cols w:space="708"/>
          <w:docGrid w:linePitch="360"/>
        </w:sectPr>
      </w:pPr>
    </w:p>
    <w:p w14:paraId="00556273" w14:textId="54D7B7A3" w:rsidR="00D864D0" w:rsidRPr="00D864D0" w:rsidRDefault="00AF505E" w:rsidP="00D864D0">
      <w:pPr>
        <w:pStyle w:val="Heading1"/>
        <w:spacing w:before="170"/>
      </w:pPr>
      <w:bookmarkStart w:id="130" w:name="_Toc5373748"/>
      <w:bookmarkStart w:id="131" w:name="_Toc19270672"/>
      <w:bookmarkStart w:id="132" w:name="_Toc22806718"/>
      <w:r w:rsidRPr="00D52FB7">
        <w:lastRenderedPageBreak/>
        <w:t>POTENTIAL MAJOR RESTORATIONS, ALTERATIONS AND/OR NEW CONSTRUCTIONS intended within the property, the buffer zones and/or corridors or other areas, where such developments may affect the outstanding Universal value of the property, including authenticity and integrity</w:t>
      </w:r>
      <w:bookmarkEnd w:id="130"/>
      <w:bookmarkEnd w:id="131"/>
      <w:bookmarkEnd w:id="132"/>
    </w:p>
    <w:tbl>
      <w:tblPr>
        <w:tblStyle w:val="TableGrid"/>
        <w:tblW w:w="0" w:type="auto"/>
        <w:tblLook w:val="04A0" w:firstRow="1" w:lastRow="0" w:firstColumn="1" w:lastColumn="0" w:noHBand="0" w:noVBand="1"/>
      </w:tblPr>
      <w:tblGrid>
        <w:gridCol w:w="9350"/>
      </w:tblGrid>
      <w:tr w:rsidR="00D864D0" w14:paraId="4549A196" w14:textId="77777777" w:rsidTr="00D864D0">
        <w:tc>
          <w:tcPr>
            <w:tcW w:w="9350" w:type="dxa"/>
          </w:tcPr>
          <w:p w14:paraId="604B56B1" w14:textId="0B11BE9F" w:rsidR="00D864D0" w:rsidRDefault="00D864D0" w:rsidP="00D864D0">
            <w:pPr>
              <w:pStyle w:val="Boxedtext"/>
              <w:ind w:left="29" w:hanging="29"/>
            </w:pPr>
            <w:bookmarkStart w:id="133" w:name="_Toc5373749"/>
            <w:bookmarkStart w:id="134" w:name="_Toc19270673"/>
            <w:bookmarkStart w:id="135" w:name="_Toc22806719"/>
            <w:r>
              <w:t xml:space="preserve">A number of tourism proposals in the </w:t>
            </w:r>
            <w:r w:rsidRPr="00FB464A">
              <w:t>Tasmanian Wilderness World Heritage Area</w:t>
            </w:r>
            <w:r>
              <w:t xml:space="preserve"> are under consideration by the Tasmanian Government. These p</w:t>
            </w:r>
            <w:r w:rsidRPr="007A36F9">
              <w:rPr>
                <w:shd w:val="clear" w:color="auto" w:fill="FFFFFF" w:themeFill="background1"/>
              </w:rPr>
              <w:t xml:space="preserve">rojects </w:t>
            </w:r>
            <w:r>
              <w:rPr>
                <w:shd w:val="clear" w:color="auto" w:fill="FFFFFF" w:themeFill="background1"/>
              </w:rPr>
              <w:t xml:space="preserve">have been, or will be, assessed </w:t>
            </w:r>
            <w:r w:rsidRPr="007A36F9">
              <w:rPr>
                <w:shd w:val="clear" w:color="auto" w:fill="FFFFFF" w:themeFill="background1"/>
              </w:rPr>
              <w:t>under the EPBC Act, a</w:t>
            </w:r>
            <w:r>
              <w:rPr>
                <w:shd w:val="clear" w:color="auto" w:fill="FFFFFF" w:themeFill="background1"/>
              </w:rPr>
              <w:t>nd will require S</w:t>
            </w:r>
            <w:r w:rsidRPr="007A36F9">
              <w:rPr>
                <w:shd w:val="clear" w:color="auto" w:fill="FFFFFF" w:themeFill="background1"/>
              </w:rPr>
              <w:t>tate and local level approvals</w:t>
            </w:r>
            <w:r w:rsidR="00C010C1">
              <w:rPr>
                <w:shd w:val="clear" w:color="auto" w:fill="FFFFFF" w:themeFill="background1"/>
              </w:rPr>
              <w:t>.</w:t>
            </w:r>
          </w:p>
        </w:tc>
      </w:tr>
    </w:tbl>
    <w:p w14:paraId="250EF624" w14:textId="5CD57BC9" w:rsidR="00C344FB" w:rsidRDefault="008F5ECC" w:rsidP="00824985">
      <w:pPr>
        <w:pStyle w:val="Heading2"/>
        <w:spacing w:before="170"/>
      </w:pPr>
      <w:r>
        <w:t xml:space="preserve">Proposed </w:t>
      </w:r>
      <w:r w:rsidR="00C344FB">
        <w:t>Tourism Development</w:t>
      </w:r>
      <w:r w:rsidR="00D864D0">
        <w:t xml:space="preserve"> - </w:t>
      </w:r>
      <w:r w:rsidR="00C344FB">
        <w:t>Halls Island</w:t>
      </w:r>
      <w:r>
        <w:t>,</w:t>
      </w:r>
      <w:r w:rsidR="00C344FB">
        <w:t xml:space="preserve"> Lake </w:t>
      </w:r>
      <w:proofErr w:type="spellStart"/>
      <w:r w:rsidR="00C344FB">
        <w:t>Malbena</w:t>
      </w:r>
      <w:bookmarkEnd w:id="133"/>
      <w:proofErr w:type="spellEnd"/>
      <w:r w:rsidR="004904C0">
        <w:t>,</w:t>
      </w:r>
      <w:r w:rsidR="004904C0" w:rsidRPr="004904C0">
        <w:rPr>
          <w:bCs/>
          <w:color w:val="auto"/>
          <w:lang w:val="en-AU"/>
        </w:rPr>
        <w:t xml:space="preserve"> Walls</w:t>
      </w:r>
      <w:r w:rsidR="004904C0" w:rsidRPr="004904C0">
        <w:rPr>
          <w:color w:val="auto"/>
          <w:lang w:val="en-AU"/>
        </w:rPr>
        <w:t xml:space="preserve"> of Jerusalem</w:t>
      </w:r>
      <w:r w:rsidR="00011025">
        <w:rPr>
          <w:color w:val="auto"/>
          <w:lang w:val="en-AU"/>
        </w:rPr>
        <w:t xml:space="preserve"> </w:t>
      </w:r>
      <w:r w:rsidR="004904C0" w:rsidRPr="004904C0">
        <w:rPr>
          <w:color w:val="auto"/>
          <w:lang w:val="en-AU"/>
        </w:rPr>
        <w:t>National</w:t>
      </w:r>
      <w:r w:rsidR="00011025">
        <w:rPr>
          <w:color w:val="auto"/>
          <w:lang w:val="en-AU"/>
        </w:rPr>
        <w:t xml:space="preserve"> </w:t>
      </w:r>
      <w:r w:rsidR="004904C0" w:rsidRPr="004904C0">
        <w:rPr>
          <w:color w:val="auto"/>
          <w:lang w:val="en-AU"/>
        </w:rPr>
        <w:t>Park</w:t>
      </w:r>
      <w:bookmarkEnd w:id="134"/>
      <w:bookmarkEnd w:id="135"/>
    </w:p>
    <w:p w14:paraId="4FC16A53" w14:textId="396DB43C" w:rsidR="00532A18" w:rsidRPr="00E5075C" w:rsidRDefault="00532A18" w:rsidP="00512630">
      <w:pPr>
        <w:pStyle w:val="Text"/>
        <w:rPr>
          <w:color w:val="auto"/>
          <w:lang w:val="en-US" w:eastAsia="ja-JP"/>
        </w:rPr>
      </w:pPr>
      <w:r w:rsidRPr="00E5075C">
        <w:rPr>
          <w:color w:val="auto"/>
          <w:lang w:val="en-US" w:eastAsia="ja-JP"/>
        </w:rPr>
        <w:t xml:space="preserve">A proposal to develop a small tourism operation on a private leasehold property on Halls Island in Lake </w:t>
      </w:r>
      <w:proofErr w:type="spellStart"/>
      <w:r w:rsidRPr="00E5075C">
        <w:rPr>
          <w:color w:val="auto"/>
          <w:lang w:val="en-US" w:eastAsia="ja-JP"/>
        </w:rPr>
        <w:t>Malbena</w:t>
      </w:r>
      <w:proofErr w:type="spellEnd"/>
      <w:r w:rsidRPr="00E5075C">
        <w:rPr>
          <w:color w:val="auto"/>
          <w:lang w:val="en-US" w:eastAsia="ja-JP"/>
        </w:rPr>
        <w:t xml:space="preserve"> was referred under the EPBC Act on 28</w:t>
      </w:r>
      <w:r w:rsidR="00735C51">
        <w:rPr>
          <w:color w:val="auto"/>
          <w:lang w:val="en-US" w:eastAsia="ja-JP"/>
        </w:rPr>
        <w:t> </w:t>
      </w:r>
      <w:r w:rsidRPr="00E5075C">
        <w:rPr>
          <w:color w:val="auto"/>
          <w:lang w:val="en-US" w:eastAsia="ja-JP"/>
        </w:rPr>
        <w:t xml:space="preserve">March 2018. This proposal </w:t>
      </w:r>
      <w:r w:rsidR="00D864D0">
        <w:rPr>
          <w:color w:val="auto"/>
          <w:lang w:val="en-US" w:eastAsia="ja-JP"/>
        </w:rPr>
        <w:t>sought to</w:t>
      </w:r>
      <w:r w:rsidRPr="00E5075C">
        <w:rPr>
          <w:color w:val="auto"/>
          <w:lang w:val="en-US" w:eastAsia="ja-JP"/>
        </w:rPr>
        <w:t xml:space="preserve"> establish</w:t>
      </w:r>
      <w:r w:rsidR="00270E72">
        <w:rPr>
          <w:color w:val="auto"/>
          <w:lang w:val="en-US" w:eastAsia="ja-JP"/>
        </w:rPr>
        <w:t xml:space="preserve"> </w:t>
      </w:r>
      <w:r w:rsidRPr="00E5075C">
        <w:rPr>
          <w:color w:val="auto"/>
          <w:lang w:val="en-US" w:eastAsia="ja-JP"/>
        </w:rPr>
        <w:t xml:space="preserve">a ‘standing camp’ to accommodate a maximum of six visitors </w:t>
      </w:r>
      <w:r w:rsidR="00E629B3" w:rsidRPr="00E5075C">
        <w:rPr>
          <w:color w:val="auto"/>
          <w:lang w:val="en-US" w:eastAsia="ja-JP"/>
        </w:rPr>
        <w:t xml:space="preserve">and two guides </w:t>
      </w:r>
      <w:r w:rsidRPr="00E5075C">
        <w:rPr>
          <w:color w:val="auto"/>
          <w:lang w:val="en-US" w:eastAsia="ja-JP"/>
        </w:rPr>
        <w:t>for four</w:t>
      </w:r>
      <w:r w:rsidR="00D864D0">
        <w:rPr>
          <w:color w:val="auto"/>
          <w:lang w:val="en-US" w:eastAsia="ja-JP"/>
        </w:rPr>
        <w:t>-</w:t>
      </w:r>
      <w:r w:rsidRPr="00E5075C">
        <w:rPr>
          <w:color w:val="auto"/>
          <w:lang w:val="en-US" w:eastAsia="ja-JP"/>
        </w:rPr>
        <w:t>day stays. Visitors would arrive by helicopter to the adjacent mainland and travel by row boat approximately 60</w:t>
      </w:r>
      <w:r w:rsidR="00FB464A">
        <w:rPr>
          <w:color w:val="auto"/>
          <w:lang w:val="en-US" w:eastAsia="ja-JP"/>
        </w:rPr>
        <w:t xml:space="preserve"> </w:t>
      </w:r>
      <w:proofErr w:type="spellStart"/>
      <w:r w:rsidR="00FB464A">
        <w:rPr>
          <w:color w:val="auto"/>
          <w:lang w:val="en-US" w:eastAsia="ja-JP"/>
        </w:rPr>
        <w:t>metres</w:t>
      </w:r>
      <w:proofErr w:type="spellEnd"/>
      <w:r w:rsidRPr="00E5075C">
        <w:rPr>
          <w:color w:val="auto"/>
          <w:lang w:val="en-US" w:eastAsia="ja-JP"/>
        </w:rPr>
        <w:t xml:space="preserve"> to Halls Island. A maximum of 30 tours each year is proposed.</w:t>
      </w:r>
      <w:r w:rsidR="00512630" w:rsidRPr="000145A2">
        <w:rPr>
          <w:color w:val="373737"/>
          <w:sz w:val="22"/>
        </w:rPr>
        <w:t xml:space="preserve"> </w:t>
      </w:r>
      <w:r w:rsidR="00512630" w:rsidRPr="000145A2">
        <w:t>Halls Island has an existing small wooden hut, built in 1954</w:t>
      </w:r>
      <w:r w:rsidR="00D864D0">
        <w:t>,</w:t>
      </w:r>
      <w:r w:rsidR="00512630" w:rsidRPr="000145A2">
        <w:t xml:space="preserve"> that will remain on the island</w:t>
      </w:r>
      <w:r w:rsidR="00197DF4">
        <w:rPr>
          <w:color w:val="auto"/>
          <w:lang w:eastAsia="ja-JP"/>
        </w:rPr>
        <w:t>.</w:t>
      </w:r>
      <w:r w:rsidR="00512630" w:rsidRPr="000145A2">
        <w:t xml:space="preserve"> This hut was used by </w:t>
      </w:r>
      <w:r w:rsidR="00512630" w:rsidRPr="00512630">
        <w:rPr>
          <w:color w:val="auto"/>
          <w:lang w:eastAsia="ja-JP"/>
        </w:rPr>
        <w:t>the previous leaseholder and more recently by bushwalkers.</w:t>
      </w:r>
    </w:p>
    <w:p w14:paraId="4A18D56F" w14:textId="54741278" w:rsidR="00532A18" w:rsidRPr="00532A18" w:rsidRDefault="00532A18" w:rsidP="00824985">
      <w:pPr>
        <w:pStyle w:val="Text"/>
        <w:rPr>
          <w:color w:val="auto"/>
          <w:lang w:val="en-US" w:eastAsia="ja-JP"/>
        </w:rPr>
      </w:pPr>
      <w:r w:rsidRPr="00E5075C">
        <w:rPr>
          <w:color w:val="auto"/>
          <w:lang w:val="en-US" w:eastAsia="ja-JP"/>
        </w:rPr>
        <w:t>The proposal is an allowable activity under the 2016 Management Plan zoning for this area. The</w:t>
      </w:r>
      <w:r w:rsidRPr="00532A18">
        <w:rPr>
          <w:color w:val="auto"/>
          <w:lang w:val="en-US" w:eastAsia="ja-JP"/>
        </w:rPr>
        <w:t xml:space="preserve"> </w:t>
      </w:r>
      <w:r w:rsidR="00FB464A">
        <w:rPr>
          <w:color w:val="auto"/>
          <w:lang w:val="en-US" w:eastAsia="ja-JP"/>
        </w:rPr>
        <w:t>Australian Government</w:t>
      </w:r>
      <w:r w:rsidRPr="00532A18">
        <w:rPr>
          <w:color w:val="auto"/>
          <w:lang w:val="en-US" w:eastAsia="ja-JP"/>
        </w:rPr>
        <w:t xml:space="preserve"> delegate decided</w:t>
      </w:r>
      <w:r w:rsidR="0018116A">
        <w:rPr>
          <w:color w:val="auto"/>
          <w:lang w:val="en-US" w:eastAsia="ja-JP"/>
        </w:rPr>
        <w:t>,</w:t>
      </w:r>
      <w:r w:rsidRPr="00532A18">
        <w:rPr>
          <w:color w:val="auto"/>
          <w:lang w:val="en-US" w:eastAsia="ja-JP"/>
        </w:rPr>
        <w:t xml:space="preserve"> on 31 August 2018</w:t>
      </w:r>
      <w:r w:rsidR="0018116A">
        <w:rPr>
          <w:color w:val="auto"/>
          <w:lang w:val="en-US" w:eastAsia="ja-JP"/>
        </w:rPr>
        <w:t>,</w:t>
      </w:r>
      <w:r w:rsidRPr="00532A18">
        <w:rPr>
          <w:color w:val="auto"/>
          <w:lang w:val="en-US" w:eastAsia="ja-JP"/>
        </w:rPr>
        <w:t xml:space="preserve"> that the project was unlikely to have a significant impact on any protected matters, including </w:t>
      </w:r>
      <w:r w:rsidR="00FB464A">
        <w:rPr>
          <w:color w:val="auto"/>
          <w:lang w:val="en-US" w:eastAsia="ja-JP"/>
        </w:rPr>
        <w:t>World Heritage</w:t>
      </w:r>
      <w:r w:rsidRPr="00532A18">
        <w:rPr>
          <w:color w:val="auto"/>
          <w:lang w:val="en-US" w:eastAsia="ja-JP"/>
        </w:rPr>
        <w:t xml:space="preserve"> </w:t>
      </w:r>
      <w:r w:rsidR="00FB464A">
        <w:rPr>
          <w:color w:val="auto"/>
          <w:lang w:val="en-US" w:eastAsia="ja-JP"/>
        </w:rPr>
        <w:t>v</w:t>
      </w:r>
      <w:r w:rsidRPr="00532A18">
        <w:rPr>
          <w:color w:val="auto"/>
          <w:lang w:val="en-US" w:eastAsia="ja-JP"/>
        </w:rPr>
        <w:t>alue</w:t>
      </w:r>
      <w:r w:rsidR="00FB464A">
        <w:rPr>
          <w:color w:val="auto"/>
          <w:lang w:val="en-US" w:eastAsia="ja-JP"/>
        </w:rPr>
        <w:t>s</w:t>
      </w:r>
      <w:r w:rsidRPr="00532A18">
        <w:rPr>
          <w:color w:val="auto"/>
          <w:lang w:val="en-US" w:eastAsia="ja-JP"/>
        </w:rPr>
        <w:t xml:space="preserve">, and could proceed without further assessment under the EPBC Act. </w:t>
      </w:r>
    </w:p>
    <w:p w14:paraId="12264B2D" w14:textId="4F9A4760" w:rsidR="00735C51" w:rsidRDefault="00A86E0A" w:rsidP="001D5829">
      <w:pPr>
        <w:pStyle w:val="Text"/>
        <w:rPr>
          <w:color w:val="auto"/>
          <w:lang w:val="en-US" w:eastAsia="ja-JP"/>
        </w:rPr>
      </w:pPr>
      <w:r>
        <w:rPr>
          <w:color w:val="auto"/>
          <w:lang w:val="en-US" w:eastAsia="ja-JP"/>
        </w:rPr>
        <w:t>T</w:t>
      </w:r>
      <w:r w:rsidRPr="00660793">
        <w:rPr>
          <w:color w:val="auto"/>
          <w:lang w:val="en-US" w:eastAsia="ja-JP"/>
        </w:rPr>
        <w:t xml:space="preserve">he development application for the proposal </w:t>
      </w:r>
      <w:r>
        <w:rPr>
          <w:color w:val="auto"/>
          <w:lang w:val="en-US" w:eastAsia="ja-JP"/>
        </w:rPr>
        <w:t xml:space="preserve">was not approved </w:t>
      </w:r>
      <w:r w:rsidR="000145A2">
        <w:rPr>
          <w:color w:val="auto"/>
          <w:lang w:val="en-US" w:eastAsia="ja-JP"/>
        </w:rPr>
        <w:t>at the</w:t>
      </w:r>
      <w:r>
        <w:rPr>
          <w:color w:val="auto"/>
          <w:lang w:val="en-US" w:eastAsia="ja-JP"/>
        </w:rPr>
        <w:t xml:space="preserve"> local government</w:t>
      </w:r>
      <w:r w:rsidR="000145A2">
        <w:rPr>
          <w:color w:val="auto"/>
          <w:lang w:val="en-US" w:eastAsia="ja-JP"/>
        </w:rPr>
        <w:t xml:space="preserve"> level. </w:t>
      </w:r>
      <w:r>
        <w:rPr>
          <w:color w:val="auto"/>
          <w:lang w:val="en-US" w:eastAsia="ja-JP"/>
        </w:rPr>
        <w:t xml:space="preserve">However, </w:t>
      </w:r>
      <w:r w:rsidRPr="00660793">
        <w:rPr>
          <w:color w:val="auto"/>
          <w:lang w:val="en-US" w:eastAsia="ja-JP"/>
        </w:rPr>
        <w:t xml:space="preserve">this </w:t>
      </w:r>
      <w:r>
        <w:rPr>
          <w:color w:val="auto"/>
          <w:lang w:val="en-US" w:eastAsia="ja-JP"/>
        </w:rPr>
        <w:t xml:space="preserve">decision was </w:t>
      </w:r>
      <w:r w:rsidRPr="00660793">
        <w:rPr>
          <w:color w:val="auto"/>
          <w:lang w:val="en-US" w:eastAsia="ja-JP"/>
        </w:rPr>
        <w:t>appeal</w:t>
      </w:r>
      <w:r>
        <w:rPr>
          <w:color w:val="auto"/>
          <w:lang w:val="en-US" w:eastAsia="ja-JP"/>
        </w:rPr>
        <w:t>ed to</w:t>
      </w:r>
      <w:r w:rsidRPr="00660793">
        <w:rPr>
          <w:color w:val="auto"/>
          <w:lang w:val="en-US" w:eastAsia="ja-JP"/>
        </w:rPr>
        <w:t xml:space="preserve"> the</w:t>
      </w:r>
      <w:r w:rsidRPr="00182BF2">
        <w:rPr>
          <w:color w:val="auto"/>
          <w:lang w:val="en-US" w:eastAsia="ja-JP"/>
        </w:rPr>
        <w:t xml:space="preserve"> </w:t>
      </w:r>
      <w:r>
        <w:rPr>
          <w:color w:val="auto"/>
          <w:lang w:val="en-US" w:eastAsia="ja-JP"/>
        </w:rPr>
        <w:t xml:space="preserve">Tasmanian </w:t>
      </w:r>
      <w:r w:rsidRPr="00182BF2">
        <w:rPr>
          <w:bCs/>
          <w:color w:val="auto"/>
          <w:lang w:val="en-US" w:eastAsia="ja-JP"/>
        </w:rPr>
        <w:t>Resource Management and Planning Appeal Tribunal</w:t>
      </w:r>
      <w:r>
        <w:rPr>
          <w:bCs/>
          <w:color w:val="auto"/>
          <w:lang w:val="en-US" w:eastAsia="ja-JP"/>
        </w:rPr>
        <w:t xml:space="preserve"> </w:t>
      </w:r>
      <w:r>
        <w:rPr>
          <w:color w:val="auto"/>
          <w:lang w:val="en-US" w:eastAsia="ja-JP"/>
        </w:rPr>
        <w:t>by t</w:t>
      </w:r>
      <w:r w:rsidRPr="00660793">
        <w:rPr>
          <w:color w:val="auto"/>
          <w:lang w:val="en-US" w:eastAsia="ja-JP"/>
        </w:rPr>
        <w:t xml:space="preserve">he proponent and </w:t>
      </w:r>
      <w:r>
        <w:rPr>
          <w:color w:val="auto"/>
          <w:lang w:val="en" w:eastAsia="ja-JP"/>
        </w:rPr>
        <w:t>the Director</w:t>
      </w:r>
      <w:r w:rsidRPr="00C41A5C">
        <w:rPr>
          <w:color w:val="auto"/>
          <w:lang w:val="en" w:eastAsia="ja-JP"/>
        </w:rPr>
        <w:t xml:space="preserve"> of </w:t>
      </w:r>
      <w:r>
        <w:rPr>
          <w:color w:val="auto"/>
          <w:lang w:val="en" w:eastAsia="ja-JP"/>
        </w:rPr>
        <w:t>National</w:t>
      </w:r>
      <w:r w:rsidRPr="00C41A5C">
        <w:rPr>
          <w:color w:val="auto"/>
          <w:lang w:val="en" w:eastAsia="ja-JP"/>
        </w:rPr>
        <w:t xml:space="preserve"> Parks</w:t>
      </w:r>
      <w:r>
        <w:rPr>
          <w:color w:val="auto"/>
          <w:lang w:val="en" w:eastAsia="ja-JP"/>
        </w:rPr>
        <w:t xml:space="preserve"> and the</w:t>
      </w:r>
      <w:r>
        <w:rPr>
          <w:color w:val="auto"/>
          <w:lang w:val="en-US" w:eastAsia="ja-JP"/>
        </w:rPr>
        <w:t xml:space="preserve"> appeal was upheld on 21</w:t>
      </w:r>
      <w:r w:rsidR="000145A2">
        <w:rPr>
          <w:color w:val="auto"/>
          <w:lang w:val="en-US" w:eastAsia="ja-JP"/>
        </w:rPr>
        <w:t> </w:t>
      </w:r>
      <w:r>
        <w:rPr>
          <w:color w:val="auto"/>
          <w:lang w:val="en-US" w:eastAsia="ja-JP"/>
        </w:rPr>
        <w:t>October</w:t>
      </w:r>
      <w:r w:rsidR="000145A2">
        <w:rPr>
          <w:color w:val="auto"/>
          <w:lang w:val="en-US" w:eastAsia="ja-JP"/>
        </w:rPr>
        <w:t> </w:t>
      </w:r>
      <w:r>
        <w:rPr>
          <w:color w:val="auto"/>
          <w:lang w:val="en-US" w:eastAsia="ja-JP"/>
        </w:rPr>
        <w:t xml:space="preserve">2019. </w:t>
      </w:r>
      <w:r w:rsidR="00276D7F">
        <w:rPr>
          <w:color w:val="auto"/>
          <w:lang w:val="en-US" w:eastAsia="ja-JP"/>
        </w:rPr>
        <w:t xml:space="preserve">Separately, there was a challenge to </w:t>
      </w:r>
      <w:r w:rsidR="00532A18" w:rsidRPr="00660793">
        <w:rPr>
          <w:color w:val="auto"/>
          <w:lang w:val="en-US" w:eastAsia="ja-JP"/>
        </w:rPr>
        <w:t xml:space="preserve">the </w:t>
      </w:r>
      <w:r w:rsidR="00FB464A">
        <w:rPr>
          <w:color w:val="auto"/>
          <w:lang w:val="en-US" w:eastAsia="ja-JP"/>
        </w:rPr>
        <w:t>Australian Government</w:t>
      </w:r>
      <w:r w:rsidR="00532A18" w:rsidRPr="00660793">
        <w:rPr>
          <w:color w:val="auto"/>
          <w:lang w:val="en-US" w:eastAsia="ja-JP"/>
        </w:rPr>
        <w:t xml:space="preserve"> decision that no further assessment </w:t>
      </w:r>
      <w:r w:rsidR="00276D7F">
        <w:rPr>
          <w:color w:val="auto"/>
          <w:lang w:val="en-US" w:eastAsia="ja-JP"/>
        </w:rPr>
        <w:t>wa</w:t>
      </w:r>
      <w:r w:rsidR="00532A18" w:rsidRPr="00660793">
        <w:rPr>
          <w:color w:val="auto"/>
          <w:lang w:val="en-US" w:eastAsia="ja-JP"/>
        </w:rPr>
        <w:t>s required</w:t>
      </w:r>
      <w:r w:rsidR="00276D7F">
        <w:rPr>
          <w:color w:val="auto"/>
          <w:lang w:val="en-US" w:eastAsia="ja-JP"/>
        </w:rPr>
        <w:t>. On 12 November 2019 there was a Federal Court judgment on the Australian Government decision. The implications of the judgment are still being worked through.</w:t>
      </w:r>
    </w:p>
    <w:p w14:paraId="41115B87" w14:textId="77777777" w:rsidR="00DB3543" w:rsidRPr="001D5829" w:rsidRDefault="00DB3543" w:rsidP="00601F6F">
      <w:pPr>
        <w:pStyle w:val="Heading2"/>
        <w:spacing w:before="170"/>
        <w:rPr>
          <w:color w:val="auto"/>
          <w:lang w:val="en-AU"/>
        </w:rPr>
      </w:pPr>
      <w:bookmarkStart w:id="136" w:name="_Toc5373750"/>
      <w:bookmarkStart w:id="137" w:name="_Toc19270674"/>
      <w:bookmarkStart w:id="138" w:name="_Toc22806720"/>
      <w:r w:rsidRPr="001D5829">
        <w:rPr>
          <w:color w:val="auto"/>
          <w:lang w:val="en-AU"/>
        </w:rPr>
        <w:t xml:space="preserve">Cradle Mountain </w:t>
      </w:r>
      <w:r w:rsidR="002E06AC" w:rsidRPr="001D5829">
        <w:rPr>
          <w:color w:val="auto"/>
          <w:lang w:val="en-AU"/>
        </w:rPr>
        <w:t>Master</w:t>
      </w:r>
      <w:r w:rsidRPr="001D5829">
        <w:rPr>
          <w:color w:val="auto"/>
          <w:lang w:val="en-AU"/>
        </w:rPr>
        <w:t xml:space="preserve"> Plan</w:t>
      </w:r>
      <w:bookmarkEnd w:id="136"/>
      <w:bookmarkEnd w:id="137"/>
      <w:bookmarkEnd w:id="138"/>
    </w:p>
    <w:p w14:paraId="51F1211C" w14:textId="23A3EBE7" w:rsidR="00DB3543" w:rsidRPr="007B724E" w:rsidRDefault="009D0B26" w:rsidP="00FF381A">
      <w:pPr>
        <w:spacing w:before="170" w:after="0"/>
        <w:rPr>
          <w:lang w:val="en-US" w:eastAsia="ja-JP"/>
        </w:rPr>
      </w:pPr>
      <w:r w:rsidRPr="007B724E">
        <w:rPr>
          <w:lang w:val="en-US" w:eastAsia="ja-JP"/>
        </w:rPr>
        <w:t>Cradle Mountain</w:t>
      </w:r>
      <w:r w:rsidR="004904C0">
        <w:rPr>
          <w:lang w:val="en-US" w:eastAsia="ja-JP"/>
        </w:rPr>
        <w:t xml:space="preserve"> (in the</w:t>
      </w:r>
      <w:r w:rsidR="004904C0" w:rsidRPr="004904C0">
        <w:rPr>
          <w:lang w:val="en-US" w:eastAsia="ja-JP"/>
        </w:rPr>
        <w:t xml:space="preserve"> </w:t>
      </w:r>
      <w:r w:rsidR="004904C0">
        <w:rPr>
          <w:lang w:val="en-US" w:eastAsia="ja-JP"/>
        </w:rPr>
        <w:t>Cradle Mountain</w:t>
      </w:r>
      <w:r w:rsidR="004904C0" w:rsidRPr="004904C0">
        <w:rPr>
          <w:lang w:val="en-US" w:eastAsia="ja-JP"/>
        </w:rPr>
        <w:t xml:space="preserve"> - Lake St Clair National Park)</w:t>
      </w:r>
      <w:r w:rsidRPr="007B724E">
        <w:rPr>
          <w:lang w:val="en-US" w:eastAsia="ja-JP"/>
        </w:rPr>
        <w:t>, received approximately 2</w:t>
      </w:r>
      <w:r w:rsidR="009B1ADD">
        <w:rPr>
          <w:lang w:val="en-US" w:eastAsia="ja-JP"/>
        </w:rPr>
        <w:t>8</w:t>
      </w:r>
      <w:r w:rsidRPr="007B724E">
        <w:rPr>
          <w:lang w:val="en-US" w:eastAsia="ja-JP"/>
        </w:rPr>
        <w:t xml:space="preserve">0,000 tourists in 2017-18. </w:t>
      </w:r>
      <w:r w:rsidR="009B1ADD" w:rsidRPr="006A3E6D">
        <w:rPr>
          <w:lang w:val="en-US" w:eastAsia="ja-JP"/>
        </w:rPr>
        <w:t xml:space="preserve">Based on the latest </w:t>
      </w:r>
      <w:r w:rsidR="00D864D0">
        <w:rPr>
          <w:lang w:val="en-US" w:eastAsia="ja-JP"/>
        </w:rPr>
        <w:t>v</w:t>
      </w:r>
      <w:r w:rsidR="009B1ADD" w:rsidRPr="006A3E6D">
        <w:rPr>
          <w:lang w:val="en-US" w:eastAsia="ja-JP"/>
        </w:rPr>
        <w:t xml:space="preserve">isitor </w:t>
      </w:r>
      <w:r w:rsidR="00D864D0">
        <w:rPr>
          <w:lang w:val="en-US" w:eastAsia="ja-JP"/>
        </w:rPr>
        <w:t>r</w:t>
      </w:r>
      <w:r w:rsidR="009B1ADD" w:rsidRPr="006A3E6D">
        <w:rPr>
          <w:lang w:val="en-US" w:eastAsia="ja-JP"/>
        </w:rPr>
        <w:t xml:space="preserve">esearch numbers for the Cradle Mountain reference site, </w:t>
      </w:r>
      <w:r w:rsidRPr="007B724E">
        <w:rPr>
          <w:lang w:val="en-US" w:eastAsia="ja-JP"/>
        </w:rPr>
        <w:t xml:space="preserve">expected </w:t>
      </w:r>
      <w:r w:rsidR="00C010C1">
        <w:rPr>
          <w:lang w:val="en-US" w:eastAsia="ja-JP"/>
        </w:rPr>
        <w:t xml:space="preserve">tourism </w:t>
      </w:r>
      <w:r w:rsidR="009B1ADD" w:rsidRPr="006A3E6D">
        <w:rPr>
          <w:lang w:val="en-US" w:eastAsia="ja-JP"/>
        </w:rPr>
        <w:t>growth is approximately 9.5</w:t>
      </w:r>
      <w:r w:rsidR="00D864D0">
        <w:rPr>
          <w:lang w:val="en-US" w:eastAsia="ja-JP"/>
        </w:rPr>
        <w:t xml:space="preserve"> per cent</w:t>
      </w:r>
      <w:r w:rsidRPr="007B724E">
        <w:rPr>
          <w:lang w:val="en-US" w:eastAsia="ja-JP"/>
        </w:rPr>
        <w:t xml:space="preserve"> each year. This growth</w:t>
      </w:r>
      <w:r w:rsidR="00E03391">
        <w:rPr>
          <w:lang w:val="en-US" w:eastAsia="ja-JP"/>
        </w:rPr>
        <w:t xml:space="preserve"> has necessitated a considerable investment in new infrastructure to ensure a quality visitor </w:t>
      </w:r>
      <w:r w:rsidR="000858E9">
        <w:rPr>
          <w:lang w:val="en-US" w:eastAsia="ja-JP"/>
        </w:rPr>
        <w:t>experience</w:t>
      </w:r>
      <w:r w:rsidR="00E03391">
        <w:rPr>
          <w:lang w:val="en-US" w:eastAsia="ja-JP"/>
        </w:rPr>
        <w:t xml:space="preserve"> is provided. </w:t>
      </w:r>
      <w:r w:rsidRPr="007B724E">
        <w:rPr>
          <w:lang w:val="en-US" w:eastAsia="ja-JP"/>
        </w:rPr>
        <w:t xml:space="preserve"> </w:t>
      </w:r>
    </w:p>
    <w:p w14:paraId="10C63DF4" w14:textId="61979428" w:rsidR="00D864D0" w:rsidRDefault="009D0B26" w:rsidP="00FF381A">
      <w:pPr>
        <w:spacing w:before="170" w:after="0"/>
        <w:rPr>
          <w:lang w:val="en-US" w:eastAsia="ja-JP"/>
        </w:rPr>
      </w:pPr>
      <w:r w:rsidRPr="007B724E">
        <w:rPr>
          <w:lang w:val="en-US" w:eastAsia="ja-JP"/>
        </w:rPr>
        <w:t xml:space="preserve">The Tasmanian Government is making </w:t>
      </w:r>
      <w:r w:rsidR="00333E44" w:rsidRPr="007B724E">
        <w:rPr>
          <w:lang w:val="en-US" w:eastAsia="ja-JP"/>
        </w:rPr>
        <w:t>a</w:t>
      </w:r>
      <w:r w:rsidR="00333E44">
        <w:rPr>
          <w:lang w:val="en-US" w:eastAsia="ja-JP"/>
        </w:rPr>
        <w:t>n</w:t>
      </w:r>
      <w:r w:rsidR="00333E44" w:rsidRPr="007B724E">
        <w:rPr>
          <w:lang w:val="en-US" w:eastAsia="ja-JP"/>
        </w:rPr>
        <w:t xml:space="preserve"> investment</w:t>
      </w:r>
      <w:r w:rsidRPr="007B724E">
        <w:rPr>
          <w:lang w:val="en-US" w:eastAsia="ja-JP"/>
        </w:rPr>
        <w:t xml:space="preserve"> of more than </w:t>
      </w:r>
      <w:r w:rsidR="00735C51">
        <w:rPr>
          <w:lang w:val="en-US" w:eastAsia="ja-JP"/>
        </w:rPr>
        <w:t>AUD</w:t>
      </w:r>
      <w:r w:rsidR="009D77FA">
        <w:rPr>
          <w:lang w:val="en-US" w:eastAsia="ja-JP"/>
        </w:rPr>
        <w:t xml:space="preserve"> </w:t>
      </w:r>
      <w:r w:rsidRPr="007B724E">
        <w:rPr>
          <w:lang w:val="en-US" w:eastAsia="ja-JP"/>
        </w:rPr>
        <w:t>$56.8</w:t>
      </w:r>
      <w:r w:rsidR="00A86E0A">
        <w:rPr>
          <w:lang w:val="en-US" w:eastAsia="ja-JP"/>
        </w:rPr>
        <w:t xml:space="preserve"> </w:t>
      </w:r>
      <w:r w:rsidRPr="007B724E">
        <w:rPr>
          <w:lang w:val="en-US" w:eastAsia="ja-JP"/>
        </w:rPr>
        <w:t>million for implementation of the Cradle Mountain Master Plan</w:t>
      </w:r>
      <w:r w:rsidR="007C51E0">
        <w:rPr>
          <w:lang w:val="en-US" w:eastAsia="ja-JP"/>
        </w:rPr>
        <w:t xml:space="preserve">. The development of a new Visitor Centre (outside of the </w:t>
      </w:r>
      <w:r w:rsidR="00C010C1" w:rsidRPr="00C010C1">
        <w:rPr>
          <w:lang w:eastAsia="ja-JP"/>
        </w:rPr>
        <w:t>Tasmanian Wilderness World Heritage Area</w:t>
      </w:r>
      <w:r w:rsidR="007C51E0">
        <w:rPr>
          <w:lang w:val="en-US" w:eastAsia="ja-JP"/>
        </w:rPr>
        <w:t xml:space="preserve">) is well advanced and </w:t>
      </w:r>
      <w:r w:rsidR="00735C51">
        <w:rPr>
          <w:lang w:val="en-US" w:eastAsia="ja-JP"/>
        </w:rPr>
        <w:t>scheduled</w:t>
      </w:r>
      <w:r w:rsidR="007C51E0">
        <w:rPr>
          <w:lang w:val="en-US" w:eastAsia="ja-JP"/>
        </w:rPr>
        <w:t xml:space="preserve"> for completion in December 2019. Plans are also well advanced for</w:t>
      </w:r>
      <w:r w:rsidR="00F57E77">
        <w:rPr>
          <w:lang w:val="en-US" w:eastAsia="ja-JP"/>
        </w:rPr>
        <w:t xml:space="preserve"> a new visitor shelter at Dove L</w:t>
      </w:r>
      <w:r w:rsidR="007C51E0">
        <w:rPr>
          <w:lang w:val="en-US" w:eastAsia="ja-JP"/>
        </w:rPr>
        <w:t xml:space="preserve">ake (refer </w:t>
      </w:r>
      <w:r w:rsidR="00C010C1">
        <w:rPr>
          <w:lang w:val="en-US" w:eastAsia="ja-JP"/>
        </w:rPr>
        <w:t xml:space="preserve">to </w:t>
      </w:r>
      <w:r w:rsidR="00C010C1" w:rsidRPr="00C010C1">
        <w:rPr>
          <w:b/>
          <w:lang w:val="en-US" w:eastAsia="ja-JP"/>
        </w:rPr>
        <w:t>Section 4.3</w:t>
      </w:r>
      <w:r w:rsidR="00C010C1">
        <w:rPr>
          <w:lang w:val="en-US" w:eastAsia="ja-JP"/>
        </w:rPr>
        <w:t xml:space="preserve"> </w:t>
      </w:r>
      <w:r w:rsidR="007C51E0">
        <w:rPr>
          <w:lang w:val="en-US" w:eastAsia="ja-JP"/>
        </w:rPr>
        <w:t>for additional information).</w:t>
      </w:r>
    </w:p>
    <w:p w14:paraId="7ECD4DD3" w14:textId="3B1D6306" w:rsidR="00B82FD2" w:rsidRDefault="007C51E0" w:rsidP="00FF381A">
      <w:pPr>
        <w:spacing w:before="170" w:after="0"/>
        <w:rPr>
          <w:rFonts w:eastAsia="Calibri"/>
          <w:szCs w:val="20"/>
          <w:lang w:eastAsia="en-AU"/>
        </w:rPr>
      </w:pPr>
      <w:r>
        <w:rPr>
          <w:lang w:val="en-US" w:eastAsia="ja-JP"/>
        </w:rPr>
        <w:lastRenderedPageBreak/>
        <w:t>I</w:t>
      </w:r>
      <w:r w:rsidR="009D0B26" w:rsidRPr="007B724E">
        <w:rPr>
          <w:lang w:val="en-US" w:eastAsia="ja-JP"/>
        </w:rPr>
        <w:t>n May 2018</w:t>
      </w:r>
      <w:r>
        <w:rPr>
          <w:lang w:val="en-US" w:eastAsia="ja-JP"/>
        </w:rPr>
        <w:t>, a</w:t>
      </w:r>
      <w:r w:rsidR="009D0B26" w:rsidRPr="007B724E">
        <w:rPr>
          <w:lang w:val="en-US" w:eastAsia="ja-JP"/>
        </w:rPr>
        <w:t xml:space="preserve"> commitment of </w:t>
      </w:r>
      <w:r w:rsidR="00735C51">
        <w:rPr>
          <w:lang w:val="en-US" w:eastAsia="ja-JP"/>
        </w:rPr>
        <w:t>AUD</w:t>
      </w:r>
      <w:r w:rsidR="009D77FA">
        <w:rPr>
          <w:lang w:val="en-US" w:eastAsia="ja-JP"/>
        </w:rPr>
        <w:t xml:space="preserve"> </w:t>
      </w:r>
      <w:r w:rsidR="009D0B26" w:rsidRPr="007B724E">
        <w:rPr>
          <w:lang w:val="en-US" w:eastAsia="ja-JP"/>
        </w:rPr>
        <w:t xml:space="preserve">$30 million from </w:t>
      </w:r>
      <w:r>
        <w:rPr>
          <w:lang w:val="en-US" w:eastAsia="ja-JP"/>
        </w:rPr>
        <w:t xml:space="preserve">the Tasmanian Government was matched by </w:t>
      </w:r>
      <w:r w:rsidR="009D0B26" w:rsidRPr="007B724E">
        <w:rPr>
          <w:lang w:val="en-US" w:eastAsia="ja-JP"/>
        </w:rPr>
        <w:t>the Australian Government</w:t>
      </w:r>
      <w:r>
        <w:rPr>
          <w:lang w:val="en-US" w:eastAsia="ja-JP"/>
        </w:rPr>
        <w:t xml:space="preserve"> to provide a total </w:t>
      </w:r>
      <w:r w:rsidR="000858E9">
        <w:rPr>
          <w:lang w:val="en-US" w:eastAsia="ja-JP"/>
        </w:rPr>
        <w:t>funding</w:t>
      </w:r>
      <w:r>
        <w:rPr>
          <w:lang w:val="en-US" w:eastAsia="ja-JP"/>
        </w:rPr>
        <w:t xml:space="preserve"> allocation of </w:t>
      </w:r>
      <w:r w:rsidR="00735C51">
        <w:rPr>
          <w:lang w:val="en-US" w:eastAsia="ja-JP"/>
        </w:rPr>
        <w:t>AUD</w:t>
      </w:r>
      <w:r w:rsidR="009D77FA">
        <w:rPr>
          <w:lang w:val="en-US" w:eastAsia="ja-JP"/>
        </w:rPr>
        <w:t xml:space="preserve"> </w:t>
      </w:r>
      <w:r>
        <w:rPr>
          <w:lang w:val="en-US" w:eastAsia="ja-JP"/>
        </w:rPr>
        <w:t>$60</w:t>
      </w:r>
      <w:r w:rsidR="0018116A">
        <w:rPr>
          <w:lang w:val="en-US" w:eastAsia="ja-JP"/>
        </w:rPr>
        <w:t> million</w:t>
      </w:r>
      <w:r>
        <w:rPr>
          <w:lang w:val="en-US" w:eastAsia="ja-JP"/>
        </w:rPr>
        <w:t xml:space="preserve"> towards the </w:t>
      </w:r>
      <w:r w:rsidR="00E03391">
        <w:rPr>
          <w:lang w:val="en-US" w:eastAsia="ja-JP"/>
        </w:rPr>
        <w:t xml:space="preserve">investigation </w:t>
      </w:r>
      <w:r>
        <w:rPr>
          <w:lang w:val="en-US" w:eastAsia="ja-JP"/>
        </w:rPr>
        <w:t xml:space="preserve">and delivery </w:t>
      </w:r>
      <w:r w:rsidR="00E03391">
        <w:rPr>
          <w:lang w:val="en-US" w:eastAsia="ja-JP"/>
        </w:rPr>
        <w:t xml:space="preserve">of </w:t>
      </w:r>
      <w:r w:rsidR="00B82FD2">
        <w:rPr>
          <w:lang w:val="en-US" w:eastAsia="ja-JP"/>
        </w:rPr>
        <w:t xml:space="preserve">a </w:t>
      </w:r>
      <w:r w:rsidR="000858E9">
        <w:rPr>
          <w:lang w:val="en-US" w:eastAsia="ja-JP"/>
        </w:rPr>
        <w:t>transportation</w:t>
      </w:r>
      <w:r w:rsidR="00E03391">
        <w:rPr>
          <w:lang w:val="en-US" w:eastAsia="ja-JP"/>
        </w:rPr>
        <w:t xml:space="preserve"> solution</w:t>
      </w:r>
      <w:r w:rsidR="009D0B26" w:rsidRPr="007B724E">
        <w:rPr>
          <w:lang w:val="en-US" w:eastAsia="ja-JP"/>
        </w:rPr>
        <w:t xml:space="preserve">, which would connect the Cradle Mountain </w:t>
      </w:r>
      <w:r w:rsidR="0018116A">
        <w:rPr>
          <w:lang w:val="en-US" w:eastAsia="ja-JP"/>
        </w:rPr>
        <w:t>V</w:t>
      </w:r>
      <w:r w:rsidR="009D0B26" w:rsidRPr="007B724E">
        <w:rPr>
          <w:lang w:val="en-US" w:eastAsia="ja-JP"/>
        </w:rPr>
        <w:t xml:space="preserve">isitor </w:t>
      </w:r>
      <w:r w:rsidR="0018116A">
        <w:rPr>
          <w:lang w:val="en-US" w:eastAsia="ja-JP"/>
        </w:rPr>
        <w:t>C</w:t>
      </w:r>
      <w:r w:rsidR="009D0B26" w:rsidRPr="007B724E">
        <w:rPr>
          <w:lang w:val="en-US" w:eastAsia="ja-JP"/>
        </w:rPr>
        <w:t>entre with Dove Lake</w:t>
      </w:r>
      <w:r w:rsidR="00036F5E">
        <w:rPr>
          <w:lang w:val="en-US" w:eastAsia="ja-JP"/>
        </w:rPr>
        <w:t xml:space="preserve"> (see </w:t>
      </w:r>
      <w:r w:rsidR="00036F5E" w:rsidRPr="00B16801">
        <w:rPr>
          <w:b/>
          <w:lang w:val="en-US" w:eastAsia="ja-JP"/>
        </w:rPr>
        <w:t>Section 4.3</w:t>
      </w:r>
      <w:r w:rsidR="00036F5E">
        <w:rPr>
          <w:lang w:val="en-US" w:eastAsia="ja-JP"/>
        </w:rPr>
        <w:t xml:space="preserve"> below)</w:t>
      </w:r>
      <w:r w:rsidR="009D0B26" w:rsidRPr="007B724E">
        <w:rPr>
          <w:lang w:val="en-US" w:eastAsia="ja-JP"/>
        </w:rPr>
        <w:t>.</w:t>
      </w:r>
      <w:r w:rsidR="002A3B4C" w:rsidRPr="007B724E">
        <w:rPr>
          <w:lang w:val="en-US" w:eastAsia="ja-JP"/>
        </w:rPr>
        <w:t xml:space="preserve"> </w:t>
      </w:r>
      <w:r w:rsidR="009D6776">
        <w:t>This route is currently serviced by</w:t>
      </w:r>
      <w:r w:rsidR="00B82FD2" w:rsidRPr="000A02E2">
        <w:t xml:space="preserve"> hybrid diesel</w:t>
      </w:r>
      <w:r w:rsidR="0018116A">
        <w:noBreakHyphen/>
      </w:r>
      <w:r w:rsidR="00B82FD2" w:rsidRPr="000A02E2">
        <w:t>electric shu</w:t>
      </w:r>
      <w:r w:rsidR="009D6776">
        <w:t>ttle buses, or visitors can walk on an adjacent path.</w:t>
      </w:r>
      <w:r w:rsidR="00B82FD2" w:rsidRPr="000A02E2">
        <w:t xml:space="preserve"> Previous </w:t>
      </w:r>
      <w:r w:rsidR="009D6776">
        <w:t xml:space="preserve">access </w:t>
      </w:r>
      <w:r w:rsidR="00B82FD2" w:rsidRPr="000A02E2">
        <w:t xml:space="preserve">arrangements, allowing access </w:t>
      </w:r>
      <w:r w:rsidR="009D6776">
        <w:t xml:space="preserve">to Dove Lake </w:t>
      </w:r>
      <w:r w:rsidR="00B82FD2" w:rsidRPr="000A02E2">
        <w:t xml:space="preserve">by private vehicle, led to traffic </w:t>
      </w:r>
      <w:r w:rsidR="009D6776">
        <w:t>congestion</w:t>
      </w:r>
      <w:r w:rsidR="009D6776" w:rsidRPr="000A02E2">
        <w:t xml:space="preserve"> </w:t>
      </w:r>
      <w:r w:rsidR="009D6776">
        <w:t xml:space="preserve">on the narrow, </w:t>
      </w:r>
      <w:r w:rsidR="00B82FD2" w:rsidRPr="000A02E2">
        <w:t xml:space="preserve">winding Dove Lake Road. </w:t>
      </w:r>
    </w:p>
    <w:p w14:paraId="2A900B8F" w14:textId="66278C36" w:rsidR="002A3B4C" w:rsidRPr="007B724E" w:rsidRDefault="007C51E0" w:rsidP="00FF381A">
      <w:pPr>
        <w:spacing w:before="170" w:after="0"/>
      </w:pPr>
      <w:r>
        <w:rPr>
          <w:lang w:val="en-US" w:eastAsia="ja-JP"/>
        </w:rPr>
        <w:t xml:space="preserve">Feasibility and financial modelling are well advanced for </w:t>
      </w:r>
      <w:r w:rsidR="00B82FD2">
        <w:rPr>
          <w:lang w:val="en-US" w:eastAsia="ja-JP"/>
        </w:rPr>
        <w:t xml:space="preserve">the proposed </w:t>
      </w:r>
      <w:r w:rsidR="003E3CEE">
        <w:rPr>
          <w:lang w:val="en-US" w:eastAsia="ja-JP"/>
        </w:rPr>
        <w:t>transportation solution,</w:t>
      </w:r>
      <w:r w:rsidR="00B82FD2">
        <w:rPr>
          <w:lang w:val="en-US" w:eastAsia="ja-JP"/>
        </w:rPr>
        <w:t xml:space="preserve"> </w:t>
      </w:r>
      <w:r w:rsidR="003E3CEE" w:rsidRPr="003E3CEE">
        <w:rPr>
          <w:bCs/>
          <w:lang w:val="en-US" w:eastAsia="ja-JP"/>
        </w:rPr>
        <w:t>which includes consideration of a cable-way</w:t>
      </w:r>
      <w:r>
        <w:rPr>
          <w:lang w:val="en-US" w:eastAsia="ja-JP"/>
        </w:rPr>
        <w:t>.</w:t>
      </w:r>
      <w:r w:rsidR="00601F6F">
        <w:rPr>
          <w:lang w:val="en-US" w:eastAsia="ja-JP"/>
        </w:rPr>
        <w:t xml:space="preserve"> </w:t>
      </w:r>
      <w:r w:rsidR="00E03391">
        <w:t xml:space="preserve">Any proposal to proceed </w:t>
      </w:r>
      <w:r w:rsidR="000A02E2">
        <w:t>would</w:t>
      </w:r>
      <w:r w:rsidR="002A3B4C" w:rsidRPr="007B724E">
        <w:t xml:space="preserve"> require assessment under </w:t>
      </w:r>
      <w:r w:rsidR="00A67789">
        <w:t>Tasmania’s</w:t>
      </w:r>
      <w:r w:rsidR="00E03391">
        <w:t xml:space="preserve"> Reserve Activity Assessment process</w:t>
      </w:r>
      <w:r w:rsidR="0018116A">
        <w:t>,</w:t>
      </w:r>
      <w:r w:rsidR="00E03391">
        <w:t xml:space="preserve"> relevant </w:t>
      </w:r>
      <w:r w:rsidR="00601F6F">
        <w:t>l</w:t>
      </w:r>
      <w:r w:rsidR="00E03391">
        <w:t xml:space="preserve">ocal government planning schemes and the </w:t>
      </w:r>
      <w:r w:rsidR="002A3B4C" w:rsidRPr="007B724E">
        <w:t xml:space="preserve">EPBC Act before building could </w:t>
      </w:r>
      <w:r w:rsidR="000A02E2">
        <w:t>commence</w:t>
      </w:r>
      <w:r w:rsidR="002A3B4C" w:rsidRPr="007B724E">
        <w:t>.</w:t>
      </w:r>
    </w:p>
    <w:p w14:paraId="7318455D" w14:textId="2E882FD3" w:rsidR="002A3B4C" w:rsidRPr="007B724E" w:rsidRDefault="0040475E" w:rsidP="00FF381A">
      <w:pPr>
        <w:pStyle w:val="ListBullet"/>
        <w:numPr>
          <w:ilvl w:val="0"/>
          <w:numId w:val="0"/>
        </w:numPr>
        <w:spacing w:before="170" w:after="0"/>
        <w:rPr>
          <w:rFonts w:cs="Arial"/>
          <w:sz w:val="20"/>
          <w:szCs w:val="20"/>
        </w:rPr>
      </w:pPr>
      <w:r>
        <w:rPr>
          <w:sz w:val="20"/>
          <w:szCs w:val="20"/>
        </w:rPr>
        <w:t>T</w:t>
      </w:r>
      <w:r w:rsidR="002A3B4C" w:rsidRPr="007B724E">
        <w:rPr>
          <w:sz w:val="20"/>
          <w:szCs w:val="20"/>
        </w:rPr>
        <w:t xml:space="preserve">he 2016 Management Plan </w:t>
      </w:r>
      <w:r>
        <w:rPr>
          <w:sz w:val="20"/>
          <w:szCs w:val="20"/>
        </w:rPr>
        <w:t xml:space="preserve">allows for </w:t>
      </w:r>
      <w:r w:rsidR="002A3B4C" w:rsidRPr="007B724E">
        <w:rPr>
          <w:sz w:val="20"/>
          <w:szCs w:val="20"/>
        </w:rPr>
        <w:t>the proposed redevelopment</w:t>
      </w:r>
      <w:r w:rsidR="001F0D19">
        <w:rPr>
          <w:sz w:val="20"/>
          <w:szCs w:val="20"/>
        </w:rPr>
        <w:t>,</w:t>
      </w:r>
      <w:r w:rsidR="002A3B4C" w:rsidRPr="007B724E">
        <w:rPr>
          <w:sz w:val="20"/>
          <w:szCs w:val="20"/>
        </w:rPr>
        <w:t xml:space="preserve"> </w:t>
      </w:r>
      <w:r>
        <w:rPr>
          <w:sz w:val="20"/>
          <w:szCs w:val="20"/>
        </w:rPr>
        <w:t>as the relevant area</w:t>
      </w:r>
      <w:r w:rsidR="002A3B4C" w:rsidRPr="007B724E">
        <w:rPr>
          <w:sz w:val="20"/>
          <w:szCs w:val="20"/>
        </w:rPr>
        <w:t xml:space="preserve"> is zoned as ‘visitor services’</w:t>
      </w:r>
      <w:r w:rsidR="00333E44">
        <w:rPr>
          <w:sz w:val="20"/>
          <w:szCs w:val="20"/>
        </w:rPr>
        <w:t>. This zone</w:t>
      </w:r>
      <w:r w:rsidR="002A3B4C" w:rsidRPr="007B724E">
        <w:rPr>
          <w:sz w:val="20"/>
          <w:szCs w:val="20"/>
        </w:rPr>
        <w:t xml:space="preserve"> is defined as an area that provides the highest level of developed visitor facilities and</w:t>
      </w:r>
      <w:r w:rsidR="00A67789">
        <w:rPr>
          <w:sz w:val="20"/>
          <w:szCs w:val="20"/>
        </w:rPr>
        <w:t xml:space="preserve"> is</w:t>
      </w:r>
      <w:r w:rsidR="002A3B4C" w:rsidRPr="007B724E">
        <w:rPr>
          <w:sz w:val="20"/>
          <w:szCs w:val="20"/>
        </w:rPr>
        <w:t xml:space="preserve"> where a majority of visitors experience the </w:t>
      </w:r>
      <w:r w:rsidR="008740C5" w:rsidRPr="007B724E">
        <w:rPr>
          <w:sz w:val="20"/>
          <w:szCs w:val="20"/>
        </w:rPr>
        <w:t>property</w:t>
      </w:r>
      <w:r w:rsidR="002A3B4C" w:rsidRPr="007B724E">
        <w:rPr>
          <w:sz w:val="20"/>
          <w:szCs w:val="20"/>
        </w:rPr>
        <w:t xml:space="preserve">. </w:t>
      </w:r>
      <w:r w:rsidR="00333E44">
        <w:rPr>
          <w:sz w:val="20"/>
          <w:szCs w:val="20"/>
        </w:rPr>
        <w:t>A</w:t>
      </w:r>
      <w:r w:rsidR="00333E44" w:rsidRPr="007B724E">
        <w:rPr>
          <w:sz w:val="20"/>
          <w:szCs w:val="20"/>
        </w:rPr>
        <w:t xml:space="preserve"> </w:t>
      </w:r>
      <w:r w:rsidR="00333E44" w:rsidRPr="00333E44">
        <w:rPr>
          <w:sz w:val="20"/>
          <w:szCs w:val="20"/>
        </w:rPr>
        <w:t>‘visitor services’</w:t>
      </w:r>
      <w:r w:rsidR="00333E44">
        <w:rPr>
          <w:sz w:val="20"/>
          <w:szCs w:val="20"/>
        </w:rPr>
        <w:t xml:space="preserve"> </w:t>
      </w:r>
      <w:r w:rsidR="002A3B4C" w:rsidRPr="007B724E">
        <w:rPr>
          <w:sz w:val="20"/>
          <w:szCs w:val="20"/>
        </w:rPr>
        <w:t>zone is generally a high use area</w:t>
      </w:r>
      <w:r w:rsidR="0018116A">
        <w:rPr>
          <w:sz w:val="20"/>
          <w:szCs w:val="20"/>
        </w:rPr>
        <w:t>,</w:t>
      </w:r>
      <w:r w:rsidR="002A3B4C" w:rsidRPr="007B724E">
        <w:rPr>
          <w:sz w:val="20"/>
          <w:szCs w:val="20"/>
        </w:rPr>
        <w:t xml:space="preserve"> with mechanised access.</w:t>
      </w:r>
      <w:r w:rsidR="002A3B4C" w:rsidRPr="007B724E">
        <w:rPr>
          <w:rFonts w:cs="Arial"/>
          <w:sz w:val="20"/>
          <w:szCs w:val="20"/>
        </w:rPr>
        <w:t xml:space="preserve"> </w:t>
      </w:r>
    </w:p>
    <w:p w14:paraId="33A367A1" w14:textId="1991D3B7" w:rsidR="00DB3543" w:rsidRPr="009B16BC" w:rsidRDefault="008C0447" w:rsidP="00824985">
      <w:pPr>
        <w:pStyle w:val="Heading2"/>
        <w:spacing w:before="170"/>
      </w:pPr>
      <w:bookmarkStart w:id="139" w:name="_Toc19270675"/>
      <w:bookmarkStart w:id="140" w:name="_Toc22806721"/>
      <w:r>
        <w:t>Dove Lake Shelter, Cradle Mountain</w:t>
      </w:r>
      <w:r w:rsidR="004904C0">
        <w:t xml:space="preserve"> </w:t>
      </w:r>
      <w:r w:rsidRPr="004904C0">
        <w:rPr>
          <w:rFonts w:cs="Times New Roman"/>
          <w:b w:val="0"/>
          <w:color w:val="auto"/>
          <w:spacing w:val="0"/>
          <w:szCs w:val="24"/>
        </w:rPr>
        <w:t>-</w:t>
      </w:r>
      <w:r w:rsidR="004904C0">
        <w:t xml:space="preserve"> Lake St Clair</w:t>
      </w:r>
      <w:r>
        <w:t xml:space="preserve"> National Park</w:t>
      </w:r>
      <w:bookmarkEnd w:id="139"/>
      <w:bookmarkEnd w:id="140"/>
    </w:p>
    <w:p w14:paraId="1ECB5991" w14:textId="64FFFB37" w:rsidR="00B0452B" w:rsidRPr="007B724E" w:rsidRDefault="0056404C" w:rsidP="001D5829">
      <w:pPr>
        <w:pStyle w:val="ListBullet"/>
        <w:numPr>
          <w:ilvl w:val="0"/>
          <w:numId w:val="0"/>
        </w:numPr>
        <w:spacing w:before="170" w:after="0"/>
        <w:rPr>
          <w:sz w:val="20"/>
          <w:szCs w:val="20"/>
        </w:rPr>
      </w:pPr>
      <w:r w:rsidRPr="007B724E">
        <w:rPr>
          <w:sz w:val="20"/>
          <w:szCs w:val="20"/>
        </w:rPr>
        <w:t>In September 2018</w:t>
      </w:r>
      <w:r w:rsidR="007C51E0">
        <w:rPr>
          <w:sz w:val="20"/>
          <w:szCs w:val="20"/>
        </w:rPr>
        <w:t>,</w:t>
      </w:r>
      <w:r w:rsidRPr="007B724E">
        <w:rPr>
          <w:sz w:val="20"/>
          <w:szCs w:val="20"/>
        </w:rPr>
        <w:t xml:space="preserve"> </w:t>
      </w:r>
      <w:r w:rsidR="00D864D0">
        <w:rPr>
          <w:sz w:val="20"/>
          <w:szCs w:val="20"/>
        </w:rPr>
        <w:t xml:space="preserve">the </w:t>
      </w:r>
      <w:r w:rsidRPr="007B724E">
        <w:rPr>
          <w:sz w:val="20"/>
          <w:szCs w:val="20"/>
        </w:rPr>
        <w:t xml:space="preserve">Tasmania Parks and Wildlife Service released </w:t>
      </w:r>
      <w:r w:rsidR="00735C51" w:rsidRPr="007B724E">
        <w:rPr>
          <w:sz w:val="20"/>
          <w:szCs w:val="20"/>
        </w:rPr>
        <w:t xml:space="preserve">a proposal to construct a new viewing shelter and associated infrastructure </w:t>
      </w:r>
      <w:r w:rsidR="001D5829">
        <w:rPr>
          <w:sz w:val="20"/>
          <w:szCs w:val="20"/>
        </w:rPr>
        <w:t>at</w:t>
      </w:r>
      <w:r w:rsidR="001D5829" w:rsidRPr="007B724E">
        <w:rPr>
          <w:sz w:val="20"/>
          <w:szCs w:val="20"/>
        </w:rPr>
        <w:t xml:space="preserve"> Dove Lake</w:t>
      </w:r>
      <w:r w:rsidR="001D5829">
        <w:rPr>
          <w:sz w:val="20"/>
          <w:szCs w:val="20"/>
        </w:rPr>
        <w:t xml:space="preserve">. The </w:t>
      </w:r>
      <w:r w:rsidR="00735C51" w:rsidRPr="007B724E">
        <w:rPr>
          <w:sz w:val="20"/>
          <w:szCs w:val="20"/>
        </w:rPr>
        <w:t xml:space="preserve">area </w:t>
      </w:r>
      <w:r w:rsidR="001D5829">
        <w:rPr>
          <w:sz w:val="20"/>
          <w:szCs w:val="20"/>
        </w:rPr>
        <w:t xml:space="preserve">is </w:t>
      </w:r>
      <w:r w:rsidR="00735C51" w:rsidRPr="007B724E">
        <w:rPr>
          <w:sz w:val="20"/>
          <w:szCs w:val="20"/>
        </w:rPr>
        <w:t>currently used as a car park</w:t>
      </w:r>
      <w:r w:rsidR="001D5829">
        <w:rPr>
          <w:sz w:val="20"/>
          <w:szCs w:val="20"/>
        </w:rPr>
        <w:t xml:space="preserve"> and the </w:t>
      </w:r>
      <w:r w:rsidR="000D556D">
        <w:rPr>
          <w:sz w:val="20"/>
          <w:szCs w:val="20"/>
        </w:rPr>
        <w:t xml:space="preserve">proposal falls within the Cradle Mountain ‘visitor services’ zone. The </w:t>
      </w:r>
      <w:r w:rsidR="000D556D" w:rsidRPr="000D556D">
        <w:rPr>
          <w:sz w:val="20"/>
          <w:szCs w:val="20"/>
        </w:rPr>
        <w:t xml:space="preserve">2016 Management Plan </w:t>
      </w:r>
      <w:r w:rsidR="000D556D">
        <w:rPr>
          <w:sz w:val="20"/>
          <w:szCs w:val="20"/>
        </w:rPr>
        <w:t>defines this zone as</w:t>
      </w:r>
      <w:r w:rsidR="000D556D" w:rsidRPr="000D556D">
        <w:rPr>
          <w:sz w:val="20"/>
          <w:szCs w:val="20"/>
        </w:rPr>
        <w:t xml:space="preserve"> an area that provides the highest level </w:t>
      </w:r>
      <w:r w:rsidR="00036F5E">
        <w:rPr>
          <w:sz w:val="20"/>
          <w:szCs w:val="20"/>
        </w:rPr>
        <w:t xml:space="preserve">of developed visitor facilities. </w:t>
      </w:r>
      <w:r w:rsidR="00CF6BF2" w:rsidRPr="005F3662">
        <w:rPr>
          <w:sz w:val="20"/>
          <w:szCs w:val="20"/>
        </w:rPr>
        <w:t xml:space="preserve">Should the </w:t>
      </w:r>
      <w:r w:rsidR="0040475E">
        <w:rPr>
          <w:sz w:val="20"/>
          <w:szCs w:val="20"/>
        </w:rPr>
        <w:t>transportation solution</w:t>
      </w:r>
      <w:r w:rsidR="00CF6BF2" w:rsidRPr="005F3662">
        <w:rPr>
          <w:sz w:val="20"/>
          <w:szCs w:val="20"/>
        </w:rPr>
        <w:t xml:space="preserve"> described </w:t>
      </w:r>
      <w:r w:rsidR="00B16801" w:rsidRPr="005F3662">
        <w:rPr>
          <w:sz w:val="20"/>
          <w:szCs w:val="20"/>
        </w:rPr>
        <w:t xml:space="preserve">at </w:t>
      </w:r>
      <w:r w:rsidR="00B16801" w:rsidRPr="005F3662">
        <w:rPr>
          <w:b/>
          <w:sz w:val="20"/>
          <w:szCs w:val="20"/>
        </w:rPr>
        <w:t>Section 4.2</w:t>
      </w:r>
      <w:r w:rsidR="00B16801" w:rsidRPr="005F3662">
        <w:rPr>
          <w:sz w:val="20"/>
          <w:szCs w:val="20"/>
        </w:rPr>
        <w:t xml:space="preserve"> (</w:t>
      </w:r>
      <w:r w:rsidR="00CF6BF2" w:rsidRPr="005F3662">
        <w:rPr>
          <w:sz w:val="20"/>
          <w:szCs w:val="20"/>
        </w:rPr>
        <w:t>above</w:t>
      </w:r>
      <w:r w:rsidR="00B16801" w:rsidRPr="005F3662">
        <w:rPr>
          <w:sz w:val="20"/>
          <w:szCs w:val="20"/>
        </w:rPr>
        <w:t>)</w:t>
      </w:r>
      <w:r w:rsidR="00CF6BF2" w:rsidRPr="005F3662">
        <w:rPr>
          <w:sz w:val="20"/>
          <w:szCs w:val="20"/>
        </w:rPr>
        <w:t xml:space="preserve"> proceed, it will connect the Cradle Mountain Visitor Centre</w:t>
      </w:r>
      <w:r w:rsidR="00B16801" w:rsidRPr="005F3662">
        <w:rPr>
          <w:sz w:val="20"/>
          <w:szCs w:val="20"/>
        </w:rPr>
        <w:t xml:space="preserve"> with Dove Lake and this viewing shelter.</w:t>
      </w:r>
    </w:p>
    <w:p w14:paraId="7A37CD7D" w14:textId="102EC2F6" w:rsidR="00F358E1" w:rsidRPr="007B724E" w:rsidRDefault="00B0452B" w:rsidP="001D5829">
      <w:pPr>
        <w:pStyle w:val="ListBullet"/>
        <w:numPr>
          <w:ilvl w:val="0"/>
          <w:numId w:val="0"/>
        </w:numPr>
        <w:spacing w:before="170" w:after="0"/>
        <w:rPr>
          <w:sz w:val="20"/>
          <w:szCs w:val="20"/>
        </w:rPr>
      </w:pPr>
      <w:r w:rsidRPr="007B724E">
        <w:rPr>
          <w:sz w:val="20"/>
          <w:szCs w:val="20"/>
        </w:rPr>
        <w:t xml:space="preserve">A visual impact assessment undertaken for the proposal concluded </w:t>
      </w:r>
      <w:r w:rsidR="00036F5E">
        <w:rPr>
          <w:sz w:val="20"/>
          <w:szCs w:val="20"/>
        </w:rPr>
        <w:t xml:space="preserve">that </w:t>
      </w:r>
      <w:r w:rsidRPr="007B724E">
        <w:rPr>
          <w:sz w:val="20"/>
          <w:szCs w:val="20"/>
        </w:rPr>
        <w:t xml:space="preserve">the visible presence of the viewing shelter in the landscape is acceptable and that there are numerous qualities that commend it as </w:t>
      </w:r>
      <w:r w:rsidR="007C51E0">
        <w:rPr>
          <w:sz w:val="20"/>
          <w:szCs w:val="20"/>
        </w:rPr>
        <w:t xml:space="preserve">being </w:t>
      </w:r>
      <w:r w:rsidRPr="007B724E">
        <w:rPr>
          <w:sz w:val="20"/>
          <w:szCs w:val="20"/>
        </w:rPr>
        <w:t xml:space="preserve">aesthetically worthy of </w:t>
      </w:r>
      <w:r w:rsidR="007C51E0">
        <w:rPr>
          <w:sz w:val="20"/>
          <w:szCs w:val="20"/>
        </w:rPr>
        <w:t>the proposed</w:t>
      </w:r>
      <w:r w:rsidRPr="007B724E">
        <w:rPr>
          <w:sz w:val="20"/>
          <w:szCs w:val="20"/>
        </w:rPr>
        <w:t xml:space="preserve"> location.</w:t>
      </w:r>
    </w:p>
    <w:p w14:paraId="49D32EFE" w14:textId="0F5A9F2D" w:rsidR="00B0452B" w:rsidRDefault="00F358E1" w:rsidP="001D5829">
      <w:pPr>
        <w:pStyle w:val="ListBullet"/>
        <w:numPr>
          <w:ilvl w:val="0"/>
          <w:numId w:val="0"/>
        </w:numPr>
        <w:spacing w:before="170" w:after="0"/>
        <w:rPr>
          <w:sz w:val="20"/>
          <w:szCs w:val="20"/>
        </w:rPr>
      </w:pPr>
      <w:r w:rsidRPr="007B724E">
        <w:rPr>
          <w:sz w:val="20"/>
          <w:szCs w:val="20"/>
        </w:rPr>
        <w:t>Th</w:t>
      </w:r>
      <w:r w:rsidR="000D556D">
        <w:rPr>
          <w:sz w:val="20"/>
          <w:szCs w:val="20"/>
        </w:rPr>
        <w:t>e</w:t>
      </w:r>
      <w:r w:rsidRPr="007B724E">
        <w:rPr>
          <w:sz w:val="20"/>
          <w:szCs w:val="20"/>
        </w:rPr>
        <w:t xml:space="preserve"> </w:t>
      </w:r>
      <w:r w:rsidR="000D556D" w:rsidRPr="000D556D">
        <w:rPr>
          <w:sz w:val="20"/>
          <w:szCs w:val="20"/>
        </w:rPr>
        <w:t xml:space="preserve">Dove Lake Shelter </w:t>
      </w:r>
      <w:r w:rsidRPr="007B724E">
        <w:rPr>
          <w:sz w:val="20"/>
          <w:szCs w:val="20"/>
        </w:rPr>
        <w:t xml:space="preserve">proposal was referred under the EPBC Act on 29 March 2019. </w:t>
      </w:r>
      <w:r w:rsidR="00B0452B" w:rsidRPr="007B724E">
        <w:rPr>
          <w:sz w:val="20"/>
          <w:szCs w:val="20"/>
        </w:rPr>
        <w:t xml:space="preserve">The </w:t>
      </w:r>
      <w:r w:rsidR="000D556D">
        <w:rPr>
          <w:sz w:val="20"/>
          <w:szCs w:val="20"/>
        </w:rPr>
        <w:t>Australian Government</w:t>
      </w:r>
      <w:r w:rsidR="00B0452B" w:rsidRPr="007B724E">
        <w:rPr>
          <w:sz w:val="20"/>
          <w:szCs w:val="20"/>
        </w:rPr>
        <w:t xml:space="preserve"> decided</w:t>
      </w:r>
      <w:r w:rsidR="0018116A">
        <w:rPr>
          <w:sz w:val="20"/>
          <w:szCs w:val="20"/>
        </w:rPr>
        <w:t>,</w:t>
      </w:r>
      <w:r w:rsidR="00B0452B" w:rsidRPr="007B724E">
        <w:rPr>
          <w:sz w:val="20"/>
          <w:szCs w:val="20"/>
        </w:rPr>
        <w:t xml:space="preserve"> on 26 May 2019</w:t>
      </w:r>
      <w:r w:rsidR="0018116A">
        <w:rPr>
          <w:sz w:val="20"/>
          <w:szCs w:val="20"/>
        </w:rPr>
        <w:t>,</w:t>
      </w:r>
      <w:r w:rsidR="00B0452B" w:rsidRPr="007B724E">
        <w:rPr>
          <w:sz w:val="20"/>
          <w:szCs w:val="20"/>
        </w:rPr>
        <w:t xml:space="preserve"> that the project was unlikely to have a significant impact on any protected matters and could proceed without further assessment under the EPBC Act.</w:t>
      </w:r>
      <w:r w:rsidR="00B0452B" w:rsidRPr="00532A18">
        <w:rPr>
          <w:sz w:val="20"/>
          <w:szCs w:val="20"/>
        </w:rPr>
        <w:t xml:space="preserve"> </w:t>
      </w:r>
    </w:p>
    <w:p w14:paraId="45BEA668" w14:textId="1B381B32" w:rsidR="007C51E0" w:rsidRPr="00532A18" w:rsidRDefault="007C51E0" w:rsidP="001D5829">
      <w:pPr>
        <w:pStyle w:val="ListBullet"/>
        <w:numPr>
          <w:ilvl w:val="0"/>
          <w:numId w:val="0"/>
        </w:numPr>
        <w:spacing w:before="170" w:after="0"/>
        <w:rPr>
          <w:sz w:val="20"/>
          <w:szCs w:val="20"/>
        </w:rPr>
      </w:pPr>
      <w:r>
        <w:rPr>
          <w:sz w:val="20"/>
          <w:szCs w:val="20"/>
        </w:rPr>
        <w:t xml:space="preserve">The development application </w:t>
      </w:r>
      <w:r w:rsidR="000D556D">
        <w:rPr>
          <w:sz w:val="20"/>
          <w:szCs w:val="20"/>
        </w:rPr>
        <w:t xml:space="preserve">was approved by local government </w:t>
      </w:r>
      <w:r w:rsidR="0018116A">
        <w:rPr>
          <w:sz w:val="20"/>
          <w:szCs w:val="20"/>
        </w:rPr>
        <w:t>o</w:t>
      </w:r>
      <w:r w:rsidR="000D556D">
        <w:rPr>
          <w:sz w:val="20"/>
          <w:szCs w:val="20"/>
        </w:rPr>
        <w:t>n</w:t>
      </w:r>
      <w:r>
        <w:rPr>
          <w:sz w:val="20"/>
          <w:szCs w:val="20"/>
        </w:rPr>
        <w:t xml:space="preserve"> 20 August 2019. The Dove Lake Shelter has now obtained all required approvals and will progress to tender and construction</w:t>
      </w:r>
      <w:r w:rsidR="0018116A">
        <w:rPr>
          <w:sz w:val="20"/>
          <w:szCs w:val="20"/>
        </w:rPr>
        <w:t>,</w:t>
      </w:r>
      <w:r>
        <w:rPr>
          <w:sz w:val="20"/>
          <w:szCs w:val="20"/>
        </w:rPr>
        <w:t xml:space="preserve"> with work </w:t>
      </w:r>
      <w:r w:rsidR="000858E9">
        <w:rPr>
          <w:sz w:val="20"/>
          <w:szCs w:val="20"/>
        </w:rPr>
        <w:t>scheduled</w:t>
      </w:r>
      <w:r>
        <w:rPr>
          <w:sz w:val="20"/>
          <w:szCs w:val="20"/>
        </w:rPr>
        <w:t xml:space="preserve"> to commence i</w:t>
      </w:r>
      <w:r w:rsidR="00785F9F">
        <w:rPr>
          <w:sz w:val="20"/>
          <w:szCs w:val="20"/>
        </w:rPr>
        <w:t>n early 2020, subject to final tenders and cost</w:t>
      </w:r>
      <w:r>
        <w:rPr>
          <w:sz w:val="20"/>
          <w:szCs w:val="20"/>
        </w:rPr>
        <w:t>.</w:t>
      </w:r>
      <w:r w:rsidR="00CF6BF2">
        <w:rPr>
          <w:sz w:val="20"/>
          <w:szCs w:val="20"/>
        </w:rPr>
        <w:t xml:space="preserve"> </w:t>
      </w:r>
    </w:p>
    <w:p w14:paraId="3539BA26" w14:textId="77777777" w:rsidR="000A2A83" w:rsidRDefault="000A2A83" w:rsidP="00824985">
      <w:pPr>
        <w:spacing w:before="170"/>
        <w:rPr>
          <w:lang w:val="en-US" w:eastAsia="ja-JP"/>
        </w:rPr>
      </w:pPr>
      <w:r>
        <w:rPr>
          <w:lang w:val="en-US" w:eastAsia="ja-JP"/>
        </w:rPr>
        <w:br w:type="page"/>
      </w:r>
    </w:p>
    <w:p w14:paraId="02A70153" w14:textId="77777777" w:rsidR="00AF505E" w:rsidRPr="00D52FB7" w:rsidRDefault="00AF505E" w:rsidP="00824985">
      <w:pPr>
        <w:pStyle w:val="Heading1"/>
        <w:numPr>
          <w:ilvl w:val="0"/>
          <w:numId w:val="0"/>
        </w:numPr>
        <w:spacing w:before="170"/>
        <w:ind w:left="432" w:hanging="432"/>
      </w:pPr>
      <w:bookmarkStart w:id="141" w:name="_Toc5373753"/>
      <w:bookmarkStart w:id="142" w:name="_Toc19270676"/>
      <w:bookmarkStart w:id="143" w:name="_Toc22806722"/>
      <w:r w:rsidRPr="00D52FB7">
        <w:lastRenderedPageBreak/>
        <w:t>APPENDI</w:t>
      </w:r>
      <w:r w:rsidR="008C0447">
        <w:t>CES</w:t>
      </w:r>
      <w:bookmarkEnd w:id="141"/>
      <w:bookmarkEnd w:id="142"/>
      <w:bookmarkEnd w:id="143"/>
    </w:p>
    <w:p w14:paraId="5BEA857F" w14:textId="3D5745C2" w:rsidR="003E57F6" w:rsidRPr="00383C4F" w:rsidRDefault="008C0447" w:rsidP="001D5829">
      <w:pPr>
        <w:pStyle w:val="Heading2"/>
        <w:numPr>
          <w:ilvl w:val="0"/>
          <w:numId w:val="0"/>
        </w:numPr>
        <w:spacing w:before="170"/>
        <w:ind w:left="578" w:hanging="578"/>
      </w:pPr>
      <w:bookmarkStart w:id="144" w:name="_Ref1991779"/>
      <w:bookmarkStart w:id="145" w:name="_Toc5373754"/>
      <w:bookmarkStart w:id="146" w:name="_Toc19270677"/>
      <w:bookmarkStart w:id="147" w:name="_Toc22806723"/>
      <w:r>
        <w:t>A</w:t>
      </w:r>
      <w:r w:rsidR="00393DE9">
        <w:t xml:space="preserve">ppendix </w:t>
      </w:r>
      <w:r>
        <w:t xml:space="preserve">1: </w:t>
      </w:r>
      <w:r w:rsidR="003E57F6" w:rsidRPr="00383C4F">
        <w:t>Tasmanian Wilderness (Australia) (C/N 181quinquies) Decision:</w:t>
      </w:r>
      <w:r w:rsidR="00C41A5C">
        <w:t> </w:t>
      </w:r>
      <w:r w:rsidR="003E57F6" w:rsidRPr="00383C4F">
        <w:t>42</w:t>
      </w:r>
      <w:r w:rsidR="00C41A5C">
        <w:t> </w:t>
      </w:r>
      <w:r w:rsidR="003E57F6" w:rsidRPr="00383C4F">
        <w:t>COM 7B.61</w:t>
      </w:r>
      <w:bookmarkEnd w:id="144"/>
      <w:r w:rsidR="003E57F6" w:rsidRPr="00383C4F">
        <w:t xml:space="preserve"> </w:t>
      </w:r>
      <w:r w:rsidR="00B05938">
        <w:t>(2018)</w:t>
      </w:r>
      <w:bookmarkEnd w:id="145"/>
      <w:bookmarkEnd w:id="146"/>
      <w:bookmarkEnd w:id="147"/>
    </w:p>
    <w:p w14:paraId="4F1049C1" w14:textId="77777777" w:rsidR="003E57F6" w:rsidRPr="003E57F6" w:rsidRDefault="003E57F6" w:rsidP="00824985">
      <w:pPr>
        <w:pStyle w:val="Default"/>
        <w:spacing w:before="170"/>
        <w:rPr>
          <w:sz w:val="20"/>
          <w:szCs w:val="22"/>
        </w:rPr>
      </w:pPr>
    </w:p>
    <w:p w14:paraId="3EEA622E" w14:textId="77777777" w:rsidR="003E57F6" w:rsidRPr="003E57F6" w:rsidRDefault="003E57F6" w:rsidP="00824985">
      <w:pPr>
        <w:pStyle w:val="Default"/>
        <w:spacing w:before="170" w:after="257"/>
        <w:rPr>
          <w:sz w:val="20"/>
          <w:szCs w:val="22"/>
        </w:rPr>
      </w:pPr>
      <w:r w:rsidRPr="003E57F6">
        <w:rPr>
          <w:sz w:val="20"/>
          <w:szCs w:val="22"/>
        </w:rPr>
        <w:t xml:space="preserve">The World Heritage Committee, </w:t>
      </w:r>
    </w:p>
    <w:p w14:paraId="40C55C39" w14:textId="77777777" w:rsidR="003E57F6" w:rsidRPr="003E57F6" w:rsidRDefault="003E57F6" w:rsidP="00824985">
      <w:pPr>
        <w:pStyle w:val="Default"/>
        <w:spacing w:before="170" w:after="257"/>
        <w:rPr>
          <w:sz w:val="20"/>
          <w:szCs w:val="22"/>
        </w:rPr>
      </w:pPr>
      <w:r w:rsidRPr="003E57F6">
        <w:rPr>
          <w:sz w:val="20"/>
          <w:szCs w:val="22"/>
        </w:rPr>
        <w:t xml:space="preserve">1. Having examined Document WHC/18/42.COM/7B, </w:t>
      </w:r>
    </w:p>
    <w:p w14:paraId="6E6FC48E" w14:textId="77777777" w:rsidR="003E57F6" w:rsidRPr="003E57F6" w:rsidRDefault="003E57F6" w:rsidP="00824985">
      <w:pPr>
        <w:pStyle w:val="Default"/>
        <w:spacing w:before="170" w:after="257"/>
        <w:rPr>
          <w:sz w:val="20"/>
          <w:szCs w:val="22"/>
        </w:rPr>
      </w:pPr>
      <w:r w:rsidRPr="003E57F6">
        <w:rPr>
          <w:sz w:val="20"/>
          <w:szCs w:val="22"/>
        </w:rPr>
        <w:t xml:space="preserve">2. Recalling Decision </w:t>
      </w:r>
      <w:r w:rsidRPr="003E57F6">
        <w:rPr>
          <w:b/>
          <w:bCs/>
          <w:sz w:val="20"/>
          <w:szCs w:val="22"/>
        </w:rPr>
        <w:t xml:space="preserve">40 COM 7B.66 </w:t>
      </w:r>
      <w:r w:rsidRPr="003E57F6">
        <w:rPr>
          <w:sz w:val="20"/>
          <w:szCs w:val="22"/>
        </w:rPr>
        <w:t xml:space="preserve">adopted at its 40th session (Istanbul/UNESCO, 2016), </w:t>
      </w:r>
    </w:p>
    <w:p w14:paraId="50D47139" w14:textId="77777777" w:rsidR="003E57F6" w:rsidRPr="003E57F6" w:rsidRDefault="003E57F6" w:rsidP="00824985">
      <w:pPr>
        <w:pStyle w:val="Default"/>
        <w:spacing w:before="170" w:after="257"/>
        <w:rPr>
          <w:color w:val="auto"/>
          <w:sz w:val="20"/>
          <w:szCs w:val="22"/>
        </w:rPr>
      </w:pPr>
      <w:r w:rsidRPr="003E57F6">
        <w:rPr>
          <w:sz w:val="20"/>
          <w:szCs w:val="22"/>
        </w:rPr>
        <w:t xml:space="preserve">3. </w:t>
      </w:r>
      <w:r w:rsidRPr="003E57F6">
        <w:rPr>
          <w:sz w:val="20"/>
          <w:szCs w:val="22"/>
          <w:u w:val="single"/>
        </w:rPr>
        <w:t>Welcomes</w:t>
      </w:r>
      <w:r w:rsidRPr="003E57F6">
        <w:rPr>
          <w:sz w:val="20"/>
          <w:szCs w:val="22"/>
        </w:rPr>
        <w:t xml:space="preserve"> the ongoing implementation of the recommendations of the 2015 mission through the new 2016 Management Plan for the property, particularly the ban on commercial logging along with mineral exploration and extraction within the property and the recommendations related to fire research and management, and </w:t>
      </w:r>
      <w:r w:rsidRPr="003E57F6">
        <w:rPr>
          <w:sz w:val="20"/>
          <w:szCs w:val="22"/>
          <w:u w:val="single"/>
        </w:rPr>
        <w:t>encourages</w:t>
      </w:r>
      <w:r w:rsidRPr="003E57F6">
        <w:rPr>
          <w:sz w:val="20"/>
          <w:szCs w:val="22"/>
        </w:rPr>
        <w:t xml:space="preserve"> the State Party to continue its efforts in this regard; </w:t>
      </w:r>
    </w:p>
    <w:p w14:paraId="01087872" w14:textId="77777777" w:rsidR="003E57F6" w:rsidRPr="003E57F6" w:rsidRDefault="003E57F6" w:rsidP="00824985">
      <w:pPr>
        <w:pStyle w:val="Default"/>
        <w:spacing w:before="170" w:after="257"/>
        <w:rPr>
          <w:color w:val="auto"/>
          <w:sz w:val="20"/>
          <w:szCs w:val="22"/>
        </w:rPr>
      </w:pPr>
      <w:r w:rsidRPr="003E57F6">
        <w:rPr>
          <w:color w:val="auto"/>
          <w:sz w:val="20"/>
          <w:szCs w:val="22"/>
        </w:rPr>
        <w:t xml:space="preserve">4. </w:t>
      </w:r>
      <w:r w:rsidRPr="00DB6E51">
        <w:rPr>
          <w:color w:val="auto"/>
          <w:sz w:val="20"/>
          <w:szCs w:val="22"/>
          <w:u w:val="single"/>
        </w:rPr>
        <w:t xml:space="preserve">Also </w:t>
      </w:r>
      <w:r w:rsidRPr="003E57F6">
        <w:rPr>
          <w:color w:val="auto"/>
          <w:sz w:val="20"/>
          <w:szCs w:val="22"/>
          <w:u w:val="single"/>
        </w:rPr>
        <w:t>welcomes</w:t>
      </w:r>
      <w:r w:rsidRPr="003E57F6">
        <w:rPr>
          <w:color w:val="auto"/>
          <w:sz w:val="20"/>
          <w:szCs w:val="22"/>
        </w:rPr>
        <w:t xml:space="preserve"> the specific inclusion in the Management Plan of additional assessment criteria for commercial tourism proposals and requirements to consider potential impacts on the wilderness values of the property, </w:t>
      </w:r>
    </w:p>
    <w:p w14:paraId="3D014DA2" w14:textId="77777777" w:rsidR="003E57F6" w:rsidRPr="003E57F6" w:rsidRDefault="003E57F6" w:rsidP="00824985">
      <w:pPr>
        <w:pStyle w:val="Default"/>
        <w:spacing w:before="170" w:after="257"/>
        <w:rPr>
          <w:color w:val="auto"/>
          <w:sz w:val="20"/>
          <w:szCs w:val="22"/>
        </w:rPr>
      </w:pPr>
      <w:r w:rsidRPr="003E57F6">
        <w:rPr>
          <w:color w:val="auto"/>
          <w:sz w:val="20"/>
          <w:szCs w:val="22"/>
        </w:rPr>
        <w:t xml:space="preserve">5. </w:t>
      </w:r>
      <w:r w:rsidRPr="003E57F6">
        <w:rPr>
          <w:color w:val="auto"/>
          <w:sz w:val="20"/>
          <w:szCs w:val="22"/>
          <w:u w:val="single"/>
        </w:rPr>
        <w:t>Urges</w:t>
      </w:r>
      <w:r w:rsidRPr="003E57F6">
        <w:rPr>
          <w:color w:val="auto"/>
          <w:sz w:val="20"/>
          <w:szCs w:val="22"/>
        </w:rPr>
        <w:t xml:space="preserve"> the State Party to expedite the development of the Tourism Master Plan in order to ensure a strategic approach to tourism development within the property, in line with the primary goal of protecting its Outstanding Universal Value (OUV), and to submit the draft Tourism Master Plan to the World Heritage Centre for review by the Advisory Bodies prior to its finalization; </w:t>
      </w:r>
    </w:p>
    <w:p w14:paraId="760C1DBC" w14:textId="77777777" w:rsidR="003E57F6" w:rsidRPr="003E57F6" w:rsidRDefault="003E57F6" w:rsidP="00824985">
      <w:pPr>
        <w:pStyle w:val="Default"/>
        <w:spacing w:before="170" w:after="257"/>
        <w:rPr>
          <w:color w:val="auto"/>
          <w:sz w:val="20"/>
          <w:szCs w:val="22"/>
        </w:rPr>
      </w:pPr>
      <w:r w:rsidRPr="003E57F6">
        <w:rPr>
          <w:color w:val="auto"/>
          <w:sz w:val="20"/>
          <w:szCs w:val="22"/>
        </w:rPr>
        <w:t xml:space="preserve">6. </w:t>
      </w:r>
      <w:r w:rsidRPr="003E57F6">
        <w:rPr>
          <w:color w:val="auto"/>
          <w:sz w:val="20"/>
          <w:szCs w:val="22"/>
          <w:u w:val="single"/>
        </w:rPr>
        <w:t>Requests</w:t>
      </w:r>
      <w:r w:rsidRPr="003E57F6">
        <w:rPr>
          <w:color w:val="auto"/>
          <w:sz w:val="20"/>
          <w:szCs w:val="22"/>
        </w:rPr>
        <w:t xml:space="preserve"> the State Party to finalize, as a matter of priority, the on-going process to designate Permanent Timber Production Zone Land (PTPZL) and Future Potential Production Forest Land (FPPFL) within the property as reserves; </w:t>
      </w:r>
    </w:p>
    <w:p w14:paraId="49DDB174" w14:textId="77777777" w:rsidR="003E57F6" w:rsidRPr="003E57F6" w:rsidRDefault="003E57F6" w:rsidP="00824985">
      <w:pPr>
        <w:pStyle w:val="Default"/>
        <w:spacing w:before="170" w:after="257"/>
        <w:rPr>
          <w:color w:val="auto"/>
          <w:sz w:val="20"/>
          <w:szCs w:val="22"/>
        </w:rPr>
      </w:pPr>
      <w:r w:rsidRPr="003E57F6">
        <w:rPr>
          <w:color w:val="auto"/>
          <w:sz w:val="20"/>
          <w:szCs w:val="22"/>
        </w:rPr>
        <w:t xml:space="preserve">7. </w:t>
      </w:r>
      <w:r w:rsidRPr="003E57F6">
        <w:rPr>
          <w:color w:val="auto"/>
          <w:sz w:val="20"/>
          <w:szCs w:val="22"/>
          <w:u w:val="single"/>
        </w:rPr>
        <w:t>Commends</w:t>
      </w:r>
      <w:r w:rsidRPr="003E57F6">
        <w:rPr>
          <w:color w:val="auto"/>
          <w:sz w:val="20"/>
          <w:szCs w:val="22"/>
        </w:rPr>
        <w:t xml:space="preserve"> the State Party for the progress made with assessing cultural heritage assets by documenting archaeological and other research undertaken over the past 40 years; </w:t>
      </w:r>
    </w:p>
    <w:p w14:paraId="58ED883B" w14:textId="77777777" w:rsidR="003E57F6" w:rsidRPr="003E57F6" w:rsidRDefault="003E57F6" w:rsidP="00824985">
      <w:pPr>
        <w:pStyle w:val="Default"/>
        <w:spacing w:before="170" w:after="257"/>
        <w:rPr>
          <w:color w:val="auto"/>
          <w:sz w:val="20"/>
          <w:szCs w:val="22"/>
        </w:rPr>
      </w:pPr>
      <w:r w:rsidRPr="003E57F6">
        <w:rPr>
          <w:color w:val="auto"/>
          <w:sz w:val="20"/>
          <w:szCs w:val="22"/>
        </w:rPr>
        <w:t xml:space="preserve">8. </w:t>
      </w:r>
      <w:r w:rsidRPr="00DB6E51">
        <w:rPr>
          <w:color w:val="auto"/>
          <w:sz w:val="20"/>
          <w:szCs w:val="22"/>
          <w:u w:val="single"/>
        </w:rPr>
        <w:t xml:space="preserve">Also </w:t>
      </w:r>
      <w:r w:rsidRPr="003E57F6">
        <w:rPr>
          <w:color w:val="auto"/>
          <w:sz w:val="20"/>
          <w:szCs w:val="22"/>
          <w:u w:val="single"/>
        </w:rPr>
        <w:t>encourages</w:t>
      </w:r>
      <w:r w:rsidRPr="003E57F6">
        <w:rPr>
          <w:color w:val="auto"/>
          <w:sz w:val="20"/>
          <w:szCs w:val="22"/>
        </w:rPr>
        <w:t xml:space="preserve"> the State Party to implement the Detailed Plan for a Comprehensive Cultural Assessment of the property, in order to fully define both living and archaeological heritage and to support co-management of these resources with the Aboriginal communities; and </w:t>
      </w:r>
      <w:r w:rsidRPr="003E57F6">
        <w:rPr>
          <w:color w:val="auto"/>
          <w:sz w:val="20"/>
          <w:szCs w:val="22"/>
          <w:u w:val="single"/>
        </w:rPr>
        <w:t>further encourages</w:t>
      </w:r>
      <w:r w:rsidRPr="003E57F6">
        <w:rPr>
          <w:color w:val="auto"/>
          <w:sz w:val="20"/>
          <w:szCs w:val="22"/>
        </w:rPr>
        <w:t xml:space="preserve"> it to use these data to complete the drafting of a Retrospective Statement of OUV; </w:t>
      </w:r>
    </w:p>
    <w:p w14:paraId="2B901826" w14:textId="77777777" w:rsidR="003E57F6" w:rsidRPr="003E57F6" w:rsidRDefault="003E57F6" w:rsidP="00824985">
      <w:pPr>
        <w:pStyle w:val="Default"/>
        <w:spacing w:before="170" w:after="257"/>
        <w:rPr>
          <w:color w:val="auto"/>
          <w:sz w:val="20"/>
          <w:szCs w:val="22"/>
        </w:rPr>
      </w:pPr>
      <w:r w:rsidRPr="003E57F6">
        <w:rPr>
          <w:color w:val="auto"/>
          <w:sz w:val="20"/>
          <w:szCs w:val="22"/>
        </w:rPr>
        <w:t xml:space="preserve">9. </w:t>
      </w:r>
      <w:proofErr w:type="gramStart"/>
      <w:r w:rsidRPr="00DB6E51">
        <w:rPr>
          <w:color w:val="auto"/>
          <w:sz w:val="20"/>
          <w:szCs w:val="22"/>
          <w:u w:val="single"/>
        </w:rPr>
        <w:t>Reiterates</w:t>
      </w:r>
      <w:proofErr w:type="gramEnd"/>
      <w:r w:rsidRPr="00DB6E51">
        <w:rPr>
          <w:color w:val="auto"/>
          <w:sz w:val="20"/>
          <w:szCs w:val="22"/>
          <w:u w:val="single"/>
        </w:rPr>
        <w:t xml:space="preserve"> its recommendation</w:t>
      </w:r>
      <w:r w:rsidRPr="003E57F6">
        <w:rPr>
          <w:color w:val="auto"/>
          <w:sz w:val="20"/>
          <w:szCs w:val="22"/>
        </w:rPr>
        <w:t xml:space="preserve"> to the State Party to add cultural heritage specialists to the property staff, in order to ensure the effective protection and management of cultural sites within the property; </w:t>
      </w:r>
    </w:p>
    <w:p w14:paraId="51FB460A" w14:textId="77777777" w:rsidR="00383C4F" w:rsidRDefault="003E57F6" w:rsidP="00824985">
      <w:pPr>
        <w:pStyle w:val="Default"/>
        <w:spacing w:before="170"/>
        <w:rPr>
          <w:color w:val="auto"/>
          <w:sz w:val="20"/>
          <w:szCs w:val="22"/>
        </w:rPr>
        <w:sectPr w:rsidR="00383C4F">
          <w:pgSz w:w="12240" w:h="15840"/>
          <w:pgMar w:top="1440" w:right="1440" w:bottom="1440" w:left="1440" w:header="708" w:footer="708" w:gutter="0"/>
          <w:cols w:space="708"/>
          <w:docGrid w:linePitch="360"/>
        </w:sectPr>
      </w:pPr>
      <w:r w:rsidRPr="003E57F6">
        <w:rPr>
          <w:color w:val="auto"/>
          <w:sz w:val="20"/>
          <w:szCs w:val="22"/>
        </w:rPr>
        <w:t xml:space="preserve">10. </w:t>
      </w:r>
      <w:r w:rsidRPr="00DB6E51">
        <w:rPr>
          <w:color w:val="auto"/>
          <w:sz w:val="20"/>
          <w:szCs w:val="22"/>
          <w:u w:val="single"/>
        </w:rPr>
        <w:t xml:space="preserve">Also </w:t>
      </w:r>
      <w:r w:rsidRPr="003E57F6">
        <w:rPr>
          <w:color w:val="auto"/>
          <w:sz w:val="20"/>
          <w:szCs w:val="22"/>
          <w:u w:val="single"/>
        </w:rPr>
        <w:t>requests</w:t>
      </w:r>
      <w:r w:rsidRPr="003E57F6">
        <w:rPr>
          <w:color w:val="auto"/>
          <w:sz w:val="20"/>
          <w:szCs w:val="22"/>
        </w:rPr>
        <w:t xml:space="preserve"> the State Party to submit to the World Heritage Centre, by </w:t>
      </w:r>
      <w:r w:rsidRPr="003E57F6">
        <w:rPr>
          <w:b/>
          <w:bCs/>
          <w:color w:val="auto"/>
          <w:sz w:val="20"/>
          <w:szCs w:val="22"/>
        </w:rPr>
        <w:t>1 December 2019</w:t>
      </w:r>
      <w:r w:rsidRPr="003E57F6">
        <w:rPr>
          <w:color w:val="auto"/>
          <w:sz w:val="20"/>
          <w:szCs w:val="22"/>
        </w:rPr>
        <w:t xml:space="preserve">, an updated report on the state of conservation of the property and the implementation of the above, for examination by the World Heritage Committee at its 44th session in 2020. </w:t>
      </w:r>
    </w:p>
    <w:p w14:paraId="2FBADE7A" w14:textId="3D6788D5" w:rsidR="003E57F6" w:rsidRPr="00383C4F" w:rsidRDefault="008C0447" w:rsidP="00824985">
      <w:pPr>
        <w:pStyle w:val="Heading2"/>
        <w:numPr>
          <w:ilvl w:val="0"/>
          <w:numId w:val="0"/>
        </w:numPr>
        <w:spacing w:before="170"/>
        <w:ind w:left="578" w:hanging="578"/>
      </w:pPr>
      <w:bookmarkStart w:id="148" w:name="_Ref1991788"/>
      <w:bookmarkStart w:id="149" w:name="_Toc5373755"/>
      <w:bookmarkStart w:id="150" w:name="_Toc19270678"/>
      <w:bookmarkStart w:id="151" w:name="_Toc22806724"/>
      <w:r>
        <w:lastRenderedPageBreak/>
        <w:t>A</w:t>
      </w:r>
      <w:r w:rsidR="00393DE9">
        <w:t xml:space="preserve">ppendix </w:t>
      </w:r>
      <w:r>
        <w:t xml:space="preserve">2: </w:t>
      </w:r>
      <w:r w:rsidR="00383C4F" w:rsidRPr="00383C4F">
        <w:t>Tasmanian Wilderness (Australia) (C/N 181quinquies)</w:t>
      </w:r>
      <w:r w:rsidR="00C41A5C">
        <w:t xml:space="preserve"> </w:t>
      </w:r>
      <w:r w:rsidR="00383C4F" w:rsidRPr="00383C4F">
        <w:t>Decision:</w:t>
      </w:r>
      <w:r w:rsidR="00C41A5C">
        <w:t> </w:t>
      </w:r>
      <w:r w:rsidR="00383C4F" w:rsidRPr="00383C4F">
        <w:t>40</w:t>
      </w:r>
      <w:r w:rsidR="00C41A5C">
        <w:t> </w:t>
      </w:r>
      <w:r w:rsidR="00383C4F" w:rsidRPr="00383C4F">
        <w:t>COM 7B.66</w:t>
      </w:r>
      <w:bookmarkEnd w:id="148"/>
      <w:r w:rsidR="00B05938">
        <w:t xml:space="preserve"> (2016)</w:t>
      </w:r>
      <w:bookmarkEnd w:id="149"/>
      <w:bookmarkEnd w:id="150"/>
      <w:bookmarkEnd w:id="151"/>
    </w:p>
    <w:p w14:paraId="2EF5B6ED" w14:textId="77777777" w:rsidR="00383C4F" w:rsidRPr="00383C4F" w:rsidRDefault="00383C4F" w:rsidP="00824985">
      <w:pPr>
        <w:pStyle w:val="Default"/>
        <w:spacing w:before="170" w:after="257"/>
        <w:rPr>
          <w:sz w:val="20"/>
          <w:szCs w:val="22"/>
        </w:rPr>
      </w:pPr>
      <w:r w:rsidRPr="00383C4F">
        <w:rPr>
          <w:sz w:val="20"/>
          <w:szCs w:val="22"/>
        </w:rPr>
        <w:t xml:space="preserve">The World Heritage Committee, </w:t>
      </w:r>
    </w:p>
    <w:p w14:paraId="23777C50" w14:textId="77777777" w:rsidR="00383C4F" w:rsidRPr="00383C4F" w:rsidRDefault="00383C4F" w:rsidP="00824985">
      <w:pPr>
        <w:pStyle w:val="Default"/>
        <w:spacing w:before="170" w:after="257"/>
        <w:rPr>
          <w:sz w:val="20"/>
          <w:szCs w:val="22"/>
        </w:rPr>
      </w:pPr>
      <w:r>
        <w:rPr>
          <w:sz w:val="20"/>
          <w:szCs w:val="22"/>
        </w:rPr>
        <w:t xml:space="preserve">1. </w:t>
      </w:r>
      <w:r w:rsidRPr="00383C4F">
        <w:rPr>
          <w:sz w:val="20"/>
          <w:szCs w:val="22"/>
        </w:rPr>
        <w:t>Having examined Document WHC/16/40.COM/7B.Add,</w:t>
      </w:r>
    </w:p>
    <w:p w14:paraId="39E8D737" w14:textId="77777777" w:rsidR="00383C4F" w:rsidRPr="00383C4F" w:rsidRDefault="00383C4F" w:rsidP="00824985">
      <w:pPr>
        <w:pStyle w:val="Default"/>
        <w:spacing w:before="170" w:after="257"/>
        <w:rPr>
          <w:sz w:val="20"/>
          <w:szCs w:val="22"/>
        </w:rPr>
      </w:pPr>
      <w:r>
        <w:rPr>
          <w:sz w:val="20"/>
          <w:szCs w:val="22"/>
        </w:rPr>
        <w:t xml:space="preserve">2. </w:t>
      </w:r>
      <w:r w:rsidRPr="00383C4F">
        <w:rPr>
          <w:sz w:val="20"/>
          <w:szCs w:val="22"/>
          <w:u w:val="single"/>
        </w:rPr>
        <w:t>Recalling</w:t>
      </w:r>
      <w:r w:rsidRPr="00383C4F">
        <w:rPr>
          <w:sz w:val="20"/>
          <w:szCs w:val="22"/>
        </w:rPr>
        <w:t xml:space="preserve"> Decisions </w:t>
      </w:r>
      <w:r w:rsidRPr="00383C4F">
        <w:rPr>
          <w:b/>
          <w:sz w:val="20"/>
          <w:szCs w:val="22"/>
        </w:rPr>
        <w:t>38 COM 847</w:t>
      </w:r>
      <w:r w:rsidRPr="00383C4F">
        <w:rPr>
          <w:sz w:val="20"/>
          <w:szCs w:val="22"/>
        </w:rPr>
        <w:t xml:space="preserve"> and </w:t>
      </w:r>
      <w:r w:rsidRPr="00383C4F">
        <w:rPr>
          <w:b/>
          <w:sz w:val="20"/>
          <w:szCs w:val="22"/>
        </w:rPr>
        <w:t>39 COM 7B.35</w:t>
      </w:r>
      <w:r w:rsidRPr="00383C4F">
        <w:rPr>
          <w:sz w:val="20"/>
          <w:szCs w:val="22"/>
        </w:rPr>
        <w:t>, adopted at its 38th (Doha, 2014) and 39th (Bonn, 2015) sessions respectively,</w:t>
      </w:r>
    </w:p>
    <w:p w14:paraId="34951DC4" w14:textId="77777777" w:rsidR="00383C4F" w:rsidRPr="00383C4F" w:rsidRDefault="00383C4F" w:rsidP="00824985">
      <w:pPr>
        <w:pStyle w:val="Default"/>
        <w:spacing w:before="170" w:after="257"/>
        <w:rPr>
          <w:sz w:val="20"/>
          <w:szCs w:val="22"/>
        </w:rPr>
      </w:pPr>
      <w:r>
        <w:rPr>
          <w:sz w:val="20"/>
          <w:szCs w:val="22"/>
        </w:rPr>
        <w:t xml:space="preserve">3. </w:t>
      </w:r>
      <w:r w:rsidRPr="00383C4F">
        <w:rPr>
          <w:sz w:val="20"/>
          <w:szCs w:val="22"/>
          <w:u w:val="single"/>
        </w:rPr>
        <w:t>Commends</w:t>
      </w:r>
      <w:r w:rsidRPr="00383C4F">
        <w:rPr>
          <w:sz w:val="20"/>
          <w:szCs w:val="22"/>
        </w:rPr>
        <w:t xml:space="preserve"> the State Party for its commitment to explicitly rule out all forms of commercial logging and mining in the whole of the property, as well as its other commitments made in response to the recommendations of the 2015 joint IUCN/ICOMOS Reactive Monitoring mission, and </w:t>
      </w:r>
      <w:r w:rsidRPr="00383C4F">
        <w:rPr>
          <w:sz w:val="20"/>
          <w:szCs w:val="22"/>
          <w:u w:val="single"/>
        </w:rPr>
        <w:t>requests</w:t>
      </w:r>
      <w:r w:rsidRPr="00383C4F">
        <w:rPr>
          <w:sz w:val="20"/>
          <w:szCs w:val="22"/>
        </w:rPr>
        <w:t xml:space="preserve"> the State Party to implement all of the mission’s recommendations;</w:t>
      </w:r>
    </w:p>
    <w:p w14:paraId="57A3B84D" w14:textId="77777777" w:rsidR="00383C4F" w:rsidRPr="00383C4F" w:rsidRDefault="00383C4F" w:rsidP="00824985">
      <w:pPr>
        <w:pStyle w:val="Default"/>
        <w:spacing w:before="170" w:after="257"/>
        <w:rPr>
          <w:sz w:val="20"/>
          <w:szCs w:val="22"/>
        </w:rPr>
      </w:pPr>
      <w:r>
        <w:rPr>
          <w:sz w:val="20"/>
          <w:szCs w:val="22"/>
        </w:rPr>
        <w:t xml:space="preserve">4. </w:t>
      </w:r>
      <w:r w:rsidRPr="00383C4F">
        <w:rPr>
          <w:sz w:val="20"/>
          <w:szCs w:val="22"/>
          <w:u w:val="single"/>
        </w:rPr>
        <w:t>Welcomes</w:t>
      </w:r>
      <w:r w:rsidRPr="00383C4F">
        <w:rPr>
          <w:sz w:val="20"/>
          <w:szCs w:val="22"/>
        </w:rPr>
        <w:t xml:space="preserve"> the State Party’s commitment to include additional and strict assessment criteria to ensure that commercial tourism proposals do not impact negatively on the property’s Outstanding Universal Value (OUV), and </w:t>
      </w:r>
      <w:r w:rsidRPr="00383C4F">
        <w:rPr>
          <w:sz w:val="20"/>
          <w:szCs w:val="22"/>
          <w:u w:val="single"/>
        </w:rPr>
        <w:t>notes</w:t>
      </w:r>
      <w:r w:rsidRPr="00383C4F">
        <w:rPr>
          <w:sz w:val="20"/>
          <w:szCs w:val="22"/>
        </w:rPr>
        <w:t xml:space="preserve"> that a separate Tourism Master Plan will be elaborated in order to refine the balance between legitimate tourism development and conservation of cultural and natural attributes, based on consultation and negotiation with relevant stakeholders, including the Tasmanian Aboriginal Community;</w:t>
      </w:r>
    </w:p>
    <w:p w14:paraId="3EE2427B" w14:textId="77777777" w:rsidR="00383C4F" w:rsidRPr="00383C4F" w:rsidRDefault="00383C4F" w:rsidP="00824985">
      <w:pPr>
        <w:pStyle w:val="Default"/>
        <w:spacing w:before="170" w:after="257"/>
        <w:rPr>
          <w:sz w:val="20"/>
          <w:szCs w:val="22"/>
        </w:rPr>
      </w:pPr>
      <w:r>
        <w:rPr>
          <w:sz w:val="20"/>
          <w:szCs w:val="22"/>
        </w:rPr>
        <w:t xml:space="preserve">5. </w:t>
      </w:r>
      <w:r w:rsidRPr="00383C4F">
        <w:rPr>
          <w:sz w:val="20"/>
          <w:szCs w:val="22"/>
          <w:u w:val="single"/>
        </w:rPr>
        <w:t>Notes</w:t>
      </w:r>
      <w:r w:rsidRPr="00383C4F">
        <w:rPr>
          <w:sz w:val="20"/>
          <w:szCs w:val="22"/>
        </w:rPr>
        <w:t xml:space="preserve"> the information provided by the State Party with regard to the recent fires which affected the property, and </w:t>
      </w:r>
      <w:r w:rsidRPr="00383C4F">
        <w:rPr>
          <w:sz w:val="20"/>
          <w:szCs w:val="22"/>
          <w:u w:val="single"/>
        </w:rPr>
        <w:t>also requests</w:t>
      </w:r>
      <w:r w:rsidRPr="00383C4F">
        <w:rPr>
          <w:sz w:val="20"/>
          <w:szCs w:val="22"/>
        </w:rPr>
        <w:t xml:space="preserve"> the State Party to ensure that fire research and management are fully reflected in the revision of the draft Management Plan for the property, including through the evaluation of recent experiences with fire response and taking into account the conclusions and recommendations made by the independent review of the management of the Tasmanian fires of January 2016;</w:t>
      </w:r>
    </w:p>
    <w:p w14:paraId="091D40BA" w14:textId="77777777" w:rsidR="00383C4F" w:rsidRPr="00383C4F" w:rsidRDefault="00383C4F" w:rsidP="00824985">
      <w:pPr>
        <w:pStyle w:val="Default"/>
        <w:spacing w:before="170" w:after="257"/>
        <w:rPr>
          <w:sz w:val="20"/>
          <w:szCs w:val="22"/>
        </w:rPr>
      </w:pPr>
      <w:r>
        <w:rPr>
          <w:sz w:val="20"/>
          <w:szCs w:val="22"/>
        </w:rPr>
        <w:t xml:space="preserve">6. </w:t>
      </w:r>
      <w:r w:rsidRPr="00383C4F">
        <w:rPr>
          <w:sz w:val="20"/>
          <w:szCs w:val="22"/>
          <w:u w:val="single"/>
        </w:rPr>
        <w:t>Encourages</w:t>
      </w:r>
      <w:r w:rsidRPr="00383C4F">
        <w:rPr>
          <w:sz w:val="20"/>
          <w:szCs w:val="22"/>
        </w:rPr>
        <w:t xml:space="preserve"> the State Party to explore the possibility of dual naming for the property, to reflect its wilderness character, its Aboriginal heritage and the relationship of the Tasmanian Aboriginal Community with the property;</w:t>
      </w:r>
    </w:p>
    <w:p w14:paraId="4248E375" w14:textId="77777777" w:rsidR="00383C4F" w:rsidRPr="00383C4F" w:rsidRDefault="00383C4F" w:rsidP="00824985">
      <w:pPr>
        <w:pStyle w:val="Default"/>
        <w:spacing w:before="170" w:after="257"/>
        <w:rPr>
          <w:sz w:val="20"/>
          <w:szCs w:val="22"/>
        </w:rPr>
      </w:pPr>
      <w:r>
        <w:rPr>
          <w:sz w:val="20"/>
          <w:szCs w:val="22"/>
        </w:rPr>
        <w:t xml:space="preserve">7. </w:t>
      </w:r>
      <w:r w:rsidRPr="00383C4F">
        <w:rPr>
          <w:sz w:val="20"/>
          <w:szCs w:val="22"/>
          <w:u w:val="single"/>
        </w:rPr>
        <w:t>Further requests</w:t>
      </w:r>
      <w:r w:rsidRPr="00383C4F">
        <w:rPr>
          <w:sz w:val="20"/>
          <w:szCs w:val="22"/>
        </w:rPr>
        <w:t xml:space="preserve"> the State Party to submit to the World Heritage Centre, by </w:t>
      </w:r>
      <w:r w:rsidRPr="00383C4F">
        <w:rPr>
          <w:b/>
          <w:sz w:val="20"/>
          <w:szCs w:val="22"/>
        </w:rPr>
        <w:t>mid-2017</w:t>
      </w:r>
      <w:r w:rsidRPr="00383C4F">
        <w:rPr>
          <w:sz w:val="20"/>
          <w:szCs w:val="22"/>
        </w:rPr>
        <w:t xml:space="preserve">, a synthesis report of all available information on cultural sites of the property and a detailed plan for the comprehensive cultural survey, as recommended by the mission, and, by </w:t>
      </w:r>
      <w:r w:rsidRPr="00383C4F">
        <w:rPr>
          <w:b/>
          <w:sz w:val="20"/>
          <w:szCs w:val="22"/>
        </w:rPr>
        <w:t>1 December 2017</w:t>
      </w:r>
      <w:r w:rsidRPr="00383C4F">
        <w:rPr>
          <w:sz w:val="20"/>
          <w:szCs w:val="22"/>
        </w:rPr>
        <w:t>, an updated report on the state of conservation of the property and the implementation of the above, for examination by the World Heritage Committee at its 42nd session in 2018.</w:t>
      </w:r>
    </w:p>
    <w:p w14:paraId="014AC8B7" w14:textId="77777777" w:rsidR="009A2A52" w:rsidRDefault="009A2A52" w:rsidP="00824985">
      <w:pPr>
        <w:pStyle w:val="Default"/>
        <w:spacing w:before="170"/>
        <w:rPr>
          <w:sz w:val="22"/>
        </w:rPr>
        <w:sectPr w:rsidR="009A2A52">
          <w:pgSz w:w="12240" w:h="15840"/>
          <w:pgMar w:top="1440" w:right="1440" w:bottom="1440" w:left="1440" w:header="708" w:footer="708" w:gutter="0"/>
          <w:cols w:space="708"/>
          <w:docGrid w:linePitch="360"/>
        </w:sectPr>
      </w:pPr>
    </w:p>
    <w:p w14:paraId="2D02B35A" w14:textId="0402A8CD" w:rsidR="00CE040A" w:rsidRPr="001649AA" w:rsidRDefault="008C0447" w:rsidP="00824985">
      <w:pPr>
        <w:pStyle w:val="Heading2"/>
        <w:numPr>
          <w:ilvl w:val="0"/>
          <w:numId w:val="0"/>
        </w:numPr>
        <w:spacing w:before="170"/>
        <w:ind w:left="578" w:hanging="578"/>
        <w:rPr>
          <w:color w:val="auto"/>
        </w:rPr>
      </w:pPr>
      <w:bookmarkStart w:id="152" w:name="_Toc5373756"/>
      <w:bookmarkStart w:id="153" w:name="_Toc19270679"/>
      <w:bookmarkStart w:id="154" w:name="_Toc22806725"/>
      <w:r>
        <w:lastRenderedPageBreak/>
        <w:t>A</w:t>
      </w:r>
      <w:r w:rsidR="00393DE9">
        <w:t xml:space="preserve">ppendix </w:t>
      </w:r>
      <w:r>
        <w:t>3</w:t>
      </w:r>
      <w:r w:rsidR="00886F60">
        <w:t xml:space="preserve">: </w:t>
      </w:r>
      <w:r w:rsidR="00886F60" w:rsidRPr="00D52FB7">
        <w:t xml:space="preserve">Implementation of the 2015 Reactive Monitoring Mission’s </w:t>
      </w:r>
      <w:r w:rsidR="00886F60" w:rsidRPr="001649AA">
        <w:rPr>
          <w:color w:val="auto"/>
        </w:rPr>
        <w:t>recommendations</w:t>
      </w:r>
      <w:bookmarkStart w:id="155" w:name="_Toc7440622"/>
      <w:bookmarkStart w:id="156" w:name="_Toc488415826"/>
      <w:bookmarkStart w:id="157" w:name="_Toc496103486"/>
      <w:bookmarkStart w:id="158" w:name="_Toc5373757"/>
      <w:bookmarkEnd w:id="152"/>
      <w:bookmarkEnd w:id="153"/>
      <w:bookmarkEnd w:id="155"/>
      <w:bookmarkEnd w:id="156"/>
      <w:bookmarkEnd w:id="157"/>
      <w:bookmarkEnd w:id="158"/>
      <w:bookmarkEnd w:id="154"/>
      <w:r w:rsidR="006F461D" w:rsidRPr="001649AA">
        <w:rPr>
          <w:color w:val="auto"/>
        </w:rPr>
        <w:t xml:space="preserve"> </w:t>
      </w:r>
    </w:p>
    <w:p w14:paraId="5BA7573D" w14:textId="77777777" w:rsidR="00CE040A" w:rsidRPr="00D52FB7" w:rsidRDefault="00CE040A" w:rsidP="00824985">
      <w:pPr>
        <w:pStyle w:val="NormalWeb"/>
        <w:tabs>
          <w:tab w:val="left" w:pos="845"/>
          <w:tab w:val="left" w:pos="3963"/>
          <w:tab w:val="left" w:pos="7082"/>
        </w:tabs>
        <w:spacing w:before="170" w:after="120" w:line="0" w:lineRule="atLeast"/>
        <w:rPr>
          <w:rFonts w:ascii="Arial" w:hAnsi="Arial" w:cs="Arial"/>
          <w:b/>
          <w:bCs/>
          <w:color w:val="000000"/>
          <w:sz w:val="20"/>
          <w:szCs w:val="20"/>
        </w:rPr>
      </w:pPr>
    </w:p>
    <w:tbl>
      <w:tblPr>
        <w:tblStyle w:val="TableGridLight"/>
        <w:tblW w:w="10060" w:type="dxa"/>
        <w:tblLook w:val="0600" w:firstRow="0" w:lastRow="0" w:firstColumn="0" w:lastColumn="0" w:noHBand="1" w:noVBand="1"/>
      </w:tblPr>
      <w:tblGrid>
        <w:gridCol w:w="635"/>
        <w:gridCol w:w="3220"/>
        <w:gridCol w:w="6205"/>
      </w:tblGrid>
      <w:tr w:rsidR="008477A0" w:rsidRPr="00D52FB7" w14:paraId="5F9B825A" w14:textId="77777777" w:rsidTr="000858E9">
        <w:trPr>
          <w:cantSplit/>
          <w:trHeight w:val="851"/>
          <w:tblHeader/>
        </w:trPr>
        <w:tc>
          <w:tcPr>
            <w:tcW w:w="635" w:type="dxa"/>
            <w:shd w:val="clear" w:color="auto" w:fill="F2F2F2" w:themeFill="background1" w:themeFillShade="F2"/>
            <w:hideMark/>
          </w:tcPr>
          <w:p w14:paraId="0940726D" w14:textId="08726F1B" w:rsidR="00916411" w:rsidRDefault="00916411" w:rsidP="00824985">
            <w:pPr>
              <w:pStyle w:val="NormalWeb"/>
              <w:spacing w:before="170" w:after="60" w:line="0" w:lineRule="atLeast"/>
              <w:jc w:val="center"/>
              <w:rPr>
                <w:rFonts w:ascii="Arial" w:hAnsi="Arial" w:cs="Arial"/>
                <w:b/>
                <w:bCs/>
                <w:color w:val="000000"/>
                <w:sz w:val="20"/>
                <w:szCs w:val="20"/>
              </w:rPr>
            </w:pPr>
            <w:r>
              <w:rPr>
                <w:rFonts w:ascii="Arial" w:hAnsi="Arial" w:cs="Arial"/>
                <w:b/>
                <w:bCs/>
                <w:color w:val="000000"/>
                <w:sz w:val="20"/>
                <w:szCs w:val="20"/>
              </w:rPr>
              <w:t>Rec</w:t>
            </w:r>
          </w:p>
          <w:p w14:paraId="3DCAB8CF" w14:textId="62925F0E" w:rsidR="008477A0" w:rsidRPr="00CE040A" w:rsidRDefault="00916411" w:rsidP="00824985">
            <w:pPr>
              <w:pStyle w:val="NormalWeb"/>
              <w:spacing w:before="170" w:after="60" w:line="0" w:lineRule="atLeast"/>
              <w:jc w:val="center"/>
              <w:rPr>
                <w:rFonts w:ascii="Arial" w:hAnsi="Arial" w:cs="Arial"/>
                <w:b/>
                <w:bCs/>
                <w:color w:val="000000"/>
                <w:sz w:val="20"/>
                <w:szCs w:val="20"/>
              </w:rPr>
            </w:pPr>
            <w:r>
              <w:rPr>
                <w:rFonts w:ascii="Arial" w:hAnsi="Arial" w:cs="Arial"/>
                <w:b/>
                <w:bCs/>
                <w:color w:val="000000"/>
                <w:sz w:val="20"/>
                <w:szCs w:val="20"/>
              </w:rPr>
              <w:t>no.</w:t>
            </w:r>
          </w:p>
        </w:tc>
        <w:tc>
          <w:tcPr>
            <w:tcW w:w="3220" w:type="dxa"/>
            <w:shd w:val="clear" w:color="auto" w:fill="F2F2F2" w:themeFill="background1" w:themeFillShade="F2"/>
            <w:hideMark/>
          </w:tcPr>
          <w:p w14:paraId="25209FBD" w14:textId="77777777" w:rsidR="008477A0" w:rsidRPr="00D52FB7" w:rsidRDefault="008477A0" w:rsidP="00824985">
            <w:pPr>
              <w:pStyle w:val="NormalWeb"/>
              <w:spacing w:before="170" w:after="60" w:line="0" w:lineRule="atLeast"/>
              <w:jc w:val="center"/>
              <w:rPr>
                <w:sz w:val="20"/>
                <w:szCs w:val="20"/>
              </w:rPr>
            </w:pPr>
            <w:r w:rsidRPr="005C356A">
              <w:rPr>
                <w:rFonts w:ascii="Arial" w:hAnsi="Arial" w:cs="Arial"/>
                <w:b/>
                <w:bCs/>
                <w:color w:val="000000"/>
                <w:sz w:val="20"/>
                <w:szCs w:val="20"/>
              </w:rPr>
              <w:t>20</w:t>
            </w:r>
            <w:r>
              <w:rPr>
                <w:rFonts w:ascii="Arial" w:hAnsi="Arial" w:cs="Arial"/>
                <w:b/>
                <w:bCs/>
                <w:color w:val="000000"/>
                <w:sz w:val="20"/>
                <w:szCs w:val="20"/>
              </w:rPr>
              <w:t>15 Reactive Monitoring Mission</w:t>
            </w:r>
            <w:r w:rsidRPr="005C356A">
              <w:rPr>
                <w:rFonts w:ascii="Arial" w:hAnsi="Arial" w:cs="Arial"/>
                <w:b/>
                <w:bCs/>
                <w:color w:val="000000"/>
                <w:sz w:val="20"/>
                <w:szCs w:val="20"/>
              </w:rPr>
              <w:t xml:space="preserve"> </w:t>
            </w:r>
            <w:r w:rsidRPr="00D52FB7">
              <w:rPr>
                <w:rFonts w:ascii="Arial" w:hAnsi="Arial" w:cs="Arial"/>
                <w:b/>
                <w:bCs/>
                <w:color w:val="000000"/>
                <w:sz w:val="20"/>
                <w:szCs w:val="20"/>
              </w:rPr>
              <w:t>Recommendation</w:t>
            </w:r>
          </w:p>
        </w:tc>
        <w:tc>
          <w:tcPr>
            <w:tcW w:w="6205" w:type="dxa"/>
            <w:shd w:val="clear" w:color="auto" w:fill="F2F2F2" w:themeFill="background1" w:themeFillShade="F2"/>
          </w:tcPr>
          <w:p w14:paraId="1E312D17" w14:textId="65AFFD32" w:rsidR="008477A0" w:rsidRPr="00D52FB7" w:rsidRDefault="008477A0" w:rsidP="00824985">
            <w:pPr>
              <w:pStyle w:val="NormalWeb"/>
              <w:spacing w:before="170" w:after="60" w:line="0" w:lineRule="atLeast"/>
              <w:jc w:val="center"/>
              <w:rPr>
                <w:rFonts w:ascii="Arial" w:hAnsi="Arial" w:cs="Arial"/>
                <w:b/>
                <w:bCs/>
                <w:color w:val="000000"/>
                <w:sz w:val="20"/>
                <w:szCs w:val="20"/>
              </w:rPr>
            </w:pPr>
            <w:r>
              <w:rPr>
                <w:rFonts w:ascii="Arial" w:hAnsi="Arial" w:cs="Arial"/>
                <w:b/>
                <w:bCs/>
                <w:color w:val="000000"/>
                <w:sz w:val="20"/>
                <w:szCs w:val="20"/>
              </w:rPr>
              <w:t>Update on implementation</w:t>
            </w:r>
            <w:r w:rsidRPr="00D52FB7">
              <w:rPr>
                <w:rFonts w:ascii="Arial" w:hAnsi="Arial" w:cs="Arial"/>
                <w:b/>
                <w:bCs/>
                <w:color w:val="000000"/>
                <w:sz w:val="20"/>
                <w:szCs w:val="20"/>
              </w:rPr>
              <w:t xml:space="preserve"> through the 2016 Management Plan and other statutory measures</w:t>
            </w:r>
          </w:p>
        </w:tc>
      </w:tr>
      <w:tr w:rsidR="008477A0" w:rsidRPr="00D52FB7" w14:paraId="36590751" w14:textId="77777777" w:rsidTr="000858E9">
        <w:trPr>
          <w:cantSplit/>
          <w:trHeight w:val="851"/>
        </w:trPr>
        <w:tc>
          <w:tcPr>
            <w:tcW w:w="635" w:type="dxa"/>
            <w:hideMark/>
          </w:tcPr>
          <w:p w14:paraId="6BE49CF8" w14:textId="5A3B49AB" w:rsidR="008477A0" w:rsidRPr="00CE040A" w:rsidRDefault="008477A0"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 xml:space="preserve"> 1</w:t>
            </w:r>
          </w:p>
        </w:tc>
        <w:tc>
          <w:tcPr>
            <w:tcW w:w="3220" w:type="dxa"/>
            <w:hideMark/>
          </w:tcPr>
          <w:p w14:paraId="3C66D3F9" w14:textId="00D19D59" w:rsidR="008477A0" w:rsidRPr="00D52FB7" w:rsidRDefault="008477A0" w:rsidP="004F5630">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The Tasmanian Government should consider options to take full advantage of National Parks and Wildlife Advisory Council, in line with the provisions of the </w:t>
            </w:r>
            <w:r w:rsidRPr="00A86E0A">
              <w:rPr>
                <w:rFonts w:ascii="Arial" w:hAnsi="Arial"/>
                <w:color w:val="000000"/>
                <w:sz w:val="20"/>
              </w:rPr>
              <w:t>National Parks and Reserves Management Act 2002</w:t>
            </w:r>
            <w:r w:rsidRPr="00D52FB7">
              <w:rPr>
                <w:rFonts w:ascii="Arial" w:hAnsi="Arial" w:cs="Arial"/>
                <w:color w:val="000000"/>
                <w:sz w:val="20"/>
                <w:szCs w:val="20"/>
              </w:rPr>
              <w:t>, and a consolidated National Parks and Wildlife Advisory Council should include adequate involvement of the Tasmanian Aboriginal Community.</w:t>
            </w:r>
          </w:p>
        </w:tc>
        <w:tc>
          <w:tcPr>
            <w:tcW w:w="6205" w:type="dxa"/>
          </w:tcPr>
          <w:p w14:paraId="7EEEAE26" w14:textId="77777777" w:rsidR="00916411" w:rsidRDefault="00916411" w:rsidP="004F5630">
            <w:pPr>
              <w:pStyle w:val="NormalWeb"/>
              <w:spacing w:before="170" w:after="0" w:line="0" w:lineRule="atLeast"/>
              <w:ind w:left="63"/>
              <w:rPr>
                <w:rFonts w:ascii="Arial" w:hAnsi="Arial" w:cs="Arial"/>
                <w:color w:val="000000"/>
                <w:sz w:val="20"/>
                <w:szCs w:val="20"/>
              </w:rPr>
            </w:pPr>
            <w:r>
              <w:rPr>
                <w:rFonts w:ascii="Arial" w:hAnsi="Arial" w:cs="Arial"/>
                <w:color w:val="000000"/>
                <w:sz w:val="20"/>
                <w:szCs w:val="20"/>
              </w:rPr>
              <w:t>IMPLEMENTED</w:t>
            </w:r>
          </w:p>
          <w:p w14:paraId="260114CD" w14:textId="259BE071" w:rsidR="008477A0" w:rsidRPr="00CE3750" w:rsidRDefault="008477A0" w:rsidP="004F5630">
            <w:pPr>
              <w:pStyle w:val="NormalWeb"/>
              <w:spacing w:before="170" w:after="0" w:line="0" w:lineRule="atLeast"/>
              <w:ind w:left="63"/>
              <w:rPr>
                <w:rFonts w:ascii="Arial" w:hAnsi="Arial" w:cs="Arial"/>
                <w:color w:val="000000"/>
                <w:sz w:val="20"/>
                <w:szCs w:val="20"/>
              </w:rPr>
            </w:pPr>
            <w:r w:rsidRPr="00CE3750">
              <w:rPr>
                <w:rFonts w:ascii="Arial" w:hAnsi="Arial" w:cs="Arial"/>
                <w:color w:val="000000"/>
                <w:sz w:val="20"/>
                <w:szCs w:val="20"/>
              </w:rPr>
              <w:t>The</w:t>
            </w:r>
            <w:r>
              <w:rPr>
                <w:rFonts w:ascii="Arial" w:hAnsi="Arial" w:cs="Arial"/>
                <w:color w:val="000000"/>
                <w:sz w:val="20"/>
                <w:szCs w:val="20"/>
              </w:rPr>
              <w:t xml:space="preserve"> </w:t>
            </w:r>
            <w:r w:rsidRPr="001965C9">
              <w:rPr>
                <w:rFonts w:ascii="Arial" w:hAnsi="Arial" w:cs="Arial"/>
                <w:color w:val="000000"/>
                <w:sz w:val="20"/>
                <w:szCs w:val="20"/>
              </w:rPr>
              <w:t xml:space="preserve">National Parks and Wildlife Advisory Council </w:t>
            </w:r>
            <w:r>
              <w:rPr>
                <w:rFonts w:ascii="Arial" w:hAnsi="Arial" w:cs="Arial"/>
                <w:color w:val="000000"/>
                <w:sz w:val="20"/>
                <w:szCs w:val="20"/>
              </w:rPr>
              <w:t>(NPWAC)</w:t>
            </w:r>
            <w:r w:rsidRPr="00CE3750">
              <w:rPr>
                <w:rFonts w:ascii="Arial" w:hAnsi="Arial" w:cs="Arial"/>
                <w:color w:val="000000"/>
                <w:sz w:val="20"/>
                <w:szCs w:val="20"/>
              </w:rPr>
              <w:t xml:space="preserve"> </w:t>
            </w:r>
            <w:r>
              <w:rPr>
                <w:rFonts w:ascii="Arial" w:hAnsi="Arial" w:cs="Arial"/>
                <w:color w:val="000000"/>
                <w:sz w:val="20"/>
                <w:szCs w:val="20"/>
              </w:rPr>
              <w:t xml:space="preserve">comprises ten members including the Chair. The representation </w:t>
            </w:r>
            <w:r w:rsidRPr="00CE3750">
              <w:rPr>
                <w:rFonts w:ascii="Arial" w:hAnsi="Arial" w:cs="Arial"/>
                <w:color w:val="000000"/>
                <w:sz w:val="20"/>
                <w:szCs w:val="20"/>
              </w:rPr>
              <w:t>includes two Tasmanian Aboriginal people</w:t>
            </w:r>
            <w:r>
              <w:rPr>
                <w:rFonts w:ascii="Arial" w:hAnsi="Arial" w:cs="Arial"/>
                <w:color w:val="000000"/>
                <w:sz w:val="20"/>
                <w:szCs w:val="20"/>
              </w:rPr>
              <w:t>, one male and one female</w:t>
            </w:r>
            <w:r w:rsidRPr="00CE3750">
              <w:rPr>
                <w:rFonts w:ascii="Arial" w:hAnsi="Arial" w:cs="Arial"/>
                <w:color w:val="000000"/>
                <w:sz w:val="20"/>
                <w:szCs w:val="20"/>
              </w:rPr>
              <w:t>.</w:t>
            </w:r>
          </w:p>
          <w:p w14:paraId="1287C24F" w14:textId="476E2856" w:rsidR="008477A0" w:rsidRDefault="0018116A" w:rsidP="004F5630">
            <w:pPr>
              <w:pStyle w:val="NormalWeb"/>
              <w:spacing w:before="170" w:after="0" w:line="0" w:lineRule="atLeast"/>
              <w:ind w:left="63"/>
              <w:rPr>
                <w:rFonts w:ascii="Arial" w:hAnsi="Arial" w:cs="Arial"/>
                <w:color w:val="000000"/>
                <w:sz w:val="20"/>
                <w:szCs w:val="20"/>
              </w:rPr>
            </w:pPr>
            <w:r>
              <w:rPr>
                <w:rFonts w:ascii="Arial" w:hAnsi="Arial" w:cs="Arial"/>
                <w:color w:val="000000"/>
                <w:sz w:val="20"/>
                <w:szCs w:val="20"/>
              </w:rPr>
              <w:t xml:space="preserve">The </w:t>
            </w:r>
            <w:r w:rsidR="008477A0">
              <w:rPr>
                <w:rFonts w:ascii="Arial" w:hAnsi="Arial" w:cs="Arial"/>
                <w:color w:val="000000"/>
                <w:sz w:val="20"/>
                <w:szCs w:val="20"/>
              </w:rPr>
              <w:t>NPWAC</w:t>
            </w:r>
            <w:r w:rsidR="008477A0" w:rsidRPr="00CE3750">
              <w:rPr>
                <w:rFonts w:ascii="Arial" w:hAnsi="Arial" w:cs="Arial"/>
                <w:color w:val="000000"/>
                <w:sz w:val="20"/>
                <w:szCs w:val="20"/>
              </w:rPr>
              <w:t xml:space="preserve"> provides advice </w:t>
            </w:r>
            <w:r w:rsidR="008477A0">
              <w:rPr>
                <w:rFonts w:ascii="Arial" w:hAnsi="Arial" w:cs="Arial"/>
                <w:color w:val="000000"/>
                <w:sz w:val="20"/>
                <w:szCs w:val="20"/>
              </w:rPr>
              <w:t xml:space="preserve">to </w:t>
            </w:r>
            <w:r w:rsidR="008477A0" w:rsidRPr="00CE3750">
              <w:rPr>
                <w:rFonts w:ascii="Arial" w:hAnsi="Arial" w:cs="Arial"/>
                <w:color w:val="000000"/>
                <w:sz w:val="20"/>
                <w:szCs w:val="20"/>
              </w:rPr>
              <w:t xml:space="preserve">both the Tasmanian and Australian Governments on the </w:t>
            </w:r>
            <w:r w:rsidR="008477A0">
              <w:rPr>
                <w:rFonts w:ascii="Arial" w:hAnsi="Arial" w:cs="Arial"/>
                <w:color w:val="000000"/>
                <w:sz w:val="20"/>
                <w:szCs w:val="20"/>
              </w:rPr>
              <w:t>Tasmanian Wilderness</w:t>
            </w:r>
            <w:r w:rsidR="008477A0" w:rsidRPr="00CE3750">
              <w:rPr>
                <w:rFonts w:ascii="Arial" w:hAnsi="Arial" w:cs="Arial"/>
                <w:color w:val="000000"/>
                <w:sz w:val="20"/>
                <w:szCs w:val="20"/>
              </w:rPr>
              <w:t>.</w:t>
            </w:r>
          </w:p>
          <w:p w14:paraId="7D360F43" w14:textId="5F81E627" w:rsidR="008477A0" w:rsidRPr="00CE3750" w:rsidRDefault="0018116A" w:rsidP="004F5630">
            <w:pPr>
              <w:pStyle w:val="NormalWeb"/>
              <w:spacing w:before="170" w:after="0" w:line="0" w:lineRule="atLeast"/>
              <w:ind w:left="63"/>
              <w:rPr>
                <w:rFonts w:ascii="Arial" w:hAnsi="Arial" w:cs="Arial"/>
                <w:color w:val="000000"/>
                <w:sz w:val="20"/>
                <w:szCs w:val="20"/>
              </w:rPr>
            </w:pPr>
            <w:r>
              <w:rPr>
                <w:rFonts w:ascii="Arial" w:hAnsi="Arial" w:cs="Arial"/>
                <w:color w:val="000000"/>
                <w:sz w:val="20"/>
                <w:szCs w:val="20"/>
              </w:rPr>
              <w:t xml:space="preserve">The </w:t>
            </w:r>
            <w:r w:rsidR="00916411" w:rsidRPr="00916411">
              <w:rPr>
                <w:rFonts w:ascii="Arial" w:hAnsi="Arial" w:cs="Arial"/>
                <w:color w:val="000000"/>
                <w:sz w:val="20"/>
                <w:szCs w:val="20"/>
              </w:rPr>
              <w:t>NPWAC</w:t>
            </w:r>
            <w:r w:rsidR="008477A0" w:rsidRPr="00CE3750">
              <w:rPr>
                <w:rFonts w:ascii="Arial" w:hAnsi="Arial" w:cs="Arial"/>
                <w:color w:val="000000"/>
                <w:sz w:val="20"/>
                <w:szCs w:val="20"/>
              </w:rPr>
              <w:t xml:space="preserve"> me</w:t>
            </w:r>
            <w:r w:rsidR="008477A0">
              <w:rPr>
                <w:rFonts w:ascii="Arial" w:hAnsi="Arial" w:cs="Arial"/>
                <w:color w:val="000000"/>
                <w:sz w:val="20"/>
                <w:szCs w:val="20"/>
              </w:rPr>
              <w:t>e</w:t>
            </w:r>
            <w:r w:rsidR="008477A0" w:rsidRPr="00CE3750">
              <w:rPr>
                <w:rFonts w:ascii="Arial" w:hAnsi="Arial" w:cs="Arial"/>
                <w:color w:val="000000"/>
                <w:sz w:val="20"/>
                <w:szCs w:val="20"/>
              </w:rPr>
              <w:t>t</w:t>
            </w:r>
            <w:r w:rsidR="008477A0">
              <w:rPr>
                <w:rFonts w:ascii="Arial" w:hAnsi="Arial" w:cs="Arial"/>
                <w:color w:val="000000"/>
                <w:sz w:val="20"/>
                <w:szCs w:val="20"/>
              </w:rPr>
              <w:t>s</w:t>
            </w:r>
            <w:r w:rsidR="008477A0" w:rsidRPr="00CE3750">
              <w:rPr>
                <w:rFonts w:ascii="Arial" w:hAnsi="Arial" w:cs="Arial"/>
                <w:color w:val="000000"/>
                <w:sz w:val="20"/>
                <w:szCs w:val="20"/>
              </w:rPr>
              <w:t xml:space="preserve"> </w:t>
            </w:r>
            <w:r w:rsidR="008477A0">
              <w:rPr>
                <w:rFonts w:ascii="Arial" w:hAnsi="Arial" w:cs="Arial"/>
                <w:color w:val="000000"/>
                <w:sz w:val="20"/>
                <w:szCs w:val="20"/>
              </w:rPr>
              <w:t xml:space="preserve">at least </w:t>
            </w:r>
            <w:r w:rsidR="008477A0" w:rsidRPr="00CE3750">
              <w:rPr>
                <w:rFonts w:ascii="Arial" w:hAnsi="Arial" w:cs="Arial"/>
                <w:color w:val="000000"/>
                <w:sz w:val="20"/>
                <w:szCs w:val="20"/>
              </w:rPr>
              <w:t xml:space="preserve">four times </w:t>
            </w:r>
            <w:r w:rsidR="008477A0">
              <w:rPr>
                <w:rFonts w:ascii="Arial" w:hAnsi="Arial" w:cs="Arial"/>
                <w:color w:val="000000"/>
                <w:sz w:val="20"/>
                <w:szCs w:val="20"/>
              </w:rPr>
              <w:t xml:space="preserve">per year with the Deputy Secretary </w:t>
            </w:r>
            <w:r w:rsidR="00A86E0A">
              <w:rPr>
                <w:rFonts w:ascii="Arial" w:hAnsi="Arial" w:cs="Arial"/>
                <w:color w:val="000000"/>
                <w:sz w:val="20"/>
                <w:szCs w:val="20"/>
              </w:rPr>
              <w:t xml:space="preserve">of Tasmania </w:t>
            </w:r>
            <w:r w:rsidR="008477A0">
              <w:rPr>
                <w:rFonts w:ascii="Arial" w:hAnsi="Arial" w:cs="Arial"/>
                <w:color w:val="000000"/>
                <w:sz w:val="20"/>
                <w:szCs w:val="20"/>
              </w:rPr>
              <w:t xml:space="preserve">Parks and Wildlife and the </w:t>
            </w:r>
            <w:r w:rsidR="008477A0" w:rsidRPr="00CE3750">
              <w:rPr>
                <w:rFonts w:ascii="Arial" w:hAnsi="Arial" w:cs="Arial"/>
                <w:color w:val="000000"/>
                <w:sz w:val="20"/>
                <w:szCs w:val="20"/>
              </w:rPr>
              <w:t xml:space="preserve">General Manager </w:t>
            </w:r>
            <w:r w:rsidR="008477A0">
              <w:rPr>
                <w:rFonts w:ascii="Arial" w:hAnsi="Arial" w:cs="Arial"/>
                <w:color w:val="000000"/>
                <w:sz w:val="20"/>
                <w:szCs w:val="20"/>
              </w:rPr>
              <w:t xml:space="preserve">Natural and Cultural Heritage Division of the Department of Primary Industries, Parks, Water </w:t>
            </w:r>
            <w:r w:rsidR="008477A0" w:rsidRPr="00CE3750">
              <w:rPr>
                <w:rFonts w:ascii="Arial" w:hAnsi="Arial" w:cs="Arial"/>
                <w:color w:val="000000"/>
                <w:sz w:val="20"/>
                <w:szCs w:val="20"/>
              </w:rPr>
              <w:t>and Environment</w:t>
            </w:r>
            <w:r w:rsidR="008477A0">
              <w:rPr>
                <w:rFonts w:ascii="Arial" w:hAnsi="Arial" w:cs="Arial"/>
                <w:color w:val="000000"/>
                <w:sz w:val="20"/>
                <w:szCs w:val="20"/>
              </w:rPr>
              <w:t xml:space="preserve"> in attendance</w:t>
            </w:r>
            <w:r w:rsidR="008477A0" w:rsidRPr="00CE3750">
              <w:rPr>
                <w:rFonts w:ascii="Arial" w:hAnsi="Arial" w:cs="Arial"/>
                <w:color w:val="000000"/>
                <w:sz w:val="20"/>
                <w:szCs w:val="20"/>
              </w:rPr>
              <w:t>.</w:t>
            </w:r>
          </w:p>
          <w:p w14:paraId="7A4B506B" w14:textId="0934DBE6" w:rsidR="008477A0" w:rsidRPr="00CE040A" w:rsidRDefault="00E53965" w:rsidP="004F5630">
            <w:pPr>
              <w:pStyle w:val="NormalWeb"/>
              <w:spacing w:before="170" w:after="0" w:line="0" w:lineRule="atLeast"/>
              <w:ind w:left="63"/>
              <w:rPr>
                <w:rFonts w:ascii="Arial" w:hAnsi="Arial" w:cs="Arial"/>
                <w:color w:val="000000"/>
                <w:sz w:val="20"/>
                <w:szCs w:val="20"/>
              </w:rPr>
            </w:pPr>
            <w:r>
              <w:rPr>
                <w:rFonts w:ascii="Arial" w:hAnsi="Arial" w:cs="Arial"/>
                <w:color w:val="000000"/>
                <w:sz w:val="20"/>
                <w:szCs w:val="20"/>
              </w:rPr>
              <w:t>During</w:t>
            </w:r>
            <w:r w:rsidR="008477A0" w:rsidRPr="00CE3750">
              <w:rPr>
                <w:rFonts w:ascii="Arial" w:hAnsi="Arial" w:cs="Arial"/>
                <w:color w:val="000000"/>
                <w:sz w:val="20"/>
                <w:szCs w:val="20"/>
              </w:rPr>
              <w:t xml:space="preserve"> meetings</w:t>
            </w:r>
            <w:r w:rsidR="0018116A">
              <w:rPr>
                <w:rFonts w:ascii="Arial" w:hAnsi="Arial" w:cs="Arial"/>
                <w:color w:val="000000"/>
                <w:sz w:val="20"/>
                <w:szCs w:val="20"/>
              </w:rPr>
              <w:t>, the</w:t>
            </w:r>
            <w:r w:rsidR="008477A0" w:rsidRPr="00CE3750">
              <w:rPr>
                <w:rFonts w:ascii="Arial" w:hAnsi="Arial" w:cs="Arial"/>
                <w:color w:val="000000"/>
                <w:sz w:val="20"/>
                <w:szCs w:val="20"/>
              </w:rPr>
              <w:t xml:space="preserve"> </w:t>
            </w:r>
            <w:r w:rsidR="00916411" w:rsidRPr="00916411">
              <w:rPr>
                <w:rFonts w:ascii="Arial" w:hAnsi="Arial" w:cs="Arial"/>
                <w:color w:val="000000"/>
                <w:sz w:val="20"/>
                <w:szCs w:val="20"/>
              </w:rPr>
              <w:t>NPWAC</w:t>
            </w:r>
            <w:r w:rsidR="00916411" w:rsidRPr="00916411" w:rsidDel="00916411">
              <w:rPr>
                <w:rFonts w:ascii="Arial" w:hAnsi="Arial" w:cs="Arial"/>
                <w:color w:val="000000"/>
                <w:sz w:val="20"/>
                <w:szCs w:val="20"/>
              </w:rPr>
              <w:t xml:space="preserve"> </w:t>
            </w:r>
            <w:r w:rsidR="008477A0" w:rsidRPr="00CE3750">
              <w:rPr>
                <w:rFonts w:ascii="Arial" w:hAnsi="Arial" w:cs="Arial"/>
                <w:color w:val="000000"/>
                <w:sz w:val="20"/>
                <w:szCs w:val="20"/>
              </w:rPr>
              <w:t>consider</w:t>
            </w:r>
            <w:r w:rsidR="008477A0">
              <w:rPr>
                <w:rFonts w:ascii="Arial" w:hAnsi="Arial" w:cs="Arial"/>
                <w:color w:val="000000"/>
                <w:sz w:val="20"/>
                <w:szCs w:val="20"/>
              </w:rPr>
              <w:t>s</w:t>
            </w:r>
            <w:r w:rsidR="008477A0" w:rsidRPr="00CE3750">
              <w:rPr>
                <w:rFonts w:ascii="Arial" w:hAnsi="Arial" w:cs="Arial"/>
                <w:color w:val="000000"/>
                <w:sz w:val="20"/>
                <w:szCs w:val="20"/>
              </w:rPr>
              <w:t xml:space="preserve"> a range of matters which relate to the management</w:t>
            </w:r>
            <w:r w:rsidR="008477A0">
              <w:rPr>
                <w:rFonts w:ascii="Arial" w:hAnsi="Arial" w:cs="Arial"/>
                <w:color w:val="000000"/>
                <w:sz w:val="20"/>
                <w:szCs w:val="20"/>
              </w:rPr>
              <w:t xml:space="preserve"> of</w:t>
            </w:r>
            <w:r w:rsidR="008477A0" w:rsidRPr="00CE3750">
              <w:rPr>
                <w:rFonts w:ascii="Arial" w:hAnsi="Arial" w:cs="Arial"/>
                <w:color w:val="000000"/>
                <w:sz w:val="20"/>
                <w:szCs w:val="20"/>
              </w:rPr>
              <w:t xml:space="preserve"> </w:t>
            </w:r>
            <w:r w:rsidR="008477A0">
              <w:rPr>
                <w:rFonts w:ascii="Arial" w:hAnsi="Arial" w:cs="Arial"/>
                <w:color w:val="000000"/>
                <w:sz w:val="20"/>
                <w:szCs w:val="20"/>
              </w:rPr>
              <w:t xml:space="preserve">the </w:t>
            </w:r>
            <w:r w:rsidR="00916411" w:rsidRPr="00B3473E">
              <w:rPr>
                <w:rFonts w:ascii="Arial" w:hAnsi="Arial" w:cs="Arial"/>
                <w:color w:val="000000"/>
                <w:sz w:val="20"/>
                <w:szCs w:val="20"/>
              </w:rPr>
              <w:t>Tasmanian Wilderness World Heritage Area</w:t>
            </w:r>
            <w:r w:rsidR="008477A0" w:rsidRPr="00916411">
              <w:rPr>
                <w:rFonts w:ascii="Arial" w:hAnsi="Arial" w:cs="Arial"/>
                <w:color w:val="000000"/>
                <w:sz w:val="20"/>
                <w:szCs w:val="20"/>
              </w:rPr>
              <w:t>.</w:t>
            </w:r>
            <w:r w:rsidR="008477A0" w:rsidRPr="00CE3750">
              <w:rPr>
                <w:rFonts w:ascii="Arial" w:hAnsi="Arial" w:cs="Arial"/>
                <w:color w:val="000000"/>
                <w:sz w:val="20"/>
                <w:szCs w:val="20"/>
              </w:rPr>
              <w:t xml:space="preserve"> </w:t>
            </w:r>
            <w:r w:rsidR="008477A0">
              <w:rPr>
                <w:rFonts w:ascii="Arial" w:hAnsi="Arial" w:cs="Arial"/>
                <w:color w:val="000000"/>
                <w:sz w:val="20"/>
                <w:szCs w:val="20"/>
              </w:rPr>
              <w:t>In addition</w:t>
            </w:r>
            <w:r w:rsidR="0018116A">
              <w:rPr>
                <w:rFonts w:ascii="Arial" w:hAnsi="Arial" w:cs="Arial"/>
                <w:color w:val="000000"/>
                <w:sz w:val="20"/>
                <w:szCs w:val="20"/>
              </w:rPr>
              <w:t>,</w:t>
            </w:r>
            <w:r w:rsidR="008477A0">
              <w:rPr>
                <w:rFonts w:ascii="Arial" w:hAnsi="Arial" w:cs="Arial"/>
                <w:color w:val="000000"/>
                <w:sz w:val="20"/>
                <w:szCs w:val="20"/>
              </w:rPr>
              <w:t xml:space="preserve"> the </w:t>
            </w:r>
            <w:r w:rsidR="0018116A">
              <w:rPr>
                <w:rFonts w:ascii="Arial" w:hAnsi="Arial" w:cs="Arial"/>
                <w:color w:val="000000"/>
                <w:sz w:val="20"/>
                <w:szCs w:val="20"/>
              </w:rPr>
              <w:t>NPWAC</w:t>
            </w:r>
            <w:r w:rsidR="008477A0">
              <w:rPr>
                <w:rFonts w:ascii="Arial" w:hAnsi="Arial" w:cs="Arial"/>
                <w:color w:val="000000"/>
                <w:sz w:val="20"/>
                <w:szCs w:val="20"/>
              </w:rPr>
              <w:t xml:space="preserve"> undertakes the review of Reserve Activity Assessments outside of the normal scheduled meetings, as required. </w:t>
            </w:r>
          </w:p>
        </w:tc>
      </w:tr>
      <w:tr w:rsidR="008477A0" w:rsidRPr="00CE040A" w14:paraId="5B22827F" w14:textId="77777777" w:rsidTr="000858E9">
        <w:trPr>
          <w:cantSplit/>
          <w:trHeight w:val="851"/>
        </w:trPr>
        <w:tc>
          <w:tcPr>
            <w:tcW w:w="635" w:type="dxa"/>
            <w:hideMark/>
          </w:tcPr>
          <w:p w14:paraId="107A7E61" w14:textId="2F8614D7" w:rsidR="008477A0" w:rsidRPr="00D52FB7" w:rsidRDefault="008477A0"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 xml:space="preserve"> 2</w:t>
            </w:r>
          </w:p>
        </w:tc>
        <w:tc>
          <w:tcPr>
            <w:tcW w:w="3220" w:type="dxa"/>
            <w:hideMark/>
          </w:tcPr>
          <w:p w14:paraId="464EFB72" w14:textId="77777777" w:rsidR="008477A0" w:rsidRPr="00D52FB7" w:rsidRDefault="008477A0" w:rsidP="004F5630">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The State Party should confirm an unambiguous commitment that the property is off-limits to commercial logging in its entirety, and fully reflect this commitment in the Management Plan for the whole of the property. </w:t>
            </w:r>
          </w:p>
        </w:tc>
        <w:tc>
          <w:tcPr>
            <w:tcW w:w="6205" w:type="dxa"/>
          </w:tcPr>
          <w:p w14:paraId="1BD2568F" w14:textId="77777777" w:rsidR="00916411" w:rsidRPr="00B3473E" w:rsidRDefault="00916411" w:rsidP="004F5630">
            <w:pPr>
              <w:pStyle w:val="NormalWeb"/>
              <w:spacing w:before="170" w:after="0" w:line="0" w:lineRule="atLeast"/>
              <w:ind w:left="63"/>
              <w:rPr>
                <w:rFonts w:ascii="Arial" w:hAnsi="Arial" w:cs="Arial"/>
                <w:color w:val="000000"/>
                <w:sz w:val="20"/>
                <w:szCs w:val="20"/>
              </w:rPr>
            </w:pPr>
            <w:r w:rsidRPr="00B3473E">
              <w:rPr>
                <w:rFonts w:ascii="Arial" w:hAnsi="Arial" w:cs="Arial"/>
                <w:color w:val="000000"/>
                <w:sz w:val="20"/>
                <w:szCs w:val="20"/>
              </w:rPr>
              <w:t>IMPLEMENTED</w:t>
            </w:r>
          </w:p>
          <w:p w14:paraId="285B8C4F" w14:textId="77777777" w:rsidR="008477A0" w:rsidRPr="00D52FB7" w:rsidRDefault="008477A0" w:rsidP="004F5630">
            <w:pPr>
              <w:pStyle w:val="NormalWeb"/>
              <w:spacing w:before="170" w:after="0" w:line="0" w:lineRule="atLeast"/>
              <w:ind w:left="63"/>
              <w:rPr>
                <w:rFonts w:ascii="Arial" w:hAnsi="Arial" w:cs="Arial"/>
                <w:color w:val="000000"/>
                <w:sz w:val="20"/>
                <w:szCs w:val="20"/>
              </w:rPr>
            </w:pPr>
            <w:r w:rsidRPr="005D2D58">
              <w:rPr>
                <w:rFonts w:ascii="Arial" w:hAnsi="Arial" w:cs="Arial"/>
                <w:color w:val="000000"/>
                <w:sz w:val="20"/>
                <w:szCs w:val="20"/>
              </w:rPr>
              <w:t>The 2016 Management Plan and the Strategic Management Statement rule out commercial logging, including harvesting of special species timbers, in the whole of the property. Huon pine salvage from the shoreline of Macquarie Harbour is permitted.</w:t>
            </w:r>
          </w:p>
        </w:tc>
      </w:tr>
      <w:tr w:rsidR="005F11B3" w:rsidRPr="00CE040A" w14:paraId="56FA9F19" w14:textId="77777777" w:rsidTr="000858E9">
        <w:trPr>
          <w:cantSplit/>
          <w:trHeight w:val="851"/>
        </w:trPr>
        <w:tc>
          <w:tcPr>
            <w:tcW w:w="635" w:type="dxa"/>
            <w:hideMark/>
          </w:tcPr>
          <w:p w14:paraId="55F538A3" w14:textId="45DA4F47" w:rsidR="008477A0" w:rsidRPr="00D52FB7" w:rsidRDefault="008477A0"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 xml:space="preserve"> 3</w:t>
            </w:r>
          </w:p>
        </w:tc>
        <w:tc>
          <w:tcPr>
            <w:tcW w:w="3220" w:type="dxa"/>
            <w:hideMark/>
          </w:tcPr>
          <w:p w14:paraId="3B8A95FD" w14:textId="77777777" w:rsidR="008477A0" w:rsidRPr="00D52FB7" w:rsidRDefault="008477A0" w:rsidP="004F5630">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The State Party should confirm an unambiguous commitment that the property is off-limits to mineral exploration and extraction in its entirety and fully reflect this commitment in the Management Plan for the whole of the property. </w:t>
            </w:r>
          </w:p>
        </w:tc>
        <w:tc>
          <w:tcPr>
            <w:tcW w:w="6205" w:type="dxa"/>
          </w:tcPr>
          <w:p w14:paraId="73A87623" w14:textId="77777777" w:rsidR="00916411" w:rsidRPr="00916411" w:rsidRDefault="00916411" w:rsidP="004F5630">
            <w:pPr>
              <w:pStyle w:val="NormalWeb"/>
              <w:spacing w:before="170" w:after="0" w:line="0" w:lineRule="atLeast"/>
              <w:ind w:left="63"/>
              <w:rPr>
                <w:rFonts w:ascii="Arial" w:hAnsi="Arial" w:cs="Arial"/>
                <w:color w:val="000000"/>
                <w:sz w:val="20"/>
                <w:szCs w:val="20"/>
              </w:rPr>
            </w:pPr>
            <w:r w:rsidRPr="00916411">
              <w:rPr>
                <w:rFonts w:ascii="Arial" w:hAnsi="Arial" w:cs="Arial"/>
                <w:color w:val="000000"/>
                <w:sz w:val="20"/>
                <w:szCs w:val="20"/>
              </w:rPr>
              <w:t>IMPLEMENTED</w:t>
            </w:r>
          </w:p>
          <w:p w14:paraId="1569986E" w14:textId="1247902C" w:rsidR="00636FEC" w:rsidRDefault="004A1E23" w:rsidP="004F5630">
            <w:pPr>
              <w:pStyle w:val="NormalWeb"/>
              <w:spacing w:before="170" w:after="0" w:line="0" w:lineRule="atLeast"/>
              <w:ind w:left="63"/>
              <w:rPr>
                <w:rFonts w:ascii="Arial" w:hAnsi="Arial" w:cs="Arial"/>
                <w:color w:val="000000"/>
                <w:sz w:val="20"/>
                <w:szCs w:val="20"/>
              </w:rPr>
            </w:pPr>
            <w:r>
              <w:rPr>
                <w:rFonts w:ascii="Arial" w:hAnsi="Arial" w:cs="Arial"/>
                <w:color w:val="000000"/>
                <w:sz w:val="20"/>
                <w:szCs w:val="20"/>
              </w:rPr>
              <w:t>S</w:t>
            </w:r>
            <w:r w:rsidRPr="00D52FB7">
              <w:rPr>
                <w:rFonts w:ascii="Arial" w:hAnsi="Arial" w:cs="Arial"/>
                <w:color w:val="000000"/>
                <w:sz w:val="20"/>
                <w:szCs w:val="20"/>
              </w:rPr>
              <w:t xml:space="preserve">ection 3.2 </w:t>
            </w:r>
            <w:r>
              <w:rPr>
                <w:rFonts w:ascii="Arial" w:hAnsi="Arial" w:cs="Arial"/>
                <w:color w:val="000000"/>
                <w:sz w:val="20"/>
                <w:szCs w:val="20"/>
              </w:rPr>
              <w:t xml:space="preserve">of the </w:t>
            </w:r>
            <w:r w:rsidR="008477A0" w:rsidRPr="00D52FB7">
              <w:rPr>
                <w:rFonts w:ascii="Arial" w:hAnsi="Arial" w:cs="Arial"/>
                <w:color w:val="000000"/>
                <w:sz w:val="20"/>
                <w:szCs w:val="20"/>
              </w:rPr>
              <w:t>2016 Management Plan and Strategic Management Statement rule</w:t>
            </w:r>
            <w:r w:rsidR="00E53965">
              <w:rPr>
                <w:rFonts w:ascii="Arial" w:hAnsi="Arial" w:cs="Arial"/>
                <w:color w:val="000000"/>
                <w:sz w:val="20"/>
                <w:szCs w:val="20"/>
              </w:rPr>
              <w:t>s</w:t>
            </w:r>
            <w:r w:rsidR="008477A0" w:rsidRPr="00D52FB7">
              <w:rPr>
                <w:rFonts w:ascii="Arial" w:hAnsi="Arial" w:cs="Arial"/>
                <w:color w:val="000000"/>
                <w:sz w:val="20"/>
                <w:szCs w:val="20"/>
              </w:rPr>
              <w:t xml:space="preserve"> out mineral exploration and extraction in the whole of the property.</w:t>
            </w:r>
          </w:p>
          <w:p w14:paraId="2A88A3A4" w14:textId="508E76BF" w:rsidR="008477A0" w:rsidRPr="00D52FB7" w:rsidRDefault="003B3DD8" w:rsidP="003B3DD8">
            <w:pPr>
              <w:pStyle w:val="NormalWeb"/>
              <w:spacing w:before="170" w:after="0" w:line="0" w:lineRule="atLeast"/>
              <w:ind w:left="63"/>
              <w:rPr>
                <w:rFonts w:ascii="Arial" w:hAnsi="Arial" w:cs="Arial"/>
                <w:color w:val="000000"/>
                <w:sz w:val="20"/>
                <w:szCs w:val="20"/>
              </w:rPr>
            </w:pPr>
            <w:r>
              <w:rPr>
                <w:rFonts w:ascii="Arial" w:hAnsi="Arial" w:cs="Arial"/>
                <w:color w:val="000000"/>
                <w:sz w:val="20"/>
                <w:szCs w:val="20"/>
              </w:rPr>
              <w:t>E</w:t>
            </w:r>
            <w:r w:rsidR="008477A0" w:rsidRPr="00D52FB7">
              <w:rPr>
                <w:rFonts w:ascii="Arial" w:hAnsi="Arial" w:cs="Arial"/>
                <w:color w:val="000000"/>
                <w:sz w:val="20"/>
                <w:szCs w:val="20"/>
              </w:rPr>
              <w:t xml:space="preserve">xtraction of gravel for </w:t>
            </w:r>
            <w:r>
              <w:rPr>
                <w:rFonts w:ascii="Arial" w:hAnsi="Arial" w:cs="Arial"/>
                <w:color w:val="000000"/>
                <w:sz w:val="20"/>
                <w:szCs w:val="20"/>
              </w:rPr>
              <w:t xml:space="preserve">property </w:t>
            </w:r>
            <w:r w:rsidR="008477A0" w:rsidRPr="00D52FB7">
              <w:rPr>
                <w:rFonts w:ascii="Arial" w:hAnsi="Arial" w:cs="Arial"/>
                <w:color w:val="000000"/>
                <w:sz w:val="20"/>
                <w:szCs w:val="20"/>
              </w:rPr>
              <w:t>management/ maintenance purposes</w:t>
            </w:r>
            <w:r w:rsidR="00916411">
              <w:rPr>
                <w:rFonts w:ascii="Arial" w:hAnsi="Arial" w:cs="Arial"/>
                <w:color w:val="000000"/>
                <w:sz w:val="20"/>
                <w:szCs w:val="20"/>
              </w:rPr>
              <w:t xml:space="preserve"> </w:t>
            </w:r>
            <w:r>
              <w:rPr>
                <w:rFonts w:ascii="Arial" w:hAnsi="Arial" w:cs="Arial"/>
                <w:color w:val="000000"/>
                <w:sz w:val="20"/>
                <w:szCs w:val="20"/>
              </w:rPr>
              <w:t>is allowed (see also Recommendation 4)</w:t>
            </w:r>
            <w:r w:rsidR="008477A0" w:rsidRPr="00D52FB7">
              <w:rPr>
                <w:rFonts w:ascii="Arial" w:hAnsi="Arial" w:cs="Arial"/>
                <w:color w:val="000000"/>
                <w:sz w:val="20"/>
                <w:szCs w:val="20"/>
              </w:rPr>
              <w:t>.</w:t>
            </w:r>
          </w:p>
        </w:tc>
      </w:tr>
      <w:tr w:rsidR="008477A0" w:rsidRPr="00CE040A" w14:paraId="671C21F6" w14:textId="77777777" w:rsidTr="000858E9">
        <w:trPr>
          <w:cantSplit/>
          <w:trHeight w:val="851"/>
        </w:trPr>
        <w:tc>
          <w:tcPr>
            <w:tcW w:w="635" w:type="dxa"/>
            <w:hideMark/>
          </w:tcPr>
          <w:p w14:paraId="67B657B9" w14:textId="63202218" w:rsidR="008477A0" w:rsidRPr="00D52FB7" w:rsidRDefault="008477A0"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lastRenderedPageBreak/>
              <w:t xml:space="preserve"> 4</w:t>
            </w:r>
          </w:p>
        </w:tc>
        <w:tc>
          <w:tcPr>
            <w:tcW w:w="3220" w:type="dxa"/>
            <w:hideMark/>
          </w:tcPr>
          <w:p w14:paraId="595045A6" w14:textId="77777777" w:rsidR="008477A0" w:rsidRPr="00D52FB7" w:rsidRDefault="008477A0" w:rsidP="004F5630">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Gravel use derived from borrow pits for maintenance needs within the property should be minimised. The State Party should conduct a comprehensive review of the road network with the objective to close and rehabilitate non-essential roads so as to reduce the future demand for gravel among other benefits. </w:t>
            </w:r>
          </w:p>
        </w:tc>
        <w:tc>
          <w:tcPr>
            <w:tcW w:w="6205" w:type="dxa"/>
          </w:tcPr>
          <w:p w14:paraId="05D69BD0" w14:textId="77777777" w:rsidR="00916411" w:rsidRPr="00B3473E" w:rsidRDefault="00916411" w:rsidP="004F5630">
            <w:pPr>
              <w:pStyle w:val="NormalWeb"/>
              <w:spacing w:before="170" w:after="0" w:line="0" w:lineRule="atLeast"/>
              <w:ind w:left="63"/>
              <w:rPr>
                <w:rFonts w:ascii="Arial" w:hAnsi="Arial" w:cs="Arial"/>
                <w:color w:val="000000"/>
                <w:sz w:val="20"/>
                <w:szCs w:val="20"/>
              </w:rPr>
            </w:pPr>
            <w:r w:rsidRPr="00B3473E">
              <w:rPr>
                <w:rFonts w:ascii="Arial" w:hAnsi="Arial" w:cs="Arial"/>
                <w:color w:val="000000"/>
                <w:sz w:val="20"/>
                <w:szCs w:val="20"/>
              </w:rPr>
              <w:t>IMPLEMENTED</w:t>
            </w:r>
          </w:p>
          <w:p w14:paraId="5CB9BBCD" w14:textId="2E603A88" w:rsidR="008477A0" w:rsidRPr="00D52FB7" w:rsidRDefault="008477A0" w:rsidP="004F5630">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The 2016 Management Plan and Strategic Management Statement confirm the commitment of the Tasmanian Government to minimise use of gravel from borrow pits for maintenance needs in the whole of the property. Guiding principles for gravel extraction are in </w:t>
            </w:r>
            <w:r w:rsidR="002F0BC3">
              <w:rPr>
                <w:rFonts w:ascii="Arial" w:hAnsi="Arial" w:cs="Arial"/>
                <w:color w:val="000000"/>
                <w:sz w:val="20"/>
                <w:szCs w:val="20"/>
              </w:rPr>
              <w:t>s</w:t>
            </w:r>
            <w:r w:rsidR="004A1E23" w:rsidRPr="00D52FB7">
              <w:rPr>
                <w:rFonts w:ascii="Arial" w:hAnsi="Arial" w:cs="Arial"/>
                <w:color w:val="000000"/>
                <w:sz w:val="20"/>
                <w:szCs w:val="20"/>
              </w:rPr>
              <w:t xml:space="preserve">ection </w:t>
            </w:r>
            <w:r w:rsidRPr="00D52FB7">
              <w:rPr>
                <w:rFonts w:ascii="Arial" w:hAnsi="Arial" w:cs="Arial"/>
                <w:color w:val="000000"/>
                <w:sz w:val="20"/>
                <w:szCs w:val="20"/>
              </w:rPr>
              <w:t xml:space="preserve">8.5 </w:t>
            </w:r>
            <w:r>
              <w:rPr>
                <w:rFonts w:ascii="Arial" w:hAnsi="Arial" w:cs="Arial"/>
                <w:color w:val="000000"/>
                <w:sz w:val="20"/>
                <w:szCs w:val="20"/>
              </w:rPr>
              <w:t xml:space="preserve">(Roads) </w:t>
            </w:r>
            <w:r w:rsidRPr="00D52FB7">
              <w:rPr>
                <w:rFonts w:ascii="Arial" w:hAnsi="Arial" w:cs="Arial"/>
                <w:color w:val="000000"/>
                <w:sz w:val="20"/>
                <w:szCs w:val="20"/>
              </w:rPr>
              <w:t xml:space="preserve">of the </w:t>
            </w:r>
            <w:r w:rsidR="004A1E23" w:rsidRPr="004A1E23">
              <w:rPr>
                <w:rFonts w:ascii="Arial" w:hAnsi="Arial" w:cs="Arial"/>
                <w:color w:val="000000"/>
                <w:sz w:val="20"/>
                <w:szCs w:val="20"/>
              </w:rPr>
              <w:t>2016 Management Plan</w:t>
            </w:r>
            <w:r w:rsidRPr="00D52FB7">
              <w:rPr>
                <w:rFonts w:ascii="Arial" w:hAnsi="Arial" w:cs="Arial"/>
                <w:color w:val="000000"/>
                <w:sz w:val="20"/>
                <w:szCs w:val="20"/>
              </w:rPr>
              <w:t>.</w:t>
            </w:r>
          </w:p>
          <w:p w14:paraId="5C669983" w14:textId="555ECC23" w:rsidR="008477A0" w:rsidRPr="00D52FB7" w:rsidRDefault="0066718D" w:rsidP="004F5630">
            <w:pPr>
              <w:pStyle w:val="NormalWeb"/>
              <w:spacing w:before="170" w:after="0" w:line="0" w:lineRule="atLeast"/>
              <w:ind w:left="63"/>
              <w:rPr>
                <w:rFonts w:ascii="Arial" w:hAnsi="Arial" w:cs="Arial"/>
                <w:color w:val="000000"/>
                <w:sz w:val="20"/>
                <w:szCs w:val="20"/>
              </w:rPr>
            </w:pPr>
            <w:r w:rsidRPr="00F626F1">
              <w:rPr>
                <w:rFonts w:ascii="Arial" w:hAnsi="Arial"/>
                <w:color w:val="000000"/>
                <w:sz w:val="20"/>
              </w:rPr>
              <w:t>A review of parts of the road network was completed in mid-2019 with the remainder to now be considered. The overall review is addressed in sections 3.1.1, 6.3.2 and 8.5 of the 2016 Management Plan.</w:t>
            </w:r>
          </w:p>
        </w:tc>
      </w:tr>
      <w:tr w:rsidR="008477A0" w:rsidRPr="00CE040A" w14:paraId="61F0E873" w14:textId="77777777" w:rsidTr="000858E9">
        <w:trPr>
          <w:cantSplit/>
          <w:trHeight w:val="851"/>
        </w:trPr>
        <w:tc>
          <w:tcPr>
            <w:tcW w:w="635" w:type="dxa"/>
            <w:hideMark/>
          </w:tcPr>
          <w:p w14:paraId="3D4FBF5F" w14:textId="62C8E19C" w:rsidR="008477A0" w:rsidRPr="00D52FB7" w:rsidRDefault="008477A0"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 xml:space="preserve"> 5</w:t>
            </w:r>
          </w:p>
        </w:tc>
        <w:tc>
          <w:tcPr>
            <w:tcW w:w="3220" w:type="dxa"/>
            <w:hideMark/>
          </w:tcPr>
          <w:p w14:paraId="376D73A8" w14:textId="77777777" w:rsidR="008477A0" w:rsidRPr="00D52FB7" w:rsidRDefault="008477A0" w:rsidP="004F5630">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Essential existing gravel extraction for ongoing local maintenance in the property should be guided by the following principles across the property, including the excisions within it: </w:t>
            </w:r>
          </w:p>
          <w:p w14:paraId="7CFACD31" w14:textId="3A600A3D" w:rsidR="008477A0" w:rsidRPr="00D52FB7" w:rsidRDefault="008477A0" w:rsidP="004F5630">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 No import of gravel to the property should be permitted, in order to minimize biosecurity risks; </w:t>
            </w:r>
          </w:p>
          <w:p w14:paraId="3C9ED6D9" w14:textId="7E0350E2" w:rsidR="008477A0" w:rsidRPr="00D52FB7" w:rsidRDefault="008477A0" w:rsidP="004F5630">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No export of gravel from the property should be permitted, and uses should be restricted to the maintenance of existing infrastructure</w:t>
            </w:r>
            <w:r w:rsidR="0018116A">
              <w:rPr>
                <w:rFonts w:ascii="Arial" w:hAnsi="Arial" w:cs="Arial"/>
                <w:color w:val="000000"/>
                <w:sz w:val="20"/>
                <w:szCs w:val="20"/>
              </w:rPr>
              <w:t>;</w:t>
            </w:r>
          </w:p>
          <w:p w14:paraId="34A51B06" w14:textId="77777777" w:rsidR="008477A0" w:rsidRPr="00D52FB7" w:rsidRDefault="008477A0" w:rsidP="004F5630">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 New borrow pits should not be permitted; </w:t>
            </w:r>
          </w:p>
          <w:p w14:paraId="57E9F253" w14:textId="3ACEE5A3" w:rsidR="008477A0" w:rsidRDefault="008477A0" w:rsidP="004F5630">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Any significant change to current practice in relation to increased gravel need with potential to impact the property, to be notified to the World Heritage Committee prior to any decisions being taken on how to address this by the State Party.</w:t>
            </w:r>
          </w:p>
          <w:p w14:paraId="45024680" w14:textId="77777777" w:rsidR="008477A0" w:rsidRPr="00D52FB7" w:rsidRDefault="008477A0" w:rsidP="004F5630">
            <w:pPr>
              <w:pStyle w:val="NormalWeb"/>
              <w:spacing w:before="170" w:after="0" w:line="0" w:lineRule="atLeast"/>
              <w:ind w:left="63"/>
              <w:rPr>
                <w:rFonts w:ascii="Arial" w:hAnsi="Arial" w:cs="Arial"/>
                <w:color w:val="000000"/>
                <w:sz w:val="20"/>
                <w:szCs w:val="20"/>
              </w:rPr>
            </w:pPr>
          </w:p>
        </w:tc>
        <w:tc>
          <w:tcPr>
            <w:tcW w:w="6205" w:type="dxa"/>
          </w:tcPr>
          <w:p w14:paraId="31F6716B" w14:textId="77777777" w:rsidR="00916411" w:rsidRPr="00916411" w:rsidRDefault="00916411" w:rsidP="004F5630">
            <w:pPr>
              <w:pStyle w:val="NormalWeb"/>
              <w:spacing w:before="170" w:after="0" w:line="0" w:lineRule="atLeast"/>
              <w:ind w:left="63"/>
              <w:rPr>
                <w:rFonts w:ascii="Arial" w:hAnsi="Arial" w:cs="Arial"/>
                <w:color w:val="000000"/>
                <w:sz w:val="20"/>
                <w:szCs w:val="20"/>
              </w:rPr>
            </w:pPr>
            <w:r w:rsidRPr="00916411">
              <w:rPr>
                <w:rFonts w:ascii="Arial" w:hAnsi="Arial" w:cs="Arial"/>
                <w:color w:val="000000"/>
                <w:sz w:val="20"/>
                <w:szCs w:val="20"/>
              </w:rPr>
              <w:t>IMPLEMENTED</w:t>
            </w:r>
          </w:p>
          <w:p w14:paraId="0DFBBF36" w14:textId="2F58FF2F" w:rsidR="008477A0" w:rsidRPr="00D52FB7" w:rsidRDefault="008477A0" w:rsidP="004F5630">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The following guiding principles for gravel extraction are included in section 8.5 of the 2016 Management Plan:</w:t>
            </w:r>
          </w:p>
          <w:p w14:paraId="0DE32D0C" w14:textId="4A2B9E14" w:rsidR="008477A0" w:rsidRPr="00D52FB7" w:rsidRDefault="008477A0" w:rsidP="004F5630">
            <w:pPr>
              <w:pStyle w:val="NormalWeb"/>
              <w:numPr>
                <w:ilvl w:val="0"/>
                <w:numId w:val="25"/>
              </w:numPr>
              <w:spacing w:before="170" w:after="0" w:line="0" w:lineRule="atLeast"/>
              <w:rPr>
                <w:rFonts w:ascii="Arial" w:hAnsi="Arial" w:cs="Arial"/>
                <w:color w:val="000000"/>
                <w:sz w:val="20"/>
                <w:szCs w:val="20"/>
              </w:rPr>
            </w:pPr>
            <w:r>
              <w:rPr>
                <w:rFonts w:ascii="Arial" w:hAnsi="Arial" w:cs="Arial"/>
                <w:color w:val="000000"/>
                <w:sz w:val="20"/>
                <w:szCs w:val="20"/>
              </w:rPr>
              <w:t>G</w:t>
            </w:r>
            <w:r w:rsidRPr="00D52FB7">
              <w:rPr>
                <w:rFonts w:ascii="Arial" w:hAnsi="Arial" w:cs="Arial"/>
                <w:color w:val="000000"/>
                <w:sz w:val="20"/>
                <w:szCs w:val="20"/>
              </w:rPr>
              <w:t>ravel used for management purposes is to be extracted from sources assessed as being ‘low risk’ of containing weeds and diseases</w:t>
            </w:r>
          </w:p>
          <w:p w14:paraId="5F43E233" w14:textId="56152E9F" w:rsidR="008477A0" w:rsidRPr="00D52FB7" w:rsidRDefault="008477A0" w:rsidP="004F5630">
            <w:pPr>
              <w:pStyle w:val="NormalWeb"/>
              <w:numPr>
                <w:ilvl w:val="0"/>
                <w:numId w:val="25"/>
              </w:numPr>
              <w:spacing w:before="170" w:after="0" w:line="0" w:lineRule="atLeast"/>
              <w:rPr>
                <w:rFonts w:ascii="Arial" w:hAnsi="Arial" w:cs="Arial"/>
                <w:color w:val="000000"/>
                <w:sz w:val="20"/>
                <w:szCs w:val="20"/>
              </w:rPr>
            </w:pPr>
            <w:r>
              <w:rPr>
                <w:rFonts w:ascii="Arial" w:hAnsi="Arial" w:cs="Arial"/>
                <w:color w:val="000000"/>
                <w:sz w:val="20"/>
                <w:szCs w:val="20"/>
              </w:rPr>
              <w:t>G</w:t>
            </w:r>
            <w:r w:rsidRPr="00D52FB7">
              <w:rPr>
                <w:rFonts w:ascii="Arial" w:hAnsi="Arial" w:cs="Arial"/>
                <w:color w:val="000000"/>
                <w:sz w:val="20"/>
                <w:szCs w:val="20"/>
              </w:rPr>
              <w:t>ravel is not to be exported for use outside the property</w:t>
            </w:r>
          </w:p>
          <w:p w14:paraId="4A49AB3F" w14:textId="072C5A25" w:rsidR="008477A0" w:rsidRPr="00D52FB7" w:rsidRDefault="008477A0" w:rsidP="004F5630">
            <w:pPr>
              <w:pStyle w:val="NormalWeb"/>
              <w:numPr>
                <w:ilvl w:val="0"/>
                <w:numId w:val="25"/>
              </w:numPr>
              <w:spacing w:before="170" w:after="0" w:line="0" w:lineRule="atLeast"/>
              <w:rPr>
                <w:rFonts w:ascii="Arial" w:hAnsi="Arial" w:cs="Arial"/>
                <w:color w:val="000000"/>
                <w:sz w:val="20"/>
                <w:szCs w:val="20"/>
              </w:rPr>
            </w:pPr>
            <w:r>
              <w:rPr>
                <w:rFonts w:ascii="Arial" w:hAnsi="Arial" w:cs="Arial"/>
                <w:color w:val="000000"/>
                <w:sz w:val="20"/>
                <w:szCs w:val="20"/>
              </w:rPr>
              <w:t>U</w:t>
            </w:r>
            <w:r w:rsidRPr="00D52FB7">
              <w:rPr>
                <w:rFonts w:ascii="Arial" w:hAnsi="Arial" w:cs="Arial"/>
                <w:color w:val="000000"/>
                <w:sz w:val="20"/>
                <w:szCs w:val="20"/>
              </w:rPr>
              <w:t>se of new gravel sources is to be avoided</w:t>
            </w:r>
          </w:p>
          <w:p w14:paraId="073B7F3C" w14:textId="7BC901F3" w:rsidR="008477A0" w:rsidRPr="00D52FB7" w:rsidRDefault="008477A0" w:rsidP="004F5630">
            <w:pPr>
              <w:pStyle w:val="NormalWeb"/>
              <w:numPr>
                <w:ilvl w:val="0"/>
                <w:numId w:val="25"/>
              </w:numPr>
              <w:spacing w:before="170" w:after="0" w:line="0" w:lineRule="atLeast"/>
              <w:rPr>
                <w:rFonts w:ascii="Arial" w:hAnsi="Arial" w:cs="Arial"/>
                <w:color w:val="000000"/>
                <w:sz w:val="20"/>
                <w:szCs w:val="20"/>
              </w:rPr>
            </w:pPr>
            <w:r>
              <w:rPr>
                <w:rFonts w:ascii="Arial" w:hAnsi="Arial" w:cs="Arial"/>
                <w:color w:val="000000"/>
                <w:sz w:val="20"/>
                <w:szCs w:val="20"/>
              </w:rPr>
              <w:t>G</w:t>
            </w:r>
            <w:r w:rsidRPr="00D52FB7">
              <w:rPr>
                <w:rFonts w:ascii="Arial" w:hAnsi="Arial" w:cs="Arial"/>
                <w:color w:val="000000"/>
                <w:sz w:val="20"/>
                <w:szCs w:val="20"/>
              </w:rPr>
              <w:t>ravel demand is to be minimised</w:t>
            </w:r>
          </w:p>
          <w:p w14:paraId="108CD121" w14:textId="6E8EE260" w:rsidR="008477A0" w:rsidRPr="00D52FB7" w:rsidRDefault="008477A0" w:rsidP="004F5630">
            <w:pPr>
              <w:pStyle w:val="NormalWeb"/>
              <w:numPr>
                <w:ilvl w:val="0"/>
                <w:numId w:val="25"/>
              </w:numPr>
              <w:spacing w:before="170" w:after="0" w:line="0" w:lineRule="atLeast"/>
              <w:rPr>
                <w:rFonts w:ascii="Arial" w:hAnsi="Arial" w:cs="Arial"/>
                <w:color w:val="000000"/>
                <w:sz w:val="20"/>
                <w:szCs w:val="20"/>
              </w:rPr>
            </w:pPr>
            <w:r>
              <w:rPr>
                <w:rFonts w:ascii="Arial" w:hAnsi="Arial" w:cs="Arial"/>
                <w:color w:val="000000"/>
                <w:sz w:val="20"/>
                <w:szCs w:val="20"/>
              </w:rPr>
              <w:t>G</w:t>
            </w:r>
            <w:r w:rsidRPr="00D52FB7">
              <w:rPr>
                <w:rFonts w:ascii="Arial" w:hAnsi="Arial" w:cs="Arial"/>
                <w:color w:val="000000"/>
                <w:sz w:val="20"/>
                <w:szCs w:val="20"/>
              </w:rPr>
              <w:t>ravel is not to be imported into the property</w:t>
            </w:r>
            <w:r>
              <w:rPr>
                <w:rFonts w:ascii="Arial" w:hAnsi="Arial" w:cs="Arial"/>
                <w:color w:val="000000"/>
                <w:sz w:val="20"/>
                <w:szCs w:val="20"/>
              </w:rPr>
              <w:t>.</w:t>
            </w:r>
          </w:p>
          <w:p w14:paraId="73CB866D" w14:textId="0435F3EE" w:rsidR="008477A0" w:rsidRPr="00D52FB7" w:rsidRDefault="008477A0" w:rsidP="007A36F9">
            <w:pPr>
              <w:pStyle w:val="NormalWeb"/>
              <w:spacing w:before="170" w:after="0" w:line="0" w:lineRule="atLeast"/>
              <w:ind w:left="63"/>
              <w:rPr>
                <w:rFonts w:ascii="Arial" w:hAnsi="Arial" w:cs="Arial"/>
                <w:color w:val="000000"/>
                <w:sz w:val="20"/>
                <w:szCs w:val="20"/>
              </w:rPr>
            </w:pPr>
            <w:r>
              <w:rPr>
                <w:rFonts w:ascii="Arial" w:hAnsi="Arial" w:cs="Arial"/>
                <w:color w:val="000000"/>
                <w:sz w:val="20"/>
                <w:szCs w:val="20"/>
              </w:rPr>
              <w:t>A</w:t>
            </w:r>
            <w:r w:rsidRPr="00D52FB7">
              <w:rPr>
                <w:rFonts w:ascii="Arial" w:hAnsi="Arial" w:cs="Arial"/>
                <w:color w:val="000000"/>
                <w:sz w:val="20"/>
                <w:szCs w:val="20"/>
              </w:rPr>
              <w:t xml:space="preserve">ny proposed action to change gravel use that has, will have or is likely to have a significant impact on the </w:t>
            </w:r>
            <w:r w:rsidR="00916411">
              <w:rPr>
                <w:rFonts w:ascii="Arial" w:hAnsi="Arial" w:cs="Arial"/>
                <w:color w:val="000000"/>
                <w:sz w:val="20"/>
                <w:szCs w:val="20"/>
              </w:rPr>
              <w:t>Outstanding Universal Value</w:t>
            </w:r>
            <w:r w:rsidRPr="00D52FB7">
              <w:rPr>
                <w:rFonts w:ascii="Arial" w:hAnsi="Arial" w:cs="Arial"/>
                <w:color w:val="000000"/>
                <w:sz w:val="20"/>
                <w:szCs w:val="20"/>
              </w:rPr>
              <w:t xml:space="preserve"> of the property will be referred to the Australian Government Minister for the Environment for assessment under the </w:t>
            </w:r>
            <w:r w:rsidR="004A1E23" w:rsidRPr="00F57E77">
              <w:rPr>
                <w:rFonts w:ascii="Arial" w:hAnsi="Arial" w:cs="Arial"/>
                <w:color w:val="000000"/>
                <w:sz w:val="20"/>
                <w:szCs w:val="20"/>
              </w:rPr>
              <w:t>EPBC Act</w:t>
            </w:r>
            <w:r w:rsidRPr="00F57E77">
              <w:rPr>
                <w:rFonts w:ascii="Arial" w:hAnsi="Arial" w:cs="Arial"/>
                <w:color w:val="000000"/>
                <w:sz w:val="20"/>
                <w:szCs w:val="20"/>
              </w:rPr>
              <w:t>.</w:t>
            </w:r>
          </w:p>
        </w:tc>
      </w:tr>
      <w:tr w:rsidR="008477A0" w:rsidRPr="00CE040A" w14:paraId="0DAA0B4F" w14:textId="77777777" w:rsidTr="000858E9">
        <w:trPr>
          <w:cantSplit/>
          <w:trHeight w:val="851"/>
        </w:trPr>
        <w:tc>
          <w:tcPr>
            <w:tcW w:w="635" w:type="dxa"/>
            <w:hideMark/>
          </w:tcPr>
          <w:p w14:paraId="7212707F" w14:textId="4F841748" w:rsidR="008477A0" w:rsidRPr="00D52FB7" w:rsidRDefault="008477A0"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lastRenderedPageBreak/>
              <w:t xml:space="preserve"> 6</w:t>
            </w:r>
          </w:p>
        </w:tc>
        <w:tc>
          <w:tcPr>
            <w:tcW w:w="3220" w:type="dxa"/>
            <w:hideMark/>
          </w:tcPr>
          <w:p w14:paraId="4872A77B" w14:textId="128C6A4F" w:rsidR="008477A0" w:rsidRPr="00D52FB7" w:rsidRDefault="008477A0" w:rsidP="004F5630">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In line with a recent Committee request (Decision 39 COM 7B.35), the Management Plan should establish strict criteria for new tourism development within the property, which would be in line with the primary goal of protecting the property’s Outstanding Universal Value, including its wilderness character and cultural attributes.</w:t>
            </w:r>
          </w:p>
        </w:tc>
        <w:tc>
          <w:tcPr>
            <w:tcW w:w="6205" w:type="dxa"/>
          </w:tcPr>
          <w:p w14:paraId="3124A6DF" w14:textId="77777777" w:rsidR="00916411" w:rsidRPr="00916411" w:rsidRDefault="00916411" w:rsidP="004F5630">
            <w:pPr>
              <w:pStyle w:val="NormalWeb"/>
              <w:spacing w:before="170" w:after="0" w:line="0" w:lineRule="atLeast"/>
              <w:ind w:left="63"/>
              <w:rPr>
                <w:rFonts w:ascii="Arial" w:hAnsi="Arial" w:cs="Arial"/>
                <w:color w:val="000000"/>
                <w:sz w:val="20"/>
                <w:szCs w:val="20"/>
              </w:rPr>
            </w:pPr>
            <w:r w:rsidRPr="00916411">
              <w:rPr>
                <w:rFonts w:ascii="Arial" w:hAnsi="Arial" w:cs="Arial"/>
                <w:color w:val="000000"/>
                <w:sz w:val="20"/>
                <w:szCs w:val="20"/>
              </w:rPr>
              <w:t>IMPLEMENTED</w:t>
            </w:r>
          </w:p>
          <w:p w14:paraId="5900361E" w14:textId="6263911F" w:rsidR="008477A0" w:rsidRPr="00D52FB7" w:rsidRDefault="008477A0" w:rsidP="004F5630">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The 2016 Management Plan includes a number of measures to protect the property’s Outstanding Universal Value, including its wilderness character and cultural attributes. These include:</w:t>
            </w:r>
          </w:p>
          <w:p w14:paraId="7828FC47" w14:textId="31B3E245" w:rsidR="008477A0" w:rsidRPr="00D52FB7" w:rsidRDefault="008477A0" w:rsidP="004F5630">
            <w:pPr>
              <w:pStyle w:val="NormalWeb"/>
              <w:numPr>
                <w:ilvl w:val="0"/>
                <w:numId w:val="25"/>
              </w:numPr>
              <w:spacing w:before="170" w:after="0" w:line="0" w:lineRule="atLeast"/>
              <w:rPr>
                <w:rFonts w:ascii="Arial" w:hAnsi="Arial" w:cs="Arial"/>
                <w:color w:val="000000"/>
                <w:sz w:val="20"/>
                <w:szCs w:val="20"/>
              </w:rPr>
            </w:pPr>
            <w:r w:rsidRPr="00D52FB7">
              <w:rPr>
                <w:rFonts w:ascii="Arial" w:hAnsi="Arial" w:cs="Arial"/>
                <w:color w:val="000000"/>
                <w:sz w:val="20"/>
                <w:szCs w:val="20"/>
              </w:rPr>
              <w:t>additional criteria for the assessment of activities and proposals in the property that require assessment under the Reserve Activity Assessment process to ensure World Heritage values are considered (sectio</w:t>
            </w:r>
            <w:r>
              <w:rPr>
                <w:rFonts w:ascii="Arial" w:hAnsi="Arial" w:cs="Arial"/>
                <w:color w:val="000000"/>
                <w:sz w:val="20"/>
                <w:szCs w:val="20"/>
              </w:rPr>
              <w:t>n 3.3.1 of the management plan)</w:t>
            </w:r>
          </w:p>
          <w:p w14:paraId="576338C3" w14:textId="52013EDC" w:rsidR="008477A0" w:rsidRPr="00D52FB7" w:rsidRDefault="008477A0" w:rsidP="004F5630">
            <w:pPr>
              <w:pStyle w:val="NormalWeb"/>
              <w:numPr>
                <w:ilvl w:val="0"/>
                <w:numId w:val="25"/>
              </w:numPr>
              <w:spacing w:before="170" w:after="0" w:line="0" w:lineRule="atLeast"/>
              <w:rPr>
                <w:rFonts w:ascii="Arial" w:hAnsi="Arial" w:cs="Arial"/>
                <w:color w:val="000000"/>
                <w:sz w:val="20"/>
                <w:szCs w:val="20"/>
              </w:rPr>
            </w:pPr>
            <w:r w:rsidRPr="00D52FB7">
              <w:rPr>
                <w:rFonts w:ascii="Arial" w:hAnsi="Arial" w:cs="Arial"/>
                <w:color w:val="000000"/>
                <w:sz w:val="20"/>
                <w:szCs w:val="20"/>
              </w:rPr>
              <w:t>additional strict assessment criteria to ensure commercial tourism proposals do not impact negatively on the property’s Outstanding Universal Value (sect</w:t>
            </w:r>
            <w:r>
              <w:rPr>
                <w:rFonts w:ascii="Arial" w:hAnsi="Arial" w:cs="Arial"/>
                <w:color w:val="000000"/>
                <w:sz w:val="20"/>
                <w:szCs w:val="20"/>
              </w:rPr>
              <w:t>ion 6.8 of the management plan)</w:t>
            </w:r>
          </w:p>
          <w:p w14:paraId="14856C2E" w14:textId="5D3E31C9" w:rsidR="008477A0" w:rsidRPr="00D52FB7" w:rsidRDefault="008477A0" w:rsidP="004F5630">
            <w:pPr>
              <w:pStyle w:val="NormalWeb"/>
              <w:numPr>
                <w:ilvl w:val="0"/>
                <w:numId w:val="25"/>
              </w:numPr>
              <w:spacing w:before="170" w:after="0" w:line="0" w:lineRule="atLeast"/>
              <w:rPr>
                <w:rFonts w:ascii="Arial" w:hAnsi="Arial" w:cs="Arial"/>
                <w:color w:val="000000"/>
                <w:sz w:val="20"/>
                <w:szCs w:val="20"/>
              </w:rPr>
            </w:pPr>
            <w:proofErr w:type="gramStart"/>
            <w:r w:rsidRPr="00D52FB7">
              <w:rPr>
                <w:rFonts w:ascii="Arial" w:hAnsi="Arial" w:cs="Arial"/>
                <w:color w:val="000000"/>
                <w:sz w:val="20"/>
                <w:szCs w:val="20"/>
              </w:rPr>
              <w:t>consideration</w:t>
            </w:r>
            <w:proofErr w:type="gramEnd"/>
            <w:r w:rsidRPr="00D52FB7">
              <w:rPr>
                <w:rFonts w:ascii="Arial" w:hAnsi="Arial" w:cs="Arial"/>
                <w:color w:val="000000"/>
                <w:sz w:val="20"/>
                <w:szCs w:val="20"/>
              </w:rPr>
              <w:t xml:space="preserve"> of impacts on wilderness values in the assessment of any activity in the property (section 8.2 of the management plan).</w:t>
            </w:r>
          </w:p>
          <w:p w14:paraId="5D93E44B" w14:textId="77777777" w:rsidR="008477A0" w:rsidRPr="00D52FB7" w:rsidRDefault="008477A0" w:rsidP="004F5630">
            <w:pPr>
              <w:pStyle w:val="NormalWeb"/>
              <w:spacing w:before="170" w:after="0" w:line="0" w:lineRule="atLeast"/>
              <w:ind w:left="63"/>
              <w:rPr>
                <w:rFonts w:ascii="Arial" w:hAnsi="Arial" w:cs="Arial"/>
                <w:color w:val="000000"/>
                <w:sz w:val="20"/>
                <w:szCs w:val="20"/>
              </w:rPr>
            </w:pPr>
            <w:r>
              <w:rPr>
                <w:rFonts w:ascii="Arial" w:hAnsi="Arial" w:cs="Arial"/>
                <w:color w:val="000000"/>
                <w:sz w:val="20"/>
                <w:szCs w:val="20"/>
              </w:rPr>
              <w:t>In addition to these measures, p</w:t>
            </w:r>
            <w:r w:rsidRPr="00D52FB7">
              <w:rPr>
                <w:rFonts w:ascii="Arial" w:hAnsi="Arial" w:cs="Arial"/>
                <w:color w:val="000000"/>
                <w:sz w:val="20"/>
                <w:szCs w:val="20"/>
              </w:rPr>
              <w:t>roposed</w:t>
            </w:r>
            <w:r>
              <w:rPr>
                <w:rFonts w:ascii="Arial" w:hAnsi="Arial" w:cs="Arial"/>
                <w:color w:val="000000"/>
                <w:sz w:val="20"/>
                <w:szCs w:val="20"/>
              </w:rPr>
              <w:t xml:space="preserve"> tourism</w:t>
            </w:r>
            <w:r w:rsidRPr="00D52FB7">
              <w:rPr>
                <w:rFonts w:ascii="Arial" w:hAnsi="Arial" w:cs="Arial"/>
                <w:color w:val="000000"/>
                <w:sz w:val="20"/>
                <w:szCs w:val="20"/>
              </w:rPr>
              <w:t xml:space="preserve"> activities likely to have a significant impact on the property’s </w:t>
            </w:r>
            <w:r w:rsidRPr="00621171">
              <w:rPr>
                <w:rFonts w:ascii="Arial" w:hAnsi="Arial" w:cs="Arial"/>
                <w:color w:val="000000"/>
                <w:sz w:val="20"/>
                <w:szCs w:val="20"/>
              </w:rPr>
              <w:t>World Heritage values, including the property’s wilderness character and cultural attributes,</w:t>
            </w:r>
            <w:r w:rsidRPr="00D52FB7">
              <w:rPr>
                <w:rFonts w:ascii="Arial" w:hAnsi="Arial" w:cs="Arial"/>
                <w:color w:val="000000"/>
                <w:sz w:val="20"/>
                <w:szCs w:val="20"/>
              </w:rPr>
              <w:t xml:space="preserve"> will also be subject to assessment under </w:t>
            </w:r>
            <w:r>
              <w:rPr>
                <w:rFonts w:ascii="Arial" w:hAnsi="Arial" w:cs="Arial"/>
                <w:color w:val="000000"/>
                <w:sz w:val="20"/>
                <w:szCs w:val="20"/>
              </w:rPr>
              <w:t>the EPBC Act</w:t>
            </w:r>
            <w:r w:rsidRPr="00CE040A">
              <w:rPr>
                <w:rFonts w:ascii="Arial" w:hAnsi="Arial" w:cs="Arial"/>
                <w:color w:val="000000"/>
                <w:sz w:val="20"/>
                <w:szCs w:val="20"/>
              </w:rPr>
              <w:t>.</w:t>
            </w:r>
          </w:p>
        </w:tc>
      </w:tr>
      <w:tr w:rsidR="008477A0" w:rsidRPr="00CE040A" w14:paraId="4556ED48" w14:textId="77777777" w:rsidTr="000858E9">
        <w:trPr>
          <w:cantSplit/>
          <w:trHeight w:val="851"/>
        </w:trPr>
        <w:tc>
          <w:tcPr>
            <w:tcW w:w="635" w:type="dxa"/>
            <w:hideMark/>
          </w:tcPr>
          <w:p w14:paraId="4F80850E" w14:textId="197DF76E" w:rsidR="008477A0" w:rsidRPr="00D52FB7" w:rsidRDefault="008477A0"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 xml:space="preserve"> 7</w:t>
            </w:r>
          </w:p>
        </w:tc>
        <w:tc>
          <w:tcPr>
            <w:tcW w:w="3220" w:type="dxa"/>
            <w:hideMark/>
          </w:tcPr>
          <w:p w14:paraId="107D3C23" w14:textId="2DDF8ACF" w:rsidR="008477A0" w:rsidRPr="00D52FB7" w:rsidRDefault="008477A0" w:rsidP="004F5630">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The comprehensive Tourism Master Plan details should refine the balance between legitimate tourism development and the management and conservation of the cultural and natural values of the </w:t>
            </w:r>
            <w:r w:rsidR="00082F78">
              <w:rPr>
                <w:rFonts w:ascii="Arial" w:hAnsi="Arial" w:cs="Arial"/>
                <w:color w:val="000000"/>
                <w:sz w:val="20"/>
                <w:szCs w:val="20"/>
              </w:rPr>
              <w:t>Tasmanian Wilderness World Heritage Area</w:t>
            </w:r>
            <w:r w:rsidRPr="00D52FB7">
              <w:rPr>
                <w:rFonts w:ascii="Arial" w:hAnsi="Arial" w:cs="Arial"/>
                <w:color w:val="000000"/>
                <w:sz w:val="20"/>
                <w:szCs w:val="20"/>
              </w:rPr>
              <w:t xml:space="preserve"> based on further consultation and negotiation of competing interests. </w:t>
            </w:r>
          </w:p>
        </w:tc>
        <w:tc>
          <w:tcPr>
            <w:tcW w:w="6205" w:type="dxa"/>
          </w:tcPr>
          <w:p w14:paraId="7F2D3FEA" w14:textId="0DE43E9F" w:rsidR="00916411" w:rsidRDefault="00916411" w:rsidP="004F5630">
            <w:pPr>
              <w:pStyle w:val="NormalWeb"/>
              <w:spacing w:before="170" w:after="0" w:line="0" w:lineRule="atLeast"/>
              <w:ind w:left="63"/>
              <w:rPr>
                <w:rFonts w:ascii="Arial" w:hAnsi="Arial" w:cs="Arial"/>
                <w:color w:val="000000"/>
                <w:sz w:val="20"/>
                <w:szCs w:val="20"/>
              </w:rPr>
            </w:pPr>
            <w:r>
              <w:rPr>
                <w:rFonts w:ascii="Arial" w:hAnsi="Arial" w:cs="Arial"/>
                <w:color w:val="000000"/>
                <w:sz w:val="20"/>
                <w:szCs w:val="20"/>
              </w:rPr>
              <w:t>IN PROGRESS</w:t>
            </w:r>
          </w:p>
          <w:p w14:paraId="0DC0B526" w14:textId="0749C8E8" w:rsidR="008477A0" w:rsidRPr="00D52FB7" w:rsidRDefault="008477A0" w:rsidP="004F5630">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The 2016 Management Plan includes a management action to “Develop a Tourism Master</w:t>
            </w:r>
            <w:r>
              <w:rPr>
                <w:rFonts w:ascii="Arial" w:hAnsi="Arial" w:cs="Arial"/>
                <w:color w:val="000000"/>
                <w:sz w:val="20"/>
                <w:szCs w:val="20"/>
              </w:rPr>
              <w:t xml:space="preserve"> P</w:t>
            </w:r>
            <w:r w:rsidRPr="00D52FB7">
              <w:rPr>
                <w:rFonts w:ascii="Arial" w:hAnsi="Arial" w:cs="Arial"/>
                <w:color w:val="000000"/>
                <w:sz w:val="20"/>
                <w:szCs w:val="20"/>
              </w:rPr>
              <w:t>lan for the Tasmanian Wilderness World Heritage Area in consultation with the tourism industry, Tasmanian Aboriginal pe</w:t>
            </w:r>
            <w:r>
              <w:rPr>
                <w:rFonts w:ascii="Arial" w:hAnsi="Arial" w:cs="Arial"/>
                <w:color w:val="000000"/>
                <w:sz w:val="20"/>
                <w:szCs w:val="20"/>
              </w:rPr>
              <w:t>ople and other key stakeholders</w:t>
            </w:r>
            <w:r w:rsidRPr="00D52FB7">
              <w:rPr>
                <w:rFonts w:ascii="Arial" w:hAnsi="Arial" w:cs="Arial"/>
                <w:color w:val="000000"/>
                <w:sz w:val="20"/>
                <w:szCs w:val="20"/>
              </w:rPr>
              <w:t>”</w:t>
            </w:r>
            <w:r w:rsidR="009C66AD">
              <w:rPr>
                <w:rFonts w:ascii="Arial" w:hAnsi="Arial" w:cs="Arial"/>
                <w:color w:val="000000"/>
                <w:sz w:val="20"/>
                <w:szCs w:val="20"/>
              </w:rPr>
              <w:t xml:space="preserve"> </w:t>
            </w:r>
            <w:r w:rsidRPr="00D52FB7">
              <w:rPr>
                <w:rFonts w:ascii="Arial" w:hAnsi="Arial" w:cs="Arial"/>
                <w:color w:val="000000"/>
                <w:sz w:val="20"/>
                <w:szCs w:val="20"/>
              </w:rPr>
              <w:t>(section</w:t>
            </w:r>
            <w:r w:rsidR="00C010C1">
              <w:rPr>
                <w:rFonts w:ascii="Arial" w:hAnsi="Arial" w:cs="Arial"/>
                <w:color w:val="000000"/>
                <w:sz w:val="20"/>
                <w:szCs w:val="20"/>
              </w:rPr>
              <w:t> </w:t>
            </w:r>
            <w:r w:rsidRPr="00D52FB7">
              <w:rPr>
                <w:rFonts w:ascii="Arial" w:hAnsi="Arial" w:cs="Arial"/>
                <w:color w:val="000000"/>
                <w:sz w:val="20"/>
                <w:szCs w:val="20"/>
              </w:rPr>
              <w:t>6 of the management plan).</w:t>
            </w:r>
          </w:p>
          <w:p w14:paraId="3ABD31CB" w14:textId="5A74048E" w:rsidR="004A1E23" w:rsidRPr="00451012" w:rsidRDefault="008477A0" w:rsidP="004F5630">
            <w:pPr>
              <w:pStyle w:val="NormalWeb"/>
              <w:spacing w:before="170" w:after="0" w:line="0" w:lineRule="atLeast"/>
              <w:ind w:left="63"/>
              <w:rPr>
                <w:rFonts w:ascii="Arial" w:hAnsi="Arial"/>
                <w:color w:val="000000"/>
                <w:sz w:val="20"/>
              </w:rPr>
            </w:pPr>
            <w:r w:rsidRPr="00D415FE">
              <w:rPr>
                <w:rFonts w:ascii="Arial" w:hAnsi="Arial"/>
                <w:color w:val="000000"/>
                <w:sz w:val="20"/>
              </w:rPr>
              <w:t>The Tourism Master Plan will consider the management and conservation of the cultural and natural values of the property. A strategic paper that outline</w:t>
            </w:r>
            <w:r w:rsidR="0066718D">
              <w:rPr>
                <w:rFonts w:ascii="Arial" w:hAnsi="Arial"/>
                <w:color w:val="000000"/>
                <w:sz w:val="20"/>
              </w:rPr>
              <w:t>s</w:t>
            </w:r>
            <w:r w:rsidRPr="00D415FE">
              <w:rPr>
                <w:rFonts w:ascii="Arial" w:hAnsi="Arial"/>
                <w:color w:val="000000"/>
                <w:sz w:val="20"/>
              </w:rPr>
              <w:t xml:space="preserve"> key policy positions to be reflected in the Tourism Master Plan </w:t>
            </w:r>
            <w:r w:rsidR="009C66AD">
              <w:rPr>
                <w:rFonts w:ascii="Arial" w:hAnsi="Arial"/>
                <w:color w:val="000000"/>
                <w:sz w:val="20"/>
              </w:rPr>
              <w:t>will</w:t>
            </w:r>
            <w:r w:rsidRPr="00D415FE">
              <w:rPr>
                <w:rFonts w:ascii="Arial" w:hAnsi="Arial"/>
                <w:color w:val="000000"/>
                <w:sz w:val="20"/>
              </w:rPr>
              <w:t xml:space="preserve"> be released </w:t>
            </w:r>
            <w:r w:rsidR="008B0BB1">
              <w:rPr>
                <w:rFonts w:ascii="Arial" w:hAnsi="Arial" w:cs="Arial"/>
                <w:color w:val="000000"/>
                <w:sz w:val="20"/>
                <w:szCs w:val="20"/>
              </w:rPr>
              <w:t>to the</w:t>
            </w:r>
            <w:r w:rsidR="008B0BB1" w:rsidRPr="00DE3FDF">
              <w:rPr>
                <w:rFonts w:ascii="Arial" w:hAnsi="Arial" w:cs="Arial"/>
                <w:color w:val="000000"/>
                <w:sz w:val="20"/>
                <w:szCs w:val="20"/>
              </w:rPr>
              <w:t xml:space="preserve"> </w:t>
            </w:r>
            <w:r w:rsidRPr="00451012">
              <w:rPr>
                <w:rFonts w:ascii="Arial" w:hAnsi="Arial"/>
                <w:color w:val="000000"/>
                <w:sz w:val="20"/>
              </w:rPr>
              <w:t xml:space="preserve">public </w:t>
            </w:r>
            <w:r w:rsidR="006D07A7" w:rsidRPr="00451012">
              <w:rPr>
                <w:rFonts w:ascii="Arial" w:hAnsi="Arial"/>
                <w:color w:val="000000"/>
                <w:sz w:val="20"/>
              </w:rPr>
              <w:t>by December 2019</w:t>
            </w:r>
            <w:r w:rsidRPr="00451012">
              <w:rPr>
                <w:rFonts w:ascii="Arial" w:hAnsi="Arial"/>
                <w:color w:val="000000"/>
                <w:sz w:val="20"/>
              </w:rPr>
              <w:t xml:space="preserve">. </w:t>
            </w:r>
          </w:p>
          <w:p w14:paraId="34F22A7A" w14:textId="724943A3" w:rsidR="008477A0" w:rsidRPr="00A67789" w:rsidRDefault="008477A0" w:rsidP="004F5630">
            <w:pPr>
              <w:pStyle w:val="NormalWeb"/>
              <w:spacing w:before="170" w:after="0" w:line="0" w:lineRule="atLeast"/>
              <w:ind w:left="63"/>
              <w:rPr>
                <w:rFonts w:ascii="Arial" w:hAnsi="Arial" w:cs="Arial"/>
                <w:color w:val="000000"/>
                <w:sz w:val="20"/>
                <w:szCs w:val="20"/>
              </w:rPr>
            </w:pPr>
            <w:r w:rsidRPr="00451012">
              <w:rPr>
                <w:rFonts w:ascii="Arial" w:hAnsi="Arial"/>
                <w:color w:val="000000"/>
                <w:sz w:val="20"/>
              </w:rPr>
              <w:t xml:space="preserve">A draft Tourism Master Plan will be made available for public comment and review by the World Heritage </w:t>
            </w:r>
            <w:r w:rsidR="00242AA2">
              <w:rPr>
                <w:rFonts w:ascii="Arial" w:hAnsi="Arial" w:cs="Arial"/>
                <w:color w:val="000000"/>
                <w:sz w:val="20"/>
                <w:szCs w:val="20"/>
              </w:rPr>
              <w:t>C</w:t>
            </w:r>
            <w:r w:rsidRPr="00DE3FDF">
              <w:rPr>
                <w:rFonts w:ascii="Arial" w:hAnsi="Arial" w:cs="Arial"/>
                <w:color w:val="000000"/>
                <w:sz w:val="20"/>
                <w:szCs w:val="20"/>
              </w:rPr>
              <w:t>ommittee</w:t>
            </w:r>
            <w:r w:rsidRPr="00451012">
              <w:rPr>
                <w:rFonts w:ascii="Arial" w:hAnsi="Arial"/>
                <w:color w:val="000000"/>
                <w:sz w:val="20"/>
              </w:rPr>
              <w:t xml:space="preserve"> Advisory bodies</w:t>
            </w:r>
            <w:r w:rsidR="006D07A7" w:rsidRPr="00451012">
              <w:rPr>
                <w:rFonts w:ascii="Arial" w:hAnsi="Arial"/>
                <w:color w:val="000000"/>
                <w:sz w:val="20"/>
              </w:rPr>
              <w:t xml:space="preserve"> (as required by the World Heritage Committee’s 2018 Decision 42 COM 7B.61)</w:t>
            </w:r>
            <w:r w:rsidRPr="00451012">
              <w:rPr>
                <w:rFonts w:ascii="Arial" w:hAnsi="Arial"/>
                <w:color w:val="000000"/>
                <w:sz w:val="20"/>
              </w:rPr>
              <w:t xml:space="preserve"> in March 2020.</w:t>
            </w:r>
          </w:p>
          <w:p w14:paraId="49546296" w14:textId="612DE43E" w:rsidR="008477A0" w:rsidRPr="00D52FB7" w:rsidRDefault="008477A0" w:rsidP="009C66AD">
            <w:pPr>
              <w:pStyle w:val="NormalWeb"/>
              <w:spacing w:before="170" w:after="0" w:line="0" w:lineRule="atLeast"/>
              <w:ind w:left="63"/>
              <w:rPr>
                <w:rFonts w:ascii="Arial" w:hAnsi="Arial" w:cs="Arial"/>
                <w:color w:val="000000"/>
                <w:sz w:val="20"/>
                <w:szCs w:val="20"/>
              </w:rPr>
            </w:pPr>
            <w:r w:rsidRPr="00841F07">
              <w:rPr>
                <w:rFonts w:ascii="Arial" w:hAnsi="Arial" w:cs="Arial"/>
                <w:color w:val="000000"/>
                <w:sz w:val="20"/>
                <w:szCs w:val="20"/>
              </w:rPr>
              <w:t xml:space="preserve">Further information is available </w:t>
            </w:r>
            <w:r w:rsidRPr="00B3473E">
              <w:rPr>
                <w:rFonts w:ascii="Arial" w:hAnsi="Arial" w:cs="Arial"/>
                <w:b/>
                <w:color w:val="000000"/>
                <w:sz w:val="20"/>
                <w:szCs w:val="20"/>
              </w:rPr>
              <w:t xml:space="preserve">in </w:t>
            </w:r>
            <w:r w:rsidR="004A1E23" w:rsidRPr="00B3473E">
              <w:rPr>
                <w:rFonts w:ascii="Arial" w:hAnsi="Arial" w:cs="Arial"/>
                <w:b/>
                <w:color w:val="000000"/>
                <w:sz w:val="20"/>
                <w:szCs w:val="20"/>
              </w:rPr>
              <w:t xml:space="preserve">Section </w:t>
            </w:r>
            <w:r w:rsidRPr="00B3473E">
              <w:rPr>
                <w:rFonts w:ascii="Arial" w:hAnsi="Arial" w:cs="Arial"/>
                <w:b/>
                <w:color w:val="000000"/>
                <w:sz w:val="20"/>
                <w:szCs w:val="20"/>
              </w:rPr>
              <w:t>2.1.3</w:t>
            </w:r>
            <w:r w:rsidR="004A1E23">
              <w:rPr>
                <w:rFonts w:ascii="Arial" w:hAnsi="Arial" w:cs="Arial"/>
                <w:color w:val="000000"/>
                <w:sz w:val="20"/>
                <w:szCs w:val="20"/>
              </w:rPr>
              <w:t xml:space="preserve"> above</w:t>
            </w:r>
            <w:r w:rsidRPr="00841F07">
              <w:rPr>
                <w:rFonts w:ascii="Arial" w:hAnsi="Arial" w:cs="Arial"/>
                <w:color w:val="000000"/>
                <w:sz w:val="20"/>
                <w:szCs w:val="20"/>
              </w:rPr>
              <w:t>.</w:t>
            </w:r>
          </w:p>
        </w:tc>
      </w:tr>
      <w:tr w:rsidR="008477A0" w:rsidRPr="00CE040A" w14:paraId="1EE775D3" w14:textId="77777777" w:rsidTr="000858E9">
        <w:trPr>
          <w:cantSplit/>
          <w:trHeight w:val="851"/>
        </w:trPr>
        <w:tc>
          <w:tcPr>
            <w:tcW w:w="635" w:type="dxa"/>
            <w:hideMark/>
          </w:tcPr>
          <w:p w14:paraId="32D9C65D" w14:textId="1089FB60" w:rsidR="008477A0" w:rsidRPr="00D52FB7" w:rsidRDefault="008477A0"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lastRenderedPageBreak/>
              <w:t xml:space="preserve"> 8</w:t>
            </w:r>
          </w:p>
        </w:tc>
        <w:tc>
          <w:tcPr>
            <w:tcW w:w="3220" w:type="dxa"/>
            <w:hideMark/>
          </w:tcPr>
          <w:p w14:paraId="679BA424" w14:textId="77777777" w:rsidR="008477A0" w:rsidRPr="00D52FB7" w:rsidRDefault="008477A0" w:rsidP="004F5630">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The term “wilderness” should be retained in the property name, while future dual naming is strongly encouraged to reflect both the Aboriginal heritage and the relationship of the Tasmanian Aboriginal Community with the property. </w:t>
            </w:r>
          </w:p>
        </w:tc>
        <w:tc>
          <w:tcPr>
            <w:tcW w:w="6205" w:type="dxa"/>
          </w:tcPr>
          <w:p w14:paraId="3D244FD0" w14:textId="27C14690" w:rsidR="006D07A7" w:rsidRDefault="006D07A7" w:rsidP="004F5630">
            <w:pPr>
              <w:pStyle w:val="NormalWeb"/>
              <w:spacing w:before="170" w:after="0" w:line="0" w:lineRule="atLeast"/>
              <w:ind w:left="63"/>
              <w:rPr>
                <w:rFonts w:ascii="Arial" w:hAnsi="Arial" w:cs="Arial"/>
                <w:color w:val="000000"/>
                <w:sz w:val="20"/>
                <w:szCs w:val="20"/>
              </w:rPr>
            </w:pPr>
            <w:r>
              <w:rPr>
                <w:rFonts w:ascii="Arial" w:hAnsi="Arial" w:cs="Arial"/>
                <w:color w:val="000000"/>
                <w:sz w:val="20"/>
                <w:szCs w:val="20"/>
              </w:rPr>
              <w:t>IN PROGRESS</w:t>
            </w:r>
          </w:p>
          <w:p w14:paraId="65FBDC62" w14:textId="77777777" w:rsidR="008477A0" w:rsidRPr="00D52FB7" w:rsidRDefault="008477A0" w:rsidP="004F5630">
            <w:pPr>
              <w:pStyle w:val="NormalWeb"/>
              <w:spacing w:before="170" w:after="0" w:line="0" w:lineRule="atLeast"/>
              <w:ind w:left="63"/>
              <w:rPr>
                <w:rFonts w:ascii="Arial" w:hAnsi="Arial" w:cs="Arial"/>
                <w:color w:val="000000"/>
                <w:sz w:val="20"/>
                <w:szCs w:val="20"/>
              </w:rPr>
            </w:pPr>
            <w:r w:rsidRPr="00AE7319">
              <w:rPr>
                <w:rFonts w:ascii="Arial" w:hAnsi="Arial" w:cs="Arial"/>
                <w:color w:val="000000"/>
                <w:sz w:val="20"/>
                <w:szCs w:val="20"/>
              </w:rPr>
              <w:t>The property’s name will remain the “Tasmanian Wilderness World Heritage Area”.</w:t>
            </w:r>
          </w:p>
          <w:p w14:paraId="0A428076" w14:textId="3CB2526A" w:rsidR="008477A0" w:rsidRDefault="008477A0" w:rsidP="004F5630">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The 2016 Management Plan includes </w:t>
            </w:r>
            <w:r w:rsidRPr="00AE48F2">
              <w:rPr>
                <w:rFonts w:ascii="Arial" w:hAnsi="Arial" w:cs="Arial"/>
                <w:color w:val="000000"/>
                <w:sz w:val="20"/>
                <w:szCs w:val="20"/>
              </w:rPr>
              <w:t xml:space="preserve">a management action </w:t>
            </w:r>
            <w:r>
              <w:rPr>
                <w:rFonts w:ascii="Arial" w:hAnsi="Arial" w:cs="Arial"/>
                <w:color w:val="000000"/>
                <w:sz w:val="20"/>
                <w:szCs w:val="20"/>
              </w:rPr>
              <w:t>(</w:t>
            </w:r>
            <w:r w:rsidR="002F0BC3">
              <w:rPr>
                <w:rFonts w:ascii="Arial" w:hAnsi="Arial" w:cs="Arial"/>
                <w:color w:val="000000"/>
                <w:sz w:val="20"/>
                <w:szCs w:val="20"/>
              </w:rPr>
              <w:t>s</w:t>
            </w:r>
            <w:r w:rsidRPr="00AE48F2">
              <w:rPr>
                <w:rFonts w:ascii="Arial" w:hAnsi="Arial" w:cs="Arial"/>
                <w:color w:val="000000"/>
                <w:sz w:val="20"/>
                <w:szCs w:val="20"/>
              </w:rPr>
              <w:t>ection 4.6</w:t>
            </w:r>
            <w:r>
              <w:rPr>
                <w:rFonts w:ascii="Arial" w:hAnsi="Arial" w:cs="Arial"/>
                <w:color w:val="000000"/>
                <w:sz w:val="20"/>
                <w:szCs w:val="20"/>
              </w:rPr>
              <w:t>)</w:t>
            </w:r>
            <w:r w:rsidRPr="00AE48F2">
              <w:rPr>
                <w:rFonts w:ascii="Arial" w:hAnsi="Arial" w:cs="Arial"/>
                <w:color w:val="000000"/>
                <w:sz w:val="20"/>
                <w:szCs w:val="20"/>
              </w:rPr>
              <w:t xml:space="preserve"> to follow the protocols of the Tasmanian Government’s Aboriginal and Dual Naming Policy and request a dual name for the property to reflect its Aboriginal heritage, and the relationship of the Tasmanian Aboriginal people to the area. This name will complement the existing recognition of its wilderness values.</w:t>
            </w:r>
          </w:p>
          <w:p w14:paraId="3446E5B7" w14:textId="75A2A333" w:rsidR="008477A0" w:rsidRPr="00D52FB7" w:rsidRDefault="008477A0" w:rsidP="009C66AD">
            <w:pPr>
              <w:pStyle w:val="NormalWeb"/>
              <w:spacing w:before="170" w:after="0" w:line="0" w:lineRule="atLeast"/>
              <w:ind w:left="63"/>
              <w:rPr>
                <w:rFonts w:ascii="Arial" w:hAnsi="Arial" w:cs="Arial"/>
                <w:color w:val="000000"/>
                <w:sz w:val="20"/>
                <w:szCs w:val="20"/>
              </w:rPr>
            </w:pPr>
            <w:r w:rsidRPr="008D1976">
              <w:rPr>
                <w:rFonts w:ascii="Arial" w:hAnsi="Arial" w:cs="Arial"/>
                <w:color w:val="000000"/>
                <w:sz w:val="20"/>
                <w:szCs w:val="20"/>
              </w:rPr>
              <w:t>Further information is available</w:t>
            </w:r>
            <w:r w:rsidRPr="006D07A7">
              <w:rPr>
                <w:rFonts w:ascii="Arial" w:hAnsi="Arial" w:cs="Arial"/>
                <w:color w:val="000000"/>
                <w:sz w:val="20"/>
                <w:szCs w:val="20"/>
              </w:rPr>
              <w:t xml:space="preserve"> in</w:t>
            </w:r>
            <w:r w:rsidRPr="00B3473E">
              <w:rPr>
                <w:rFonts w:ascii="Arial" w:hAnsi="Arial" w:cs="Arial"/>
                <w:b/>
                <w:color w:val="000000"/>
                <w:sz w:val="20"/>
                <w:szCs w:val="20"/>
              </w:rPr>
              <w:t xml:space="preserve"> </w:t>
            </w:r>
            <w:r w:rsidR="004A1E23" w:rsidRPr="00B3473E">
              <w:rPr>
                <w:rFonts w:ascii="Arial" w:hAnsi="Arial" w:cs="Arial"/>
                <w:b/>
                <w:color w:val="000000"/>
                <w:sz w:val="20"/>
                <w:szCs w:val="20"/>
              </w:rPr>
              <w:t>S</w:t>
            </w:r>
            <w:r w:rsidRPr="00B3473E">
              <w:rPr>
                <w:rFonts w:ascii="Arial" w:hAnsi="Arial" w:cs="Arial"/>
                <w:b/>
                <w:color w:val="000000"/>
                <w:sz w:val="20"/>
                <w:szCs w:val="20"/>
              </w:rPr>
              <w:t>ection 2.2.1</w:t>
            </w:r>
            <w:r w:rsidR="004A1E23">
              <w:rPr>
                <w:rFonts w:ascii="Arial" w:hAnsi="Arial" w:cs="Arial"/>
                <w:color w:val="000000"/>
                <w:sz w:val="20"/>
                <w:szCs w:val="20"/>
              </w:rPr>
              <w:t xml:space="preserve"> above.</w:t>
            </w:r>
            <w:r w:rsidRPr="00D52FB7">
              <w:rPr>
                <w:rFonts w:ascii="Arial" w:hAnsi="Arial" w:cs="Arial"/>
                <w:color w:val="000000"/>
                <w:sz w:val="20"/>
                <w:szCs w:val="20"/>
              </w:rPr>
              <w:t xml:space="preserve"> </w:t>
            </w:r>
          </w:p>
        </w:tc>
      </w:tr>
      <w:tr w:rsidR="008477A0" w:rsidRPr="00CE040A" w14:paraId="7748EAD7" w14:textId="77777777" w:rsidTr="000858E9">
        <w:trPr>
          <w:cantSplit/>
          <w:trHeight w:val="851"/>
        </w:trPr>
        <w:tc>
          <w:tcPr>
            <w:tcW w:w="635" w:type="dxa"/>
            <w:hideMark/>
          </w:tcPr>
          <w:p w14:paraId="309FD90C" w14:textId="68420651" w:rsidR="008477A0" w:rsidRPr="00D52FB7" w:rsidRDefault="008477A0"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9</w:t>
            </w:r>
          </w:p>
        </w:tc>
        <w:tc>
          <w:tcPr>
            <w:tcW w:w="3220" w:type="dxa"/>
            <w:hideMark/>
          </w:tcPr>
          <w:p w14:paraId="7F568071" w14:textId="64C7334C" w:rsidR="008477A0" w:rsidRPr="00D52FB7" w:rsidRDefault="008477A0" w:rsidP="005E2F7D">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The “Wilderness Zone”, as currently used and interpreted, should be retained in the zonation of the </w:t>
            </w:r>
            <w:r w:rsidR="00082F78">
              <w:rPr>
                <w:rFonts w:ascii="Arial" w:hAnsi="Arial" w:cs="Arial"/>
                <w:color w:val="000000"/>
                <w:sz w:val="20"/>
                <w:szCs w:val="20"/>
              </w:rPr>
              <w:t>Tasmanian Wilderness World Heritage Area</w:t>
            </w:r>
            <w:r w:rsidRPr="00D52FB7">
              <w:rPr>
                <w:rFonts w:ascii="Arial" w:hAnsi="Arial" w:cs="Arial"/>
                <w:color w:val="000000"/>
                <w:sz w:val="20"/>
                <w:szCs w:val="20"/>
              </w:rPr>
              <w:t>, while explicitly providing for Aboriginal access for cultural practices as an integral part of the management of the zone.</w:t>
            </w:r>
          </w:p>
        </w:tc>
        <w:tc>
          <w:tcPr>
            <w:tcW w:w="6205" w:type="dxa"/>
          </w:tcPr>
          <w:p w14:paraId="36D05F5F" w14:textId="5B81145D" w:rsidR="006D07A7" w:rsidRDefault="006D07A7" w:rsidP="005E2F7D">
            <w:pPr>
              <w:pStyle w:val="NormalWeb"/>
              <w:spacing w:before="170" w:after="0" w:line="0" w:lineRule="atLeast"/>
              <w:ind w:left="63"/>
              <w:rPr>
                <w:rFonts w:ascii="Arial" w:hAnsi="Arial" w:cs="Arial"/>
                <w:color w:val="000000"/>
                <w:sz w:val="20"/>
                <w:szCs w:val="20"/>
              </w:rPr>
            </w:pPr>
            <w:r>
              <w:rPr>
                <w:rFonts w:ascii="Arial" w:hAnsi="Arial" w:cs="Arial"/>
                <w:color w:val="000000"/>
                <w:sz w:val="20"/>
                <w:szCs w:val="20"/>
              </w:rPr>
              <w:t>IMPLEMENTED</w:t>
            </w:r>
          </w:p>
          <w:p w14:paraId="2C8A0B0A" w14:textId="349999F6" w:rsidR="008477A0" w:rsidRPr="00D52FB7" w:rsidRDefault="008477A0" w:rsidP="005E2F7D">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The 2016 Management Plan includes over 80 per cent of the </w:t>
            </w:r>
            <w:r w:rsidR="006D07A7" w:rsidRPr="006D07A7">
              <w:rPr>
                <w:rFonts w:ascii="Arial" w:hAnsi="Arial" w:cs="Arial"/>
                <w:color w:val="000000"/>
                <w:sz w:val="20"/>
                <w:szCs w:val="20"/>
              </w:rPr>
              <w:t>Tasmanian Wilderness World Heritage Area</w:t>
            </w:r>
            <w:r w:rsidRPr="00D52FB7">
              <w:rPr>
                <w:rFonts w:ascii="Arial" w:hAnsi="Arial" w:cs="Arial"/>
                <w:color w:val="000000"/>
                <w:sz w:val="20"/>
                <w:szCs w:val="20"/>
              </w:rPr>
              <w:t xml:space="preserve"> in the ‘wilderness zone’. This</w:t>
            </w:r>
            <w:r>
              <w:rPr>
                <w:rFonts w:ascii="Arial" w:hAnsi="Arial" w:cs="Arial"/>
                <w:color w:val="000000"/>
                <w:sz w:val="20"/>
                <w:szCs w:val="20"/>
              </w:rPr>
              <w:t xml:space="preserve"> includes an increase of over 78,000 hectares of Wilderness zone since the 1999 Management </w:t>
            </w:r>
            <w:r w:rsidR="009C66AD">
              <w:rPr>
                <w:rFonts w:ascii="Arial" w:hAnsi="Arial" w:cs="Arial"/>
                <w:color w:val="000000"/>
                <w:sz w:val="20"/>
                <w:szCs w:val="20"/>
              </w:rPr>
              <w:t>P</w:t>
            </w:r>
            <w:r>
              <w:rPr>
                <w:rFonts w:ascii="Arial" w:hAnsi="Arial" w:cs="Arial"/>
                <w:color w:val="000000"/>
                <w:sz w:val="20"/>
                <w:szCs w:val="20"/>
              </w:rPr>
              <w:t xml:space="preserve">lan. </w:t>
            </w:r>
            <w:r w:rsidRPr="00D52FB7">
              <w:rPr>
                <w:rFonts w:ascii="Arial" w:hAnsi="Arial" w:cs="Arial"/>
                <w:color w:val="000000"/>
                <w:sz w:val="20"/>
                <w:szCs w:val="20"/>
              </w:rPr>
              <w:t>It includes large expanses with high wilderness value</w:t>
            </w:r>
            <w:r w:rsidRPr="00741CE9">
              <w:rPr>
                <w:rFonts w:ascii="Arial" w:hAnsi="Arial" w:cs="Arial"/>
                <w:color w:val="000000"/>
                <w:sz w:val="20"/>
                <w:szCs w:val="20"/>
              </w:rPr>
              <w:t xml:space="preserve">. </w:t>
            </w:r>
            <w:r w:rsidRPr="00A67789">
              <w:rPr>
                <w:rFonts w:ascii="Arial" w:hAnsi="Arial" w:cs="Arial"/>
                <w:color w:val="000000"/>
                <w:sz w:val="20"/>
                <w:szCs w:val="20"/>
              </w:rPr>
              <w:t>Some areas previously zoned as ‘</w:t>
            </w:r>
            <w:proofErr w:type="gramStart"/>
            <w:r w:rsidRPr="00A67789">
              <w:rPr>
                <w:rFonts w:ascii="Arial" w:hAnsi="Arial" w:cs="Arial"/>
                <w:color w:val="000000"/>
                <w:sz w:val="20"/>
                <w:szCs w:val="20"/>
              </w:rPr>
              <w:t>wilderness’</w:t>
            </w:r>
            <w:proofErr w:type="gramEnd"/>
            <w:r w:rsidRPr="00A67789">
              <w:rPr>
                <w:rFonts w:ascii="Arial" w:hAnsi="Arial" w:cs="Arial"/>
                <w:color w:val="000000"/>
                <w:sz w:val="20"/>
                <w:szCs w:val="20"/>
              </w:rPr>
              <w:t xml:space="preserve"> have been rezoned as ‘self-</w:t>
            </w:r>
            <w:r w:rsidR="000858E9" w:rsidRPr="00A67789">
              <w:rPr>
                <w:rFonts w:ascii="Arial" w:hAnsi="Arial" w:cs="Arial"/>
                <w:color w:val="000000"/>
                <w:sz w:val="20"/>
                <w:szCs w:val="20"/>
              </w:rPr>
              <w:t>reliant recreation</w:t>
            </w:r>
            <w:r w:rsidRPr="00A67789">
              <w:rPr>
                <w:rFonts w:ascii="Arial" w:hAnsi="Arial" w:cs="Arial"/>
                <w:color w:val="000000"/>
                <w:sz w:val="20"/>
                <w:szCs w:val="20"/>
              </w:rPr>
              <w:t xml:space="preserve">’ to allow for appropriate tourism opportunities. </w:t>
            </w:r>
            <w:r w:rsidRPr="009F0364">
              <w:rPr>
                <w:rFonts w:ascii="Arial" w:hAnsi="Arial" w:cs="Arial"/>
                <w:color w:val="000000"/>
                <w:sz w:val="20"/>
                <w:szCs w:val="20"/>
              </w:rPr>
              <w:t>Significant rock markings have been identified within these areas so potential impacts from recreational and</w:t>
            </w:r>
            <w:r w:rsidR="00242AA2">
              <w:rPr>
                <w:rFonts w:ascii="Arial" w:hAnsi="Arial" w:cs="Arial"/>
                <w:color w:val="000000"/>
                <w:sz w:val="20"/>
                <w:szCs w:val="20"/>
              </w:rPr>
              <w:t>/</w:t>
            </w:r>
            <w:r w:rsidRPr="009F0364">
              <w:rPr>
                <w:rFonts w:ascii="Arial" w:hAnsi="Arial" w:cs="Arial"/>
                <w:color w:val="000000"/>
                <w:sz w:val="20"/>
                <w:szCs w:val="20"/>
              </w:rPr>
              <w:t>or commercial operations in these areas will need to be considered.</w:t>
            </w:r>
          </w:p>
          <w:p w14:paraId="47F9371A" w14:textId="2454F554" w:rsidR="00AA3004" w:rsidRDefault="008477A0" w:rsidP="005E2F7D">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The use of land zoned as wilderness zone in the 2016 Management Plan is consistent with the 1999 Management Plan</w:t>
            </w:r>
            <w:r w:rsidR="00242AA2">
              <w:rPr>
                <w:rFonts w:ascii="Arial" w:hAnsi="Arial" w:cs="Arial"/>
                <w:color w:val="000000"/>
                <w:sz w:val="20"/>
                <w:szCs w:val="20"/>
              </w:rPr>
              <w:t>,</w:t>
            </w:r>
            <w:r w:rsidRPr="00D52FB7">
              <w:rPr>
                <w:rFonts w:ascii="Arial" w:hAnsi="Arial" w:cs="Arial"/>
                <w:color w:val="000000"/>
                <w:sz w:val="20"/>
                <w:szCs w:val="20"/>
              </w:rPr>
              <w:t xml:space="preserve"> with minor exceptions. Special events and construction of new tracks for environmental/management purposes may be permitted under the 2016 Management Plan.</w:t>
            </w:r>
            <w:r>
              <w:rPr>
                <w:rFonts w:ascii="Arial" w:hAnsi="Arial" w:cs="Arial"/>
                <w:color w:val="000000"/>
                <w:sz w:val="20"/>
                <w:szCs w:val="20"/>
              </w:rPr>
              <w:t xml:space="preserve"> Aboriginal cultural values will need to be considered when planning new tracks.</w:t>
            </w:r>
          </w:p>
          <w:p w14:paraId="0F09ADDC" w14:textId="3F81EFDA" w:rsidR="008477A0" w:rsidRPr="00D52FB7" w:rsidRDefault="008477A0" w:rsidP="005E2F7D">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A key outcome of the 2016 Management Plan is that activities in the </w:t>
            </w:r>
            <w:r w:rsidR="0086117C" w:rsidRPr="0086117C">
              <w:rPr>
                <w:rFonts w:ascii="Arial" w:hAnsi="Arial" w:cs="Arial"/>
                <w:color w:val="000000"/>
                <w:sz w:val="20"/>
                <w:szCs w:val="20"/>
              </w:rPr>
              <w:t>Tasmanian Wilderness World Heritage Area</w:t>
            </w:r>
            <w:r w:rsidRPr="00D52FB7">
              <w:rPr>
                <w:rFonts w:ascii="Arial" w:hAnsi="Arial" w:cs="Arial"/>
                <w:color w:val="000000"/>
                <w:sz w:val="20"/>
                <w:szCs w:val="20"/>
              </w:rPr>
              <w:t xml:space="preserve"> must be managed in a way that protects the property’s wilderness value. Impacts on wilderness</w:t>
            </w:r>
            <w:r w:rsidRPr="00CE040A">
              <w:rPr>
                <w:rFonts w:ascii="Arial" w:hAnsi="Arial" w:cs="Arial"/>
                <w:color w:val="000000"/>
                <w:sz w:val="20"/>
                <w:szCs w:val="20"/>
              </w:rPr>
              <w:t xml:space="preserve"> </w:t>
            </w:r>
            <w:r w:rsidRPr="00D52FB7">
              <w:rPr>
                <w:rFonts w:ascii="Arial" w:hAnsi="Arial" w:cs="Arial"/>
                <w:color w:val="000000"/>
                <w:sz w:val="20"/>
                <w:szCs w:val="20"/>
              </w:rPr>
              <w:t xml:space="preserve">value must be considered in assessment of any proposed activity within the </w:t>
            </w:r>
            <w:r w:rsidR="0086117C" w:rsidRPr="0086117C">
              <w:rPr>
                <w:rFonts w:ascii="Arial" w:hAnsi="Arial" w:cs="Arial"/>
                <w:color w:val="000000"/>
                <w:sz w:val="20"/>
                <w:szCs w:val="20"/>
              </w:rPr>
              <w:t>Tasmanian Wilderness World Heritage Area</w:t>
            </w:r>
            <w:r w:rsidRPr="00D52FB7">
              <w:rPr>
                <w:rFonts w:ascii="Arial" w:hAnsi="Arial" w:cs="Arial"/>
                <w:color w:val="000000"/>
                <w:sz w:val="20"/>
                <w:szCs w:val="20"/>
              </w:rPr>
              <w:t xml:space="preserve"> (section 8.2).</w:t>
            </w:r>
          </w:p>
          <w:p w14:paraId="015F9230" w14:textId="569503EE" w:rsidR="008477A0" w:rsidRPr="00D52FB7" w:rsidRDefault="008477A0" w:rsidP="005E2F7D">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The </w:t>
            </w:r>
            <w:r w:rsidR="004A1E23" w:rsidRPr="004A1E23">
              <w:rPr>
                <w:rFonts w:ascii="Arial" w:hAnsi="Arial" w:cs="Arial"/>
                <w:color w:val="000000"/>
                <w:sz w:val="20"/>
                <w:szCs w:val="20"/>
              </w:rPr>
              <w:t xml:space="preserve">2016 Management Plan </w:t>
            </w:r>
            <w:r w:rsidRPr="00D52FB7">
              <w:rPr>
                <w:rFonts w:ascii="Arial" w:hAnsi="Arial" w:cs="Arial"/>
                <w:color w:val="000000"/>
                <w:sz w:val="20"/>
                <w:szCs w:val="20"/>
              </w:rPr>
              <w:t>confirms that continuing cultural practice in the wilderness zone is a fundamental part of its management (section 3.1.1.4).</w:t>
            </w:r>
          </w:p>
          <w:p w14:paraId="4A77F6EE" w14:textId="560CE566" w:rsidR="008477A0" w:rsidRPr="00D52FB7" w:rsidRDefault="008477A0" w:rsidP="005E2F7D">
            <w:pPr>
              <w:pStyle w:val="NormalWeb"/>
              <w:spacing w:before="170" w:after="0" w:line="0" w:lineRule="atLeast"/>
              <w:ind w:left="63"/>
              <w:rPr>
                <w:rFonts w:ascii="Arial" w:hAnsi="Arial" w:cs="Arial"/>
                <w:color w:val="000000"/>
                <w:sz w:val="20"/>
                <w:szCs w:val="20"/>
              </w:rPr>
            </w:pPr>
            <w:r w:rsidRPr="004A1E23">
              <w:rPr>
                <w:rFonts w:ascii="Arial" w:hAnsi="Arial" w:cs="Arial"/>
                <w:color w:val="000000"/>
                <w:sz w:val="20"/>
                <w:szCs w:val="20"/>
              </w:rPr>
              <w:t xml:space="preserve">Work has commenced on the development and implementation of a policy and process that allows Aboriginal people access to, and use of, animal, plant and other material from the property for cultural purposes. The implementation of this policy and process is a requirement of the </w:t>
            </w:r>
            <w:r w:rsidR="00516602" w:rsidRPr="004A1E23">
              <w:rPr>
                <w:rFonts w:ascii="Arial" w:hAnsi="Arial" w:cs="Arial"/>
                <w:color w:val="000000"/>
                <w:sz w:val="20"/>
                <w:szCs w:val="20"/>
              </w:rPr>
              <w:t>2016 Management Plan</w:t>
            </w:r>
            <w:r w:rsidRPr="004A1E23">
              <w:rPr>
                <w:rFonts w:ascii="Arial" w:hAnsi="Arial" w:cs="Arial"/>
                <w:color w:val="000000"/>
                <w:sz w:val="20"/>
                <w:szCs w:val="20"/>
              </w:rPr>
              <w:t xml:space="preserve"> (section 4.5).</w:t>
            </w:r>
          </w:p>
        </w:tc>
      </w:tr>
      <w:tr w:rsidR="008477A0" w:rsidRPr="00CE040A" w14:paraId="6E632D40" w14:textId="77777777" w:rsidTr="000858E9">
        <w:trPr>
          <w:cantSplit/>
          <w:trHeight w:val="851"/>
        </w:trPr>
        <w:tc>
          <w:tcPr>
            <w:tcW w:w="635" w:type="dxa"/>
            <w:hideMark/>
          </w:tcPr>
          <w:p w14:paraId="4366325E" w14:textId="17EBCA1B" w:rsidR="008477A0" w:rsidRPr="00D52FB7" w:rsidRDefault="008477A0" w:rsidP="00185AB3">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lastRenderedPageBreak/>
              <w:t xml:space="preserve"> 10</w:t>
            </w:r>
          </w:p>
        </w:tc>
        <w:tc>
          <w:tcPr>
            <w:tcW w:w="3220" w:type="dxa"/>
            <w:hideMark/>
          </w:tcPr>
          <w:p w14:paraId="42A70828" w14:textId="1AE3B543" w:rsidR="008477A0" w:rsidRPr="00D52FB7" w:rsidRDefault="008477A0" w:rsidP="005E2F7D">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All land in the property should be managed in a way that is consistent with World Heritage status, and the recommended means to ensure such a consistent approach is to grant reserve status wherever possible. As long as there will be areas within the </w:t>
            </w:r>
            <w:r w:rsidR="0086117C" w:rsidRPr="0086117C">
              <w:rPr>
                <w:rFonts w:ascii="Arial" w:hAnsi="Arial" w:cs="Arial"/>
                <w:color w:val="000000"/>
                <w:sz w:val="20"/>
                <w:szCs w:val="20"/>
              </w:rPr>
              <w:t>Tasmanian Wilderness World Heritage Area</w:t>
            </w:r>
            <w:r w:rsidRPr="00D52FB7">
              <w:rPr>
                <w:rFonts w:ascii="Arial" w:hAnsi="Arial" w:cs="Arial"/>
                <w:color w:val="000000"/>
                <w:sz w:val="20"/>
                <w:szCs w:val="20"/>
              </w:rPr>
              <w:t xml:space="preserve"> not subject to Management Plans, adequate management of the property in its entirety should be ensured by an overarching Strategic Management Statement in line with obligations under the EPBC Act. </w:t>
            </w:r>
          </w:p>
        </w:tc>
        <w:tc>
          <w:tcPr>
            <w:tcW w:w="6205" w:type="dxa"/>
          </w:tcPr>
          <w:p w14:paraId="3428FA00" w14:textId="771A57C6" w:rsidR="0086117C" w:rsidRDefault="0086117C" w:rsidP="005E2F7D">
            <w:pPr>
              <w:pStyle w:val="NormalWeb"/>
              <w:spacing w:before="170" w:after="0" w:line="0" w:lineRule="atLeast"/>
              <w:ind w:left="63"/>
              <w:rPr>
                <w:rFonts w:ascii="Arial" w:hAnsi="Arial" w:cs="Arial"/>
                <w:color w:val="000000"/>
                <w:sz w:val="20"/>
                <w:szCs w:val="20"/>
              </w:rPr>
            </w:pPr>
            <w:r>
              <w:rPr>
                <w:rFonts w:ascii="Arial" w:hAnsi="Arial" w:cs="Arial"/>
                <w:color w:val="000000"/>
                <w:sz w:val="20"/>
                <w:szCs w:val="20"/>
              </w:rPr>
              <w:t>IMPLEMENTED</w:t>
            </w:r>
          </w:p>
          <w:p w14:paraId="1F18E0D7" w14:textId="230B9C2E" w:rsidR="00AA3004" w:rsidRPr="00AA3004" w:rsidRDefault="00AA3004" w:rsidP="005E2F7D">
            <w:pPr>
              <w:pStyle w:val="NormalWeb"/>
              <w:spacing w:before="170" w:after="0" w:line="0" w:lineRule="atLeast"/>
              <w:ind w:left="63"/>
              <w:rPr>
                <w:rFonts w:ascii="Arial" w:hAnsi="Arial" w:cs="Arial"/>
                <w:color w:val="000000"/>
                <w:sz w:val="20"/>
                <w:szCs w:val="20"/>
              </w:rPr>
            </w:pPr>
            <w:r w:rsidRPr="00AA3004">
              <w:rPr>
                <w:rFonts w:ascii="Arial" w:hAnsi="Arial" w:cs="Arial"/>
                <w:color w:val="000000"/>
                <w:sz w:val="20"/>
                <w:szCs w:val="20"/>
              </w:rPr>
              <w:t>The 2016 Management Plan applies to approximately 97 per cent of the property.</w:t>
            </w:r>
          </w:p>
          <w:p w14:paraId="18765FD1" w14:textId="04C97405" w:rsidR="00AA3004" w:rsidRPr="00AA3004" w:rsidRDefault="00AA3004" w:rsidP="005E2F7D">
            <w:pPr>
              <w:pStyle w:val="NormalWeb"/>
              <w:spacing w:before="170" w:after="0" w:line="0" w:lineRule="atLeast"/>
              <w:ind w:left="63"/>
              <w:rPr>
                <w:rFonts w:ascii="Arial" w:hAnsi="Arial" w:cs="Arial"/>
                <w:color w:val="000000"/>
                <w:sz w:val="20"/>
                <w:szCs w:val="20"/>
              </w:rPr>
            </w:pPr>
            <w:r w:rsidRPr="00AA3004">
              <w:rPr>
                <w:rFonts w:ascii="Arial" w:hAnsi="Arial" w:cs="Arial"/>
                <w:color w:val="000000"/>
                <w:sz w:val="20"/>
                <w:szCs w:val="20"/>
              </w:rPr>
              <w:t>The Strategic Management Statement</w:t>
            </w:r>
            <w:r>
              <w:rPr>
                <w:rFonts w:ascii="Arial" w:hAnsi="Arial" w:cs="Arial"/>
                <w:color w:val="000000"/>
                <w:sz w:val="20"/>
                <w:szCs w:val="20"/>
              </w:rPr>
              <w:t xml:space="preserve"> (attached to the </w:t>
            </w:r>
            <w:r w:rsidRPr="00AA3004">
              <w:rPr>
                <w:rFonts w:ascii="Arial" w:hAnsi="Arial" w:cs="Arial"/>
                <w:color w:val="000000"/>
                <w:sz w:val="20"/>
                <w:szCs w:val="20"/>
              </w:rPr>
              <w:t>2016 Management Plan</w:t>
            </w:r>
            <w:r>
              <w:rPr>
                <w:rFonts w:ascii="Arial" w:hAnsi="Arial" w:cs="Arial"/>
                <w:color w:val="000000"/>
                <w:sz w:val="20"/>
                <w:szCs w:val="20"/>
              </w:rPr>
              <w:t>)</w:t>
            </w:r>
            <w:r w:rsidRPr="00AA3004">
              <w:rPr>
                <w:rFonts w:ascii="Arial" w:hAnsi="Arial" w:cs="Arial"/>
                <w:color w:val="000000"/>
                <w:sz w:val="20"/>
                <w:szCs w:val="20"/>
              </w:rPr>
              <w:t xml:space="preserve"> sets out management arrangements for tenures in the property that are not subject to the management plan for legal reasons (for example, privately owned land).</w:t>
            </w:r>
          </w:p>
          <w:p w14:paraId="1A37EBF1" w14:textId="348591AB" w:rsidR="008477A0" w:rsidRPr="00D52FB7" w:rsidRDefault="00AA3004" w:rsidP="005E2F7D">
            <w:pPr>
              <w:pStyle w:val="NormalWeb"/>
              <w:spacing w:before="170" w:after="0" w:line="0" w:lineRule="atLeast"/>
              <w:ind w:left="63"/>
              <w:rPr>
                <w:rFonts w:ascii="Arial" w:hAnsi="Arial" w:cs="Arial"/>
                <w:color w:val="000000"/>
                <w:sz w:val="20"/>
                <w:szCs w:val="20"/>
              </w:rPr>
            </w:pPr>
            <w:r w:rsidRPr="00AA3004">
              <w:rPr>
                <w:rFonts w:ascii="Arial" w:hAnsi="Arial" w:cs="Arial"/>
                <w:color w:val="000000"/>
                <w:sz w:val="20"/>
                <w:szCs w:val="20"/>
              </w:rPr>
              <w:t xml:space="preserve">The Strategic Management Statement is in line with </w:t>
            </w:r>
            <w:r w:rsidR="0086117C">
              <w:rPr>
                <w:rFonts w:ascii="Arial" w:hAnsi="Arial" w:cs="Arial"/>
                <w:color w:val="000000"/>
                <w:sz w:val="20"/>
                <w:szCs w:val="20"/>
              </w:rPr>
              <w:t>the requirement</w:t>
            </w:r>
            <w:r w:rsidR="0086117C" w:rsidRPr="00AA3004">
              <w:rPr>
                <w:rFonts w:ascii="Arial" w:hAnsi="Arial" w:cs="Arial"/>
                <w:color w:val="000000"/>
                <w:sz w:val="20"/>
                <w:szCs w:val="20"/>
              </w:rPr>
              <w:t xml:space="preserve">s </w:t>
            </w:r>
            <w:r w:rsidRPr="00AA3004">
              <w:rPr>
                <w:rFonts w:ascii="Arial" w:hAnsi="Arial" w:cs="Arial"/>
                <w:color w:val="000000"/>
                <w:sz w:val="20"/>
                <w:szCs w:val="20"/>
              </w:rPr>
              <w:t>of the EPBC Act.</w:t>
            </w:r>
          </w:p>
        </w:tc>
      </w:tr>
      <w:tr w:rsidR="008477A0" w:rsidRPr="00CE040A" w14:paraId="4AEA6262" w14:textId="77777777" w:rsidTr="000858E9">
        <w:trPr>
          <w:cantSplit/>
          <w:trHeight w:val="851"/>
        </w:trPr>
        <w:tc>
          <w:tcPr>
            <w:tcW w:w="635" w:type="dxa"/>
            <w:hideMark/>
          </w:tcPr>
          <w:p w14:paraId="6DCBF2FF" w14:textId="4BB51D9D" w:rsidR="008477A0" w:rsidRPr="00D52FB7" w:rsidRDefault="008477A0"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 xml:space="preserve"> 11</w:t>
            </w:r>
          </w:p>
        </w:tc>
        <w:tc>
          <w:tcPr>
            <w:tcW w:w="3220" w:type="dxa"/>
            <w:hideMark/>
          </w:tcPr>
          <w:p w14:paraId="44361F7E" w14:textId="34FCE596" w:rsidR="008477A0" w:rsidRPr="00D52FB7" w:rsidRDefault="008477A0" w:rsidP="00D415FE">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Future Potential Production Forest Land (FPPFL) within the property should not be convertible to Permanent Timber Production Zone Land (PTPZL</w:t>
            </w:r>
            <w:r w:rsidR="00B60396" w:rsidRPr="00D52FB7">
              <w:rPr>
                <w:rFonts w:ascii="Arial" w:hAnsi="Arial" w:cs="Arial"/>
                <w:color w:val="000000"/>
                <w:sz w:val="20"/>
                <w:szCs w:val="20"/>
              </w:rPr>
              <w:t>)</w:t>
            </w:r>
            <w:r w:rsidR="00B60396">
              <w:rPr>
                <w:rFonts w:ascii="Arial" w:hAnsi="Arial" w:cs="Arial"/>
                <w:color w:val="000000"/>
                <w:sz w:val="20"/>
                <w:szCs w:val="20"/>
              </w:rPr>
              <w:t xml:space="preserve"> </w:t>
            </w:r>
            <w:r w:rsidR="00B60396" w:rsidRPr="00D52FB7">
              <w:rPr>
                <w:rFonts w:ascii="Arial" w:hAnsi="Arial" w:cs="Arial"/>
                <w:color w:val="000000"/>
                <w:sz w:val="20"/>
                <w:szCs w:val="20"/>
              </w:rPr>
              <w:t>and</w:t>
            </w:r>
            <w:r w:rsidRPr="00D52FB7">
              <w:rPr>
                <w:rFonts w:ascii="Arial" w:hAnsi="Arial" w:cs="Arial"/>
                <w:color w:val="000000"/>
                <w:sz w:val="20"/>
                <w:szCs w:val="20"/>
              </w:rPr>
              <w:t xml:space="preserve"> should be granted status as national park.</w:t>
            </w:r>
          </w:p>
        </w:tc>
        <w:tc>
          <w:tcPr>
            <w:tcW w:w="6205" w:type="dxa"/>
          </w:tcPr>
          <w:p w14:paraId="217AC5C7" w14:textId="4D9B6C4B" w:rsidR="0086117C" w:rsidRDefault="0086117C" w:rsidP="005E2F7D">
            <w:pPr>
              <w:pStyle w:val="NormalWeb"/>
              <w:spacing w:before="170" w:after="0" w:line="0" w:lineRule="atLeast"/>
              <w:ind w:left="63"/>
              <w:rPr>
                <w:rFonts w:ascii="Arial" w:hAnsi="Arial" w:cs="Arial"/>
                <w:color w:val="000000"/>
                <w:sz w:val="20"/>
                <w:szCs w:val="20"/>
              </w:rPr>
            </w:pPr>
            <w:r>
              <w:rPr>
                <w:rFonts w:ascii="Arial" w:hAnsi="Arial" w:cs="Arial"/>
                <w:color w:val="000000"/>
                <w:sz w:val="20"/>
                <w:szCs w:val="20"/>
              </w:rPr>
              <w:t xml:space="preserve">IN PROGRESS </w:t>
            </w:r>
          </w:p>
          <w:p w14:paraId="15C5909E" w14:textId="7FAC1079" w:rsidR="008477A0" w:rsidRDefault="008477A0" w:rsidP="005E2F7D">
            <w:pPr>
              <w:pStyle w:val="NormalWeb"/>
              <w:spacing w:before="170" w:after="0" w:line="0" w:lineRule="atLeast"/>
              <w:ind w:left="63"/>
              <w:rPr>
                <w:rFonts w:ascii="Arial" w:hAnsi="Arial" w:cs="Arial"/>
                <w:color w:val="000000"/>
                <w:sz w:val="20"/>
                <w:szCs w:val="20"/>
              </w:rPr>
            </w:pPr>
            <w:r w:rsidRPr="004871E6">
              <w:rPr>
                <w:rFonts w:ascii="Arial" w:hAnsi="Arial" w:cs="Arial"/>
                <w:color w:val="000000"/>
                <w:sz w:val="20"/>
                <w:szCs w:val="20"/>
              </w:rPr>
              <w:t>The Tasmanian Government is conducting a two stage process for proclamation of FPPFL and PTPZL as reserved land (</w:t>
            </w:r>
            <w:r w:rsidR="00E36AC1" w:rsidRPr="0086117C">
              <w:rPr>
                <w:rFonts w:ascii="Arial" w:hAnsi="Arial" w:cs="Arial"/>
                <w:color w:val="000000"/>
                <w:sz w:val="20"/>
                <w:szCs w:val="20"/>
              </w:rPr>
              <w:t>see</w:t>
            </w:r>
            <w:r w:rsidR="00E36AC1" w:rsidRPr="00B3473E">
              <w:rPr>
                <w:rFonts w:ascii="Arial" w:hAnsi="Arial" w:cs="Arial"/>
                <w:b/>
                <w:color w:val="000000"/>
                <w:sz w:val="20"/>
                <w:szCs w:val="20"/>
              </w:rPr>
              <w:t xml:space="preserve"> </w:t>
            </w:r>
            <w:r w:rsidRPr="00B3473E">
              <w:rPr>
                <w:rFonts w:ascii="Arial" w:hAnsi="Arial" w:cs="Arial"/>
                <w:b/>
                <w:color w:val="000000"/>
                <w:sz w:val="20"/>
                <w:szCs w:val="20"/>
              </w:rPr>
              <w:t>Section 2.1.4</w:t>
            </w:r>
            <w:r w:rsidR="00E36AC1">
              <w:rPr>
                <w:rFonts w:ascii="Arial" w:hAnsi="Arial" w:cs="Arial"/>
                <w:color w:val="000000"/>
                <w:sz w:val="20"/>
                <w:szCs w:val="20"/>
              </w:rPr>
              <w:t>, above</w:t>
            </w:r>
            <w:r w:rsidRPr="004871E6">
              <w:rPr>
                <w:rFonts w:ascii="Arial" w:hAnsi="Arial" w:cs="Arial"/>
                <w:color w:val="000000"/>
                <w:sz w:val="20"/>
                <w:szCs w:val="20"/>
              </w:rPr>
              <w:t>).</w:t>
            </w:r>
          </w:p>
          <w:p w14:paraId="1C718AE6" w14:textId="4F6BAB62" w:rsidR="008477A0" w:rsidRPr="00CE040A" w:rsidRDefault="008477A0" w:rsidP="005E2F7D">
            <w:pPr>
              <w:pStyle w:val="NormalWeb"/>
              <w:spacing w:before="170" w:after="0" w:line="0" w:lineRule="atLeast"/>
              <w:ind w:left="63"/>
              <w:rPr>
                <w:rFonts w:ascii="Arial" w:hAnsi="Arial" w:cs="Arial"/>
                <w:color w:val="000000"/>
                <w:sz w:val="20"/>
                <w:szCs w:val="20"/>
              </w:rPr>
            </w:pPr>
            <w:r w:rsidRPr="00CE040A">
              <w:rPr>
                <w:rFonts w:ascii="Arial" w:hAnsi="Arial" w:cs="Arial"/>
                <w:color w:val="000000"/>
                <w:sz w:val="20"/>
                <w:szCs w:val="20"/>
              </w:rPr>
              <w:t>The World Heritage Centre will be advised as the reservation process progresses.</w:t>
            </w:r>
          </w:p>
        </w:tc>
      </w:tr>
      <w:tr w:rsidR="008477A0" w:rsidRPr="00CE040A" w14:paraId="16C591DF" w14:textId="77777777" w:rsidTr="000858E9">
        <w:trPr>
          <w:cantSplit/>
          <w:trHeight w:val="851"/>
        </w:trPr>
        <w:tc>
          <w:tcPr>
            <w:tcW w:w="635" w:type="dxa"/>
            <w:hideMark/>
          </w:tcPr>
          <w:p w14:paraId="1CCD38B9" w14:textId="7E3DE586" w:rsidR="008477A0" w:rsidRPr="00D52FB7" w:rsidRDefault="008477A0"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12</w:t>
            </w:r>
          </w:p>
        </w:tc>
        <w:tc>
          <w:tcPr>
            <w:tcW w:w="3220" w:type="dxa"/>
            <w:hideMark/>
          </w:tcPr>
          <w:p w14:paraId="0805D2FF" w14:textId="6790B01B" w:rsidR="008477A0" w:rsidRPr="00D52FB7" w:rsidRDefault="008477A0" w:rsidP="005E2F7D">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A systematic stock-taking exercise should serve to compile all available information about cultural sites within the </w:t>
            </w:r>
            <w:r w:rsidR="0086117C" w:rsidRPr="0086117C">
              <w:rPr>
                <w:rFonts w:ascii="Arial" w:hAnsi="Arial" w:cs="Arial"/>
                <w:color w:val="000000"/>
                <w:sz w:val="20"/>
                <w:szCs w:val="20"/>
              </w:rPr>
              <w:t xml:space="preserve">Tasmanian Wilderness World Heritage Area </w:t>
            </w:r>
            <w:r w:rsidRPr="00D52FB7">
              <w:rPr>
                <w:rFonts w:ascii="Arial" w:hAnsi="Arial" w:cs="Arial"/>
                <w:color w:val="000000"/>
                <w:sz w:val="20"/>
                <w:szCs w:val="20"/>
              </w:rPr>
              <w:t xml:space="preserve">in a synthesis report according to conditions and terms agreed by the diverse Tasmanian Aboriginal </w:t>
            </w:r>
            <w:r w:rsidR="00242AA2">
              <w:rPr>
                <w:rFonts w:ascii="Arial" w:hAnsi="Arial" w:cs="Arial"/>
                <w:color w:val="000000"/>
                <w:sz w:val="20"/>
                <w:szCs w:val="20"/>
              </w:rPr>
              <w:t>c</w:t>
            </w:r>
            <w:r w:rsidRPr="00D52FB7">
              <w:rPr>
                <w:rFonts w:ascii="Arial" w:hAnsi="Arial" w:cs="Arial"/>
                <w:color w:val="000000"/>
                <w:sz w:val="20"/>
                <w:szCs w:val="20"/>
              </w:rPr>
              <w:t xml:space="preserve">ommunity for submission to the World Heritage Centre by mid-2017. </w:t>
            </w:r>
          </w:p>
        </w:tc>
        <w:tc>
          <w:tcPr>
            <w:tcW w:w="6205" w:type="dxa"/>
          </w:tcPr>
          <w:p w14:paraId="7F8AB715" w14:textId="77777777" w:rsidR="0086117C" w:rsidRPr="0086117C" w:rsidRDefault="0086117C" w:rsidP="005E2F7D">
            <w:pPr>
              <w:pStyle w:val="NormalWeb"/>
              <w:spacing w:before="170" w:after="0" w:line="0" w:lineRule="atLeast"/>
              <w:ind w:left="63"/>
              <w:rPr>
                <w:rFonts w:ascii="Arial" w:hAnsi="Arial" w:cs="Arial"/>
                <w:color w:val="000000"/>
                <w:sz w:val="20"/>
                <w:szCs w:val="20"/>
              </w:rPr>
            </w:pPr>
            <w:r w:rsidRPr="0086117C">
              <w:rPr>
                <w:rFonts w:ascii="Arial" w:hAnsi="Arial" w:cs="Arial"/>
                <w:color w:val="000000"/>
                <w:sz w:val="20"/>
                <w:szCs w:val="20"/>
              </w:rPr>
              <w:t>IMPLEMENTED</w:t>
            </w:r>
          </w:p>
          <w:p w14:paraId="468CFA0C" w14:textId="2FC4F82D" w:rsidR="008477A0" w:rsidRPr="00D52FB7" w:rsidRDefault="008477A0" w:rsidP="005E2F7D">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The 2016 Management Plan includes a management action to analyse previous Aboriginal cultural heritage work to understand key knowledge gaps and to contribute to the development of a prioritised survey and research program for the Tasmanian Wilderness World Heritage Area (section 4.2 of the management plan).</w:t>
            </w:r>
          </w:p>
          <w:p w14:paraId="29617A26" w14:textId="34F8F190" w:rsidR="008477A0" w:rsidRPr="00D52FB7" w:rsidRDefault="008477A0" w:rsidP="005E2F7D">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A literature review and synthesis report entitled</w:t>
            </w:r>
            <w:r w:rsidRPr="00CE040A">
              <w:rPr>
                <w:rFonts w:ascii="Arial" w:hAnsi="Arial" w:cs="Arial"/>
                <w:color w:val="000000"/>
                <w:sz w:val="20"/>
                <w:szCs w:val="20"/>
              </w:rPr>
              <w:t xml:space="preserve"> </w:t>
            </w:r>
            <w:r w:rsidRPr="000858E9">
              <w:rPr>
                <w:rFonts w:ascii="Arial" w:hAnsi="Arial" w:cs="Arial"/>
                <w:i/>
                <w:color w:val="000000"/>
                <w:sz w:val="20"/>
                <w:szCs w:val="20"/>
              </w:rPr>
              <w:t>Aboriginal Heritage of the Tasmanian Wilderness World Heritage Area: a literature review and synthesis report</w:t>
            </w:r>
            <w:r w:rsidRPr="00CE040A">
              <w:rPr>
                <w:rFonts w:ascii="Arial" w:hAnsi="Arial" w:cs="Arial"/>
                <w:color w:val="000000"/>
                <w:sz w:val="20"/>
                <w:szCs w:val="20"/>
              </w:rPr>
              <w:t xml:space="preserve"> </w:t>
            </w:r>
            <w:r w:rsidRPr="00D52FB7">
              <w:rPr>
                <w:rFonts w:ascii="Arial" w:hAnsi="Arial" w:cs="Arial"/>
                <w:color w:val="000000"/>
                <w:sz w:val="20"/>
                <w:szCs w:val="20"/>
              </w:rPr>
              <w:t>was finalised in March 2017.</w:t>
            </w:r>
          </w:p>
          <w:p w14:paraId="294D5513" w14:textId="1D479A1D" w:rsidR="008477A0" w:rsidRPr="00D52FB7" w:rsidRDefault="008477A0" w:rsidP="00FA6264">
            <w:pPr>
              <w:pStyle w:val="NormalWeb"/>
              <w:spacing w:before="170" w:after="0" w:line="0" w:lineRule="atLeast"/>
              <w:ind w:left="63"/>
              <w:rPr>
                <w:rFonts w:ascii="Arial" w:hAnsi="Arial" w:cs="Arial"/>
                <w:color w:val="000000"/>
                <w:sz w:val="20"/>
                <w:szCs w:val="20"/>
              </w:rPr>
            </w:pPr>
            <w:r w:rsidRPr="00D52FB7">
              <w:rPr>
                <w:rFonts w:ascii="Arial" w:hAnsi="Arial" w:cs="Arial"/>
                <w:color w:val="000000"/>
                <w:sz w:val="20"/>
                <w:szCs w:val="20"/>
              </w:rPr>
              <w:t xml:space="preserve">The report has been acknowledged and endorsed by the Tasmanian </w:t>
            </w:r>
            <w:r w:rsidR="00FA6264">
              <w:rPr>
                <w:rFonts w:ascii="Arial" w:hAnsi="Arial" w:cs="Arial"/>
                <w:color w:val="000000"/>
                <w:sz w:val="20"/>
                <w:szCs w:val="20"/>
              </w:rPr>
              <w:t>Aboriginal Heritage Council</w:t>
            </w:r>
            <w:r w:rsidRPr="00D52FB7">
              <w:rPr>
                <w:rFonts w:ascii="Arial" w:hAnsi="Arial" w:cs="Arial"/>
                <w:color w:val="000000"/>
                <w:sz w:val="20"/>
                <w:szCs w:val="20"/>
              </w:rPr>
              <w:t xml:space="preserve"> </w:t>
            </w:r>
            <w:r w:rsidR="009C66AD">
              <w:rPr>
                <w:rFonts w:ascii="Arial" w:hAnsi="Arial" w:cs="Arial"/>
                <w:color w:val="000000"/>
                <w:sz w:val="20"/>
                <w:szCs w:val="20"/>
              </w:rPr>
              <w:t xml:space="preserve">and </w:t>
            </w:r>
            <w:r w:rsidRPr="00D52FB7">
              <w:rPr>
                <w:rFonts w:ascii="Arial" w:hAnsi="Arial" w:cs="Arial"/>
                <w:color w:val="000000"/>
                <w:sz w:val="20"/>
                <w:szCs w:val="20"/>
              </w:rPr>
              <w:t>was provided to the World Heritage Centre on 15 June 2017.</w:t>
            </w:r>
          </w:p>
        </w:tc>
      </w:tr>
      <w:tr w:rsidR="008477A0" w:rsidRPr="00CE040A" w14:paraId="1EC4FF4E" w14:textId="77777777" w:rsidTr="000858E9">
        <w:trPr>
          <w:cantSplit/>
          <w:trHeight w:val="851"/>
        </w:trPr>
        <w:tc>
          <w:tcPr>
            <w:tcW w:w="635" w:type="dxa"/>
            <w:hideMark/>
          </w:tcPr>
          <w:p w14:paraId="3479D4EE" w14:textId="279B4F8D" w:rsidR="008477A0" w:rsidRPr="00D52FB7" w:rsidRDefault="008477A0"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lastRenderedPageBreak/>
              <w:t>13</w:t>
            </w:r>
          </w:p>
        </w:tc>
        <w:tc>
          <w:tcPr>
            <w:tcW w:w="3220" w:type="dxa"/>
            <w:hideMark/>
          </w:tcPr>
          <w:p w14:paraId="40EA7BCA" w14:textId="57781579" w:rsidR="008477A0" w:rsidRPr="00D52FB7" w:rsidRDefault="008477A0"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A detailed proposal for a comprehensive cultural survey, a longer term initiative requiri</w:t>
            </w:r>
            <w:r>
              <w:rPr>
                <w:rFonts w:ascii="Arial" w:hAnsi="Arial" w:cs="Arial"/>
                <w:color w:val="000000"/>
                <w:sz w:val="20"/>
                <w:szCs w:val="20"/>
              </w:rPr>
              <w:t>ng adequate resources and full A</w:t>
            </w:r>
            <w:r w:rsidRPr="00D52FB7">
              <w:rPr>
                <w:rFonts w:ascii="Arial" w:hAnsi="Arial" w:cs="Arial"/>
                <w:color w:val="000000"/>
                <w:sz w:val="20"/>
                <w:szCs w:val="20"/>
              </w:rPr>
              <w:t>boriginal endorsement and involvement, should be elaborated for submission to the World Heritage Centre by mid-2017 for review by ICOMOS, in consultation with IUCN. The proposal should include a calendar on survey stages over a multi-year period.</w:t>
            </w:r>
          </w:p>
        </w:tc>
        <w:tc>
          <w:tcPr>
            <w:tcW w:w="6205" w:type="dxa"/>
          </w:tcPr>
          <w:p w14:paraId="29E07D99" w14:textId="77777777" w:rsidR="0086117C" w:rsidRPr="0086117C" w:rsidRDefault="0086117C" w:rsidP="0086117C">
            <w:pPr>
              <w:pStyle w:val="NormalWeb"/>
              <w:spacing w:before="170" w:after="120" w:line="0" w:lineRule="atLeast"/>
              <w:ind w:left="63"/>
              <w:rPr>
                <w:rFonts w:ascii="Arial" w:hAnsi="Arial" w:cs="Arial"/>
                <w:color w:val="000000"/>
                <w:sz w:val="20"/>
                <w:szCs w:val="20"/>
              </w:rPr>
            </w:pPr>
            <w:r w:rsidRPr="0086117C">
              <w:rPr>
                <w:rFonts w:ascii="Arial" w:hAnsi="Arial" w:cs="Arial"/>
                <w:color w:val="000000"/>
                <w:sz w:val="20"/>
                <w:szCs w:val="20"/>
              </w:rPr>
              <w:t>IMPLEMENTED</w:t>
            </w:r>
          </w:p>
          <w:p w14:paraId="6CF0A759" w14:textId="77777777" w:rsidR="00E36AC1" w:rsidRDefault="008477A0"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 xml:space="preserve">The 2016 Management Plan includes a management action to conduct a comprehensive survey of the Tasmanian Wilderness World Heritage Area, including the 2013 extension, to ascertain all Aboriginal values. </w:t>
            </w:r>
          </w:p>
          <w:p w14:paraId="05C1DEB3" w14:textId="099D2919" w:rsidR="008477A0" w:rsidRPr="00D52FB7" w:rsidRDefault="008477A0"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The survey</w:t>
            </w:r>
            <w:r>
              <w:rPr>
                <w:rFonts w:ascii="Arial" w:hAnsi="Arial" w:cs="Arial"/>
                <w:color w:val="000000"/>
                <w:sz w:val="20"/>
                <w:szCs w:val="20"/>
              </w:rPr>
              <w:t xml:space="preserve"> of the extension</w:t>
            </w:r>
            <w:r w:rsidRPr="00D52FB7">
              <w:rPr>
                <w:rFonts w:ascii="Arial" w:hAnsi="Arial" w:cs="Arial"/>
                <w:color w:val="000000"/>
                <w:sz w:val="20"/>
                <w:szCs w:val="20"/>
              </w:rPr>
              <w:t xml:space="preserve"> </w:t>
            </w:r>
            <w:r>
              <w:rPr>
                <w:rFonts w:ascii="Arial" w:hAnsi="Arial" w:cs="Arial"/>
                <w:color w:val="000000"/>
                <w:sz w:val="20"/>
                <w:szCs w:val="20"/>
              </w:rPr>
              <w:t xml:space="preserve">was completed and a report </w:t>
            </w:r>
            <w:r w:rsidR="0086117C">
              <w:rPr>
                <w:rFonts w:ascii="Arial" w:hAnsi="Arial" w:cs="Arial"/>
                <w:color w:val="000000"/>
                <w:sz w:val="20"/>
                <w:szCs w:val="20"/>
              </w:rPr>
              <w:t>prepared</w:t>
            </w:r>
            <w:r>
              <w:rPr>
                <w:rFonts w:ascii="Arial" w:hAnsi="Arial" w:cs="Arial"/>
                <w:color w:val="000000"/>
                <w:sz w:val="20"/>
                <w:szCs w:val="20"/>
              </w:rPr>
              <w:t xml:space="preserve"> in June 2019. </w:t>
            </w:r>
          </w:p>
          <w:p w14:paraId="79892E60" w14:textId="49DF1AF8" w:rsidR="008477A0" w:rsidRPr="00D52FB7" w:rsidRDefault="008477A0" w:rsidP="009C66AD">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 xml:space="preserve">A </w:t>
            </w:r>
            <w:r w:rsidRPr="00CE040A">
              <w:rPr>
                <w:rFonts w:ascii="Arial" w:hAnsi="Arial" w:cs="Arial"/>
                <w:color w:val="000000"/>
                <w:sz w:val="20"/>
                <w:szCs w:val="20"/>
              </w:rPr>
              <w:t>‘</w:t>
            </w:r>
            <w:r w:rsidRPr="00D415FE">
              <w:rPr>
                <w:rFonts w:ascii="Arial" w:hAnsi="Arial"/>
                <w:i/>
                <w:color w:val="000000"/>
                <w:sz w:val="20"/>
              </w:rPr>
              <w:t>Detailed Plan for a Comprehensive Cultural Assessment for the Tasmanian Wilderness World Heritage Area’</w:t>
            </w:r>
            <w:r w:rsidRPr="00D52FB7">
              <w:rPr>
                <w:rFonts w:ascii="Arial" w:hAnsi="Arial" w:cs="Arial"/>
                <w:color w:val="000000"/>
                <w:sz w:val="20"/>
                <w:szCs w:val="20"/>
              </w:rPr>
              <w:t xml:space="preserve"> </w:t>
            </w:r>
            <w:r w:rsidRPr="00847BCD">
              <w:rPr>
                <w:rFonts w:ascii="Arial" w:hAnsi="Arial" w:cs="Arial"/>
                <w:color w:val="000000"/>
                <w:sz w:val="20"/>
                <w:szCs w:val="20"/>
              </w:rPr>
              <w:t xml:space="preserve">has been </w:t>
            </w:r>
            <w:r w:rsidR="000858E9" w:rsidRPr="00847BCD">
              <w:rPr>
                <w:rFonts w:ascii="Arial" w:hAnsi="Arial" w:cs="Arial"/>
                <w:color w:val="000000"/>
                <w:sz w:val="20"/>
                <w:szCs w:val="20"/>
              </w:rPr>
              <w:t xml:space="preserve">completed. </w:t>
            </w:r>
            <w:r w:rsidRPr="00D52FB7">
              <w:rPr>
                <w:rFonts w:ascii="Arial" w:hAnsi="Arial" w:cs="Arial"/>
                <w:color w:val="000000"/>
                <w:sz w:val="20"/>
                <w:szCs w:val="20"/>
              </w:rPr>
              <w:t xml:space="preserve">The Tasmanian Aboriginal Heritage Council </w:t>
            </w:r>
            <w:r w:rsidRPr="00CE040A">
              <w:rPr>
                <w:rFonts w:ascii="Arial" w:hAnsi="Arial" w:cs="Arial"/>
                <w:color w:val="000000"/>
                <w:sz w:val="20"/>
                <w:szCs w:val="20"/>
              </w:rPr>
              <w:t xml:space="preserve">guided, </w:t>
            </w:r>
            <w:r w:rsidRPr="00D52FB7">
              <w:rPr>
                <w:rFonts w:ascii="Arial" w:hAnsi="Arial" w:cs="Arial"/>
                <w:color w:val="000000"/>
                <w:sz w:val="20"/>
                <w:szCs w:val="20"/>
              </w:rPr>
              <w:t>reviewed and supported the Plan</w:t>
            </w:r>
            <w:r w:rsidR="00242AA2">
              <w:rPr>
                <w:rFonts w:ascii="Arial" w:hAnsi="Arial" w:cs="Arial"/>
                <w:color w:val="000000"/>
                <w:sz w:val="20"/>
                <w:szCs w:val="20"/>
              </w:rPr>
              <w:t>,</w:t>
            </w:r>
            <w:r w:rsidRPr="00D52FB7">
              <w:rPr>
                <w:rFonts w:ascii="Arial" w:hAnsi="Arial" w:cs="Arial"/>
                <w:color w:val="000000"/>
                <w:sz w:val="20"/>
                <w:szCs w:val="20"/>
              </w:rPr>
              <w:t xml:space="preserve"> which </w:t>
            </w:r>
            <w:r w:rsidRPr="00F42D73">
              <w:rPr>
                <w:rFonts w:ascii="Arial" w:hAnsi="Arial" w:cs="Arial"/>
                <w:color w:val="000000"/>
                <w:sz w:val="20"/>
                <w:szCs w:val="20"/>
              </w:rPr>
              <w:t>was</w:t>
            </w:r>
            <w:r w:rsidRPr="00D52FB7">
              <w:rPr>
                <w:rFonts w:ascii="Arial" w:hAnsi="Arial" w:cs="Arial"/>
                <w:color w:val="000000"/>
                <w:sz w:val="20"/>
                <w:szCs w:val="20"/>
              </w:rPr>
              <w:t xml:space="preserve"> provided to the World Heritage Centre</w:t>
            </w:r>
            <w:r>
              <w:rPr>
                <w:rFonts w:ascii="Arial" w:hAnsi="Arial" w:cs="Arial"/>
                <w:color w:val="000000"/>
                <w:sz w:val="20"/>
                <w:szCs w:val="20"/>
              </w:rPr>
              <w:t xml:space="preserve"> in </w:t>
            </w:r>
            <w:r w:rsidRPr="00F42D73">
              <w:rPr>
                <w:rFonts w:ascii="Arial" w:hAnsi="Arial" w:cs="Arial"/>
                <w:color w:val="000000"/>
                <w:sz w:val="20"/>
                <w:szCs w:val="20"/>
              </w:rPr>
              <w:t>20</w:t>
            </w:r>
            <w:r>
              <w:rPr>
                <w:rFonts w:ascii="Arial" w:hAnsi="Arial" w:cs="Arial"/>
                <w:color w:val="000000"/>
                <w:sz w:val="20"/>
                <w:szCs w:val="20"/>
              </w:rPr>
              <w:t>17</w:t>
            </w:r>
            <w:r w:rsidRPr="00D52FB7">
              <w:rPr>
                <w:rFonts w:ascii="Arial" w:hAnsi="Arial" w:cs="Arial"/>
                <w:color w:val="000000"/>
                <w:sz w:val="20"/>
                <w:szCs w:val="20"/>
              </w:rPr>
              <w:t xml:space="preserve">. </w:t>
            </w:r>
            <w:r w:rsidRPr="000350C9">
              <w:rPr>
                <w:rFonts w:ascii="Arial" w:hAnsi="Arial" w:cs="Arial"/>
                <w:color w:val="000000"/>
                <w:sz w:val="20"/>
                <w:szCs w:val="20"/>
              </w:rPr>
              <w:t xml:space="preserve">Further information is available in </w:t>
            </w:r>
            <w:r w:rsidR="009C66AD">
              <w:rPr>
                <w:rFonts w:ascii="Arial" w:hAnsi="Arial" w:cs="Arial"/>
                <w:b/>
                <w:color w:val="000000"/>
                <w:sz w:val="20"/>
                <w:szCs w:val="20"/>
              </w:rPr>
              <w:t>S</w:t>
            </w:r>
            <w:r w:rsidRPr="00B3473E">
              <w:rPr>
                <w:rFonts w:ascii="Arial" w:hAnsi="Arial" w:cs="Arial"/>
                <w:b/>
                <w:color w:val="000000"/>
                <w:sz w:val="20"/>
                <w:szCs w:val="20"/>
              </w:rPr>
              <w:t>ection 2.1.5</w:t>
            </w:r>
            <w:r w:rsidRPr="000350C9">
              <w:rPr>
                <w:rFonts w:ascii="Arial" w:hAnsi="Arial" w:cs="Arial"/>
                <w:color w:val="000000"/>
                <w:sz w:val="20"/>
                <w:szCs w:val="20"/>
              </w:rPr>
              <w:t xml:space="preserve"> of this report.</w:t>
            </w:r>
          </w:p>
        </w:tc>
      </w:tr>
      <w:tr w:rsidR="00F87978" w:rsidRPr="00CE040A" w14:paraId="0F6FDD74" w14:textId="77777777" w:rsidTr="000858E9">
        <w:trPr>
          <w:cantSplit/>
          <w:trHeight w:val="851"/>
        </w:trPr>
        <w:tc>
          <w:tcPr>
            <w:tcW w:w="635" w:type="dxa"/>
          </w:tcPr>
          <w:p w14:paraId="55648B26" w14:textId="7D011072" w:rsidR="00F87978" w:rsidRDefault="00F87978"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14</w:t>
            </w:r>
          </w:p>
        </w:tc>
        <w:tc>
          <w:tcPr>
            <w:tcW w:w="3220" w:type="dxa"/>
          </w:tcPr>
          <w:p w14:paraId="0D3B19B5" w14:textId="57EED4E9" w:rsidR="00F87978" w:rsidRDefault="00F87978"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State Party and the Tasmanian Government should jointly ensure an equal and integrated consideration of the cultural and the natural heritage of the mixed property.</w:t>
            </w:r>
          </w:p>
        </w:tc>
        <w:tc>
          <w:tcPr>
            <w:tcW w:w="6205" w:type="dxa"/>
          </w:tcPr>
          <w:p w14:paraId="12F772B4" w14:textId="77777777" w:rsidR="0086117C" w:rsidRPr="0086117C" w:rsidRDefault="0086117C" w:rsidP="0086117C">
            <w:pPr>
              <w:pStyle w:val="NormalWeb"/>
              <w:spacing w:before="170" w:after="120" w:line="0" w:lineRule="atLeast"/>
              <w:ind w:left="63"/>
              <w:rPr>
                <w:rFonts w:ascii="Arial" w:hAnsi="Arial" w:cs="Arial"/>
                <w:color w:val="000000"/>
                <w:sz w:val="20"/>
                <w:szCs w:val="20"/>
              </w:rPr>
            </w:pPr>
            <w:r w:rsidRPr="0086117C">
              <w:rPr>
                <w:rFonts w:ascii="Arial" w:hAnsi="Arial" w:cs="Arial"/>
                <w:color w:val="000000"/>
                <w:sz w:val="20"/>
                <w:szCs w:val="20"/>
              </w:rPr>
              <w:t>IMPLEMENTED</w:t>
            </w:r>
          </w:p>
          <w:p w14:paraId="635E533D" w14:textId="4EB34331" w:rsidR="00F87978" w:rsidRPr="00D52FB7" w:rsidRDefault="0086117C" w:rsidP="00B3473E">
            <w:pPr>
              <w:pStyle w:val="NormalWeb"/>
              <w:spacing w:before="170" w:after="120" w:line="0" w:lineRule="atLeast"/>
              <w:ind w:left="63"/>
              <w:rPr>
                <w:rFonts w:ascii="Arial" w:hAnsi="Arial" w:cs="Arial"/>
                <w:color w:val="000000"/>
                <w:sz w:val="20"/>
                <w:szCs w:val="20"/>
              </w:rPr>
            </w:pPr>
            <w:r>
              <w:rPr>
                <w:rFonts w:ascii="Arial" w:hAnsi="Arial" w:cs="Arial"/>
                <w:color w:val="000000"/>
                <w:sz w:val="20"/>
                <w:szCs w:val="20"/>
              </w:rPr>
              <w:t xml:space="preserve">The </w:t>
            </w:r>
            <w:r w:rsidR="00F87978" w:rsidRPr="00D52FB7">
              <w:rPr>
                <w:rFonts w:ascii="Arial" w:hAnsi="Arial" w:cs="Arial"/>
                <w:color w:val="000000"/>
                <w:sz w:val="20"/>
                <w:szCs w:val="20"/>
              </w:rPr>
              <w:t>2016 Management Plan recognises that</w:t>
            </w:r>
            <w:r w:rsidR="00242AA2">
              <w:rPr>
                <w:rFonts w:ascii="Arial" w:hAnsi="Arial" w:cs="Arial"/>
                <w:color w:val="000000"/>
                <w:sz w:val="20"/>
                <w:szCs w:val="20"/>
              </w:rPr>
              <w:t>,</w:t>
            </w:r>
            <w:r w:rsidR="00F87978" w:rsidRPr="00D52FB7">
              <w:rPr>
                <w:rFonts w:ascii="Arial" w:hAnsi="Arial" w:cs="Arial"/>
                <w:color w:val="000000"/>
                <w:sz w:val="20"/>
                <w:szCs w:val="20"/>
              </w:rPr>
              <w:t xml:space="preserve"> for Aboriginal people, natural values are inseparable from their cultural understanding of the natural world.</w:t>
            </w:r>
          </w:p>
          <w:p w14:paraId="34AC4033" w14:textId="77777777" w:rsidR="00F87978" w:rsidRPr="00D52FB7" w:rsidRDefault="00F87978"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The management plan establishes a framework for joint management to ensure an appropriate level of integration of research and monitoring related to all values is undertaken in partnership with Aboriginal people. It also recognises that optimal management of natural and Aboriginal cultural values is contingent upon an integrated approach.</w:t>
            </w:r>
          </w:p>
          <w:p w14:paraId="4F27B3BA" w14:textId="5EC8A2AD" w:rsidR="00F87978" w:rsidRPr="00D52FB7" w:rsidRDefault="00F87978"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The Tasmanian Government has established a Cultural Management Group within Aboriginal Heritage Tasmania to oversee implementation of the Aboriginal cultural management outcomes of the management plan and to provide ongoing support of Aboriginal cultural values management in the property.</w:t>
            </w:r>
          </w:p>
          <w:p w14:paraId="2F55F39F" w14:textId="0472D2B2" w:rsidR="00F87978" w:rsidRDefault="00E36AC1" w:rsidP="009C66AD">
            <w:pPr>
              <w:pStyle w:val="NormalWeb"/>
              <w:spacing w:before="170" w:after="120" w:line="0" w:lineRule="atLeast"/>
              <w:ind w:left="63"/>
              <w:rPr>
                <w:rFonts w:ascii="Arial" w:hAnsi="Arial" w:cs="Arial"/>
                <w:color w:val="000000"/>
                <w:sz w:val="20"/>
                <w:szCs w:val="20"/>
              </w:rPr>
            </w:pPr>
            <w:r w:rsidRPr="00B3473E">
              <w:rPr>
                <w:rFonts w:ascii="Arial" w:hAnsi="Arial" w:cs="Arial"/>
                <w:b/>
                <w:color w:val="000000"/>
                <w:sz w:val="20"/>
                <w:szCs w:val="20"/>
              </w:rPr>
              <w:t>S</w:t>
            </w:r>
            <w:r w:rsidR="00F87978" w:rsidRPr="00B3473E">
              <w:rPr>
                <w:rFonts w:ascii="Arial" w:hAnsi="Arial" w:cs="Arial"/>
                <w:b/>
                <w:color w:val="000000"/>
                <w:sz w:val="20"/>
                <w:szCs w:val="20"/>
              </w:rPr>
              <w:t xml:space="preserve">ections 2.1.5, 2.1.6 </w:t>
            </w:r>
            <w:r w:rsidR="00F87978" w:rsidRPr="009C66AD">
              <w:rPr>
                <w:rFonts w:ascii="Arial" w:hAnsi="Arial" w:cs="Arial"/>
                <w:color w:val="000000"/>
                <w:sz w:val="20"/>
                <w:szCs w:val="20"/>
              </w:rPr>
              <w:t>and</w:t>
            </w:r>
            <w:r w:rsidR="00F87978" w:rsidRPr="00B3473E">
              <w:rPr>
                <w:rFonts w:ascii="Arial" w:hAnsi="Arial" w:cs="Arial"/>
                <w:b/>
                <w:color w:val="000000"/>
                <w:sz w:val="20"/>
                <w:szCs w:val="20"/>
              </w:rPr>
              <w:t xml:space="preserve"> 2.1.7</w:t>
            </w:r>
            <w:r w:rsidR="00F87978">
              <w:rPr>
                <w:rFonts w:ascii="Arial" w:hAnsi="Arial" w:cs="Arial"/>
                <w:color w:val="000000"/>
                <w:sz w:val="20"/>
                <w:szCs w:val="20"/>
              </w:rPr>
              <w:t xml:space="preserve"> above</w:t>
            </w:r>
            <w:r w:rsidR="009C66AD">
              <w:rPr>
                <w:rFonts w:ascii="Arial" w:hAnsi="Arial" w:cs="Arial"/>
                <w:color w:val="000000"/>
                <w:sz w:val="20"/>
                <w:szCs w:val="20"/>
              </w:rPr>
              <w:t xml:space="preserve"> </w:t>
            </w:r>
            <w:r>
              <w:rPr>
                <w:rFonts w:ascii="Arial" w:hAnsi="Arial" w:cs="Arial"/>
                <w:color w:val="000000"/>
                <w:sz w:val="20"/>
                <w:szCs w:val="20"/>
              </w:rPr>
              <w:t>provide further detail.</w:t>
            </w:r>
          </w:p>
        </w:tc>
      </w:tr>
      <w:tr w:rsidR="00F87978" w:rsidRPr="00CE040A" w14:paraId="400F32BC" w14:textId="77777777" w:rsidTr="000858E9">
        <w:trPr>
          <w:cantSplit/>
          <w:trHeight w:val="851"/>
        </w:trPr>
        <w:tc>
          <w:tcPr>
            <w:tcW w:w="635" w:type="dxa"/>
          </w:tcPr>
          <w:p w14:paraId="1233C710" w14:textId="05051509" w:rsidR="00F87978" w:rsidRDefault="00F87978"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lastRenderedPageBreak/>
              <w:t>15</w:t>
            </w:r>
          </w:p>
        </w:tc>
        <w:tc>
          <w:tcPr>
            <w:tcW w:w="3220" w:type="dxa"/>
          </w:tcPr>
          <w:p w14:paraId="67687645" w14:textId="754C23E7" w:rsidR="00F87978" w:rsidRPr="00D52FB7" w:rsidRDefault="00F87978" w:rsidP="00B3473E">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State Party and the Tasmanian Government should provide and secure an adequate long-term allocation of financial and human resources to allow for proper consideration of cultural heritage</w:t>
            </w:r>
          </w:p>
        </w:tc>
        <w:tc>
          <w:tcPr>
            <w:tcW w:w="6205" w:type="dxa"/>
          </w:tcPr>
          <w:p w14:paraId="70CA0F07" w14:textId="7F927F59" w:rsidR="009C58D2" w:rsidRDefault="009C58D2" w:rsidP="00B3473E">
            <w:pPr>
              <w:pStyle w:val="NormalWeb"/>
              <w:spacing w:before="170" w:after="120" w:line="0" w:lineRule="atLeast"/>
              <w:ind w:left="63"/>
              <w:rPr>
                <w:rFonts w:ascii="Arial" w:hAnsi="Arial" w:cs="Arial"/>
                <w:color w:val="000000"/>
                <w:sz w:val="20"/>
                <w:szCs w:val="20"/>
              </w:rPr>
            </w:pPr>
            <w:r>
              <w:rPr>
                <w:rFonts w:ascii="Arial" w:hAnsi="Arial" w:cs="Arial"/>
                <w:color w:val="000000"/>
                <w:sz w:val="20"/>
                <w:szCs w:val="20"/>
              </w:rPr>
              <w:t>IMPLEMENTED</w:t>
            </w:r>
          </w:p>
          <w:p w14:paraId="7D40B797" w14:textId="7B7DD0F9" w:rsidR="00C33F95" w:rsidRPr="00C33F95" w:rsidRDefault="00C33F95" w:rsidP="00B3473E">
            <w:pPr>
              <w:pStyle w:val="NormalWeb"/>
              <w:spacing w:before="170" w:after="120" w:line="0" w:lineRule="atLeast"/>
              <w:ind w:left="63"/>
              <w:rPr>
                <w:rFonts w:ascii="Arial" w:hAnsi="Arial" w:cs="Arial"/>
                <w:color w:val="000000"/>
                <w:sz w:val="20"/>
                <w:szCs w:val="20"/>
              </w:rPr>
            </w:pPr>
            <w:r w:rsidRPr="00C33F95">
              <w:rPr>
                <w:rFonts w:ascii="Arial" w:hAnsi="Arial" w:cs="Arial"/>
                <w:color w:val="000000"/>
                <w:sz w:val="20"/>
                <w:szCs w:val="20"/>
              </w:rPr>
              <w:t>The 2016 Management Plan includes the following management actions:</w:t>
            </w:r>
          </w:p>
          <w:p w14:paraId="36D01278" w14:textId="0FBF4DAD" w:rsidR="00C33F95" w:rsidRPr="00C33F95" w:rsidRDefault="00C33F95" w:rsidP="00B3473E">
            <w:pPr>
              <w:pStyle w:val="NormalWeb"/>
              <w:numPr>
                <w:ilvl w:val="0"/>
                <w:numId w:val="25"/>
              </w:numPr>
              <w:spacing w:before="170" w:after="120" w:line="0" w:lineRule="atLeast"/>
              <w:rPr>
                <w:rFonts w:ascii="Arial" w:hAnsi="Arial" w:cs="Arial"/>
                <w:color w:val="000000"/>
                <w:sz w:val="20"/>
                <w:szCs w:val="20"/>
              </w:rPr>
            </w:pPr>
            <w:r w:rsidRPr="00C33F95">
              <w:rPr>
                <w:rFonts w:ascii="Arial" w:hAnsi="Arial" w:cs="Arial"/>
                <w:color w:val="000000"/>
                <w:sz w:val="20"/>
                <w:szCs w:val="20"/>
              </w:rPr>
              <w:t>increase baseline funding for management of Aboriginal cultural values to a quantum that reflects their importance in the area’s World Heritage listing</w:t>
            </w:r>
          </w:p>
          <w:p w14:paraId="5A1F3FDC" w14:textId="6C06E002" w:rsidR="00C33F95" w:rsidRPr="00C33F95" w:rsidRDefault="00C33F95" w:rsidP="00B3473E">
            <w:pPr>
              <w:pStyle w:val="NormalWeb"/>
              <w:numPr>
                <w:ilvl w:val="0"/>
                <w:numId w:val="25"/>
              </w:numPr>
              <w:spacing w:before="170" w:after="120" w:line="0" w:lineRule="atLeast"/>
              <w:rPr>
                <w:rFonts w:ascii="Arial" w:hAnsi="Arial" w:cs="Arial"/>
                <w:color w:val="000000"/>
                <w:sz w:val="20"/>
                <w:szCs w:val="20"/>
              </w:rPr>
            </w:pPr>
            <w:proofErr w:type="gramStart"/>
            <w:r w:rsidRPr="00C33F95">
              <w:rPr>
                <w:rFonts w:ascii="Arial" w:hAnsi="Arial" w:cs="Arial"/>
                <w:color w:val="000000"/>
                <w:sz w:val="20"/>
                <w:szCs w:val="20"/>
              </w:rPr>
              <w:t>produce</w:t>
            </w:r>
            <w:proofErr w:type="gramEnd"/>
            <w:r w:rsidRPr="00C33F95">
              <w:rPr>
                <w:rFonts w:ascii="Arial" w:hAnsi="Arial" w:cs="Arial"/>
                <w:color w:val="000000"/>
                <w:sz w:val="20"/>
                <w:szCs w:val="20"/>
              </w:rPr>
              <w:t xml:space="preserve"> an implementation plan that clearly outlines the steps to achieve adequate funding of management actions. The implementation plan will determine the relationship between funding increases and actions within the plan that are contingent upon that funding; and identify the parties who are responsible for the implementation of the management actions, timelines and processes of review and consultation (section 4.7 of the management plan).</w:t>
            </w:r>
          </w:p>
          <w:p w14:paraId="7BE1B030" w14:textId="0F26D26E" w:rsidR="00C33F95" w:rsidRPr="00C33F95" w:rsidRDefault="00C33F95" w:rsidP="00B3473E">
            <w:pPr>
              <w:pStyle w:val="NormalWeb"/>
              <w:spacing w:before="170" w:after="120" w:line="0" w:lineRule="atLeast"/>
              <w:ind w:left="63"/>
              <w:rPr>
                <w:rFonts w:ascii="Arial" w:hAnsi="Arial" w:cs="Arial"/>
                <w:color w:val="000000"/>
                <w:sz w:val="20"/>
                <w:szCs w:val="20"/>
              </w:rPr>
            </w:pPr>
            <w:r w:rsidRPr="00C33F95">
              <w:rPr>
                <w:rFonts w:ascii="Arial" w:hAnsi="Arial" w:cs="Arial"/>
                <w:color w:val="000000"/>
                <w:sz w:val="20"/>
                <w:szCs w:val="20"/>
              </w:rPr>
              <w:t>The Australian and Tasmanian governments have provided ‘baseline’ funding for day-to-day management of the property since 1983. In addition to baseline funding, in 2015 the Australian Government provided AUD</w:t>
            </w:r>
            <w:r w:rsidR="009D77FA">
              <w:rPr>
                <w:rFonts w:ascii="Arial" w:hAnsi="Arial" w:cs="Arial"/>
                <w:color w:val="000000"/>
                <w:sz w:val="20"/>
                <w:szCs w:val="20"/>
              </w:rPr>
              <w:t xml:space="preserve"> </w:t>
            </w:r>
            <w:r w:rsidRPr="00C33F95">
              <w:rPr>
                <w:rFonts w:ascii="Arial" w:hAnsi="Arial" w:cs="Arial"/>
                <w:color w:val="000000"/>
                <w:sz w:val="20"/>
                <w:szCs w:val="20"/>
              </w:rPr>
              <w:t>$575,000 for work to provide more detail on the cultural heritage of the property and how this relates to its Outstanding Universal Value.</w:t>
            </w:r>
          </w:p>
          <w:p w14:paraId="1C311667" w14:textId="099906B2" w:rsidR="00C33F95" w:rsidRPr="00C33F95" w:rsidRDefault="00C33F95" w:rsidP="00B3473E">
            <w:pPr>
              <w:pStyle w:val="NormalWeb"/>
              <w:spacing w:before="170" w:after="120" w:line="0" w:lineRule="atLeast"/>
              <w:ind w:left="63"/>
              <w:rPr>
                <w:rFonts w:ascii="Arial" w:hAnsi="Arial" w:cs="Arial"/>
                <w:color w:val="000000"/>
                <w:sz w:val="20"/>
                <w:szCs w:val="20"/>
              </w:rPr>
            </w:pPr>
            <w:r w:rsidRPr="00C33F95">
              <w:rPr>
                <w:rFonts w:ascii="Arial" w:hAnsi="Arial" w:cs="Arial"/>
                <w:color w:val="000000"/>
                <w:sz w:val="20"/>
                <w:szCs w:val="20"/>
              </w:rPr>
              <w:t xml:space="preserve">Tasmanian State Government funding for cultural heritage projects has substantially increased in </w:t>
            </w:r>
            <w:r w:rsidR="00D37B34">
              <w:rPr>
                <w:rFonts w:ascii="Arial" w:hAnsi="Arial" w:cs="Arial"/>
                <w:color w:val="000000"/>
                <w:sz w:val="20"/>
                <w:szCs w:val="20"/>
              </w:rPr>
              <w:t>2017-</w:t>
            </w:r>
            <w:r w:rsidRPr="00C33F95">
              <w:rPr>
                <w:rFonts w:ascii="Arial" w:hAnsi="Arial" w:cs="Arial"/>
                <w:color w:val="000000"/>
                <w:sz w:val="20"/>
                <w:szCs w:val="20"/>
              </w:rPr>
              <w:t xml:space="preserve">18 and </w:t>
            </w:r>
            <w:r w:rsidR="00D37B34">
              <w:rPr>
                <w:rFonts w:ascii="Arial" w:hAnsi="Arial" w:cs="Arial"/>
                <w:color w:val="000000"/>
                <w:sz w:val="20"/>
                <w:szCs w:val="20"/>
              </w:rPr>
              <w:t>2018-</w:t>
            </w:r>
            <w:r w:rsidRPr="00C33F95">
              <w:rPr>
                <w:rFonts w:ascii="Arial" w:hAnsi="Arial" w:cs="Arial"/>
                <w:color w:val="000000"/>
                <w:sz w:val="20"/>
                <w:szCs w:val="20"/>
              </w:rPr>
              <w:t>19</w:t>
            </w:r>
            <w:r w:rsidR="00E36AC1">
              <w:rPr>
                <w:rFonts w:ascii="Arial" w:hAnsi="Arial" w:cs="Arial"/>
                <w:color w:val="000000"/>
                <w:sz w:val="20"/>
                <w:szCs w:val="20"/>
              </w:rPr>
              <w:t>,</w:t>
            </w:r>
            <w:r w:rsidRPr="00C33F95">
              <w:rPr>
                <w:rFonts w:ascii="Arial" w:hAnsi="Arial" w:cs="Arial"/>
                <w:color w:val="000000"/>
                <w:sz w:val="20"/>
                <w:szCs w:val="20"/>
              </w:rPr>
              <w:t xml:space="preserve"> and ongoing</w:t>
            </w:r>
            <w:r w:rsidR="00E36AC1">
              <w:rPr>
                <w:rFonts w:ascii="Arial" w:hAnsi="Arial" w:cs="Arial"/>
                <w:color w:val="000000"/>
                <w:sz w:val="20"/>
                <w:szCs w:val="20"/>
              </w:rPr>
              <w:t>,</w:t>
            </w:r>
            <w:r w:rsidRPr="00C33F95">
              <w:rPr>
                <w:rFonts w:ascii="Arial" w:hAnsi="Arial" w:cs="Arial"/>
                <w:color w:val="000000"/>
                <w:sz w:val="20"/>
                <w:szCs w:val="20"/>
              </w:rPr>
              <w:t xml:space="preserve"> through </w:t>
            </w:r>
            <w:r w:rsidR="00F83697" w:rsidRPr="00F83697">
              <w:rPr>
                <w:rFonts w:ascii="Arial" w:hAnsi="Arial" w:cs="Arial"/>
                <w:color w:val="000000"/>
                <w:sz w:val="20"/>
                <w:szCs w:val="20"/>
              </w:rPr>
              <w:t>Tasmanian Wilderness World Heritage Area</w:t>
            </w:r>
            <w:r w:rsidRPr="00C33F95">
              <w:rPr>
                <w:rFonts w:ascii="Arial" w:hAnsi="Arial" w:cs="Arial"/>
                <w:color w:val="000000"/>
                <w:sz w:val="20"/>
                <w:szCs w:val="20"/>
              </w:rPr>
              <w:t xml:space="preserve"> Business Strategy project allocations</w:t>
            </w:r>
            <w:r w:rsidRPr="00E36AC1">
              <w:rPr>
                <w:rFonts w:ascii="Arial" w:hAnsi="Arial" w:cs="Arial"/>
                <w:color w:val="000000"/>
                <w:sz w:val="20"/>
                <w:szCs w:val="20"/>
              </w:rPr>
              <w:t>.</w:t>
            </w:r>
            <w:r w:rsidR="00E36AC1" w:rsidRPr="00E36AC1">
              <w:rPr>
                <w:rFonts w:ascii="Arial" w:hAnsi="Arial" w:cs="Arial"/>
                <w:color w:val="000000"/>
                <w:sz w:val="20"/>
                <w:szCs w:val="20"/>
              </w:rPr>
              <w:t xml:space="preserve"> Further information is available in </w:t>
            </w:r>
            <w:r w:rsidR="009C66AD" w:rsidRPr="009C66AD">
              <w:rPr>
                <w:rFonts w:ascii="Arial" w:hAnsi="Arial" w:cs="Arial"/>
                <w:b/>
                <w:color w:val="000000"/>
                <w:sz w:val="20"/>
                <w:szCs w:val="20"/>
              </w:rPr>
              <w:t>S</w:t>
            </w:r>
            <w:r w:rsidR="00E36AC1" w:rsidRPr="009C66AD">
              <w:rPr>
                <w:rFonts w:ascii="Arial" w:hAnsi="Arial" w:cs="Arial"/>
                <w:b/>
                <w:color w:val="000000"/>
                <w:sz w:val="20"/>
                <w:szCs w:val="20"/>
              </w:rPr>
              <w:t xml:space="preserve">ections 2.1.5, 2.1.6 </w:t>
            </w:r>
            <w:r w:rsidR="00E36AC1" w:rsidRPr="009C66AD">
              <w:rPr>
                <w:rFonts w:ascii="Arial" w:hAnsi="Arial" w:cs="Arial"/>
                <w:color w:val="000000"/>
                <w:sz w:val="20"/>
                <w:szCs w:val="20"/>
              </w:rPr>
              <w:t>and</w:t>
            </w:r>
            <w:r w:rsidR="00E36AC1" w:rsidRPr="009C66AD">
              <w:rPr>
                <w:rFonts w:ascii="Arial" w:hAnsi="Arial" w:cs="Arial"/>
                <w:b/>
                <w:color w:val="000000"/>
                <w:sz w:val="20"/>
                <w:szCs w:val="20"/>
              </w:rPr>
              <w:t xml:space="preserve"> 2.1.8</w:t>
            </w:r>
            <w:r w:rsidR="00E36AC1" w:rsidRPr="00E36AC1">
              <w:rPr>
                <w:rFonts w:ascii="Arial" w:hAnsi="Arial" w:cs="Arial"/>
                <w:color w:val="000000"/>
                <w:sz w:val="20"/>
                <w:szCs w:val="20"/>
              </w:rPr>
              <w:t xml:space="preserve"> above</w:t>
            </w:r>
            <w:r w:rsidR="00F83697">
              <w:rPr>
                <w:rFonts w:ascii="Arial" w:hAnsi="Arial" w:cs="Arial"/>
                <w:color w:val="000000"/>
                <w:sz w:val="20"/>
                <w:szCs w:val="20"/>
              </w:rPr>
              <w:t>.</w:t>
            </w:r>
          </w:p>
          <w:p w14:paraId="2D8E1D85" w14:textId="5213A344" w:rsidR="00F87978" w:rsidRPr="00D52FB7" w:rsidRDefault="00C33F95" w:rsidP="00B3473E">
            <w:pPr>
              <w:pStyle w:val="NormalWeb"/>
              <w:spacing w:before="170" w:after="120" w:line="0" w:lineRule="atLeast"/>
              <w:ind w:left="63"/>
              <w:rPr>
                <w:rFonts w:ascii="Arial" w:hAnsi="Arial" w:cs="Arial"/>
                <w:color w:val="000000"/>
                <w:sz w:val="20"/>
                <w:szCs w:val="20"/>
              </w:rPr>
            </w:pPr>
            <w:r w:rsidRPr="00C33F95">
              <w:rPr>
                <w:rFonts w:ascii="Arial" w:hAnsi="Arial" w:cs="Arial"/>
                <w:color w:val="000000"/>
                <w:sz w:val="20"/>
                <w:szCs w:val="20"/>
              </w:rPr>
              <w:t>The Australian and Tasmanian governments funded the ‘Cultural Values Assessment of the 2013 Extension Area of the Tasmanian Wilderness World Heritage Area Project’</w:t>
            </w:r>
            <w:r w:rsidR="00D37B34">
              <w:rPr>
                <w:rFonts w:ascii="Arial" w:hAnsi="Arial" w:cs="Arial"/>
                <w:color w:val="000000"/>
                <w:sz w:val="20"/>
                <w:szCs w:val="20"/>
              </w:rPr>
              <w:t>,</w:t>
            </w:r>
            <w:r w:rsidRPr="00C33F95">
              <w:rPr>
                <w:rFonts w:ascii="Arial" w:hAnsi="Arial" w:cs="Arial"/>
                <w:color w:val="000000"/>
                <w:sz w:val="20"/>
                <w:szCs w:val="20"/>
              </w:rPr>
              <w:t xml:space="preserve"> which involved community consultation and cultural heritage surveys within the areas added to the property in 2013.</w:t>
            </w:r>
            <w:r w:rsidR="00E36AC1" w:rsidRPr="00C33F95" w:rsidDel="00E36AC1">
              <w:rPr>
                <w:rFonts w:ascii="Arial" w:hAnsi="Arial" w:cs="Arial"/>
                <w:color w:val="000000"/>
                <w:sz w:val="20"/>
                <w:szCs w:val="20"/>
              </w:rPr>
              <w:t xml:space="preserve"> </w:t>
            </w:r>
          </w:p>
        </w:tc>
      </w:tr>
      <w:tr w:rsidR="00F87978" w:rsidRPr="00CE040A" w14:paraId="43B5BC50" w14:textId="77777777" w:rsidTr="000858E9">
        <w:trPr>
          <w:cantSplit/>
          <w:trHeight w:val="851"/>
        </w:trPr>
        <w:tc>
          <w:tcPr>
            <w:tcW w:w="635" w:type="dxa"/>
          </w:tcPr>
          <w:p w14:paraId="652CEDAD" w14:textId="5AC63632" w:rsidR="00F87978" w:rsidRDefault="00F87978" w:rsidP="00A01202">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lastRenderedPageBreak/>
              <w:t>16</w:t>
            </w:r>
          </w:p>
        </w:tc>
        <w:tc>
          <w:tcPr>
            <w:tcW w:w="3220" w:type="dxa"/>
          </w:tcPr>
          <w:p w14:paraId="07A6E0E4" w14:textId="00E8CDA6" w:rsidR="00F87978" w:rsidRPr="00D52FB7" w:rsidRDefault="00F87978" w:rsidP="00A01202">
            <w:pPr>
              <w:pStyle w:val="NormalWeb"/>
              <w:spacing w:before="170" w:after="0" w:line="0" w:lineRule="atLeast"/>
              <w:rPr>
                <w:rFonts w:ascii="Arial" w:hAnsi="Arial" w:cs="Arial"/>
                <w:color w:val="000000"/>
                <w:sz w:val="20"/>
                <w:szCs w:val="20"/>
              </w:rPr>
            </w:pPr>
            <w:r w:rsidRPr="00D52FB7">
              <w:rPr>
                <w:rFonts w:ascii="Arial" w:hAnsi="Arial" w:cs="Arial"/>
                <w:color w:val="000000"/>
                <w:sz w:val="20"/>
                <w:szCs w:val="20"/>
              </w:rPr>
              <w:t>State Party should improve the property’s current draft Statement of Outstanding Universal Value (</w:t>
            </w:r>
            <w:proofErr w:type="spellStart"/>
            <w:r w:rsidRPr="00D52FB7">
              <w:rPr>
                <w:rFonts w:ascii="Arial" w:hAnsi="Arial" w:cs="Arial"/>
                <w:color w:val="000000"/>
                <w:sz w:val="20"/>
                <w:szCs w:val="20"/>
              </w:rPr>
              <w:t>SoOUV</w:t>
            </w:r>
            <w:proofErr w:type="spellEnd"/>
            <w:r w:rsidRPr="00D52FB7">
              <w:rPr>
                <w:rFonts w:ascii="Arial" w:hAnsi="Arial" w:cs="Arial"/>
                <w:color w:val="000000"/>
                <w:sz w:val="20"/>
                <w:szCs w:val="20"/>
              </w:rPr>
              <w:t xml:space="preserve">) upon completion of the cultural sites synthesis report expected by mid-2017 and provide it to the World Heritage Centre at the earliest possible date after mid-2017 for review by the Advisory Bodies, and consideration by the World Heritage Committee. The </w:t>
            </w:r>
            <w:proofErr w:type="spellStart"/>
            <w:r w:rsidRPr="00D52FB7">
              <w:rPr>
                <w:rFonts w:ascii="Arial" w:hAnsi="Arial" w:cs="Arial"/>
                <w:color w:val="000000"/>
                <w:sz w:val="20"/>
                <w:szCs w:val="20"/>
              </w:rPr>
              <w:t>SoOUV</w:t>
            </w:r>
            <w:proofErr w:type="spellEnd"/>
            <w:r w:rsidRPr="00D52FB7">
              <w:rPr>
                <w:rFonts w:ascii="Arial" w:hAnsi="Arial" w:cs="Arial"/>
                <w:color w:val="000000"/>
                <w:sz w:val="20"/>
                <w:szCs w:val="20"/>
              </w:rPr>
              <w:t xml:space="preserve"> should explicitly make reference to the pending comprehensive cultural survey and the possible need to update the </w:t>
            </w:r>
            <w:proofErr w:type="spellStart"/>
            <w:r w:rsidRPr="00D52FB7">
              <w:rPr>
                <w:rFonts w:ascii="Arial" w:hAnsi="Arial" w:cs="Arial"/>
                <w:color w:val="000000"/>
                <w:sz w:val="20"/>
                <w:szCs w:val="20"/>
              </w:rPr>
              <w:t>SoOUV</w:t>
            </w:r>
            <w:proofErr w:type="spellEnd"/>
            <w:r w:rsidRPr="00D52FB7">
              <w:rPr>
                <w:rFonts w:ascii="Arial" w:hAnsi="Arial" w:cs="Arial"/>
                <w:color w:val="000000"/>
                <w:sz w:val="20"/>
                <w:szCs w:val="20"/>
              </w:rPr>
              <w:t xml:space="preserve"> upon completion of the survey.</w:t>
            </w:r>
          </w:p>
        </w:tc>
        <w:tc>
          <w:tcPr>
            <w:tcW w:w="6205" w:type="dxa"/>
          </w:tcPr>
          <w:p w14:paraId="61D7A718" w14:textId="77777777" w:rsidR="009C58D2" w:rsidRPr="00A01202" w:rsidRDefault="009C58D2" w:rsidP="00A01202">
            <w:pPr>
              <w:pStyle w:val="NormalWeb"/>
              <w:spacing w:before="170" w:after="0" w:line="0" w:lineRule="atLeast"/>
              <w:rPr>
                <w:rFonts w:ascii="Arial" w:hAnsi="Arial" w:cs="Arial"/>
                <w:color w:val="000000"/>
                <w:sz w:val="20"/>
                <w:szCs w:val="20"/>
              </w:rPr>
            </w:pPr>
            <w:r w:rsidRPr="00A01202">
              <w:rPr>
                <w:rFonts w:ascii="Arial" w:hAnsi="Arial" w:cs="Arial"/>
                <w:color w:val="000000"/>
                <w:sz w:val="20"/>
                <w:szCs w:val="20"/>
              </w:rPr>
              <w:t>IMPLEMENTED</w:t>
            </w:r>
          </w:p>
          <w:p w14:paraId="280E328B" w14:textId="06136C25" w:rsidR="00F87978" w:rsidRPr="00D52FB7" w:rsidRDefault="009C58D2" w:rsidP="000D32A4">
            <w:pPr>
              <w:pStyle w:val="NormalWeb"/>
              <w:spacing w:before="170" w:after="0" w:line="0" w:lineRule="atLeast"/>
              <w:rPr>
                <w:rFonts w:ascii="Arial" w:hAnsi="Arial" w:cs="Arial"/>
                <w:color w:val="000000"/>
                <w:sz w:val="20"/>
                <w:szCs w:val="20"/>
              </w:rPr>
            </w:pPr>
            <w:r w:rsidRPr="00A01202">
              <w:rPr>
                <w:rFonts w:ascii="Arial" w:hAnsi="Arial" w:cs="Arial"/>
                <w:color w:val="000000"/>
                <w:sz w:val="20"/>
                <w:szCs w:val="20"/>
              </w:rPr>
              <w:t>A revised draft Statement of Outstanding Universal Value has been provided to the World Heritage Centre for review by the Advisory Bodies</w:t>
            </w:r>
            <w:r w:rsidR="005D25A2" w:rsidRPr="00A01202">
              <w:rPr>
                <w:rFonts w:ascii="Arial" w:hAnsi="Arial" w:cs="Arial"/>
                <w:color w:val="000000"/>
                <w:sz w:val="20"/>
                <w:szCs w:val="20"/>
              </w:rPr>
              <w:t>.</w:t>
            </w:r>
          </w:p>
        </w:tc>
      </w:tr>
      <w:tr w:rsidR="005D25A2" w:rsidRPr="00CE040A" w14:paraId="3D424A8E" w14:textId="77777777" w:rsidTr="000858E9">
        <w:trPr>
          <w:cantSplit/>
          <w:trHeight w:val="851"/>
        </w:trPr>
        <w:tc>
          <w:tcPr>
            <w:tcW w:w="635" w:type="dxa"/>
          </w:tcPr>
          <w:p w14:paraId="28598D00" w14:textId="290D877E" w:rsidR="005D25A2" w:rsidRDefault="005D25A2" w:rsidP="00A01202">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17</w:t>
            </w:r>
          </w:p>
        </w:tc>
        <w:tc>
          <w:tcPr>
            <w:tcW w:w="3220" w:type="dxa"/>
          </w:tcPr>
          <w:p w14:paraId="0E830D73" w14:textId="0C6F1A94" w:rsidR="005D25A2" w:rsidRPr="00D52FB7" w:rsidRDefault="005D25A2" w:rsidP="00A01202">
            <w:pPr>
              <w:pStyle w:val="NormalWeb"/>
              <w:spacing w:before="170" w:after="0" w:line="0" w:lineRule="atLeast"/>
              <w:rPr>
                <w:rFonts w:ascii="Arial" w:hAnsi="Arial" w:cs="Arial"/>
                <w:color w:val="000000"/>
                <w:sz w:val="20"/>
                <w:szCs w:val="20"/>
              </w:rPr>
            </w:pPr>
            <w:r w:rsidRPr="00D52FB7">
              <w:rPr>
                <w:rFonts w:ascii="Arial" w:hAnsi="Arial" w:cs="Arial"/>
                <w:color w:val="000000"/>
                <w:sz w:val="20"/>
                <w:szCs w:val="20"/>
              </w:rPr>
              <w:t>State Party should ensure adequate resources for fire research and management, so as to better understand the role of fire and to optimize its management</w:t>
            </w:r>
          </w:p>
        </w:tc>
        <w:tc>
          <w:tcPr>
            <w:tcW w:w="6205" w:type="dxa"/>
          </w:tcPr>
          <w:p w14:paraId="74D7F9A3" w14:textId="77777777" w:rsidR="009C58D2" w:rsidRPr="009C58D2" w:rsidRDefault="009C58D2" w:rsidP="00A01202">
            <w:pPr>
              <w:pStyle w:val="NormalWeb"/>
              <w:spacing w:before="170" w:after="0" w:line="0" w:lineRule="atLeast"/>
              <w:rPr>
                <w:rFonts w:ascii="Arial" w:hAnsi="Arial" w:cs="Arial"/>
                <w:color w:val="000000"/>
                <w:sz w:val="20"/>
                <w:szCs w:val="20"/>
              </w:rPr>
            </w:pPr>
            <w:r w:rsidRPr="009C58D2">
              <w:rPr>
                <w:rFonts w:ascii="Arial" w:hAnsi="Arial" w:cs="Arial"/>
                <w:color w:val="000000"/>
                <w:sz w:val="20"/>
                <w:szCs w:val="20"/>
              </w:rPr>
              <w:t>IMPLEMENTED</w:t>
            </w:r>
          </w:p>
          <w:p w14:paraId="54A79D16" w14:textId="55642CF8" w:rsidR="005D25A2" w:rsidRDefault="005D25A2" w:rsidP="009C66AD">
            <w:pPr>
              <w:pStyle w:val="NormalWeb"/>
              <w:spacing w:before="170" w:after="0" w:line="0" w:lineRule="atLeast"/>
              <w:rPr>
                <w:rFonts w:ascii="Arial" w:hAnsi="Arial" w:cs="Arial"/>
                <w:color w:val="000000"/>
                <w:sz w:val="20"/>
                <w:szCs w:val="20"/>
              </w:rPr>
            </w:pPr>
            <w:r>
              <w:rPr>
                <w:rFonts w:ascii="Arial" w:hAnsi="Arial" w:cs="Arial"/>
                <w:color w:val="000000"/>
                <w:sz w:val="20"/>
                <w:szCs w:val="20"/>
              </w:rPr>
              <w:t xml:space="preserve">The </w:t>
            </w:r>
            <w:r w:rsidRPr="00D52FB7">
              <w:rPr>
                <w:rFonts w:ascii="Arial" w:hAnsi="Arial" w:cs="Arial"/>
                <w:color w:val="000000"/>
                <w:sz w:val="20"/>
                <w:szCs w:val="20"/>
              </w:rPr>
              <w:t>2016 Management Plan acknowledges that fire is one of the major threats to the property’s natural and cultural values and includes a number of measures to continue resourcing fire research and management in the property (</w:t>
            </w:r>
            <w:r w:rsidR="00C563AE">
              <w:rPr>
                <w:rFonts w:ascii="Arial" w:hAnsi="Arial" w:cs="Arial"/>
                <w:color w:val="000000"/>
                <w:sz w:val="20"/>
                <w:szCs w:val="20"/>
              </w:rPr>
              <w:t xml:space="preserve">further detail at </w:t>
            </w:r>
            <w:r w:rsidR="009C66AD">
              <w:rPr>
                <w:rFonts w:ascii="Arial" w:hAnsi="Arial" w:cs="Arial"/>
                <w:b/>
                <w:color w:val="000000"/>
                <w:sz w:val="20"/>
                <w:szCs w:val="20"/>
              </w:rPr>
              <w:t>S</w:t>
            </w:r>
            <w:r w:rsidRPr="00A01202">
              <w:rPr>
                <w:rFonts w:ascii="Arial" w:hAnsi="Arial" w:cs="Arial"/>
                <w:b/>
                <w:color w:val="000000"/>
                <w:sz w:val="20"/>
                <w:szCs w:val="20"/>
              </w:rPr>
              <w:t>ection</w:t>
            </w:r>
            <w:r w:rsidR="00C33F95" w:rsidRPr="00A01202">
              <w:rPr>
                <w:rFonts w:ascii="Arial" w:hAnsi="Arial" w:cs="Arial"/>
                <w:b/>
                <w:color w:val="000000"/>
                <w:sz w:val="20"/>
                <w:szCs w:val="20"/>
              </w:rPr>
              <w:t>s</w:t>
            </w:r>
            <w:r w:rsidRPr="00A01202">
              <w:rPr>
                <w:rFonts w:ascii="Arial" w:hAnsi="Arial" w:cs="Arial"/>
                <w:b/>
                <w:color w:val="000000"/>
                <w:sz w:val="20"/>
                <w:szCs w:val="20"/>
              </w:rPr>
              <w:t xml:space="preserve"> 1.6</w:t>
            </w:r>
            <w:r w:rsidR="00C33F95" w:rsidRPr="00A01202">
              <w:rPr>
                <w:rFonts w:ascii="Arial" w:hAnsi="Arial" w:cs="Arial"/>
                <w:b/>
                <w:color w:val="000000"/>
                <w:sz w:val="20"/>
                <w:szCs w:val="20"/>
              </w:rPr>
              <w:t xml:space="preserve"> and 3.1</w:t>
            </w:r>
            <w:r w:rsidR="00C563AE">
              <w:rPr>
                <w:rFonts w:ascii="Arial" w:hAnsi="Arial" w:cs="Arial"/>
                <w:color w:val="000000"/>
                <w:sz w:val="20"/>
                <w:szCs w:val="20"/>
              </w:rPr>
              <w:t xml:space="preserve"> </w:t>
            </w:r>
            <w:r>
              <w:rPr>
                <w:rFonts w:ascii="Arial" w:hAnsi="Arial" w:cs="Arial"/>
                <w:color w:val="000000"/>
                <w:sz w:val="20"/>
                <w:szCs w:val="20"/>
              </w:rPr>
              <w:t>above</w:t>
            </w:r>
            <w:r w:rsidRPr="00D52FB7">
              <w:rPr>
                <w:rFonts w:ascii="Arial" w:hAnsi="Arial" w:cs="Arial"/>
                <w:color w:val="000000"/>
                <w:sz w:val="20"/>
                <w:szCs w:val="20"/>
              </w:rPr>
              <w:t>).</w:t>
            </w:r>
          </w:p>
        </w:tc>
      </w:tr>
      <w:tr w:rsidR="005D25A2" w:rsidRPr="00CE040A" w14:paraId="107CE324" w14:textId="77777777" w:rsidTr="000858E9">
        <w:trPr>
          <w:cantSplit/>
          <w:trHeight w:val="851"/>
        </w:trPr>
        <w:tc>
          <w:tcPr>
            <w:tcW w:w="635" w:type="dxa"/>
          </w:tcPr>
          <w:p w14:paraId="5441C664" w14:textId="367BF6F8" w:rsidR="005D25A2" w:rsidRDefault="005D25A2" w:rsidP="00A01202">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lastRenderedPageBreak/>
              <w:t>18</w:t>
            </w:r>
          </w:p>
        </w:tc>
        <w:tc>
          <w:tcPr>
            <w:tcW w:w="3220" w:type="dxa"/>
          </w:tcPr>
          <w:p w14:paraId="7A64CCC8" w14:textId="689D9FC9" w:rsidR="005D25A2" w:rsidRPr="00D52FB7" w:rsidRDefault="005D25A2" w:rsidP="00A01202">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State Party should fully reflect biosecurity as a cross-cutting and permanent management priority in the Management Plan and ensure and, as required, step up financial and human capacity to monitor, prevent and manage biosecurity risks.</w:t>
            </w:r>
          </w:p>
        </w:tc>
        <w:tc>
          <w:tcPr>
            <w:tcW w:w="6205" w:type="dxa"/>
          </w:tcPr>
          <w:p w14:paraId="281BD397" w14:textId="77777777" w:rsidR="009C58D2" w:rsidRDefault="009C58D2" w:rsidP="00A01202">
            <w:pPr>
              <w:pStyle w:val="NormalWeb"/>
              <w:spacing w:before="170" w:after="120" w:line="0" w:lineRule="atLeast"/>
              <w:ind w:left="63"/>
              <w:rPr>
                <w:rFonts w:ascii="Arial" w:hAnsi="Arial" w:cs="Arial"/>
                <w:color w:val="000000"/>
                <w:sz w:val="20"/>
                <w:szCs w:val="20"/>
              </w:rPr>
            </w:pPr>
            <w:r>
              <w:rPr>
                <w:rFonts w:ascii="Arial" w:hAnsi="Arial" w:cs="Arial"/>
                <w:color w:val="000000"/>
                <w:sz w:val="20"/>
                <w:szCs w:val="20"/>
              </w:rPr>
              <w:t>IMPLEMENTED</w:t>
            </w:r>
          </w:p>
          <w:p w14:paraId="65E9EA95" w14:textId="2CB353C1" w:rsidR="005D25A2" w:rsidRPr="00D52FB7" w:rsidRDefault="005D25A2" w:rsidP="00A01202">
            <w:pPr>
              <w:pStyle w:val="NormalWeb"/>
              <w:spacing w:before="170" w:after="120" w:line="0" w:lineRule="atLeast"/>
              <w:ind w:left="63"/>
              <w:rPr>
                <w:rFonts w:ascii="Arial" w:hAnsi="Arial" w:cs="Arial"/>
                <w:color w:val="000000"/>
                <w:sz w:val="20"/>
                <w:szCs w:val="20"/>
              </w:rPr>
            </w:pPr>
            <w:r>
              <w:rPr>
                <w:rFonts w:ascii="Arial" w:hAnsi="Arial" w:cs="Arial"/>
                <w:color w:val="000000"/>
                <w:sz w:val="20"/>
                <w:szCs w:val="20"/>
              </w:rPr>
              <w:t xml:space="preserve">The </w:t>
            </w:r>
            <w:r w:rsidRPr="00D52FB7">
              <w:rPr>
                <w:rFonts w:ascii="Arial" w:hAnsi="Arial" w:cs="Arial"/>
                <w:color w:val="000000"/>
                <w:sz w:val="20"/>
                <w:szCs w:val="20"/>
              </w:rPr>
              <w:t>2016 Management Plan includes the following biosecurity measures:</w:t>
            </w:r>
          </w:p>
          <w:p w14:paraId="59D94ACA" w14:textId="40F1BD94" w:rsidR="005D25A2" w:rsidRPr="00D52FB7" w:rsidRDefault="005D25A2" w:rsidP="00A01202">
            <w:pPr>
              <w:pStyle w:val="NormalWeb"/>
              <w:numPr>
                <w:ilvl w:val="0"/>
                <w:numId w:val="26"/>
              </w:numPr>
              <w:spacing w:before="170" w:after="120" w:line="0" w:lineRule="atLeast"/>
              <w:rPr>
                <w:rFonts w:ascii="Arial" w:hAnsi="Arial" w:cs="Arial"/>
                <w:color w:val="000000"/>
                <w:sz w:val="20"/>
                <w:szCs w:val="20"/>
              </w:rPr>
            </w:pPr>
            <w:r w:rsidRPr="00C563AE">
              <w:rPr>
                <w:rFonts w:ascii="Arial" w:hAnsi="Arial" w:cs="Arial"/>
                <w:color w:val="000000"/>
                <w:sz w:val="20"/>
                <w:szCs w:val="20"/>
              </w:rPr>
              <w:t xml:space="preserve">develop a Biosecurity Overlay that facilitates a cross-cutting and permanent management priority that is responsive to changes in biosecurity risk and would facilitate a step-up in financial and human capacity to monitor, prevent and manage biosecurity risks as required (section 3.1.2 of the management plan) </w:t>
            </w:r>
          </w:p>
          <w:p w14:paraId="00172079" w14:textId="53267975" w:rsidR="005D25A2" w:rsidRPr="00D52FB7" w:rsidRDefault="005D25A2" w:rsidP="00A01202">
            <w:pPr>
              <w:pStyle w:val="NormalWeb"/>
              <w:numPr>
                <w:ilvl w:val="0"/>
                <w:numId w:val="26"/>
              </w:numPr>
              <w:spacing w:before="170" w:after="120" w:line="0" w:lineRule="atLeast"/>
              <w:rPr>
                <w:rFonts w:ascii="Arial" w:hAnsi="Arial" w:cs="Arial"/>
                <w:color w:val="000000"/>
                <w:sz w:val="20"/>
                <w:szCs w:val="20"/>
              </w:rPr>
            </w:pPr>
            <w:r w:rsidRPr="00D52FB7">
              <w:rPr>
                <w:rFonts w:ascii="Arial" w:hAnsi="Arial" w:cs="Arial"/>
                <w:color w:val="000000"/>
                <w:sz w:val="20"/>
                <w:szCs w:val="20"/>
              </w:rPr>
              <w:t xml:space="preserve">identify new threats to </w:t>
            </w:r>
            <w:r w:rsidR="00D37B34">
              <w:rPr>
                <w:rFonts w:ascii="Arial" w:hAnsi="Arial" w:cs="Arial"/>
                <w:color w:val="000000"/>
                <w:sz w:val="20"/>
                <w:szCs w:val="20"/>
              </w:rPr>
              <w:t>the</w:t>
            </w:r>
            <w:r w:rsidRPr="00D52FB7">
              <w:rPr>
                <w:rFonts w:ascii="Arial" w:hAnsi="Arial" w:cs="Arial"/>
                <w:color w:val="000000"/>
                <w:sz w:val="20"/>
                <w:szCs w:val="20"/>
              </w:rPr>
              <w:t xml:space="preserve"> Tasmanian Wilderness World Heritage Area’s natural values and reassess known threats, including weeds, pests, diseases and anthropogenic impacts; and, where possible, develop or review mitigation options, including the strengthening of biosecurity arrangements and increased cultural and volunteer involvement in control and eradication (section 5.1.2 of the management plan)</w:t>
            </w:r>
          </w:p>
          <w:p w14:paraId="12456374" w14:textId="5420BB0D" w:rsidR="005D25A2" w:rsidRPr="00D52FB7" w:rsidRDefault="005D25A2" w:rsidP="00A01202">
            <w:pPr>
              <w:pStyle w:val="NormalWeb"/>
              <w:numPr>
                <w:ilvl w:val="0"/>
                <w:numId w:val="26"/>
              </w:numPr>
              <w:spacing w:before="170" w:after="120" w:line="0" w:lineRule="atLeast"/>
              <w:rPr>
                <w:rFonts w:ascii="Arial" w:hAnsi="Arial" w:cs="Arial"/>
                <w:color w:val="000000"/>
                <w:sz w:val="20"/>
                <w:szCs w:val="20"/>
              </w:rPr>
            </w:pPr>
            <w:proofErr w:type="gramStart"/>
            <w:r w:rsidRPr="00D52FB7">
              <w:rPr>
                <w:rFonts w:ascii="Arial" w:hAnsi="Arial" w:cs="Arial"/>
                <w:color w:val="000000"/>
                <w:sz w:val="20"/>
                <w:szCs w:val="20"/>
              </w:rPr>
              <w:t>develop</w:t>
            </w:r>
            <w:proofErr w:type="gramEnd"/>
            <w:r w:rsidRPr="00D52FB7">
              <w:rPr>
                <w:rFonts w:ascii="Arial" w:hAnsi="Arial" w:cs="Arial"/>
                <w:color w:val="000000"/>
                <w:sz w:val="20"/>
                <w:szCs w:val="20"/>
              </w:rPr>
              <w:t xml:space="preserve"> a comprehensive suite of strategies that minimises biosecurity risks to the natural values of the Tasmanian Wilderness World Heritage Area (section 5.2.2 of the management plan).</w:t>
            </w:r>
          </w:p>
          <w:p w14:paraId="0B05140A" w14:textId="71F074C5" w:rsidR="005D25A2" w:rsidRDefault="005D25A2" w:rsidP="00A01202">
            <w:pPr>
              <w:pStyle w:val="NormalWeb"/>
              <w:spacing w:before="170" w:after="120" w:line="0" w:lineRule="atLeast"/>
              <w:ind w:left="63"/>
              <w:rPr>
                <w:rFonts w:ascii="Arial" w:hAnsi="Arial" w:cs="Arial"/>
                <w:color w:val="000000"/>
                <w:sz w:val="20"/>
                <w:szCs w:val="20"/>
              </w:rPr>
            </w:pPr>
            <w:r>
              <w:rPr>
                <w:rFonts w:ascii="Arial" w:hAnsi="Arial" w:cs="Arial"/>
                <w:color w:val="000000"/>
                <w:sz w:val="20"/>
                <w:szCs w:val="20"/>
              </w:rPr>
              <w:t>In response to this,</w:t>
            </w:r>
            <w:r w:rsidR="00C2389E">
              <w:rPr>
                <w:rFonts w:ascii="Arial" w:hAnsi="Arial" w:cs="Arial"/>
                <w:color w:val="000000"/>
                <w:sz w:val="20"/>
                <w:szCs w:val="20"/>
              </w:rPr>
              <w:t xml:space="preserve"> a Biosecurity Strategy for </w:t>
            </w:r>
            <w:r w:rsidR="009C58D2" w:rsidRPr="009C58D2">
              <w:rPr>
                <w:rFonts w:ascii="Arial" w:hAnsi="Arial" w:cs="Arial"/>
                <w:color w:val="000000"/>
                <w:sz w:val="20"/>
                <w:szCs w:val="20"/>
              </w:rPr>
              <w:t>the Tasmanian Wilderness World Heritage Area</w:t>
            </w:r>
            <w:r>
              <w:rPr>
                <w:rFonts w:ascii="Arial" w:hAnsi="Arial" w:cs="Arial"/>
                <w:color w:val="000000"/>
                <w:sz w:val="20"/>
                <w:szCs w:val="20"/>
              </w:rPr>
              <w:t xml:space="preserve"> is in development</w:t>
            </w:r>
            <w:r w:rsidR="00C563AE">
              <w:rPr>
                <w:rFonts w:ascii="Arial" w:hAnsi="Arial" w:cs="Arial"/>
                <w:color w:val="000000"/>
                <w:sz w:val="20"/>
                <w:szCs w:val="20"/>
              </w:rPr>
              <w:t>,</w:t>
            </w:r>
            <w:r>
              <w:rPr>
                <w:rFonts w:ascii="Arial" w:hAnsi="Arial" w:cs="Arial"/>
                <w:color w:val="000000"/>
                <w:sz w:val="20"/>
                <w:szCs w:val="20"/>
              </w:rPr>
              <w:t xml:space="preserve"> with scheduled completion by June 2020.</w:t>
            </w:r>
          </w:p>
          <w:p w14:paraId="5CDE7BEC" w14:textId="36054FBA" w:rsidR="005D25A2" w:rsidRDefault="005D25A2" w:rsidP="00A01202">
            <w:pPr>
              <w:pStyle w:val="NormalWeb"/>
              <w:spacing w:before="170" w:after="120" w:line="0" w:lineRule="atLeast"/>
              <w:ind w:left="63"/>
              <w:rPr>
                <w:rFonts w:ascii="Arial" w:hAnsi="Arial" w:cs="Arial"/>
                <w:color w:val="000000"/>
                <w:sz w:val="20"/>
                <w:szCs w:val="20"/>
              </w:rPr>
            </w:pPr>
            <w:r>
              <w:rPr>
                <w:rFonts w:ascii="Arial" w:hAnsi="Arial" w:cs="Arial"/>
                <w:color w:val="000000"/>
                <w:sz w:val="20"/>
                <w:szCs w:val="20"/>
              </w:rPr>
              <w:t>I</w:t>
            </w:r>
            <w:r w:rsidRPr="00D52FB7">
              <w:rPr>
                <w:rFonts w:ascii="Arial" w:hAnsi="Arial" w:cs="Arial"/>
                <w:color w:val="000000"/>
                <w:sz w:val="20"/>
                <w:szCs w:val="20"/>
              </w:rPr>
              <w:t xml:space="preserve">n </w:t>
            </w:r>
            <w:r>
              <w:rPr>
                <w:rFonts w:ascii="Arial" w:hAnsi="Arial" w:cs="Arial"/>
                <w:color w:val="000000"/>
                <w:sz w:val="20"/>
                <w:szCs w:val="20"/>
              </w:rPr>
              <w:t xml:space="preserve">relation to </w:t>
            </w:r>
            <w:r w:rsidRPr="00D52FB7">
              <w:rPr>
                <w:rFonts w:ascii="Arial" w:hAnsi="Arial" w:cs="Arial"/>
                <w:color w:val="000000"/>
                <w:sz w:val="20"/>
                <w:szCs w:val="20"/>
              </w:rPr>
              <w:t xml:space="preserve">the 2013 extension area </w:t>
            </w:r>
            <w:r w:rsidR="009C58D2">
              <w:rPr>
                <w:rFonts w:ascii="Arial" w:hAnsi="Arial" w:cs="Arial"/>
                <w:color w:val="000000"/>
                <w:sz w:val="20"/>
                <w:szCs w:val="20"/>
              </w:rPr>
              <w:t>t</w:t>
            </w:r>
            <w:r w:rsidRPr="00D52FB7">
              <w:rPr>
                <w:rFonts w:ascii="Arial" w:hAnsi="Arial" w:cs="Arial"/>
                <w:color w:val="000000"/>
                <w:sz w:val="20"/>
                <w:szCs w:val="20"/>
              </w:rPr>
              <w:t xml:space="preserve">o the </w:t>
            </w:r>
            <w:r w:rsidR="009C58D2" w:rsidRPr="009C58D2">
              <w:rPr>
                <w:rFonts w:ascii="Arial" w:hAnsi="Arial" w:cs="Arial"/>
                <w:color w:val="000000"/>
                <w:sz w:val="20"/>
                <w:szCs w:val="20"/>
              </w:rPr>
              <w:t>Tasmanian Wilderness World Heritage Area</w:t>
            </w:r>
            <w:r>
              <w:rPr>
                <w:rFonts w:ascii="Arial" w:hAnsi="Arial" w:cs="Arial"/>
                <w:color w:val="000000"/>
                <w:sz w:val="20"/>
                <w:szCs w:val="20"/>
              </w:rPr>
              <w:t>, a</w:t>
            </w:r>
            <w:r w:rsidRPr="00D52FB7">
              <w:rPr>
                <w:rFonts w:ascii="Arial" w:hAnsi="Arial" w:cs="Arial"/>
                <w:color w:val="000000"/>
                <w:sz w:val="20"/>
                <w:szCs w:val="20"/>
              </w:rPr>
              <w:t xml:space="preserve">dditional resources have been allocated to survey and review biosecurity risks, and </w:t>
            </w:r>
            <w:r>
              <w:rPr>
                <w:rFonts w:ascii="Arial" w:hAnsi="Arial" w:cs="Arial"/>
                <w:color w:val="000000"/>
                <w:sz w:val="20"/>
                <w:szCs w:val="20"/>
              </w:rPr>
              <w:t xml:space="preserve">to </w:t>
            </w:r>
            <w:r w:rsidRPr="00D52FB7">
              <w:rPr>
                <w:rFonts w:ascii="Arial" w:hAnsi="Arial" w:cs="Arial"/>
                <w:color w:val="000000"/>
                <w:sz w:val="20"/>
                <w:szCs w:val="20"/>
              </w:rPr>
              <w:t>install biosecurity infrastructure</w:t>
            </w:r>
            <w:r>
              <w:rPr>
                <w:rFonts w:ascii="Arial" w:hAnsi="Arial" w:cs="Arial"/>
                <w:color w:val="000000"/>
                <w:sz w:val="20"/>
                <w:szCs w:val="20"/>
              </w:rPr>
              <w:t>.</w:t>
            </w:r>
          </w:p>
          <w:p w14:paraId="5E44EE88" w14:textId="04C2D30C" w:rsidR="005D25A2" w:rsidRPr="00D52FB7" w:rsidRDefault="005D25A2" w:rsidP="00A01202">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 xml:space="preserve">The Australian and Tasmanian governments adopt a systematic approach to provide financial and human capacity to monitor, prevent and manage biosecurity risks at national and </w:t>
            </w:r>
            <w:r w:rsidR="00D37B34">
              <w:rPr>
                <w:rFonts w:ascii="Arial" w:hAnsi="Arial" w:cs="Arial"/>
                <w:color w:val="000000"/>
                <w:sz w:val="20"/>
                <w:szCs w:val="20"/>
              </w:rPr>
              <w:t>St</w:t>
            </w:r>
            <w:r w:rsidRPr="00D52FB7">
              <w:rPr>
                <w:rFonts w:ascii="Arial" w:hAnsi="Arial" w:cs="Arial"/>
                <w:color w:val="000000"/>
                <w:sz w:val="20"/>
                <w:szCs w:val="20"/>
              </w:rPr>
              <w:t>ate borders</w:t>
            </w:r>
            <w:r w:rsidR="00D37B34">
              <w:rPr>
                <w:rFonts w:ascii="Arial" w:hAnsi="Arial" w:cs="Arial"/>
                <w:color w:val="000000"/>
                <w:sz w:val="20"/>
                <w:szCs w:val="20"/>
              </w:rPr>
              <w:t>,</w:t>
            </w:r>
            <w:r w:rsidRPr="00D52FB7">
              <w:rPr>
                <w:rFonts w:ascii="Arial" w:hAnsi="Arial" w:cs="Arial"/>
                <w:color w:val="000000"/>
                <w:sz w:val="20"/>
                <w:szCs w:val="20"/>
              </w:rPr>
              <w:t xml:space="preserve"> in addition to the property level. The </w:t>
            </w:r>
            <w:r w:rsidRPr="00100551">
              <w:rPr>
                <w:rFonts w:ascii="Arial" w:hAnsi="Arial" w:cs="Arial"/>
                <w:i/>
                <w:color w:val="000000"/>
                <w:sz w:val="20"/>
                <w:szCs w:val="20"/>
              </w:rPr>
              <w:t>Tasmanian Biosecurity Strategy</w:t>
            </w:r>
            <w:r w:rsidRPr="00D52FB7">
              <w:rPr>
                <w:rFonts w:ascii="Arial" w:hAnsi="Arial" w:cs="Arial"/>
                <w:color w:val="000000"/>
                <w:sz w:val="20"/>
                <w:szCs w:val="20"/>
              </w:rPr>
              <w:t xml:space="preserve"> is a whole-of-government framework</w:t>
            </w:r>
            <w:r w:rsidR="00D37B34">
              <w:rPr>
                <w:rFonts w:ascii="Arial" w:hAnsi="Arial" w:cs="Arial"/>
                <w:color w:val="000000"/>
                <w:sz w:val="20"/>
                <w:szCs w:val="20"/>
              </w:rPr>
              <w:t>,</w:t>
            </w:r>
            <w:r>
              <w:rPr>
                <w:rFonts w:ascii="Arial" w:hAnsi="Arial" w:cs="Arial"/>
                <w:color w:val="000000"/>
                <w:sz w:val="20"/>
                <w:szCs w:val="20"/>
              </w:rPr>
              <w:t xml:space="preserve"> allowing</w:t>
            </w:r>
            <w:r w:rsidRPr="00D52FB7">
              <w:rPr>
                <w:rFonts w:ascii="Arial" w:hAnsi="Arial" w:cs="Arial"/>
                <w:color w:val="000000"/>
                <w:sz w:val="20"/>
                <w:szCs w:val="20"/>
              </w:rPr>
              <w:t xml:space="preserve"> biosecurity issues </w:t>
            </w:r>
            <w:r>
              <w:rPr>
                <w:rFonts w:ascii="Arial" w:hAnsi="Arial" w:cs="Arial"/>
                <w:color w:val="000000"/>
                <w:sz w:val="20"/>
                <w:szCs w:val="20"/>
              </w:rPr>
              <w:t xml:space="preserve">to be </w:t>
            </w:r>
            <w:r w:rsidRPr="00D52FB7">
              <w:rPr>
                <w:rFonts w:ascii="Arial" w:hAnsi="Arial" w:cs="Arial"/>
                <w:color w:val="000000"/>
                <w:sz w:val="20"/>
                <w:szCs w:val="20"/>
              </w:rPr>
              <w:t xml:space="preserve">addressed </w:t>
            </w:r>
            <w:r>
              <w:rPr>
                <w:rFonts w:ascii="Arial" w:hAnsi="Arial" w:cs="Arial"/>
                <w:color w:val="000000"/>
                <w:sz w:val="20"/>
                <w:szCs w:val="20"/>
              </w:rPr>
              <w:t>efficiently and</w:t>
            </w:r>
            <w:r w:rsidRPr="00D52FB7">
              <w:rPr>
                <w:rFonts w:ascii="Arial" w:hAnsi="Arial" w:cs="Arial"/>
                <w:color w:val="000000"/>
                <w:sz w:val="20"/>
                <w:szCs w:val="20"/>
              </w:rPr>
              <w:t xml:space="preserve"> effective</w:t>
            </w:r>
            <w:r>
              <w:rPr>
                <w:rFonts w:ascii="Arial" w:hAnsi="Arial" w:cs="Arial"/>
                <w:color w:val="000000"/>
                <w:sz w:val="20"/>
                <w:szCs w:val="20"/>
              </w:rPr>
              <w:t>ly</w:t>
            </w:r>
            <w:r w:rsidRPr="00D52FB7">
              <w:rPr>
                <w:rFonts w:ascii="Arial" w:hAnsi="Arial" w:cs="Arial"/>
                <w:color w:val="000000"/>
                <w:sz w:val="20"/>
                <w:szCs w:val="20"/>
              </w:rPr>
              <w:t xml:space="preserve">. </w:t>
            </w:r>
          </w:p>
          <w:p w14:paraId="0811086D" w14:textId="7CED3E93" w:rsidR="005D25A2" w:rsidRPr="00D52FB7" w:rsidRDefault="005D25A2" w:rsidP="00A01202">
            <w:pPr>
              <w:pStyle w:val="NormalWeb"/>
              <w:spacing w:before="170" w:after="120" w:line="0" w:lineRule="atLeast"/>
              <w:ind w:left="63"/>
              <w:rPr>
                <w:rFonts w:ascii="Arial" w:hAnsi="Arial" w:cs="Arial"/>
                <w:color w:val="000000"/>
                <w:sz w:val="20"/>
                <w:szCs w:val="20"/>
              </w:rPr>
            </w:pPr>
            <w:r>
              <w:rPr>
                <w:rFonts w:ascii="Arial" w:hAnsi="Arial" w:cs="Arial"/>
                <w:color w:val="000000"/>
                <w:sz w:val="20"/>
                <w:szCs w:val="20"/>
              </w:rPr>
              <w:t xml:space="preserve">Tasmania’s </w:t>
            </w:r>
            <w:r w:rsidRPr="00532B63">
              <w:rPr>
                <w:rFonts w:ascii="Arial" w:hAnsi="Arial" w:cs="Arial"/>
                <w:i/>
                <w:color w:val="000000"/>
                <w:sz w:val="20"/>
                <w:szCs w:val="20"/>
              </w:rPr>
              <w:t>Biosecurity Act 2019</w:t>
            </w:r>
            <w:r>
              <w:rPr>
                <w:rFonts w:ascii="Arial" w:hAnsi="Arial" w:cs="Arial"/>
                <w:color w:val="000000"/>
                <w:sz w:val="20"/>
                <w:szCs w:val="20"/>
              </w:rPr>
              <w:t xml:space="preserve"> </w:t>
            </w:r>
            <w:r w:rsidRPr="0061581A">
              <w:rPr>
                <w:rFonts w:ascii="Arial" w:hAnsi="Arial" w:cs="Arial"/>
                <w:color w:val="000000"/>
                <w:sz w:val="20"/>
                <w:szCs w:val="20"/>
              </w:rPr>
              <w:t>will strengthen Tasmania’s biosecurity measures to prevent and manage incursions that could impact the</w:t>
            </w:r>
            <w:r w:rsidR="009C58D2" w:rsidRPr="009C58D2">
              <w:rPr>
                <w:rFonts w:ascii="Arial" w:hAnsi="Arial" w:cs="Arial"/>
                <w:color w:val="000000"/>
                <w:sz w:val="20"/>
                <w:szCs w:val="20"/>
              </w:rPr>
              <w:t xml:space="preserve"> Tasmanian Wilderness World Heritage Area</w:t>
            </w:r>
            <w:r>
              <w:rPr>
                <w:rFonts w:ascii="Arial" w:hAnsi="Arial" w:cs="Arial"/>
                <w:color w:val="000000"/>
                <w:sz w:val="20"/>
                <w:szCs w:val="20"/>
              </w:rPr>
              <w:t xml:space="preserve">. The </w:t>
            </w:r>
            <w:r w:rsidR="00A01202" w:rsidRPr="00A01202">
              <w:rPr>
                <w:rFonts w:ascii="Arial" w:hAnsi="Arial" w:cs="Arial"/>
                <w:i/>
                <w:color w:val="000000"/>
                <w:sz w:val="20"/>
                <w:szCs w:val="20"/>
              </w:rPr>
              <w:t>Biosecurity Act 2019</w:t>
            </w:r>
            <w:r w:rsidR="00A01202" w:rsidRPr="00A01202">
              <w:rPr>
                <w:rFonts w:ascii="Arial" w:hAnsi="Arial" w:cs="Arial"/>
                <w:color w:val="000000"/>
                <w:sz w:val="20"/>
                <w:szCs w:val="20"/>
              </w:rPr>
              <w:t xml:space="preserve"> </w:t>
            </w:r>
            <w:r>
              <w:rPr>
                <w:rFonts w:ascii="Arial" w:hAnsi="Arial" w:cs="Arial"/>
                <w:color w:val="000000"/>
                <w:sz w:val="20"/>
                <w:szCs w:val="20"/>
              </w:rPr>
              <w:t>also provides statutory measures for biosecurity programs and zoning</w:t>
            </w:r>
            <w:r w:rsidR="00A01202">
              <w:rPr>
                <w:rFonts w:ascii="Arial" w:hAnsi="Arial" w:cs="Arial"/>
                <w:color w:val="000000"/>
                <w:sz w:val="20"/>
                <w:szCs w:val="20"/>
              </w:rPr>
              <w:t>,</w:t>
            </w:r>
            <w:r>
              <w:rPr>
                <w:rFonts w:ascii="Arial" w:hAnsi="Arial" w:cs="Arial"/>
                <w:color w:val="000000"/>
                <w:sz w:val="20"/>
                <w:szCs w:val="20"/>
              </w:rPr>
              <w:t xml:space="preserve"> which allow for specific management conditions to be applied and enforced.</w:t>
            </w:r>
          </w:p>
        </w:tc>
      </w:tr>
      <w:tr w:rsidR="005D25A2" w:rsidRPr="00CE040A" w14:paraId="000B35BA" w14:textId="77777777" w:rsidTr="000858E9">
        <w:trPr>
          <w:cantSplit/>
          <w:trHeight w:val="851"/>
        </w:trPr>
        <w:tc>
          <w:tcPr>
            <w:tcW w:w="635" w:type="dxa"/>
          </w:tcPr>
          <w:p w14:paraId="3382994E" w14:textId="4E910A2B" w:rsidR="005D25A2" w:rsidRDefault="005D25A2" w:rsidP="00A01202">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lastRenderedPageBreak/>
              <w:t>19</w:t>
            </w:r>
          </w:p>
        </w:tc>
        <w:tc>
          <w:tcPr>
            <w:tcW w:w="3220" w:type="dxa"/>
          </w:tcPr>
          <w:p w14:paraId="34402240" w14:textId="799FA738" w:rsidR="005D25A2" w:rsidRPr="00D52FB7" w:rsidRDefault="005D25A2" w:rsidP="00A01202">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t>State Party should fully consider the linkages between the property and adjacent lands, including the increased length of boundaries shared with private land as a result of the 2013 Minor Boundary Modification.</w:t>
            </w:r>
          </w:p>
        </w:tc>
        <w:tc>
          <w:tcPr>
            <w:tcW w:w="6205" w:type="dxa"/>
          </w:tcPr>
          <w:p w14:paraId="6E378E09" w14:textId="66CA9595" w:rsidR="00A01202" w:rsidRDefault="00A01202" w:rsidP="00A01202">
            <w:pPr>
              <w:pStyle w:val="NormalWeb"/>
              <w:spacing w:before="170" w:after="120" w:line="0" w:lineRule="atLeast"/>
              <w:ind w:left="63"/>
              <w:rPr>
                <w:rFonts w:ascii="Arial" w:hAnsi="Arial" w:cs="Arial"/>
                <w:color w:val="000000"/>
                <w:sz w:val="20"/>
                <w:szCs w:val="20"/>
              </w:rPr>
            </w:pPr>
            <w:r>
              <w:rPr>
                <w:rFonts w:ascii="Arial" w:hAnsi="Arial" w:cs="Arial"/>
                <w:color w:val="000000"/>
                <w:sz w:val="20"/>
                <w:szCs w:val="20"/>
              </w:rPr>
              <w:t>IMPLEMENTED</w:t>
            </w:r>
          </w:p>
          <w:p w14:paraId="4DCD9E6F" w14:textId="6450F41E" w:rsidR="005D25A2" w:rsidRPr="00D52FB7" w:rsidRDefault="00A01202" w:rsidP="00A01202">
            <w:pPr>
              <w:pStyle w:val="NormalWeb"/>
              <w:spacing w:before="170" w:after="120" w:line="0" w:lineRule="atLeast"/>
              <w:ind w:left="63"/>
              <w:rPr>
                <w:rFonts w:ascii="Arial" w:hAnsi="Arial" w:cs="Arial"/>
                <w:color w:val="000000"/>
                <w:sz w:val="20"/>
                <w:szCs w:val="20"/>
              </w:rPr>
            </w:pPr>
            <w:r>
              <w:rPr>
                <w:rFonts w:ascii="Arial" w:hAnsi="Arial" w:cs="Arial"/>
                <w:color w:val="000000"/>
                <w:sz w:val="20"/>
                <w:szCs w:val="20"/>
              </w:rPr>
              <w:t xml:space="preserve">The </w:t>
            </w:r>
            <w:r w:rsidR="005D25A2" w:rsidRPr="00D52FB7">
              <w:rPr>
                <w:rFonts w:ascii="Arial" w:hAnsi="Arial" w:cs="Arial"/>
                <w:color w:val="000000"/>
                <w:sz w:val="20"/>
                <w:szCs w:val="20"/>
              </w:rPr>
              <w:t>2016 Management Plan includes the following provisions that consider the shared boundaries of the property:</w:t>
            </w:r>
          </w:p>
          <w:p w14:paraId="6443DECA" w14:textId="74F63B24" w:rsidR="005D25A2" w:rsidRPr="00D52FB7" w:rsidRDefault="005D25A2" w:rsidP="00A01202">
            <w:pPr>
              <w:pStyle w:val="NormalWeb"/>
              <w:numPr>
                <w:ilvl w:val="0"/>
                <w:numId w:val="26"/>
              </w:numPr>
              <w:spacing w:before="170" w:after="120" w:line="0" w:lineRule="atLeast"/>
              <w:rPr>
                <w:rFonts w:ascii="Arial" w:hAnsi="Arial" w:cs="Arial"/>
                <w:color w:val="000000"/>
                <w:sz w:val="20"/>
                <w:szCs w:val="20"/>
              </w:rPr>
            </w:pPr>
            <w:r w:rsidRPr="00D52FB7">
              <w:rPr>
                <w:rFonts w:ascii="Arial" w:hAnsi="Arial" w:cs="Arial"/>
                <w:color w:val="000000"/>
                <w:sz w:val="20"/>
                <w:szCs w:val="20"/>
              </w:rPr>
              <w:t>incorporate areas of common interest to neighbours into a Communication Strategy for the property to ensure that neighbouring landowners are provided with relevant and timely information, and to clearly set out appropriate communication channels and responsibility for local areas (section 7.5 of the management plan)</w:t>
            </w:r>
          </w:p>
          <w:p w14:paraId="1AC6DCC0" w14:textId="2547D0B0" w:rsidR="005D25A2" w:rsidRPr="00D52FB7" w:rsidRDefault="005D25A2" w:rsidP="00A01202">
            <w:pPr>
              <w:pStyle w:val="NormalWeb"/>
              <w:numPr>
                <w:ilvl w:val="0"/>
                <w:numId w:val="26"/>
              </w:numPr>
              <w:spacing w:before="170" w:after="120" w:line="0" w:lineRule="atLeast"/>
              <w:rPr>
                <w:rFonts w:ascii="Arial" w:hAnsi="Arial" w:cs="Arial"/>
                <w:color w:val="000000"/>
                <w:sz w:val="20"/>
                <w:szCs w:val="20"/>
              </w:rPr>
            </w:pPr>
            <w:r w:rsidRPr="00D52FB7">
              <w:rPr>
                <w:rFonts w:ascii="Arial" w:hAnsi="Arial" w:cs="Arial"/>
                <w:color w:val="000000"/>
                <w:sz w:val="20"/>
                <w:szCs w:val="20"/>
              </w:rPr>
              <w:t>establish procedures that allow, as required, for the ongoing development of good neighbour management in local and regional areas (sect</w:t>
            </w:r>
            <w:r>
              <w:rPr>
                <w:rFonts w:ascii="Arial" w:hAnsi="Arial" w:cs="Arial"/>
                <w:color w:val="000000"/>
                <w:sz w:val="20"/>
                <w:szCs w:val="20"/>
              </w:rPr>
              <w:t>ion 7.5 of the management plan)</w:t>
            </w:r>
          </w:p>
          <w:p w14:paraId="5A0F84C5" w14:textId="4F1DA61C" w:rsidR="005D25A2" w:rsidRPr="00D52FB7" w:rsidRDefault="005D25A2" w:rsidP="00A01202">
            <w:pPr>
              <w:pStyle w:val="NormalWeb"/>
              <w:numPr>
                <w:ilvl w:val="0"/>
                <w:numId w:val="26"/>
              </w:numPr>
              <w:spacing w:before="170" w:after="120" w:line="0" w:lineRule="atLeast"/>
              <w:rPr>
                <w:rFonts w:ascii="Arial" w:hAnsi="Arial" w:cs="Arial"/>
                <w:color w:val="000000"/>
                <w:sz w:val="20"/>
                <w:szCs w:val="20"/>
              </w:rPr>
            </w:pPr>
            <w:proofErr w:type="gramStart"/>
            <w:r w:rsidRPr="00D52FB7">
              <w:rPr>
                <w:rFonts w:ascii="Arial" w:hAnsi="Arial" w:cs="Arial"/>
                <w:color w:val="000000"/>
                <w:sz w:val="20"/>
                <w:szCs w:val="20"/>
              </w:rPr>
              <w:t>establish</w:t>
            </w:r>
            <w:proofErr w:type="gramEnd"/>
            <w:r w:rsidRPr="00D52FB7">
              <w:rPr>
                <w:rFonts w:ascii="Arial" w:hAnsi="Arial" w:cs="Arial"/>
                <w:color w:val="000000"/>
                <w:sz w:val="20"/>
                <w:szCs w:val="20"/>
              </w:rPr>
              <w:t xml:space="preserve"> a Tasmanian Wilderness World Heritage Area Land Manager</w:t>
            </w:r>
            <w:r>
              <w:rPr>
                <w:rFonts w:ascii="Arial" w:hAnsi="Arial" w:cs="Arial"/>
                <w:color w:val="000000"/>
                <w:sz w:val="20"/>
                <w:szCs w:val="20"/>
              </w:rPr>
              <w:t>s Group (section 10.3 of the M</w:t>
            </w:r>
            <w:r w:rsidRPr="00D52FB7">
              <w:rPr>
                <w:rFonts w:ascii="Arial" w:hAnsi="Arial" w:cs="Arial"/>
                <w:color w:val="000000"/>
                <w:sz w:val="20"/>
                <w:szCs w:val="20"/>
              </w:rPr>
              <w:t xml:space="preserve">anagement </w:t>
            </w:r>
            <w:r>
              <w:rPr>
                <w:rFonts w:ascii="Arial" w:hAnsi="Arial" w:cs="Arial"/>
                <w:color w:val="000000"/>
                <w:sz w:val="20"/>
                <w:szCs w:val="20"/>
              </w:rPr>
              <w:t>P</w:t>
            </w:r>
            <w:r w:rsidRPr="00D52FB7">
              <w:rPr>
                <w:rFonts w:ascii="Arial" w:hAnsi="Arial" w:cs="Arial"/>
                <w:color w:val="000000"/>
                <w:sz w:val="20"/>
                <w:szCs w:val="20"/>
              </w:rPr>
              <w:t>lan).</w:t>
            </w:r>
          </w:p>
          <w:p w14:paraId="20655D4C" w14:textId="288583F9" w:rsidR="005D25A2" w:rsidRPr="00D52FB7" w:rsidRDefault="00C563AE" w:rsidP="00A01202">
            <w:pPr>
              <w:pStyle w:val="NormalWeb"/>
              <w:spacing w:before="170" w:after="120" w:line="0" w:lineRule="atLeast"/>
              <w:ind w:left="63"/>
              <w:rPr>
                <w:rFonts w:ascii="Arial" w:hAnsi="Arial" w:cs="Arial"/>
                <w:color w:val="000000"/>
                <w:sz w:val="20"/>
                <w:szCs w:val="20"/>
              </w:rPr>
            </w:pPr>
            <w:r>
              <w:rPr>
                <w:rFonts w:ascii="Arial" w:hAnsi="Arial" w:cs="Arial"/>
                <w:color w:val="000000"/>
                <w:sz w:val="20"/>
                <w:szCs w:val="20"/>
              </w:rPr>
              <w:t>T</w:t>
            </w:r>
            <w:r w:rsidR="005D25A2" w:rsidRPr="00D52FB7">
              <w:rPr>
                <w:rFonts w:ascii="Arial" w:hAnsi="Arial" w:cs="Arial"/>
                <w:color w:val="000000"/>
                <w:sz w:val="20"/>
                <w:szCs w:val="20"/>
              </w:rPr>
              <w:t xml:space="preserve">he Tasmanian Government </w:t>
            </w:r>
            <w:r w:rsidR="005D25A2">
              <w:rPr>
                <w:rFonts w:ascii="Arial" w:hAnsi="Arial" w:cs="Arial"/>
                <w:color w:val="000000"/>
                <w:sz w:val="20"/>
                <w:szCs w:val="20"/>
              </w:rPr>
              <w:t>has implemented a “</w:t>
            </w:r>
            <w:r w:rsidR="005D25A2" w:rsidRPr="00532B63">
              <w:rPr>
                <w:rFonts w:ascii="Arial" w:hAnsi="Arial" w:cs="Arial"/>
                <w:i/>
                <w:color w:val="000000"/>
                <w:sz w:val="20"/>
                <w:szCs w:val="20"/>
              </w:rPr>
              <w:t>Working Neighbours Program</w:t>
            </w:r>
            <w:r w:rsidR="005D25A2">
              <w:rPr>
                <w:rFonts w:ascii="Arial" w:hAnsi="Arial" w:cs="Arial"/>
                <w:color w:val="000000"/>
                <w:sz w:val="20"/>
                <w:szCs w:val="20"/>
              </w:rPr>
              <w:t>”</w:t>
            </w:r>
            <w:r w:rsidR="005D25A2" w:rsidRPr="00D52FB7">
              <w:rPr>
                <w:rFonts w:ascii="Arial" w:hAnsi="Arial" w:cs="Arial"/>
                <w:color w:val="000000"/>
                <w:sz w:val="20"/>
                <w:szCs w:val="20"/>
              </w:rPr>
              <w:t xml:space="preserve"> to develop respectful and productive relationships and partnerships between reserve and adjacent land managers, which further shared natural resource management and biosecurity goals and interests.</w:t>
            </w:r>
          </w:p>
          <w:p w14:paraId="1B6EADB8" w14:textId="69A9E3B6" w:rsidR="005D25A2" w:rsidRPr="00D52FB7" w:rsidRDefault="005D25A2" w:rsidP="00A01202">
            <w:pPr>
              <w:pStyle w:val="NormalWeb"/>
              <w:spacing w:before="170" w:after="120" w:line="0" w:lineRule="atLeast"/>
              <w:ind w:left="63"/>
              <w:rPr>
                <w:rFonts w:ascii="Arial" w:hAnsi="Arial" w:cs="Arial"/>
                <w:color w:val="000000"/>
                <w:sz w:val="20"/>
                <w:szCs w:val="20"/>
              </w:rPr>
            </w:pPr>
            <w:r w:rsidRPr="00C563AE">
              <w:rPr>
                <w:rFonts w:ascii="Arial" w:hAnsi="Arial" w:cs="Arial"/>
                <w:color w:val="000000"/>
                <w:sz w:val="20"/>
                <w:szCs w:val="20"/>
              </w:rPr>
              <w:t>The W</w:t>
            </w:r>
            <w:r w:rsidRPr="00BD45D6">
              <w:rPr>
                <w:rFonts w:ascii="Arial" w:hAnsi="Arial" w:cs="Arial"/>
                <w:color w:val="000000"/>
                <w:sz w:val="20"/>
                <w:szCs w:val="20"/>
              </w:rPr>
              <w:t>orking Neighbours Program was completed in September 2019.</w:t>
            </w:r>
            <w:r>
              <w:rPr>
                <w:rFonts w:ascii="Arial" w:hAnsi="Arial" w:cs="Arial"/>
                <w:color w:val="000000"/>
                <w:sz w:val="20"/>
                <w:szCs w:val="20"/>
              </w:rPr>
              <w:t xml:space="preserve"> To date</w:t>
            </w:r>
            <w:r w:rsidR="00C214D4">
              <w:rPr>
                <w:rFonts w:ascii="Arial" w:hAnsi="Arial" w:cs="Arial"/>
                <w:color w:val="000000"/>
                <w:sz w:val="20"/>
                <w:szCs w:val="20"/>
              </w:rPr>
              <w:t>,</w:t>
            </w:r>
            <w:r>
              <w:rPr>
                <w:rFonts w:ascii="Arial" w:hAnsi="Arial" w:cs="Arial"/>
                <w:color w:val="000000"/>
                <w:sz w:val="20"/>
                <w:szCs w:val="20"/>
              </w:rPr>
              <w:t xml:space="preserve"> 249 neighbours have been invited to provide feedback on issues within the </w:t>
            </w:r>
            <w:r w:rsidR="00A01202">
              <w:rPr>
                <w:rFonts w:ascii="Arial" w:hAnsi="Arial" w:cs="Arial"/>
                <w:color w:val="000000"/>
                <w:sz w:val="20"/>
                <w:szCs w:val="20"/>
              </w:rPr>
              <w:t xml:space="preserve">2013 </w:t>
            </w:r>
            <w:r>
              <w:rPr>
                <w:rFonts w:ascii="Arial" w:hAnsi="Arial" w:cs="Arial"/>
                <w:color w:val="000000"/>
                <w:sz w:val="20"/>
                <w:szCs w:val="20"/>
              </w:rPr>
              <w:t>extension</w:t>
            </w:r>
            <w:r w:rsidR="00A01202">
              <w:rPr>
                <w:rFonts w:ascii="Arial" w:hAnsi="Arial" w:cs="Arial"/>
                <w:color w:val="000000"/>
                <w:sz w:val="20"/>
                <w:szCs w:val="20"/>
              </w:rPr>
              <w:t xml:space="preserve"> to the </w:t>
            </w:r>
            <w:r w:rsidR="00A01202" w:rsidRPr="00A01202">
              <w:rPr>
                <w:rFonts w:ascii="Arial" w:hAnsi="Arial" w:cs="Arial"/>
                <w:color w:val="000000"/>
                <w:sz w:val="20"/>
                <w:szCs w:val="20"/>
              </w:rPr>
              <w:t>Tasmanian Wilderness World Heritage Area</w:t>
            </w:r>
            <w:r>
              <w:rPr>
                <w:rFonts w:ascii="Arial" w:hAnsi="Arial" w:cs="Arial"/>
                <w:color w:val="000000"/>
                <w:sz w:val="20"/>
                <w:szCs w:val="20"/>
              </w:rPr>
              <w:t>. Of these, 154 neighbours have been engaged one to one. Working Neighbour partnerships have been established with 55 neighbours</w:t>
            </w:r>
            <w:r w:rsidR="00C214D4">
              <w:rPr>
                <w:rFonts w:ascii="Arial" w:hAnsi="Arial" w:cs="Arial"/>
                <w:color w:val="000000"/>
                <w:sz w:val="20"/>
                <w:szCs w:val="20"/>
              </w:rPr>
              <w:t>,</w:t>
            </w:r>
            <w:r>
              <w:rPr>
                <w:rFonts w:ascii="Arial" w:hAnsi="Arial" w:cs="Arial"/>
                <w:color w:val="000000"/>
                <w:sz w:val="20"/>
                <w:szCs w:val="20"/>
              </w:rPr>
              <w:t xml:space="preserve"> and 72 on</w:t>
            </w:r>
            <w:r w:rsidR="000858E9">
              <w:rPr>
                <w:rFonts w:ascii="Arial" w:hAnsi="Arial" w:cs="Arial"/>
                <w:color w:val="000000"/>
                <w:sz w:val="20"/>
                <w:szCs w:val="20"/>
              </w:rPr>
              <w:t>-</w:t>
            </w:r>
            <w:r>
              <w:rPr>
                <w:rFonts w:ascii="Arial" w:hAnsi="Arial" w:cs="Arial"/>
                <w:color w:val="000000"/>
                <w:sz w:val="20"/>
                <w:szCs w:val="20"/>
              </w:rPr>
              <w:t>ground biosecurity activities have been implemented. An estimated 200 hectares of weeds have been controlled as a direct result of the program.</w:t>
            </w:r>
          </w:p>
        </w:tc>
      </w:tr>
      <w:tr w:rsidR="005D25A2" w:rsidRPr="00CE040A" w14:paraId="64D14712" w14:textId="77777777" w:rsidTr="000858E9">
        <w:trPr>
          <w:cantSplit/>
          <w:trHeight w:val="851"/>
        </w:trPr>
        <w:tc>
          <w:tcPr>
            <w:tcW w:w="635" w:type="dxa"/>
          </w:tcPr>
          <w:p w14:paraId="60D690EF" w14:textId="54F5FFFB" w:rsidR="005D25A2" w:rsidRDefault="005D25A2" w:rsidP="00A01202">
            <w:pPr>
              <w:pStyle w:val="NormalWeb"/>
              <w:spacing w:before="170" w:after="120" w:line="0" w:lineRule="atLeast"/>
              <w:ind w:left="63"/>
              <w:rPr>
                <w:rFonts w:ascii="Arial" w:hAnsi="Arial" w:cs="Arial"/>
                <w:color w:val="000000"/>
                <w:sz w:val="20"/>
                <w:szCs w:val="20"/>
              </w:rPr>
            </w:pPr>
            <w:r w:rsidRPr="00D52FB7">
              <w:rPr>
                <w:rFonts w:ascii="Arial" w:hAnsi="Arial" w:cs="Arial"/>
                <w:color w:val="000000"/>
                <w:sz w:val="20"/>
                <w:szCs w:val="20"/>
              </w:rPr>
              <w:lastRenderedPageBreak/>
              <w:t>20</w:t>
            </w:r>
          </w:p>
        </w:tc>
        <w:tc>
          <w:tcPr>
            <w:tcW w:w="3220" w:type="dxa"/>
          </w:tcPr>
          <w:p w14:paraId="2282FCEA" w14:textId="4AEBB697" w:rsidR="005D25A2" w:rsidRPr="00D52FB7" w:rsidRDefault="005D25A2" w:rsidP="00A01202">
            <w:pPr>
              <w:pStyle w:val="NormalWeb"/>
              <w:spacing w:before="170" w:after="0" w:line="0" w:lineRule="atLeast"/>
              <w:rPr>
                <w:rFonts w:ascii="Arial" w:hAnsi="Arial" w:cs="Arial"/>
                <w:color w:val="000000"/>
                <w:sz w:val="20"/>
                <w:szCs w:val="20"/>
              </w:rPr>
            </w:pPr>
            <w:r w:rsidRPr="00D52FB7">
              <w:rPr>
                <w:rFonts w:ascii="Arial" w:hAnsi="Arial" w:cs="Arial"/>
                <w:color w:val="000000"/>
                <w:sz w:val="20"/>
                <w:szCs w:val="20"/>
              </w:rPr>
              <w:t xml:space="preserve">State Party should support and consolidate the emerging joint management of the </w:t>
            </w:r>
            <w:r w:rsidRPr="00473CC9">
              <w:rPr>
                <w:rFonts w:ascii="Arial" w:hAnsi="Arial" w:cs="Arial"/>
                <w:color w:val="000000"/>
                <w:sz w:val="20"/>
                <w:szCs w:val="20"/>
              </w:rPr>
              <w:t>Tasmanian Wilderness World Heritage Area</w:t>
            </w:r>
            <w:r w:rsidRPr="00D52FB7">
              <w:rPr>
                <w:rFonts w:ascii="Arial" w:hAnsi="Arial" w:cs="Arial"/>
                <w:color w:val="000000"/>
                <w:sz w:val="20"/>
                <w:szCs w:val="20"/>
              </w:rPr>
              <w:t xml:space="preserve"> with the Tasmanian Aboriginal </w:t>
            </w:r>
            <w:r w:rsidR="00C214D4">
              <w:rPr>
                <w:rFonts w:ascii="Arial" w:hAnsi="Arial" w:cs="Arial"/>
                <w:color w:val="000000"/>
                <w:sz w:val="20"/>
                <w:szCs w:val="20"/>
              </w:rPr>
              <w:t>c</w:t>
            </w:r>
            <w:r w:rsidRPr="00D52FB7">
              <w:rPr>
                <w:rFonts w:ascii="Arial" w:hAnsi="Arial" w:cs="Arial"/>
                <w:color w:val="000000"/>
                <w:sz w:val="20"/>
                <w:szCs w:val="20"/>
              </w:rPr>
              <w:t>ommunity</w:t>
            </w:r>
          </w:p>
        </w:tc>
        <w:tc>
          <w:tcPr>
            <w:tcW w:w="6205" w:type="dxa"/>
          </w:tcPr>
          <w:p w14:paraId="3C854247" w14:textId="4AC059FC" w:rsidR="00A01202" w:rsidRDefault="00A01202" w:rsidP="00A01202">
            <w:pPr>
              <w:pStyle w:val="NormalWeb"/>
              <w:spacing w:before="170" w:after="0" w:line="0" w:lineRule="atLeast"/>
              <w:ind w:left="63"/>
              <w:rPr>
                <w:rFonts w:ascii="Arial" w:hAnsi="Arial" w:cs="Arial"/>
                <w:color w:val="000000"/>
                <w:sz w:val="20"/>
                <w:szCs w:val="20"/>
              </w:rPr>
            </w:pPr>
            <w:r>
              <w:rPr>
                <w:rFonts w:ascii="Arial" w:hAnsi="Arial" w:cs="Arial"/>
                <w:color w:val="000000"/>
                <w:sz w:val="20"/>
                <w:szCs w:val="20"/>
              </w:rPr>
              <w:t>IN PROGRESS</w:t>
            </w:r>
          </w:p>
          <w:p w14:paraId="6C89EE9E" w14:textId="277B2329" w:rsidR="005D25A2" w:rsidRPr="00CE040A" w:rsidRDefault="00C563AE" w:rsidP="00A01202">
            <w:pPr>
              <w:pStyle w:val="NormalWeb"/>
              <w:spacing w:before="170" w:after="0" w:line="0" w:lineRule="atLeast"/>
              <w:ind w:left="63"/>
              <w:rPr>
                <w:rFonts w:ascii="Arial" w:hAnsi="Arial" w:cs="Arial"/>
                <w:color w:val="000000"/>
                <w:sz w:val="20"/>
                <w:szCs w:val="20"/>
              </w:rPr>
            </w:pPr>
            <w:r>
              <w:rPr>
                <w:rFonts w:ascii="Arial" w:hAnsi="Arial" w:cs="Arial"/>
                <w:color w:val="000000"/>
                <w:sz w:val="20"/>
                <w:szCs w:val="20"/>
              </w:rPr>
              <w:t xml:space="preserve">A </w:t>
            </w:r>
            <w:r w:rsidR="005D25A2" w:rsidRPr="00D52FB7">
              <w:rPr>
                <w:rFonts w:ascii="Arial" w:hAnsi="Arial" w:cs="Arial"/>
                <w:color w:val="000000"/>
                <w:sz w:val="20"/>
                <w:szCs w:val="20"/>
              </w:rPr>
              <w:t>key desired outcome of the 2016 Management Plan is that management of Aboriginal cultural values will be undertaken through a joint management governance arrangement that is supported by a dedicated unit, within five years (section 4.2 of the management plan). The following management actions are included to achieve this outcome by establishing:</w:t>
            </w:r>
          </w:p>
          <w:p w14:paraId="02941A2A" w14:textId="34FE0A22" w:rsidR="005D25A2" w:rsidRPr="00D52FB7" w:rsidRDefault="005D25A2" w:rsidP="00A01202">
            <w:pPr>
              <w:pStyle w:val="NormalWeb"/>
              <w:numPr>
                <w:ilvl w:val="0"/>
                <w:numId w:val="26"/>
              </w:numPr>
              <w:spacing w:before="170" w:after="0" w:line="0" w:lineRule="atLeast"/>
              <w:rPr>
                <w:rFonts w:ascii="Arial" w:hAnsi="Arial" w:cs="Arial"/>
                <w:color w:val="000000"/>
                <w:sz w:val="20"/>
                <w:szCs w:val="20"/>
              </w:rPr>
            </w:pPr>
            <w:r w:rsidRPr="00D52FB7">
              <w:rPr>
                <w:rFonts w:ascii="Arial" w:hAnsi="Arial" w:cs="Arial"/>
                <w:color w:val="000000"/>
                <w:sz w:val="20"/>
                <w:szCs w:val="20"/>
              </w:rPr>
              <w:t>a Cultural Management Group (CMG) within Aboriginal Heritage Tasmania to oversee implementation of the cultural management outcomes of the management plan and to provide ongoing support for management of the Aboriginal cultural values in the Tasmanian</w:t>
            </w:r>
            <w:r>
              <w:rPr>
                <w:rFonts w:ascii="Arial" w:hAnsi="Arial" w:cs="Arial"/>
                <w:color w:val="000000"/>
                <w:sz w:val="20"/>
                <w:szCs w:val="20"/>
              </w:rPr>
              <w:t xml:space="preserve"> Wilderness World Heritage Area</w:t>
            </w:r>
          </w:p>
          <w:p w14:paraId="120130A9" w14:textId="77777777" w:rsidR="00C33F95" w:rsidRDefault="005D25A2" w:rsidP="00A01202">
            <w:pPr>
              <w:pStyle w:val="NormalWeb"/>
              <w:numPr>
                <w:ilvl w:val="0"/>
                <w:numId w:val="26"/>
              </w:numPr>
              <w:spacing w:before="170" w:after="0" w:line="0" w:lineRule="atLeast"/>
              <w:rPr>
                <w:rFonts w:ascii="Arial" w:hAnsi="Arial" w:cs="Arial"/>
                <w:color w:val="000000"/>
                <w:sz w:val="20"/>
                <w:szCs w:val="20"/>
              </w:rPr>
            </w:pPr>
            <w:proofErr w:type="gramStart"/>
            <w:r w:rsidRPr="00D52FB7">
              <w:rPr>
                <w:rFonts w:ascii="Arial" w:hAnsi="Arial" w:cs="Arial"/>
                <w:color w:val="000000"/>
                <w:sz w:val="20"/>
                <w:szCs w:val="20"/>
              </w:rPr>
              <w:t>governance</w:t>
            </w:r>
            <w:proofErr w:type="gramEnd"/>
            <w:r w:rsidRPr="00D52FB7">
              <w:rPr>
                <w:rFonts w:ascii="Arial" w:hAnsi="Arial" w:cs="Arial"/>
                <w:color w:val="000000"/>
                <w:sz w:val="20"/>
                <w:szCs w:val="20"/>
              </w:rPr>
              <w:t xml:space="preserve"> arrangements that provide a role for a non-government Aboriginal organisation in the joint management of the Aboriginal cultural values of the property.</w:t>
            </w:r>
          </w:p>
          <w:p w14:paraId="162D598E" w14:textId="082FF474" w:rsidR="00C33F95" w:rsidRPr="00D52FB7" w:rsidRDefault="00341CC3" w:rsidP="00A01202">
            <w:pPr>
              <w:pStyle w:val="NormalWeb"/>
              <w:spacing w:before="170" w:after="0" w:line="0" w:lineRule="atLeast"/>
              <w:rPr>
                <w:rFonts w:ascii="Arial" w:hAnsi="Arial" w:cs="Arial"/>
                <w:color w:val="000000"/>
                <w:sz w:val="20"/>
                <w:szCs w:val="20"/>
              </w:rPr>
            </w:pPr>
            <w:r w:rsidRPr="00C33F95">
              <w:rPr>
                <w:rFonts w:ascii="Arial" w:hAnsi="Arial" w:cs="Arial"/>
                <w:color w:val="000000"/>
                <w:sz w:val="20"/>
                <w:szCs w:val="20"/>
              </w:rPr>
              <w:t xml:space="preserve">As described in </w:t>
            </w:r>
            <w:r w:rsidR="009C66AD">
              <w:rPr>
                <w:rFonts w:ascii="Arial" w:hAnsi="Arial" w:cs="Arial"/>
                <w:b/>
                <w:color w:val="000000"/>
                <w:sz w:val="20"/>
                <w:szCs w:val="20"/>
              </w:rPr>
              <w:t>S</w:t>
            </w:r>
            <w:r w:rsidRPr="00A01202">
              <w:rPr>
                <w:rFonts w:ascii="Arial" w:hAnsi="Arial" w:cs="Arial"/>
                <w:b/>
                <w:color w:val="000000"/>
                <w:sz w:val="20"/>
                <w:szCs w:val="20"/>
              </w:rPr>
              <w:t>ection 2.1.8</w:t>
            </w:r>
            <w:r w:rsidR="00C2389E">
              <w:rPr>
                <w:rFonts w:ascii="Arial" w:hAnsi="Arial" w:cs="Arial"/>
                <w:color w:val="000000"/>
                <w:sz w:val="20"/>
                <w:szCs w:val="20"/>
              </w:rPr>
              <w:t xml:space="preserve"> (above), a</w:t>
            </w:r>
            <w:r w:rsidRPr="00C33F95">
              <w:rPr>
                <w:rFonts w:ascii="Arial" w:hAnsi="Arial" w:cs="Arial"/>
                <w:color w:val="000000"/>
                <w:sz w:val="20"/>
                <w:szCs w:val="20"/>
              </w:rPr>
              <w:t xml:space="preserve"> Cultural Management Group, with responsibility for the management of cultural values and delivery of relevant key desired outcomes in the 2016 Management Plan, has been established</w:t>
            </w:r>
            <w:r w:rsidR="00C33F95">
              <w:rPr>
                <w:rFonts w:ascii="Arial" w:hAnsi="Arial" w:cs="Arial"/>
                <w:color w:val="000000"/>
                <w:sz w:val="20"/>
                <w:szCs w:val="20"/>
              </w:rPr>
              <w:t>.</w:t>
            </w:r>
          </w:p>
        </w:tc>
      </w:tr>
    </w:tbl>
    <w:p w14:paraId="550C889A" w14:textId="77777777" w:rsidR="00CE040A" w:rsidRDefault="00CE040A" w:rsidP="00A01202">
      <w:pPr>
        <w:spacing w:before="170"/>
        <w:rPr>
          <w:lang w:val="en-US" w:eastAsia="ja-JP"/>
        </w:rPr>
      </w:pPr>
    </w:p>
    <w:p w14:paraId="5CE16585" w14:textId="77777777" w:rsidR="008C0447" w:rsidRDefault="008C0447" w:rsidP="00A01202">
      <w:pPr>
        <w:spacing w:before="170"/>
        <w:rPr>
          <w:highlight w:val="yellow"/>
          <w:lang w:val="en-US" w:eastAsia="ja-JP"/>
        </w:rPr>
        <w:sectPr w:rsidR="008C0447">
          <w:pgSz w:w="12240" w:h="15840"/>
          <w:pgMar w:top="1440" w:right="1440" w:bottom="1440" w:left="1440" w:header="708" w:footer="708" w:gutter="0"/>
          <w:cols w:space="708"/>
          <w:docGrid w:linePitch="360"/>
        </w:sectPr>
      </w:pPr>
    </w:p>
    <w:p w14:paraId="3804BFD9" w14:textId="5E0EE044" w:rsidR="009C66AD" w:rsidRDefault="00D916B5" w:rsidP="009C66AD">
      <w:pPr>
        <w:pStyle w:val="Heading2"/>
        <w:numPr>
          <w:ilvl w:val="0"/>
          <w:numId w:val="0"/>
        </w:numPr>
        <w:ind w:left="576" w:hanging="576"/>
        <w:jc w:val="right"/>
      </w:pPr>
      <w:bookmarkStart w:id="159" w:name="_Toc22806727"/>
      <w:r w:rsidRPr="00693C5C">
        <w:lastRenderedPageBreak/>
        <w:t xml:space="preserve">Appendix </w:t>
      </w:r>
      <w:r w:rsidR="00A236F2">
        <w:t>4</w:t>
      </w:r>
      <w:r w:rsidRPr="00693C5C">
        <w:t xml:space="preserve">: </w:t>
      </w:r>
    </w:p>
    <w:p w14:paraId="035FE24A" w14:textId="1F515E2E" w:rsidR="00D916B5" w:rsidRPr="00693C5C" w:rsidRDefault="009C66AD" w:rsidP="009C66AD">
      <w:pPr>
        <w:pStyle w:val="Heading2"/>
        <w:numPr>
          <w:ilvl w:val="0"/>
          <w:numId w:val="0"/>
        </w:numPr>
        <w:ind w:left="576" w:hanging="576"/>
        <w:jc w:val="center"/>
      </w:pPr>
      <w:r w:rsidRPr="009C66AD">
        <w:rPr>
          <w:i/>
          <w:lang w:val="en-AU"/>
        </w:rPr>
        <w:t xml:space="preserve">Environment Protection and Biodiversity Conservation Act 1999 </w:t>
      </w:r>
      <w:r w:rsidR="004E6BC1">
        <w:rPr>
          <w:i/>
          <w:lang w:val="en-AU"/>
        </w:rPr>
        <w:t xml:space="preserve">(EPBC Act) </w:t>
      </w:r>
      <w:r w:rsidR="00D916B5" w:rsidRPr="00693C5C">
        <w:t>process for protection of Outstanding Universal Value</w:t>
      </w:r>
      <w:bookmarkEnd w:id="159"/>
    </w:p>
    <w:p w14:paraId="1078F570" w14:textId="77777777" w:rsidR="00D916B5" w:rsidRPr="00D916B5" w:rsidRDefault="00D916B5" w:rsidP="00A01202">
      <w:pPr>
        <w:spacing w:before="170"/>
        <w:rPr>
          <w:b/>
          <w:lang w:eastAsia="ja-JP"/>
        </w:rPr>
      </w:pPr>
      <w:r w:rsidRPr="00D916B5">
        <w:rPr>
          <w:b/>
          <w:bCs/>
          <w:lang w:val="en-US" w:eastAsia="ja-JP"/>
        </w:rPr>
        <w:t> </w:t>
      </w:r>
    </w:p>
    <w:p w14:paraId="0B6C75A1" w14:textId="210B4C67" w:rsidR="00D916B5" w:rsidRPr="00D916B5" w:rsidRDefault="00D916B5" w:rsidP="00A01202">
      <w:pPr>
        <w:spacing w:before="170"/>
        <w:rPr>
          <w:lang w:eastAsia="ja-JP"/>
        </w:rPr>
      </w:pPr>
      <w:r w:rsidRPr="00D916B5">
        <w:rPr>
          <w:b/>
          <w:bCs/>
          <w:lang w:eastAsia="ja-JP"/>
        </w:rPr>
        <w:t xml:space="preserve">Stage 1 </w:t>
      </w:r>
      <w:r w:rsidRPr="00D916B5">
        <w:rPr>
          <w:b/>
          <w:lang w:eastAsia="ja-JP"/>
        </w:rPr>
        <w:t>Referral</w:t>
      </w:r>
      <w:r w:rsidR="00CF7CF1">
        <w:rPr>
          <w:lang w:eastAsia="ja-JP"/>
        </w:rPr>
        <w:t xml:space="preserve"> – a</w:t>
      </w:r>
      <w:r w:rsidRPr="00D916B5">
        <w:rPr>
          <w:lang w:eastAsia="ja-JP"/>
        </w:rPr>
        <w:t>t this stage</w:t>
      </w:r>
      <w:r w:rsidR="00C14D36">
        <w:rPr>
          <w:lang w:eastAsia="ja-JP"/>
        </w:rPr>
        <w:t>,</w:t>
      </w:r>
      <w:r w:rsidRPr="00D916B5">
        <w:rPr>
          <w:lang w:eastAsia="ja-JP"/>
        </w:rPr>
        <w:t xml:space="preserve"> the Federal Environment Minister determines whether or not a development proposal (proposed action) requires approval under the EPBC Act. Where a development proposal has, will have or is likely to have a significant impact on Outstanding Universal Value, it needs to be referred for assessment and approval under the EPBC Act. Referrals can be determined to be:</w:t>
      </w:r>
    </w:p>
    <w:p w14:paraId="5AE946F3" w14:textId="77777777" w:rsidR="00D916B5" w:rsidRPr="00D916B5" w:rsidRDefault="00D916B5" w:rsidP="00A01202">
      <w:pPr>
        <w:numPr>
          <w:ilvl w:val="0"/>
          <w:numId w:val="8"/>
        </w:numPr>
        <w:spacing w:before="170"/>
        <w:rPr>
          <w:lang w:eastAsia="ja-JP"/>
        </w:rPr>
      </w:pPr>
      <w:r w:rsidRPr="00D916B5">
        <w:rPr>
          <w:lang w:eastAsia="ja-JP"/>
        </w:rPr>
        <w:t>a controlled action - subject to the assessment and approval process as it is determined likely to have significant impacts (see Stages 2 and 3 below)</w:t>
      </w:r>
    </w:p>
    <w:p w14:paraId="4253D196" w14:textId="48052F27" w:rsidR="00D916B5" w:rsidRPr="00D916B5" w:rsidRDefault="00D916B5" w:rsidP="00A01202">
      <w:pPr>
        <w:numPr>
          <w:ilvl w:val="0"/>
          <w:numId w:val="8"/>
        </w:numPr>
        <w:spacing w:before="170"/>
        <w:rPr>
          <w:lang w:eastAsia="ja-JP"/>
        </w:rPr>
      </w:pPr>
      <w:r w:rsidRPr="00D916B5">
        <w:rPr>
          <w:lang w:eastAsia="ja-JP"/>
        </w:rPr>
        <w:t xml:space="preserve">not a controlled action - approval for the referred action is not required as it is determined that it is unlikely to have a significant impact </w:t>
      </w:r>
    </w:p>
    <w:p w14:paraId="249C4441" w14:textId="77777777" w:rsidR="00D916B5" w:rsidRPr="00D916B5" w:rsidRDefault="00D916B5" w:rsidP="00A01202">
      <w:pPr>
        <w:numPr>
          <w:ilvl w:val="0"/>
          <w:numId w:val="8"/>
        </w:numPr>
        <w:spacing w:before="170"/>
        <w:rPr>
          <w:lang w:eastAsia="ja-JP"/>
        </w:rPr>
      </w:pPr>
      <w:r w:rsidRPr="00D916B5">
        <w:rPr>
          <w:lang w:eastAsia="ja-JP"/>
        </w:rPr>
        <w:t>not a controlled action if undertaken in a ‘particular manner’ – approval for the referred action is not required as long as the action is taken in the manner specified in the decision notice</w:t>
      </w:r>
    </w:p>
    <w:p w14:paraId="19F34682" w14:textId="4C65FC32" w:rsidR="00D916B5" w:rsidRPr="00D916B5" w:rsidRDefault="005601B0" w:rsidP="00A01202">
      <w:pPr>
        <w:numPr>
          <w:ilvl w:val="0"/>
          <w:numId w:val="8"/>
        </w:numPr>
        <w:spacing w:before="170"/>
        <w:rPr>
          <w:lang w:eastAsia="ja-JP"/>
        </w:rPr>
      </w:pPr>
      <w:proofErr w:type="gramStart"/>
      <w:r>
        <w:rPr>
          <w:lang w:eastAsia="ja-JP"/>
        </w:rPr>
        <w:t>c</w:t>
      </w:r>
      <w:r w:rsidR="00D916B5" w:rsidRPr="00D916B5">
        <w:rPr>
          <w:lang w:eastAsia="ja-JP"/>
        </w:rPr>
        <w:t>learly</w:t>
      </w:r>
      <w:proofErr w:type="gramEnd"/>
      <w:r w:rsidR="00D916B5" w:rsidRPr="00D916B5">
        <w:rPr>
          <w:lang w:eastAsia="ja-JP"/>
        </w:rPr>
        <w:t xml:space="preserve"> unacceptable – the referred action cannot be taken as it is determined that it will have unacceptable impacts.</w:t>
      </w:r>
    </w:p>
    <w:p w14:paraId="24E4BB5A" w14:textId="77777777" w:rsidR="00D916B5" w:rsidRPr="00D916B5" w:rsidRDefault="00D916B5" w:rsidP="00A01202">
      <w:pPr>
        <w:spacing w:before="170"/>
        <w:rPr>
          <w:lang w:eastAsia="ja-JP"/>
        </w:rPr>
      </w:pPr>
      <w:r w:rsidRPr="00D916B5">
        <w:rPr>
          <w:lang w:eastAsia="ja-JP"/>
        </w:rPr>
        <w:t> </w:t>
      </w:r>
    </w:p>
    <w:p w14:paraId="75F4222A" w14:textId="77777777" w:rsidR="00D916B5" w:rsidRPr="00D916B5" w:rsidRDefault="00D916B5" w:rsidP="00A01202">
      <w:pPr>
        <w:spacing w:before="170"/>
        <w:rPr>
          <w:lang w:eastAsia="ja-JP"/>
        </w:rPr>
      </w:pPr>
      <w:r w:rsidRPr="00D916B5">
        <w:rPr>
          <w:b/>
          <w:bCs/>
          <w:lang w:eastAsia="ja-JP"/>
        </w:rPr>
        <w:t>Stage 2</w:t>
      </w:r>
      <w:r w:rsidRPr="00D916B5">
        <w:rPr>
          <w:b/>
          <w:lang w:eastAsia="ja-JP"/>
        </w:rPr>
        <w:t xml:space="preserve"> Assessment</w:t>
      </w:r>
      <w:r w:rsidRPr="00D916B5">
        <w:rPr>
          <w:lang w:eastAsia="ja-JP"/>
        </w:rPr>
        <w:t xml:space="preserve"> – proposed actions can be assessed using one of the following assessment methods, all of which involve public consultation:</w:t>
      </w:r>
    </w:p>
    <w:p w14:paraId="31CFA77C" w14:textId="0CA5C729" w:rsidR="00D916B5" w:rsidRPr="00D916B5" w:rsidRDefault="00D916B5" w:rsidP="00A01202">
      <w:pPr>
        <w:numPr>
          <w:ilvl w:val="0"/>
          <w:numId w:val="8"/>
        </w:numPr>
        <w:spacing w:before="170"/>
        <w:rPr>
          <w:lang w:eastAsia="ja-JP"/>
        </w:rPr>
      </w:pPr>
      <w:r w:rsidRPr="00D916B5">
        <w:rPr>
          <w:lang w:eastAsia="ja-JP"/>
        </w:rPr>
        <w:t xml:space="preserve">accredited assessment by a State </w:t>
      </w:r>
      <w:r w:rsidR="00C14D36">
        <w:rPr>
          <w:lang w:eastAsia="ja-JP"/>
        </w:rPr>
        <w:t>G</w:t>
      </w:r>
      <w:r w:rsidRPr="00D916B5">
        <w:rPr>
          <w:lang w:eastAsia="ja-JP"/>
        </w:rPr>
        <w:t>overnment (for example, on behalf of the Australian Government under a bilateral assessment agreement)</w:t>
      </w:r>
    </w:p>
    <w:p w14:paraId="06590E33" w14:textId="77777777" w:rsidR="00D916B5" w:rsidRPr="00D916B5" w:rsidRDefault="00D916B5" w:rsidP="00A01202">
      <w:pPr>
        <w:numPr>
          <w:ilvl w:val="0"/>
          <w:numId w:val="8"/>
        </w:numPr>
        <w:spacing w:before="170"/>
        <w:rPr>
          <w:lang w:eastAsia="ja-JP"/>
        </w:rPr>
      </w:pPr>
      <w:r w:rsidRPr="00D916B5">
        <w:rPr>
          <w:lang w:eastAsia="ja-JP"/>
        </w:rPr>
        <w:t>assessment on referral information (assessment done solely on the information provided in the referral form)</w:t>
      </w:r>
    </w:p>
    <w:p w14:paraId="21827F50" w14:textId="77777777" w:rsidR="00D916B5" w:rsidRPr="00D916B5" w:rsidRDefault="00D916B5" w:rsidP="00A01202">
      <w:pPr>
        <w:numPr>
          <w:ilvl w:val="0"/>
          <w:numId w:val="8"/>
        </w:numPr>
        <w:spacing w:before="170"/>
        <w:rPr>
          <w:lang w:eastAsia="ja-JP"/>
        </w:rPr>
      </w:pPr>
      <w:r w:rsidRPr="00D916B5">
        <w:rPr>
          <w:lang w:eastAsia="ja-JP"/>
        </w:rPr>
        <w:t>assessment on preliminary documentation (referral form and any other relevant material identified by the Minister as being necessary to adequately assess a proposed action)</w:t>
      </w:r>
    </w:p>
    <w:p w14:paraId="265AF02A" w14:textId="50AA2C75" w:rsidR="00D916B5" w:rsidRPr="00D916B5" w:rsidRDefault="00D916B5" w:rsidP="00A01202">
      <w:pPr>
        <w:numPr>
          <w:ilvl w:val="0"/>
          <w:numId w:val="8"/>
        </w:numPr>
        <w:spacing w:before="170"/>
        <w:rPr>
          <w:lang w:eastAsia="ja-JP"/>
        </w:rPr>
      </w:pPr>
      <w:r w:rsidRPr="00D916B5">
        <w:rPr>
          <w:lang w:eastAsia="ja-JP"/>
        </w:rPr>
        <w:t>assessment by environmental impact statement or publ</w:t>
      </w:r>
      <w:r>
        <w:rPr>
          <w:lang w:eastAsia="ja-JP"/>
        </w:rPr>
        <w:t>ic environment report</w:t>
      </w:r>
    </w:p>
    <w:p w14:paraId="09BC3568" w14:textId="77777777" w:rsidR="00D916B5" w:rsidRPr="00D916B5" w:rsidRDefault="00D916B5" w:rsidP="00A01202">
      <w:pPr>
        <w:numPr>
          <w:ilvl w:val="0"/>
          <w:numId w:val="8"/>
        </w:numPr>
        <w:spacing w:before="170"/>
        <w:rPr>
          <w:lang w:eastAsia="ja-JP"/>
        </w:rPr>
      </w:pPr>
      <w:proofErr w:type="gramStart"/>
      <w:r w:rsidRPr="00D916B5">
        <w:rPr>
          <w:lang w:eastAsia="ja-JP"/>
        </w:rPr>
        <w:t>assessment</w:t>
      </w:r>
      <w:proofErr w:type="gramEnd"/>
      <w:r w:rsidRPr="00D916B5">
        <w:rPr>
          <w:lang w:eastAsia="ja-JP"/>
        </w:rPr>
        <w:t xml:space="preserve"> by public inquiry.</w:t>
      </w:r>
    </w:p>
    <w:p w14:paraId="14598876" w14:textId="77777777" w:rsidR="00D916B5" w:rsidRPr="00D916B5" w:rsidRDefault="00D916B5" w:rsidP="00A01202">
      <w:pPr>
        <w:spacing w:before="170"/>
        <w:rPr>
          <w:lang w:eastAsia="ja-JP"/>
        </w:rPr>
      </w:pPr>
      <w:r w:rsidRPr="00D916B5">
        <w:rPr>
          <w:lang w:eastAsia="ja-JP"/>
        </w:rPr>
        <w:t> </w:t>
      </w:r>
    </w:p>
    <w:p w14:paraId="49D4DAC0" w14:textId="77777777" w:rsidR="00D916B5" w:rsidRPr="00D916B5" w:rsidRDefault="00D916B5" w:rsidP="00A01202">
      <w:pPr>
        <w:spacing w:before="170"/>
        <w:rPr>
          <w:lang w:eastAsia="ja-JP"/>
        </w:rPr>
      </w:pPr>
      <w:r w:rsidRPr="00D916B5">
        <w:rPr>
          <w:b/>
          <w:bCs/>
          <w:lang w:eastAsia="ja-JP"/>
        </w:rPr>
        <w:t>Stage 3</w:t>
      </w:r>
      <w:r w:rsidRPr="00D916B5">
        <w:rPr>
          <w:b/>
          <w:lang w:eastAsia="ja-JP"/>
        </w:rPr>
        <w:t xml:space="preserve"> Decision whether to approve</w:t>
      </w:r>
      <w:r w:rsidRPr="00D916B5">
        <w:rPr>
          <w:lang w:eastAsia="ja-JP"/>
        </w:rPr>
        <w:t xml:space="preserve"> - </w:t>
      </w:r>
      <w:r w:rsidRPr="00D916B5">
        <w:rPr>
          <w:lang w:val="en" w:eastAsia="ja-JP"/>
        </w:rPr>
        <w:t>following the assessment of a proposed action, the Minister for the Environment will decide whether to:</w:t>
      </w:r>
    </w:p>
    <w:p w14:paraId="05D8E752" w14:textId="77777777" w:rsidR="00D916B5" w:rsidRPr="00D916B5" w:rsidRDefault="00D916B5" w:rsidP="00A01202">
      <w:pPr>
        <w:numPr>
          <w:ilvl w:val="0"/>
          <w:numId w:val="8"/>
        </w:numPr>
        <w:spacing w:before="170"/>
        <w:rPr>
          <w:lang w:eastAsia="ja-JP"/>
        </w:rPr>
      </w:pPr>
      <w:r w:rsidRPr="00D916B5">
        <w:rPr>
          <w:lang w:eastAsia="ja-JP"/>
        </w:rPr>
        <w:t>approve the action (with or without conditions of approval)</w:t>
      </w:r>
    </w:p>
    <w:p w14:paraId="6D2EFA05" w14:textId="77777777" w:rsidR="00D916B5" w:rsidRPr="00D916B5" w:rsidRDefault="00D916B5" w:rsidP="00A01202">
      <w:pPr>
        <w:numPr>
          <w:ilvl w:val="0"/>
          <w:numId w:val="8"/>
        </w:numPr>
        <w:spacing w:before="170"/>
        <w:rPr>
          <w:lang w:eastAsia="ja-JP"/>
        </w:rPr>
      </w:pPr>
      <w:proofErr w:type="gramStart"/>
      <w:r w:rsidRPr="00D916B5">
        <w:rPr>
          <w:lang w:eastAsia="ja-JP"/>
        </w:rPr>
        <w:t>not</w:t>
      </w:r>
      <w:proofErr w:type="gramEnd"/>
      <w:r w:rsidRPr="00D916B5">
        <w:rPr>
          <w:lang w:eastAsia="ja-JP"/>
        </w:rPr>
        <w:t xml:space="preserve"> approve the action.</w:t>
      </w:r>
    </w:p>
    <w:sectPr w:rsidR="00D916B5" w:rsidRPr="00D916B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3B297" w14:textId="77777777" w:rsidR="002A58D5" w:rsidRDefault="002A58D5" w:rsidP="004B4B42">
      <w:r>
        <w:separator/>
      </w:r>
    </w:p>
  </w:endnote>
  <w:endnote w:type="continuationSeparator" w:id="0">
    <w:p w14:paraId="4CDE7032" w14:textId="77777777" w:rsidR="002A58D5" w:rsidRDefault="002A58D5" w:rsidP="004B4B42">
      <w:r>
        <w:continuationSeparator/>
      </w:r>
    </w:p>
  </w:endnote>
  <w:endnote w:type="continuationNotice" w:id="1">
    <w:p w14:paraId="17B4B89C" w14:textId="77777777" w:rsidR="002A58D5" w:rsidRDefault="002A5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GaramondPro-Regular">
    <w:altName w:val="Adobe Garamond Pro"/>
    <w:panose1 w:val="020205020605060204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vTT5235d5a9">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9B41C" w14:textId="77777777" w:rsidR="002A58D5" w:rsidRDefault="002A58D5" w:rsidP="009A2A5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442302"/>
      <w:docPartObj>
        <w:docPartGallery w:val="Page Numbers (Bottom of Page)"/>
        <w:docPartUnique/>
      </w:docPartObj>
    </w:sdtPr>
    <w:sdtEndPr>
      <w:rPr>
        <w:noProof/>
      </w:rPr>
    </w:sdtEndPr>
    <w:sdtContent>
      <w:p w14:paraId="56FBD53F" w14:textId="509987DE" w:rsidR="002A58D5" w:rsidRDefault="002A58D5" w:rsidP="009A2A52">
        <w:pPr>
          <w:pStyle w:val="Footer"/>
          <w:jc w:val="center"/>
        </w:pPr>
        <w:r>
          <w:fldChar w:fldCharType="begin"/>
        </w:r>
        <w:r>
          <w:instrText xml:space="preserve"> PAGE   \* MERGEFORMAT </w:instrText>
        </w:r>
        <w:r>
          <w:fldChar w:fldCharType="separate"/>
        </w:r>
        <w:r w:rsidR="008157F9">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940741"/>
      <w:docPartObj>
        <w:docPartGallery w:val="Page Numbers (Bottom of Page)"/>
        <w:docPartUnique/>
      </w:docPartObj>
    </w:sdtPr>
    <w:sdtEndPr>
      <w:rPr>
        <w:noProof/>
      </w:rPr>
    </w:sdtEndPr>
    <w:sdtContent>
      <w:p w14:paraId="663B5917" w14:textId="3BF6F0C8" w:rsidR="002A58D5" w:rsidRDefault="002A58D5" w:rsidP="009A2A52">
        <w:pPr>
          <w:pStyle w:val="Footer"/>
          <w:jc w:val="center"/>
        </w:pPr>
        <w:r>
          <w:fldChar w:fldCharType="begin"/>
        </w:r>
        <w:r>
          <w:instrText xml:space="preserve"> PAGE   \* MERGEFORMAT </w:instrText>
        </w:r>
        <w:r>
          <w:fldChar w:fldCharType="separate"/>
        </w:r>
        <w:r w:rsidR="008157F9">
          <w:rPr>
            <w:noProof/>
          </w:rPr>
          <w:t>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E4D41" w14:textId="77777777" w:rsidR="002A58D5" w:rsidRDefault="002A58D5" w:rsidP="004B4B42">
      <w:r>
        <w:separator/>
      </w:r>
    </w:p>
  </w:footnote>
  <w:footnote w:type="continuationSeparator" w:id="0">
    <w:p w14:paraId="202BA807" w14:textId="77777777" w:rsidR="002A58D5" w:rsidRDefault="002A58D5" w:rsidP="004B4B42">
      <w:r>
        <w:continuationSeparator/>
      </w:r>
    </w:p>
  </w:footnote>
  <w:footnote w:type="continuationNotice" w:id="1">
    <w:p w14:paraId="4F3CF517" w14:textId="77777777" w:rsidR="002A58D5" w:rsidRDefault="002A58D5">
      <w:pPr>
        <w:spacing w:after="0" w:line="240" w:lineRule="auto"/>
      </w:pPr>
    </w:p>
  </w:footnote>
  <w:footnote w:id="2">
    <w:p w14:paraId="38745074" w14:textId="77777777" w:rsidR="002A58D5" w:rsidRPr="00E01D50" w:rsidRDefault="002A58D5" w:rsidP="00861A52">
      <w:pPr>
        <w:pStyle w:val="Footnote"/>
        <w:rPr>
          <w:color w:val="000000"/>
        </w:rPr>
      </w:pPr>
      <w:r>
        <w:rPr>
          <w:rStyle w:val="FootnoteReference"/>
        </w:rPr>
        <w:footnoteRef/>
      </w:r>
      <w:r>
        <w:t xml:space="preserve"> </w:t>
      </w:r>
      <w:r>
        <w:rPr>
          <w:color w:val="000000"/>
        </w:rPr>
        <w:t xml:space="preserve">The management plan is published on the Tasmanian Government’s website at </w:t>
      </w:r>
      <w:hyperlink r:id="rId1" w:history="1">
        <w:r w:rsidRPr="00B950F1">
          <w:rPr>
            <w:rStyle w:val="Hyperlink"/>
            <w:bCs/>
            <w:szCs w:val="16"/>
          </w:rPr>
          <w:t>http://dpipwe.tas.gov.au/conservation/tasmanian-wilderness-world-heritage-area-(twwha)/twwha-management-plan</w:t>
        </w:r>
      </w:hyperlink>
      <w:r w:rsidRPr="00B950F1">
        <w:rPr>
          <w:color w:val="000000"/>
          <w:szCs w:val="16"/>
        </w:rPr>
        <w:t>.</w:t>
      </w:r>
    </w:p>
  </w:footnote>
  <w:footnote w:id="3">
    <w:p w14:paraId="613F490E" w14:textId="77777777" w:rsidR="002A58D5" w:rsidRDefault="002A58D5">
      <w:pPr>
        <w:pStyle w:val="FootnoteText"/>
      </w:pPr>
      <w:r>
        <w:rPr>
          <w:rStyle w:val="FootnoteReference"/>
        </w:rPr>
        <w:footnoteRef/>
      </w:r>
      <w:r>
        <w:t xml:space="preserve"> </w:t>
      </w:r>
      <w:r w:rsidRPr="006B3F91">
        <w:rPr>
          <w:sz w:val="16"/>
          <w:szCs w:val="16"/>
        </w:rPr>
        <w:t>Excluding conservation areas vested in Hydro Tasmania</w:t>
      </w:r>
    </w:p>
  </w:footnote>
  <w:footnote w:id="4">
    <w:p w14:paraId="53E292E6" w14:textId="77777777" w:rsidR="002A58D5" w:rsidRDefault="002A58D5" w:rsidP="001375F4">
      <w:pPr>
        <w:pStyle w:val="Footnote"/>
      </w:pPr>
      <w:r>
        <w:rPr>
          <w:rStyle w:val="FootnoteReference"/>
        </w:rPr>
        <w:footnoteRef/>
      </w:r>
      <w:r>
        <w:t xml:space="preserve"> Refer to the </w:t>
      </w:r>
      <w:r w:rsidRPr="00F837DE">
        <w:t>Executive Summary, Statement of Values and management action in section 4.6 “A Cultural Landscape”</w:t>
      </w:r>
      <w:r>
        <w:t xml:space="preserve"> of the 2016 Management Plan</w:t>
      </w:r>
      <w:r w:rsidRPr="00F837DE">
        <w:t>.</w:t>
      </w:r>
    </w:p>
  </w:footnote>
  <w:footnote w:id="5">
    <w:p w14:paraId="55FB1DCF" w14:textId="68AEA522" w:rsidR="002A58D5" w:rsidRPr="007D1D44" w:rsidRDefault="002A58D5" w:rsidP="007B36A8">
      <w:pPr>
        <w:pStyle w:val="FootnoteText"/>
        <w:rPr>
          <w:sz w:val="16"/>
          <w:szCs w:val="16"/>
        </w:rPr>
      </w:pPr>
      <w:r>
        <w:rPr>
          <w:rStyle w:val="FootnoteReference"/>
        </w:rPr>
        <w:footnoteRef/>
      </w:r>
      <w:r>
        <w:t xml:space="preserve"> </w:t>
      </w:r>
      <w:r w:rsidRPr="007D1D44">
        <w:rPr>
          <w:sz w:val="16"/>
          <w:szCs w:val="16"/>
        </w:rPr>
        <w:t xml:space="preserve">AFAC Australasian </w:t>
      </w:r>
      <w:r w:rsidRPr="007D1D44">
        <w:rPr>
          <w:bCs/>
          <w:sz w:val="16"/>
          <w:szCs w:val="16"/>
        </w:rPr>
        <w:t>Fire</w:t>
      </w:r>
      <w:r w:rsidRPr="007D1D44">
        <w:rPr>
          <w:sz w:val="16"/>
          <w:szCs w:val="16"/>
        </w:rPr>
        <w:t xml:space="preserve"> and Emergency Service Independent Operational Review - A review of the management of the Tasmanian fires of January 2016, prepared for the Tasmania Fire Service, Forestry Tasmania and Tasmania</w:t>
      </w:r>
      <w:r w:rsidRPr="007D1D44" w:rsidDel="00D415FE">
        <w:rPr>
          <w:sz w:val="16"/>
          <w:szCs w:val="16"/>
        </w:rPr>
        <w:t xml:space="preserve"> </w:t>
      </w:r>
      <w:r w:rsidRPr="007D1D44">
        <w:rPr>
          <w:sz w:val="16"/>
          <w:szCs w:val="16"/>
        </w:rPr>
        <w:t>Parks and Wildlife Service, April 2016. Available at  https://www.fire.tas.gov.au/userfiles/tym/file/misc/1604_tasfirereport_final1.pdf</w:t>
      </w:r>
    </w:p>
  </w:footnote>
  <w:footnote w:id="6">
    <w:p w14:paraId="1DB365DE" w14:textId="13FBA5BB" w:rsidR="002A58D5" w:rsidRPr="00C010C1" w:rsidRDefault="002A58D5">
      <w:pPr>
        <w:pStyle w:val="FootnoteText"/>
        <w:rPr>
          <w:sz w:val="16"/>
          <w:szCs w:val="16"/>
        </w:rPr>
      </w:pPr>
      <w:r w:rsidRPr="00C010C1">
        <w:rPr>
          <w:rStyle w:val="FootnoteReference"/>
          <w:sz w:val="16"/>
          <w:szCs w:val="16"/>
        </w:rPr>
        <w:footnoteRef/>
      </w:r>
      <w:r w:rsidRPr="00C010C1">
        <w:rPr>
          <w:sz w:val="16"/>
          <w:szCs w:val="16"/>
        </w:rPr>
        <w:t xml:space="preserve"> Schneider, L., </w:t>
      </w:r>
      <w:proofErr w:type="spellStart"/>
      <w:r w:rsidRPr="00C010C1">
        <w:rPr>
          <w:sz w:val="16"/>
          <w:szCs w:val="16"/>
        </w:rPr>
        <w:t>Mariani</w:t>
      </w:r>
      <w:proofErr w:type="spellEnd"/>
      <w:r w:rsidRPr="00C010C1">
        <w:rPr>
          <w:sz w:val="16"/>
          <w:szCs w:val="16"/>
        </w:rPr>
        <w:t xml:space="preserve">, M., Saunders, K.M., Maher, W.A., Harrison, J.J., Fletcher, M.S., </w:t>
      </w:r>
      <w:proofErr w:type="spellStart"/>
      <w:r w:rsidRPr="00C010C1">
        <w:rPr>
          <w:sz w:val="16"/>
          <w:szCs w:val="16"/>
        </w:rPr>
        <w:t>Zawadzki</w:t>
      </w:r>
      <w:proofErr w:type="spellEnd"/>
      <w:r w:rsidRPr="00C010C1">
        <w:rPr>
          <w:sz w:val="16"/>
          <w:szCs w:val="16"/>
        </w:rPr>
        <w:t xml:space="preserve">, A., </w:t>
      </w:r>
      <w:proofErr w:type="spellStart"/>
      <w:r w:rsidRPr="00C010C1">
        <w:rPr>
          <w:sz w:val="16"/>
          <w:szCs w:val="16"/>
        </w:rPr>
        <w:t>Heijnis</w:t>
      </w:r>
      <w:proofErr w:type="spellEnd"/>
      <w:r w:rsidRPr="00C010C1">
        <w:rPr>
          <w:sz w:val="16"/>
          <w:szCs w:val="16"/>
        </w:rPr>
        <w:t xml:space="preserve">, H. and </w:t>
      </w:r>
      <w:proofErr w:type="spellStart"/>
      <w:r w:rsidRPr="00C010C1">
        <w:rPr>
          <w:sz w:val="16"/>
          <w:szCs w:val="16"/>
        </w:rPr>
        <w:t>Haberle</w:t>
      </w:r>
      <w:proofErr w:type="spellEnd"/>
      <w:r w:rsidRPr="00C010C1">
        <w:rPr>
          <w:sz w:val="16"/>
          <w:szCs w:val="16"/>
        </w:rPr>
        <w:t xml:space="preserve">, S.G., 2019. How significant is atmospheric metal contamination from mining activity adjacent to the TWWHA? A spatial analysis of metal concentrations using air trajectories models. </w:t>
      </w:r>
      <w:r w:rsidRPr="00C010C1">
        <w:rPr>
          <w:i/>
          <w:iCs/>
          <w:sz w:val="16"/>
          <w:szCs w:val="16"/>
        </w:rPr>
        <w:t>Science of The Total Environment</w:t>
      </w:r>
      <w:r w:rsidRPr="00C010C1">
        <w:rPr>
          <w:sz w:val="16"/>
          <w:szCs w:val="16"/>
        </w:rPr>
        <w:t xml:space="preserve">, </w:t>
      </w:r>
      <w:r w:rsidRPr="00C010C1">
        <w:rPr>
          <w:i/>
          <w:iCs/>
          <w:sz w:val="16"/>
          <w:szCs w:val="16"/>
        </w:rPr>
        <w:t>656</w:t>
      </w:r>
      <w:r w:rsidRPr="00C010C1">
        <w:rPr>
          <w:sz w:val="16"/>
          <w:szCs w:val="16"/>
        </w:rPr>
        <w:t>, pp.250-260.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63FC4" w14:textId="401F88E0" w:rsidR="002A58D5" w:rsidRPr="00D239A5" w:rsidRDefault="002A58D5" w:rsidP="009D77FA">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1E448" w14:textId="76262059" w:rsidR="002A58D5" w:rsidRPr="00D239A5" w:rsidRDefault="002A58D5" w:rsidP="009D77FA">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81B2" w14:textId="40450793" w:rsidR="002A58D5" w:rsidRDefault="002A58D5" w:rsidP="00412ADC">
    <w:pPr>
      <w:pStyle w:val="Header"/>
      <w:tabs>
        <w:tab w:val="left" w:pos="2700"/>
      </w:tabs>
      <w:jc w:val="center"/>
      <w:rPr>
        <w:i/>
      </w:rPr>
    </w:pPr>
  </w:p>
  <w:p w14:paraId="46D1592A" w14:textId="7C63C344" w:rsidR="002A58D5" w:rsidRPr="000902A6" w:rsidRDefault="002A58D5" w:rsidP="000902A6">
    <w:pPr>
      <w:pStyle w:val="Header"/>
      <w:jc w:val="center"/>
      <w:rPr>
        <w:i/>
        <w:sz w:val="16"/>
      </w:rPr>
    </w:pPr>
    <w:r w:rsidRPr="000902A6">
      <w:rPr>
        <w:i/>
        <w:sz w:val="16"/>
      </w:rPr>
      <w:t xml:space="preserve">2019 State Party Report on the </w:t>
    </w:r>
    <w:r>
      <w:rPr>
        <w:i/>
        <w:sz w:val="16"/>
      </w:rPr>
      <w:t>s</w:t>
    </w:r>
    <w:r w:rsidRPr="006A69FC">
      <w:rPr>
        <w:i/>
        <w:sz w:val="16"/>
      </w:rPr>
      <w:t>tate</w:t>
    </w:r>
    <w:r w:rsidRPr="000902A6">
      <w:rPr>
        <w:i/>
        <w:sz w:val="16"/>
      </w:rPr>
      <w:t xml:space="preserve"> of </w:t>
    </w:r>
    <w:r>
      <w:rPr>
        <w:i/>
        <w:sz w:val="16"/>
      </w:rPr>
      <w:t>c</w:t>
    </w:r>
    <w:r w:rsidRPr="006A69FC">
      <w:rPr>
        <w:i/>
        <w:sz w:val="16"/>
      </w:rPr>
      <w:t>onservation</w:t>
    </w:r>
    <w:r w:rsidRPr="000902A6">
      <w:rPr>
        <w:i/>
        <w:sz w:val="16"/>
      </w:rPr>
      <w:t xml:space="preserve"> of the Tasmanian Wilderness World Heritage Area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7993B4F"/>
    <w:multiLevelType w:val="hybridMultilevel"/>
    <w:tmpl w:val="0A7CB49E"/>
    <w:lvl w:ilvl="0" w:tplc="6686863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40A41"/>
    <w:multiLevelType w:val="hybridMultilevel"/>
    <w:tmpl w:val="3F40F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7F018A"/>
    <w:multiLevelType w:val="multilevel"/>
    <w:tmpl w:val="90882C16"/>
    <w:lvl w:ilvl="0">
      <w:start w:val="1"/>
      <w:numFmt w:val="decimal"/>
      <w:pStyle w:val="01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B6115D"/>
    <w:multiLevelType w:val="hybridMultilevel"/>
    <w:tmpl w:val="B29A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9D68B7"/>
    <w:multiLevelType w:val="hybridMultilevel"/>
    <w:tmpl w:val="0330B68E"/>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296063B"/>
    <w:multiLevelType w:val="hybridMultilevel"/>
    <w:tmpl w:val="597C4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95004B"/>
    <w:multiLevelType w:val="multilevel"/>
    <w:tmpl w:val="ABC892CC"/>
    <w:lvl w:ilvl="0">
      <w:start w:val="1"/>
      <w:numFmt w:val="bullet"/>
      <w:lvlText w:val=""/>
      <w:lvlJc w:val="left"/>
      <w:pPr>
        <w:ind w:left="360" w:hanging="360"/>
      </w:pPr>
      <w:rPr>
        <w:rFonts w:ascii="Symbol" w:hAnsi="Symbol" w:hint="default"/>
      </w:rPr>
    </w:lvl>
    <w:lvl w:ilvl="1">
      <w:start w:val="1"/>
      <w:numFmt w:val="bullet"/>
      <w:lvlText w:val=""/>
      <w:lvlJc w:val="left"/>
      <w:pPr>
        <w:ind w:left="1368" w:hanging="375"/>
      </w:pPr>
      <w:rPr>
        <w:rFonts w:ascii="Symbol" w:hAnsi="Symbol" w:hint="default"/>
      </w:rPr>
    </w:lvl>
    <w:lvl w:ilvl="2">
      <w:numFmt w:val="bullet"/>
      <w:lvlText w:val="-"/>
      <w:lvlJc w:val="left"/>
      <w:pPr>
        <w:ind w:left="1800" w:hanging="360"/>
      </w:pPr>
      <w:rPr>
        <w:rFonts w:ascii="Arial" w:eastAsia="Calibri" w:hAnsi="Arial" w:cs="Arial"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0">
    <w:nsid w:val="2C405413"/>
    <w:multiLevelType w:val="hybridMultilevel"/>
    <w:tmpl w:val="689CC0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484D81"/>
    <w:multiLevelType w:val="hybridMultilevel"/>
    <w:tmpl w:val="267827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E34382"/>
    <w:multiLevelType w:val="multilevel"/>
    <w:tmpl w:val="0B32C8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712"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5C63303"/>
    <w:multiLevelType w:val="hybridMultilevel"/>
    <w:tmpl w:val="F17491E6"/>
    <w:lvl w:ilvl="0" w:tplc="0C090001">
      <w:start w:val="1"/>
      <w:numFmt w:val="bullet"/>
      <w:lvlText w:val=""/>
      <w:lvlJc w:val="left"/>
      <w:pPr>
        <w:ind w:left="216" w:hanging="360"/>
      </w:pPr>
      <w:rPr>
        <w:rFonts w:ascii="Symbol" w:hAnsi="Symbol" w:hint="default"/>
      </w:rPr>
    </w:lvl>
    <w:lvl w:ilvl="1" w:tplc="0C090003" w:tentative="1">
      <w:start w:val="1"/>
      <w:numFmt w:val="bullet"/>
      <w:lvlText w:val="o"/>
      <w:lvlJc w:val="left"/>
      <w:pPr>
        <w:ind w:left="936" w:hanging="360"/>
      </w:pPr>
      <w:rPr>
        <w:rFonts w:ascii="Courier New" w:hAnsi="Courier New" w:cs="Courier New" w:hint="default"/>
      </w:rPr>
    </w:lvl>
    <w:lvl w:ilvl="2" w:tplc="0C090005" w:tentative="1">
      <w:start w:val="1"/>
      <w:numFmt w:val="bullet"/>
      <w:lvlText w:val=""/>
      <w:lvlJc w:val="left"/>
      <w:pPr>
        <w:ind w:left="1656" w:hanging="360"/>
      </w:pPr>
      <w:rPr>
        <w:rFonts w:ascii="Wingdings" w:hAnsi="Wingdings" w:hint="default"/>
      </w:rPr>
    </w:lvl>
    <w:lvl w:ilvl="3" w:tplc="0C090001" w:tentative="1">
      <w:start w:val="1"/>
      <w:numFmt w:val="bullet"/>
      <w:lvlText w:val=""/>
      <w:lvlJc w:val="left"/>
      <w:pPr>
        <w:ind w:left="2376" w:hanging="360"/>
      </w:pPr>
      <w:rPr>
        <w:rFonts w:ascii="Symbol" w:hAnsi="Symbol" w:hint="default"/>
      </w:rPr>
    </w:lvl>
    <w:lvl w:ilvl="4" w:tplc="0C090003" w:tentative="1">
      <w:start w:val="1"/>
      <w:numFmt w:val="bullet"/>
      <w:lvlText w:val="o"/>
      <w:lvlJc w:val="left"/>
      <w:pPr>
        <w:ind w:left="3096" w:hanging="360"/>
      </w:pPr>
      <w:rPr>
        <w:rFonts w:ascii="Courier New" w:hAnsi="Courier New" w:cs="Courier New" w:hint="default"/>
      </w:rPr>
    </w:lvl>
    <w:lvl w:ilvl="5" w:tplc="0C090005" w:tentative="1">
      <w:start w:val="1"/>
      <w:numFmt w:val="bullet"/>
      <w:lvlText w:val=""/>
      <w:lvlJc w:val="left"/>
      <w:pPr>
        <w:ind w:left="3816" w:hanging="360"/>
      </w:pPr>
      <w:rPr>
        <w:rFonts w:ascii="Wingdings" w:hAnsi="Wingdings" w:hint="default"/>
      </w:rPr>
    </w:lvl>
    <w:lvl w:ilvl="6" w:tplc="0C090001" w:tentative="1">
      <w:start w:val="1"/>
      <w:numFmt w:val="bullet"/>
      <w:lvlText w:val=""/>
      <w:lvlJc w:val="left"/>
      <w:pPr>
        <w:ind w:left="4536" w:hanging="360"/>
      </w:pPr>
      <w:rPr>
        <w:rFonts w:ascii="Symbol" w:hAnsi="Symbol" w:hint="default"/>
      </w:rPr>
    </w:lvl>
    <w:lvl w:ilvl="7" w:tplc="0C090003" w:tentative="1">
      <w:start w:val="1"/>
      <w:numFmt w:val="bullet"/>
      <w:lvlText w:val="o"/>
      <w:lvlJc w:val="left"/>
      <w:pPr>
        <w:ind w:left="5256" w:hanging="360"/>
      </w:pPr>
      <w:rPr>
        <w:rFonts w:ascii="Courier New" w:hAnsi="Courier New" w:cs="Courier New" w:hint="default"/>
      </w:rPr>
    </w:lvl>
    <w:lvl w:ilvl="8" w:tplc="0C090005" w:tentative="1">
      <w:start w:val="1"/>
      <w:numFmt w:val="bullet"/>
      <w:lvlText w:val=""/>
      <w:lvlJc w:val="left"/>
      <w:pPr>
        <w:ind w:left="5976" w:hanging="360"/>
      </w:pPr>
      <w:rPr>
        <w:rFonts w:ascii="Wingdings" w:hAnsi="Wingdings" w:hint="default"/>
      </w:rPr>
    </w:lvl>
  </w:abstractNum>
  <w:abstractNum w:abstractNumId="14" w15:restartNumberingAfterBreak="0">
    <w:nsid w:val="3733677D"/>
    <w:multiLevelType w:val="hybridMultilevel"/>
    <w:tmpl w:val="EC54E398"/>
    <w:lvl w:ilvl="0" w:tplc="469C6256">
      <w:numFmt w:val="bullet"/>
      <w:lvlText w:val="•"/>
      <w:lvlJc w:val="left"/>
      <w:pPr>
        <w:ind w:left="360" w:hanging="360"/>
      </w:pPr>
      <w:rPr>
        <w:rFonts w:ascii="Arial" w:eastAsia="MS Mincho"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4D22DA"/>
    <w:multiLevelType w:val="hybridMultilevel"/>
    <w:tmpl w:val="E6FE3554"/>
    <w:lvl w:ilvl="0" w:tplc="0C090001">
      <w:start w:val="1"/>
      <w:numFmt w:val="bullet"/>
      <w:lvlText w:val=""/>
      <w:lvlJc w:val="left"/>
      <w:pPr>
        <w:ind w:left="720" w:hanging="360"/>
      </w:pPr>
      <w:rPr>
        <w:rFonts w:ascii="Symbol" w:hAnsi="Symbol" w:hint="default"/>
      </w:rPr>
    </w:lvl>
    <w:lvl w:ilvl="1" w:tplc="29B0D1B4">
      <w:numFmt w:val="bullet"/>
      <w:lvlText w:val="•"/>
      <w:lvlJc w:val="left"/>
      <w:pPr>
        <w:ind w:left="1320" w:hanging="24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695033"/>
    <w:multiLevelType w:val="hybridMultilevel"/>
    <w:tmpl w:val="D6ECD114"/>
    <w:lvl w:ilvl="0" w:tplc="0C09000B">
      <w:start w:val="1"/>
      <w:numFmt w:val="bullet"/>
      <w:lvlText w:val=""/>
      <w:lvlJc w:val="left"/>
      <w:pPr>
        <w:ind w:left="783" w:hanging="360"/>
      </w:pPr>
      <w:rPr>
        <w:rFonts w:ascii="Wingdings" w:hAnsi="Wingdings"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7" w15:restartNumberingAfterBreak="0">
    <w:nsid w:val="42AF64BF"/>
    <w:multiLevelType w:val="hybridMultilevel"/>
    <w:tmpl w:val="9850A6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FB2068"/>
    <w:multiLevelType w:val="hybridMultilevel"/>
    <w:tmpl w:val="C5CA7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DB12A4"/>
    <w:multiLevelType w:val="hybridMultilevel"/>
    <w:tmpl w:val="917E2D7E"/>
    <w:lvl w:ilvl="0" w:tplc="0C09000B">
      <w:start w:val="1"/>
      <w:numFmt w:val="bullet"/>
      <w:lvlText w:val=""/>
      <w:lvlJc w:val="left"/>
      <w:pPr>
        <w:ind w:left="783" w:hanging="360"/>
      </w:pPr>
      <w:rPr>
        <w:rFonts w:ascii="Wingdings" w:hAnsi="Wingdings"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54A930A9"/>
    <w:multiLevelType w:val="hybridMultilevel"/>
    <w:tmpl w:val="DD26A0E2"/>
    <w:lvl w:ilvl="0" w:tplc="0C09000B">
      <w:start w:val="1"/>
      <w:numFmt w:val="bullet"/>
      <w:lvlText w:val=""/>
      <w:lvlJc w:val="left"/>
      <w:pPr>
        <w:ind w:left="576" w:hanging="360"/>
      </w:pPr>
      <w:rPr>
        <w:rFonts w:ascii="Wingdings" w:hAnsi="Wingdings" w:hint="default"/>
      </w:rPr>
    </w:lvl>
    <w:lvl w:ilvl="1" w:tplc="0C090003" w:tentative="1">
      <w:start w:val="1"/>
      <w:numFmt w:val="bullet"/>
      <w:lvlText w:val="o"/>
      <w:lvlJc w:val="left"/>
      <w:pPr>
        <w:ind w:left="1296" w:hanging="360"/>
      </w:pPr>
      <w:rPr>
        <w:rFonts w:ascii="Courier New" w:hAnsi="Courier New" w:cs="Courier New" w:hint="default"/>
      </w:rPr>
    </w:lvl>
    <w:lvl w:ilvl="2" w:tplc="0C090005" w:tentative="1">
      <w:start w:val="1"/>
      <w:numFmt w:val="bullet"/>
      <w:lvlText w:val=""/>
      <w:lvlJc w:val="left"/>
      <w:pPr>
        <w:ind w:left="2016" w:hanging="360"/>
      </w:pPr>
      <w:rPr>
        <w:rFonts w:ascii="Wingdings" w:hAnsi="Wingdings" w:hint="default"/>
      </w:rPr>
    </w:lvl>
    <w:lvl w:ilvl="3" w:tplc="0C090001" w:tentative="1">
      <w:start w:val="1"/>
      <w:numFmt w:val="bullet"/>
      <w:lvlText w:val=""/>
      <w:lvlJc w:val="left"/>
      <w:pPr>
        <w:ind w:left="2736" w:hanging="360"/>
      </w:pPr>
      <w:rPr>
        <w:rFonts w:ascii="Symbol" w:hAnsi="Symbol" w:hint="default"/>
      </w:rPr>
    </w:lvl>
    <w:lvl w:ilvl="4" w:tplc="0C090003" w:tentative="1">
      <w:start w:val="1"/>
      <w:numFmt w:val="bullet"/>
      <w:lvlText w:val="o"/>
      <w:lvlJc w:val="left"/>
      <w:pPr>
        <w:ind w:left="3456" w:hanging="360"/>
      </w:pPr>
      <w:rPr>
        <w:rFonts w:ascii="Courier New" w:hAnsi="Courier New" w:cs="Courier New" w:hint="default"/>
      </w:rPr>
    </w:lvl>
    <w:lvl w:ilvl="5" w:tplc="0C090005" w:tentative="1">
      <w:start w:val="1"/>
      <w:numFmt w:val="bullet"/>
      <w:lvlText w:val=""/>
      <w:lvlJc w:val="left"/>
      <w:pPr>
        <w:ind w:left="4176" w:hanging="360"/>
      </w:pPr>
      <w:rPr>
        <w:rFonts w:ascii="Wingdings" w:hAnsi="Wingdings" w:hint="default"/>
      </w:rPr>
    </w:lvl>
    <w:lvl w:ilvl="6" w:tplc="0C090001" w:tentative="1">
      <w:start w:val="1"/>
      <w:numFmt w:val="bullet"/>
      <w:lvlText w:val=""/>
      <w:lvlJc w:val="left"/>
      <w:pPr>
        <w:ind w:left="4896" w:hanging="360"/>
      </w:pPr>
      <w:rPr>
        <w:rFonts w:ascii="Symbol" w:hAnsi="Symbol" w:hint="default"/>
      </w:rPr>
    </w:lvl>
    <w:lvl w:ilvl="7" w:tplc="0C090003" w:tentative="1">
      <w:start w:val="1"/>
      <w:numFmt w:val="bullet"/>
      <w:lvlText w:val="o"/>
      <w:lvlJc w:val="left"/>
      <w:pPr>
        <w:ind w:left="5616" w:hanging="360"/>
      </w:pPr>
      <w:rPr>
        <w:rFonts w:ascii="Courier New" w:hAnsi="Courier New" w:cs="Courier New" w:hint="default"/>
      </w:rPr>
    </w:lvl>
    <w:lvl w:ilvl="8" w:tplc="0C090005" w:tentative="1">
      <w:start w:val="1"/>
      <w:numFmt w:val="bullet"/>
      <w:lvlText w:val=""/>
      <w:lvlJc w:val="left"/>
      <w:pPr>
        <w:ind w:left="6336" w:hanging="360"/>
      </w:pPr>
      <w:rPr>
        <w:rFonts w:ascii="Wingdings" w:hAnsi="Wingdings" w:hint="default"/>
      </w:rPr>
    </w:lvl>
  </w:abstractNum>
  <w:abstractNum w:abstractNumId="21" w15:restartNumberingAfterBreak="0">
    <w:nsid w:val="5A221405"/>
    <w:multiLevelType w:val="hybridMultilevel"/>
    <w:tmpl w:val="69DC8A08"/>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0E7021"/>
    <w:multiLevelType w:val="hybridMultilevel"/>
    <w:tmpl w:val="EE4C6DD2"/>
    <w:lvl w:ilvl="0" w:tplc="0C09000B">
      <w:start w:val="1"/>
      <w:numFmt w:val="bullet"/>
      <w:lvlText w:val=""/>
      <w:lvlJc w:val="left"/>
      <w:pPr>
        <w:ind w:left="783" w:hanging="360"/>
      </w:pPr>
      <w:rPr>
        <w:rFonts w:ascii="Wingdings" w:hAnsi="Wingdings"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3" w15:restartNumberingAfterBreak="0">
    <w:nsid w:val="631F6269"/>
    <w:multiLevelType w:val="multilevel"/>
    <w:tmpl w:val="2F146D4C"/>
    <w:lvl w:ilvl="0">
      <w:start w:val="1"/>
      <w:numFmt w:val="bullet"/>
      <w:lvlText w:val=""/>
      <w:lvlJc w:val="left"/>
      <w:pPr>
        <w:tabs>
          <w:tab w:val="num" w:pos="7022"/>
        </w:tabs>
        <w:ind w:left="702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456429"/>
    <w:multiLevelType w:val="multilevel"/>
    <w:tmpl w:val="18E0B714"/>
    <w:lvl w:ilvl="0">
      <w:start w:val="1"/>
      <w:numFmt w:val="decimal"/>
      <w:lvlText w:val="%1."/>
      <w:lvlJc w:val="left"/>
      <w:pPr>
        <w:ind w:left="369" w:hanging="369"/>
      </w:pPr>
      <w:rPr>
        <w:b w:val="0"/>
        <w:sz w:val="22"/>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5" w15:restartNumberingAfterBreak="0">
    <w:nsid w:val="678478D2"/>
    <w:multiLevelType w:val="hybridMultilevel"/>
    <w:tmpl w:val="A23EC646"/>
    <w:lvl w:ilvl="0" w:tplc="0C09000B">
      <w:start w:val="1"/>
      <w:numFmt w:val="bullet"/>
      <w:lvlText w:val=""/>
      <w:lvlJc w:val="left"/>
      <w:pPr>
        <w:ind w:left="783" w:hanging="360"/>
      </w:pPr>
      <w:rPr>
        <w:rFonts w:ascii="Wingdings" w:hAnsi="Wingdings"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6AA50662"/>
    <w:multiLevelType w:val="hybridMultilevel"/>
    <w:tmpl w:val="15085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624807"/>
    <w:multiLevelType w:val="hybridMultilevel"/>
    <w:tmpl w:val="FD9C1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B62BAE"/>
    <w:multiLevelType w:val="hybridMultilevel"/>
    <w:tmpl w:val="EACE68C0"/>
    <w:lvl w:ilvl="0" w:tplc="0C09000B">
      <w:start w:val="1"/>
      <w:numFmt w:val="bullet"/>
      <w:lvlText w:val=""/>
      <w:lvlJc w:val="left"/>
      <w:pPr>
        <w:ind w:left="783" w:hanging="360"/>
      </w:pPr>
      <w:rPr>
        <w:rFonts w:ascii="Wingdings" w:hAnsi="Wingdings"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9" w15:restartNumberingAfterBreak="0">
    <w:nsid w:val="72E57F3B"/>
    <w:multiLevelType w:val="hybridMultilevel"/>
    <w:tmpl w:val="9D58D06E"/>
    <w:lvl w:ilvl="0" w:tplc="351AAB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1" w15:restartNumberingAfterBreak="0">
    <w:nsid w:val="7AD52224"/>
    <w:multiLevelType w:val="hybridMultilevel"/>
    <w:tmpl w:val="0018F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EB1C6D"/>
    <w:multiLevelType w:val="hybridMultilevel"/>
    <w:tmpl w:val="87789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
  </w:num>
  <w:num w:numId="4">
    <w:abstractNumId w:val="0"/>
  </w:num>
  <w:num w:numId="5">
    <w:abstractNumId w:val="6"/>
  </w:num>
  <w:num w:numId="6">
    <w:abstractNumId w:val="23"/>
  </w:num>
  <w:num w:numId="7">
    <w:abstractNumId w:val="18"/>
  </w:num>
  <w:num w:numId="8">
    <w:abstractNumId w:val="4"/>
  </w:num>
  <w:num w:numId="9">
    <w:abstractNumId w:val="17"/>
  </w:num>
  <w:num w:numId="10">
    <w:abstractNumId w:val="27"/>
  </w:num>
  <w:num w:numId="11">
    <w:abstractNumId w:val="26"/>
  </w:num>
  <w:num w:numId="12">
    <w:abstractNumId w:val="15"/>
  </w:num>
  <w:num w:numId="13">
    <w:abstractNumId w:val="3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 w:numId="17">
    <w:abstractNumId w:val="25"/>
  </w:num>
  <w:num w:numId="18">
    <w:abstractNumId w:val="22"/>
  </w:num>
  <w:num w:numId="19">
    <w:abstractNumId w:val="19"/>
  </w:num>
  <w:num w:numId="20">
    <w:abstractNumId w:val="28"/>
  </w:num>
  <w:num w:numId="21">
    <w:abstractNumId w:val="16"/>
  </w:num>
  <w:num w:numId="22">
    <w:abstractNumId w:val="20"/>
  </w:num>
  <w:num w:numId="23">
    <w:abstractNumId w:val="12"/>
  </w:num>
  <w:num w:numId="24">
    <w:abstractNumId w:val="12"/>
  </w:num>
  <w:num w:numId="25">
    <w:abstractNumId w:val="32"/>
  </w:num>
  <w:num w:numId="26">
    <w:abstractNumId w:val="7"/>
  </w:num>
  <w:num w:numId="27">
    <w:abstractNumId w:val="30"/>
  </w:num>
  <w:num w:numId="28">
    <w:abstractNumId w:val="24"/>
  </w:num>
  <w:num w:numId="29">
    <w:abstractNumId w:val="21"/>
  </w:num>
  <w:num w:numId="30">
    <w:abstractNumId w:val="29"/>
  </w:num>
  <w:num w:numId="31">
    <w:abstractNumId w:val="2"/>
  </w:num>
  <w:num w:numId="32">
    <w:abstractNumId w:val="11"/>
  </w:num>
  <w:num w:numId="33">
    <w:abstractNumId w:val="8"/>
  </w:num>
  <w:num w:numId="34">
    <w:abstractNumId w:val="9"/>
  </w:num>
  <w:num w:numId="35">
    <w:abstractNumId w:val="10"/>
  </w:num>
  <w:num w:numId="3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5E"/>
    <w:rsid w:val="0000142D"/>
    <w:rsid w:val="000046CF"/>
    <w:rsid w:val="000056D2"/>
    <w:rsid w:val="00006C5F"/>
    <w:rsid w:val="00011025"/>
    <w:rsid w:val="000145A2"/>
    <w:rsid w:val="000147FA"/>
    <w:rsid w:val="00014F5F"/>
    <w:rsid w:val="000164AF"/>
    <w:rsid w:val="00020B5E"/>
    <w:rsid w:val="0003248B"/>
    <w:rsid w:val="000339F4"/>
    <w:rsid w:val="00033E9F"/>
    <w:rsid w:val="00034AB6"/>
    <w:rsid w:val="00034C95"/>
    <w:rsid w:val="000350C9"/>
    <w:rsid w:val="000350FB"/>
    <w:rsid w:val="00036F5E"/>
    <w:rsid w:val="00040418"/>
    <w:rsid w:val="0004172E"/>
    <w:rsid w:val="000506AC"/>
    <w:rsid w:val="00051F4B"/>
    <w:rsid w:val="00052535"/>
    <w:rsid w:val="00055A50"/>
    <w:rsid w:val="00061DE1"/>
    <w:rsid w:val="00062C72"/>
    <w:rsid w:val="000673DC"/>
    <w:rsid w:val="00067E6A"/>
    <w:rsid w:val="00073F2B"/>
    <w:rsid w:val="00080F39"/>
    <w:rsid w:val="0008185F"/>
    <w:rsid w:val="00081B3B"/>
    <w:rsid w:val="00082DA3"/>
    <w:rsid w:val="00082F78"/>
    <w:rsid w:val="000858E9"/>
    <w:rsid w:val="0008638A"/>
    <w:rsid w:val="00087C51"/>
    <w:rsid w:val="00087C5B"/>
    <w:rsid w:val="000902A6"/>
    <w:rsid w:val="00093A01"/>
    <w:rsid w:val="000944C0"/>
    <w:rsid w:val="00095E16"/>
    <w:rsid w:val="00097017"/>
    <w:rsid w:val="00097B19"/>
    <w:rsid w:val="000A02E2"/>
    <w:rsid w:val="000A1166"/>
    <w:rsid w:val="000A2A83"/>
    <w:rsid w:val="000A343D"/>
    <w:rsid w:val="000A4123"/>
    <w:rsid w:val="000A4D15"/>
    <w:rsid w:val="000A5EEF"/>
    <w:rsid w:val="000B0C5C"/>
    <w:rsid w:val="000B120A"/>
    <w:rsid w:val="000B1713"/>
    <w:rsid w:val="000B37C3"/>
    <w:rsid w:val="000B422D"/>
    <w:rsid w:val="000B4757"/>
    <w:rsid w:val="000B5EB3"/>
    <w:rsid w:val="000C1E5B"/>
    <w:rsid w:val="000C3376"/>
    <w:rsid w:val="000C6FA4"/>
    <w:rsid w:val="000C7751"/>
    <w:rsid w:val="000D1A79"/>
    <w:rsid w:val="000D32A4"/>
    <w:rsid w:val="000D556D"/>
    <w:rsid w:val="000D5BE1"/>
    <w:rsid w:val="000D632E"/>
    <w:rsid w:val="000E300A"/>
    <w:rsid w:val="000E3689"/>
    <w:rsid w:val="000E4DAE"/>
    <w:rsid w:val="000E4F87"/>
    <w:rsid w:val="000E50DE"/>
    <w:rsid w:val="000F3014"/>
    <w:rsid w:val="000F36CC"/>
    <w:rsid w:val="000F44C7"/>
    <w:rsid w:val="00101902"/>
    <w:rsid w:val="0010298D"/>
    <w:rsid w:val="00103096"/>
    <w:rsid w:val="0010504B"/>
    <w:rsid w:val="00106F3E"/>
    <w:rsid w:val="001136E8"/>
    <w:rsid w:val="00124392"/>
    <w:rsid w:val="00124950"/>
    <w:rsid w:val="00125F41"/>
    <w:rsid w:val="00127FA8"/>
    <w:rsid w:val="001337AE"/>
    <w:rsid w:val="00133A39"/>
    <w:rsid w:val="00134713"/>
    <w:rsid w:val="00135E72"/>
    <w:rsid w:val="0013752F"/>
    <w:rsid w:val="0013758B"/>
    <w:rsid w:val="001375F4"/>
    <w:rsid w:val="00137E91"/>
    <w:rsid w:val="0014005B"/>
    <w:rsid w:val="001454E0"/>
    <w:rsid w:val="001469C7"/>
    <w:rsid w:val="00153A8E"/>
    <w:rsid w:val="00154E5A"/>
    <w:rsid w:val="00155581"/>
    <w:rsid w:val="0015562F"/>
    <w:rsid w:val="00155A27"/>
    <w:rsid w:val="00160A4C"/>
    <w:rsid w:val="00161336"/>
    <w:rsid w:val="001649AA"/>
    <w:rsid w:val="0016772F"/>
    <w:rsid w:val="00167744"/>
    <w:rsid w:val="001702DF"/>
    <w:rsid w:val="00172449"/>
    <w:rsid w:val="00177CE7"/>
    <w:rsid w:val="0018116A"/>
    <w:rsid w:val="00181BE1"/>
    <w:rsid w:val="00182BF2"/>
    <w:rsid w:val="00183D9E"/>
    <w:rsid w:val="00184E4C"/>
    <w:rsid w:val="00185AB3"/>
    <w:rsid w:val="00186ECE"/>
    <w:rsid w:val="00193F25"/>
    <w:rsid w:val="001947AE"/>
    <w:rsid w:val="001965C9"/>
    <w:rsid w:val="00197DF4"/>
    <w:rsid w:val="001A3DAB"/>
    <w:rsid w:val="001A3F64"/>
    <w:rsid w:val="001A43B7"/>
    <w:rsid w:val="001A5FD0"/>
    <w:rsid w:val="001A6233"/>
    <w:rsid w:val="001A7D8B"/>
    <w:rsid w:val="001B4486"/>
    <w:rsid w:val="001B6F57"/>
    <w:rsid w:val="001C0B8C"/>
    <w:rsid w:val="001C5211"/>
    <w:rsid w:val="001C53C6"/>
    <w:rsid w:val="001C577F"/>
    <w:rsid w:val="001C608E"/>
    <w:rsid w:val="001D0490"/>
    <w:rsid w:val="001D110B"/>
    <w:rsid w:val="001D50BA"/>
    <w:rsid w:val="001D5829"/>
    <w:rsid w:val="001D5BCC"/>
    <w:rsid w:val="001D6A04"/>
    <w:rsid w:val="001D7437"/>
    <w:rsid w:val="001E24D6"/>
    <w:rsid w:val="001E4A8C"/>
    <w:rsid w:val="001E60F8"/>
    <w:rsid w:val="001F0D19"/>
    <w:rsid w:val="001F3F83"/>
    <w:rsid w:val="001F4CA7"/>
    <w:rsid w:val="001F5B80"/>
    <w:rsid w:val="001F6632"/>
    <w:rsid w:val="001F67AC"/>
    <w:rsid w:val="00200915"/>
    <w:rsid w:val="002038B0"/>
    <w:rsid w:val="00203D56"/>
    <w:rsid w:val="00204051"/>
    <w:rsid w:val="0020450F"/>
    <w:rsid w:val="0020496D"/>
    <w:rsid w:val="002049BD"/>
    <w:rsid w:val="0020692A"/>
    <w:rsid w:val="00207237"/>
    <w:rsid w:val="00210653"/>
    <w:rsid w:val="0021169E"/>
    <w:rsid w:val="00217526"/>
    <w:rsid w:val="00217787"/>
    <w:rsid w:val="00217C1D"/>
    <w:rsid w:val="00225337"/>
    <w:rsid w:val="0022533F"/>
    <w:rsid w:val="0023234A"/>
    <w:rsid w:val="00240E10"/>
    <w:rsid w:val="0024184F"/>
    <w:rsid w:val="00242AA2"/>
    <w:rsid w:val="002433E6"/>
    <w:rsid w:val="0024755F"/>
    <w:rsid w:val="002505BA"/>
    <w:rsid w:val="00250E25"/>
    <w:rsid w:val="002549C2"/>
    <w:rsid w:val="002605ED"/>
    <w:rsid w:val="002613D5"/>
    <w:rsid w:val="002617CF"/>
    <w:rsid w:val="002669B6"/>
    <w:rsid w:val="00267E8D"/>
    <w:rsid w:val="00270E72"/>
    <w:rsid w:val="00270FC6"/>
    <w:rsid w:val="002755F7"/>
    <w:rsid w:val="002763E2"/>
    <w:rsid w:val="00276D7F"/>
    <w:rsid w:val="00277666"/>
    <w:rsid w:val="002830A0"/>
    <w:rsid w:val="00283814"/>
    <w:rsid w:val="00285EF8"/>
    <w:rsid w:val="0029102A"/>
    <w:rsid w:val="00293B4B"/>
    <w:rsid w:val="00294F73"/>
    <w:rsid w:val="00294F9B"/>
    <w:rsid w:val="002965DA"/>
    <w:rsid w:val="002A065A"/>
    <w:rsid w:val="002A06BD"/>
    <w:rsid w:val="002A1191"/>
    <w:rsid w:val="002A3B4C"/>
    <w:rsid w:val="002A58D5"/>
    <w:rsid w:val="002A5B6C"/>
    <w:rsid w:val="002A7444"/>
    <w:rsid w:val="002B7AD9"/>
    <w:rsid w:val="002D3E96"/>
    <w:rsid w:val="002D73A8"/>
    <w:rsid w:val="002E06AC"/>
    <w:rsid w:val="002E090F"/>
    <w:rsid w:val="002E0D1B"/>
    <w:rsid w:val="002E52E3"/>
    <w:rsid w:val="002E650C"/>
    <w:rsid w:val="002E7543"/>
    <w:rsid w:val="002E7B89"/>
    <w:rsid w:val="002F0BC3"/>
    <w:rsid w:val="002F4664"/>
    <w:rsid w:val="002F7EE3"/>
    <w:rsid w:val="00304152"/>
    <w:rsid w:val="00306DAC"/>
    <w:rsid w:val="00307C5D"/>
    <w:rsid w:val="00310C14"/>
    <w:rsid w:val="0031268A"/>
    <w:rsid w:val="00312DB6"/>
    <w:rsid w:val="003201DE"/>
    <w:rsid w:val="003215A3"/>
    <w:rsid w:val="00330B59"/>
    <w:rsid w:val="00332FD5"/>
    <w:rsid w:val="003338ED"/>
    <w:rsid w:val="00333E44"/>
    <w:rsid w:val="0034119A"/>
    <w:rsid w:val="00341CC3"/>
    <w:rsid w:val="0034210D"/>
    <w:rsid w:val="003457AF"/>
    <w:rsid w:val="003465CC"/>
    <w:rsid w:val="0035091B"/>
    <w:rsid w:val="00351C65"/>
    <w:rsid w:val="003536B4"/>
    <w:rsid w:val="00354450"/>
    <w:rsid w:val="003549BB"/>
    <w:rsid w:val="00355C54"/>
    <w:rsid w:val="003560BC"/>
    <w:rsid w:val="003606F4"/>
    <w:rsid w:val="003642BB"/>
    <w:rsid w:val="00364401"/>
    <w:rsid w:val="0037026B"/>
    <w:rsid w:val="003707B1"/>
    <w:rsid w:val="00371C63"/>
    <w:rsid w:val="00371ED0"/>
    <w:rsid w:val="00372E0A"/>
    <w:rsid w:val="00376C97"/>
    <w:rsid w:val="00377253"/>
    <w:rsid w:val="003811DC"/>
    <w:rsid w:val="00383C4F"/>
    <w:rsid w:val="003841E0"/>
    <w:rsid w:val="003877AC"/>
    <w:rsid w:val="00393DE9"/>
    <w:rsid w:val="0039523B"/>
    <w:rsid w:val="00395621"/>
    <w:rsid w:val="00396F7D"/>
    <w:rsid w:val="003A1DB2"/>
    <w:rsid w:val="003A4152"/>
    <w:rsid w:val="003B19C7"/>
    <w:rsid w:val="003B3546"/>
    <w:rsid w:val="003B3DD8"/>
    <w:rsid w:val="003C66F7"/>
    <w:rsid w:val="003D513D"/>
    <w:rsid w:val="003D69F9"/>
    <w:rsid w:val="003E0574"/>
    <w:rsid w:val="003E2F65"/>
    <w:rsid w:val="003E3CEE"/>
    <w:rsid w:val="003E4057"/>
    <w:rsid w:val="003E57F6"/>
    <w:rsid w:val="003E6DD0"/>
    <w:rsid w:val="003E7E58"/>
    <w:rsid w:val="003F0EF6"/>
    <w:rsid w:val="003F5D84"/>
    <w:rsid w:val="004000C8"/>
    <w:rsid w:val="00403952"/>
    <w:rsid w:val="0040475E"/>
    <w:rsid w:val="00412ADC"/>
    <w:rsid w:val="00414EEC"/>
    <w:rsid w:val="004158DA"/>
    <w:rsid w:val="0041594E"/>
    <w:rsid w:val="00415F44"/>
    <w:rsid w:val="00423040"/>
    <w:rsid w:val="004240EF"/>
    <w:rsid w:val="00425B17"/>
    <w:rsid w:val="004268BC"/>
    <w:rsid w:val="00432958"/>
    <w:rsid w:val="004331D2"/>
    <w:rsid w:val="0043426E"/>
    <w:rsid w:val="00434FE3"/>
    <w:rsid w:val="00437EBA"/>
    <w:rsid w:val="00451012"/>
    <w:rsid w:val="004512CB"/>
    <w:rsid w:val="00451D6C"/>
    <w:rsid w:val="0045785B"/>
    <w:rsid w:val="004601B4"/>
    <w:rsid w:val="004627F0"/>
    <w:rsid w:val="00465172"/>
    <w:rsid w:val="00467BC4"/>
    <w:rsid w:val="00471934"/>
    <w:rsid w:val="00473CC9"/>
    <w:rsid w:val="00476422"/>
    <w:rsid w:val="0047685F"/>
    <w:rsid w:val="00481548"/>
    <w:rsid w:val="004847F6"/>
    <w:rsid w:val="00485919"/>
    <w:rsid w:val="004871E6"/>
    <w:rsid w:val="004904C0"/>
    <w:rsid w:val="004911D2"/>
    <w:rsid w:val="0049343E"/>
    <w:rsid w:val="004A1E23"/>
    <w:rsid w:val="004A2225"/>
    <w:rsid w:val="004A6770"/>
    <w:rsid w:val="004B1128"/>
    <w:rsid w:val="004B2AB2"/>
    <w:rsid w:val="004B3EC2"/>
    <w:rsid w:val="004B4B42"/>
    <w:rsid w:val="004B545B"/>
    <w:rsid w:val="004B625E"/>
    <w:rsid w:val="004B763F"/>
    <w:rsid w:val="004C143C"/>
    <w:rsid w:val="004C30D6"/>
    <w:rsid w:val="004C48C5"/>
    <w:rsid w:val="004D0F44"/>
    <w:rsid w:val="004D18F5"/>
    <w:rsid w:val="004E5FAC"/>
    <w:rsid w:val="004E6BC1"/>
    <w:rsid w:val="004F4AB7"/>
    <w:rsid w:val="004F5630"/>
    <w:rsid w:val="004F6D9D"/>
    <w:rsid w:val="00505263"/>
    <w:rsid w:val="00506AB0"/>
    <w:rsid w:val="005077C6"/>
    <w:rsid w:val="00511224"/>
    <w:rsid w:val="00512630"/>
    <w:rsid w:val="00515A77"/>
    <w:rsid w:val="00515E48"/>
    <w:rsid w:val="00516602"/>
    <w:rsid w:val="00521A82"/>
    <w:rsid w:val="005220C9"/>
    <w:rsid w:val="0052213F"/>
    <w:rsid w:val="00522718"/>
    <w:rsid w:val="00531B72"/>
    <w:rsid w:val="00531D5E"/>
    <w:rsid w:val="00532452"/>
    <w:rsid w:val="00532674"/>
    <w:rsid w:val="00532A18"/>
    <w:rsid w:val="00532B63"/>
    <w:rsid w:val="00532DBE"/>
    <w:rsid w:val="005337A4"/>
    <w:rsid w:val="00534418"/>
    <w:rsid w:val="00534E68"/>
    <w:rsid w:val="005366F8"/>
    <w:rsid w:val="00536CB3"/>
    <w:rsid w:val="0053771D"/>
    <w:rsid w:val="00540BF6"/>
    <w:rsid w:val="00540EA1"/>
    <w:rsid w:val="00541A00"/>
    <w:rsid w:val="00541C89"/>
    <w:rsid w:val="00543069"/>
    <w:rsid w:val="00543149"/>
    <w:rsid w:val="005479E5"/>
    <w:rsid w:val="005506ED"/>
    <w:rsid w:val="00551E28"/>
    <w:rsid w:val="00551FD1"/>
    <w:rsid w:val="00553241"/>
    <w:rsid w:val="0055726F"/>
    <w:rsid w:val="005601B0"/>
    <w:rsid w:val="0056404C"/>
    <w:rsid w:val="00564250"/>
    <w:rsid w:val="00565417"/>
    <w:rsid w:val="0057215D"/>
    <w:rsid w:val="00573693"/>
    <w:rsid w:val="00573739"/>
    <w:rsid w:val="0057391B"/>
    <w:rsid w:val="00575D5D"/>
    <w:rsid w:val="005817C5"/>
    <w:rsid w:val="00581A15"/>
    <w:rsid w:val="00582FA1"/>
    <w:rsid w:val="005831D0"/>
    <w:rsid w:val="00595084"/>
    <w:rsid w:val="00595F58"/>
    <w:rsid w:val="0059752D"/>
    <w:rsid w:val="005A308D"/>
    <w:rsid w:val="005A5DF6"/>
    <w:rsid w:val="005A7A78"/>
    <w:rsid w:val="005B054F"/>
    <w:rsid w:val="005B2AB4"/>
    <w:rsid w:val="005B3C3C"/>
    <w:rsid w:val="005B3DAC"/>
    <w:rsid w:val="005B6DB8"/>
    <w:rsid w:val="005B736B"/>
    <w:rsid w:val="005B74A5"/>
    <w:rsid w:val="005B7683"/>
    <w:rsid w:val="005C17C8"/>
    <w:rsid w:val="005C356A"/>
    <w:rsid w:val="005C35B6"/>
    <w:rsid w:val="005C5F89"/>
    <w:rsid w:val="005D0B02"/>
    <w:rsid w:val="005D1F12"/>
    <w:rsid w:val="005D25A2"/>
    <w:rsid w:val="005D2D58"/>
    <w:rsid w:val="005D5115"/>
    <w:rsid w:val="005D7114"/>
    <w:rsid w:val="005E1201"/>
    <w:rsid w:val="005E134F"/>
    <w:rsid w:val="005E14B8"/>
    <w:rsid w:val="005E26AB"/>
    <w:rsid w:val="005E2F7D"/>
    <w:rsid w:val="005E373A"/>
    <w:rsid w:val="005E7165"/>
    <w:rsid w:val="005E741D"/>
    <w:rsid w:val="005F11B3"/>
    <w:rsid w:val="005F2D1D"/>
    <w:rsid w:val="005F3662"/>
    <w:rsid w:val="005F3B76"/>
    <w:rsid w:val="005F478F"/>
    <w:rsid w:val="005F7AE2"/>
    <w:rsid w:val="006018B4"/>
    <w:rsid w:val="00601917"/>
    <w:rsid w:val="00601F6F"/>
    <w:rsid w:val="006020B1"/>
    <w:rsid w:val="00605B03"/>
    <w:rsid w:val="00605DCD"/>
    <w:rsid w:val="00607D64"/>
    <w:rsid w:val="00610A99"/>
    <w:rsid w:val="00613257"/>
    <w:rsid w:val="006137C5"/>
    <w:rsid w:val="006148F9"/>
    <w:rsid w:val="0061502E"/>
    <w:rsid w:val="0062054C"/>
    <w:rsid w:val="00620748"/>
    <w:rsid w:val="00621171"/>
    <w:rsid w:val="00621A06"/>
    <w:rsid w:val="00622378"/>
    <w:rsid w:val="00622B4B"/>
    <w:rsid w:val="00630627"/>
    <w:rsid w:val="0063223A"/>
    <w:rsid w:val="00636FEC"/>
    <w:rsid w:val="00645C1F"/>
    <w:rsid w:val="00646686"/>
    <w:rsid w:val="0065046F"/>
    <w:rsid w:val="00651E9B"/>
    <w:rsid w:val="00656D0B"/>
    <w:rsid w:val="00660793"/>
    <w:rsid w:val="00660843"/>
    <w:rsid w:val="006670E0"/>
    <w:rsid w:val="0066718D"/>
    <w:rsid w:val="00667CF4"/>
    <w:rsid w:val="0067029D"/>
    <w:rsid w:val="0067333C"/>
    <w:rsid w:val="00673FEA"/>
    <w:rsid w:val="006748DD"/>
    <w:rsid w:val="00675D29"/>
    <w:rsid w:val="00684D36"/>
    <w:rsid w:val="0068530E"/>
    <w:rsid w:val="00691336"/>
    <w:rsid w:val="00693B13"/>
    <w:rsid w:val="00693C5C"/>
    <w:rsid w:val="0069489C"/>
    <w:rsid w:val="00695271"/>
    <w:rsid w:val="006974E5"/>
    <w:rsid w:val="006A0655"/>
    <w:rsid w:val="006A3C54"/>
    <w:rsid w:val="006A3E6D"/>
    <w:rsid w:val="006A622F"/>
    <w:rsid w:val="006A64D8"/>
    <w:rsid w:val="006A69FC"/>
    <w:rsid w:val="006A77A3"/>
    <w:rsid w:val="006B167D"/>
    <w:rsid w:val="006B3F91"/>
    <w:rsid w:val="006B4F02"/>
    <w:rsid w:val="006B74E0"/>
    <w:rsid w:val="006C0B4F"/>
    <w:rsid w:val="006C0DB0"/>
    <w:rsid w:val="006C7F02"/>
    <w:rsid w:val="006D07A7"/>
    <w:rsid w:val="006D28AD"/>
    <w:rsid w:val="006D3AFD"/>
    <w:rsid w:val="006D3DEF"/>
    <w:rsid w:val="006D71B9"/>
    <w:rsid w:val="006E3159"/>
    <w:rsid w:val="006E4F13"/>
    <w:rsid w:val="006F206A"/>
    <w:rsid w:val="006F425A"/>
    <w:rsid w:val="006F461D"/>
    <w:rsid w:val="00700F2F"/>
    <w:rsid w:val="0070128E"/>
    <w:rsid w:val="00702015"/>
    <w:rsid w:val="007023C7"/>
    <w:rsid w:val="00703456"/>
    <w:rsid w:val="007045B9"/>
    <w:rsid w:val="0071065A"/>
    <w:rsid w:val="00711958"/>
    <w:rsid w:val="00715028"/>
    <w:rsid w:val="007154BC"/>
    <w:rsid w:val="00717502"/>
    <w:rsid w:val="0072125A"/>
    <w:rsid w:val="00721727"/>
    <w:rsid w:val="00721DAB"/>
    <w:rsid w:val="0072366C"/>
    <w:rsid w:val="00727898"/>
    <w:rsid w:val="007311A7"/>
    <w:rsid w:val="007323FB"/>
    <w:rsid w:val="00735911"/>
    <w:rsid w:val="00735B30"/>
    <w:rsid w:val="00735BDA"/>
    <w:rsid w:val="00735C51"/>
    <w:rsid w:val="00741AA5"/>
    <w:rsid w:val="00741CE9"/>
    <w:rsid w:val="007423A0"/>
    <w:rsid w:val="007447EF"/>
    <w:rsid w:val="00750448"/>
    <w:rsid w:val="0075215A"/>
    <w:rsid w:val="0075294A"/>
    <w:rsid w:val="007566F2"/>
    <w:rsid w:val="0075751B"/>
    <w:rsid w:val="00762086"/>
    <w:rsid w:val="00770800"/>
    <w:rsid w:val="00771E20"/>
    <w:rsid w:val="00773EF9"/>
    <w:rsid w:val="00780666"/>
    <w:rsid w:val="0078235D"/>
    <w:rsid w:val="007836B5"/>
    <w:rsid w:val="00785F9F"/>
    <w:rsid w:val="00786FB2"/>
    <w:rsid w:val="00790C15"/>
    <w:rsid w:val="00793F43"/>
    <w:rsid w:val="00795185"/>
    <w:rsid w:val="00796360"/>
    <w:rsid w:val="007A00C4"/>
    <w:rsid w:val="007A36F9"/>
    <w:rsid w:val="007A560F"/>
    <w:rsid w:val="007A5BF5"/>
    <w:rsid w:val="007A60B9"/>
    <w:rsid w:val="007A6E48"/>
    <w:rsid w:val="007A7DD7"/>
    <w:rsid w:val="007B2B1B"/>
    <w:rsid w:val="007B2DA6"/>
    <w:rsid w:val="007B36A8"/>
    <w:rsid w:val="007B682E"/>
    <w:rsid w:val="007B724E"/>
    <w:rsid w:val="007C051A"/>
    <w:rsid w:val="007C072C"/>
    <w:rsid w:val="007C0BC6"/>
    <w:rsid w:val="007C1466"/>
    <w:rsid w:val="007C32FB"/>
    <w:rsid w:val="007C49F9"/>
    <w:rsid w:val="007C51E0"/>
    <w:rsid w:val="007C5236"/>
    <w:rsid w:val="007C6F81"/>
    <w:rsid w:val="007D0405"/>
    <w:rsid w:val="007D0BE1"/>
    <w:rsid w:val="007D1D44"/>
    <w:rsid w:val="007D20AF"/>
    <w:rsid w:val="007D2305"/>
    <w:rsid w:val="007D2CF9"/>
    <w:rsid w:val="007D4C47"/>
    <w:rsid w:val="007E0BD2"/>
    <w:rsid w:val="007E7A7D"/>
    <w:rsid w:val="007F0170"/>
    <w:rsid w:val="007F2BC6"/>
    <w:rsid w:val="007F5B8E"/>
    <w:rsid w:val="007F7A44"/>
    <w:rsid w:val="00805375"/>
    <w:rsid w:val="0081054D"/>
    <w:rsid w:val="00813E26"/>
    <w:rsid w:val="00815637"/>
    <w:rsid w:val="008157F9"/>
    <w:rsid w:val="008203DD"/>
    <w:rsid w:val="00821B27"/>
    <w:rsid w:val="00824985"/>
    <w:rsid w:val="008275F5"/>
    <w:rsid w:val="00831A23"/>
    <w:rsid w:val="00832115"/>
    <w:rsid w:val="00833630"/>
    <w:rsid w:val="00833F9F"/>
    <w:rsid w:val="00841F07"/>
    <w:rsid w:val="008459F2"/>
    <w:rsid w:val="00846FD5"/>
    <w:rsid w:val="008477A0"/>
    <w:rsid w:val="00847BCD"/>
    <w:rsid w:val="00850E73"/>
    <w:rsid w:val="00851256"/>
    <w:rsid w:val="00854CC4"/>
    <w:rsid w:val="00855774"/>
    <w:rsid w:val="00855F26"/>
    <w:rsid w:val="008609A1"/>
    <w:rsid w:val="0086117C"/>
    <w:rsid w:val="008612F5"/>
    <w:rsid w:val="00861A52"/>
    <w:rsid w:val="0087172D"/>
    <w:rsid w:val="0087178B"/>
    <w:rsid w:val="00871AE6"/>
    <w:rsid w:val="008727B9"/>
    <w:rsid w:val="0087285B"/>
    <w:rsid w:val="008731DC"/>
    <w:rsid w:val="008740C5"/>
    <w:rsid w:val="00874DB8"/>
    <w:rsid w:val="008816C7"/>
    <w:rsid w:val="008818CC"/>
    <w:rsid w:val="00881D96"/>
    <w:rsid w:val="00884E54"/>
    <w:rsid w:val="00886F60"/>
    <w:rsid w:val="00893D5B"/>
    <w:rsid w:val="00893F14"/>
    <w:rsid w:val="00894B1D"/>
    <w:rsid w:val="00895413"/>
    <w:rsid w:val="008955C0"/>
    <w:rsid w:val="00896742"/>
    <w:rsid w:val="00896FB3"/>
    <w:rsid w:val="008A17B7"/>
    <w:rsid w:val="008A2FB4"/>
    <w:rsid w:val="008A54B6"/>
    <w:rsid w:val="008A7C80"/>
    <w:rsid w:val="008B0189"/>
    <w:rsid w:val="008B0BB1"/>
    <w:rsid w:val="008B0CE5"/>
    <w:rsid w:val="008B1039"/>
    <w:rsid w:val="008B13C6"/>
    <w:rsid w:val="008B2544"/>
    <w:rsid w:val="008B5A87"/>
    <w:rsid w:val="008B6444"/>
    <w:rsid w:val="008C0447"/>
    <w:rsid w:val="008C0700"/>
    <w:rsid w:val="008C3183"/>
    <w:rsid w:val="008C5E0C"/>
    <w:rsid w:val="008D0AC4"/>
    <w:rsid w:val="008D1976"/>
    <w:rsid w:val="008D2668"/>
    <w:rsid w:val="008D5FD0"/>
    <w:rsid w:val="008D686B"/>
    <w:rsid w:val="008D6FB7"/>
    <w:rsid w:val="008E0F36"/>
    <w:rsid w:val="008E2D2E"/>
    <w:rsid w:val="008E3010"/>
    <w:rsid w:val="008E3915"/>
    <w:rsid w:val="008E6A7C"/>
    <w:rsid w:val="008E6C06"/>
    <w:rsid w:val="008F2354"/>
    <w:rsid w:val="008F5ECC"/>
    <w:rsid w:val="00902C36"/>
    <w:rsid w:val="00904622"/>
    <w:rsid w:val="00906ED6"/>
    <w:rsid w:val="009073C9"/>
    <w:rsid w:val="00910C7A"/>
    <w:rsid w:val="00915F49"/>
    <w:rsid w:val="00916411"/>
    <w:rsid w:val="00916730"/>
    <w:rsid w:val="009178CE"/>
    <w:rsid w:val="00922A4B"/>
    <w:rsid w:val="00922CB3"/>
    <w:rsid w:val="009232B5"/>
    <w:rsid w:val="00923844"/>
    <w:rsid w:val="0092502D"/>
    <w:rsid w:val="00926920"/>
    <w:rsid w:val="00930F13"/>
    <w:rsid w:val="009334E0"/>
    <w:rsid w:val="0093639F"/>
    <w:rsid w:val="00940852"/>
    <w:rsid w:val="00941916"/>
    <w:rsid w:val="009426C2"/>
    <w:rsid w:val="00945BE5"/>
    <w:rsid w:val="00945DBB"/>
    <w:rsid w:val="00953515"/>
    <w:rsid w:val="0095659A"/>
    <w:rsid w:val="009613F1"/>
    <w:rsid w:val="0096684F"/>
    <w:rsid w:val="0096706E"/>
    <w:rsid w:val="009754DB"/>
    <w:rsid w:val="00980350"/>
    <w:rsid w:val="009814B7"/>
    <w:rsid w:val="009819E2"/>
    <w:rsid w:val="00981A13"/>
    <w:rsid w:val="00981F06"/>
    <w:rsid w:val="00982F76"/>
    <w:rsid w:val="0098483F"/>
    <w:rsid w:val="009849FA"/>
    <w:rsid w:val="00984C63"/>
    <w:rsid w:val="00987A3B"/>
    <w:rsid w:val="00987A5C"/>
    <w:rsid w:val="00990389"/>
    <w:rsid w:val="00990A66"/>
    <w:rsid w:val="00993668"/>
    <w:rsid w:val="009947C0"/>
    <w:rsid w:val="0099568F"/>
    <w:rsid w:val="00995963"/>
    <w:rsid w:val="00996029"/>
    <w:rsid w:val="00997D4D"/>
    <w:rsid w:val="009A1F5B"/>
    <w:rsid w:val="009A2A52"/>
    <w:rsid w:val="009A35A4"/>
    <w:rsid w:val="009A40CE"/>
    <w:rsid w:val="009A6FED"/>
    <w:rsid w:val="009A7CAD"/>
    <w:rsid w:val="009B0318"/>
    <w:rsid w:val="009B16BC"/>
    <w:rsid w:val="009B1A85"/>
    <w:rsid w:val="009B1ADD"/>
    <w:rsid w:val="009B1AFC"/>
    <w:rsid w:val="009B2701"/>
    <w:rsid w:val="009B3884"/>
    <w:rsid w:val="009B5577"/>
    <w:rsid w:val="009B656D"/>
    <w:rsid w:val="009B708F"/>
    <w:rsid w:val="009B7F6D"/>
    <w:rsid w:val="009C14FC"/>
    <w:rsid w:val="009C1623"/>
    <w:rsid w:val="009C311D"/>
    <w:rsid w:val="009C44D1"/>
    <w:rsid w:val="009C4579"/>
    <w:rsid w:val="009C4DC5"/>
    <w:rsid w:val="009C58D2"/>
    <w:rsid w:val="009C66AD"/>
    <w:rsid w:val="009D06CA"/>
    <w:rsid w:val="009D0B26"/>
    <w:rsid w:val="009D32C0"/>
    <w:rsid w:val="009D356C"/>
    <w:rsid w:val="009D6776"/>
    <w:rsid w:val="009D77FA"/>
    <w:rsid w:val="009E00CC"/>
    <w:rsid w:val="009E0DBD"/>
    <w:rsid w:val="009E2F1E"/>
    <w:rsid w:val="009E64E0"/>
    <w:rsid w:val="009E682B"/>
    <w:rsid w:val="009E6967"/>
    <w:rsid w:val="009F0364"/>
    <w:rsid w:val="009F36B8"/>
    <w:rsid w:val="009F44E0"/>
    <w:rsid w:val="009F4A50"/>
    <w:rsid w:val="00A002E5"/>
    <w:rsid w:val="00A01202"/>
    <w:rsid w:val="00A03341"/>
    <w:rsid w:val="00A05688"/>
    <w:rsid w:val="00A16756"/>
    <w:rsid w:val="00A20F1F"/>
    <w:rsid w:val="00A236F2"/>
    <w:rsid w:val="00A24BAB"/>
    <w:rsid w:val="00A26217"/>
    <w:rsid w:val="00A36E27"/>
    <w:rsid w:val="00A413A0"/>
    <w:rsid w:val="00A41B45"/>
    <w:rsid w:val="00A41C50"/>
    <w:rsid w:val="00A41D22"/>
    <w:rsid w:val="00A50DE3"/>
    <w:rsid w:val="00A5228B"/>
    <w:rsid w:val="00A5343C"/>
    <w:rsid w:val="00A676CA"/>
    <w:rsid w:val="00A67789"/>
    <w:rsid w:val="00A70614"/>
    <w:rsid w:val="00A71572"/>
    <w:rsid w:val="00A7216C"/>
    <w:rsid w:val="00A74622"/>
    <w:rsid w:val="00A76072"/>
    <w:rsid w:val="00A82712"/>
    <w:rsid w:val="00A86E0A"/>
    <w:rsid w:val="00A93C85"/>
    <w:rsid w:val="00A96655"/>
    <w:rsid w:val="00AA0C2C"/>
    <w:rsid w:val="00AA26C4"/>
    <w:rsid w:val="00AA3004"/>
    <w:rsid w:val="00AA7481"/>
    <w:rsid w:val="00AB31F5"/>
    <w:rsid w:val="00AB4880"/>
    <w:rsid w:val="00AB4A8D"/>
    <w:rsid w:val="00AB6084"/>
    <w:rsid w:val="00AC18FA"/>
    <w:rsid w:val="00AC1A04"/>
    <w:rsid w:val="00AC7348"/>
    <w:rsid w:val="00AC7430"/>
    <w:rsid w:val="00AD0477"/>
    <w:rsid w:val="00AD1655"/>
    <w:rsid w:val="00AD6205"/>
    <w:rsid w:val="00AE0242"/>
    <w:rsid w:val="00AE48F2"/>
    <w:rsid w:val="00AE6E66"/>
    <w:rsid w:val="00AE7319"/>
    <w:rsid w:val="00AF2ACE"/>
    <w:rsid w:val="00AF505E"/>
    <w:rsid w:val="00AF5D7A"/>
    <w:rsid w:val="00B0452B"/>
    <w:rsid w:val="00B05938"/>
    <w:rsid w:val="00B074DE"/>
    <w:rsid w:val="00B07FE0"/>
    <w:rsid w:val="00B10646"/>
    <w:rsid w:val="00B11ABE"/>
    <w:rsid w:val="00B121C2"/>
    <w:rsid w:val="00B15C5F"/>
    <w:rsid w:val="00B16801"/>
    <w:rsid w:val="00B1701A"/>
    <w:rsid w:val="00B236FC"/>
    <w:rsid w:val="00B24FF6"/>
    <w:rsid w:val="00B251D1"/>
    <w:rsid w:val="00B25FEF"/>
    <w:rsid w:val="00B2640E"/>
    <w:rsid w:val="00B302C2"/>
    <w:rsid w:val="00B30368"/>
    <w:rsid w:val="00B3155A"/>
    <w:rsid w:val="00B341A3"/>
    <w:rsid w:val="00B3473E"/>
    <w:rsid w:val="00B3476B"/>
    <w:rsid w:val="00B36D4A"/>
    <w:rsid w:val="00B37508"/>
    <w:rsid w:val="00B40C11"/>
    <w:rsid w:val="00B42449"/>
    <w:rsid w:val="00B45D81"/>
    <w:rsid w:val="00B462A9"/>
    <w:rsid w:val="00B463EF"/>
    <w:rsid w:val="00B5002F"/>
    <w:rsid w:val="00B52899"/>
    <w:rsid w:val="00B52FC9"/>
    <w:rsid w:val="00B54046"/>
    <w:rsid w:val="00B54324"/>
    <w:rsid w:val="00B54FC1"/>
    <w:rsid w:val="00B60396"/>
    <w:rsid w:val="00B634E8"/>
    <w:rsid w:val="00B63A4E"/>
    <w:rsid w:val="00B642AD"/>
    <w:rsid w:val="00B642D2"/>
    <w:rsid w:val="00B64705"/>
    <w:rsid w:val="00B678B8"/>
    <w:rsid w:val="00B74CED"/>
    <w:rsid w:val="00B77D17"/>
    <w:rsid w:val="00B82FD2"/>
    <w:rsid w:val="00B83015"/>
    <w:rsid w:val="00B86445"/>
    <w:rsid w:val="00B90C3D"/>
    <w:rsid w:val="00B91738"/>
    <w:rsid w:val="00B92FD0"/>
    <w:rsid w:val="00B97F42"/>
    <w:rsid w:val="00BA2E10"/>
    <w:rsid w:val="00BA5FB3"/>
    <w:rsid w:val="00BA750F"/>
    <w:rsid w:val="00BB292E"/>
    <w:rsid w:val="00BB4A49"/>
    <w:rsid w:val="00BB6E71"/>
    <w:rsid w:val="00BB7872"/>
    <w:rsid w:val="00BC09B7"/>
    <w:rsid w:val="00BC09C6"/>
    <w:rsid w:val="00BC317F"/>
    <w:rsid w:val="00BC6166"/>
    <w:rsid w:val="00BD0EC2"/>
    <w:rsid w:val="00BD1B5A"/>
    <w:rsid w:val="00BD45D6"/>
    <w:rsid w:val="00BD53AF"/>
    <w:rsid w:val="00BE42DA"/>
    <w:rsid w:val="00BF0AEB"/>
    <w:rsid w:val="00BF0ED6"/>
    <w:rsid w:val="00BF17C7"/>
    <w:rsid w:val="00BF251E"/>
    <w:rsid w:val="00BF3792"/>
    <w:rsid w:val="00BF6F73"/>
    <w:rsid w:val="00BF73B8"/>
    <w:rsid w:val="00BF7409"/>
    <w:rsid w:val="00C010C1"/>
    <w:rsid w:val="00C028AA"/>
    <w:rsid w:val="00C035CF"/>
    <w:rsid w:val="00C11760"/>
    <w:rsid w:val="00C12507"/>
    <w:rsid w:val="00C12FB5"/>
    <w:rsid w:val="00C13429"/>
    <w:rsid w:val="00C13770"/>
    <w:rsid w:val="00C14685"/>
    <w:rsid w:val="00C14D36"/>
    <w:rsid w:val="00C16C91"/>
    <w:rsid w:val="00C214D4"/>
    <w:rsid w:val="00C228B8"/>
    <w:rsid w:val="00C2389E"/>
    <w:rsid w:val="00C254A5"/>
    <w:rsid w:val="00C258E0"/>
    <w:rsid w:val="00C26EE0"/>
    <w:rsid w:val="00C277F1"/>
    <w:rsid w:val="00C32599"/>
    <w:rsid w:val="00C33F95"/>
    <w:rsid w:val="00C344FB"/>
    <w:rsid w:val="00C34B85"/>
    <w:rsid w:val="00C354C2"/>
    <w:rsid w:val="00C403D9"/>
    <w:rsid w:val="00C41A5C"/>
    <w:rsid w:val="00C42E97"/>
    <w:rsid w:val="00C430B7"/>
    <w:rsid w:val="00C47732"/>
    <w:rsid w:val="00C51A92"/>
    <w:rsid w:val="00C563AE"/>
    <w:rsid w:val="00C648EF"/>
    <w:rsid w:val="00C64C3B"/>
    <w:rsid w:val="00C671EB"/>
    <w:rsid w:val="00C708A3"/>
    <w:rsid w:val="00C7384A"/>
    <w:rsid w:val="00C74D13"/>
    <w:rsid w:val="00C76E81"/>
    <w:rsid w:val="00C82C82"/>
    <w:rsid w:val="00C84673"/>
    <w:rsid w:val="00C8588F"/>
    <w:rsid w:val="00C8648F"/>
    <w:rsid w:val="00C91180"/>
    <w:rsid w:val="00C923FB"/>
    <w:rsid w:val="00C93827"/>
    <w:rsid w:val="00C97FE3"/>
    <w:rsid w:val="00CA41D8"/>
    <w:rsid w:val="00CA4CE8"/>
    <w:rsid w:val="00CA5AA0"/>
    <w:rsid w:val="00CA7962"/>
    <w:rsid w:val="00CB1A93"/>
    <w:rsid w:val="00CB3A2D"/>
    <w:rsid w:val="00CB7115"/>
    <w:rsid w:val="00CC0099"/>
    <w:rsid w:val="00CC29F6"/>
    <w:rsid w:val="00CD3115"/>
    <w:rsid w:val="00CD3718"/>
    <w:rsid w:val="00CD73DF"/>
    <w:rsid w:val="00CE040A"/>
    <w:rsid w:val="00CE3ED2"/>
    <w:rsid w:val="00CE477A"/>
    <w:rsid w:val="00CE5F14"/>
    <w:rsid w:val="00CF13C9"/>
    <w:rsid w:val="00CF3625"/>
    <w:rsid w:val="00CF49F4"/>
    <w:rsid w:val="00CF6BF2"/>
    <w:rsid w:val="00CF73E5"/>
    <w:rsid w:val="00CF7CF1"/>
    <w:rsid w:val="00D0008B"/>
    <w:rsid w:val="00D0248A"/>
    <w:rsid w:val="00D02E32"/>
    <w:rsid w:val="00D03371"/>
    <w:rsid w:val="00D0404A"/>
    <w:rsid w:val="00D075DF"/>
    <w:rsid w:val="00D078E0"/>
    <w:rsid w:val="00D07B2B"/>
    <w:rsid w:val="00D1406E"/>
    <w:rsid w:val="00D144B8"/>
    <w:rsid w:val="00D203C8"/>
    <w:rsid w:val="00D225B6"/>
    <w:rsid w:val="00D232AB"/>
    <w:rsid w:val="00D239A5"/>
    <w:rsid w:val="00D24006"/>
    <w:rsid w:val="00D35815"/>
    <w:rsid w:val="00D37816"/>
    <w:rsid w:val="00D37881"/>
    <w:rsid w:val="00D37B34"/>
    <w:rsid w:val="00D37C07"/>
    <w:rsid w:val="00D415FE"/>
    <w:rsid w:val="00D42A10"/>
    <w:rsid w:val="00D42E39"/>
    <w:rsid w:val="00D44220"/>
    <w:rsid w:val="00D451A2"/>
    <w:rsid w:val="00D45EC1"/>
    <w:rsid w:val="00D45F62"/>
    <w:rsid w:val="00D471E1"/>
    <w:rsid w:val="00D571AF"/>
    <w:rsid w:val="00D60864"/>
    <w:rsid w:val="00D61AEA"/>
    <w:rsid w:val="00D63061"/>
    <w:rsid w:val="00D6402E"/>
    <w:rsid w:val="00D6460C"/>
    <w:rsid w:val="00D6644B"/>
    <w:rsid w:val="00D6750E"/>
    <w:rsid w:val="00D6778B"/>
    <w:rsid w:val="00D7297D"/>
    <w:rsid w:val="00D73679"/>
    <w:rsid w:val="00D736BA"/>
    <w:rsid w:val="00D73E88"/>
    <w:rsid w:val="00D76605"/>
    <w:rsid w:val="00D77AAD"/>
    <w:rsid w:val="00D82DEC"/>
    <w:rsid w:val="00D839FF"/>
    <w:rsid w:val="00D84A03"/>
    <w:rsid w:val="00D84BE2"/>
    <w:rsid w:val="00D8528C"/>
    <w:rsid w:val="00D85F81"/>
    <w:rsid w:val="00D864D0"/>
    <w:rsid w:val="00D916B5"/>
    <w:rsid w:val="00D94CF5"/>
    <w:rsid w:val="00D979C3"/>
    <w:rsid w:val="00DA26CA"/>
    <w:rsid w:val="00DA2E97"/>
    <w:rsid w:val="00DA3BAD"/>
    <w:rsid w:val="00DA58EF"/>
    <w:rsid w:val="00DA6A60"/>
    <w:rsid w:val="00DA7A8B"/>
    <w:rsid w:val="00DB2A3A"/>
    <w:rsid w:val="00DB3543"/>
    <w:rsid w:val="00DB5C8C"/>
    <w:rsid w:val="00DB6E51"/>
    <w:rsid w:val="00DC2656"/>
    <w:rsid w:val="00DC4362"/>
    <w:rsid w:val="00DD0C49"/>
    <w:rsid w:val="00DD6B63"/>
    <w:rsid w:val="00DD7930"/>
    <w:rsid w:val="00DE1DFF"/>
    <w:rsid w:val="00DE3FDF"/>
    <w:rsid w:val="00DE42BF"/>
    <w:rsid w:val="00DE5BEE"/>
    <w:rsid w:val="00DF2636"/>
    <w:rsid w:val="00DF28EF"/>
    <w:rsid w:val="00DF41EB"/>
    <w:rsid w:val="00DF6E30"/>
    <w:rsid w:val="00E01225"/>
    <w:rsid w:val="00E03391"/>
    <w:rsid w:val="00E052CB"/>
    <w:rsid w:val="00E073B0"/>
    <w:rsid w:val="00E10487"/>
    <w:rsid w:val="00E11BBC"/>
    <w:rsid w:val="00E16B55"/>
    <w:rsid w:val="00E22671"/>
    <w:rsid w:val="00E268DA"/>
    <w:rsid w:val="00E33CE0"/>
    <w:rsid w:val="00E3616E"/>
    <w:rsid w:val="00E36AC1"/>
    <w:rsid w:val="00E4580B"/>
    <w:rsid w:val="00E4788B"/>
    <w:rsid w:val="00E5075C"/>
    <w:rsid w:val="00E50BDA"/>
    <w:rsid w:val="00E52845"/>
    <w:rsid w:val="00E5332A"/>
    <w:rsid w:val="00E53965"/>
    <w:rsid w:val="00E54C53"/>
    <w:rsid w:val="00E55024"/>
    <w:rsid w:val="00E550C7"/>
    <w:rsid w:val="00E55DD0"/>
    <w:rsid w:val="00E61FE6"/>
    <w:rsid w:val="00E629B3"/>
    <w:rsid w:val="00E62FB6"/>
    <w:rsid w:val="00E63D7A"/>
    <w:rsid w:val="00E65B85"/>
    <w:rsid w:val="00E66C91"/>
    <w:rsid w:val="00E6766E"/>
    <w:rsid w:val="00E718F3"/>
    <w:rsid w:val="00E7274F"/>
    <w:rsid w:val="00E72756"/>
    <w:rsid w:val="00E75DA3"/>
    <w:rsid w:val="00E76F65"/>
    <w:rsid w:val="00E81C5F"/>
    <w:rsid w:val="00E81CD5"/>
    <w:rsid w:val="00E81DC0"/>
    <w:rsid w:val="00E82726"/>
    <w:rsid w:val="00E86F90"/>
    <w:rsid w:val="00E9308F"/>
    <w:rsid w:val="00EA3635"/>
    <w:rsid w:val="00EB2AC4"/>
    <w:rsid w:val="00EB2D11"/>
    <w:rsid w:val="00EC0D10"/>
    <w:rsid w:val="00EC2068"/>
    <w:rsid w:val="00EC2E0A"/>
    <w:rsid w:val="00EC59E5"/>
    <w:rsid w:val="00EC6AC5"/>
    <w:rsid w:val="00EC7F79"/>
    <w:rsid w:val="00ED0D53"/>
    <w:rsid w:val="00ED1723"/>
    <w:rsid w:val="00ED374D"/>
    <w:rsid w:val="00ED3C23"/>
    <w:rsid w:val="00ED47C1"/>
    <w:rsid w:val="00ED6B26"/>
    <w:rsid w:val="00ED7D74"/>
    <w:rsid w:val="00ED7EE4"/>
    <w:rsid w:val="00EE35F5"/>
    <w:rsid w:val="00EE389E"/>
    <w:rsid w:val="00EE5192"/>
    <w:rsid w:val="00EE530C"/>
    <w:rsid w:val="00EE5B79"/>
    <w:rsid w:val="00EF2603"/>
    <w:rsid w:val="00EF432D"/>
    <w:rsid w:val="00EF5B99"/>
    <w:rsid w:val="00EF6248"/>
    <w:rsid w:val="00EF7A73"/>
    <w:rsid w:val="00EF7B6F"/>
    <w:rsid w:val="00F011EB"/>
    <w:rsid w:val="00F02CFE"/>
    <w:rsid w:val="00F05B1D"/>
    <w:rsid w:val="00F071C5"/>
    <w:rsid w:val="00F14E93"/>
    <w:rsid w:val="00F15F9A"/>
    <w:rsid w:val="00F1748B"/>
    <w:rsid w:val="00F2078D"/>
    <w:rsid w:val="00F21D80"/>
    <w:rsid w:val="00F21E30"/>
    <w:rsid w:val="00F242BD"/>
    <w:rsid w:val="00F266E1"/>
    <w:rsid w:val="00F2790D"/>
    <w:rsid w:val="00F310BD"/>
    <w:rsid w:val="00F33D47"/>
    <w:rsid w:val="00F3502B"/>
    <w:rsid w:val="00F358E1"/>
    <w:rsid w:val="00F42D73"/>
    <w:rsid w:val="00F4437C"/>
    <w:rsid w:val="00F477F2"/>
    <w:rsid w:val="00F517B6"/>
    <w:rsid w:val="00F54493"/>
    <w:rsid w:val="00F570C6"/>
    <w:rsid w:val="00F5797E"/>
    <w:rsid w:val="00F57E77"/>
    <w:rsid w:val="00F6372F"/>
    <w:rsid w:val="00F65C32"/>
    <w:rsid w:val="00F66A7E"/>
    <w:rsid w:val="00F719A6"/>
    <w:rsid w:val="00F728F4"/>
    <w:rsid w:val="00F74358"/>
    <w:rsid w:val="00F75A9E"/>
    <w:rsid w:val="00F8079D"/>
    <w:rsid w:val="00F82F3B"/>
    <w:rsid w:val="00F83697"/>
    <w:rsid w:val="00F84F3B"/>
    <w:rsid w:val="00F85747"/>
    <w:rsid w:val="00F87978"/>
    <w:rsid w:val="00F879E6"/>
    <w:rsid w:val="00F90227"/>
    <w:rsid w:val="00F93EB5"/>
    <w:rsid w:val="00F955E3"/>
    <w:rsid w:val="00FA0E5C"/>
    <w:rsid w:val="00FA2CF5"/>
    <w:rsid w:val="00FA396F"/>
    <w:rsid w:val="00FA4DE8"/>
    <w:rsid w:val="00FA4EC1"/>
    <w:rsid w:val="00FA6264"/>
    <w:rsid w:val="00FB0B98"/>
    <w:rsid w:val="00FB1E91"/>
    <w:rsid w:val="00FB3269"/>
    <w:rsid w:val="00FB464A"/>
    <w:rsid w:val="00FC0632"/>
    <w:rsid w:val="00FC25E9"/>
    <w:rsid w:val="00FC4DD2"/>
    <w:rsid w:val="00FD0D6C"/>
    <w:rsid w:val="00FD4A63"/>
    <w:rsid w:val="00FD5445"/>
    <w:rsid w:val="00FD6270"/>
    <w:rsid w:val="00FD670A"/>
    <w:rsid w:val="00FD7299"/>
    <w:rsid w:val="00FD7F7A"/>
    <w:rsid w:val="00FE1855"/>
    <w:rsid w:val="00FE357B"/>
    <w:rsid w:val="00FE4730"/>
    <w:rsid w:val="00FF0E45"/>
    <w:rsid w:val="00FF381A"/>
    <w:rsid w:val="00FF4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AFDF3C"/>
  <w15:docId w15:val="{27239A65-0F5A-4288-91A7-A18CB304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AB3"/>
    <w:rPr>
      <w:rFonts w:ascii="Arial" w:eastAsia="MS Mincho" w:hAnsi="Arial" w:cs="Times New Roman"/>
      <w:sz w:val="20"/>
      <w:szCs w:val="24"/>
    </w:rPr>
  </w:style>
  <w:style w:type="paragraph" w:styleId="Heading1">
    <w:name w:val="heading 1"/>
    <w:basedOn w:val="01HEADING1"/>
    <w:next w:val="Normal"/>
    <w:link w:val="Heading1Char"/>
    <w:uiPriority w:val="9"/>
    <w:qFormat/>
    <w:rsid w:val="00D864D0"/>
    <w:pPr>
      <w:numPr>
        <w:numId w:val="2"/>
      </w:numPr>
      <w:spacing w:after="240" w:line="400" w:lineRule="atLeast"/>
      <w:ind w:left="431" w:right="-187" w:hanging="431"/>
      <w:outlineLvl w:val="0"/>
    </w:pPr>
  </w:style>
  <w:style w:type="paragraph" w:styleId="Heading2">
    <w:name w:val="heading 2"/>
    <w:basedOn w:val="03HEADING3"/>
    <w:next w:val="Normal"/>
    <w:link w:val="Heading2Char"/>
    <w:uiPriority w:val="9"/>
    <w:unhideWhenUsed/>
    <w:qFormat/>
    <w:rsid w:val="005831D0"/>
    <w:pPr>
      <w:keepNext/>
      <w:widowControl/>
      <w:numPr>
        <w:ilvl w:val="1"/>
        <w:numId w:val="2"/>
      </w:numPr>
      <w:outlineLvl w:val="1"/>
    </w:pPr>
  </w:style>
  <w:style w:type="paragraph" w:styleId="Heading3">
    <w:name w:val="heading 3"/>
    <w:basedOn w:val="Heading2"/>
    <w:next w:val="Normal"/>
    <w:link w:val="Heading3Char"/>
    <w:uiPriority w:val="9"/>
    <w:unhideWhenUsed/>
    <w:qFormat/>
    <w:rsid w:val="00CC0099"/>
    <w:pPr>
      <w:numPr>
        <w:ilvl w:val="2"/>
      </w:numPr>
      <w:ind w:left="720"/>
      <w:outlineLvl w:val="2"/>
    </w:pPr>
  </w:style>
  <w:style w:type="paragraph" w:styleId="Heading4">
    <w:name w:val="heading 4"/>
    <w:basedOn w:val="Normal"/>
    <w:next w:val="Normal"/>
    <w:link w:val="Heading4Char"/>
    <w:uiPriority w:val="9"/>
    <w:semiHidden/>
    <w:unhideWhenUsed/>
    <w:qFormat/>
    <w:rsid w:val="007A6E48"/>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A6E48"/>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A6E48"/>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A6E48"/>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A6E4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6E4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884E54"/>
    <w:pPr>
      <w:keepLines/>
      <w:widowControl w:val="0"/>
      <w:tabs>
        <w:tab w:val="left" w:pos="284"/>
        <w:tab w:val="right" w:leader="dot" w:pos="9356"/>
      </w:tabs>
      <w:suppressAutoHyphens/>
      <w:autoSpaceDE w:val="0"/>
      <w:autoSpaceDN w:val="0"/>
      <w:adjustRightInd w:val="0"/>
      <w:spacing w:before="200" w:after="100"/>
      <w:ind w:left="284" w:right="284" w:hanging="284"/>
      <w:textAlignment w:val="center"/>
    </w:pPr>
    <w:rPr>
      <w:rFonts w:cs="TimesNewRomanPSMT"/>
      <w:b/>
      <w:bCs/>
      <w:caps/>
      <w:noProof/>
      <w:color w:val="000000"/>
      <w:sz w:val="22"/>
      <w:szCs w:val="28"/>
      <w:lang w:val="en-US" w:eastAsia="ja-JP"/>
    </w:rPr>
  </w:style>
  <w:style w:type="paragraph" w:styleId="TOC3">
    <w:name w:val="toc 3"/>
    <w:basedOn w:val="TOC2"/>
    <w:next w:val="Normal"/>
    <w:autoRedefine/>
    <w:uiPriority w:val="39"/>
    <w:unhideWhenUsed/>
    <w:qFormat/>
    <w:rsid w:val="004D0F44"/>
    <w:pPr>
      <w:tabs>
        <w:tab w:val="clear" w:pos="284"/>
        <w:tab w:val="left" w:pos="1701"/>
      </w:tabs>
      <w:ind w:firstLine="0"/>
    </w:pPr>
  </w:style>
  <w:style w:type="paragraph" w:styleId="TOC4">
    <w:name w:val="toc 4"/>
    <w:basedOn w:val="TOC3"/>
    <w:next w:val="Normal"/>
    <w:autoRedefine/>
    <w:uiPriority w:val="39"/>
    <w:unhideWhenUsed/>
    <w:rsid w:val="009C4579"/>
    <w:pPr>
      <w:ind w:left="2268"/>
    </w:pPr>
  </w:style>
  <w:style w:type="character" w:styleId="Hyperlink">
    <w:name w:val="Hyperlink"/>
    <w:uiPriority w:val="99"/>
    <w:unhideWhenUsed/>
    <w:rsid w:val="00AF505E"/>
    <w:rPr>
      <w:rFonts w:cs="Arial"/>
      <w:color w:val="0000FF"/>
      <w:u w:val="single"/>
    </w:rPr>
  </w:style>
  <w:style w:type="paragraph" w:customStyle="1" w:styleId="01HEADING1">
    <w:name w:val="01. HEADING 1"/>
    <w:basedOn w:val="Normal"/>
    <w:autoRedefine/>
    <w:uiPriority w:val="99"/>
    <w:rsid w:val="00C344FB"/>
    <w:pPr>
      <w:widowControl w:val="0"/>
      <w:numPr>
        <w:numId w:val="1"/>
      </w:numPr>
      <w:suppressAutoHyphens/>
      <w:autoSpaceDE w:val="0"/>
      <w:autoSpaceDN w:val="0"/>
      <w:adjustRightInd w:val="0"/>
      <w:spacing w:line="500" w:lineRule="atLeast"/>
      <w:ind w:right="-188"/>
      <w:textAlignment w:val="center"/>
    </w:pPr>
    <w:rPr>
      <w:rFonts w:cs="Arial"/>
      <w:caps/>
      <w:sz w:val="32"/>
      <w:szCs w:val="48"/>
      <w:lang w:val="en-US" w:eastAsia="ja-JP"/>
    </w:rPr>
  </w:style>
  <w:style w:type="paragraph" w:styleId="Footer">
    <w:name w:val="footer"/>
    <w:basedOn w:val="Normal"/>
    <w:link w:val="FooterChar"/>
    <w:uiPriority w:val="99"/>
    <w:unhideWhenUsed/>
    <w:rsid w:val="00AF505E"/>
    <w:pPr>
      <w:tabs>
        <w:tab w:val="center" w:pos="4513"/>
        <w:tab w:val="right" w:pos="9026"/>
      </w:tabs>
    </w:pPr>
  </w:style>
  <w:style w:type="character" w:customStyle="1" w:styleId="FooterChar">
    <w:name w:val="Footer Char"/>
    <w:basedOn w:val="DefaultParagraphFont"/>
    <w:link w:val="Footer"/>
    <w:uiPriority w:val="99"/>
    <w:rsid w:val="00AF505E"/>
    <w:rPr>
      <w:rFonts w:ascii="Arial" w:eastAsia="MS Mincho" w:hAnsi="Arial" w:cs="Times New Roman"/>
      <w:sz w:val="20"/>
      <w:szCs w:val="24"/>
    </w:rPr>
  </w:style>
  <w:style w:type="character" w:customStyle="1" w:styleId="TextItalic">
    <w:name w:val="Text Italic"/>
    <w:basedOn w:val="DefaultParagraphFont"/>
    <w:uiPriority w:val="99"/>
    <w:rsid w:val="00AF505E"/>
    <w:rPr>
      <w:i/>
      <w:iCs/>
    </w:rPr>
  </w:style>
  <w:style w:type="paragraph" w:customStyle="1" w:styleId="disclaimer">
    <w:name w:val="disclaimer"/>
    <w:basedOn w:val="Normal"/>
    <w:autoRedefine/>
    <w:uiPriority w:val="99"/>
    <w:rsid w:val="00BD45D6"/>
    <w:pPr>
      <w:widowControl w:val="0"/>
      <w:suppressAutoHyphens/>
      <w:autoSpaceDE w:val="0"/>
      <w:autoSpaceDN w:val="0"/>
      <w:adjustRightInd w:val="0"/>
      <w:spacing w:before="170" w:line="240" w:lineRule="atLeast"/>
      <w:textAlignment w:val="center"/>
    </w:pPr>
    <w:rPr>
      <w:rFonts w:eastAsiaTheme="majorEastAsia" w:cs="AGaramondPro-Regular"/>
      <w:color w:val="000000"/>
      <w:sz w:val="18"/>
      <w:szCs w:val="18"/>
      <w:lang w:val="en-US"/>
    </w:rPr>
  </w:style>
  <w:style w:type="character" w:customStyle="1" w:styleId="TextBold">
    <w:name w:val="Text Bold"/>
    <w:uiPriority w:val="99"/>
    <w:rsid w:val="00AF505E"/>
    <w:rPr>
      <w:b/>
      <w:bCs/>
    </w:rPr>
  </w:style>
  <w:style w:type="paragraph" w:styleId="BalloonText">
    <w:name w:val="Balloon Text"/>
    <w:basedOn w:val="Normal"/>
    <w:link w:val="BalloonTextChar"/>
    <w:uiPriority w:val="99"/>
    <w:semiHidden/>
    <w:unhideWhenUsed/>
    <w:rsid w:val="00AF5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05E"/>
    <w:rPr>
      <w:rFonts w:ascii="Segoe UI" w:eastAsia="MS Mincho" w:hAnsi="Segoe UI" w:cs="Segoe UI"/>
      <w:sz w:val="18"/>
      <w:szCs w:val="18"/>
    </w:rPr>
  </w:style>
  <w:style w:type="paragraph" w:customStyle="1" w:styleId="03HEADING3">
    <w:name w:val="03. HEADING 3"/>
    <w:basedOn w:val="Normal"/>
    <w:link w:val="03HEADING3Char"/>
    <w:uiPriority w:val="99"/>
    <w:rsid w:val="00CC0099"/>
    <w:pPr>
      <w:widowControl w:val="0"/>
      <w:suppressAutoHyphens/>
      <w:autoSpaceDE w:val="0"/>
      <w:autoSpaceDN w:val="0"/>
      <w:adjustRightInd w:val="0"/>
      <w:spacing w:before="340" w:after="170" w:line="280" w:lineRule="atLeast"/>
      <w:ind w:left="720" w:hanging="720"/>
      <w:textAlignment w:val="center"/>
    </w:pPr>
    <w:rPr>
      <w:rFonts w:cs="Arial"/>
      <w:b/>
      <w:color w:val="000000"/>
      <w:spacing w:val="18"/>
      <w:szCs w:val="26"/>
      <w:lang w:val="en-US" w:eastAsia="ja-JP"/>
    </w:rPr>
  </w:style>
  <w:style w:type="character" w:customStyle="1" w:styleId="03HEADING3Char">
    <w:name w:val="03. HEADING 3 Char"/>
    <w:link w:val="03HEADING3"/>
    <w:uiPriority w:val="99"/>
    <w:rsid w:val="00CC0099"/>
    <w:rPr>
      <w:rFonts w:ascii="Arial" w:eastAsia="MS Mincho" w:hAnsi="Arial" w:cs="Arial"/>
      <w:b/>
      <w:color w:val="000000"/>
      <w:spacing w:val="18"/>
      <w:sz w:val="20"/>
      <w:szCs w:val="26"/>
      <w:lang w:val="en-US" w:eastAsia="ja-JP"/>
    </w:rPr>
  </w:style>
  <w:style w:type="character" w:styleId="FootnoteReference">
    <w:name w:val="footnote reference"/>
    <w:basedOn w:val="DefaultParagraphFont"/>
    <w:uiPriority w:val="99"/>
    <w:semiHidden/>
    <w:unhideWhenUsed/>
    <w:rsid w:val="00AF505E"/>
    <w:rPr>
      <w:vertAlign w:val="superscript"/>
    </w:rPr>
  </w:style>
  <w:style w:type="paragraph" w:customStyle="1" w:styleId="Footnote">
    <w:name w:val="Footnote"/>
    <w:basedOn w:val="FootnoteText"/>
    <w:qFormat/>
    <w:rsid w:val="00AF505E"/>
    <w:rPr>
      <w:sz w:val="16"/>
      <w:szCs w:val="18"/>
    </w:rPr>
  </w:style>
  <w:style w:type="paragraph" w:styleId="FootnoteText">
    <w:name w:val="footnote text"/>
    <w:basedOn w:val="Normal"/>
    <w:link w:val="FootnoteTextChar"/>
    <w:uiPriority w:val="99"/>
    <w:semiHidden/>
    <w:unhideWhenUsed/>
    <w:rsid w:val="00AF505E"/>
    <w:rPr>
      <w:szCs w:val="20"/>
    </w:rPr>
  </w:style>
  <w:style w:type="character" w:customStyle="1" w:styleId="FootnoteTextChar">
    <w:name w:val="Footnote Text Char"/>
    <w:basedOn w:val="DefaultParagraphFont"/>
    <w:link w:val="FootnoteText"/>
    <w:uiPriority w:val="99"/>
    <w:semiHidden/>
    <w:rsid w:val="00AF505E"/>
    <w:rPr>
      <w:rFonts w:ascii="Arial" w:eastAsia="MS Mincho" w:hAnsi="Arial" w:cs="Times New Roman"/>
      <w:sz w:val="20"/>
      <w:szCs w:val="20"/>
    </w:rPr>
  </w:style>
  <w:style w:type="character" w:customStyle="1" w:styleId="Heading1Char">
    <w:name w:val="Heading 1 Char"/>
    <w:basedOn w:val="DefaultParagraphFont"/>
    <w:link w:val="Heading1"/>
    <w:uiPriority w:val="9"/>
    <w:rsid w:val="00D864D0"/>
    <w:rPr>
      <w:rFonts w:ascii="Arial" w:eastAsia="MS Mincho" w:hAnsi="Arial" w:cs="Arial"/>
      <w:caps/>
      <w:sz w:val="32"/>
      <w:szCs w:val="48"/>
      <w:lang w:val="en-US" w:eastAsia="ja-JP"/>
    </w:rPr>
  </w:style>
  <w:style w:type="character" w:customStyle="1" w:styleId="Heading2Char">
    <w:name w:val="Heading 2 Char"/>
    <w:basedOn w:val="DefaultParagraphFont"/>
    <w:link w:val="Heading2"/>
    <w:uiPriority w:val="9"/>
    <w:rsid w:val="005831D0"/>
    <w:rPr>
      <w:rFonts w:ascii="Arial" w:eastAsia="MS Mincho" w:hAnsi="Arial" w:cs="Arial"/>
      <w:b/>
      <w:color w:val="000000"/>
      <w:spacing w:val="18"/>
      <w:sz w:val="20"/>
      <w:szCs w:val="26"/>
      <w:lang w:val="en-US" w:eastAsia="ja-JP"/>
    </w:rPr>
  </w:style>
  <w:style w:type="paragraph" w:styleId="TOC2">
    <w:name w:val="toc 2"/>
    <w:basedOn w:val="Normal"/>
    <w:next w:val="Normal"/>
    <w:autoRedefine/>
    <w:uiPriority w:val="39"/>
    <w:unhideWhenUsed/>
    <w:rsid w:val="00E33CE0"/>
    <w:pPr>
      <w:tabs>
        <w:tab w:val="left" w:pos="284"/>
        <w:tab w:val="left" w:pos="851"/>
        <w:tab w:val="right" w:leader="dot" w:pos="9356"/>
      </w:tabs>
      <w:spacing w:before="80" w:after="80" w:line="240" w:lineRule="auto"/>
      <w:ind w:left="851" w:right="567" w:hanging="567"/>
    </w:pPr>
    <w:rPr>
      <w:noProof/>
      <w:sz w:val="18"/>
    </w:rPr>
  </w:style>
  <w:style w:type="paragraph" w:customStyle="1" w:styleId="Default">
    <w:name w:val="Default"/>
    <w:rsid w:val="003E57F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B6E51"/>
    <w:pPr>
      <w:tabs>
        <w:tab w:val="center" w:pos="4680"/>
        <w:tab w:val="right" w:pos="9360"/>
      </w:tabs>
    </w:pPr>
  </w:style>
  <w:style w:type="character" w:customStyle="1" w:styleId="HeaderChar">
    <w:name w:val="Header Char"/>
    <w:basedOn w:val="DefaultParagraphFont"/>
    <w:link w:val="Header"/>
    <w:uiPriority w:val="99"/>
    <w:rsid w:val="00DB6E51"/>
    <w:rPr>
      <w:rFonts w:ascii="Arial" w:eastAsia="MS Mincho" w:hAnsi="Arial" w:cs="Times New Roman"/>
      <w:sz w:val="20"/>
      <w:szCs w:val="24"/>
    </w:rPr>
  </w:style>
  <w:style w:type="character" w:customStyle="1" w:styleId="Heading3Char">
    <w:name w:val="Heading 3 Char"/>
    <w:basedOn w:val="DefaultParagraphFont"/>
    <w:link w:val="Heading3"/>
    <w:uiPriority w:val="9"/>
    <w:rsid w:val="00CC0099"/>
    <w:rPr>
      <w:rFonts w:ascii="Arial" w:eastAsia="MS Mincho" w:hAnsi="Arial" w:cs="Arial"/>
      <w:b/>
      <w:color w:val="000000"/>
      <w:spacing w:val="18"/>
      <w:sz w:val="20"/>
      <w:szCs w:val="26"/>
      <w:lang w:val="en-US" w:eastAsia="ja-JP"/>
    </w:rPr>
  </w:style>
  <w:style w:type="character" w:styleId="Strong">
    <w:name w:val="Strong"/>
    <w:basedOn w:val="DefaultParagraphFont"/>
    <w:uiPriority w:val="22"/>
    <w:qFormat/>
    <w:rsid w:val="00383C4F"/>
    <w:rPr>
      <w:b/>
      <w:bCs/>
    </w:rPr>
  </w:style>
  <w:style w:type="paragraph" w:styleId="NormalWeb">
    <w:name w:val="Normal (Web)"/>
    <w:basedOn w:val="Normal"/>
    <w:uiPriority w:val="99"/>
    <w:unhideWhenUsed/>
    <w:rsid w:val="00CE040A"/>
    <w:pPr>
      <w:spacing w:after="180" w:line="240" w:lineRule="auto"/>
      <w:textAlignment w:val="baseline"/>
    </w:pPr>
    <w:rPr>
      <w:rFonts w:ascii="Times New Roman" w:eastAsia="Times New Roman" w:hAnsi="Times New Roman"/>
      <w:sz w:val="24"/>
      <w:lang w:eastAsia="en-AU"/>
    </w:rPr>
  </w:style>
  <w:style w:type="table" w:styleId="TableGrid">
    <w:name w:val="Table Grid"/>
    <w:basedOn w:val="TableNormal"/>
    <w:uiPriority w:val="59"/>
    <w:rsid w:val="00CE040A"/>
    <w:pPr>
      <w:spacing w:after="0" w:line="240" w:lineRule="auto"/>
      <w:ind w:left="851"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A7D8B"/>
    <w:rPr>
      <w:sz w:val="16"/>
      <w:szCs w:val="16"/>
    </w:rPr>
  </w:style>
  <w:style w:type="paragraph" w:styleId="CommentText">
    <w:name w:val="annotation text"/>
    <w:basedOn w:val="Normal"/>
    <w:link w:val="CommentTextChar"/>
    <w:uiPriority w:val="99"/>
    <w:unhideWhenUsed/>
    <w:rsid w:val="001A7D8B"/>
    <w:pPr>
      <w:spacing w:line="240" w:lineRule="auto"/>
    </w:pPr>
    <w:rPr>
      <w:szCs w:val="20"/>
    </w:rPr>
  </w:style>
  <w:style w:type="character" w:customStyle="1" w:styleId="CommentTextChar">
    <w:name w:val="Comment Text Char"/>
    <w:basedOn w:val="DefaultParagraphFont"/>
    <w:link w:val="CommentText"/>
    <w:uiPriority w:val="99"/>
    <w:rsid w:val="001A7D8B"/>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1A7D8B"/>
    <w:rPr>
      <w:b/>
      <w:bCs/>
    </w:rPr>
  </w:style>
  <w:style w:type="character" w:customStyle="1" w:styleId="CommentSubjectChar">
    <w:name w:val="Comment Subject Char"/>
    <w:basedOn w:val="CommentTextChar"/>
    <w:link w:val="CommentSubject"/>
    <w:uiPriority w:val="99"/>
    <w:semiHidden/>
    <w:rsid w:val="001A7D8B"/>
    <w:rPr>
      <w:rFonts w:ascii="Arial" w:eastAsia="MS Mincho" w:hAnsi="Arial" w:cs="Times New Roman"/>
      <w:b/>
      <w:bCs/>
      <w:sz w:val="20"/>
      <w:szCs w:val="20"/>
    </w:rPr>
  </w:style>
  <w:style w:type="character" w:customStyle="1" w:styleId="Heading4Char">
    <w:name w:val="Heading 4 Char"/>
    <w:basedOn w:val="DefaultParagraphFont"/>
    <w:link w:val="Heading4"/>
    <w:uiPriority w:val="9"/>
    <w:semiHidden/>
    <w:rsid w:val="007A6E48"/>
    <w:rPr>
      <w:rFonts w:asciiTheme="majorHAnsi" w:eastAsiaTheme="majorEastAsia" w:hAnsiTheme="majorHAnsi" w:cstheme="majorBidi"/>
      <w:i/>
      <w:iCs/>
      <w:color w:val="365F91" w:themeColor="accent1" w:themeShade="BF"/>
      <w:sz w:val="20"/>
      <w:szCs w:val="24"/>
    </w:rPr>
  </w:style>
  <w:style w:type="character" w:customStyle="1" w:styleId="Heading5Char">
    <w:name w:val="Heading 5 Char"/>
    <w:basedOn w:val="DefaultParagraphFont"/>
    <w:link w:val="Heading5"/>
    <w:uiPriority w:val="9"/>
    <w:semiHidden/>
    <w:rsid w:val="007A6E48"/>
    <w:rPr>
      <w:rFonts w:asciiTheme="majorHAnsi" w:eastAsiaTheme="majorEastAsia" w:hAnsiTheme="majorHAnsi" w:cstheme="majorBidi"/>
      <w:color w:val="365F91" w:themeColor="accent1" w:themeShade="BF"/>
      <w:sz w:val="20"/>
      <w:szCs w:val="24"/>
    </w:rPr>
  </w:style>
  <w:style w:type="character" w:customStyle="1" w:styleId="Heading6Char">
    <w:name w:val="Heading 6 Char"/>
    <w:basedOn w:val="DefaultParagraphFont"/>
    <w:link w:val="Heading6"/>
    <w:uiPriority w:val="9"/>
    <w:semiHidden/>
    <w:rsid w:val="007A6E48"/>
    <w:rPr>
      <w:rFonts w:asciiTheme="majorHAnsi" w:eastAsiaTheme="majorEastAsia" w:hAnsiTheme="majorHAnsi" w:cstheme="majorBidi"/>
      <w:color w:val="243F60" w:themeColor="accent1" w:themeShade="7F"/>
      <w:sz w:val="20"/>
      <w:szCs w:val="24"/>
    </w:rPr>
  </w:style>
  <w:style w:type="character" w:customStyle="1" w:styleId="Heading7Char">
    <w:name w:val="Heading 7 Char"/>
    <w:basedOn w:val="DefaultParagraphFont"/>
    <w:link w:val="Heading7"/>
    <w:uiPriority w:val="9"/>
    <w:semiHidden/>
    <w:rsid w:val="007A6E48"/>
    <w:rPr>
      <w:rFonts w:asciiTheme="majorHAnsi" w:eastAsiaTheme="majorEastAsia" w:hAnsiTheme="majorHAnsi" w:cstheme="majorBidi"/>
      <w:i/>
      <w:iCs/>
      <w:color w:val="243F60" w:themeColor="accent1" w:themeShade="7F"/>
      <w:sz w:val="20"/>
      <w:szCs w:val="24"/>
    </w:rPr>
  </w:style>
  <w:style w:type="character" w:customStyle="1" w:styleId="Heading8Char">
    <w:name w:val="Heading 8 Char"/>
    <w:basedOn w:val="DefaultParagraphFont"/>
    <w:link w:val="Heading8"/>
    <w:uiPriority w:val="9"/>
    <w:semiHidden/>
    <w:rsid w:val="007A6E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6E48"/>
    <w:rPr>
      <w:rFonts w:asciiTheme="majorHAnsi" w:eastAsiaTheme="majorEastAsia" w:hAnsiTheme="majorHAnsi" w:cstheme="majorBidi"/>
      <w:i/>
      <w:iCs/>
      <w:color w:val="272727" w:themeColor="text1" w:themeTint="D8"/>
      <w:sz w:val="21"/>
      <w:szCs w:val="21"/>
    </w:rPr>
  </w:style>
  <w:style w:type="paragraph" w:customStyle="1" w:styleId="Text">
    <w:name w:val="Text"/>
    <w:basedOn w:val="Normal"/>
    <w:link w:val="TextChar"/>
    <w:uiPriority w:val="99"/>
    <w:rsid w:val="00564250"/>
    <w:pPr>
      <w:autoSpaceDE w:val="0"/>
      <w:autoSpaceDN w:val="0"/>
      <w:spacing w:before="170" w:after="0" w:line="280" w:lineRule="atLeast"/>
    </w:pPr>
    <w:rPr>
      <w:rFonts w:eastAsiaTheme="minorHAnsi" w:cs="Arial"/>
      <w:color w:val="000000"/>
      <w:szCs w:val="20"/>
    </w:rPr>
  </w:style>
  <w:style w:type="paragraph" w:customStyle="1" w:styleId="Boxedtext">
    <w:name w:val="Boxed text"/>
    <w:basedOn w:val="Text"/>
    <w:qFormat/>
    <w:rsid w:val="001375F4"/>
    <w:pPr>
      <w:spacing w:before="120" w:after="120" w:line="240" w:lineRule="auto"/>
    </w:pPr>
  </w:style>
  <w:style w:type="paragraph" w:styleId="ListParagraph">
    <w:name w:val="List Paragraph"/>
    <w:basedOn w:val="Normal"/>
    <w:link w:val="ListParagraphChar"/>
    <w:uiPriority w:val="34"/>
    <w:qFormat/>
    <w:rsid w:val="002669B6"/>
    <w:pPr>
      <w:ind w:left="720"/>
      <w:contextualSpacing/>
    </w:pPr>
  </w:style>
  <w:style w:type="character" w:customStyle="1" w:styleId="TextChar">
    <w:name w:val="Text Char"/>
    <w:basedOn w:val="DefaultParagraphFont"/>
    <w:link w:val="Text"/>
    <w:uiPriority w:val="99"/>
    <w:rsid w:val="00B91738"/>
    <w:rPr>
      <w:rFonts w:ascii="Arial" w:hAnsi="Arial" w:cs="Arial"/>
      <w:color w:val="000000"/>
      <w:sz w:val="20"/>
      <w:szCs w:val="20"/>
    </w:rPr>
  </w:style>
  <w:style w:type="paragraph" w:customStyle="1" w:styleId="AlphaParagraph">
    <w:name w:val="Alpha Paragraph"/>
    <w:basedOn w:val="Normal"/>
    <w:link w:val="AlphaParagraphCharChar"/>
    <w:rsid w:val="00306DAC"/>
    <w:pPr>
      <w:tabs>
        <w:tab w:val="num" w:pos="0"/>
        <w:tab w:val="num" w:pos="283"/>
        <w:tab w:val="num" w:pos="567"/>
        <w:tab w:val="num" w:pos="1134"/>
        <w:tab w:val="num" w:pos="1418"/>
        <w:tab w:val="num" w:pos="1701"/>
      </w:tabs>
      <w:spacing w:after="240" w:line="260" w:lineRule="exact"/>
      <w:ind w:left="567" w:hanging="363"/>
      <w:jc w:val="both"/>
    </w:pPr>
    <w:rPr>
      <w:rFonts w:ascii="Corbel" w:eastAsia="Times New Roman" w:hAnsi="Corbel"/>
      <w:color w:val="000000"/>
      <w:sz w:val="23"/>
      <w:szCs w:val="20"/>
      <w:lang w:eastAsia="en-AU"/>
    </w:rPr>
  </w:style>
  <w:style w:type="character" w:customStyle="1" w:styleId="AlphaParagraphCharChar">
    <w:name w:val="Alpha Paragraph Char Char"/>
    <w:link w:val="AlphaParagraph"/>
    <w:locked/>
    <w:rsid w:val="00306DAC"/>
    <w:rPr>
      <w:rFonts w:ascii="Corbel" w:eastAsia="Times New Roman" w:hAnsi="Corbel" w:cs="Times New Roman"/>
      <w:color w:val="000000"/>
      <w:sz w:val="23"/>
      <w:szCs w:val="20"/>
      <w:lang w:eastAsia="en-AU"/>
    </w:rPr>
  </w:style>
  <w:style w:type="numbering" w:customStyle="1" w:styleId="BulletList">
    <w:name w:val="Bullet List"/>
    <w:uiPriority w:val="99"/>
    <w:rsid w:val="00922A4B"/>
    <w:pPr>
      <w:numPr>
        <w:numId w:val="4"/>
      </w:numPr>
    </w:pPr>
  </w:style>
  <w:style w:type="paragraph" w:styleId="ListBullet">
    <w:name w:val="List Bullet"/>
    <w:basedOn w:val="Normal"/>
    <w:uiPriority w:val="99"/>
    <w:unhideWhenUsed/>
    <w:qFormat/>
    <w:rsid w:val="00922A4B"/>
    <w:pPr>
      <w:numPr>
        <w:numId w:val="5"/>
      </w:numPr>
      <w:spacing w:after="200"/>
    </w:pPr>
    <w:rPr>
      <w:rFonts w:eastAsia="Calibri"/>
      <w:sz w:val="24"/>
      <w:lang w:eastAsia="en-AU"/>
    </w:rPr>
  </w:style>
  <w:style w:type="paragraph" w:styleId="ListBullet2">
    <w:name w:val="List Bullet 2"/>
    <w:basedOn w:val="Normal"/>
    <w:uiPriority w:val="99"/>
    <w:unhideWhenUsed/>
    <w:rsid w:val="00922A4B"/>
    <w:pPr>
      <w:numPr>
        <w:ilvl w:val="1"/>
        <w:numId w:val="5"/>
      </w:numPr>
      <w:spacing w:after="200"/>
    </w:pPr>
    <w:rPr>
      <w:rFonts w:eastAsia="Calibri"/>
      <w:sz w:val="24"/>
      <w:lang w:eastAsia="en-AU"/>
    </w:rPr>
  </w:style>
  <w:style w:type="paragraph" w:styleId="ListBullet3">
    <w:name w:val="List Bullet 3"/>
    <w:basedOn w:val="Normal"/>
    <w:uiPriority w:val="99"/>
    <w:unhideWhenUsed/>
    <w:rsid w:val="00922A4B"/>
    <w:pPr>
      <w:numPr>
        <w:ilvl w:val="2"/>
        <w:numId w:val="5"/>
      </w:numPr>
      <w:spacing w:after="200"/>
    </w:pPr>
    <w:rPr>
      <w:rFonts w:eastAsia="Calibri"/>
      <w:sz w:val="24"/>
      <w:lang w:eastAsia="en-AU"/>
    </w:rPr>
  </w:style>
  <w:style w:type="paragraph" w:styleId="ListBullet4">
    <w:name w:val="List Bullet 4"/>
    <w:basedOn w:val="Normal"/>
    <w:uiPriority w:val="99"/>
    <w:unhideWhenUsed/>
    <w:rsid w:val="00922A4B"/>
    <w:pPr>
      <w:numPr>
        <w:ilvl w:val="3"/>
        <w:numId w:val="5"/>
      </w:numPr>
      <w:spacing w:after="200"/>
    </w:pPr>
    <w:rPr>
      <w:rFonts w:eastAsia="Calibri"/>
      <w:sz w:val="24"/>
      <w:lang w:eastAsia="en-AU"/>
    </w:rPr>
  </w:style>
  <w:style w:type="paragraph" w:styleId="ListBullet5">
    <w:name w:val="List Bullet 5"/>
    <w:basedOn w:val="Normal"/>
    <w:uiPriority w:val="99"/>
    <w:unhideWhenUsed/>
    <w:rsid w:val="00922A4B"/>
    <w:pPr>
      <w:numPr>
        <w:ilvl w:val="4"/>
        <w:numId w:val="5"/>
      </w:numPr>
      <w:spacing w:after="200"/>
    </w:pPr>
    <w:rPr>
      <w:rFonts w:eastAsia="Calibri"/>
      <w:sz w:val="24"/>
      <w:lang w:eastAsia="en-AU"/>
    </w:rPr>
  </w:style>
  <w:style w:type="character" w:styleId="FollowedHyperlink">
    <w:name w:val="FollowedHyperlink"/>
    <w:basedOn w:val="DefaultParagraphFont"/>
    <w:uiPriority w:val="99"/>
    <w:semiHidden/>
    <w:unhideWhenUsed/>
    <w:rsid w:val="00735BDA"/>
    <w:rPr>
      <w:color w:val="800080" w:themeColor="followedHyperlink"/>
      <w:u w:val="single"/>
    </w:rPr>
  </w:style>
  <w:style w:type="paragraph" w:styleId="Revision">
    <w:name w:val="Revision"/>
    <w:hidden/>
    <w:uiPriority w:val="99"/>
    <w:semiHidden/>
    <w:rsid w:val="00097B19"/>
    <w:pPr>
      <w:spacing w:after="0" w:line="240" w:lineRule="auto"/>
    </w:pPr>
    <w:rPr>
      <w:rFonts w:ascii="Arial" w:eastAsia="MS Mincho" w:hAnsi="Arial" w:cs="Times New Roman"/>
      <w:sz w:val="20"/>
      <w:szCs w:val="24"/>
    </w:rPr>
  </w:style>
  <w:style w:type="character" w:customStyle="1" w:styleId="ListParagraphChar">
    <w:name w:val="List Paragraph Char"/>
    <w:link w:val="ListParagraph"/>
    <w:uiPriority w:val="34"/>
    <w:locked/>
    <w:rsid w:val="00E7274F"/>
    <w:rPr>
      <w:rFonts w:ascii="Arial" w:eastAsia="MS Mincho" w:hAnsi="Arial" w:cs="Times New Roman"/>
      <w:sz w:val="20"/>
      <w:szCs w:val="24"/>
    </w:rPr>
  </w:style>
  <w:style w:type="character" w:styleId="Emphasis">
    <w:name w:val="Emphasis"/>
    <w:basedOn w:val="DefaultParagraphFont"/>
    <w:uiPriority w:val="20"/>
    <w:qFormat/>
    <w:rsid w:val="00B251D1"/>
    <w:rPr>
      <w:b/>
      <w:bCs/>
      <w:i w:val="0"/>
      <w:iCs w:val="0"/>
    </w:rPr>
  </w:style>
  <w:style w:type="paragraph" w:styleId="ListNumber2">
    <w:name w:val="List Number 2"/>
    <w:basedOn w:val="Normal"/>
    <w:uiPriority w:val="99"/>
    <w:unhideWhenUsed/>
    <w:rsid w:val="00DD0C49"/>
    <w:pPr>
      <w:numPr>
        <w:ilvl w:val="1"/>
        <w:numId w:val="14"/>
      </w:numPr>
      <w:spacing w:after="200"/>
    </w:pPr>
    <w:rPr>
      <w:rFonts w:eastAsiaTheme="minorHAnsi" w:cs="Arial"/>
      <w:sz w:val="22"/>
      <w:szCs w:val="22"/>
    </w:rPr>
  </w:style>
  <w:style w:type="paragraph" w:styleId="ListNumber3">
    <w:name w:val="List Number 3"/>
    <w:basedOn w:val="Normal"/>
    <w:uiPriority w:val="99"/>
    <w:unhideWhenUsed/>
    <w:rsid w:val="00DD0C49"/>
    <w:pPr>
      <w:numPr>
        <w:ilvl w:val="2"/>
        <w:numId w:val="14"/>
      </w:numPr>
      <w:spacing w:after="200"/>
    </w:pPr>
    <w:rPr>
      <w:rFonts w:eastAsiaTheme="minorHAnsi" w:cs="Arial"/>
      <w:sz w:val="22"/>
      <w:szCs w:val="22"/>
    </w:rPr>
  </w:style>
  <w:style w:type="paragraph" w:styleId="ListNumber4">
    <w:name w:val="List Number 4"/>
    <w:basedOn w:val="Normal"/>
    <w:uiPriority w:val="99"/>
    <w:unhideWhenUsed/>
    <w:rsid w:val="00DD0C49"/>
    <w:pPr>
      <w:numPr>
        <w:ilvl w:val="3"/>
        <w:numId w:val="14"/>
      </w:numPr>
      <w:spacing w:after="200"/>
    </w:pPr>
    <w:rPr>
      <w:rFonts w:eastAsiaTheme="minorHAnsi" w:cs="Arial"/>
      <w:sz w:val="22"/>
      <w:szCs w:val="22"/>
    </w:rPr>
  </w:style>
  <w:style w:type="paragraph" w:styleId="ListNumber5">
    <w:name w:val="List Number 5"/>
    <w:basedOn w:val="Normal"/>
    <w:uiPriority w:val="99"/>
    <w:unhideWhenUsed/>
    <w:rsid w:val="00DD0C49"/>
    <w:pPr>
      <w:numPr>
        <w:ilvl w:val="4"/>
        <w:numId w:val="14"/>
      </w:numPr>
      <w:spacing w:after="200"/>
    </w:pPr>
    <w:rPr>
      <w:rFonts w:eastAsiaTheme="minorHAnsi" w:cs="Arial"/>
      <w:sz w:val="22"/>
      <w:szCs w:val="22"/>
    </w:rPr>
  </w:style>
  <w:style w:type="character" w:customStyle="1" w:styleId="Advisorytext">
    <w:name w:val="Advisory text"/>
    <w:basedOn w:val="DefaultParagraphFont"/>
    <w:uiPriority w:val="99"/>
    <w:rsid w:val="00DD0C49"/>
    <w:rPr>
      <w:color w:val="FF0000"/>
    </w:rPr>
  </w:style>
  <w:style w:type="paragraph" w:styleId="TOCHeading">
    <w:name w:val="TOC Heading"/>
    <w:basedOn w:val="Heading1"/>
    <w:next w:val="Normal"/>
    <w:uiPriority w:val="39"/>
    <w:unhideWhenUsed/>
    <w:qFormat/>
    <w:rsid w:val="00285EF8"/>
    <w:pPr>
      <w:keepNext/>
      <w:keepLines/>
      <w:widowControl/>
      <w:numPr>
        <w:numId w:val="0"/>
      </w:numPr>
      <w:suppressAutoHyphens w:val="0"/>
      <w:autoSpaceDE/>
      <w:autoSpaceDN/>
      <w:adjustRightInd/>
      <w:spacing w:before="240" w:after="0" w:line="259" w:lineRule="auto"/>
      <w:ind w:right="0"/>
      <w:textAlignment w:val="auto"/>
      <w:outlineLvl w:val="9"/>
    </w:pPr>
    <w:rPr>
      <w:rFonts w:asciiTheme="majorHAnsi" w:eastAsiaTheme="majorEastAsia" w:hAnsiTheme="majorHAnsi" w:cstheme="majorBidi"/>
      <w:caps w:val="0"/>
      <w:color w:val="365F91" w:themeColor="accent1" w:themeShade="BF"/>
      <w:szCs w:val="32"/>
      <w:lang w:eastAsia="en-US"/>
    </w:rPr>
  </w:style>
  <w:style w:type="table" w:styleId="TableGridLight">
    <w:name w:val="Grid Table Light"/>
    <w:basedOn w:val="TableNormal"/>
    <w:uiPriority w:val="40"/>
    <w:rsid w:val="00F879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KeyPoints">
    <w:name w:val="Key Points"/>
    <w:basedOn w:val="NoList"/>
    <w:uiPriority w:val="99"/>
    <w:rsid w:val="006D3DEF"/>
    <w:pPr>
      <w:numPr>
        <w:numId w:val="27"/>
      </w:numPr>
    </w:pPr>
  </w:style>
  <w:style w:type="paragraph" w:styleId="ListNumber">
    <w:name w:val="List Number"/>
    <w:basedOn w:val="Normal"/>
    <w:uiPriority w:val="99"/>
    <w:qFormat/>
    <w:rsid w:val="006D3DEF"/>
    <w:pPr>
      <w:spacing w:before="200" w:after="200" w:line="240" w:lineRule="auto"/>
      <w:ind w:left="369" w:hanging="369"/>
    </w:pPr>
    <w:rPr>
      <w:rFonts w:eastAsia="Arial Unicode M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2997">
      <w:bodyDiv w:val="1"/>
      <w:marLeft w:val="0"/>
      <w:marRight w:val="0"/>
      <w:marTop w:val="0"/>
      <w:marBottom w:val="0"/>
      <w:divBdr>
        <w:top w:val="none" w:sz="0" w:space="0" w:color="auto"/>
        <w:left w:val="none" w:sz="0" w:space="0" w:color="auto"/>
        <w:bottom w:val="none" w:sz="0" w:space="0" w:color="auto"/>
        <w:right w:val="none" w:sz="0" w:space="0" w:color="auto"/>
      </w:divBdr>
      <w:divsChild>
        <w:div w:id="849216896">
          <w:marLeft w:val="0"/>
          <w:marRight w:val="0"/>
          <w:marTop w:val="0"/>
          <w:marBottom w:val="0"/>
          <w:divBdr>
            <w:top w:val="none" w:sz="0" w:space="0" w:color="auto"/>
            <w:left w:val="none" w:sz="0" w:space="0" w:color="auto"/>
            <w:bottom w:val="none" w:sz="0" w:space="0" w:color="auto"/>
            <w:right w:val="none" w:sz="0" w:space="0" w:color="auto"/>
          </w:divBdr>
          <w:divsChild>
            <w:div w:id="1248998355">
              <w:marLeft w:val="0"/>
              <w:marRight w:val="0"/>
              <w:marTop w:val="0"/>
              <w:marBottom w:val="0"/>
              <w:divBdr>
                <w:top w:val="none" w:sz="0" w:space="0" w:color="auto"/>
                <w:left w:val="none" w:sz="0" w:space="0" w:color="auto"/>
                <w:bottom w:val="none" w:sz="0" w:space="0" w:color="auto"/>
                <w:right w:val="none" w:sz="0" w:space="0" w:color="auto"/>
              </w:divBdr>
              <w:divsChild>
                <w:div w:id="669870366">
                  <w:marLeft w:val="0"/>
                  <w:marRight w:val="0"/>
                  <w:marTop w:val="0"/>
                  <w:marBottom w:val="0"/>
                  <w:divBdr>
                    <w:top w:val="none" w:sz="0" w:space="0" w:color="auto"/>
                    <w:left w:val="none" w:sz="0" w:space="0" w:color="auto"/>
                    <w:bottom w:val="none" w:sz="0" w:space="0" w:color="auto"/>
                    <w:right w:val="none" w:sz="0" w:space="0" w:color="auto"/>
                  </w:divBdr>
                  <w:divsChild>
                    <w:div w:id="1036124618">
                      <w:marLeft w:val="150"/>
                      <w:marRight w:val="150"/>
                      <w:marTop w:val="0"/>
                      <w:marBottom w:val="0"/>
                      <w:divBdr>
                        <w:top w:val="none" w:sz="0" w:space="0" w:color="auto"/>
                        <w:left w:val="none" w:sz="0" w:space="0" w:color="auto"/>
                        <w:bottom w:val="none" w:sz="0" w:space="0" w:color="auto"/>
                        <w:right w:val="none" w:sz="0" w:space="0" w:color="auto"/>
                      </w:divBdr>
                      <w:divsChild>
                        <w:div w:id="755904257">
                          <w:marLeft w:val="0"/>
                          <w:marRight w:val="0"/>
                          <w:marTop w:val="0"/>
                          <w:marBottom w:val="0"/>
                          <w:divBdr>
                            <w:top w:val="none" w:sz="0" w:space="0" w:color="auto"/>
                            <w:left w:val="none" w:sz="0" w:space="0" w:color="auto"/>
                            <w:bottom w:val="none" w:sz="0" w:space="0" w:color="auto"/>
                            <w:right w:val="none" w:sz="0" w:space="0" w:color="auto"/>
                          </w:divBdr>
                          <w:divsChild>
                            <w:div w:id="1846091769">
                              <w:marLeft w:val="0"/>
                              <w:marRight w:val="0"/>
                              <w:marTop w:val="0"/>
                              <w:marBottom w:val="240"/>
                              <w:divBdr>
                                <w:top w:val="none" w:sz="0" w:space="0" w:color="auto"/>
                                <w:left w:val="none" w:sz="0" w:space="0" w:color="auto"/>
                                <w:bottom w:val="none" w:sz="0" w:space="0" w:color="auto"/>
                                <w:right w:val="none" w:sz="0" w:space="0" w:color="auto"/>
                              </w:divBdr>
                              <w:divsChild>
                                <w:div w:id="446201040">
                                  <w:marLeft w:val="0"/>
                                  <w:marRight w:val="0"/>
                                  <w:marTop w:val="0"/>
                                  <w:marBottom w:val="0"/>
                                  <w:divBdr>
                                    <w:top w:val="none" w:sz="0" w:space="0" w:color="auto"/>
                                    <w:left w:val="none" w:sz="0" w:space="0" w:color="auto"/>
                                    <w:bottom w:val="none" w:sz="0" w:space="0" w:color="auto"/>
                                    <w:right w:val="none" w:sz="0" w:space="0" w:color="auto"/>
                                  </w:divBdr>
                                  <w:divsChild>
                                    <w:div w:id="1970743653">
                                      <w:marLeft w:val="0"/>
                                      <w:marRight w:val="0"/>
                                      <w:marTop w:val="0"/>
                                      <w:marBottom w:val="0"/>
                                      <w:divBdr>
                                        <w:top w:val="none" w:sz="0" w:space="0" w:color="auto"/>
                                        <w:left w:val="none" w:sz="0" w:space="0" w:color="auto"/>
                                        <w:bottom w:val="none" w:sz="0" w:space="0" w:color="auto"/>
                                        <w:right w:val="none" w:sz="0" w:space="0" w:color="auto"/>
                                      </w:divBdr>
                                      <w:divsChild>
                                        <w:div w:id="1198812948">
                                          <w:marLeft w:val="0"/>
                                          <w:marRight w:val="0"/>
                                          <w:marTop w:val="0"/>
                                          <w:marBottom w:val="0"/>
                                          <w:divBdr>
                                            <w:top w:val="none" w:sz="0" w:space="0" w:color="auto"/>
                                            <w:left w:val="none" w:sz="0" w:space="0" w:color="auto"/>
                                            <w:bottom w:val="none" w:sz="0" w:space="0" w:color="auto"/>
                                            <w:right w:val="none" w:sz="0" w:space="0" w:color="auto"/>
                                          </w:divBdr>
                                          <w:divsChild>
                                            <w:div w:id="1861384279">
                                              <w:marLeft w:val="0"/>
                                              <w:marRight w:val="0"/>
                                              <w:marTop w:val="0"/>
                                              <w:marBottom w:val="0"/>
                                              <w:divBdr>
                                                <w:top w:val="none" w:sz="0" w:space="0" w:color="auto"/>
                                                <w:left w:val="none" w:sz="0" w:space="0" w:color="auto"/>
                                                <w:bottom w:val="none" w:sz="0" w:space="0" w:color="auto"/>
                                                <w:right w:val="none" w:sz="0" w:space="0" w:color="auto"/>
                                              </w:divBdr>
                                              <w:divsChild>
                                                <w:div w:id="1256750075">
                                                  <w:marLeft w:val="0"/>
                                                  <w:marRight w:val="0"/>
                                                  <w:marTop w:val="0"/>
                                                  <w:marBottom w:val="0"/>
                                                  <w:divBdr>
                                                    <w:top w:val="none" w:sz="0" w:space="0" w:color="auto"/>
                                                    <w:left w:val="none" w:sz="0" w:space="0" w:color="auto"/>
                                                    <w:bottom w:val="none" w:sz="0" w:space="0" w:color="auto"/>
                                                    <w:right w:val="none" w:sz="0" w:space="0" w:color="auto"/>
                                                  </w:divBdr>
                                                  <w:divsChild>
                                                    <w:div w:id="1855029215">
                                                      <w:marLeft w:val="0"/>
                                                      <w:marRight w:val="0"/>
                                                      <w:marTop w:val="0"/>
                                                      <w:marBottom w:val="0"/>
                                                      <w:divBdr>
                                                        <w:top w:val="none" w:sz="0" w:space="0" w:color="auto"/>
                                                        <w:left w:val="none" w:sz="0" w:space="0" w:color="auto"/>
                                                        <w:bottom w:val="none" w:sz="0" w:space="0" w:color="auto"/>
                                                        <w:right w:val="none" w:sz="0" w:space="0" w:color="auto"/>
                                                      </w:divBdr>
                                                      <w:divsChild>
                                                        <w:div w:id="1131093370">
                                                          <w:marLeft w:val="0"/>
                                                          <w:marRight w:val="0"/>
                                                          <w:marTop w:val="0"/>
                                                          <w:marBottom w:val="240"/>
                                                          <w:divBdr>
                                                            <w:top w:val="none" w:sz="0" w:space="0" w:color="auto"/>
                                                            <w:left w:val="none" w:sz="0" w:space="0" w:color="auto"/>
                                                            <w:bottom w:val="none" w:sz="0" w:space="0" w:color="auto"/>
                                                            <w:right w:val="none" w:sz="0" w:space="0" w:color="auto"/>
                                                          </w:divBdr>
                                                          <w:divsChild>
                                                            <w:div w:id="3390903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530664">
      <w:bodyDiv w:val="1"/>
      <w:marLeft w:val="0"/>
      <w:marRight w:val="0"/>
      <w:marTop w:val="0"/>
      <w:marBottom w:val="0"/>
      <w:divBdr>
        <w:top w:val="none" w:sz="0" w:space="0" w:color="auto"/>
        <w:left w:val="none" w:sz="0" w:space="0" w:color="auto"/>
        <w:bottom w:val="none" w:sz="0" w:space="0" w:color="auto"/>
        <w:right w:val="none" w:sz="0" w:space="0" w:color="auto"/>
      </w:divBdr>
    </w:div>
    <w:div w:id="206261395">
      <w:bodyDiv w:val="1"/>
      <w:marLeft w:val="0"/>
      <w:marRight w:val="0"/>
      <w:marTop w:val="0"/>
      <w:marBottom w:val="0"/>
      <w:divBdr>
        <w:top w:val="none" w:sz="0" w:space="0" w:color="auto"/>
        <w:left w:val="none" w:sz="0" w:space="0" w:color="auto"/>
        <w:bottom w:val="none" w:sz="0" w:space="0" w:color="auto"/>
        <w:right w:val="none" w:sz="0" w:space="0" w:color="auto"/>
      </w:divBdr>
    </w:div>
    <w:div w:id="207572189">
      <w:bodyDiv w:val="1"/>
      <w:marLeft w:val="0"/>
      <w:marRight w:val="0"/>
      <w:marTop w:val="0"/>
      <w:marBottom w:val="0"/>
      <w:divBdr>
        <w:top w:val="none" w:sz="0" w:space="0" w:color="auto"/>
        <w:left w:val="none" w:sz="0" w:space="0" w:color="auto"/>
        <w:bottom w:val="none" w:sz="0" w:space="0" w:color="auto"/>
        <w:right w:val="none" w:sz="0" w:space="0" w:color="auto"/>
      </w:divBdr>
    </w:div>
    <w:div w:id="330572955">
      <w:bodyDiv w:val="1"/>
      <w:marLeft w:val="0"/>
      <w:marRight w:val="0"/>
      <w:marTop w:val="0"/>
      <w:marBottom w:val="0"/>
      <w:divBdr>
        <w:top w:val="none" w:sz="0" w:space="0" w:color="auto"/>
        <w:left w:val="none" w:sz="0" w:space="0" w:color="auto"/>
        <w:bottom w:val="none" w:sz="0" w:space="0" w:color="auto"/>
        <w:right w:val="none" w:sz="0" w:space="0" w:color="auto"/>
      </w:divBdr>
    </w:div>
    <w:div w:id="335035186">
      <w:bodyDiv w:val="1"/>
      <w:marLeft w:val="0"/>
      <w:marRight w:val="0"/>
      <w:marTop w:val="0"/>
      <w:marBottom w:val="0"/>
      <w:divBdr>
        <w:top w:val="none" w:sz="0" w:space="0" w:color="auto"/>
        <w:left w:val="none" w:sz="0" w:space="0" w:color="auto"/>
        <w:bottom w:val="none" w:sz="0" w:space="0" w:color="auto"/>
        <w:right w:val="none" w:sz="0" w:space="0" w:color="auto"/>
      </w:divBdr>
    </w:div>
    <w:div w:id="397631786">
      <w:bodyDiv w:val="1"/>
      <w:marLeft w:val="0"/>
      <w:marRight w:val="0"/>
      <w:marTop w:val="0"/>
      <w:marBottom w:val="0"/>
      <w:divBdr>
        <w:top w:val="none" w:sz="0" w:space="0" w:color="auto"/>
        <w:left w:val="none" w:sz="0" w:space="0" w:color="auto"/>
        <w:bottom w:val="none" w:sz="0" w:space="0" w:color="auto"/>
        <w:right w:val="none" w:sz="0" w:space="0" w:color="auto"/>
      </w:divBdr>
      <w:divsChild>
        <w:div w:id="955722609">
          <w:marLeft w:val="0"/>
          <w:marRight w:val="0"/>
          <w:marTop w:val="0"/>
          <w:marBottom w:val="0"/>
          <w:divBdr>
            <w:top w:val="none" w:sz="0" w:space="0" w:color="auto"/>
            <w:left w:val="none" w:sz="0" w:space="0" w:color="auto"/>
            <w:bottom w:val="none" w:sz="0" w:space="0" w:color="auto"/>
            <w:right w:val="none" w:sz="0" w:space="0" w:color="auto"/>
          </w:divBdr>
          <w:divsChild>
            <w:div w:id="586351461">
              <w:marLeft w:val="0"/>
              <w:marRight w:val="0"/>
              <w:marTop w:val="0"/>
              <w:marBottom w:val="0"/>
              <w:divBdr>
                <w:top w:val="none" w:sz="0" w:space="0" w:color="auto"/>
                <w:left w:val="none" w:sz="0" w:space="0" w:color="auto"/>
                <w:bottom w:val="none" w:sz="0" w:space="0" w:color="auto"/>
                <w:right w:val="none" w:sz="0" w:space="0" w:color="auto"/>
              </w:divBdr>
              <w:divsChild>
                <w:div w:id="1551258617">
                  <w:marLeft w:val="0"/>
                  <w:marRight w:val="0"/>
                  <w:marTop w:val="0"/>
                  <w:marBottom w:val="0"/>
                  <w:divBdr>
                    <w:top w:val="none" w:sz="0" w:space="0" w:color="auto"/>
                    <w:left w:val="none" w:sz="0" w:space="0" w:color="auto"/>
                    <w:bottom w:val="none" w:sz="0" w:space="0" w:color="auto"/>
                    <w:right w:val="none" w:sz="0" w:space="0" w:color="auto"/>
                  </w:divBdr>
                  <w:divsChild>
                    <w:div w:id="879977585">
                      <w:marLeft w:val="0"/>
                      <w:marRight w:val="0"/>
                      <w:marTop w:val="0"/>
                      <w:marBottom w:val="0"/>
                      <w:divBdr>
                        <w:top w:val="none" w:sz="0" w:space="0" w:color="auto"/>
                        <w:left w:val="none" w:sz="0" w:space="0" w:color="auto"/>
                        <w:bottom w:val="none" w:sz="0" w:space="0" w:color="auto"/>
                        <w:right w:val="none" w:sz="0" w:space="0" w:color="auto"/>
                      </w:divBdr>
                      <w:divsChild>
                        <w:div w:id="359404173">
                          <w:marLeft w:val="0"/>
                          <w:marRight w:val="0"/>
                          <w:marTop w:val="0"/>
                          <w:marBottom w:val="0"/>
                          <w:divBdr>
                            <w:top w:val="none" w:sz="0" w:space="0" w:color="auto"/>
                            <w:left w:val="none" w:sz="0" w:space="0" w:color="auto"/>
                            <w:bottom w:val="none" w:sz="0" w:space="0" w:color="auto"/>
                            <w:right w:val="none" w:sz="0" w:space="0" w:color="auto"/>
                          </w:divBdr>
                          <w:divsChild>
                            <w:div w:id="1729112491">
                              <w:marLeft w:val="0"/>
                              <w:marRight w:val="0"/>
                              <w:marTop w:val="0"/>
                              <w:marBottom w:val="0"/>
                              <w:divBdr>
                                <w:top w:val="none" w:sz="0" w:space="0" w:color="auto"/>
                                <w:left w:val="none" w:sz="0" w:space="0" w:color="auto"/>
                                <w:bottom w:val="none" w:sz="0" w:space="0" w:color="auto"/>
                                <w:right w:val="none" w:sz="0" w:space="0" w:color="auto"/>
                              </w:divBdr>
                              <w:divsChild>
                                <w:div w:id="443430071">
                                  <w:marLeft w:val="0"/>
                                  <w:marRight w:val="0"/>
                                  <w:marTop w:val="0"/>
                                  <w:marBottom w:val="0"/>
                                  <w:divBdr>
                                    <w:top w:val="none" w:sz="0" w:space="0" w:color="auto"/>
                                    <w:left w:val="none" w:sz="0" w:space="0" w:color="auto"/>
                                    <w:bottom w:val="none" w:sz="0" w:space="0" w:color="auto"/>
                                    <w:right w:val="none" w:sz="0" w:space="0" w:color="auto"/>
                                  </w:divBdr>
                                  <w:divsChild>
                                    <w:div w:id="606934355">
                                      <w:marLeft w:val="0"/>
                                      <w:marRight w:val="0"/>
                                      <w:marTop w:val="0"/>
                                      <w:marBottom w:val="0"/>
                                      <w:divBdr>
                                        <w:top w:val="none" w:sz="0" w:space="0" w:color="auto"/>
                                        <w:left w:val="none" w:sz="0" w:space="0" w:color="auto"/>
                                        <w:bottom w:val="none" w:sz="0" w:space="0" w:color="auto"/>
                                        <w:right w:val="none" w:sz="0" w:space="0" w:color="auto"/>
                                      </w:divBdr>
                                    </w:div>
                                  </w:divsChild>
                                </w:div>
                                <w:div w:id="1863586149">
                                  <w:marLeft w:val="0"/>
                                  <w:marRight w:val="0"/>
                                  <w:marTop w:val="0"/>
                                  <w:marBottom w:val="0"/>
                                  <w:divBdr>
                                    <w:top w:val="none" w:sz="0" w:space="0" w:color="auto"/>
                                    <w:left w:val="none" w:sz="0" w:space="0" w:color="auto"/>
                                    <w:bottom w:val="none" w:sz="0" w:space="0" w:color="auto"/>
                                    <w:right w:val="none" w:sz="0" w:space="0" w:color="auto"/>
                                  </w:divBdr>
                                  <w:divsChild>
                                    <w:div w:id="1916821357">
                                      <w:marLeft w:val="0"/>
                                      <w:marRight w:val="0"/>
                                      <w:marTop w:val="0"/>
                                      <w:marBottom w:val="0"/>
                                      <w:divBdr>
                                        <w:top w:val="none" w:sz="0" w:space="0" w:color="auto"/>
                                        <w:left w:val="none" w:sz="0" w:space="0" w:color="auto"/>
                                        <w:bottom w:val="none" w:sz="0" w:space="0" w:color="auto"/>
                                        <w:right w:val="none" w:sz="0" w:space="0" w:color="auto"/>
                                      </w:divBdr>
                                    </w:div>
                                  </w:divsChild>
                                </w:div>
                                <w:div w:id="1949653749">
                                  <w:marLeft w:val="0"/>
                                  <w:marRight w:val="0"/>
                                  <w:marTop w:val="0"/>
                                  <w:marBottom w:val="0"/>
                                  <w:divBdr>
                                    <w:top w:val="none" w:sz="0" w:space="0" w:color="auto"/>
                                    <w:left w:val="none" w:sz="0" w:space="0" w:color="auto"/>
                                    <w:bottom w:val="none" w:sz="0" w:space="0" w:color="auto"/>
                                    <w:right w:val="none" w:sz="0" w:space="0" w:color="auto"/>
                                  </w:divBdr>
                                  <w:divsChild>
                                    <w:div w:id="727995658">
                                      <w:marLeft w:val="0"/>
                                      <w:marRight w:val="0"/>
                                      <w:marTop w:val="0"/>
                                      <w:marBottom w:val="0"/>
                                      <w:divBdr>
                                        <w:top w:val="none" w:sz="0" w:space="0" w:color="auto"/>
                                        <w:left w:val="none" w:sz="0" w:space="0" w:color="auto"/>
                                        <w:bottom w:val="none" w:sz="0" w:space="0" w:color="auto"/>
                                        <w:right w:val="none" w:sz="0" w:space="0" w:color="auto"/>
                                      </w:divBdr>
                                    </w:div>
                                  </w:divsChild>
                                </w:div>
                                <w:div w:id="1992438261">
                                  <w:marLeft w:val="0"/>
                                  <w:marRight w:val="0"/>
                                  <w:marTop w:val="0"/>
                                  <w:marBottom w:val="0"/>
                                  <w:divBdr>
                                    <w:top w:val="none" w:sz="0" w:space="0" w:color="auto"/>
                                    <w:left w:val="none" w:sz="0" w:space="0" w:color="auto"/>
                                    <w:bottom w:val="none" w:sz="0" w:space="0" w:color="auto"/>
                                    <w:right w:val="none" w:sz="0" w:space="0" w:color="auto"/>
                                  </w:divBdr>
                                  <w:divsChild>
                                    <w:div w:id="3086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302992">
      <w:bodyDiv w:val="1"/>
      <w:marLeft w:val="0"/>
      <w:marRight w:val="0"/>
      <w:marTop w:val="0"/>
      <w:marBottom w:val="0"/>
      <w:divBdr>
        <w:top w:val="none" w:sz="0" w:space="0" w:color="auto"/>
        <w:left w:val="none" w:sz="0" w:space="0" w:color="auto"/>
        <w:bottom w:val="none" w:sz="0" w:space="0" w:color="auto"/>
        <w:right w:val="none" w:sz="0" w:space="0" w:color="auto"/>
      </w:divBdr>
    </w:div>
    <w:div w:id="641426037">
      <w:bodyDiv w:val="1"/>
      <w:marLeft w:val="0"/>
      <w:marRight w:val="0"/>
      <w:marTop w:val="0"/>
      <w:marBottom w:val="0"/>
      <w:divBdr>
        <w:top w:val="none" w:sz="0" w:space="0" w:color="auto"/>
        <w:left w:val="none" w:sz="0" w:space="0" w:color="auto"/>
        <w:bottom w:val="none" w:sz="0" w:space="0" w:color="auto"/>
        <w:right w:val="none" w:sz="0" w:space="0" w:color="auto"/>
      </w:divBdr>
    </w:div>
    <w:div w:id="671877944">
      <w:bodyDiv w:val="1"/>
      <w:marLeft w:val="0"/>
      <w:marRight w:val="0"/>
      <w:marTop w:val="0"/>
      <w:marBottom w:val="0"/>
      <w:divBdr>
        <w:top w:val="none" w:sz="0" w:space="0" w:color="auto"/>
        <w:left w:val="none" w:sz="0" w:space="0" w:color="auto"/>
        <w:bottom w:val="none" w:sz="0" w:space="0" w:color="auto"/>
        <w:right w:val="none" w:sz="0" w:space="0" w:color="auto"/>
      </w:divBdr>
    </w:div>
    <w:div w:id="681933063">
      <w:bodyDiv w:val="1"/>
      <w:marLeft w:val="0"/>
      <w:marRight w:val="0"/>
      <w:marTop w:val="0"/>
      <w:marBottom w:val="0"/>
      <w:divBdr>
        <w:top w:val="none" w:sz="0" w:space="0" w:color="auto"/>
        <w:left w:val="none" w:sz="0" w:space="0" w:color="auto"/>
        <w:bottom w:val="none" w:sz="0" w:space="0" w:color="auto"/>
        <w:right w:val="none" w:sz="0" w:space="0" w:color="auto"/>
      </w:divBdr>
    </w:div>
    <w:div w:id="736561679">
      <w:bodyDiv w:val="1"/>
      <w:marLeft w:val="0"/>
      <w:marRight w:val="0"/>
      <w:marTop w:val="0"/>
      <w:marBottom w:val="0"/>
      <w:divBdr>
        <w:top w:val="none" w:sz="0" w:space="0" w:color="auto"/>
        <w:left w:val="none" w:sz="0" w:space="0" w:color="auto"/>
        <w:bottom w:val="none" w:sz="0" w:space="0" w:color="auto"/>
        <w:right w:val="none" w:sz="0" w:space="0" w:color="auto"/>
      </w:divBdr>
      <w:divsChild>
        <w:div w:id="1901673107">
          <w:marLeft w:val="0"/>
          <w:marRight w:val="0"/>
          <w:marTop w:val="0"/>
          <w:marBottom w:val="0"/>
          <w:divBdr>
            <w:top w:val="none" w:sz="0" w:space="0" w:color="auto"/>
            <w:left w:val="none" w:sz="0" w:space="0" w:color="auto"/>
            <w:bottom w:val="none" w:sz="0" w:space="0" w:color="auto"/>
            <w:right w:val="none" w:sz="0" w:space="0" w:color="auto"/>
          </w:divBdr>
          <w:divsChild>
            <w:div w:id="310444388">
              <w:marLeft w:val="0"/>
              <w:marRight w:val="0"/>
              <w:marTop w:val="225"/>
              <w:marBottom w:val="0"/>
              <w:divBdr>
                <w:top w:val="single" w:sz="6" w:space="8" w:color="ECECEC"/>
                <w:left w:val="single" w:sz="6" w:space="15" w:color="ECECEC"/>
                <w:bottom w:val="single" w:sz="6" w:space="0" w:color="ECECEC"/>
                <w:right w:val="single" w:sz="6" w:space="4" w:color="ECECEC"/>
              </w:divBdr>
              <w:divsChild>
                <w:div w:id="9415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80447">
      <w:bodyDiv w:val="1"/>
      <w:marLeft w:val="0"/>
      <w:marRight w:val="0"/>
      <w:marTop w:val="0"/>
      <w:marBottom w:val="0"/>
      <w:divBdr>
        <w:top w:val="none" w:sz="0" w:space="0" w:color="auto"/>
        <w:left w:val="none" w:sz="0" w:space="0" w:color="auto"/>
        <w:bottom w:val="none" w:sz="0" w:space="0" w:color="auto"/>
        <w:right w:val="none" w:sz="0" w:space="0" w:color="auto"/>
      </w:divBdr>
      <w:divsChild>
        <w:div w:id="1145853232">
          <w:marLeft w:val="0"/>
          <w:marRight w:val="0"/>
          <w:marTop w:val="100"/>
          <w:marBottom w:val="100"/>
          <w:divBdr>
            <w:top w:val="none" w:sz="0" w:space="0" w:color="auto"/>
            <w:left w:val="none" w:sz="0" w:space="0" w:color="auto"/>
            <w:bottom w:val="none" w:sz="0" w:space="0" w:color="auto"/>
            <w:right w:val="none" w:sz="0" w:space="0" w:color="auto"/>
          </w:divBdr>
          <w:divsChild>
            <w:div w:id="447504723">
              <w:marLeft w:val="0"/>
              <w:marRight w:val="0"/>
              <w:marTop w:val="0"/>
              <w:marBottom w:val="0"/>
              <w:divBdr>
                <w:top w:val="none" w:sz="0" w:space="0" w:color="auto"/>
                <w:left w:val="none" w:sz="0" w:space="0" w:color="auto"/>
                <w:bottom w:val="none" w:sz="0" w:space="0" w:color="auto"/>
                <w:right w:val="none" w:sz="0" w:space="0" w:color="auto"/>
              </w:divBdr>
              <w:divsChild>
                <w:div w:id="35544762">
                  <w:marLeft w:val="0"/>
                  <w:marRight w:val="0"/>
                  <w:marTop w:val="0"/>
                  <w:marBottom w:val="0"/>
                  <w:divBdr>
                    <w:top w:val="none" w:sz="0" w:space="0" w:color="auto"/>
                    <w:left w:val="none" w:sz="0" w:space="0" w:color="auto"/>
                    <w:bottom w:val="none" w:sz="0" w:space="0" w:color="auto"/>
                    <w:right w:val="none" w:sz="0" w:space="0" w:color="auto"/>
                  </w:divBdr>
                  <w:divsChild>
                    <w:div w:id="1131560864">
                      <w:marLeft w:val="0"/>
                      <w:marRight w:val="3735"/>
                      <w:marTop w:val="0"/>
                      <w:marBottom w:val="0"/>
                      <w:divBdr>
                        <w:top w:val="none" w:sz="0" w:space="0" w:color="auto"/>
                        <w:left w:val="none" w:sz="0" w:space="0" w:color="auto"/>
                        <w:bottom w:val="none" w:sz="0" w:space="0" w:color="auto"/>
                        <w:right w:val="none" w:sz="0" w:space="0" w:color="auto"/>
                      </w:divBdr>
                      <w:divsChild>
                        <w:div w:id="569270407">
                          <w:marLeft w:val="0"/>
                          <w:marRight w:val="0"/>
                          <w:marTop w:val="0"/>
                          <w:marBottom w:val="0"/>
                          <w:divBdr>
                            <w:top w:val="none" w:sz="0" w:space="0" w:color="auto"/>
                            <w:left w:val="none" w:sz="0" w:space="0" w:color="auto"/>
                            <w:bottom w:val="none" w:sz="0" w:space="0" w:color="auto"/>
                            <w:right w:val="none" w:sz="0" w:space="0" w:color="auto"/>
                          </w:divBdr>
                          <w:divsChild>
                            <w:div w:id="1343319142">
                              <w:marLeft w:val="0"/>
                              <w:marRight w:val="0"/>
                              <w:marTop w:val="0"/>
                              <w:marBottom w:val="0"/>
                              <w:divBdr>
                                <w:top w:val="none" w:sz="0" w:space="0" w:color="auto"/>
                                <w:left w:val="none" w:sz="0" w:space="0" w:color="auto"/>
                                <w:bottom w:val="none" w:sz="0" w:space="0" w:color="auto"/>
                                <w:right w:val="none" w:sz="0" w:space="0" w:color="auto"/>
                              </w:divBdr>
                              <w:divsChild>
                                <w:div w:id="1882352376">
                                  <w:marLeft w:val="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5790">
      <w:bodyDiv w:val="1"/>
      <w:marLeft w:val="0"/>
      <w:marRight w:val="0"/>
      <w:marTop w:val="0"/>
      <w:marBottom w:val="0"/>
      <w:divBdr>
        <w:top w:val="none" w:sz="0" w:space="0" w:color="auto"/>
        <w:left w:val="none" w:sz="0" w:space="0" w:color="auto"/>
        <w:bottom w:val="none" w:sz="0" w:space="0" w:color="auto"/>
        <w:right w:val="none" w:sz="0" w:space="0" w:color="auto"/>
      </w:divBdr>
      <w:divsChild>
        <w:div w:id="567807065">
          <w:marLeft w:val="0"/>
          <w:marRight w:val="0"/>
          <w:marTop w:val="0"/>
          <w:marBottom w:val="0"/>
          <w:divBdr>
            <w:top w:val="none" w:sz="0" w:space="0" w:color="auto"/>
            <w:left w:val="none" w:sz="0" w:space="0" w:color="auto"/>
            <w:bottom w:val="none" w:sz="0" w:space="0" w:color="auto"/>
            <w:right w:val="none" w:sz="0" w:space="0" w:color="auto"/>
          </w:divBdr>
          <w:divsChild>
            <w:div w:id="1727485892">
              <w:marLeft w:val="0"/>
              <w:marRight w:val="0"/>
              <w:marTop w:val="0"/>
              <w:marBottom w:val="0"/>
              <w:divBdr>
                <w:top w:val="none" w:sz="0" w:space="0" w:color="auto"/>
                <w:left w:val="none" w:sz="0" w:space="0" w:color="auto"/>
                <w:bottom w:val="none" w:sz="0" w:space="0" w:color="auto"/>
                <w:right w:val="none" w:sz="0" w:space="0" w:color="auto"/>
              </w:divBdr>
              <w:divsChild>
                <w:div w:id="1870606575">
                  <w:marLeft w:val="0"/>
                  <w:marRight w:val="0"/>
                  <w:marTop w:val="0"/>
                  <w:marBottom w:val="0"/>
                  <w:divBdr>
                    <w:top w:val="none" w:sz="0" w:space="0" w:color="auto"/>
                    <w:left w:val="none" w:sz="0" w:space="0" w:color="auto"/>
                    <w:bottom w:val="none" w:sz="0" w:space="0" w:color="auto"/>
                    <w:right w:val="none" w:sz="0" w:space="0" w:color="auto"/>
                  </w:divBdr>
                  <w:divsChild>
                    <w:div w:id="980310432">
                      <w:marLeft w:val="0"/>
                      <w:marRight w:val="0"/>
                      <w:marTop w:val="0"/>
                      <w:marBottom w:val="0"/>
                      <w:divBdr>
                        <w:top w:val="none" w:sz="0" w:space="0" w:color="auto"/>
                        <w:left w:val="none" w:sz="0" w:space="0" w:color="auto"/>
                        <w:bottom w:val="none" w:sz="0" w:space="0" w:color="auto"/>
                        <w:right w:val="none" w:sz="0" w:space="0" w:color="auto"/>
                      </w:divBdr>
                      <w:divsChild>
                        <w:div w:id="18738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20024">
      <w:bodyDiv w:val="1"/>
      <w:marLeft w:val="0"/>
      <w:marRight w:val="0"/>
      <w:marTop w:val="0"/>
      <w:marBottom w:val="0"/>
      <w:divBdr>
        <w:top w:val="none" w:sz="0" w:space="0" w:color="auto"/>
        <w:left w:val="none" w:sz="0" w:space="0" w:color="auto"/>
        <w:bottom w:val="none" w:sz="0" w:space="0" w:color="auto"/>
        <w:right w:val="none" w:sz="0" w:space="0" w:color="auto"/>
      </w:divBdr>
      <w:divsChild>
        <w:div w:id="300623813">
          <w:marLeft w:val="0"/>
          <w:marRight w:val="0"/>
          <w:marTop w:val="0"/>
          <w:marBottom w:val="0"/>
          <w:divBdr>
            <w:top w:val="none" w:sz="0" w:space="0" w:color="auto"/>
            <w:left w:val="none" w:sz="0" w:space="0" w:color="auto"/>
            <w:bottom w:val="none" w:sz="0" w:space="0" w:color="auto"/>
            <w:right w:val="none" w:sz="0" w:space="0" w:color="auto"/>
          </w:divBdr>
          <w:divsChild>
            <w:div w:id="1761754283">
              <w:marLeft w:val="0"/>
              <w:marRight w:val="0"/>
              <w:marTop w:val="0"/>
              <w:marBottom w:val="0"/>
              <w:divBdr>
                <w:top w:val="none" w:sz="0" w:space="0" w:color="auto"/>
                <w:left w:val="none" w:sz="0" w:space="0" w:color="auto"/>
                <w:bottom w:val="none" w:sz="0" w:space="0" w:color="auto"/>
                <w:right w:val="none" w:sz="0" w:space="0" w:color="auto"/>
              </w:divBdr>
              <w:divsChild>
                <w:div w:id="1606302273">
                  <w:marLeft w:val="0"/>
                  <w:marRight w:val="0"/>
                  <w:marTop w:val="0"/>
                  <w:marBottom w:val="0"/>
                  <w:divBdr>
                    <w:top w:val="none" w:sz="0" w:space="0" w:color="auto"/>
                    <w:left w:val="none" w:sz="0" w:space="0" w:color="auto"/>
                    <w:bottom w:val="none" w:sz="0" w:space="0" w:color="auto"/>
                    <w:right w:val="none" w:sz="0" w:space="0" w:color="auto"/>
                  </w:divBdr>
                  <w:divsChild>
                    <w:div w:id="875116800">
                      <w:marLeft w:val="0"/>
                      <w:marRight w:val="0"/>
                      <w:marTop w:val="0"/>
                      <w:marBottom w:val="0"/>
                      <w:divBdr>
                        <w:top w:val="none" w:sz="0" w:space="0" w:color="auto"/>
                        <w:left w:val="none" w:sz="0" w:space="0" w:color="auto"/>
                        <w:bottom w:val="none" w:sz="0" w:space="0" w:color="auto"/>
                        <w:right w:val="none" w:sz="0" w:space="0" w:color="auto"/>
                      </w:divBdr>
                      <w:divsChild>
                        <w:div w:id="1669287829">
                          <w:marLeft w:val="0"/>
                          <w:marRight w:val="0"/>
                          <w:marTop w:val="0"/>
                          <w:marBottom w:val="0"/>
                          <w:divBdr>
                            <w:top w:val="none" w:sz="0" w:space="0" w:color="auto"/>
                            <w:left w:val="none" w:sz="0" w:space="0" w:color="auto"/>
                            <w:bottom w:val="none" w:sz="0" w:space="0" w:color="auto"/>
                            <w:right w:val="none" w:sz="0" w:space="0" w:color="auto"/>
                          </w:divBdr>
                          <w:divsChild>
                            <w:div w:id="513955048">
                              <w:marLeft w:val="0"/>
                              <w:marRight w:val="0"/>
                              <w:marTop w:val="0"/>
                              <w:marBottom w:val="0"/>
                              <w:divBdr>
                                <w:top w:val="none" w:sz="0" w:space="0" w:color="auto"/>
                                <w:left w:val="none" w:sz="0" w:space="0" w:color="auto"/>
                                <w:bottom w:val="none" w:sz="0" w:space="0" w:color="auto"/>
                                <w:right w:val="none" w:sz="0" w:space="0" w:color="auto"/>
                              </w:divBdr>
                              <w:divsChild>
                                <w:div w:id="1865367043">
                                  <w:marLeft w:val="0"/>
                                  <w:marRight w:val="0"/>
                                  <w:marTop w:val="0"/>
                                  <w:marBottom w:val="0"/>
                                  <w:divBdr>
                                    <w:top w:val="none" w:sz="0" w:space="0" w:color="auto"/>
                                    <w:left w:val="none" w:sz="0" w:space="0" w:color="auto"/>
                                    <w:bottom w:val="none" w:sz="0" w:space="0" w:color="auto"/>
                                    <w:right w:val="none" w:sz="0" w:space="0" w:color="auto"/>
                                  </w:divBdr>
                                  <w:divsChild>
                                    <w:div w:id="349573037">
                                      <w:marLeft w:val="0"/>
                                      <w:marRight w:val="0"/>
                                      <w:marTop w:val="0"/>
                                      <w:marBottom w:val="0"/>
                                      <w:divBdr>
                                        <w:top w:val="none" w:sz="0" w:space="0" w:color="auto"/>
                                        <w:left w:val="none" w:sz="0" w:space="0" w:color="auto"/>
                                        <w:bottom w:val="none" w:sz="0" w:space="0" w:color="auto"/>
                                        <w:right w:val="none" w:sz="0" w:space="0" w:color="auto"/>
                                      </w:divBdr>
                                      <w:divsChild>
                                        <w:div w:id="8408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392572">
      <w:bodyDiv w:val="1"/>
      <w:marLeft w:val="0"/>
      <w:marRight w:val="0"/>
      <w:marTop w:val="0"/>
      <w:marBottom w:val="0"/>
      <w:divBdr>
        <w:top w:val="none" w:sz="0" w:space="0" w:color="auto"/>
        <w:left w:val="none" w:sz="0" w:space="0" w:color="auto"/>
        <w:bottom w:val="none" w:sz="0" w:space="0" w:color="auto"/>
        <w:right w:val="none" w:sz="0" w:space="0" w:color="auto"/>
      </w:divBdr>
      <w:divsChild>
        <w:div w:id="450130476">
          <w:marLeft w:val="0"/>
          <w:marRight w:val="0"/>
          <w:marTop w:val="0"/>
          <w:marBottom w:val="0"/>
          <w:divBdr>
            <w:top w:val="none" w:sz="0" w:space="0" w:color="auto"/>
            <w:left w:val="none" w:sz="0" w:space="0" w:color="auto"/>
            <w:bottom w:val="none" w:sz="0" w:space="0" w:color="auto"/>
            <w:right w:val="none" w:sz="0" w:space="0" w:color="auto"/>
          </w:divBdr>
          <w:divsChild>
            <w:div w:id="1948923298">
              <w:marLeft w:val="0"/>
              <w:marRight w:val="0"/>
              <w:marTop w:val="0"/>
              <w:marBottom w:val="0"/>
              <w:divBdr>
                <w:top w:val="none" w:sz="0" w:space="0" w:color="auto"/>
                <w:left w:val="none" w:sz="0" w:space="0" w:color="auto"/>
                <w:bottom w:val="none" w:sz="0" w:space="0" w:color="auto"/>
                <w:right w:val="none" w:sz="0" w:space="0" w:color="auto"/>
              </w:divBdr>
              <w:divsChild>
                <w:div w:id="799877773">
                  <w:marLeft w:val="0"/>
                  <w:marRight w:val="0"/>
                  <w:marTop w:val="0"/>
                  <w:marBottom w:val="0"/>
                  <w:divBdr>
                    <w:top w:val="none" w:sz="0" w:space="0" w:color="auto"/>
                    <w:left w:val="none" w:sz="0" w:space="0" w:color="auto"/>
                    <w:bottom w:val="none" w:sz="0" w:space="0" w:color="auto"/>
                    <w:right w:val="none" w:sz="0" w:space="0" w:color="auto"/>
                  </w:divBdr>
                  <w:divsChild>
                    <w:div w:id="1850485117">
                      <w:marLeft w:val="150"/>
                      <w:marRight w:val="150"/>
                      <w:marTop w:val="0"/>
                      <w:marBottom w:val="0"/>
                      <w:divBdr>
                        <w:top w:val="none" w:sz="0" w:space="0" w:color="auto"/>
                        <w:left w:val="none" w:sz="0" w:space="0" w:color="auto"/>
                        <w:bottom w:val="none" w:sz="0" w:space="0" w:color="auto"/>
                        <w:right w:val="none" w:sz="0" w:space="0" w:color="auto"/>
                      </w:divBdr>
                      <w:divsChild>
                        <w:div w:id="1807812598">
                          <w:marLeft w:val="0"/>
                          <w:marRight w:val="0"/>
                          <w:marTop w:val="0"/>
                          <w:marBottom w:val="0"/>
                          <w:divBdr>
                            <w:top w:val="none" w:sz="0" w:space="0" w:color="auto"/>
                            <w:left w:val="none" w:sz="0" w:space="0" w:color="auto"/>
                            <w:bottom w:val="none" w:sz="0" w:space="0" w:color="auto"/>
                            <w:right w:val="none" w:sz="0" w:space="0" w:color="auto"/>
                          </w:divBdr>
                          <w:divsChild>
                            <w:div w:id="1367608624">
                              <w:marLeft w:val="0"/>
                              <w:marRight w:val="0"/>
                              <w:marTop w:val="0"/>
                              <w:marBottom w:val="240"/>
                              <w:divBdr>
                                <w:top w:val="none" w:sz="0" w:space="0" w:color="auto"/>
                                <w:left w:val="none" w:sz="0" w:space="0" w:color="auto"/>
                                <w:bottom w:val="none" w:sz="0" w:space="0" w:color="auto"/>
                                <w:right w:val="none" w:sz="0" w:space="0" w:color="auto"/>
                              </w:divBdr>
                              <w:divsChild>
                                <w:div w:id="1774590319">
                                  <w:marLeft w:val="0"/>
                                  <w:marRight w:val="0"/>
                                  <w:marTop w:val="0"/>
                                  <w:marBottom w:val="0"/>
                                  <w:divBdr>
                                    <w:top w:val="none" w:sz="0" w:space="0" w:color="auto"/>
                                    <w:left w:val="none" w:sz="0" w:space="0" w:color="auto"/>
                                    <w:bottom w:val="none" w:sz="0" w:space="0" w:color="auto"/>
                                    <w:right w:val="none" w:sz="0" w:space="0" w:color="auto"/>
                                  </w:divBdr>
                                  <w:divsChild>
                                    <w:div w:id="1279138867">
                                      <w:marLeft w:val="0"/>
                                      <w:marRight w:val="0"/>
                                      <w:marTop w:val="0"/>
                                      <w:marBottom w:val="0"/>
                                      <w:divBdr>
                                        <w:top w:val="none" w:sz="0" w:space="0" w:color="auto"/>
                                        <w:left w:val="none" w:sz="0" w:space="0" w:color="auto"/>
                                        <w:bottom w:val="none" w:sz="0" w:space="0" w:color="auto"/>
                                        <w:right w:val="none" w:sz="0" w:space="0" w:color="auto"/>
                                      </w:divBdr>
                                      <w:divsChild>
                                        <w:div w:id="1638993836">
                                          <w:marLeft w:val="0"/>
                                          <w:marRight w:val="0"/>
                                          <w:marTop w:val="0"/>
                                          <w:marBottom w:val="0"/>
                                          <w:divBdr>
                                            <w:top w:val="none" w:sz="0" w:space="0" w:color="auto"/>
                                            <w:left w:val="none" w:sz="0" w:space="0" w:color="auto"/>
                                            <w:bottom w:val="none" w:sz="0" w:space="0" w:color="auto"/>
                                            <w:right w:val="none" w:sz="0" w:space="0" w:color="auto"/>
                                          </w:divBdr>
                                          <w:divsChild>
                                            <w:div w:id="1419911069">
                                              <w:marLeft w:val="0"/>
                                              <w:marRight w:val="0"/>
                                              <w:marTop w:val="0"/>
                                              <w:marBottom w:val="0"/>
                                              <w:divBdr>
                                                <w:top w:val="none" w:sz="0" w:space="0" w:color="auto"/>
                                                <w:left w:val="none" w:sz="0" w:space="0" w:color="auto"/>
                                                <w:bottom w:val="none" w:sz="0" w:space="0" w:color="auto"/>
                                                <w:right w:val="none" w:sz="0" w:space="0" w:color="auto"/>
                                              </w:divBdr>
                                              <w:divsChild>
                                                <w:div w:id="1766340327">
                                                  <w:marLeft w:val="0"/>
                                                  <w:marRight w:val="0"/>
                                                  <w:marTop w:val="0"/>
                                                  <w:marBottom w:val="0"/>
                                                  <w:divBdr>
                                                    <w:top w:val="none" w:sz="0" w:space="0" w:color="auto"/>
                                                    <w:left w:val="none" w:sz="0" w:space="0" w:color="auto"/>
                                                    <w:bottom w:val="none" w:sz="0" w:space="0" w:color="auto"/>
                                                    <w:right w:val="none" w:sz="0" w:space="0" w:color="auto"/>
                                                  </w:divBdr>
                                                  <w:divsChild>
                                                    <w:div w:id="1988894838">
                                                      <w:marLeft w:val="0"/>
                                                      <w:marRight w:val="0"/>
                                                      <w:marTop w:val="0"/>
                                                      <w:marBottom w:val="0"/>
                                                      <w:divBdr>
                                                        <w:top w:val="none" w:sz="0" w:space="0" w:color="auto"/>
                                                        <w:left w:val="none" w:sz="0" w:space="0" w:color="auto"/>
                                                        <w:bottom w:val="none" w:sz="0" w:space="0" w:color="auto"/>
                                                        <w:right w:val="none" w:sz="0" w:space="0" w:color="auto"/>
                                                      </w:divBdr>
                                                      <w:divsChild>
                                                        <w:div w:id="1766026551">
                                                          <w:marLeft w:val="0"/>
                                                          <w:marRight w:val="0"/>
                                                          <w:marTop w:val="0"/>
                                                          <w:marBottom w:val="0"/>
                                                          <w:divBdr>
                                                            <w:top w:val="none" w:sz="0" w:space="0" w:color="auto"/>
                                                            <w:left w:val="none" w:sz="0" w:space="0" w:color="auto"/>
                                                            <w:bottom w:val="none" w:sz="0" w:space="0" w:color="auto"/>
                                                            <w:right w:val="none" w:sz="0" w:space="0" w:color="auto"/>
                                                          </w:divBdr>
                                                          <w:divsChild>
                                                            <w:div w:id="617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9473934">
      <w:bodyDiv w:val="1"/>
      <w:marLeft w:val="0"/>
      <w:marRight w:val="0"/>
      <w:marTop w:val="0"/>
      <w:marBottom w:val="0"/>
      <w:divBdr>
        <w:top w:val="none" w:sz="0" w:space="0" w:color="auto"/>
        <w:left w:val="none" w:sz="0" w:space="0" w:color="auto"/>
        <w:bottom w:val="none" w:sz="0" w:space="0" w:color="auto"/>
        <w:right w:val="none" w:sz="0" w:space="0" w:color="auto"/>
      </w:divBdr>
    </w:div>
    <w:div w:id="1067143232">
      <w:bodyDiv w:val="1"/>
      <w:marLeft w:val="0"/>
      <w:marRight w:val="0"/>
      <w:marTop w:val="0"/>
      <w:marBottom w:val="0"/>
      <w:divBdr>
        <w:top w:val="none" w:sz="0" w:space="0" w:color="auto"/>
        <w:left w:val="none" w:sz="0" w:space="0" w:color="auto"/>
        <w:bottom w:val="none" w:sz="0" w:space="0" w:color="auto"/>
        <w:right w:val="none" w:sz="0" w:space="0" w:color="auto"/>
      </w:divBdr>
      <w:divsChild>
        <w:div w:id="834883324">
          <w:marLeft w:val="0"/>
          <w:marRight w:val="0"/>
          <w:marTop w:val="0"/>
          <w:marBottom w:val="0"/>
          <w:divBdr>
            <w:top w:val="none" w:sz="0" w:space="0" w:color="auto"/>
            <w:left w:val="none" w:sz="0" w:space="0" w:color="auto"/>
            <w:bottom w:val="none" w:sz="0" w:space="0" w:color="auto"/>
            <w:right w:val="none" w:sz="0" w:space="0" w:color="auto"/>
          </w:divBdr>
          <w:divsChild>
            <w:div w:id="442382211">
              <w:marLeft w:val="0"/>
              <w:marRight w:val="0"/>
              <w:marTop w:val="0"/>
              <w:marBottom w:val="0"/>
              <w:divBdr>
                <w:top w:val="none" w:sz="0" w:space="0" w:color="auto"/>
                <w:left w:val="none" w:sz="0" w:space="0" w:color="auto"/>
                <w:bottom w:val="none" w:sz="0" w:space="0" w:color="auto"/>
                <w:right w:val="none" w:sz="0" w:space="0" w:color="auto"/>
              </w:divBdr>
              <w:divsChild>
                <w:div w:id="48456114">
                  <w:marLeft w:val="0"/>
                  <w:marRight w:val="0"/>
                  <w:marTop w:val="0"/>
                  <w:marBottom w:val="0"/>
                  <w:divBdr>
                    <w:top w:val="none" w:sz="0" w:space="0" w:color="auto"/>
                    <w:left w:val="none" w:sz="0" w:space="0" w:color="auto"/>
                    <w:bottom w:val="none" w:sz="0" w:space="0" w:color="auto"/>
                    <w:right w:val="none" w:sz="0" w:space="0" w:color="auto"/>
                  </w:divBdr>
                  <w:divsChild>
                    <w:div w:id="1745833676">
                      <w:marLeft w:val="150"/>
                      <w:marRight w:val="150"/>
                      <w:marTop w:val="0"/>
                      <w:marBottom w:val="0"/>
                      <w:divBdr>
                        <w:top w:val="none" w:sz="0" w:space="0" w:color="auto"/>
                        <w:left w:val="none" w:sz="0" w:space="0" w:color="auto"/>
                        <w:bottom w:val="none" w:sz="0" w:space="0" w:color="auto"/>
                        <w:right w:val="none" w:sz="0" w:space="0" w:color="auto"/>
                      </w:divBdr>
                      <w:divsChild>
                        <w:div w:id="1340888416">
                          <w:marLeft w:val="0"/>
                          <w:marRight w:val="0"/>
                          <w:marTop w:val="0"/>
                          <w:marBottom w:val="0"/>
                          <w:divBdr>
                            <w:top w:val="none" w:sz="0" w:space="0" w:color="auto"/>
                            <w:left w:val="none" w:sz="0" w:space="0" w:color="auto"/>
                            <w:bottom w:val="none" w:sz="0" w:space="0" w:color="auto"/>
                            <w:right w:val="none" w:sz="0" w:space="0" w:color="auto"/>
                          </w:divBdr>
                          <w:divsChild>
                            <w:div w:id="250893583">
                              <w:marLeft w:val="0"/>
                              <w:marRight w:val="0"/>
                              <w:marTop w:val="0"/>
                              <w:marBottom w:val="240"/>
                              <w:divBdr>
                                <w:top w:val="none" w:sz="0" w:space="0" w:color="auto"/>
                                <w:left w:val="none" w:sz="0" w:space="0" w:color="auto"/>
                                <w:bottom w:val="none" w:sz="0" w:space="0" w:color="auto"/>
                                <w:right w:val="none" w:sz="0" w:space="0" w:color="auto"/>
                              </w:divBdr>
                              <w:divsChild>
                                <w:div w:id="831605162">
                                  <w:marLeft w:val="0"/>
                                  <w:marRight w:val="0"/>
                                  <w:marTop w:val="0"/>
                                  <w:marBottom w:val="0"/>
                                  <w:divBdr>
                                    <w:top w:val="none" w:sz="0" w:space="0" w:color="auto"/>
                                    <w:left w:val="none" w:sz="0" w:space="0" w:color="auto"/>
                                    <w:bottom w:val="none" w:sz="0" w:space="0" w:color="auto"/>
                                    <w:right w:val="none" w:sz="0" w:space="0" w:color="auto"/>
                                  </w:divBdr>
                                  <w:divsChild>
                                    <w:div w:id="1977684654">
                                      <w:marLeft w:val="0"/>
                                      <w:marRight w:val="0"/>
                                      <w:marTop w:val="0"/>
                                      <w:marBottom w:val="0"/>
                                      <w:divBdr>
                                        <w:top w:val="none" w:sz="0" w:space="0" w:color="auto"/>
                                        <w:left w:val="none" w:sz="0" w:space="0" w:color="auto"/>
                                        <w:bottom w:val="none" w:sz="0" w:space="0" w:color="auto"/>
                                        <w:right w:val="none" w:sz="0" w:space="0" w:color="auto"/>
                                      </w:divBdr>
                                      <w:divsChild>
                                        <w:div w:id="2042241593">
                                          <w:marLeft w:val="0"/>
                                          <w:marRight w:val="0"/>
                                          <w:marTop w:val="0"/>
                                          <w:marBottom w:val="0"/>
                                          <w:divBdr>
                                            <w:top w:val="none" w:sz="0" w:space="0" w:color="auto"/>
                                            <w:left w:val="none" w:sz="0" w:space="0" w:color="auto"/>
                                            <w:bottom w:val="none" w:sz="0" w:space="0" w:color="auto"/>
                                            <w:right w:val="none" w:sz="0" w:space="0" w:color="auto"/>
                                          </w:divBdr>
                                          <w:divsChild>
                                            <w:div w:id="1467049040">
                                              <w:marLeft w:val="0"/>
                                              <w:marRight w:val="0"/>
                                              <w:marTop w:val="0"/>
                                              <w:marBottom w:val="0"/>
                                              <w:divBdr>
                                                <w:top w:val="none" w:sz="0" w:space="0" w:color="auto"/>
                                                <w:left w:val="none" w:sz="0" w:space="0" w:color="auto"/>
                                                <w:bottom w:val="none" w:sz="0" w:space="0" w:color="auto"/>
                                                <w:right w:val="none" w:sz="0" w:space="0" w:color="auto"/>
                                              </w:divBdr>
                                              <w:divsChild>
                                                <w:div w:id="551115498">
                                                  <w:marLeft w:val="0"/>
                                                  <w:marRight w:val="0"/>
                                                  <w:marTop w:val="0"/>
                                                  <w:marBottom w:val="0"/>
                                                  <w:divBdr>
                                                    <w:top w:val="none" w:sz="0" w:space="0" w:color="auto"/>
                                                    <w:left w:val="none" w:sz="0" w:space="0" w:color="auto"/>
                                                    <w:bottom w:val="none" w:sz="0" w:space="0" w:color="auto"/>
                                                    <w:right w:val="none" w:sz="0" w:space="0" w:color="auto"/>
                                                  </w:divBdr>
                                                  <w:divsChild>
                                                    <w:div w:id="18045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537814200">
      <w:bodyDiv w:val="1"/>
      <w:marLeft w:val="0"/>
      <w:marRight w:val="0"/>
      <w:marTop w:val="0"/>
      <w:marBottom w:val="0"/>
      <w:divBdr>
        <w:top w:val="none" w:sz="0" w:space="0" w:color="auto"/>
        <w:left w:val="none" w:sz="0" w:space="0" w:color="auto"/>
        <w:bottom w:val="none" w:sz="0" w:space="0" w:color="auto"/>
        <w:right w:val="none" w:sz="0" w:space="0" w:color="auto"/>
      </w:divBdr>
    </w:div>
    <w:div w:id="1576935398">
      <w:bodyDiv w:val="1"/>
      <w:marLeft w:val="0"/>
      <w:marRight w:val="0"/>
      <w:marTop w:val="0"/>
      <w:marBottom w:val="0"/>
      <w:divBdr>
        <w:top w:val="none" w:sz="0" w:space="0" w:color="auto"/>
        <w:left w:val="none" w:sz="0" w:space="0" w:color="auto"/>
        <w:bottom w:val="none" w:sz="0" w:space="0" w:color="auto"/>
        <w:right w:val="none" w:sz="0" w:space="0" w:color="auto"/>
      </w:divBdr>
    </w:div>
    <w:div w:id="1794445678">
      <w:bodyDiv w:val="1"/>
      <w:marLeft w:val="0"/>
      <w:marRight w:val="0"/>
      <w:marTop w:val="0"/>
      <w:marBottom w:val="0"/>
      <w:divBdr>
        <w:top w:val="none" w:sz="0" w:space="0" w:color="auto"/>
        <w:left w:val="none" w:sz="0" w:space="0" w:color="auto"/>
        <w:bottom w:val="none" w:sz="0" w:space="0" w:color="auto"/>
        <w:right w:val="none" w:sz="0" w:space="0" w:color="auto"/>
      </w:divBdr>
    </w:div>
    <w:div w:id="1857303077">
      <w:bodyDiv w:val="1"/>
      <w:marLeft w:val="0"/>
      <w:marRight w:val="0"/>
      <w:marTop w:val="0"/>
      <w:marBottom w:val="0"/>
      <w:divBdr>
        <w:top w:val="none" w:sz="0" w:space="0" w:color="auto"/>
        <w:left w:val="none" w:sz="0" w:space="0" w:color="auto"/>
        <w:bottom w:val="none" w:sz="0" w:space="0" w:color="auto"/>
        <w:right w:val="none" w:sz="0" w:space="0" w:color="auto"/>
      </w:divBdr>
    </w:div>
    <w:div w:id="1883050438">
      <w:bodyDiv w:val="1"/>
      <w:marLeft w:val="0"/>
      <w:marRight w:val="0"/>
      <w:marTop w:val="0"/>
      <w:marBottom w:val="0"/>
      <w:divBdr>
        <w:top w:val="none" w:sz="0" w:space="0" w:color="auto"/>
        <w:left w:val="none" w:sz="0" w:space="0" w:color="auto"/>
        <w:bottom w:val="none" w:sz="0" w:space="0" w:color="auto"/>
        <w:right w:val="none" w:sz="0" w:space="0" w:color="auto"/>
      </w:divBdr>
    </w:div>
    <w:div w:id="2126457541">
      <w:bodyDiv w:val="1"/>
      <w:marLeft w:val="0"/>
      <w:marRight w:val="0"/>
      <w:marTop w:val="0"/>
      <w:marBottom w:val="0"/>
      <w:divBdr>
        <w:top w:val="none" w:sz="0" w:space="0" w:color="auto"/>
        <w:left w:val="none" w:sz="0" w:space="0" w:color="auto"/>
        <w:bottom w:val="none" w:sz="0" w:space="0" w:color="auto"/>
        <w:right w:val="none" w:sz="0" w:space="0" w:color="auto"/>
      </w:divBdr>
      <w:divsChild>
        <w:div w:id="128716541">
          <w:marLeft w:val="0"/>
          <w:marRight w:val="0"/>
          <w:marTop w:val="0"/>
          <w:marBottom w:val="0"/>
          <w:divBdr>
            <w:top w:val="none" w:sz="0" w:space="0" w:color="auto"/>
            <w:left w:val="none" w:sz="0" w:space="0" w:color="auto"/>
            <w:bottom w:val="none" w:sz="0" w:space="0" w:color="auto"/>
            <w:right w:val="none" w:sz="0" w:space="0" w:color="auto"/>
          </w:divBdr>
          <w:divsChild>
            <w:div w:id="1427847592">
              <w:marLeft w:val="0"/>
              <w:marRight w:val="0"/>
              <w:marTop w:val="0"/>
              <w:marBottom w:val="0"/>
              <w:divBdr>
                <w:top w:val="none" w:sz="0" w:space="0" w:color="auto"/>
                <w:left w:val="none" w:sz="0" w:space="0" w:color="auto"/>
                <w:bottom w:val="none" w:sz="0" w:space="0" w:color="auto"/>
                <w:right w:val="none" w:sz="0" w:space="0" w:color="auto"/>
              </w:divBdr>
              <w:divsChild>
                <w:div w:id="1570384934">
                  <w:marLeft w:val="0"/>
                  <w:marRight w:val="0"/>
                  <w:marTop w:val="0"/>
                  <w:marBottom w:val="0"/>
                  <w:divBdr>
                    <w:top w:val="none" w:sz="0" w:space="0" w:color="auto"/>
                    <w:left w:val="none" w:sz="0" w:space="0" w:color="auto"/>
                    <w:bottom w:val="none" w:sz="0" w:space="0" w:color="auto"/>
                    <w:right w:val="none" w:sz="0" w:space="0" w:color="auto"/>
                  </w:divBdr>
                  <w:divsChild>
                    <w:div w:id="1901556056">
                      <w:marLeft w:val="150"/>
                      <w:marRight w:val="150"/>
                      <w:marTop w:val="0"/>
                      <w:marBottom w:val="0"/>
                      <w:divBdr>
                        <w:top w:val="none" w:sz="0" w:space="0" w:color="auto"/>
                        <w:left w:val="none" w:sz="0" w:space="0" w:color="auto"/>
                        <w:bottom w:val="none" w:sz="0" w:space="0" w:color="auto"/>
                        <w:right w:val="none" w:sz="0" w:space="0" w:color="auto"/>
                      </w:divBdr>
                      <w:divsChild>
                        <w:div w:id="1313409131">
                          <w:marLeft w:val="0"/>
                          <w:marRight w:val="0"/>
                          <w:marTop w:val="0"/>
                          <w:marBottom w:val="0"/>
                          <w:divBdr>
                            <w:top w:val="none" w:sz="0" w:space="0" w:color="auto"/>
                            <w:left w:val="none" w:sz="0" w:space="0" w:color="auto"/>
                            <w:bottom w:val="none" w:sz="0" w:space="0" w:color="auto"/>
                            <w:right w:val="none" w:sz="0" w:space="0" w:color="auto"/>
                          </w:divBdr>
                          <w:divsChild>
                            <w:div w:id="2094279965">
                              <w:marLeft w:val="0"/>
                              <w:marRight w:val="0"/>
                              <w:marTop w:val="0"/>
                              <w:marBottom w:val="240"/>
                              <w:divBdr>
                                <w:top w:val="none" w:sz="0" w:space="0" w:color="auto"/>
                                <w:left w:val="none" w:sz="0" w:space="0" w:color="auto"/>
                                <w:bottom w:val="none" w:sz="0" w:space="0" w:color="auto"/>
                                <w:right w:val="none" w:sz="0" w:space="0" w:color="auto"/>
                              </w:divBdr>
                              <w:divsChild>
                                <w:div w:id="938952078">
                                  <w:marLeft w:val="0"/>
                                  <w:marRight w:val="0"/>
                                  <w:marTop w:val="0"/>
                                  <w:marBottom w:val="0"/>
                                  <w:divBdr>
                                    <w:top w:val="none" w:sz="0" w:space="0" w:color="auto"/>
                                    <w:left w:val="none" w:sz="0" w:space="0" w:color="auto"/>
                                    <w:bottom w:val="none" w:sz="0" w:space="0" w:color="auto"/>
                                    <w:right w:val="none" w:sz="0" w:space="0" w:color="auto"/>
                                  </w:divBdr>
                                  <w:divsChild>
                                    <w:div w:id="507870385">
                                      <w:marLeft w:val="0"/>
                                      <w:marRight w:val="0"/>
                                      <w:marTop w:val="0"/>
                                      <w:marBottom w:val="0"/>
                                      <w:divBdr>
                                        <w:top w:val="none" w:sz="0" w:space="0" w:color="auto"/>
                                        <w:left w:val="none" w:sz="0" w:space="0" w:color="auto"/>
                                        <w:bottom w:val="none" w:sz="0" w:space="0" w:color="auto"/>
                                        <w:right w:val="none" w:sz="0" w:space="0" w:color="auto"/>
                                      </w:divBdr>
                                      <w:divsChild>
                                        <w:div w:id="1241020372">
                                          <w:marLeft w:val="0"/>
                                          <w:marRight w:val="0"/>
                                          <w:marTop w:val="0"/>
                                          <w:marBottom w:val="0"/>
                                          <w:divBdr>
                                            <w:top w:val="none" w:sz="0" w:space="0" w:color="auto"/>
                                            <w:left w:val="none" w:sz="0" w:space="0" w:color="auto"/>
                                            <w:bottom w:val="none" w:sz="0" w:space="0" w:color="auto"/>
                                            <w:right w:val="none" w:sz="0" w:space="0" w:color="auto"/>
                                          </w:divBdr>
                                          <w:divsChild>
                                            <w:div w:id="1700621118">
                                              <w:marLeft w:val="0"/>
                                              <w:marRight w:val="0"/>
                                              <w:marTop w:val="0"/>
                                              <w:marBottom w:val="0"/>
                                              <w:divBdr>
                                                <w:top w:val="none" w:sz="0" w:space="0" w:color="auto"/>
                                                <w:left w:val="none" w:sz="0" w:space="0" w:color="auto"/>
                                                <w:bottom w:val="none" w:sz="0" w:space="0" w:color="auto"/>
                                                <w:right w:val="none" w:sz="0" w:space="0" w:color="auto"/>
                                              </w:divBdr>
                                              <w:divsChild>
                                                <w:div w:id="441002036">
                                                  <w:marLeft w:val="0"/>
                                                  <w:marRight w:val="0"/>
                                                  <w:marTop w:val="0"/>
                                                  <w:marBottom w:val="0"/>
                                                  <w:divBdr>
                                                    <w:top w:val="none" w:sz="0" w:space="0" w:color="auto"/>
                                                    <w:left w:val="none" w:sz="0" w:space="0" w:color="auto"/>
                                                    <w:bottom w:val="none" w:sz="0" w:space="0" w:color="auto"/>
                                                    <w:right w:val="none" w:sz="0" w:space="0" w:color="auto"/>
                                                  </w:divBdr>
                                                  <w:divsChild>
                                                    <w:div w:id="7709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hyperlink" Target="https://whc.unesco.org/en/decisions/7290"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hc.unesco.org/en/decisions/7290" TargetMode="External"/><Relationship Id="rId34" Type="http://schemas.openxmlformats.org/officeDocument/2006/relationships/hyperlink" Target="https://whc.unesco.org/en/decisions/673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image" Target="media/image3.png"/><Relationship Id="rId33" Type="http://schemas.openxmlformats.org/officeDocument/2006/relationships/hyperlink" Target="http://epbcnotices.environment.gov.au/referralslist/" TargetMode="External"/><Relationship Id="rId38" Type="http://schemas.openxmlformats.org/officeDocument/2006/relationships/hyperlink" Target="https://epa.tas.gov.au/epa/news/review-of-research-paper-on-the-significance-of-atmospheric-metal-contamination-from-mining-activity-adjacent-to-the-twwha"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29" Type="http://schemas.openxmlformats.org/officeDocument/2006/relationships/hyperlink" Target="http://www.thelaw.tas.gov.au/tocview/index.w3p;cond=;doc_id=62%2B%2B2002%2BAT%40EN%2B20040816110000;histon=;prompt=;rec=;ter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hc.unesco.org/en/decisions/6731" TargetMode="External"/><Relationship Id="rId32" Type="http://schemas.openxmlformats.org/officeDocument/2006/relationships/hyperlink" Target="http://www.environment.gov.au/heritage/about/world/notification-development-proposals" TargetMode="External"/><Relationship Id="rId37" Type="http://schemas.openxmlformats.org/officeDocument/2006/relationships/hyperlink" Target="http://www.dpac.tas.gov.au/__data/assets/pdf_file/0008/189314/Aboriginal_and_Dual_Naming_Policy.pdf"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hc.unesco.org/en/decisions/7290" TargetMode="External"/><Relationship Id="rId28" Type="http://schemas.openxmlformats.org/officeDocument/2006/relationships/hyperlink" Target="http://www.thelaw.tas.gov.au/tocview/index.w3p;cond=;doc_id=63%2B%2B2002%2BAT%40EN%2B20040816110000;histon=;prompt=;rec=;term=" TargetMode="External"/><Relationship Id="rId36" Type="http://schemas.openxmlformats.org/officeDocument/2006/relationships/hyperlink" Target="https://www.environment.gov.au/heritage/publications/cultural-assessment-twwha"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http://www.thelaw.tas.gov.au/tocview/index.w3p;cond=;doc_id=62%2B%2B2002%2BAT%40EN%2B20040816110000;histon=;prompt=;rec=;ter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hc.unesco.org/en/decisions/6731" TargetMode="External"/><Relationship Id="rId27" Type="http://schemas.openxmlformats.org/officeDocument/2006/relationships/hyperlink" Target="https://whc.unesco.org/en/decisions/6731" TargetMode="External"/><Relationship Id="rId30" Type="http://schemas.openxmlformats.org/officeDocument/2006/relationships/hyperlink" Target="http://www.thelaw.tas.gov.au/tocview/index.w3p;cond=;doc_id=63%2B%2B2002%2BAT%40EN%2B20040816110000;histon=;prompt=;rec=;term=" TargetMode="External"/><Relationship Id="rId35" Type="http://schemas.openxmlformats.org/officeDocument/2006/relationships/hyperlink" Target="http://whc.unesco.org/en/decisions/517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pipwe.tas.gov.au/conservation/tasmanian-wilderness-world-heritage-area-(twwha)/twwha-manage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38B136108E489643B3F064DC11202D40" ma:contentTypeVersion="7" ma:contentTypeDescription="Create a new Word Document" ma:contentTypeScope="" ma:versionID="a5c81c8451006f5e90946d8817aec63f">
  <xsd:schema xmlns:xsd="http://www.w3.org/2001/XMLSchema" xmlns:xs="http://www.w3.org/2001/XMLSchema" xmlns:p="http://schemas.microsoft.com/office/2006/metadata/properties" xmlns:ns2="344c6e69-c594-4ca4-b341-09ae9dfc1422" targetNamespace="http://schemas.microsoft.com/office/2006/metadata/properties" ma:root="true" ma:fieldsID="1ac8d17cc74aeddb894625933472428a"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DocumentDescription xmlns="344c6e69-c594-4ca4-b341-09ae9dfc1422">Version agreed by Minister Ley on 6 Nov 2019 and by Tasmanian Minister for Parks, Peter Gutwein on 19 Nov 2019. Includes French translation of executive summary.</DocumentDescription>
    <RecordNumber xmlns="344c6e69-c594-4ca4-b341-09ae9dfc1422"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C39BF-9479-4F6B-9EDD-198FC559D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5451D-9C4D-433A-B7F1-9EDA0CD6887B}">
  <ds:schemaRefs>
    <ds:schemaRef ds:uri="http://schemas.microsoft.com/sharepoint/v3/contenttype/forms"/>
  </ds:schemaRefs>
</ds:datastoreItem>
</file>

<file path=customXml/itemProps3.xml><?xml version="1.0" encoding="utf-8"?>
<ds:datastoreItem xmlns:ds="http://schemas.openxmlformats.org/officeDocument/2006/customXml" ds:itemID="{5A438216-3766-4AA8-AFB2-1DA5AAECAE9A}">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344c6e69-c594-4ca4-b341-09ae9dfc1422"/>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36607A1-B67B-4D72-A8A4-2620DA569E89}">
  <ds:schemaRefs>
    <ds:schemaRef ds:uri="http://schemas.microsoft.com/sharepoint/events"/>
  </ds:schemaRefs>
</ds:datastoreItem>
</file>

<file path=customXml/itemProps5.xml><?xml version="1.0" encoding="utf-8"?>
<ds:datastoreItem xmlns:ds="http://schemas.openxmlformats.org/officeDocument/2006/customXml" ds:itemID="{A3C11DD2-8CD3-43E8-9459-923CF3E6D4A2}">
  <ds:schemaRefs>
    <ds:schemaRef ds:uri="http://schemas.microsoft.com/office/2006/metadata/customXsn"/>
  </ds:schemaRefs>
</ds:datastoreItem>
</file>

<file path=customXml/itemProps6.xml><?xml version="1.0" encoding="utf-8"?>
<ds:datastoreItem xmlns:ds="http://schemas.openxmlformats.org/officeDocument/2006/customXml" ds:itemID="{B2FAC648-DE9D-4DEF-83C6-CDC31407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89A87D7E.dotm</Template>
  <TotalTime>4</TotalTime>
  <Pages>40</Pages>
  <Words>14706</Words>
  <Characters>84124</Characters>
  <Application>Microsoft Office Word</Application>
  <DocSecurity>0</DocSecurity>
  <Lines>1682</Lines>
  <Paragraphs>637</Paragraphs>
  <ScaleCrop>false</ScaleCrop>
  <HeadingPairs>
    <vt:vector size="2" baseType="variant">
      <vt:variant>
        <vt:lpstr>Title</vt:lpstr>
      </vt:variant>
      <vt:variant>
        <vt:i4>1</vt:i4>
      </vt:variant>
    </vt:vector>
  </HeadingPairs>
  <TitlesOfParts>
    <vt:vector size="1" baseType="lpstr">
      <vt:lpstr>2019 TWWHA State Party Report including translated exec summary</vt:lpstr>
    </vt:vector>
  </TitlesOfParts>
  <Company/>
  <LinksUpToDate>false</LinksUpToDate>
  <CharactersWithSpaces>98193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TWWHA State Party Report including translated exec summary</dc:title>
  <dc:subject/>
  <dc:creator>Australian Department of the Environment and Energy</dc:creator>
  <cp:keywords/>
  <dc:description/>
  <cp:lastModifiedBy>Nguyen, Lien</cp:lastModifiedBy>
  <cp:revision>4</cp:revision>
  <cp:lastPrinted>2019-10-28T04:17:00Z</cp:lastPrinted>
  <dcterms:created xsi:type="dcterms:W3CDTF">2019-11-28T03:11:00Z</dcterms:created>
  <dcterms:modified xsi:type="dcterms:W3CDTF">2019-11-28T03:24:00Z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0x0101009DB8618430E8D149BA674DA7B0E0C3F0010038B136108E489643B3F064DC11202D40</vt:lpwstr>
  </property>
  <property fmtid="{D5CDD505-2E9C-101B-9397-08002B2CF9AE}" pid="3" name="RecordPoint_ActiveItemUniqueId">
    <vt:lpwstr>{8efa9a7b-5dbf-4cae-84f1-b19aec4fe496}</vt:lpwstr>
  </property>
  <property fmtid="{D5CDD505-2E9C-101B-9397-08002B2CF9AE}" pid="4" name="RecordPoint_WorkflowType">
    <vt:lpwstr>ActiveSubmitStub</vt:lpwstr>
  </property>
  <property fmtid="{D5CDD505-2E9C-101B-9397-08002B2CF9AE}" pid="5" name="RecordPoint_ActiveItemSiteId">
    <vt:lpwstr>{8003c3b3-d20c-4e9a-bee9-0e2243d810ee}</vt:lpwstr>
  </property>
  <property fmtid="{D5CDD505-2E9C-101B-9397-08002B2CF9AE}" pid="6" name="RecordPoint_ActiveItemListId">
    <vt:lpwstr>{cc08e5ec-4f7a-48b4-87b1-710aa1403820}</vt:lpwstr>
  </property>
  <property fmtid="{D5CDD505-2E9C-101B-9397-08002B2CF9AE}" pid="7" name="RecordPoint_ActiveItemWebId">
    <vt:lpwstr>{fc5f6266-41b8-4c8d-a1a1-2c080a479d3e}</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DocONEDocID">
    <vt:lpwstr>M551865</vt:lpwstr>
  </property>
  <property fmtid="{D5CDD505-2E9C-101B-9397-08002B2CF9AE}" pid="14" name="DocONERegDate">
    <vt:lpwstr>07/10/2019 07:58:20 AM</vt:lpwstr>
  </property>
  <property fmtid="{D5CDD505-2E9C-101B-9397-08002B2CF9AE}" pid="15" name="DocONEVerNo">
    <vt:lpwstr>1</vt:lpwstr>
  </property>
  <property fmtid="{D5CDD505-2E9C-101B-9397-08002B2CF9AE}" pid="16" name="DocONECreatedDate">
    <vt:lpwstr>07/10/2019</vt:lpwstr>
  </property>
</Properties>
</file>