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4700" w14:textId="77777777" w:rsidR="00302BAA" w:rsidRPr="00916CFE" w:rsidRDefault="00302BAA" w:rsidP="009B4910">
      <w:pPr>
        <w:pStyle w:val="Header"/>
        <w:jc w:val="left"/>
        <w:rPr>
          <w:sz w:val="12"/>
          <w:szCs w:val="12"/>
        </w:rPr>
      </w:pPr>
    </w:p>
    <w:p w14:paraId="060DE1D1" w14:textId="2F4C901B" w:rsidR="00F85AC8" w:rsidRPr="00302BAA" w:rsidRDefault="00F43ECF" w:rsidP="00302BAA">
      <w:pPr>
        <w:pStyle w:val="Header"/>
        <w:jc w:val="left"/>
        <w:rPr>
          <w:sz w:val="56"/>
          <w:szCs w:val="56"/>
        </w:rPr>
      </w:pPr>
      <w:r>
        <w:rPr>
          <w:sz w:val="56"/>
          <w:szCs w:val="56"/>
        </w:rPr>
        <w:t>ABARES</w:t>
      </w:r>
      <w:r w:rsidR="006F1E2D">
        <w:rPr>
          <w:sz w:val="56"/>
          <w:szCs w:val="56"/>
        </w:rPr>
        <w:t xml:space="preserve"> </w:t>
      </w:r>
      <w:r w:rsidR="007C386B" w:rsidRPr="00632E1E">
        <w:rPr>
          <w:sz w:val="56"/>
          <w:szCs w:val="56"/>
        </w:rPr>
        <w:t>Australian</w:t>
      </w:r>
      <w:r w:rsidR="006F1E2D">
        <w:rPr>
          <w:sz w:val="56"/>
          <w:szCs w:val="56"/>
        </w:rPr>
        <w:t xml:space="preserve"> </w:t>
      </w:r>
      <w:r w:rsidR="007C386B" w:rsidRPr="00632E1E">
        <w:rPr>
          <w:sz w:val="56"/>
          <w:szCs w:val="56"/>
        </w:rPr>
        <w:t xml:space="preserve">chicken </w:t>
      </w:r>
      <w:r w:rsidR="006F1E2D">
        <w:rPr>
          <w:sz w:val="56"/>
          <w:szCs w:val="56"/>
        </w:rPr>
        <w:t xml:space="preserve">                </w:t>
      </w:r>
      <w:r w:rsidR="007C386B" w:rsidRPr="00632E1E">
        <w:rPr>
          <w:sz w:val="56"/>
          <w:szCs w:val="56"/>
        </w:rPr>
        <w:t xml:space="preserve">meat </w:t>
      </w:r>
      <w:r w:rsidR="00B630E8">
        <w:rPr>
          <w:sz w:val="56"/>
          <w:szCs w:val="56"/>
        </w:rPr>
        <w:t>industry</w:t>
      </w:r>
      <w:r w:rsidR="007C386B" w:rsidRPr="00632E1E">
        <w:rPr>
          <w:sz w:val="56"/>
          <w:szCs w:val="56"/>
        </w:rPr>
        <w:t xml:space="preserve"> </w:t>
      </w:r>
      <w:r w:rsidR="006F1E2D">
        <w:rPr>
          <w:sz w:val="56"/>
          <w:szCs w:val="56"/>
        </w:rPr>
        <w:t>review</w:t>
      </w:r>
    </w:p>
    <w:p w14:paraId="4982B9AC" w14:textId="77777777" w:rsidR="00302BAA" w:rsidRPr="00916CFE" w:rsidRDefault="00302BAA" w:rsidP="004214BD">
      <w:pPr>
        <w:spacing w:after="0"/>
        <w:rPr>
          <w:rFonts w:ascii="Calibri" w:eastAsia="Times New Roman" w:hAnsi="Calibri" w:cs="Times New Roman"/>
          <w:b/>
          <w:bCs/>
          <w:kern w:val="0"/>
          <w:sz w:val="4"/>
          <w:szCs w:val="4"/>
          <w14:ligatures w14:val="none"/>
        </w:rPr>
      </w:pPr>
    </w:p>
    <w:p w14:paraId="4B84F31B" w14:textId="68C0DA47" w:rsidR="007C386B" w:rsidRPr="004214BD" w:rsidRDefault="007C386B" w:rsidP="007C386B">
      <w:pPr>
        <w:spacing w:after="240"/>
        <w:rPr>
          <w:rFonts w:ascii="Calibri" w:eastAsia="Times New Roman" w:hAnsi="Calibri" w:cs="Times New Roman"/>
          <w:b/>
          <w:bCs/>
          <w:kern w:val="0"/>
          <w:sz w:val="36"/>
          <w:szCs w:val="36"/>
          <w14:ligatures w14:val="none"/>
        </w:rPr>
      </w:pPr>
      <w:r w:rsidRPr="004214BD">
        <w:rPr>
          <w:rFonts w:ascii="Calibri" w:eastAsia="Times New Roman" w:hAnsi="Calibri" w:cs="Times New Roman"/>
          <w:b/>
          <w:bCs/>
          <w:kern w:val="0"/>
          <w:sz w:val="36"/>
          <w:szCs w:val="36"/>
          <w14:ligatures w14:val="none"/>
        </w:rPr>
        <w:t xml:space="preserve">Terms of reference </w:t>
      </w:r>
    </w:p>
    <w:p w14:paraId="466F3171" w14:textId="7A594BE3" w:rsidR="007C386B" w:rsidRPr="00836152" w:rsidRDefault="007C386B" w:rsidP="007C386B">
      <w:pPr>
        <w:spacing w:after="240"/>
        <w:rPr>
          <w:rFonts w:ascii="Calibri" w:hAnsi="Calibri" w:cs="Calibri"/>
          <w:sz w:val="24"/>
          <w:szCs w:val="24"/>
        </w:rPr>
      </w:pPr>
      <w:r w:rsidRPr="00836152">
        <w:rPr>
          <w:rFonts w:ascii="Calibri" w:hAnsi="Calibri" w:cs="Calibri"/>
          <w:sz w:val="24"/>
          <w:szCs w:val="24"/>
        </w:rPr>
        <w:t>The Australian Bureau of Agricultural and Resource Economics and Sciences (ABARES) will undertake an independent</w:t>
      </w:r>
      <w:r w:rsidR="003776C2">
        <w:rPr>
          <w:rFonts w:ascii="Calibri" w:hAnsi="Calibri" w:cs="Calibri"/>
          <w:sz w:val="24"/>
          <w:szCs w:val="24"/>
        </w:rPr>
        <w:t xml:space="preserve"> review</w:t>
      </w:r>
      <w:r w:rsidRPr="00836152">
        <w:rPr>
          <w:rFonts w:ascii="Calibri" w:hAnsi="Calibri" w:cs="Calibri"/>
          <w:sz w:val="24"/>
          <w:szCs w:val="24"/>
        </w:rPr>
        <w:t xml:space="preserve"> into the relationship between growers and integrated producers in the Australian chicken meat supply chain.</w:t>
      </w:r>
    </w:p>
    <w:p w14:paraId="32C8A5B3" w14:textId="7011BAA8" w:rsidR="007C386B" w:rsidRPr="00836152" w:rsidRDefault="007C386B" w:rsidP="007C386B">
      <w:pPr>
        <w:spacing w:after="240"/>
        <w:rPr>
          <w:rFonts w:ascii="Calibri" w:hAnsi="Calibri" w:cs="Calibri"/>
          <w:sz w:val="24"/>
          <w:szCs w:val="24"/>
        </w:rPr>
      </w:pPr>
      <w:r w:rsidRPr="00836152">
        <w:rPr>
          <w:rFonts w:ascii="Calibri" w:hAnsi="Calibri" w:cs="Calibri"/>
          <w:sz w:val="24"/>
          <w:szCs w:val="24"/>
        </w:rPr>
        <w:t>This</w:t>
      </w:r>
      <w:r w:rsidR="003776C2">
        <w:rPr>
          <w:rFonts w:ascii="Calibri" w:hAnsi="Calibri" w:cs="Calibri"/>
          <w:sz w:val="24"/>
          <w:szCs w:val="24"/>
        </w:rPr>
        <w:t xml:space="preserve"> review</w:t>
      </w:r>
      <w:r w:rsidRPr="00836152">
        <w:rPr>
          <w:rFonts w:ascii="Calibri" w:hAnsi="Calibri" w:cs="Calibri"/>
          <w:sz w:val="24"/>
          <w:szCs w:val="24"/>
        </w:rPr>
        <w:t xml:space="preserve"> will examine whether there is evidence of market failure within the industry. If market failure is identified within the industry, ABARES will examine the nature, drivers and effects of this market failure, and the costs, benefits, and impacts of potential regulatory and non-regulatory actions that could be introduced to address identified issues.</w:t>
      </w:r>
    </w:p>
    <w:p w14:paraId="5689A236" w14:textId="231E4B81" w:rsidR="007C386B" w:rsidRPr="00836152" w:rsidRDefault="007C386B" w:rsidP="007C386B">
      <w:pPr>
        <w:spacing w:after="240"/>
        <w:rPr>
          <w:rFonts w:ascii="Calibri" w:hAnsi="Calibri" w:cs="Calibri"/>
          <w:sz w:val="24"/>
          <w:szCs w:val="24"/>
        </w:rPr>
      </w:pPr>
      <w:r w:rsidRPr="00836152">
        <w:rPr>
          <w:rFonts w:ascii="Calibri" w:hAnsi="Calibri" w:cs="Calibri"/>
          <w:sz w:val="24"/>
          <w:szCs w:val="24"/>
        </w:rPr>
        <w:t xml:space="preserve">The </w:t>
      </w:r>
      <w:r w:rsidR="003776C2">
        <w:rPr>
          <w:rFonts w:ascii="Calibri" w:hAnsi="Calibri" w:cs="Calibri"/>
          <w:sz w:val="24"/>
          <w:szCs w:val="24"/>
        </w:rPr>
        <w:t>review</w:t>
      </w:r>
      <w:r w:rsidRPr="00836152">
        <w:rPr>
          <w:rFonts w:ascii="Calibri" w:hAnsi="Calibri" w:cs="Calibri"/>
          <w:sz w:val="24"/>
          <w:szCs w:val="24"/>
        </w:rPr>
        <w:t xml:space="preserve"> will have </w:t>
      </w:r>
      <w:proofErr w:type="gramStart"/>
      <w:r w:rsidRPr="00836152">
        <w:rPr>
          <w:rFonts w:ascii="Calibri" w:hAnsi="Calibri" w:cs="Calibri"/>
          <w:sz w:val="24"/>
          <w:szCs w:val="24"/>
        </w:rPr>
        <w:t>particular reference</w:t>
      </w:r>
      <w:proofErr w:type="gramEnd"/>
      <w:r w:rsidRPr="00836152">
        <w:rPr>
          <w:rFonts w:ascii="Calibri" w:hAnsi="Calibri" w:cs="Calibri"/>
          <w:sz w:val="24"/>
          <w:szCs w:val="24"/>
        </w:rPr>
        <w:t xml:space="preserve"> to the following:</w:t>
      </w:r>
    </w:p>
    <w:p w14:paraId="7920D7D1" w14:textId="77777777" w:rsidR="007C386B" w:rsidRPr="00836152" w:rsidRDefault="007C386B" w:rsidP="007C386B">
      <w:pPr>
        <w:pStyle w:val="ListParagraph"/>
        <w:numPr>
          <w:ilvl w:val="0"/>
          <w:numId w:val="17"/>
        </w:numPr>
        <w:spacing w:after="240" w:line="259" w:lineRule="auto"/>
        <w:rPr>
          <w:sz w:val="24"/>
          <w:szCs w:val="24"/>
        </w:rPr>
      </w:pPr>
      <w:r w:rsidRPr="00836152">
        <w:rPr>
          <w:sz w:val="24"/>
          <w:szCs w:val="24"/>
        </w:rPr>
        <w:t xml:space="preserve">Information, outcomes, and recommendations from recent government, industry, and parliamentary </w:t>
      </w:r>
      <w:proofErr w:type="gramStart"/>
      <w:r w:rsidRPr="00836152">
        <w:rPr>
          <w:sz w:val="24"/>
          <w:szCs w:val="24"/>
        </w:rPr>
        <w:t>reports;</w:t>
      </w:r>
      <w:proofErr w:type="gramEnd"/>
    </w:p>
    <w:p w14:paraId="7C0463D5" w14:textId="77777777" w:rsidR="007C386B" w:rsidRPr="00836152" w:rsidRDefault="007C386B" w:rsidP="007C386B">
      <w:pPr>
        <w:pStyle w:val="ListParagraph"/>
        <w:numPr>
          <w:ilvl w:val="0"/>
          <w:numId w:val="17"/>
        </w:numPr>
        <w:spacing w:after="240" w:line="259" w:lineRule="auto"/>
        <w:rPr>
          <w:sz w:val="24"/>
          <w:szCs w:val="24"/>
        </w:rPr>
      </w:pPr>
      <w:r w:rsidRPr="00836152">
        <w:rPr>
          <w:sz w:val="24"/>
          <w:szCs w:val="24"/>
        </w:rPr>
        <w:t xml:space="preserve">Submissions and other information provided by growers and integrated producers to recent government, industry, and parliamentary </w:t>
      </w:r>
      <w:proofErr w:type="gramStart"/>
      <w:r w:rsidRPr="00836152">
        <w:rPr>
          <w:sz w:val="24"/>
          <w:szCs w:val="24"/>
        </w:rPr>
        <w:t>inquiries;</w:t>
      </w:r>
      <w:proofErr w:type="gramEnd"/>
    </w:p>
    <w:p w14:paraId="4F76ECC5" w14:textId="77777777" w:rsidR="007C386B" w:rsidRPr="00836152" w:rsidRDefault="007C386B" w:rsidP="007C386B">
      <w:pPr>
        <w:pStyle w:val="ListParagraph"/>
        <w:numPr>
          <w:ilvl w:val="0"/>
          <w:numId w:val="17"/>
        </w:numPr>
        <w:spacing w:after="240" w:line="259" w:lineRule="auto"/>
        <w:rPr>
          <w:sz w:val="24"/>
          <w:szCs w:val="24"/>
        </w:rPr>
      </w:pPr>
      <w:r w:rsidRPr="00836152">
        <w:rPr>
          <w:sz w:val="24"/>
          <w:szCs w:val="24"/>
        </w:rPr>
        <w:t xml:space="preserve">Market value and direct economic contribution of the chicken meat </w:t>
      </w:r>
      <w:proofErr w:type="gramStart"/>
      <w:r w:rsidRPr="00836152">
        <w:rPr>
          <w:sz w:val="24"/>
          <w:szCs w:val="24"/>
        </w:rPr>
        <w:t>industry;</w:t>
      </w:r>
      <w:proofErr w:type="gramEnd"/>
      <w:r w:rsidRPr="00836152">
        <w:rPr>
          <w:sz w:val="24"/>
          <w:szCs w:val="24"/>
        </w:rPr>
        <w:t xml:space="preserve"> </w:t>
      </w:r>
    </w:p>
    <w:p w14:paraId="20662E4A" w14:textId="77777777" w:rsidR="007C386B" w:rsidRPr="00836152" w:rsidRDefault="007C386B" w:rsidP="007C386B">
      <w:pPr>
        <w:pStyle w:val="ListParagraph"/>
        <w:numPr>
          <w:ilvl w:val="0"/>
          <w:numId w:val="17"/>
        </w:numPr>
        <w:spacing w:after="240" w:line="259" w:lineRule="auto"/>
        <w:rPr>
          <w:sz w:val="24"/>
          <w:szCs w:val="24"/>
        </w:rPr>
      </w:pPr>
      <w:r w:rsidRPr="00836152">
        <w:rPr>
          <w:sz w:val="24"/>
          <w:szCs w:val="24"/>
        </w:rPr>
        <w:t xml:space="preserve">Evolution of the chicken meat industry over time, including industry growth and chicken meat production and </w:t>
      </w:r>
      <w:proofErr w:type="gramStart"/>
      <w:r w:rsidRPr="00836152">
        <w:rPr>
          <w:sz w:val="24"/>
          <w:szCs w:val="24"/>
        </w:rPr>
        <w:t>consumption;</w:t>
      </w:r>
      <w:proofErr w:type="gramEnd"/>
    </w:p>
    <w:p w14:paraId="0B0A95DE" w14:textId="77777777" w:rsidR="007C386B" w:rsidRPr="00836152" w:rsidRDefault="007C386B" w:rsidP="007C386B">
      <w:pPr>
        <w:pStyle w:val="ListParagraph"/>
        <w:numPr>
          <w:ilvl w:val="0"/>
          <w:numId w:val="17"/>
        </w:numPr>
        <w:spacing w:after="240" w:line="259" w:lineRule="auto"/>
        <w:rPr>
          <w:sz w:val="24"/>
          <w:szCs w:val="24"/>
        </w:rPr>
      </w:pPr>
      <w:r w:rsidRPr="00836152">
        <w:rPr>
          <w:sz w:val="24"/>
          <w:szCs w:val="24"/>
        </w:rPr>
        <w:t xml:space="preserve">Industry structure, commercial arrangements, and other relevant </w:t>
      </w:r>
      <w:proofErr w:type="gramStart"/>
      <w:r w:rsidRPr="00836152">
        <w:rPr>
          <w:sz w:val="24"/>
          <w:szCs w:val="24"/>
        </w:rPr>
        <w:t>matters;</w:t>
      </w:r>
      <w:proofErr w:type="gramEnd"/>
    </w:p>
    <w:p w14:paraId="302415FA" w14:textId="77777777" w:rsidR="007C386B" w:rsidRPr="00836152" w:rsidRDefault="007C386B" w:rsidP="007C386B">
      <w:pPr>
        <w:pStyle w:val="ListParagraph"/>
        <w:numPr>
          <w:ilvl w:val="0"/>
          <w:numId w:val="17"/>
        </w:numPr>
        <w:spacing w:after="240" w:line="259" w:lineRule="auto"/>
        <w:rPr>
          <w:sz w:val="24"/>
          <w:szCs w:val="24"/>
        </w:rPr>
      </w:pPr>
      <w:r w:rsidRPr="00836152">
        <w:rPr>
          <w:sz w:val="24"/>
          <w:szCs w:val="24"/>
        </w:rPr>
        <w:t xml:space="preserve">Whether there is evidence of other significant issues that have a negative impact on grower and integrated producer commercial relationships or market outcomes for the chicken meat </w:t>
      </w:r>
      <w:proofErr w:type="gramStart"/>
      <w:r w:rsidRPr="00836152">
        <w:rPr>
          <w:sz w:val="24"/>
          <w:szCs w:val="24"/>
        </w:rPr>
        <w:t>industry;</w:t>
      </w:r>
      <w:proofErr w:type="gramEnd"/>
    </w:p>
    <w:p w14:paraId="79CEACE4" w14:textId="77777777" w:rsidR="00F85AC8" w:rsidRDefault="007C386B" w:rsidP="00F85AC8">
      <w:pPr>
        <w:pStyle w:val="ListParagraph"/>
        <w:numPr>
          <w:ilvl w:val="0"/>
          <w:numId w:val="17"/>
        </w:numPr>
        <w:spacing w:after="240" w:line="259" w:lineRule="auto"/>
        <w:rPr>
          <w:sz w:val="24"/>
          <w:szCs w:val="24"/>
        </w:rPr>
      </w:pPr>
      <w:r w:rsidRPr="00836152">
        <w:rPr>
          <w:sz w:val="24"/>
          <w:szCs w:val="24"/>
        </w:rPr>
        <w:t xml:space="preserve">Potential regulatory and non-regulatory responses available to government if market failure or other significant issues are found to </w:t>
      </w:r>
      <w:proofErr w:type="gramStart"/>
      <w:r w:rsidRPr="00836152">
        <w:rPr>
          <w:sz w:val="24"/>
          <w:szCs w:val="24"/>
        </w:rPr>
        <w:t>exist;</w:t>
      </w:r>
      <w:proofErr w:type="gramEnd"/>
    </w:p>
    <w:p w14:paraId="3B1C6365" w14:textId="1B918627" w:rsidR="009B4910" w:rsidRPr="00F85AC8" w:rsidRDefault="007C386B" w:rsidP="00F85AC8">
      <w:pPr>
        <w:pStyle w:val="ListParagraph"/>
        <w:numPr>
          <w:ilvl w:val="0"/>
          <w:numId w:val="17"/>
        </w:numPr>
        <w:spacing w:after="240" w:line="259" w:lineRule="auto"/>
        <w:rPr>
          <w:sz w:val="24"/>
          <w:szCs w:val="24"/>
        </w:rPr>
      </w:pPr>
      <w:r w:rsidRPr="00F85AC8">
        <w:rPr>
          <w:sz w:val="24"/>
          <w:szCs w:val="24"/>
        </w:rPr>
        <w:t xml:space="preserve">The possible net costs, benefits, or impacts to the government, industry and the consumer of any potential regulatory and non-regulatory </w:t>
      </w:r>
      <w:proofErr w:type="gramStart"/>
      <w:r w:rsidRPr="00F85AC8">
        <w:rPr>
          <w:sz w:val="24"/>
          <w:szCs w:val="24"/>
        </w:rPr>
        <w:t>responses;</w:t>
      </w:r>
      <w:proofErr w:type="gramEnd"/>
      <w:r w:rsidRPr="00F85AC8">
        <w:rPr>
          <w:sz w:val="24"/>
          <w:szCs w:val="24"/>
        </w:rPr>
        <w:t xml:space="preserve"> </w:t>
      </w:r>
    </w:p>
    <w:p w14:paraId="255D90C9" w14:textId="77777777" w:rsidR="007C386B" w:rsidRPr="00836152" w:rsidRDefault="007C386B" w:rsidP="007C386B">
      <w:pPr>
        <w:pStyle w:val="ListParagraph"/>
        <w:numPr>
          <w:ilvl w:val="0"/>
          <w:numId w:val="17"/>
        </w:numPr>
        <w:spacing w:after="240" w:line="259" w:lineRule="auto"/>
        <w:rPr>
          <w:sz w:val="24"/>
          <w:szCs w:val="24"/>
        </w:rPr>
      </w:pPr>
      <w:r w:rsidRPr="00836152">
        <w:rPr>
          <w:sz w:val="24"/>
          <w:szCs w:val="24"/>
        </w:rPr>
        <w:t>Adequacy of current laws and regulations to address any potential market failure or significant issue/s; and</w:t>
      </w:r>
    </w:p>
    <w:p w14:paraId="79E4FBE5" w14:textId="65F37ACE" w:rsidR="003E41AB" w:rsidRPr="003776C2" w:rsidRDefault="007C386B" w:rsidP="007C386B">
      <w:pPr>
        <w:pStyle w:val="ListParagraph"/>
        <w:numPr>
          <w:ilvl w:val="0"/>
          <w:numId w:val="17"/>
        </w:numPr>
        <w:spacing w:after="240" w:line="259" w:lineRule="auto"/>
        <w:rPr>
          <w:sz w:val="24"/>
          <w:szCs w:val="24"/>
        </w:rPr>
      </w:pPr>
      <w:r w:rsidRPr="00836152">
        <w:rPr>
          <w:sz w:val="24"/>
          <w:szCs w:val="24"/>
        </w:rPr>
        <w:t>Any other relevant matters.</w:t>
      </w:r>
    </w:p>
    <w:p w14:paraId="327A2773" w14:textId="6F8FC77D" w:rsidR="007C386B" w:rsidRPr="004214BD" w:rsidRDefault="007C386B" w:rsidP="007C386B">
      <w:pPr>
        <w:spacing w:after="240"/>
        <w:rPr>
          <w:rFonts w:ascii="Calibri" w:eastAsia="Times New Roman" w:hAnsi="Calibri" w:cs="Times New Roman"/>
          <w:b/>
          <w:bCs/>
          <w:kern w:val="0"/>
          <w:sz w:val="36"/>
          <w:szCs w:val="36"/>
          <w14:ligatures w14:val="none"/>
        </w:rPr>
      </w:pPr>
      <w:r w:rsidRPr="004214BD">
        <w:rPr>
          <w:rFonts w:ascii="Calibri" w:eastAsia="Times New Roman" w:hAnsi="Calibri" w:cs="Times New Roman"/>
          <w:b/>
          <w:bCs/>
          <w:kern w:val="0"/>
          <w:sz w:val="36"/>
          <w:szCs w:val="36"/>
          <w14:ligatures w14:val="none"/>
        </w:rPr>
        <w:lastRenderedPageBreak/>
        <w:t xml:space="preserve">Delivery </w:t>
      </w:r>
    </w:p>
    <w:p w14:paraId="13484617" w14:textId="54A22201" w:rsidR="007C386B" w:rsidRPr="00836152" w:rsidRDefault="007C386B" w:rsidP="007C386B">
      <w:pPr>
        <w:spacing w:after="240"/>
        <w:rPr>
          <w:rFonts w:ascii="Calibri" w:hAnsi="Calibri" w:cs="Calibri"/>
          <w:sz w:val="24"/>
          <w:szCs w:val="24"/>
        </w:rPr>
      </w:pPr>
      <w:r w:rsidRPr="00836152">
        <w:rPr>
          <w:rFonts w:ascii="Calibri" w:hAnsi="Calibri" w:cs="Calibri"/>
          <w:sz w:val="24"/>
          <w:szCs w:val="24"/>
        </w:rPr>
        <w:t xml:space="preserve">ABARES will undertake consultation with as many relevant stakeholders in the chicken meat industry as possible during the </w:t>
      </w:r>
      <w:r w:rsidR="003776C2">
        <w:rPr>
          <w:rFonts w:ascii="Calibri" w:hAnsi="Calibri" w:cs="Calibri"/>
          <w:sz w:val="24"/>
          <w:szCs w:val="24"/>
        </w:rPr>
        <w:t>review</w:t>
      </w:r>
      <w:r w:rsidRPr="00836152">
        <w:rPr>
          <w:rFonts w:ascii="Calibri" w:hAnsi="Calibri" w:cs="Calibri"/>
          <w:sz w:val="24"/>
          <w:szCs w:val="24"/>
        </w:rPr>
        <w:t>.</w:t>
      </w:r>
    </w:p>
    <w:p w14:paraId="56B595A1" w14:textId="77777777" w:rsidR="007C386B" w:rsidRPr="00836152" w:rsidRDefault="007C386B" w:rsidP="007C386B">
      <w:pPr>
        <w:spacing w:after="240"/>
        <w:rPr>
          <w:rFonts w:ascii="Calibri" w:hAnsi="Calibri" w:cs="Calibri"/>
          <w:sz w:val="24"/>
          <w:szCs w:val="24"/>
        </w:rPr>
      </w:pPr>
      <w:r w:rsidRPr="00836152">
        <w:rPr>
          <w:rFonts w:ascii="Calibri" w:hAnsi="Calibri" w:cs="Calibri"/>
          <w:sz w:val="24"/>
          <w:szCs w:val="24"/>
        </w:rPr>
        <w:t xml:space="preserve">ABARES will release an issues paper and provide a draft report for stakeholder review and comment by mid-2025, and as soon as practicable following this, deliver a final report to government for consideration. </w:t>
      </w:r>
    </w:p>
    <w:p w14:paraId="0F3A20F3" w14:textId="77777777" w:rsidR="007C386B" w:rsidRPr="00836152" w:rsidRDefault="007C386B" w:rsidP="007C386B">
      <w:pPr>
        <w:spacing w:after="240"/>
        <w:rPr>
          <w:rFonts w:ascii="Calibri" w:hAnsi="Calibri" w:cs="Calibri"/>
          <w:sz w:val="24"/>
          <w:szCs w:val="24"/>
        </w:rPr>
      </w:pPr>
    </w:p>
    <w:p w14:paraId="09E6152B" w14:textId="77777777" w:rsidR="007C386B" w:rsidRPr="00836152" w:rsidRDefault="007C386B" w:rsidP="007C386B">
      <w:pPr>
        <w:rPr>
          <w:rFonts w:ascii="Calibri" w:hAnsi="Calibri" w:cs="Calibri"/>
          <w:sz w:val="24"/>
          <w:szCs w:val="24"/>
        </w:rPr>
      </w:pPr>
    </w:p>
    <w:sectPr w:rsidR="007C386B" w:rsidRPr="00836152" w:rsidSect="00F43ECF">
      <w:headerReference w:type="even" r:id="rId11"/>
      <w:footerReference w:type="even" r:id="rId12"/>
      <w:footerReference w:type="default" r:id="rId13"/>
      <w:headerReference w:type="first" r:id="rId14"/>
      <w:pgSz w:w="11906" w:h="16838"/>
      <w:pgMar w:top="1474" w:right="1304" w:bottom="851" w:left="130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0057" w14:textId="77777777" w:rsidR="006B4AFA" w:rsidRDefault="006B4AFA">
      <w:r>
        <w:separator/>
      </w:r>
    </w:p>
    <w:p w14:paraId="2A68FD4C" w14:textId="77777777" w:rsidR="006B4AFA" w:rsidRDefault="006B4AFA"/>
    <w:p w14:paraId="18CA1179" w14:textId="77777777" w:rsidR="006B4AFA" w:rsidRDefault="006B4AFA"/>
  </w:endnote>
  <w:endnote w:type="continuationSeparator" w:id="0">
    <w:p w14:paraId="5CB8D2C8" w14:textId="77777777" w:rsidR="006B4AFA" w:rsidRDefault="006B4AFA">
      <w:r>
        <w:continuationSeparator/>
      </w:r>
    </w:p>
    <w:p w14:paraId="397B1B13" w14:textId="77777777" w:rsidR="006B4AFA" w:rsidRDefault="006B4AFA"/>
    <w:p w14:paraId="42CA6844" w14:textId="77777777" w:rsidR="006B4AFA" w:rsidRDefault="006B4AFA"/>
  </w:endnote>
  <w:endnote w:type="continuationNotice" w:id="1">
    <w:p w14:paraId="55DB0E3A" w14:textId="77777777" w:rsidR="006B4AFA" w:rsidRDefault="006B4AFA">
      <w:pPr>
        <w:pStyle w:val="Footer"/>
      </w:pPr>
    </w:p>
    <w:p w14:paraId="4FBDAF5F" w14:textId="77777777" w:rsidR="006B4AFA" w:rsidRDefault="006B4AFA"/>
    <w:p w14:paraId="3AFDA35B" w14:textId="77777777" w:rsidR="006B4AFA" w:rsidRDefault="006B4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A934" w14:textId="77777777" w:rsidR="00517F08" w:rsidRDefault="00517F08">
    <w:pPr>
      <w:pStyle w:val="Footer"/>
    </w:pPr>
    <w:r>
      <w:rPr>
        <w:noProof/>
      </w:rPr>
      <mc:AlternateContent>
        <mc:Choice Requires="wps">
          <w:drawing>
            <wp:anchor distT="0" distB="0" distL="0" distR="0" simplePos="0" relativeHeight="251676160" behindDoc="0" locked="0" layoutInCell="1" allowOverlap="1" wp14:anchorId="4376C537" wp14:editId="3E7899D6">
              <wp:simplePos x="635" y="635"/>
              <wp:positionH relativeFrom="page">
                <wp:align>center</wp:align>
              </wp:positionH>
              <wp:positionV relativeFrom="page">
                <wp:align>bottom</wp:align>
              </wp:positionV>
              <wp:extent cx="551815" cy="404495"/>
              <wp:effectExtent l="0" t="0" r="635" b="0"/>
              <wp:wrapNone/>
              <wp:docPr id="65338776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01A7B0" w14:textId="77777777" w:rsidR="00517F08" w:rsidRPr="00517F08" w:rsidRDefault="00517F08" w:rsidP="00517F08">
                          <w:pPr>
                            <w:spacing w:after="0"/>
                            <w:rPr>
                              <w:rFonts w:ascii="Calibri" w:eastAsia="Calibri" w:hAnsi="Calibri" w:cs="Calibri"/>
                              <w:noProof/>
                              <w:color w:val="FF0000"/>
                              <w:sz w:val="24"/>
                              <w:szCs w:val="24"/>
                            </w:rPr>
                          </w:pPr>
                          <w:r w:rsidRPr="00517F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76C537" id="_x0000_t202" coordsize="21600,21600" o:spt="202" path="m,l,21600r21600,l21600,xe">
              <v:stroke joinstyle="miter"/>
              <v:path gradientshapeok="t" o:connecttype="rect"/>
            </v:shapetype>
            <v:shape id="Text Box 17" o:spid="_x0000_s1027"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5701A7B0" w14:textId="77777777" w:rsidR="00517F08" w:rsidRPr="00517F08" w:rsidRDefault="00517F08" w:rsidP="00517F08">
                    <w:pPr>
                      <w:spacing w:after="0"/>
                      <w:rPr>
                        <w:rFonts w:ascii="Calibri" w:eastAsia="Calibri" w:hAnsi="Calibri" w:cs="Calibri"/>
                        <w:noProof/>
                        <w:color w:val="FF0000"/>
                        <w:sz w:val="24"/>
                        <w:szCs w:val="24"/>
                      </w:rPr>
                    </w:pPr>
                    <w:r w:rsidRPr="00517F0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4D2C" w14:textId="37659468" w:rsidR="007C386B" w:rsidRPr="007C386B" w:rsidRDefault="007C386B" w:rsidP="007C386B">
    <w:pPr>
      <w:pStyle w:val="Header"/>
      <w:rPr>
        <w:sz w:val="22"/>
      </w:rPr>
    </w:pPr>
    <w:r>
      <w:rPr>
        <w:sz w:val="22"/>
      </w:rPr>
      <w:t>ABARES</w:t>
    </w:r>
    <w:r w:rsidR="006F1E2D">
      <w:rPr>
        <w:sz w:val="22"/>
      </w:rPr>
      <w:t xml:space="preserve"> </w:t>
    </w:r>
    <w:r w:rsidRPr="007C386B">
      <w:rPr>
        <w:sz w:val="22"/>
      </w:rPr>
      <w:t xml:space="preserve">Australian chicken meat </w:t>
    </w:r>
    <w:r w:rsidR="00B630E8">
      <w:rPr>
        <w:sz w:val="22"/>
      </w:rPr>
      <w:t>industry</w:t>
    </w:r>
    <w:r w:rsidR="006F1E2D">
      <w:rPr>
        <w:sz w:val="22"/>
      </w:rPr>
      <w:t xml:space="preserve"> review</w:t>
    </w:r>
    <w:r>
      <w:rPr>
        <w:sz w:val="22"/>
      </w:rPr>
      <w:t xml:space="preserve"> - 2025</w:t>
    </w:r>
  </w:p>
  <w:p w14:paraId="017A0A35" w14:textId="77777777" w:rsidR="007C386B" w:rsidRDefault="007C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90DF0" w14:textId="77777777" w:rsidR="006B4AFA" w:rsidRDefault="006B4AFA">
      <w:r>
        <w:separator/>
      </w:r>
    </w:p>
    <w:p w14:paraId="5B687904" w14:textId="77777777" w:rsidR="006B4AFA" w:rsidRDefault="006B4AFA"/>
    <w:p w14:paraId="51F77D92" w14:textId="77777777" w:rsidR="006B4AFA" w:rsidRDefault="006B4AFA"/>
  </w:footnote>
  <w:footnote w:type="continuationSeparator" w:id="0">
    <w:p w14:paraId="762747B5" w14:textId="77777777" w:rsidR="006B4AFA" w:rsidRDefault="006B4AFA">
      <w:r>
        <w:continuationSeparator/>
      </w:r>
    </w:p>
    <w:p w14:paraId="5BF6D6A6" w14:textId="77777777" w:rsidR="006B4AFA" w:rsidRDefault="006B4AFA"/>
    <w:p w14:paraId="27958DBA" w14:textId="77777777" w:rsidR="006B4AFA" w:rsidRDefault="006B4AFA"/>
  </w:footnote>
  <w:footnote w:type="continuationNotice" w:id="1">
    <w:p w14:paraId="2FB55370" w14:textId="77777777" w:rsidR="006B4AFA" w:rsidRDefault="006B4AFA">
      <w:pPr>
        <w:pStyle w:val="Footer"/>
      </w:pPr>
    </w:p>
    <w:p w14:paraId="5A4EB6B8" w14:textId="77777777" w:rsidR="006B4AFA" w:rsidRDefault="006B4AFA"/>
    <w:p w14:paraId="18C4922E" w14:textId="77777777" w:rsidR="006B4AFA" w:rsidRDefault="006B4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52E3" w14:textId="0803273A" w:rsidR="002A193C" w:rsidRDefault="00517F08">
    <w:pPr>
      <w:pStyle w:val="Header"/>
    </w:pPr>
    <w:r>
      <w:rPr>
        <w:noProof/>
        <w:lang w:val="en-US"/>
      </w:rPr>
      <mc:AlternateContent>
        <mc:Choice Requires="wps">
          <w:drawing>
            <wp:anchor distT="0" distB="0" distL="0" distR="0" simplePos="0" relativeHeight="251673088" behindDoc="0" locked="0" layoutInCell="1" allowOverlap="1" wp14:anchorId="11B85C22" wp14:editId="68B34649">
              <wp:simplePos x="635" y="635"/>
              <wp:positionH relativeFrom="page">
                <wp:align>center</wp:align>
              </wp:positionH>
              <wp:positionV relativeFrom="page">
                <wp:align>top</wp:align>
              </wp:positionV>
              <wp:extent cx="551815" cy="404495"/>
              <wp:effectExtent l="0" t="0" r="635" b="14605"/>
              <wp:wrapNone/>
              <wp:docPr id="27493682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F255BE" w14:textId="77777777" w:rsidR="00517F08" w:rsidRPr="00517F08" w:rsidRDefault="00517F08" w:rsidP="00517F08">
                          <w:pPr>
                            <w:spacing w:after="0"/>
                            <w:rPr>
                              <w:rFonts w:ascii="Calibri" w:eastAsia="Calibri" w:hAnsi="Calibri" w:cs="Calibri"/>
                              <w:noProof/>
                              <w:color w:val="FF0000"/>
                              <w:sz w:val="24"/>
                              <w:szCs w:val="24"/>
                            </w:rPr>
                          </w:pPr>
                          <w:r w:rsidRPr="00517F0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85C22" id="_x0000_t202" coordsize="21600,21600" o:spt="202" path="m,l,21600r21600,l21600,xe">
              <v:stroke joinstyle="miter"/>
              <v:path gradientshapeok="t" o:connecttype="rect"/>
            </v:shapetype>
            <v:shape id="Text Box 14" o:spid="_x0000_s1026"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EF255BE" w14:textId="77777777" w:rsidR="00517F08" w:rsidRPr="00517F08" w:rsidRDefault="00517F08" w:rsidP="00517F08">
                    <w:pPr>
                      <w:spacing w:after="0"/>
                      <w:rPr>
                        <w:rFonts w:ascii="Calibri" w:eastAsia="Calibri" w:hAnsi="Calibri" w:cs="Calibri"/>
                        <w:noProof/>
                        <w:color w:val="FF0000"/>
                        <w:sz w:val="24"/>
                        <w:szCs w:val="24"/>
                      </w:rPr>
                    </w:pPr>
                    <w:r w:rsidRPr="00517F0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63D0" w14:textId="56F93971" w:rsidR="002A193C" w:rsidRDefault="00D36729">
    <w:pPr>
      <w:pStyle w:val="Header"/>
      <w:jc w:val="left"/>
    </w:pPr>
    <w:r>
      <w:rPr>
        <w:noProof/>
        <w:lang w:eastAsia="en-AU"/>
      </w:rPr>
      <w:drawing>
        <wp:inline distT="0" distB="0" distL="0" distR="0" wp14:anchorId="4FE23221" wp14:editId="321D76B3">
          <wp:extent cx="3693600" cy="698400"/>
          <wp:effectExtent l="0" t="0" r="2540" b="6985"/>
          <wp:docPr id="1788295666" name="Picture 1788295666" descr="Australian Government Department of Agriculture, Fisheries and Forestry: AB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ABARES"/>
                  <pic:cNvPicPr/>
                </pic:nvPicPr>
                <pic:blipFill>
                  <a:blip r:embed="rId1">
                    <a:extLst>
                      <a:ext uri="{28A0092B-C50C-407E-A947-70E740481C1C}">
                        <a14:useLocalDpi xmlns:a14="http://schemas.microsoft.com/office/drawing/2010/main" val="0"/>
                      </a:ext>
                    </a:extLst>
                  </a:blip>
                  <a:stretch>
                    <a:fillRect/>
                  </a:stretch>
                </pic:blipFill>
                <pic:spPr>
                  <a:xfrm>
                    <a:off x="0" y="0"/>
                    <a:ext cx="3693600" cy="69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4F2E83"/>
    <w:multiLevelType w:val="hybridMultilevel"/>
    <w:tmpl w:val="5638FD3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9"/>
  </w:num>
  <w:num w:numId="2" w16cid:durableId="1355770275">
    <w:abstractNumId w:val="10"/>
  </w:num>
  <w:num w:numId="3" w16cid:durableId="1882862685">
    <w:abstractNumId w:val="2"/>
  </w:num>
  <w:num w:numId="4" w16cid:durableId="36050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7"/>
  </w:num>
  <w:num w:numId="6" w16cid:durableId="1314989398">
    <w:abstractNumId w:val="8"/>
  </w:num>
  <w:num w:numId="7" w16cid:durableId="951480071">
    <w:abstractNumId w:val="5"/>
  </w:num>
  <w:num w:numId="8" w16cid:durableId="844629787">
    <w:abstractNumId w:val="2"/>
    <w:lvlOverride w:ilvl="0">
      <w:lvl w:ilvl="0">
        <w:start w:val="1"/>
        <w:numFmt w:val="decimal"/>
        <w:pStyle w:val="Heading2"/>
        <w:lvlText w:val="%1"/>
        <w:lvlJc w:val="left"/>
        <w:pPr>
          <w:ind w:left="720" w:hanging="720"/>
        </w:pPr>
      </w:lvl>
    </w:lvlOverride>
  </w:num>
  <w:num w:numId="9" w16cid:durableId="1698308952">
    <w:abstractNumId w:val="9"/>
  </w:num>
  <w:num w:numId="10" w16cid:durableId="547035718">
    <w:abstractNumId w:val="10"/>
  </w:num>
  <w:num w:numId="11" w16cid:durableId="1145393031">
    <w:abstractNumId w:val="1"/>
  </w:num>
  <w:num w:numId="12" w16cid:durableId="1747845989">
    <w:abstractNumId w:val="11"/>
  </w:num>
  <w:num w:numId="13" w16cid:durableId="294875971">
    <w:abstractNumId w:val="12"/>
  </w:num>
  <w:num w:numId="14" w16cid:durableId="1322931600">
    <w:abstractNumId w:val="12"/>
  </w:num>
  <w:num w:numId="15" w16cid:durableId="140926262">
    <w:abstractNumId w:val="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231232">
    <w:abstractNumId w:val="6"/>
  </w:num>
  <w:num w:numId="17" w16cid:durableId="132280957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6B"/>
    <w:rsid w:val="00047CF6"/>
    <w:rsid w:val="000B7610"/>
    <w:rsid w:val="000D6DD8"/>
    <w:rsid w:val="000E1DF3"/>
    <w:rsid w:val="00112B86"/>
    <w:rsid w:val="00142594"/>
    <w:rsid w:val="001567E9"/>
    <w:rsid w:val="00183612"/>
    <w:rsid w:val="001A1F79"/>
    <w:rsid w:val="001B1009"/>
    <w:rsid w:val="001C3583"/>
    <w:rsid w:val="001D77BC"/>
    <w:rsid w:val="001E1C4C"/>
    <w:rsid w:val="001F38E7"/>
    <w:rsid w:val="002163F3"/>
    <w:rsid w:val="0025284E"/>
    <w:rsid w:val="00262394"/>
    <w:rsid w:val="002A193C"/>
    <w:rsid w:val="00302BAA"/>
    <w:rsid w:val="00305911"/>
    <w:rsid w:val="00310B86"/>
    <w:rsid w:val="003220EE"/>
    <w:rsid w:val="00331130"/>
    <w:rsid w:val="00340820"/>
    <w:rsid w:val="003430EA"/>
    <w:rsid w:val="00357095"/>
    <w:rsid w:val="00362353"/>
    <w:rsid w:val="00377682"/>
    <w:rsid w:val="003776C2"/>
    <w:rsid w:val="00381D23"/>
    <w:rsid w:val="00392932"/>
    <w:rsid w:val="00396339"/>
    <w:rsid w:val="003A4B4A"/>
    <w:rsid w:val="003D3CE1"/>
    <w:rsid w:val="003D44DC"/>
    <w:rsid w:val="003E41AB"/>
    <w:rsid w:val="00402404"/>
    <w:rsid w:val="00406AC2"/>
    <w:rsid w:val="004214BD"/>
    <w:rsid w:val="004705F2"/>
    <w:rsid w:val="004714CC"/>
    <w:rsid w:val="00473964"/>
    <w:rsid w:val="004837B1"/>
    <w:rsid w:val="0048569E"/>
    <w:rsid w:val="00486C20"/>
    <w:rsid w:val="00490E7F"/>
    <w:rsid w:val="004C6C47"/>
    <w:rsid w:val="004D105B"/>
    <w:rsid w:val="004D7C0C"/>
    <w:rsid w:val="005154B6"/>
    <w:rsid w:val="00517F08"/>
    <w:rsid w:val="00521D74"/>
    <w:rsid w:val="005D2685"/>
    <w:rsid w:val="005F0E4D"/>
    <w:rsid w:val="006111CA"/>
    <w:rsid w:val="00611DA7"/>
    <w:rsid w:val="006223C7"/>
    <w:rsid w:val="00632E1E"/>
    <w:rsid w:val="006416D4"/>
    <w:rsid w:val="006B4AFA"/>
    <w:rsid w:val="006E6EE5"/>
    <w:rsid w:val="006F1E2D"/>
    <w:rsid w:val="007405CB"/>
    <w:rsid w:val="007B1F92"/>
    <w:rsid w:val="007B3D2A"/>
    <w:rsid w:val="007C386B"/>
    <w:rsid w:val="007C4412"/>
    <w:rsid w:val="007C5B94"/>
    <w:rsid w:val="007D20C6"/>
    <w:rsid w:val="007E3729"/>
    <w:rsid w:val="00802867"/>
    <w:rsid w:val="008153FE"/>
    <w:rsid w:val="0082249A"/>
    <w:rsid w:val="00833933"/>
    <w:rsid w:val="00836152"/>
    <w:rsid w:val="008A3190"/>
    <w:rsid w:val="008B1BCC"/>
    <w:rsid w:val="008B49C8"/>
    <w:rsid w:val="008D1B48"/>
    <w:rsid w:val="0090774C"/>
    <w:rsid w:val="00916CFE"/>
    <w:rsid w:val="009679F4"/>
    <w:rsid w:val="00991227"/>
    <w:rsid w:val="0099670B"/>
    <w:rsid w:val="009B4910"/>
    <w:rsid w:val="009D79CE"/>
    <w:rsid w:val="009F0BE8"/>
    <w:rsid w:val="00A22753"/>
    <w:rsid w:val="00A26D23"/>
    <w:rsid w:val="00A83B97"/>
    <w:rsid w:val="00A9002C"/>
    <w:rsid w:val="00A91C41"/>
    <w:rsid w:val="00AA70E3"/>
    <w:rsid w:val="00AB0FBE"/>
    <w:rsid w:val="00AC18D7"/>
    <w:rsid w:val="00AF1EB9"/>
    <w:rsid w:val="00AF5211"/>
    <w:rsid w:val="00B01FB8"/>
    <w:rsid w:val="00B427CF"/>
    <w:rsid w:val="00B43A41"/>
    <w:rsid w:val="00B5453F"/>
    <w:rsid w:val="00B630E8"/>
    <w:rsid w:val="00B80674"/>
    <w:rsid w:val="00BB6ACE"/>
    <w:rsid w:val="00BC6BA3"/>
    <w:rsid w:val="00BD2275"/>
    <w:rsid w:val="00C00AAC"/>
    <w:rsid w:val="00C05EA8"/>
    <w:rsid w:val="00C06619"/>
    <w:rsid w:val="00C51E35"/>
    <w:rsid w:val="00C759F8"/>
    <w:rsid w:val="00CA5A31"/>
    <w:rsid w:val="00CB766B"/>
    <w:rsid w:val="00CF2A06"/>
    <w:rsid w:val="00CF40A5"/>
    <w:rsid w:val="00D06356"/>
    <w:rsid w:val="00D16E5F"/>
    <w:rsid w:val="00D36729"/>
    <w:rsid w:val="00D36B74"/>
    <w:rsid w:val="00D45274"/>
    <w:rsid w:val="00D45E0E"/>
    <w:rsid w:val="00D666DC"/>
    <w:rsid w:val="00D912A7"/>
    <w:rsid w:val="00DA340A"/>
    <w:rsid w:val="00DB5634"/>
    <w:rsid w:val="00DC4F63"/>
    <w:rsid w:val="00E05D92"/>
    <w:rsid w:val="00E362EF"/>
    <w:rsid w:val="00E673AD"/>
    <w:rsid w:val="00E732BE"/>
    <w:rsid w:val="00E776DB"/>
    <w:rsid w:val="00E96E54"/>
    <w:rsid w:val="00ED2EC2"/>
    <w:rsid w:val="00F077BD"/>
    <w:rsid w:val="00F07F7C"/>
    <w:rsid w:val="00F35EE8"/>
    <w:rsid w:val="00F43ECF"/>
    <w:rsid w:val="00F5349C"/>
    <w:rsid w:val="00F652BD"/>
    <w:rsid w:val="00F65DFD"/>
    <w:rsid w:val="00F80C5D"/>
    <w:rsid w:val="00F85AC8"/>
    <w:rsid w:val="00F90D42"/>
    <w:rsid w:val="00FB088E"/>
    <w:rsid w:val="00FB6115"/>
    <w:rsid w:val="00FC69FD"/>
    <w:rsid w:val="00FD117D"/>
    <w:rsid w:val="00FD3D88"/>
    <w:rsid w:val="00FE4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6E838"/>
  <w15:docId w15:val="{BCD2ECAC-E9E1-4F94-BD6E-043D755B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6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uiPriority w:val="1"/>
    <w:qFormat/>
    <w:rsid w:val="00517F08"/>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517F08"/>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517F08"/>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517F08"/>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517F08"/>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517F08"/>
    <w:pPr>
      <w:keepNext/>
      <w:keepLines/>
      <w:spacing w:before="40" w:after="0"/>
      <w:outlineLvl w:val="5"/>
    </w:pPr>
    <w:rPr>
      <w:rFonts w:eastAsiaTheme="majorEastAsia" w:cstheme="majorBidi"/>
      <w:b/>
      <w:i/>
      <w:color w:val="000000" w:themeColor="text1"/>
      <w:sz w:val="28"/>
    </w:rPr>
  </w:style>
  <w:style w:type="paragraph" w:styleId="Heading7">
    <w:name w:val="heading 7"/>
    <w:basedOn w:val="Normal"/>
    <w:next w:val="Normal"/>
    <w:link w:val="Heading7Char"/>
    <w:uiPriority w:val="9"/>
    <w:semiHidden/>
    <w:qFormat/>
    <w:rsid w:val="00517F08"/>
    <w:pPr>
      <w:keepNext/>
      <w:keepLines/>
      <w:spacing w:before="40" w:after="0"/>
      <w:outlineLvl w:val="6"/>
    </w:pPr>
    <w:rPr>
      <w:rFonts w:eastAsiaTheme="majorEastAsia" w:cstheme="majorBidi"/>
      <w:b/>
      <w:iCs/>
      <w:sz w:val="24"/>
    </w:rPr>
  </w:style>
  <w:style w:type="paragraph" w:styleId="Heading8">
    <w:name w:val="heading 8"/>
    <w:basedOn w:val="Normal"/>
    <w:next w:val="Normal"/>
    <w:link w:val="Heading8Char"/>
    <w:uiPriority w:val="9"/>
    <w:semiHidden/>
    <w:qFormat/>
    <w:rsid w:val="00517F08"/>
    <w:pPr>
      <w:keepNext/>
      <w:keepLines/>
      <w:spacing w:before="40" w:after="0"/>
      <w:outlineLvl w:val="7"/>
    </w:pPr>
    <w:rPr>
      <w:rFonts w:eastAsiaTheme="majorEastAsia" w:cstheme="majorBidi"/>
      <w:b/>
      <w:i/>
      <w:color w:val="000000" w:themeColor="text1"/>
      <w:sz w:val="24"/>
      <w:szCs w:val="21"/>
    </w:rPr>
  </w:style>
  <w:style w:type="paragraph" w:styleId="Heading9">
    <w:name w:val="heading 9"/>
    <w:basedOn w:val="Normal"/>
    <w:next w:val="Normal"/>
    <w:link w:val="Heading9Char"/>
    <w:uiPriority w:val="9"/>
    <w:semiHidden/>
    <w:qFormat/>
    <w:rsid w:val="00517F08"/>
    <w:pPr>
      <w:keepNext/>
      <w:keepLines/>
      <w:spacing w:before="40" w:after="0"/>
      <w:outlineLvl w:val="8"/>
    </w:pPr>
    <w:rPr>
      <w:rFonts w:eastAsiaTheme="majorEastAsia"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99"/>
    <w:rsid w:val="00517F08"/>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99"/>
    <w:rsid w:val="00517F08"/>
    <w:rPr>
      <w:rFonts w:ascii="Calibri" w:eastAsiaTheme="minorHAnsi" w:hAnsi="Calibri" w:cstheme="minorBidi"/>
      <w:szCs w:val="22"/>
      <w:lang w:eastAsia="en-US"/>
    </w:rPr>
  </w:style>
  <w:style w:type="paragraph" w:styleId="Footer">
    <w:name w:val="footer"/>
    <w:basedOn w:val="Normal"/>
    <w:link w:val="FooterChar"/>
    <w:uiPriority w:val="27"/>
    <w:rsid w:val="00517F08"/>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517F08"/>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517F08"/>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517F08"/>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517F08"/>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517F08"/>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517F08"/>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142594"/>
    <w:pPr>
      <w:numPr>
        <w:ilvl w:val="1"/>
        <w:numId w:val="10"/>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semiHidden/>
    <w:rsid w:val="00BB6ACE"/>
    <w:pPr>
      <w:spacing w:after="60" w:line="264" w:lineRule="auto"/>
    </w:pPr>
    <w:rPr>
      <w:sz w:val="20"/>
      <w:szCs w:val="20"/>
    </w:rPr>
  </w:style>
  <w:style w:type="character" w:customStyle="1" w:styleId="EndnoteTextChar">
    <w:name w:val="Endnote Text Char"/>
    <w:basedOn w:val="DefaultParagraphFont"/>
    <w:link w:val="EndnoteText"/>
    <w:uiPriority w:val="99"/>
    <w:semiHidden/>
    <w:rsid w:val="00517F08"/>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BB6ACE"/>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6E6EE5"/>
    <w:pPr>
      <w:numPr>
        <w:numId w:val="14"/>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8B49C8"/>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517F08"/>
    <w:rPr>
      <w:rFonts w:asciiTheme="minorHAnsi" w:eastAsiaTheme="majorEastAsia" w:hAnsiTheme="minorHAnsi" w:cstheme="majorBidi"/>
      <w:b/>
      <w:i/>
      <w:color w:val="000000" w:themeColor="text1"/>
      <w:sz w:val="28"/>
      <w:szCs w:val="22"/>
      <w:lang w:eastAsia="en-US"/>
    </w:rPr>
  </w:style>
  <w:style w:type="paragraph" w:customStyle="1" w:styleId="TableListNumber2">
    <w:name w:val="Table List Number 2"/>
    <w:basedOn w:val="TableText"/>
    <w:qFormat/>
    <w:rsid w:val="006E6EE5"/>
    <w:pPr>
      <w:numPr>
        <w:ilvl w:val="1"/>
        <w:numId w:val="14"/>
      </w:numPr>
    </w:pPr>
  </w:style>
  <w:style w:type="paragraph" w:customStyle="1" w:styleId="TableListNumber3">
    <w:name w:val="Table List Number 3"/>
    <w:basedOn w:val="TableText"/>
    <w:qFormat/>
    <w:rsid w:val="006E6EE5"/>
    <w:pPr>
      <w:numPr>
        <w:ilvl w:val="2"/>
        <w:numId w:val="14"/>
      </w:numPr>
    </w:pPr>
  </w:style>
  <w:style w:type="numbering" w:customStyle="1" w:styleId="Tablenumberedlists">
    <w:name w:val="Table numbered lists"/>
    <w:uiPriority w:val="99"/>
    <w:rsid w:val="006E6EE5"/>
    <w:pPr>
      <w:numPr>
        <w:numId w:val="13"/>
      </w:numPr>
    </w:pPr>
  </w:style>
  <w:style w:type="character" w:customStyle="1" w:styleId="Heading7Char">
    <w:name w:val="Heading 7 Char"/>
    <w:basedOn w:val="DefaultParagraphFont"/>
    <w:link w:val="Heading7"/>
    <w:uiPriority w:val="9"/>
    <w:semiHidden/>
    <w:rsid w:val="00517F08"/>
    <w:rPr>
      <w:rFonts w:asciiTheme="minorHAnsi" w:eastAsiaTheme="majorEastAsia" w:hAnsiTheme="minorHAnsi" w:cstheme="majorBidi"/>
      <w:b/>
      <w:iCs/>
      <w:sz w:val="24"/>
      <w:szCs w:val="22"/>
      <w:lang w:eastAsia="en-US"/>
    </w:rPr>
  </w:style>
  <w:style w:type="character" w:customStyle="1" w:styleId="Heading8Char">
    <w:name w:val="Heading 8 Char"/>
    <w:basedOn w:val="DefaultParagraphFont"/>
    <w:link w:val="Heading8"/>
    <w:uiPriority w:val="9"/>
    <w:semiHidden/>
    <w:rsid w:val="00517F08"/>
    <w:rPr>
      <w:rFonts w:asciiTheme="minorHAnsi" w:eastAsiaTheme="majorEastAsia" w:hAnsiTheme="minorHAnsi" w:cstheme="majorBidi"/>
      <w:b/>
      <w:i/>
      <w:color w:val="000000" w:themeColor="text1"/>
      <w:sz w:val="24"/>
      <w:szCs w:val="21"/>
      <w:lang w:eastAsia="en-US"/>
    </w:rPr>
  </w:style>
  <w:style w:type="character" w:customStyle="1" w:styleId="Heading9Char">
    <w:name w:val="Heading 9 Char"/>
    <w:basedOn w:val="DefaultParagraphFont"/>
    <w:link w:val="Heading9"/>
    <w:uiPriority w:val="9"/>
    <w:semiHidden/>
    <w:rsid w:val="00517F08"/>
    <w:rPr>
      <w:rFonts w:asciiTheme="minorHAnsi" w:eastAsiaTheme="majorEastAsia" w:hAnsiTheme="minorHAnsi" w:cstheme="majorBidi"/>
      <w:b/>
      <w:i/>
      <w:iCs/>
      <w:sz w:val="22"/>
      <w:szCs w:val="21"/>
      <w:lang w:eastAsia="en-US"/>
    </w:rPr>
  </w:style>
  <w:style w:type="paragraph" w:customStyle="1" w:styleId="BoxTextNumber">
    <w:name w:val="Box Text Number"/>
    <w:basedOn w:val="BoxText"/>
    <w:qFormat/>
    <w:rsid w:val="00DB563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ABARES/ABARES_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3.xml><?xml version="1.0" encoding="utf-8"?>
<ds:datastoreItem xmlns:ds="http://schemas.openxmlformats.org/officeDocument/2006/customXml" ds:itemID="{F57A8959-BF19-4536-8525-1954E34F8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ABARES_short_document_template.dotx</Template>
  <TotalTime>15</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ABARES independent investigation into the Australian chicken meat supply chain - 2025 TOR</vt:lpstr>
    </vt:vector>
  </TitlesOfParts>
  <Company/>
  <LinksUpToDate>false</LinksUpToDate>
  <CharactersWithSpaces>2216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ABARES independent investigation into the Australian chicken meat supply chain - 2025 TOR</dc:title>
  <dc:creator>Department of Agriculture, Fisheries and Forestry</dc:creator>
  <cp:lastModifiedBy>Larkins, Bernadette</cp:lastModifiedBy>
  <cp:revision>18</cp:revision>
  <cp:lastPrinted>2025-03-27T01:36:00Z</cp:lastPrinted>
  <dcterms:created xsi:type="dcterms:W3CDTF">2025-03-24T04:23:00Z</dcterms:created>
  <dcterms:modified xsi:type="dcterms:W3CDTF">2025-03-27T05:25:00Z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ClassificationContentMarkingHeaderShapeIds">
    <vt:lpwstr>e244b6b,106333fa,26162f37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266b57d8,26195778,26f1e7f9,e19d45b</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2024-07-25T00:36:53Z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7eabc295-1afd-4303-aa1f-ccc59879ffad</vt:lpwstr>
  </property>
  <property fmtid="{D5CDD505-2E9C-101B-9397-08002B2CF9AE}" pid="16" name="MSIP_Label_933d8be6-3c40-4052-87a2-9c2adcba8759_ContentBits">
    <vt:lpwstr>3</vt:lpwstr>
  </property>
  <property fmtid="{D5CDD505-2E9C-101B-9397-08002B2CF9AE}" pid="17" name="MediaServiceImageTags">
    <vt:lpwstr/>
  </property>
</Properties>
</file>