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324" w14:textId="77777777" w:rsidR="00694158" w:rsidRDefault="002621D6" w:rsidP="00694158">
      <w:pPr>
        <w:pStyle w:val="Heading1"/>
        <w:spacing w:before="240" w:after="120"/>
      </w:pPr>
      <w:r>
        <w:t>Quick reference guide: identifying legal timber from Thailand</w:t>
      </w:r>
    </w:p>
    <w:p w14:paraId="5CCB16B3" w14:textId="77777777" w:rsidR="00694158" w:rsidRDefault="002621D6" w:rsidP="00694158">
      <w:r w:rsidRPr="00671894">
        <w:t xml:space="preserve">This quick reference guide supports the </w:t>
      </w:r>
      <w:r w:rsidRPr="00671894">
        <w:rPr>
          <w:b/>
        </w:rPr>
        <w:t>Country Specific Guideline</w:t>
      </w:r>
      <w:r w:rsidRPr="00671894">
        <w:t xml:space="preserve"> </w:t>
      </w:r>
      <w:r w:rsidRPr="00671894">
        <w:rPr>
          <w:b/>
        </w:rPr>
        <w:t xml:space="preserve">for </w:t>
      </w:r>
      <w:r>
        <w:rPr>
          <w:b/>
        </w:rPr>
        <w:t>Thai</w:t>
      </w:r>
      <w:r w:rsidRPr="00671894">
        <w:rPr>
          <w:b/>
        </w:rPr>
        <w:t>land</w:t>
      </w:r>
      <w:r w:rsidRPr="00671894">
        <w:t xml:space="preserve">. This may be used by businesses importing regulated timber products from </w:t>
      </w:r>
      <w:r>
        <w:t>Thai</w:t>
      </w:r>
      <w:r w:rsidRPr="00671894">
        <w:t>land to Australia to carr</w:t>
      </w:r>
      <w:r w:rsidRPr="005E0B4D">
        <w:t>y</w:t>
      </w:r>
      <w:r w:rsidRPr="00671894">
        <w:t xml:space="preserve"> out their due diligence in accordance with the </w:t>
      </w:r>
      <w:r w:rsidRPr="00671894">
        <w:rPr>
          <w:i/>
        </w:rPr>
        <w:t>Illegal Logging Prohibition Act 2012</w:t>
      </w:r>
      <w:r w:rsidRPr="00671894">
        <w:t xml:space="preserve"> and the associated </w:t>
      </w:r>
      <w:r w:rsidRPr="008838C8">
        <w:rPr>
          <w:iCs/>
        </w:rPr>
        <w:t>Illegal Logging Prohibition Regulation 2012</w:t>
      </w:r>
      <w:r w:rsidRPr="00671894">
        <w:t>.</w:t>
      </w:r>
    </w:p>
    <w:p w14:paraId="7632C889" w14:textId="77777777" w:rsidR="00694158" w:rsidRPr="00671894" w:rsidRDefault="002621D6" w:rsidP="00694158">
      <w:r w:rsidRPr="00266CE8">
        <w:rPr>
          <w:rFonts w:eastAsia="Calibri"/>
          <w:lang w:eastAsia="en-NZ"/>
        </w:rPr>
        <w:t>The Country Specific Guideline</w:t>
      </w:r>
      <w:r w:rsidR="008838C8">
        <w:rPr>
          <w:rFonts w:eastAsia="Calibri"/>
          <w:lang w:eastAsia="en-NZ"/>
        </w:rPr>
        <w:t xml:space="preserve"> (CSG)</w:t>
      </w:r>
      <w:r w:rsidRPr="00266CE8">
        <w:rPr>
          <w:rFonts w:eastAsia="Calibri"/>
          <w:lang w:eastAsia="en-NZ"/>
        </w:rPr>
        <w:t xml:space="preserve"> provides detailed information on the control of pathways for timber harvested and originating from within </w:t>
      </w:r>
      <w:r>
        <w:rPr>
          <w:rFonts w:eastAsia="Calibri"/>
          <w:lang w:eastAsia="en-NZ"/>
        </w:rPr>
        <w:t>Thailand</w:t>
      </w:r>
      <w:r w:rsidRPr="00266CE8">
        <w:rPr>
          <w:rFonts w:eastAsia="Calibri"/>
          <w:lang w:eastAsia="en-NZ"/>
        </w:rPr>
        <w:t xml:space="preserve"> and informs Australian importers of what is considered legal timber. It is only applica</w:t>
      </w:r>
      <w:r>
        <w:rPr>
          <w:rFonts w:eastAsia="Calibri"/>
          <w:lang w:eastAsia="en-NZ"/>
        </w:rPr>
        <w:t>ble for timber products with a Thai</w:t>
      </w:r>
      <w:r w:rsidR="008838C8">
        <w:rPr>
          <w:rFonts w:eastAsia="Calibri"/>
          <w:lang w:eastAsia="en-NZ"/>
        </w:rPr>
        <w:t>land</w:t>
      </w:r>
      <w:r>
        <w:rPr>
          <w:rFonts w:eastAsia="Calibri"/>
          <w:lang w:eastAsia="en-NZ"/>
        </w:rPr>
        <w:t xml:space="preserve"> </w:t>
      </w:r>
      <w:r w:rsidRPr="00266CE8">
        <w:rPr>
          <w:rFonts w:eastAsia="Calibri"/>
          <w:lang w:eastAsia="en-NZ"/>
        </w:rPr>
        <w:t>origin of harvest.</w:t>
      </w:r>
    </w:p>
    <w:p w14:paraId="1544251C" w14:textId="77777777" w:rsidR="00694158" w:rsidRPr="00694158" w:rsidRDefault="002621D6" w:rsidP="00694158">
      <w:pPr>
        <w:keepNext/>
        <w:spacing w:before="240" w:after="120"/>
        <w:outlineLvl w:val="1"/>
        <w:rPr>
          <w:rFonts w:ascii="Cambria" w:hAnsi="Cambria"/>
          <w:b/>
          <w:sz w:val="28"/>
          <w:szCs w:val="28"/>
        </w:rPr>
      </w:pPr>
      <w:r w:rsidRPr="00694158">
        <w:rPr>
          <w:rFonts w:ascii="Cambria" w:hAnsi="Cambria"/>
          <w:b/>
          <w:sz w:val="28"/>
          <w:szCs w:val="28"/>
        </w:rPr>
        <w:t xml:space="preserve">What does legal timber ‘look like’ in </w:t>
      </w:r>
      <w:r>
        <w:rPr>
          <w:rFonts w:ascii="Cambria" w:hAnsi="Cambria"/>
          <w:b/>
          <w:sz w:val="28"/>
          <w:szCs w:val="28"/>
        </w:rPr>
        <w:t>Thai</w:t>
      </w:r>
      <w:r w:rsidRPr="00694158">
        <w:rPr>
          <w:rFonts w:ascii="Cambria" w:hAnsi="Cambria"/>
          <w:b/>
          <w:sz w:val="28"/>
          <w:szCs w:val="28"/>
        </w:rPr>
        <w:t>land?</w:t>
      </w:r>
    </w:p>
    <w:p w14:paraId="72506807" w14:textId="77777777" w:rsidR="006E7069" w:rsidRDefault="002621D6" w:rsidP="006E7069">
      <w:pPr>
        <w:spacing w:before="120" w:after="120"/>
        <w:rPr>
          <w:lang w:val="en-GB"/>
        </w:rPr>
      </w:pPr>
      <w:r w:rsidRPr="00694158">
        <w:rPr>
          <w:lang w:val="en-GB"/>
        </w:rPr>
        <w:t xml:space="preserve">Information that you can gather to demonstrate timber and timber products imported from </w:t>
      </w:r>
      <w:r>
        <w:rPr>
          <w:lang w:val="en-GB"/>
        </w:rPr>
        <w:t>Thai</w:t>
      </w:r>
      <w:r w:rsidRPr="00694158">
        <w:rPr>
          <w:lang w:val="en-GB"/>
        </w:rPr>
        <w:t xml:space="preserve">land have been legally harvested </w:t>
      </w:r>
      <w:proofErr w:type="gramStart"/>
      <w:r w:rsidRPr="00694158">
        <w:rPr>
          <w:lang w:val="en-GB"/>
        </w:rPr>
        <w:t>include</w:t>
      </w:r>
      <w:r w:rsidR="008838C8">
        <w:rPr>
          <w:lang w:val="en-GB"/>
        </w:rPr>
        <w:t>;</w:t>
      </w:r>
      <w:proofErr w:type="gramEnd"/>
      <w:r>
        <w:rPr>
          <w:lang w:val="en-GB"/>
        </w:rPr>
        <w:t xml:space="preserve"> the </w:t>
      </w:r>
      <w:r w:rsidR="008838C8" w:rsidRPr="008838C8">
        <w:rPr>
          <w:lang w:val="en-GB"/>
        </w:rPr>
        <w:t xml:space="preserve">Letter of Certification for Trade and Export of Timber, Wood Products, and Charcoal </w:t>
      </w:r>
      <w:r>
        <w:rPr>
          <w:lang w:val="en-GB"/>
        </w:rPr>
        <w:t>(</w:t>
      </w:r>
      <w:proofErr w:type="spellStart"/>
      <w:r w:rsidRPr="006E7069">
        <w:rPr>
          <w:b/>
          <w:bCs/>
          <w:lang w:val="en-GB"/>
        </w:rPr>
        <w:t>Ror</w:t>
      </w:r>
      <w:proofErr w:type="spellEnd"/>
      <w:r w:rsidRPr="006E7069">
        <w:rPr>
          <w:b/>
          <w:bCs/>
          <w:lang w:val="en-GB"/>
        </w:rPr>
        <w:t xml:space="preserve"> </w:t>
      </w:r>
      <w:proofErr w:type="spellStart"/>
      <w:r w:rsidRPr="006E7069">
        <w:rPr>
          <w:b/>
          <w:bCs/>
          <w:lang w:val="en-GB"/>
        </w:rPr>
        <w:t>Mor</w:t>
      </w:r>
      <w:proofErr w:type="spellEnd"/>
      <w:r w:rsidRPr="006E7069">
        <w:rPr>
          <w:b/>
          <w:bCs/>
          <w:lang w:val="en-GB"/>
        </w:rPr>
        <w:t xml:space="preserve"> 8</w:t>
      </w:r>
      <w:r w:rsidR="00BC4839">
        <w:rPr>
          <w:rFonts w:cstheme="minorBidi" w:hint="cs"/>
          <w:b/>
          <w:bCs/>
          <w:cs/>
          <w:lang w:val="en-GB" w:bidi="th-TH"/>
        </w:rPr>
        <w:t xml:space="preserve"> </w:t>
      </w:r>
      <w:r w:rsidRPr="00BC4839">
        <w:rPr>
          <w:b/>
          <w:bCs/>
          <w:lang w:val="en-GB"/>
        </w:rPr>
        <w:t>Certificate</w:t>
      </w:r>
      <w:r>
        <w:rPr>
          <w:lang w:val="en-GB"/>
        </w:rPr>
        <w:t>)</w:t>
      </w:r>
      <w:r w:rsidRPr="006E7069">
        <w:rPr>
          <w:lang w:val="en-GB"/>
        </w:rPr>
        <w:t xml:space="preserve"> issued by</w:t>
      </w:r>
      <w:r>
        <w:rPr>
          <w:lang w:val="en-GB"/>
        </w:rPr>
        <w:t xml:space="preserve"> the</w:t>
      </w:r>
      <w:r w:rsidR="00BC4839">
        <w:rPr>
          <w:lang w:val="en-GB"/>
        </w:rPr>
        <w:t xml:space="preserve"> </w:t>
      </w:r>
      <w:r w:rsidRPr="006E7069">
        <w:rPr>
          <w:lang w:val="en-GB"/>
        </w:rPr>
        <w:t>Royal Forest Department</w:t>
      </w:r>
      <w:r w:rsidR="00BC4839" w:rsidRPr="00D2612D">
        <w:rPr>
          <w:rFonts w:cs="Angsana New" w:hint="cs"/>
          <w:cs/>
          <w:lang w:val="en-GB" w:bidi="th-TH"/>
        </w:rPr>
        <w:t>,</w:t>
      </w:r>
      <w:r w:rsidR="00BC4839" w:rsidRPr="00D2612D">
        <w:rPr>
          <w:lang w:val="en-GB"/>
        </w:rPr>
        <w:t xml:space="preserve"> Thailand</w:t>
      </w:r>
      <w:r w:rsidRPr="00D2612D">
        <w:rPr>
          <w:lang w:val="en-GB"/>
        </w:rPr>
        <w:t xml:space="preserve">. Some </w:t>
      </w:r>
      <w:r>
        <w:rPr>
          <w:lang w:val="en-GB"/>
        </w:rPr>
        <w:t>products may only require a</w:t>
      </w:r>
      <w:r w:rsidR="00BC4839">
        <w:rPr>
          <w:lang w:val="en-GB"/>
        </w:rPr>
        <w:t>n</w:t>
      </w:r>
      <w:r w:rsidRPr="00BC4839">
        <w:rPr>
          <w:b/>
          <w:bCs/>
          <w:color w:val="FF0000"/>
          <w:lang w:val="en-GB"/>
        </w:rPr>
        <w:t xml:space="preserve"> </w:t>
      </w:r>
      <w:r w:rsidRPr="00BC4839">
        <w:rPr>
          <w:b/>
          <w:bCs/>
          <w:lang w:val="en-GB"/>
        </w:rPr>
        <w:t>export license</w:t>
      </w:r>
      <w:r w:rsidR="00BC4839">
        <w:rPr>
          <w:b/>
          <w:bCs/>
          <w:lang w:val="en-GB"/>
        </w:rPr>
        <w:t xml:space="preserve"> </w:t>
      </w:r>
      <w:r w:rsidR="00BC4839" w:rsidRPr="00D2612D">
        <w:rPr>
          <w:b/>
          <w:bCs/>
          <w:lang w:val="en-GB"/>
        </w:rPr>
        <w:t>(</w:t>
      </w:r>
      <w:proofErr w:type="spellStart"/>
      <w:r w:rsidR="00BC4839" w:rsidRPr="00D2612D">
        <w:rPr>
          <w:b/>
          <w:bCs/>
          <w:lang w:val="en-GB"/>
        </w:rPr>
        <w:t>Aor</w:t>
      </w:r>
      <w:proofErr w:type="spellEnd"/>
      <w:r w:rsidR="00BC4839" w:rsidRPr="00D2612D">
        <w:rPr>
          <w:b/>
          <w:bCs/>
          <w:lang w:val="en-GB"/>
        </w:rPr>
        <w:t xml:space="preserve"> 2</w:t>
      </w:r>
      <w:r w:rsidR="00010888" w:rsidRPr="00D2612D">
        <w:t xml:space="preserve"> </w:t>
      </w:r>
      <w:r w:rsidR="00010888" w:rsidRPr="00D2612D">
        <w:rPr>
          <w:b/>
          <w:bCs/>
          <w:lang w:val="en-GB"/>
        </w:rPr>
        <w:t>license</w:t>
      </w:r>
      <w:r w:rsidR="00BC4839" w:rsidRPr="00D2612D">
        <w:rPr>
          <w:b/>
          <w:bCs/>
          <w:lang w:val="en-GB"/>
        </w:rPr>
        <w:t>)</w:t>
      </w:r>
      <w:r w:rsidRPr="00D2612D">
        <w:rPr>
          <w:lang w:val="en-GB"/>
        </w:rPr>
        <w:t xml:space="preserve">. </w:t>
      </w:r>
      <w:r>
        <w:rPr>
          <w:lang w:val="en-GB"/>
        </w:rPr>
        <w:t xml:space="preserve">Examples of these documents can be found in the </w:t>
      </w:r>
      <w:r>
        <w:rPr>
          <w:b/>
          <w:bCs/>
          <w:lang w:val="en-GB"/>
        </w:rPr>
        <w:t>Country Specific Guideline for Thailand</w:t>
      </w:r>
      <w:r w:rsidR="008838C8">
        <w:rPr>
          <w:b/>
          <w:bCs/>
          <w:lang w:val="en-GB"/>
        </w:rPr>
        <w:t>:</w:t>
      </w:r>
    </w:p>
    <w:p w14:paraId="11B3D1FA" w14:textId="77777777" w:rsidR="00723CEB" w:rsidRDefault="002621D6" w:rsidP="00723CEB">
      <w:pPr>
        <w:pStyle w:val="ListParagraph"/>
        <w:numPr>
          <w:ilvl w:val="0"/>
          <w:numId w:val="5"/>
        </w:numPr>
        <w:spacing w:before="120" w:after="120"/>
        <w:ind w:left="426" w:hanging="357"/>
        <w:contextualSpacing w:val="0"/>
        <w:rPr>
          <w:lang w:val="en-GB"/>
        </w:rPr>
      </w:pPr>
      <w:bookmarkStart w:id="0" w:name="_Hlk80019584"/>
      <w:r>
        <w:rPr>
          <w:lang w:val="en-GB"/>
        </w:rPr>
        <w:t xml:space="preserve">A </w:t>
      </w:r>
      <w:proofErr w:type="spellStart"/>
      <w:r w:rsidRPr="00723CEB">
        <w:rPr>
          <w:b/>
          <w:bCs/>
          <w:lang w:val="en-GB"/>
        </w:rPr>
        <w:t>Ror</w:t>
      </w:r>
      <w:proofErr w:type="spellEnd"/>
      <w:r w:rsidRPr="00723CEB">
        <w:rPr>
          <w:b/>
          <w:bCs/>
          <w:lang w:val="en-GB"/>
        </w:rPr>
        <w:t xml:space="preserve"> </w:t>
      </w:r>
      <w:proofErr w:type="spellStart"/>
      <w:r w:rsidRPr="00723CEB">
        <w:rPr>
          <w:b/>
          <w:bCs/>
          <w:lang w:val="en-GB"/>
        </w:rPr>
        <w:t>Mor</w:t>
      </w:r>
      <w:proofErr w:type="spellEnd"/>
      <w:r w:rsidRPr="00723CEB">
        <w:rPr>
          <w:b/>
          <w:bCs/>
          <w:lang w:val="en-GB"/>
        </w:rPr>
        <w:t xml:space="preserve"> 8</w:t>
      </w:r>
      <w:r w:rsidRPr="006E7069">
        <w:rPr>
          <w:lang w:val="en-GB"/>
        </w:rPr>
        <w:t xml:space="preserve"> </w:t>
      </w:r>
      <w:r>
        <w:rPr>
          <w:b/>
          <w:bCs/>
          <w:lang w:val="en-GB"/>
        </w:rPr>
        <w:t>C</w:t>
      </w:r>
      <w:r w:rsidRPr="00723CEB">
        <w:rPr>
          <w:b/>
          <w:bCs/>
          <w:lang w:val="en-GB"/>
        </w:rPr>
        <w:t>ertificate</w:t>
      </w:r>
      <w:r w:rsidRPr="006E7069">
        <w:rPr>
          <w:lang w:val="en-GB"/>
        </w:rPr>
        <w:t xml:space="preserve"> is required for round logs and sawn timber (except rubberwood</w:t>
      </w:r>
      <w:bookmarkEnd w:id="0"/>
      <w:r w:rsidRPr="006E7069">
        <w:rPr>
          <w:lang w:val="en-GB"/>
        </w:rPr>
        <w:t>).</w:t>
      </w:r>
    </w:p>
    <w:p w14:paraId="3A8B19FE" w14:textId="77777777" w:rsidR="00723CEB" w:rsidRDefault="002621D6" w:rsidP="00723CEB">
      <w:pPr>
        <w:pStyle w:val="ListParagraph"/>
        <w:numPr>
          <w:ilvl w:val="0"/>
          <w:numId w:val="5"/>
        </w:numPr>
        <w:spacing w:before="120" w:after="120"/>
        <w:ind w:left="426" w:hanging="357"/>
        <w:contextualSpacing w:val="0"/>
        <w:rPr>
          <w:lang w:val="en-GB"/>
        </w:rPr>
      </w:pPr>
      <w:bookmarkStart w:id="1" w:name="_Hlk80019641"/>
      <w:r w:rsidRPr="006E7069">
        <w:rPr>
          <w:lang w:val="en-GB"/>
        </w:rPr>
        <w:t xml:space="preserve">An exporter </w:t>
      </w:r>
      <w:r w:rsidRPr="00D2612D">
        <w:rPr>
          <w:lang w:val="en-GB"/>
        </w:rPr>
        <w:t xml:space="preserve">from Thailand may also request a </w:t>
      </w:r>
      <w:proofErr w:type="spellStart"/>
      <w:r w:rsidRPr="00D2612D">
        <w:rPr>
          <w:b/>
          <w:bCs/>
          <w:lang w:val="en-GB"/>
        </w:rPr>
        <w:t>Ror</w:t>
      </w:r>
      <w:proofErr w:type="spellEnd"/>
      <w:r w:rsidRPr="00D2612D">
        <w:rPr>
          <w:b/>
          <w:bCs/>
          <w:lang w:val="en-GB"/>
        </w:rPr>
        <w:t xml:space="preserve"> </w:t>
      </w:r>
      <w:proofErr w:type="spellStart"/>
      <w:r w:rsidRPr="00D2612D">
        <w:rPr>
          <w:b/>
          <w:bCs/>
          <w:lang w:val="en-GB"/>
        </w:rPr>
        <w:t>Mor</w:t>
      </w:r>
      <w:proofErr w:type="spellEnd"/>
      <w:r w:rsidRPr="00D2612D">
        <w:rPr>
          <w:b/>
          <w:bCs/>
          <w:lang w:val="en-GB"/>
        </w:rPr>
        <w:t xml:space="preserve"> 8</w:t>
      </w:r>
      <w:r w:rsidRPr="00D2612D">
        <w:rPr>
          <w:lang w:val="en-GB"/>
        </w:rPr>
        <w:t xml:space="preserve"> </w:t>
      </w:r>
      <w:r w:rsidRPr="00D2612D">
        <w:rPr>
          <w:b/>
          <w:bCs/>
          <w:lang w:val="en-GB"/>
        </w:rPr>
        <w:t>certificate</w:t>
      </w:r>
      <w:r w:rsidRPr="00D2612D">
        <w:rPr>
          <w:lang w:val="en-GB"/>
        </w:rPr>
        <w:t xml:space="preserve"> to accompany products that do not require a</w:t>
      </w:r>
      <w:r w:rsidR="00BC4839" w:rsidRPr="00D2612D">
        <w:rPr>
          <w:lang w:val="en-GB"/>
        </w:rPr>
        <w:t xml:space="preserve"> </w:t>
      </w:r>
      <w:proofErr w:type="spellStart"/>
      <w:r w:rsidR="00BC4839" w:rsidRPr="00D2612D">
        <w:rPr>
          <w:b/>
          <w:bCs/>
          <w:lang w:val="en-GB"/>
        </w:rPr>
        <w:t>Ror</w:t>
      </w:r>
      <w:proofErr w:type="spellEnd"/>
      <w:r w:rsidR="00BC4839" w:rsidRPr="00D2612D">
        <w:rPr>
          <w:b/>
          <w:bCs/>
          <w:lang w:val="en-GB"/>
        </w:rPr>
        <w:t xml:space="preserve"> </w:t>
      </w:r>
      <w:proofErr w:type="spellStart"/>
      <w:r w:rsidR="00BC4839" w:rsidRPr="00D2612D">
        <w:rPr>
          <w:b/>
          <w:bCs/>
          <w:lang w:val="en-GB"/>
        </w:rPr>
        <w:t>Mor</w:t>
      </w:r>
      <w:proofErr w:type="spellEnd"/>
      <w:r w:rsidR="00BC4839" w:rsidRPr="00D2612D">
        <w:rPr>
          <w:b/>
          <w:bCs/>
          <w:lang w:val="en-GB"/>
        </w:rPr>
        <w:t xml:space="preserve"> 8</w:t>
      </w:r>
      <w:r w:rsidR="00BC4839" w:rsidRPr="00D2612D">
        <w:rPr>
          <w:lang w:val="en-GB"/>
        </w:rPr>
        <w:t xml:space="preserve"> </w:t>
      </w:r>
      <w:r w:rsidR="00BC4839" w:rsidRPr="00D2612D">
        <w:rPr>
          <w:b/>
          <w:bCs/>
          <w:lang w:val="en-GB"/>
        </w:rPr>
        <w:t>certificate</w:t>
      </w:r>
      <w:r w:rsidRPr="006E7069">
        <w:rPr>
          <w:lang w:val="en-GB"/>
        </w:rPr>
        <w:t>, upon request from an Australian importer.</w:t>
      </w:r>
    </w:p>
    <w:bookmarkEnd w:id="1"/>
    <w:p w14:paraId="05710BA1" w14:textId="77777777" w:rsidR="00723CEB" w:rsidRPr="00BF0496" w:rsidRDefault="002621D6" w:rsidP="006E7069">
      <w:pPr>
        <w:pStyle w:val="ListParagraph"/>
        <w:numPr>
          <w:ilvl w:val="0"/>
          <w:numId w:val="5"/>
        </w:numPr>
        <w:spacing w:before="120" w:after="120"/>
        <w:ind w:left="426" w:hanging="357"/>
        <w:contextualSpacing w:val="0"/>
        <w:rPr>
          <w:lang w:val="en-GB"/>
        </w:rPr>
      </w:pPr>
      <w:r w:rsidRPr="00BF0496">
        <w:rPr>
          <w:lang w:val="en-GB"/>
        </w:rPr>
        <w:t xml:space="preserve">A declaration </w:t>
      </w:r>
      <w:bookmarkStart w:id="2" w:name="_Hlk80019441"/>
      <w:r w:rsidRPr="00BF0496">
        <w:rPr>
          <w:lang w:val="en-GB"/>
        </w:rPr>
        <w:t xml:space="preserve">of </w:t>
      </w:r>
      <w:r w:rsidRPr="00BF0496">
        <w:rPr>
          <w:b/>
          <w:bCs/>
          <w:lang w:val="en-GB"/>
        </w:rPr>
        <w:t>export license</w:t>
      </w:r>
      <w:r w:rsidR="00BC4839" w:rsidRPr="00BF0496">
        <w:rPr>
          <w:b/>
          <w:bCs/>
          <w:lang w:val="en-GB"/>
        </w:rPr>
        <w:t xml:space="preserve"> (</w:t>
      </w:r>
      <w:proofErr w:type="spellStart"/>
      <w:r w:rsidR="00BC4839" w:rsidRPr="00BF0496">
        <w:rPr>
          <w:b/>
          <w:bCs/>
          <w:lang w:val="en-GB"/>
        </w:rPr>
        <w:t>Aor</w:t>
      </w:r>
      <w:proofErr w:type="spellEnd"/>
      <w:r w:rsidR="00BC4839" w:rsidRPr="00BF0496">
        <w:rPr>
          <w:b/>
          <w:bCs/>
          <w:lang w:val="en-GB"/>
        </w:rPr>
        <w:t xml:space="preserve"> 2</w:t>
      </w:r>
      <w:r w:rsidR="00010888" w:rsidRPr="00BF0496">
        <w:t xml:space="preserve"> </w:t>
      </w:r>
      <w:r w:rsidR="00010888" w:rsidRPr="00BF0496">
        <w:rPr>
          <w:b/>
          <w:bCs/>
          <w:lang w:val="en-GB"/>
        </w:rPr>
        <w:t>license</w:t>
      </w:r>
      <w:r w:rsidR="00BC4839" w:rsidRPr="00BF0496">
        <w:rPr>
          <w:b/>
          <w:bCs/>
          <w:lang w:val="en-GB"/>
        </w:rPr>
        <w:t>)</w:t>
      </w:r>
      <w:r w:rsidRPr="00BF0496">
        <w:rPr>
          <w:lang w:val="en-GB"/>
        </w:rPr>
        <w:t xml:space="preserve"> </w:t>
      </w:r>
      <w:bookmarkEnd w:id="2"/>
      <w:r w:rsidRPr="00BF0496">
        <w:rPr>
          <w:lang w:val="en-GB"/>
        </w:rPr>
        <w:t>may be used</w:t>
      </w:r>
      <w:r w:rsidR="00C41A79" w:rsidRPr="00BF0496">
        <w:rPr>
          <w:lang w:val="en-GB"/>
        </w:rPr>
        <w:t xml:space="preserve"> </w:t>
      </w:r>
      <w:r w:rsidR="00852118" w:rsidRPr="00BF0496">
        <w:rPr>
          <w:lang w:val="en-GB"/>
        </w:rPr>
        <w:t xml:space="preserve">in combination with a </w:t>
      </w:r>
      <w:r w:rsidR="00C41A79" w:rsidRPr="00BF0496">
        <w:rPr>
          <w:lang w:val="en-GB"/>
        </w:rPr>
        <w:t>transport licence</w:t>
      </w:r>
      <w:r w:rsidR="005B108A">
        <w:rPr>
          <w:lang w:val="en-GB"/>
        </w:rPr>
        <w:t>,</w:t>
      </w:r>
      <w:r w:rsidRPr="00BF0496">
        <w:rPr>
          <w:lang w:val="en-GB"/>
        </w:rPr>
        <w:t xml:space="preserve"> instead of </w:t>
      </w:r>
      <w:proofErr w:type="spellStart"/>
      <w:r w:rsidRPr="00BF0496">
        <w:rPr>
          <w:lang w:val="en-GB"/>
        </w:rPr>
        <w:t>Ror</w:t>
      </w:r>
      <w:proofErr w:type="spellEnd"/>
      <w:r w:rsidRPr="00BF0496">
        <w:rPr>
          <w:lang w:val="en-GB"/>
        </w:rPr>
        <w:t xml:space="preserve"> </w:t>
      </w:r>
      <w:proofErr w:type="spellStart"/>
      <w:r w:rsidRPr="00BF0496">
        <w:rPr>
          <w:lang w:val="en-GB"/>
        </w:rPr>
        <w:t>Mor</w:t>
      </w:r>
      <w:proofErr w:type="spellEnd"/>
      <w:r w:rsidRPr="00BF0496">
        <w:rPr>
          <w:lang w:val="en-GB"/>
        </w:rPr>
        <w:t xml:space="preserve"> 8</w:t>
      </w:r>
      <w:r w:rsidR="00F632AE" w:rsidRPr="00BF0496">
        <w:rPr>
          <w:lang w:val="en-GB"/>
        </w:rPr>
        <w:t xml:space="preserve"> Certificate</w:t>
      </w:r>
      <w:r w:rsidR="005B108A">
        <w:rPr>
          <w:lang w:val="en-GB"/>
        </w:rPr>
        <w:t>,</w:t>
      </w:r>
      <w:r w:rsidRPr="00BF0496">
        <w:rPr>
          <w:lang w:val="en-GB"/>
        </w:rPr>
        <w:t xml:space="preserve"> for charcoal. </w:t>
      </w:r>
    </w:p>
    <w:p w14:paraId="5CD7D79C" w14:textId="343257B1" w:rsidR="006E7069" w:rsidRPr="006E7069" w:rsidRDefault="002621D6" w:rsidP="006E7069">
      <w:pPr>
        <w:spacing w:before="120" w:after="120"/>
        <w:rPr>
          <w:lang w:val="en-GB"/>
        </w:rPr>
      </w:pPr>
      <w:r>
        <w:rPr>
          <w:lang w:val="en-GB"/>
        </w:rPr>
        <w:t xml:space="preserve">Forestry in Thailand is regulated by </w:t>
      </w:r>
      <w:proofErr w:type="gramStart"/>
      <w:r>
        <w:rPr>
          <w:lang w:val="en-GB"/>
        </w:rPr>
        <w:t>a number of</w:t>
      </w:r>
      <w:proofErr w:type="gramEnd"/>
      <w:r>
        <w:rPr>
          <w:lang w:val="en-GB"/>
        </w:rPr>
        <w:t xml:space="preserve"> agencies and organisations, details of which can be found in the CSG. Once the organisation</w:t>
      </w:r>
      <w:r w:rsidR="00723CEB">
        <w:rPr>
          <w:lang w:val="en-GB"/>
        </w:rPr>
        <w:t xml:space="preserve"> in charge</w:t>
      </w:r>
      <w:r>
        <w:rPr>
          <w:lang w:val="en-GB"/>
        </w:rPr>
        <w:t xml:space="preserve"> </w:t>
      </w:r>
      <w:r w:rsidRPr="006E7069">
        <w:rPr>
          <w:lang w:val="en-GB"/>
        </w:rPr>
        <w:t xml:space="preserve">has assessed and validated </w:t>
      </w:r>
      <w:r w:rsidR="00723CEB">
        <w:rPr>
          <w:lang w:val="en-GB"/>
        </w:rPr>
        <w:t>relevant harvest and supply chain</w:t>
      </w:r>
      <w:r w:rsidRPr="006E7069">
        <w:rPr>
          <w:lang w:val="en-GB"/>
        </w:rPr>
        <w:t xml:space="preserve"> processes, </w:t>
      </w:r>
      <w:r w:rsidR="00723CEB">
        <w:rPr>
          <w:lang w:val="en-GB"/>
        </w:rPr>
        <w:t>the</w:t>
      </w:r>
      <w:r w:rsidRPr="006E7069">
        <w:rPr>
          <w:lang w:val="en-GB"/>
        </w:rPr>
        <w:t xml:space="preserve"> timber products </w:t>
      </w:r>
      <w:r w:rsidR="00723CEB">
        <w:rPr>
          <w:lang w:val="en-GB"/>
        </w:rPr>
        <w:t>may</w:t>
      </w:r>
      <w:r w:rsidRPr="006E7069">
        <w:rPr>
          <w:lang w:val="en-GB"/>
        </w:rPr>
        <w:t xml:space="preserve"> be granted a certificate as following:  </w:t>
      </w:r>
    </w:p>
    <w:p w14:paraId="5F775762" w14:textId="77777777" w:rsidR="006E7069" w:rsidRPr="006E7069" w:rsidRDefault="002621D6" w:rsidP="00723CEB">
      <w:pPr>
        <w:pStyle w:val="ListParagraph"/>
        <w:numPr>
          <w:ilvl w:val="0"/>
          <w:numId w:val="4"/>
        </w:numPr>
        <w:spacing w:before="120" w:after="120"/>
        <w:ind w:left="426" w:hanging="437"/>
        <w:contextualSpacing w:val="0"/>
        <w:rPr>
          <w:lang w:val="en-GB"/>
        </w:rPr>
      </w:pPr>
      <w:r w:rsidRPr="006E7069">
        <w:rPr>
          <w:lang w:val="en-GB"/>
        </w:rPr>
        <w:t>Royal Forest Department will assess the legality of timber and timber products. The timber and timber products required to achieve the license or certificate from RFD must be granted “Letter of Certification for Trade and Export of Timber, Wood Products, and Charcoal” (</w:t>
      </w:r>
      <w:proofErr w:type="spellStart"/>
      <w:r w:rsidRPr="00723CEB">
        <w:rPr>
          <w:b/>
          <w:bCs/>
          <w:lang w:val="en-GB"/>
        </w:rPr>
        <w:t>Ror</w:t>
      </w:r>
      <w:proofErr w:type="spellEnd"/>
      <w:r w:rsidRPr="00723CEB">
        <w:rPr>
          <w:b/>
          <w:bCs/>
          <w:lang w:val="en-GB"/>
        </w:rPr>
        <w:t xml:space="preserve"> </w:t>
      </w:r>
      <w:proofErr w:type="spellStart"/>
      <w:r w:rsidRPr="00723CEB">
        <w:rPr>
          <w:b/>
          <w:bCs/>
          <w:lang w:val="en-GB"/>
        </w:rPr>
        <w:t>Mor</w:t>
      </w:r>
      <w:proofErr w:type="spellEnd"/>
      <w:r w:rsidRPr="00723CEB">
        <w:rPr>
          <w:b/>
          <w:bCs/>
          <w:lang w:val="en-GB"/>
        </w:rPr>
        <w:t xml:space="preserve"> 8 </w:t>
      </w:r>
      <w:r w:rsidR="00723CEB" w:rsidRPr="00723CEB">
        <w:rPr>
          <w:b/>
          <w:bCs/>
          <w:lang w:val="en-GB"/>
        </w:rPr>
        <w:t>Certificate</w:t>
      </w:r>
      <w:r w:rsidRPr="006E7069">
        <w:rPr>
          <w:lang w:val="en-GB"/>
        </w:rPr>
        <w:t xml:space="preserve">). </w:t>
      </w:r>
    </w:p>
    <w:p w14:paraId="00603108" w14:textId="77777777" w:rsidR="006E7069" w:rsidRPr="005B108A" w:rsidRDefault="002621D6" w:rsidP="00723CEB">
      <w:pPr>
        <w:pStyle w:val="ListParagraph"/>
        <w:numPr>
          <w:ilvl w:val="0"/>
          <w:numId w:val="4"/>
        </w:numPr>
        <w:spacing w:before="120" w:after="120"/>
        <w:ind w:left="426" w:hanging="437"/>
        <w:contextualSpacing w:val="0"/>
        <w:rPr>
          <w:lang w:val="en-GB"/>
        </w:rPr>
      </w:pPr>
      <w:r w:rsidRPr="005B108A">
        <w:rPr>
          <w:lang w:val="en-GB"/>
        </w:rPr>
        <w:t>Ministry of Commerce will grant Export License (</w:t>
      </w:r>
      <w:proofErr w:type="spellStart"/>
      <w:r w:rsidRPr="005B108A">
        <w:rPr>
          <w:b/>
          <w:bCs/>
          <w:lang w:val="en-GB"/>
        </w:rPr>
        <w:t>Aor</w:t>
      </w:r>
      <w:proofErr w:type="spellEnd"/>
      <w:r w:rsidRPr="005B108A">
        <w:rPr>
          <w:b/>
          <w:bCs/>
          <w:lang w:val="en-GB"/>
        </w:rPr>
        <w:t xml:space="preserve"> 2 </w:t>
      </w:r>
      <w:bookmarkStart w:id="3" w:name="_Hlk77673873"/>
      <w:r w:rsidR="005B108A">
        <w:rPr>
          <w:b/>
          <w:bCs/>
          <w:lang w:val="en-GB"/>
        </w:rPr>
        <w:t>L</w:t>
      </w:r>
      <w:r w:rsidR="00010888" w:rsidRPr="005B108A">
        <w:rPr>
          <w:b/>
          <w:bCs/>
          <w:lang w:val="en-GB"/>
        </w:rPr>
        <w:t>icense</w:t>
      </w:r>
      <w:bookmarkEnd w:id="3"/>
      <w:r w:rsidRPr="005B108A">
        <w:rPr>
          <w:lang w:val="en-GB"/>
        </w:rPr>
        <w:t xml:space="preserve">). The </w:t>
      </w:r>
      <w:r w:rsidR="005B108A" w:rsidRPr="005B108A">
        <w:rPr>
          <w:lang w:val="en-GB"/>
        </w:rPr>
        <w:t>e</w:t>
      </w:r>
      <w:r w:rsidR="00010888" w:rsidRPr="005B108A">
        <w:rPr>
          <w:lang w:val="en-GB"/>
        </w:rPr>
        <w:t>xporter</w:t>
      </w:r>
      <w:r w:rsidR="00787C87" w:rsidRPr="005B108A">
        <w:rPr>
          <w:lang w:val="en-GB"/>
        </w:rPr>
        <w:t xml:space="preserve"> </w:t>
      </w:r>
      <w:r w:rsidRPr="005B108A">
        <w:rPr>
          <w:lang w:val="en-GB"/>
        </w:rPr>
        <w:t>is required to submit relevant documents coupled with the Letter of Certification issued by RFD (</w:t>
      </w:r>
      <w:proofErr w:type="spellStart"/>
      <w:r w:rsidRPr="005B108A">
        <w:rPr>
          <w:b/>
          <w:bCs/>
          <w:lang w:val="en-GB"/>
        </w:rPr>
        <w:t>Ror</w:t>
      </w:r>
      <w:proofErr w:type="spellEnd"/>
      <w:r w:rsidRPr="005B108A">
        <w:rPr>
          <w:b/>
          <w:bCs/>
          <w:lang w:val="en-GB"/>
        </w:rPr>
        <w:t xml:space="preserve"> </w:t>
      </w:r>
      <w:proofErr w:type="spellStart"/>
      <w:r w:rsidRPr="005B108A">
        <w:rPr>
          <w:b/>
          <w:bCs/>
          <w:lang w:val="en-GB"/>
        </w:rPr>
        <w:t>Mor</w:t>
      </w:r>
      <w:proofErr w:type="spellEnd"/>
      <w:r w:rsidRPr="005B108A">
        <w:rPr>
          <w:b/>
          <w:bCs/>
          <w:lang w:val="en-GB"/>
        </w:rPr>
        <w:t xml:space="preserve"> 8</w:t>
      </w:r>
      <w:r w:rsidR="00010888" w:rsidRPr="005B108A">
        <w:rPr>
          <w:b/>
          <w:bCs/>
          <w:lang w:val="en-GB"/>
        </w:rPr>
        <w:t xml:space="preserve"> Certificate</w:t>
      </w:r>
      <w:r w:rsidRPr="005B108A">
        <w:rPr>
          <w:lang w:val="en-GB"/>
        </w:rPr>
        <w:t xml:space="preserve">) for the Ministry to consider the issue of </w:t>
      </w:r>
      <w:proofErr w:type="spellStart"/>
      <w:r w:rsidRPr="005B108A">
        <w:rPr>
          <w:b/>
          <w:bCs/>
          <w:lang w:val="en-GB"/>
        </w:rPr>
        <w:t>Aor</w:t>
      </w:r>
      <w:proofErr w:type="spellEnd"/>
      <w:r w:rsidR="00F632AE" w:rsidRPr="005B108A">
        <w:rPr>
          <w:b/>
          <w:bCs/>
          <w:lang w:val="en-GB"/>
        </w:rPr>
        <w:t xml:space="preserve"> 2</w:t>
      </w:r>
      <w:r w:rsidRPr="005B108A">
        <w:rPr>
          <w:b/>
          <w:bCs/>
          <w:lang w:val="en-GB"/>
        </w:rPr>
        <w:t xml:space="preserve"> </w:t>
      </w:r>
      <w:r w:rsidR="005B108A">
        <w:rPr>
          <w:b/>
          <w:bCs/>
          <w:lang w:val="en-GB"/>
        </w:rPr>
        <w:t>L</w:t>
      </w:r>
      <w:r w:rsidR="00010888" w:rsidRPr="005B108A">
        <w:rPr>
          <w:b/>
          <w:bCs/>
          <w:lang w:val="en-GB"/>
        </w:rPr>
        <w:t>icense</w:t>
      </w:r>
      <w:r w:rsidRPr="005B108A">
        <w:rPr>
          <w:lang w:val="en-GB"/>
        </w:rPr>
        <w:t xml:space="preserve">. </w:t>
      </w:r>
    </w:p>
    <w:p w14:paraId="0545BF00" w14:textId="77777777" w:rsidR="006E7069" w:rsidRDefault="002621D6" w:rsidP="00723CEB">
      <w:pPr>
        <w:pStyle w:val="ListParagraph"/>
        <w:numPr>
          <w:ilvl w:val="0"/>
          <w:numId w:val="4"/>
        </w:numPr>
        <w:spacing w:before="120" w:after="120"/>
        <w:ind w:left="426" w:hanging="437"/>
        <w:contextualSpacing w:val="0"/>
        <w:rPr>
          <w:lang w:val="en-GB"/>
        </w:rPr>
      </w:pPr>
      <w:r w:rsidRPr="005B108A">
        <w:rPr>
          <w:lang w:val="en-GB"/>
        </w:rPr>
        <w:t>Thai</w:t>
      </w:r>
      <w:r w:rsidR="008838C8" w:rsidRPr="005B108A">
        <w:rPr>
          <w:lang w:val="en-GB"/>
        </w:rPr>
        <w:t>land</w:t>
      </w:r>
      <w:r w:rsidRPr="005B108A">
        <w:rPr>
          <w:lang w:val="en-GB"/>
        </w:rPr>
        <w:t xml:space="preserve"> Customs Department will assess relevant documents and </w:t>
      </w:r>
      <w:r w:rsidR="005B108A" w:rsidRPr="005B108A">
        <w:rPr>
          <w:lang w:val="en-GB"/>
        </w:rPr>
        <w:t xml:space="preserve">the </w:t>
      </w:r>
      <w:r w:rsidR="00010888" w:rsidRPr="005B108A">
        <w:rPr>
          <w:lang w:val="en-GB"/>
        </w:rPr>
        <w:t xml:space="preserve">Export License </w:t>
      </w:r>
      <w:r w:rsidR="00010888" w:rsidRPr="005B108A">
        <w:rPr>
          <w:b/>
          <w:bCs/>
          <w:lang w:val="en-GB"/>
        </w:rPr>
        <w:t>(</w:t>
      </w:r>
      <w:proofErr w:type="spellStart"/>
      <w:r w:rsidRPr="005B108A">
        <w:rPr>
          <w:b/>
          <w:bCs/>
          <w:lang w:val="en-GB"/>
        </w:rPr>
        <w:t>Aor</w:t>
      </w:r>
      <w:proofErr w:type="spellEnd"/>
      <w:r w:rsidRPr="005B108A">
        <w:rPr>
          <w:b/>
          <w:bCs/>
          <w:lang w:val="en-GB"/>
        </w:rPr>
        <w:t xml:space="preserve"> 2 </w:t>
      </w:r>
      <w:r w:rsidR="005B108A">
        <w:rPr>
          <w:b/>
          <w:bCs/>
          <w:lang w:val="en-GB"/>
        </w:rPr>
        <w:t>L</w:t>
      </w:r>
      <w:r w:rsidR="00010888" w:rsidRPr="005B108A">
        <w:rPr>
          <w:b/>
          <w:bCs/>
          <w:lang w:val="en-GB"/>
        </w:rPr>
        <w:t>icense)</w:t>
      </w:r>
      <w:r w:rsidRPr="005B108A">
        <w:rPr>
          <w:lang w:val="en-GB"/>
        </w:rPr>
        <w:t xml:space="preserve"> that is granted to the importer by Ministry of Commerce </w:t>
      </w:r>
      <w:proofErr w:type="gramStart"/>
      <w:r w:rsidRPr="005B108A">
        <w:rPr>
          <w:lang w:val="en-GB"/>
        </w:rPr>
        <w:t>in order to</w:t>
      </w:r>
      <w:proofErr w:type="gramEnd"/>
      <w:r w:rsidRPr="005B108A">
        <w:rPr>
          <w:lang w:val="en-GB"/>
        </w:rPr>
        <w:t xml:space="preserve"> issue the </w:t>
      </w:r>
      <w:bookmarkStart w:id="4" w:name="_Hlk77675504"/>
      <w:r w:rsidR="00F632AE" w:rsidRPr="005B108A">
        <w:rPr>
          <w:lang w:val="en-GB"/>
        </w:rPr>
        <w:t>Export License (</w:t>
      </w:r>
      <w:r w:rsidR="008B072B" w:rsidRPr="005B108A">
        <w:rPr>
          <w:b/>
          <w:bCs/>
          <w:lang w:val="en-GB"/>
        </w:rPr>
        <w:t xml:space="preserve">Export </w:t>
      </w:r>
      <w:r w:rsidR="001D1277" w:rsidRPr="005B108A">
        <w:rPr>
          <w:b/>
          <w:bCs/>
          <w:lang w:val="en-GB"/>
        </w:rPr>
        <w:t xml:space="preserve">Entry </w:t>
      </w:r>
      <w:r w:rsidR="001D1277" w:rsidRPr="005B108A">
        <w:rPr>
          <w:rFonts w:cstheme="minorBidi" w:hint="cs"/>
          <w:b/>
          <w:bCs/>
          <w:lang w:val="en-GB" w:bidi="th-TH"/>
        </w:rPr>
        <w:t>Document</w:t>
      </w:r>
      <w:bookmarkEnd w:id="4"/>
      <w:r w:rsidR="00F632AE" w:rsidRPr="005B108A">
        <w:rPr>
          <w:rFonts w:cstheme="minorBidi"/>
          <w:lang w:val="en-GB" w:bidi="th-TH"/>
        </w:rPr>
        <w:t>)</w:t>
      </w:r>
      <w:r w:rsidR="001D1277" w:rsidRPr="005B108A">
        <w:rPr>
          <w:rFonts w:cstheme="minorBidi"/>
          <w:lang w:val="en-US" w:bidi="th-TH"/>
        </w:rPr>
        <w:t>.</w:t>
      </w:r>
      <w:r w:rsidRPr="005B108A">
        <w:rPr>
          <w:lang w:val="en-GB"/>
        </w:rPr>
        <w:t xml:space="preserve"> A duty shall be collected as </w:t>
      </w:r>
      <w:r w:rsidR="008838C8" w:rsidRPr="005B108A">
        <w:rPr>
          <w:lang w:val="en-GB"/>
        </w:rPr>
        <w:t xml:space="preserve">calculated by a </w:t>
      </w:r>
      <w:r w:rsidRPr="005B108A">
        <w:rPr>
          <w:lang w:val="en-GB"/>
        </w:rPr>
        <w:t>customs officer before issu</w:t>
      </w:r>
      <w:r w:rsidR="008838C8" w:rsidRPr="005B108A">
        <w:rPr>
          <w:lang w:val="en-GB"/>
        </w:rPr>
        <w:t>e of an</w:t>
      </w:r>
      <w:r w:rsidRPr="005B108A">
        <w:rPr>
          <w:lang w:val="en-GB"/>
        </w:rPr>
        <w:t xml:space="preserve"> </w:t>
      </w:r>
      <w:r w:rsidR="00F632AE" w:rsidRPr="005B108A">
        <w:rPr>
          <w:lang w:val="en-GB"/>
        </w:rPr>
        <w:t>Export License (</w:t>
      </w:r>
      <w:r w:rsidR="008B072B" w:rsidRPr="005B108A">
        <w:rPr>
          <w:b/>
          <w:bCs/>
          <w:lang w:val="en-GB"/>
        </w:rPr>
        <w:t xml:space="preserve">Export </w:t>
      </w:r>
      <w:r w:rsidR="001D1277" w:rsidRPr="005B108A">
        <w:rPr>
          <w:b/>
          <w:bCs/>
          <w:lang w:val="en-GB"/>
        </w:rPr>
        <w:t xml:space="preserve">Entry </w:t>
      </w:r>
      <w:r w:rsidR="001D1277" w:rsidRPr="005B108A">
        <w:rPr>
          <w:rFonts w:cstheme="minorBidi" w:hint="cs"/>
          <w:b/>
          <w:bCs/>
          <w:lang w:val="en-GB" w:bidi="th-TH"/>
        </w:rPr>
        <w:t>Document</w:t>
      </w:r>
      <w:r w:rsidR="00F632AE" w:rsidRPr="005B108A">
        <w:rPr>
          <w:rFonts w:cstheme="minorBidi"/>
          <w:lang w:val="en-GB" w:bidi="th-TH"/>
        </w:rPr>
        <w:t>)</w:t>
      </w:r>
      <w:r w:rsidRPr="005B108A">
        <w:rPr>
          <w:lang w:val="en-GB"/>
        </w:rPr>
        <w:t xml:space="preserve">. </w:t>
      </w:r>
    </w:p>
    <w:p w14:paraId="5FBD143A" w14:textId="77777777" w:rsidR="005B108A" w:rsidRDefault="005B108A">
      <w:pPr>
        <w:overflowPunct/>
        <w:autoSpaceDE/>
        <w:autoSpaceDN/>
        <w:adjustRightInd/>
        <w:spacing w:after="160" w:line="259" w:lineRule="auto"/>
        <w:textAlignment w:val="auto"/>
        <w:rPr>
          <w:lang w:val="en-GB"/>
        </w:rPr>
      </w:pPr>
      <w:r>
        <w:rPr>
          <w:lang w:val="en-GB"/>
        </w:rPr>
        <w:br w:type="page"/>
      </w:r>
    </w:p>
    <w:p w14:paraId="73BDEA3E" w14:textId="77777777" w:rsidR="006E7069" w:rsidRPr="006E7069" w:rsidRDefault="002621D6" w:rsidP="006E7069">
      <w:pPr>
        <w:spacing w:before="120" w:after="120"/>
        <w:rPr>
          <w:lang w:val="en-GB"/>
        </w:rPr>
      </w:pPr>
      <w:r>
        <w:rPr>
          <w:lang w:val="en-GB"/>
        </w:rPr>
        <w:lastRenderedPageBreak/>
        <w:t>The importer may expect to obtain the following</w:t>
      </w:r>
      <w:r w:rsidRPr="006E7069">
        <w:rPr>
          <w:lang w:val="en-GB"/>
        </w:rPr>
        <w:t xml:space="preserve"> </w:t>
      </w:r>
      <w:r w:rsidR="008838C8">
        <w:rPr>
          <w:lang w:val="en-GB"/>
        </w:rPr>
        <w:t xml:space="preserve">documents </w:t>
      </w:r>
      <w:r>
        <w:rPr>
          <w:lang w:val="en-GB"/>
        </w:rPr>
        <w:t>from Thai exporters to assist in meeting their due diligence obligations in accordance with the CSG pathway</w:t>
      </w:r>
      <w:r w:rsidRPr="006E7069">
        <w:rPr>
          <w:lang w:val="en-GB"/>
        </w:rPr>
        <w:t>:</w:t>
      </w:r>
    </w:p>
    <w:p w14:paraId="57D0392B" w14:textId="77777777" w:rsidR="006E7069" w:rsidRPr="006E7069" w:rsidRDefault="002621D6" w:rsidP="00723CEB">
      <w:pPr>
        <w:spacing w:before="120" w:after="120"/>
        <w:contextualSpacing/>
        <w:rPr>
          <w:lang w:val="en-GB"/>
        </w:rPr>
      </w:pPr>
      <w:r w:rsidRPr="006E7069">
        <w:rPr>
          <w:lang w:val="en-GB"/>
        </w:rPr>
        <w:t>•</w:t>
      </w:r>
      <w:r w:rsidRPr="006E7069">
        <w:rPr>
          <w:lang w:val="en-GB"/>
        </w:rPr>
        <w:tab/>
      </w:r>
      <w:r w:rsidR="00F632AE">
        <w:rPr>
          <w:lang w:val="en-GB"/>
        </w:rPr>
        <w:t>Export License (</w:t>
      </w:r>
      <w:r w:rsidR="001D1277" w:rsidRPr="005B108A">
        <w:rPr>
          <w:b/>
          <w:bCs/>
          <w:lang w:val="en-GB"/>
        </w:rPr>
        <w:t>Export Entry Document</w:t>
      </w:r>
      <w:r w:rsidR="00F632AE">
        <w:rPr>
          <w:lang w:val="en-GB"/>
        </w:rPr>
        <w:t>)</w:t>
      </w:r>
    </w:p>
    <w:p w14:paraId="6A2E0F25" w14:textId="77777777" w:rsidR="006E7069" w:rsidRPr="006E7069" w:rsidRDefault="002621D6" w:rsidP="00723CEB">
      <w:pPr>
        <w:spacing w:before="120" w:after="120"/>
        <w:contextualSpacing/>
        <w:rPr>
          <w:lang w:val="en-GB"/>
        </w:rPr>
      </w:pPr>
      <w:r w:rsidRPr="006E7069">
        <w:rPr>
          <w:lang w:val="en-GB"/>
        </w:rPr>
        <w:t>•</w:t>
      </w:r>
      <w:r w:rsidRPr="006E7069">
        <w:rPr>
          <w:lang w:val="en-GB"/>
        </w:rPr>
        <w:tab/>
        <w:t xml:space="preserve">invoice(s) </w:t>
      </w:r>
    </w:p>
    <w:p w14:paraId="0407E732" w14:textId="77777777" w:rsidR="006E7069" w:rsidRPr="006E7069" w:rsidRDefault="002621D6" w:rsidP="00723CEB">
      <w:pPr>
        <w:spacing w:before="120" w:after="120"/>
        <w:contextualSpacing/>
        <w:rPr>
          <w:lang w:val="en-GB"/>
        </w:rPr>
      </w:pPr>
      <w:r w:rsidRPr="006E7069">
        <w:rPr>
          <w:lang w:val="en-GB"/>
        </w:rPr>
        <w:t>•</w:t>
      </w:r>
      <w:r w:rsidRPr="006E7069">
        <w:rPr>
          <w:lang w:val="en-GB"/>
        </w:rPr>
        <w:tab/>
        <w:t xml:space="preserve">a packing list, and </w:t>
      </w:r>
    </w:p>
    <w:p w14:paraId="3E3D1A18" w14:textId="77777777" w:rsidR="00723CEB" w:rsidRDefault="002621D6" w:rsidP="00BC6672">
      <w:pPr>
        <w:spacing w:before="120" w:after="120"/>
        <w:ind w:left="709" w:hanging="709"/>
        <w:contextualSpacing/>
        <w:rPr>
          <w:lang w:val="en-GB"/>
        </w:rPr>
      </w:pPr>
      <w:r w:rsidRPr="006E7069">
        <w:rPr>
          <w:lang w:val="en-GB"/>
        </w:rPr>
        <w:t>•</w:t>
      </w:r>
      <w:r w:rsidRPr="006E7069">
        <w:rPr>
          <w:lang w:val="en-GB"/>
        </w:rPr>
        <w:tab/>
        <w:t>other documents such as documents for export control</w:t>
      </w:r>
      <w:r w:rsidR="00BC6672">
        <w:rPr>
          <w:lang w:val="en-GB"/>
        </w:rPr>
        <w:t>, biosecurity,</w:t>
      </w:r>
      <w:r w:rsidRPr="006E7069">
        <w:rPr>
          <w:lang w:val="en-GB"/>
        </w:rPr>
        <w:t xml:space="preserve"> and booking confirmation</w:t>
      </w:r>
    </w:p>
    <w:p w14:paraId="491ED5A6" w14:textId="77777777" w:rsidR="00BC6672" w:rsidRPr="005B108A" w:rsidRDefault="002621D6" w:rsidP="00BC6672">
      <w:pPr>
        <w:pStyle w:val="Text"/>
        <w:rPr>
          <w:sz w:val="24"/>
          <w:szCs w:val="24"/>
          <w:lang w:val="en-GB"/>
        </w:rPr>
      </w:pPr>
      <w:r w:rsidRPr="005B108A">
        <w:rPr>
          <w:sz w:val="24"/>
          <w:szCs w:val="24"/>
          <w:lang w:val="en-GB"/>
        </w:rPr>
        <w:t xml:space="preserve">For further information on timber legality in Thailand, refer to the </w:t>
      </w:r>
      <w:r w:rsidRPr="005B108A">
        <w:rPr>
          <w:b/>
          <w:sz w:val="24"/>
          <w:szCs w:val="24"/>
          <w:lang w:val="en-GB"/>
        </w:rPr>
        <w:t xml:space="preserve">Country Specific Guideline </w:t>
      </w:r>
      <w:r w:rsidRPr="005B108A">
        <w:rPr>
          <w:b/>
          <w:bCs/>
          <w:sz w:val="24"/>
          <w:szCs w:val="24"/>
          <w:lang w:val="en-GB"/>
        </w:rPr>
        <w:t>for Thailand</w:t>
      </w:r>
      <w:r w:rsidRPr="005B108A">
        <w:rPr>
          <w:sz w:val="24"/>
          <w:szCs w:val="24"/>
          <w:lang w:val="en-GB"/>
        </w:rPr>
        <w:t>.</w:t>
      </w:r>
    </w:p>
    <w:p w14:paraId="3EF70D5B" w14:textId="77777777" w:rsidR="00BC6672" w:rsidRDefault="00BC6672" w:rsidP="00BC6672">
      <w:pPr>
        <w:spacing w:before="120" w:after="120"/>
        <w:ind w:left="709" w:hanging="709"/>
        <w:contextualSpacing/>
        <w:rPr>
          <w:lang w:val="en-GB"/>
        </w:rPr>
        <w:sectPr w:rsidR="00BC6672" w:rsidSect="00694158">
          <w:headerReference w:type="even" r:id="rId11"/>
          <w:headerReference w:type="default" r:id="rId12"/>
          <w:headerReference w:type="first" r:id="rId13"/>
          <w:pgSz w:w="11906" w:h="16838"/>
          <w:pgMar w:top="1134" w:right="1134" w:bottom="851" w:left="1134" w:header="709" w:footer="403" w:gutter="0"/>
          <w:cols w:space="708"/>
          <w:docGrid w:linePitch="360"/>
        </w:sectPr>
      </w:pPr>
    </w:p>
    <w:p w14:paraId="26C843E9" w14:textId="77777777" w:rsidR="00694158" w:rsidRPr="00694158" w:rsidRDefault="002621D6" w:rsidP="00694158">
      <w:pPr>
        <w:pStyle w:val="Heading2"/>
        <w:keepLines w:val="0"/>
        <w:spacing w:before="240" w:after="120"/>
        <w:rPr>
          <w:rFonts w:ascii="Cambria" w:eastAsia="Times New Roman" w:hAnsi="Cambria" w:cs="Times New Roman"/>
          <w:b/>
          <w:color w:val="auto"/>
          <w:sz w:val="28"/>
          <w:szCs w:val="20"/>
        </w:rPr>
      </w:pPr>
      <w:r w:rsidRPr="00694158">
        <w:rPr>
          <w:rFonts w:ascii="Cambria" w:eastAsia="Times New Roman" w:hAnsi="Cambria" w:cs="Times New Roman"/>
          <w:b/>
          <w:color w:val="auto"/>
          <w:sz w:val="28"/>
          <w:szCs w:val="20"/>
        </w:rPr>
        <w:t>Who should I contact for further information?</w:t>
      </w:r>
    </w:p>
    <w:p w14:paraId="6BE2120A" w14:textId="77777777" w:rsidR="00694158" w:rsidRDefault="00694158" w:rsidP="00694158">
      <w:pPr>
        <w:spacing w:line="276" w:lineRule="auto"/>
        <w:rPr>
          <w:sz w:val="20"/>
        </w:rPr>
        <w:sectPr w:rsidR="00694158" w:rsidSect="00723CEB">
          <w:headerReference w:type="even" r:id="rId14"/>
          <w:headerReference w:type="default" r:id="rId15"/>
          <w:headerReference w:type="first" r:id="rId16"/>
          <w:type w:val="continuous"/>
          <w:pgSz w:w="11906" w:h="16838"/>
          <w:pgMar w:top="1134" w:right="1134" w:bottom="851" w:left="1134" w:header="709" w:footer="403" w:gutter="0"/>
          <w:cols w:space="708"/>
          <w:docGrid w:linePitch="360"/>
        </w:sectPr>
      </w:pPr>
    </w:p>
    <w:p w14:paraId="5ADB0603" w14:textId="77777777" w:rsidR="00694158" w:rsidRPr="005B108A" w:rsidRDefault="002621D6" w:rsidP="00694158">
      <w:pPr>
        <w:spacing w:line="276" w:lineRule="auto"/>
        <w:rPr>
          <w:sz w:val="20"/>
        </w:rPr>
      </w:pPr>
      <w:r w:rsidRPr="005E2B9B">
        <w:rPr>
          <w:sz w:val="20"/>
        </w:rPr>
        <w:t xml:space="preserve">Australian Government Department of Agriculture, </w:t>
      </w:r>
      <w:proofErr w:type="gramStart"/>
      <w:r w:rsidRPr="005E2B9B">
        <w:rPr>
          <w:sz w:val="20"/>
        </w:rPr>
        <w:t>Water</w:t>
      </w:r>
      <w:proofErr w:type="gramEnd"/>
      <w:r w:rsidRPr="005E2B9B">
        <w:rPr>
          <w:sz w:val="20"/>
        </w:rPr>
        <w:t xml:space="preserve"> and the Environment</w:t>
      </w:r>
      <w:r w:rsidRPr="005B108A">
        <w:rPr>
          <w:sz w:val="20"/>
        </w:rPr>
        <w:br/>
        <w:t>GPO Box 858, Canberra ACT 2601</w:t>
      </w:r>
      <w:r w:rsidRPr="005B108A">
        <w:rPr>
          <w:sz w:val="20"/>
        </w:rPr>
        <w:br/>
        <w:t>Phone: +61 2 6272 3933</w:t>
      </w:r>
      <w:r w:rsidRPr="005B108A">
        <w:rPr>
          <w:sz w:val="20"/>
        </w:rPr>
        <w:br/>
      </w:r>
      <w:r w:rsidRPr="005B108A">
        <w:rPr>
          <w:rFonts w:eastAsia="Calibri"/>
          <w:sz w:val="20"/>
        </w:rPr>
        <w:t>agriculture.gov.au</w:t>
      </w:r>
      <w:r w:rsidRPr="005B108A">
        <w:rPr>
          <w:sz w:val="20"/>
        </w:rPr>
        <w:t>/</w:t>
      </w:r>
      <w:proofErr w:type="spellStart"/>
      <w:r w:rsidRPr="005B108A">
        <w:rPr>
          <w:sz w:val="20"/>
        </w:rPr>
        <w:t>illegallogging</w:t>
      </w:r>
      <w:proofErr w:type="spellEnd"/>
      <w:r w:rsidRPr="005B108A">
        <w:rPr>
          <w:sz w:val="20"/>
        </w:rPr>
        <w:br/>
      </w:r>
      <w:r w:rsidR="00BC6672" w:rsidRPr="005B108A">
        <w:rPr>
          <w:sz w:val="20"/>
        </w:rPr>
        <w:t>illegallogging@awe.gov.au</w:t>
      </w:r>
      <w:r w:rsidRPr="005B108A">
        <w:rPr>
          <w:sz w:val="20"/>
        </w:rPr>
        <w:t xml:space="preserve"> </w:t>
      </w:r>
    </w:p>
    <w:p w14:paraId="1F828F03" w14:textId="77777777" w:rsidR="00694158" w:rsidRPr="005B108A" w:rsidRDefault="002621D6" w:rsidP="00694158">
      <w:pPr>
        <w:spacing w:line="276" w:lineRule="auto"/>
        <w:rPr>
          <w:sz w:val="20"/>
        </w:rPr>
      </w:pPr>
      <w:r w:rsidRPr="005B108A">
        <w:rPr>
          <w:sz w:val="20"/>
        </w:rPr>
        <w:t>Royal Forest Department</w:t>
      </w:r>
      <w:r w:rsidRPr="005B108A">
        <w:rPr>
          <w:sz w:val="20"/>
        </w:rPr>
        <w:br/>
      </w:r>
      <w:r w:rsidR="0057046A" w:rsidRPr="005B108A">
        <w:rPr>
          <w:sz w:val="20"/>
        </w:rPr>
        <w:t xml:space="preserve">Forest Economics Office </w:t>
      </w:r>
      <w:r w:rsidR="0057046A" w:rsidRPr="005B108A">
        <w:rPr>
          <w:sz w:val="20"/>
        </w:rPr>
        <w:br/>
      </w:r>
      <w:r w:rsidRPr="00BC6672">
        <w:rPr>
          <w:sz w:val="20"/>
        </w:rPr>
        <w:t xml:space="preserve">61 </w:t>
      </w:r>
      <w:proofErr w:type="spellStart"/>
      <w:r w:rsidRPr="00BC6672">
        <w:rPr>
          <w:sz w:val="20"/>
        </w:rPr>
        <w:t>Phahonyothin</w:t>
      </w:r>
      <w:proofErr w:type="spellEnd"/>
      <w:r w:rsidRPr="00BC6672">
        <w:rPr>
          <w:sz w:val="20"/>
        </w:rPr>
        <w:t xml:space="preserve"> Road, Lat Yao, </w:t>
      </w:r>
      <w:proofErr w:type="spellStart"/>
      <w:r w:rsidRPr="00BC6672">
        <w:rPr>
          <w:sz w:val="20"/>
        </w:rPr>
        <w:t>Chatuchak</w:t>
      </w:r>
      <w:proofErr w:type="spellEnd"/>
      <w:r w:rsidRPr="00BC6672">
        <w:rPr>
          <w:sz w:val="20"/>
        </w:rPr>
        <w:t xml:space="preserve">, </w:t>
      </w:r>
      <w:r w:rsidR="005B108A">
        <w:rPr>
          <w:sz w:val="20"/>
        </w:rPr>
        <w:br/>
      </w:r>
      <w:r w:rsidRPr="00BC6672">
        <w:rPr>
          <w:sz w:val="20"/>
        </w:rPr>
        <w:t xml:space="preserve">Bangkok </w:t>
      </w:r>
      <w:r w:rsidRPr="005B108A">
        <w:rPr>
          <w:sz w:val="20"/>
        </w:rPr>
        <w:t>19000</w:t>
      </w:r>
      <w:r w:rsidR="001D1277" w:rsidRPr="005B108A">
        <w:rPr>
          <w:rFonts w:cs="Angsana New"/>
          <w:sz w:val="20"/>
          <w:szCs w:val="25"/>
          <w:lang w:bidi="th-TH"/>
        </w:rPr>
        <w:t>, Thailand</w:t>
      </w:r>
      <w:r w:rsidRPr="005B108A">
        <w:rPr>
          <w:sz w:val="20"/>
        </w:rPr>
        <w:br/>
        <w:t xml:space="preserve">Phone: </w:t>
      </w:r>
      <w:r w:rsidR="005B108A">
        <w:rPr>
          <w:sz w:val="20"/>
        </w:rPr>
        <w:t xml:space="preserve">+66 </w:t>
      </w:r>
      <w:r w:rsidRPr="005B108A">
        <w:rPr>
          <w:sz w:val="20"/>
        </w:rPr>
        <w:t>0 2561 4292</w:t>
      </w:r>
      <w:r w:rsidR="005B108A">
        <w:rPr>
          <w:sz w:val="20"/>
        </w:rPr>
        <w:t xml:space="preserve"> </w:t>
      </w:r>
      <w:r w:rsidR="001D1277" w:rsidRPr="005B108A">
        <w:rPr>
          <w:sz w:val="20"/>
        </w:rPr>
        <w:t>93</w:t>
      </w:r>
      <w:r w:rsidRPr="005B108A">
        <w:rPr>
          <w:sz w:val="20"/>
        </w:rPr>
        <w:br/>
      </w:r>
      <w:r w:rsidRPr="005B108A">
        <w:rPr>
          <w:rFonts w:eastAsia="Calibri"/>
          <w:sz w:val="20"/>
        </w:rPr>
        <w:t>http://www.forest.go.th</w:t>
      </w:r>
      <w:r w:rsidRPr="005B108A">
        <w:rPr>
          <w:sz w:val="20"/>
        </w:rPr>
        <w:br/>
        <w:t>Email: forstand.rfd@gmail.com</w:t>
      </w:r>
    </w:p>
    <w:p w14:paraId="6EB52B79" w14:textId="77777777" w:rsidR="00694158" w:rsidRDefault="00694158" w:rsidP="00694158">
      <w:pPr>
        <w:pStyle w:val="Heading2"/>
        <w:spacing w:before="240" w:after="120"/>
        <w:sectPr w:rsidR="00694158" w:rsidSect="00694158">
          <w:type w:val="continuous"/>
          <w:pgSz w:w="11906" w:h="16838"/>
          <w:pgMar w:top="1134" w:right="1134" w:bottom="851" w:left="1134" w:header="709" w:footer="403" w:gutter="0"/>
          <w:cols w:num="2" w:space="708"/>
          <w:docGrid w:linePitch="360"/>
        </w:sectPr>
      </w:pPr>
    </w:p>
    <w:p w14:paraId="3751A271" w14:textId="77777777" w:rsidR="00694158" w:rsidRPr="00694158" w:rsidRDefault="00694158" w:rsidP="00694158">
      <w:pPr>
        <w:pStyle w:val="Heading2"/>
        <w:spacing w:before="240" w:after="120"/>
      </w:pPr>
    </w:p>
    <w:sectPr w:rsidR="00694158" w:rsidRPr="00694158" w:rsidSect="00694158">
      <w:type w:val="continuous"/>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738F" w14:textId="77777777" w:rsidR="00A36290" w:rsidRDefault="00A36290">
      <w:pPr>
        <w:spacing w:after="0"/>
      </w:pPr>
      <w:r>
        <w:separator/>
      </w:r>
    </w:p>
  </w:endnote>
  <w:endnote w:type="continuationSeparator" w:id="0">
    <w:p w14:paraId="0B06CAA8" w14:textId="77777777" w:rsidR="00A36290" w:rsidRDefault="00A362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88AA" w14:textId="77777777" w:rsidR="00A36290" w:rsidRDefault="00A36290">
      <w:pPr>
        <w:spacing w:after="0"/>
      </w:pPr>
      <w:r>
        <w:separator/>
      </w:r>
    </w:p>
  </w:footnote>
  <w:footnote w:type="continuationSeparator" w:id="0">
    <w:p w14:paraId="10870029" w14:textId="77777777" w:rsidR="00A36290" w:rsidRDefault="00A362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AB7A" w14:textId="77777777" w:rsidR="00690E7F" w:rsidRDefault="00B949AF">
    <w:pPr>
      <w:pStyle w:val="Header"/>
    </w:pPr>
    <w:r>
      <w:rPr>
        <w:noProof/>
      </w:rPr>
      <w:pict w14:anchorId="4BD49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79422" o:spid="_x0000_s3073"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8333" w14:textId="77777777" w:rsidR="00694158" w:rsidRDefault="002621D6">
    <w:pPr>
      <w:pStyle w:val="Header"/>
    </w:pPr>
    <w:r w:rsidRPr="00EE5F07">
      <w:rPr>
        <w:rFonts w:hint="cs"/>
        <w:noProof/>
      </w:rPr>
      <w:drawing>
        <wp:anchor distT="0" distB="0" distL="114300" distR="114300" simplePos="0" relativeHeight="251658240" behindDoc="0" locked="0" layoutInCell="1" allowOverlap="1" wp14:anchorId="34F7E7C4" wp14:editId="25831EE0">
          <wp:simplePos x="0" y="0"/>
          <wp:positionH relativeFrom="margin">
            <wp:posOffset>3889014</wp:posOffset>
          </wp:positionH>
          <wp:positionV relativeFrom="paragraph">
            <wp:posOffset>-373747</wp:posOffset>
          </wp:positionV>
          <wp:extent cx="1492885" cy="106743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0098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2885" cy="1067435"/>
                  </a:xfrm>
                  <a:prstGeom prst="rect">
                    <a:avLst/>
                  </a:prstGeom>
                  <a:noFill/>
                </pic:spPr>
              </pic:pic>
            </a:graphicData>
          </a:graphic>
          <wp14:sizeRelH relativeFrom="margin">
            <wp14:pctWidth>0</wp14:pctWidth>
          </wp14:sizeRelH>
          <wp14:sizeRelV relativeFrom="margin">
            <wp14:pctHeight>0</wp14:pctHeight>
          </wp14:sizeRelV>
        </wp:anchor>
      </w:drawing>
    </w:r>
    <w:r w:rsidRPr="00864011">
      <w:rPr>
        <w:noProof/>
        <w:lang w:eastAsia="en-AU"/>
      </w:rPr>
      <w:drawing>
        <wp:anchor distT="0" distB="0" distL="114300" distR="114300" simplePos="0" relativeHeight="251659264" behindDoc="0" locked="0" layoutInCell="1" allowOverlap="1" wp14:anchorId="32443498" wp14:editId="7DA26E0D">
          <wp:simplePos x="0" y="0"/>
          <wp:positionH relativeFrom="column">
            <wp:posOffset>-25079</wp:posOffset>
          </wp:positionH>
          <wp:positionV relativeFrom="paragraph">
            <wp:posOffset>-281171</wp:posOffset>
          </wp:positionV>
          <wp:extent cx="2852420" cy="855980"/>
          <wp:effectExtent l="0" t="0" r="508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69397"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52420" cy="855980"/>
                  </a:xfrm>
                  <a:prstGeom prst="rect">
                    <a:avLst/>
                  </a:prstGeom>
                  <a:noFill/>
                  <a:ln>
                    <a:noFill/>
                  </a:ln>
                </pic:spPr>
              </pic:pic>
            </a:graphicData>
          </a:graphic>
        </wp:anchor>
      </w:drawing>
    </w:r>
    <w:r w:rsidR="00B949AF">
      <w:rPr>
        <w:noProof/>
      </w:rPr>
      <w:pict w14:anchorId="5B64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79423" o:spid="_x0000_s3074" type="#_x0000_t136" style="position:absolute;margin-left:0;margin-top:0;width:572.15pt;height:107.25pt;rotation:315;z-index:-251654144;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B148" w14:textId="77777777" w:rsidR="00690E7F" w:rsidRDefault="00B949AF">
    <w:pPr>
      <w:pStyle w:val="Header"/>
    </w:pPr>
    <w:r>
      <w:rPr>
        <w:noProof/>
      </w:rPr>
      <w:pict w14:anchorId="496B1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79421" o:spid="_x0000_s3075" type="#_x0000_t136" style="position:absolute;margin-left:0;margin-top:0;width:572.15pt;height:107.25pt;rotation:315;z-index:-25165619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1B56" w14:textId="77777777" w:rsidR="00690E7F" w:rsidRDefault="00B949AF">
    <w:pPr>
      <w:pStyle w:val="Header"/>
    </w:pPr>
    <w:r>
      <w:rPr>
        <w:noProof/>
      </w:rPr>
      <w:pict w14:anchorId="2D293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79425" o:spid="_x0000_s3076" type="#_x0000_t136" style="position:absolute;margin-left:0;margin-top:0;width:572.15pt;height:107.25pt;rotation:315;z-index:-251652096;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613" w14:textId="77777777" w:rsidR="00723CEB" w:rsidRDefault="00B949AF">
    <w:pPr>
      <w:pStyle w:val="Header"/>
    </w:pPr>
    <w:r>
      <w:rPr>
        <w:noProof/>
      </w:rPr>
      <w:pict w14:anchorId="22501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79426" o:spid="_x0000_s3077" type="#_x0000_t136" style="position:absolute;margin-left:0;margin-top:0;width:572.15pt;height:107.25pt;rotation:315;z-index:-25165107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4A02" w14:textId="77777777" w:rsidR="00690E7F" w:rsidRDefault="00B949AF">
    <w:pPr>
      <w:pStyle w:val="Header"/>
    </w:pPr>
    <w:r>
      <w:rPr>
        <w:noProof/>
      </w:rPr>
      <w:pict w14:anchorId="76643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79424" o:spid="_x0000_s3078"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85F"/>
    <w:multiLevelType w:val="hybridMultilevel"/>
    <w:tmpl w:val="C0180392"/>
    <w:lvl w:ilvl="0" w:tplc="A0123F48">
      <w:start w:val="1"/>
      <w:numFmt w:val="decimal"/>
      <w:lvlText w:val="%1."/>
      <w:lvlJc w:val="left"/>
      <w:pPr>
        <w:ind w:left="1080" w:hanging="720"/>
      </w:pPr>
      <w:rPr>
        <w:rFonts w:hint="default"/>
      </w:rPr>
    </w:lvl>
    <w:lvl w:ilvl="1" w:tplc="0A4E9B7A" w:tentative="1">
      <w:start w:val="1"/>
      <w:numFmt w:val="lowerLetter"/>
      <w:lvlText w:val="%2."/>
      <w:lvlJc w:val="left"/>
      <w:pPr>
        <w:ind w:left="1440" w:hanging="360"/>
      </w:pPr>
    </w:lvl>
    <w:lvl w:ilvl="2" w:tplc="133A0156" w:tentative="1">
      <w:start w:val="1"/>
      <w:numFmt w:val="lowerRoman"/>
      <w:lvlText w:val="%3."/>
      <w:lvlJc w:val="right"/>
      <w:pPr>
        <w:ind w:left="2160" w:hanging="180"/>
      </w:pPr>
    </w:lvl>
    <w:lvl w:ilvl="3" w:tplc="AB8E0F90" w:tentative="1">
      <w:start w:val="1"/>
      <w:numFmt w:val="decimal"/>
      <w:lvlText w:val="%4."/>
      <w:lvlJc w:val="left"/>
      <w:pPr>
        <w:ind w:left="2880" w:hanging="360"/>
      </w:pPr>
    </w:lvl>
    <w:lvl w:ilvl="4" w:tplc="8C02BD24" w:tentative="1">
      <w:start w:val="1"/>
      <w:numFmt w:val="lowerLetter"/>
      <w:lvlText w:val="%5."/>
      <w:lvlJc w:val="left"/>
      <w:pPr>
        <w:ind w:left="3600" w:hanging="360"/>
      </w:pPr>
    </w:lvl>
    <w:lvl w:ilvl="5" w:tplc="ABFEDD34" w:tentative="1">
      <w:start w:val="1"/>
      <w:numFmt w:val="lowerRoman"/>
      <w:lvlText w:val="%6."/>
      <w:lvlJc w:val="right"/>
      <w:pPr>
        <w:ind w:left="4320" w:hanging="180"/>
      </w:pPr>
    </w:lvl>
    <w:lvl w:ilvl="6" w:tplc="97F877FE" w:tentative="1">
      <w:start w:val="1"/>
      <w:numFmt w:val="decimal"/>
      <w:lvlText w:val="%7."/>
      <w:lvlJc w:val="left"/>
      <w:pPr>
        <w:ind w:left="5040" w:hanging="360"/>
      </w:pPr>
    </w:lvl>
    <w:lvl w:ilvl="7" w:tplc="CB16A1AE" w:tentative="1">
      <w:start w:val="1"/>
      <w:numFmt w:val="lowerLetter"/>
      <w:lvlText w:val="%8."/>
      <w:lvlJc w:val="left"/>
      <w:pPr>
        <w:ind w:left="5760" w:hanging="360"/>
      </w:pPr>
    </w:lvl>
    <w:lvl w:ilvl="8" w:tplc="29FC0FCA" w:tentative="1">
      <w:start w:val="1"/>
      <w:numFmt w:val="lowerRoman"/>
      <w:lvlText w:val="%9."/>
      <w:lvlJc w:val="right"/>
      <w:pPr>
        <w:ind w:left="6480" w:hanging="180"/>
      </w:pPr>
    </w:lvl>
  </w:abstractNum>
  <w:abstractNum w:abstractNumId="1" w15:restartNumberingAfterBreak="0">
    <w:nsid w:val="1F3A2A3D"/>
    <w:multiLevelType w:val="hybridMultilevel"/>
    <w:tmpl w:val="423436AE"/>
    <w:lvl w:ilvl="0" w:tplc="441E8B30">
      <w:start w:val="1"/>
      <w:numFmt w:val="decimal"/>
      <w:lvlText w:val="%1."/>
      <w:lvlJc w:val="left"/>
      <w:pPr>
        <w:ind w:left="1080" w:hanging="720"/>
      </w:pPr>
      <w:rPr>
        <w:rFonts w:hint="default"/>
      </w:rPr>
    </w:lvl>
    <w:lvl w:ilvl="1" w:tplc="111A7E3C" w:tentative="1">
      <w:start w:val="1"/>
      <w:numFmt w:val="lowerLetter"/>
      <w:lvlText w:val="%2."/>
      <w:lvlJc w:val="left"/>
      <w:pPr>
        <w:ind w:left="1440" w:hanging="360"/>
      </w:pPr>
    </w:lvl>
    <w:lvl w:ilvl="2" w:tplc="37DA2398" w:tentative="1">
      <w:start w:val="1"/>
      <w:numFmt w:val="lowerRoman"/>
      <w:lvlText w:val="%3."/>
      <w:lvlJc w:val="right"/>
      <w:pPr>
        <w:ind w:left="2160" w:hanging="180"/>
      </w:pPr>
    </w:lvl>
    <w:lvl w:ilvl="3" w:tplc="C6D0B098" w:tentative="1">
      <w:start w:val="1"/>
      <w:numFmt w:val="decimal"/>
      <w:lvlText w:val="%4."/>
      <w:lvlJc w:val="left"/>
      <w:pPr>
        <w:ind w:left="2880" w:hanging="360"/>
      </w:pPr>
    </w:lvl>
    <w:lvl w:ilvl="4" w:tplc="43BCDF5E" w:tentative="1">
      <w:start w:val="1"/>
      <w:numFmt w:val="lowerLetter"/>
      <w:lvlText w:val="%5."/>
      <w:lvlJc w:val="left"/>
      <w:pPr>
        <w:ind w:left="3600" w:hanging="360"/>
      </w:pPr>
    </w:lvl>
    <w:lvl w:ilvl="5" w:tplc="BA9C6AC8" w:tentative="1">
      <w:start w:val="1"/>
      <w:numFmt w:val="lowerRoman"/>
      <w:lvlText w:val="%6."/>
      <w:lvlJc w:val="right"/>
      <w:pPr>
        <w:ind w:left="4320" w:hanging="180"/>
      </w:pPr>
    </w:lvl>
    <w:lvl w:ilvl="6" w:tplc="0722EB80" w:tentative="1">
      <w:start w:val="1"/>
      <w:numFmt w:val="decimal"/>
      <w:lvlText w:val="%7."/>
      <w:lvlJc w:val="left"/>
      <w:pPr>
        <w:ind w:left="5040" w:hanging="360"/>
      </w:pPr>
    </w:lvl>
    <w:lvl w:ilvl="7" w:tplc="4822B64C" w:tentative="1">
      <w:start w:val="1"/>
      <w:numFmt w:val="lowerLetter"/>
      <w:lvlText w:val="%8."/>
      <w:lvlJc w:val="left"/>
      <w:pPr>
        <w:ind w:left="5760" w:hanging="360"/>
      </w:pPr>
    </w:lvl>
    <w:lvl w:ilvl="8" w:tplc="18EA2C90" w:tentative="1">
      <w:start w:val="1"/>
      <w:numFmt w:val="lowerRoman"/>
      <w:lvlText w:val="%9."/>
      <w:lvlJc w:val="right"/>
      <w:pPr>
        <w:ind w:left="6480" w:hanging="180"/>
      </w:pPr>
    </w:lvl>
  </w:abstractNum>
  <w:abstractNum w:abstractNumId="2" w15:restartNumberingAfterBreak="0">
    <w:nsid w:val="32483FEA"/>
    <w:multiLevelType w:val="hybridMultilevel"/>
    <w:tmpl w:val="7B1A1DD2"/>
    <w:lvl w:ilvl="0" w:tplc="0ECCF842">
      <w:start w:val="1"/>
      <w:numFmt w:val="bullet"/>
      <w:lvlText w:val=""/>
      <w:lvlJc w:val="left"/>
      <w:pPr>
        <w:ind w:left="720" w:hanging="360"/>
      </w:pPr>
      <w:rPr>
        <w:rFonts w:ascii="Symbol" w:hAnsi="Symbol" w:hint="default"/>
      </w:rPr>
    </w:lvl>
    <w:lvl w:ilvl="1" w:tplc="A832119A" w:tentative="1">
      <w:start w:val="1"/>
      <w:numFmt w:val="bullet"/>
      <w:lvlText w:val="o"/>
      <w:lvlJc w:val="left"/>
      <w:pPr>
        <w:ind w:left="1440" w:hanging="360"/>
      </w:pPr>
      <w:rPr>
        <w:rFonts w:ascii="Courier New" w:hAnsi="Courier New" w:cs="Courier New" w:hint="default"/>
      </w:rPr>
    </w:lvl>
    <w:lvl w:ilvl="2" w:tplc="80466234" w:tentative="1">
      <w:start w:val="1"/>
      <w:numFmt w:val="bullet"/>
      <w:lvlText w:val=""/>
      <w:lvlJc w:val="left"/>
      <w:pPr>
        <w:ind w:left="2160" w:hanging="360"/>
      </w:pPr>
      <w:rPr>
        <w:rFonts w:ascii="Wingdings" w:hAnsi="Wingdings" w:hint="default"/>
      </w:rPr>
    </w:lvl>
    <w:lvl w:ilvl="3" w:tplc="EA929D98" w:tentative="1">
      <w:start w:val="1"/>
      <w:numFmt w:val="bullet"/>
      <w:lvlText w:val=""/>
      <w:lvlJc w:val="left"/>
      <w:pPr>
        <w:ind w:left="2880" w:hanging="360"/>
      </w:pPr>
      <w:rPr>
        <w:rFonts w:ascii="Symbol" w:hAnsi="Symbol" w:hint="default"/>
      </w:rPr>
    </w:lvl>
    <w:lvl w:ilvl="4" w:tplc="67BE4BC2" w:tentative="1">
      <w:start w:val="1"/>
      <w:numFmt w:val="bullet"/>
      <w:lvlText w:val="o"/>
      <w:lvlJc w:val="left"/>
      <w:pPr>
        <w:ind w:left="3600" w:hanging="360"/>
      </w:pPr>
      <w:rPr>
        <w:rFonts w:ascii="Courier New" w:hAnsi="Courier New" w:cs="Courier New" w:hint="default"/>
      </w:rPr>
    </w:lvl>
    <w:lvl w:ilvl="5" w:tplc="B46E7478" w:tentative="1">
      <w:start w:val="1"/>
      <w:numFmt w:val="bullet"/>
      <w:lvlText w:val=""/>
      <w:lvlJc w:val="left"/>
      <w:pPr>
        <w:ind w:left="4320" w:hanging="360"/>
      </w:pPr>
      <w:rPr>
        <w:rFonts w:ascii="Wingdings" w:hAnsi="Wingdings" w:hint="default"/>
      </w:rPr>
    </w:lvl>
    <w:lvl w:ilvl="6" w:tplc="7FE29FA4" w:tentative="1">
      <w:start w:val="1"/>
      <w:numFmt w:val="bullet"/>
      <w:lvlText w:val=""/>
      <w:lvlJc w:val="left"/>
      <w:pPr>
        <w:ind w:left="5040" w:hanging="360"/>
      </w:pPr>
      <w:rPr>
        <w:rFonts w:ascii="Symbol" w:hAnsi="Symbol" w:hint="default"/>
      </w:rPr>
    </w:lvl>
    <w:lvl w:ilvl="7" w:tplc="BDAE2E2A" w:tentative="1">
      <w:start w:val="1"/>
      <w:numFmt w:val="bullet"/>
      <w:lvlText w:val="o"/>
      <w:lvlJc w:val="left"/>
      <w:pPr>
        <w:ind w:left="5760" w:hanging="360"/>
      </w:pPr>
      <w:rPr>
        <w:rFonts w:ascii="Courier New" w:hAnsi="Courier New" w:cs="Courier New" w:hint="default"/>
      </w:rPr>
    </w:lvl>
    <w:lvl w:ilvl="8" w:tplc="50342A38" w:tentative="1">
      <w:start w:val="1"/>
      <w:numFmt w:val="bullet"/>
      <w:lvlText w:val=""/>
      <w:lvlJc w:val="left"/>
      <w:pPr>
        <w:ind w:left="6480" w:hanging="360"/>
      </w:pPr>
      <w:rPr>
        <w:rFonts w:ascii="Wingdings" w:hAnsi="Wingdings" w:hint="default"/>
      </w:rPr>
    </w:lvl>
  </w:abstractNum>
  <w:abstractNum w:abstractNumId="3" w15:restartNumberingAfterBreak="0">
    <w:nsid w:val="57CB53A7"/>
    <w:multiLevelType w:val="hybridMultilevel"/>
    <w:tmpl w:val="02DE392E"/>
    <w:lvl w:ilvl="0" w:tplc="2C0E982A">
      <w:start w:val="1"/>
      <w:numFmt w:val="decimal"/>
      <w:lvlText w:val="%1."/>
      <w:lvlJc w:val="left"/>
      <w:pPr>
        <w:ind w:left="1080" w:hanging="720"/>
      </w:pPr>
      <w:rPr>
        <w:rFonts w:hint="default"/>
      </w:rPr>
    </w:lvl>
    <w:lvl w:ilvl="1" w:tplc="E714A4E2" w:tentative="1">
      <w:start w:val="1"/>
      <w:numFmt w:val="lowerLetter"/>
      <w:lvlText w:val="%2."/>
      <w:lvlJc w:val="left"/>
      <w:pPr>
        <w:ind w:left="1440" w:hanging="360"/>
      </w:pPr>
    </w:lvl>
    <w:lvl w:ilvl="2" w:tplc="23804C1A" w:tentative="1">
      <w:start w:val="1"/>
      <w:numFmt w:val="lowerRoman"/>
      <w:lvlText w:val="%3."/>
      <w:lvlJc w:val="right"/>
      <w:pPr>
        <w:ind w:left="2160" w:hanging="180"/>
      </w:pPr>
    </w:lvl>
    <w:lvl w:ilvl="3" w:tplc="F9CCC4E2" w:tentative="1">
      <w:start w:val="1"/>
      <w:numFmt w:val="decimal"/>
      <w:lvlText w:val="%4."/>
      <w:lvlJc w:val="left"/>
      <w:pPr>
        <w:ind w:left="2880" w:hanging="360"/>
      </w:pPr>
    </w:lvl>
    <w:lvl w:ilvl="4" w:tplc="8AFC5CEC" w:tentative="1">
      <w:start w:val="1"/>
      <w:numFmt w:val="lowerLetter"/>
      <w:lvlText w:val="%5."/>
      <w:lvlJc w:val="left"/>
      <w:pPr>
        <w:ind w:left="3600" w:hanging="360"/>
      </w:pPr>
    </w:lvl>
    <w:lvl w:ilvl="5" w:tplc="4002F11C" w:tentative="1">
      <w:start w:val="1"/>
      <w:numFmt w:val="lowerRoman"/>
      <w:lvlText w:val="%6."/>
      <w:lvlJc w:val="right"/>
      <w:pPr>
        <w:ind w:left="4320" w:hanging="180"/>
      </w:pPr>
    </w:lvl>
    <w:lvl w:ilvl="6" w:tplc="680C1F96" w:tentative="1">
      <w:start w:val="1"/>
      <w:numFmt w:val="decimal"/>
      <w:lvlText w:val="%7."/>
      <w:lvlJc w:val="left"/>
      <w:pPr>
        <w:ind w:left="5040" w:hanging="360"/>
      </w:pPr>
    </w:lvl>
    <w:lvl w:ilvl="7" w:tplc="480EB216" w:tentative="1">
      <w:start w:val="1"/>
      <w:numFmt w:val="lowerLetter"/>
      <w:lvlText w:val="%8."/>
      <w:lvlJc w:val="left"/>
      <w:pPr>
        <w:ind w:left="5760" w:hanging="360"/>
      </w:pPr>
    </w:lvl>
    <w:lvl w:ilvl="8" w:tplc="ACC8DFA0" w:tentative="1">
      <w:start w:val="1"/>
      <w:numFmt w:val="lowerRoman"/>
      <w:lvlText w:val="%9."/>
      <w:lvlJc w:val="right"/>
      <w:pPr>
        <w:ind w:left="6480" w:hanging="180"/>
      </w:pPr>
    </w:lvl>
  </w:abstractNum>
  <w:abstractNum w:abstractNumId="4" w15:restartNumberingAfterBreak="0">
    <w:nsid w:val="692913F7"/>
    <w:multiLevelType w:val="hybridMultilevel"/>
    <w:tmpl w:val="49DCE554"/>
    <w:lvl w:ilvl="0" w:tplc="3D2ADD8C">
      <w:start w:val="1"/>
      <w:numFmt w:val="decimal"/>
      <w:lvlText w:val="%1."/>
      <w:lvlJc w:val="left"/>
      <w:pPr>
        <w:ind w:left="720" w:hanging="360"/>
      </w:pPr>
    </w:lvl>
    <w:lvl w:ilvl="1" w:tplc="C4940818" w:tentative="1">
      <w:start w:val="1"/>
      <w:numFmt w:val="lowerLetter"/>
      <w:lvlText w:val="%2."/>
      <w:lvlJc w:val="left"/>
      <w:pPr>
        <w:ind w:left="1440" w:hanging="360"/>
      </w:pPr>
    </w:lvl>
    <w:lvl w:ilvl="2" w:tplc="0226EE46" w:tentative="1">
      <w:start w:val="1"/>
      <w:numFmt w:val="lowerRoman"/>
      <w:lvlText w:val="%3."/>
      <w:lvlJc w:val="right"/>
      <w:pPr>
        <w:ind w:left="2160" w:hanging="180"/>
      </w:pPr>
    </w:lvl>
    <w:lvl w:ilvl="3" w:tplc="9A88E6D6" w:tentative="1">
      <w:start w:val="1"/>
      <w:numFmt w:val="decimal"/>
      <w:lvlText w:val="%4."/>
      <w:lvlJc w:val="left"/>
      <w:pPr>
        <w:ind w:left="2880" w:hanging="360"/>
      </w:pPr>
    </w:lvl>
    <w:lvl w:ilvl="4" w:tplc="2D14E762" w:tentative="1">
      <w:start w:val="1"/>
      <w:numFmt w:val="lowerLetter"/>
      <w:lvlText w:val="%5."/>
      <w:lvlJc w:val="left"/>
      <w:pPr>
        <w:ind w:left="3600" w:hanging="360"/>
      </w:pPr>
    </w:lvl>
    <w:lvl w:ilvl="5" w:tplc="1F14BA44" w:tentative="1">
      <w:start w:val="1"/>
      <w:numFmt w:val="lowerRoman"/>
      <w:lvlText w:val="%6."/>
      <w:lvlJc w:val="right"/>
      <w:pPr>
        <w:ind w:left="4320" w:hanging="180"/>
      </w:pPr>
    </w:lvl>
    <w:lvl w:ilvl="6" w:tplc="7152BD50" w:tentative="1">
      <w:start w:val="1"/>
      <w:numFmt w:val="decimal"/>
      <w:lvlText w:val="%7."/>
      <w:lvlJc w:val="left"/>
      <w:pPr>
        <w:ind w:left="5040" w:hanging="360"/>
      </w:pPr>
    </w:lvl>
    <w:lvl w:ilvl="7" w:tplc="4B00A702" w:tentative="1">
      <w:start w:val="1"/>
      <w:numFmt w:val="lowerLetter"/>
      <w:lvlText w:val="%8."/>
      <w:lvlJc w:val="left"/>
      <w:pPr>
        <w:ind w:left="5760" w:hanging="360"/>
      </w:pPr>
    </w:lvl>
    <w:lvl w:ilvl="8" w:tplc="61322E94"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9"/>
    <o:shapelayout v:ext="edit">
      <o:idmap v:ext="edit" data="2,3"/>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58"/>
    <w:rsid w:val="00010888"/>
    <w:rsid w:val="00021B5B"/>
    <w:rsid w:val="001B0AF9"/>
    <w:rsid w:val="001D1277"/>
    <w:rsid w:val="002621D6"/>
    <w:rsid w:val="00266CE8"/>
    <w:rsid w:val="002D63AF"/>
    <w:rsid w:val="00450CCB"/>
    <w:rsid w:val="0057046A"/>
    <w:rsid w:val="005B108A"/>
    <w:rsid w:val="005E0B4D"/>
    <w:rsid w:val="005E2B9B"/>
    <w:rsid w:val="00671894"/>
    <w:rsid w:val="006900C9"/>
    <w:rsid w:val="00690E7F"/>
    <w:rsid w:val="00694158"/>
    <w:rsid w:val="006E7069"/>
    <w:rsid w:val="00723CEB"/>
    <w:rsid w:val="00787C87"/>
    <w:rsid w:val="00852118"/>
    <w:rsid w:val="008608F0"/>
    <w:rsid w:val="008838C8"/>
    <w:rsid w:val="008B072B"/>
    <w:rsid w:val="009E0037"/>
    <w:rsid w:val="00A36290"/>
    <w:rsid w:val="00B949AF"/>
    <w:rsid w:val="00BC4839"/>
    <w:rsid w:val="00BC6672"/>
    <w:rsid w:val="00BF0496"/>
    <w:rsid w:val="00C41A79"/>
    <w:rsid w:val="00D2612D"/>
    <w:rsid w:val="00DC21C9"/>
    <w:rsid w:val="00EE7063"/>
    <w:rsid w:val="00F632A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026E9C3B"/>
  <w15:chartTrackingRefBased/>
  <w15:docId w15:val="{5FBA225E-31B3-48FF-A3F9-86E15CA3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58"/>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694158"/>
    <w:pPr>
      <w:keepNext/>
      <w:keepLines/>
      <w:tabs>
        <w:tab w:val="left" w:pos="5745"/>
      </w:tabs>
      <w:spacing w:before="480" w:line="276" w:lineRule="auto"/>
      <w:outlineLvl w:val="0"/>
    </w:pPr>
    <w:rPr>
      <w:rFonts w:ascii="Cambria" w:hAnsi="Cambria"/>
      <w:b/>
      <w:bCs/>
      <w:sz w:val="32"/>
      <w:szCs w:val="36"/>
    </w:rPr>
  </w:style>
  <w:style w:type="paragraph" w:styleId="Heading2">
    <w:name w:val="heading 2"/>
    <w:basedOn w:val="Normal"/>
    <w:next w:val="Normal"/>
    <w:link w:val="Heading2Char"/>
    <w:unhideWhenUsed/>
    <w:qFormat/>
    <w:rsid w:val="006941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158"/>
    <w:pPr>
      <w:tabs>
        <w:tab w:val="center" w:pos="4513"/>
        <w:tab w:val="right" w:pos="9026"/>
      </w:tabs>
      <w:overflowPunct/>
      <w:autoSpaceDE/>
      <w:autoSpaceDN/>
      <w:adjustRightInd/>
      <w:spacing w:after="0"/>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94158"/>
  </w:style>
  <w:style w:type="paragraph" w:styleId="Footer">
    <w:name w:val="footer"/>
    <w:basedOn w:val="Normal"/>
    <w:link w:val="FooterChar"/>
    <w:uiPriority w:val="99"/>
    <w:unhideWhenUsed/>
    <w:rsid w:val="00694158"/>
    <w:pPr>
      <w:tabs>
        <w:tab w:val="center" w:pos="4513"/>
        <w:tab w:val="right" w:pos="9026"/>
      </w:tabs>
      <w:overflowPunct/>
      <w:autoSpaceDE/>
      <w:autoSpaceDN/>
      <w:adjustRightInd/>
      <w:spacing w:after="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4158"/>
  </w:style>
  <w:style w:type="character" w:customStyle="1" w:styleId="Heading1Char">
    <w:name w:val="Heading 1 Char"/>
    <w:basedOn w:val="DefaultParagraphFont"/>
    <w:link w:val="Heading1"/>
    <w:uiPriority w:val="9"/>
    <w:rsid w:val="00694158"/>
    <w:rPr>
      <w:rFonts w:ascii="Cambria" w:eastAsia="Times New Roman" w:hAnsi="Cambria" w:cs="Times New Roman"/>
      <w:b/>
      <w:bCs/>
      <w:sz w:val="32"/>
      <w:szCs w:val="36"/>
    </w:rPr>
  </w:style>
  <w:style w:type="character" w:customStyle="1" w:styleId="Heading2Char">
    <w:name w:val="Heading 2 Char"/>
    <w:basedOn w:val="DefaultParagraphFont"/>
    <w:link w:val="Heading2"/>
    <w:rsid w:val="00694158"/>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94158"/>
    <w:rPr>
      <w:color w:val="0000FF"/>
      <w:u w:val="single"/>
    </w:rPr>
  </w:style>
  <w:style w:type="paragraph" w:customStyle="1" w:styleId="Text">
    <w:name w:val="Text"/>
    <w:basedOn w:val="Normal"/>
    <w:link w:val="TextChar"/>
    <w:qFormat/>
    <w:rsid w:val="00694158"/>
    <w:rPr>
      <w:sz w:val="22"/>
    </w:rPr>
  </w:style>
  <w:style w:type="character" w:customStyle="1" w:styleId="TextChar">
    <w:name w:val="Text Char"/>
    <w:link w:val="Text"/>
    <w:rsid w:val="00694158"/>
    <w:rPr>
      <w:rFonts w:ascii="Calibri" w:eastAsia="Times New Roman" w:hAnsi="Calibri" w:cs="Times New Roman"/>
      <w:szCs w:val="20"/>
    </w:rPr>
  </w:style>
  <w:style w:type="paragraph" w:styleId="ListParagraph">
    <w:name w:val="List Paragraph"/>
    <w:basedOn w:val="Normal"/>
    <w:uiPriority w:val="34"/>
    <w:qFormat/>
    <w:rsid w:val="006E7069"/>
    <w:pPr>
      <w:ind w:left="720"/>
      <w:contextualSpacing/>
    </w:pPr>
  </w:style>
  <w:style w:type="character" w:customStyle="1" w:styleId="UnresolvedMention1">
    <w:name w:val="Unresolved Mention1"/>
    <w:basedOn w:val="DefaultParagraphFont"/>
    <w:uiPriority w:val="99"/>
    <w:semiHidden/>
    <w:unhideWhenUsed/>
    <w:rsid w:val="00BC6672"/>
    <w:rPr>
      <w:color w:val="605E5C"/>
      <w:shd w:val="clear" w:color="auto" w:fill="E1DFDD"/>
    </w:rPr>
  </w:style>
  <w:style w:type="paragraph" w:styleId="FootnoteText">
    <w:name w:val="footnote text"/>
    <w:basedOn w:val="Normal"/>
    <w:link w:val="FootnoteTextChar"/>
    <w:uiPriority w:val="99"/>
    <w:semiHidden/>
    <w:unhideWhenUsed/>
    <w:rsid w:val="00F632AE"/>
    <w:pPr>
      <w:spacing w:after="0"/>
    </w:pPr>
    <w:rPr>
      <w:sz w:val="20"/>
    </w:rPr>
  </w:style>
  <w:style w:type="character" w:customStyle="1" w:styleId="FootnoteTextChar">
    <w:name w:val="Footnote Text Char"/>
    <w:basedOn w:val="DefaultParagraphFont"/>
    <w:link w:val="FootnoteText"/>
    <w:uiPriority w:val="99"/>
    <w:semiHidden/>
    <w:rsid w:val="00F632A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63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AEACBABA-3775-435C-8C91-8D729DEFFAC6}">
  <ds:schemaRefs>
    <ds:schemaRef ds:uri="http://schemas.microsoft.com/sharepoint/v3/contenttype/forms"/>
  </ds:schemaRefs>
</ds:datastoreItem>
</file>

<file path=customXml/itemProps2.xml><?xml version="1.0" encoding="utf-8"?>
<ds:datastoreItem xmlns:ds="http://schemas.openxmlformats.org/officeDocument/2006/customXml" ds:itemID="{20915C48-D65D-425C-8A73-CBF1C999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79F7A-3619-4D32-8A38-3AF4CCF0EF46}">
  <ds:schemaRefs>
    <ds:schemaRef ds:uri="http://schemas.openxmlformats.org/officeDocument/2006/bibliography"/>
  </ds:schemaRefs>
</ds:datastoreItem>
</file>

<file path=customXml/itemProps4.xml><?xml version="1.0" encoding="utf-8"?>
<ds:datastoreItem xmlns:ds="http://schemas.openxmlformats.org/officeDocument/2006/customXml" ds:itemID="{D4666E13-66DF-4761-80D3-7D0AA6D4460F}">
  <ds:schemaRefs>
    <ds:schemaRef ds:uri="http://schemas.openxmlformats.org/package/2006/metadata/core-properties"/>
    <ds:schemaRef ds:uri="ac7ce04e-ea5d-4d46-bab0-39b1fa6a6f36"/>
    <ds:schemaRef ds:uri="http://purl.org/dc/terms/"/>
    <ds:schemaRef ds:uri="http://schemas.microsoft.com/office/2006/documentManagement/types"/>
    <ds:schemaRef ds:uri="http://schemas.microsoft.com/office/2006/metadata/properties"/>
    <ds:schemaRef ds:uri="425a5c30-4c2f-474f-aa2f-443e46b3d189"/>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3102</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Thailand quick reference guide</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Thailand quick reference guide</dc:title>
  <dc:creator>Department of Agriculture, Water and the Environment and Royal Forestry Department</dc:creator>
  <cp:lastModifiedBy>Fiona Goggins</cp:lastModifiedBy>
  <cp:revision>4</cp:revision>
  <dcterms:created xsi:type="dcterms:W3CDTF">2021-08-16T06:54:00Z</dcterms:created>
  <dcterms:modified xsi:type="dcterms:W3CDTF">2021-12-23T02:12:00Z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