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BF260" w14:textId="3ACF3F4D" w:rsidR="00E362EF" w:rsidRDefault="00D57861">
      <w:pPr>
        <w:pStyle w:val="Heading1"/>
      </w:pPr>
      <w:r>
        <w:t>Stakeholder communication and engagement policy</w:t>
      </w:r>
    </w:p>
    <w:p w14:paraId="2F32A58F" w14:textId="46DEE0C5" w:rsidR="00B5453F" w:rsidRPr="00B5453F" w:rsidRDefault="00D57861" w:rsidP="00B5453F">
      <w:pPr>
        <w:pStyle w:val="Author"/>
      </w:pPr>
      <w:r>
        <w:t>Live Animal Export Branch</w:t>
      </w:r>
    </w:p>
    <w:p w14:paraId="3EB8F68B" w14:textId="65091A7D" w:rsidR="00D57861" w:rsidRDefault="00D57861" w:rsidP="004468AC">
      <w:pPr>
        <w:pStyle w:val="Heading2"/>
        <w:numPr>
          <w:ilvl w:val="0"/>
          <w:numId w:val="0"/>
        </w:numPr>
        <w:ind w:left="720" w:hanging="720"/>
      </w:pPr>
      <w:r>
        <w:t>Introduction</w:t>
      </w:r>
    </w:p>
    <w:p w14:paraId="2FF1E548" w14:textId="0469C709" w:rsidR="00D57861" w:rsidRDefault="00D57861" w:rsidP="00D57861">
      <w:r>
        <w:t xml:space="preserve">The Department of Agriculture, Fisheries and Forestry regulates the export of prescribed livestock, live animals and animal reproductive material in accordance with the </w:t>
      </w:r>
      <w:r w:rsidRPr="00F5099F">
        <w:rPr>
          <w:rStyle w:val="Emphasis"/>
        </w:rPr>
        <w:t>Export Control Act</w:t>
      </w:r>
      <w:r w:rsidR="00CA7D23" w:rsidRPr="00F5099F">
        <w:rPr>
          <w:rStyle w:val="Emphasis"/>
        </w:rPr>
        <w:t> </w:t>
      </w:r>
      <w:r w:rsidRPr="00F5099F">
        <w:rPr>
          <w:rStyle w:val="Emphasis"/>
        </w:rPr>
        <w:t>2020</w:t>
      </w:r>
      <w:r>
        <w:t xml:space="preserve"> and the Export Control (Animals) Rules</w:t>
      </w:r>
      <w:r w:rsidR="00CA7D23">
        <w:t> </w:t>
      </w:r>
      <w:r>
        <w:t>2021.</w:t>
      </w:r>
    </w:p>
    <w:p w14:paraId="15B5715F" w14:textId="6DF5B945" w:rsidR="00D57861" w:rsidRDefault="00D57861" w:rsidP="00D57861">
      <w:r>
        <w:t>Stakeholder communication and engagement activities are core functions of an effective regulator and support day-to-day interactions with regulated entities through to the development of fit-for-purpose operational policy and standards.</w:t>
      </w:r>
    </w:p>
    <w:p w14:paraId="69CEC7FE" w14:textId="36E1BFF7" w:rsidR="00E362EF" w:rsidRPr="00C05EA8" w:rsidRDefault="00D57861" w:rsidP="00C05EA8">
      <w:pPr>
        <w:pStyle w:val="Heading2"/>
      </w:pPr>
      <w:r>
        <w:t>Purpose</w:t>
      </w:r>
    </w:p>
    <w:p w14:paraId="3DD5DE95" w14:textId="1C40293C" w:rsidR="00D57861" w:rsidRDefault="00D57861">
      <w:r w:rsidRPr="00D57861">
        <w:t>This policy describes the circumstances, practices and platforms we may use to engage with live animal export stakeholders</w:t>
      </w:r>
      <w:r>
        <w:t>.</w:t>
      </w:r>
    </w:p>
    <w:p w14:paraId="283FEBB8" w14:textId="24053EFA" w:rsidR="00D57861" w:rsidRDefault="00D57861" w:rsidP="00D57861">
      <w:pPr>
        <w:pStyle w:val="Heading2"/>
      </w:pPr>
      <w:r>
        <w:t>Stakeholders</w:t>
      </w:r>
    </w:p>
    <w:p w14:paraId="40D46F7D" w14:textId="4C553315" w:rsidR="00D57861" w:rsidRDefault="00D57861">
      <w:pPr>
        <w:rPr>
          <w:rFonts w:cstheme="minorHAnsi"/>
          <w:lang w:val="en-US"/>
        </w:rPr>
      </w:pPr>
      <w:r>
        <w:t xml:space="preserve">External </w:t>
      </w:r>
      <w:r w:rsidRPr="008A3FBF">
        <w:rPr>
          <w:rFonts w:cstheme="minorHAnsi"/>
          <w:lang w:val="en-US"/>
        </w:rPr>
        <w:t>stakeholders include but are not limited to</w:t>
      </w:r>
      <w:r>
        <w:rPr>
          <w:rFonts w:cstheme="minorHAnsi"/>
          <w:lang w:val="en-US"/>
        </w:rPr>
        <w:t>:</w:t>
      </w:r>
    </w:p>
    <w:p w14:paraId="7B958B56" w14:textId="45D33C95" w:rsidR="00D57861" w:rsidRDefault="00D57861" w:rsidP="00D57861">
      <w:pPr>
        <w:pStyle w:val="ListBullet"/>
      </w:pPr>
      <w:r>
        <w:t>a</w:t>
      </w:r>
      <w:r w:rsidRPr="00D57861">
        <w:t xml:space="preserve">ccredited </w:t>
      </w:r>
      <w:r>
        <w:t>v</w:t>
      </w:r>
      <w:r w:rsidRPr="00D57861">
        <w:t>eterinarians (AAV)</w:t>
      </w:r>
    </w:p>
    <w:p w14:paraId="7945BA14" w14:textId="6BF49C11" w:rsidR="00D57861" w:rsidRDefault="00D57861" w:rsidP="00D57861">
      <w:pPr>
        <w:pStyle w:val="ListBullet"/>
      </w:pPr>
      <w:r w:rsidRPr="00D57861">
        <w:t>agents for livestock, other live animals and reproductive material</w:t>
      </w:r>
    </w:p>
    <w:p w14:paraId="1C732F61" w14:textId="77777777" w:rsidR="00D57861" w:rsidRPr="00601973" w:rsidRDefault="00D57861" w:rsidP="00D57861">
      <w:pPr>
        <w:pStyle w:val="ListBullet"/>
        <w:rPr>
          <w:rFonts w:cstheme="minorHAnsi"/>
        </w:rPr>
      </w:pPr>
      <w:r w:rsidRPr="00601973">
        <w:rPr>
          <w:rFonts w:cstheme="minorHAnsi"/>
        </w:rPr>
        <w:t>animal health bodies</w:t>
      </w:r>
    </w:p>
    <w:p w14:paraId="0BF5FB84" w14:textId="77777777" w:rsidR="00D57861" w:rsidRPr="00601973" w:rsidRDefault="00D57861" w:rsidP="00D57861">
      <w:pPr>
        <w:pStyle w:val="ListBullet"/>
        <w:rPr>
          <w:rFonts w:cstheme="minorHAnsi"/>
        </w:rPr>
      </w:pPr>
      <w:r w:rsidRPr="00601973">
        <w:rPr>
          <w:rFonts w:cstheme="minorHAnsi"/>
        </w:rPr>
        <w:t>animal welfare groups</w:t>
      </w:r>
    </w:p>
    <w:p w14:paraId="71635C33" w14:textId="77777777" w:rsidR="00D57861" w:rsidRPr="00601973" w:rsidRDefault="00D57861" w:rsidP="00D57861">
      <w:pPr>
        <w:pStyle w:val="ListBullet"/>
        <w:rPr>
          <w:rFonts w:cstheme="minorHAnsi"/>
        </w:rPr>
      </w:pPr>
      <w:r w:rsidRPr="00601973">
        <w:rPr>
          <w:rFonts w:cstheme="minorHAnsi"/>
        </w:rPr>
        <w:t>community groups</w:t>
      </w:r>
    </w:p>
    <w:p w14:paraId="0699B6F0" w14:textId="3A7962D4" w:rsidR="00D57861" w:rsidRPr="00601973" w:rsidRDefault="00D57861" w:rsidP="00D57861">
      <w:pPr>
        <w:pStyle w:val="ListBullet"/>
        <w:rPr>
          <w:rFonts w:cstheme="minorHAnsi"/>
        </w:rPr>
      </w:pPr>
      <w:r w:rsidRPr="00601973">
        <w:rPr>
          <w:rFonts w:cstheme="minorHAnsi"/>
        </w:rPr>
        <w:t>live animal exporters, including animal reproductive material exporters</w:t>
      </w:r>
    </w:p>
    <w:p w14:paraId="35F4F916" w14:textId="31724263" w:rsidR="00D57861" w:rsidRDefault="00D57861" w:rsidP="00D57861">
      <w:pPr>
        <w:pStyle w:val="ListBullet"/>
        <w:rPr>
          <w:rFonts w:cstheme="minorHAnsi"/>
        </w:rPr>
      </w:pPr>
      <w:r>
        <w:rPr>
          <w:rFonts w:cstheme="minorHAnsi"/>
        </w:rPr>
        <w:t>n</w:t>
      </w:r>
      <w:r w:rsidRPr="00601973">
        <w:rPr>
          <w:rFonts w:cstheme="minorHAnsi"/>
        </w:rPr>
        <w:t>ational</w:t>
      </w:r>
      <w:r w:rsidR="00274186">
        <w:rPr>
          <w:rFonts w:cstheme="minorHAnsi"/>
        </w:rPr>
        <w:t>,</w:t>
      </w:r>
      <w:r w:rsidRPr="00601973">
        <w:rPr>
          <w:rFonts w:cstheme="minorHAnsi"/>
        </w:rPr>
        <w:t xml:space="preserve"> state</w:t>
      </w:r>
      <w:r w:rsidR="00274186">
        <w:rPr>
          <w:rFonts w:cstheme="minorHAnsi"/>
        </w:rPr>
        <w:t xml:space="preserve"> or </w:t>
      </w:r>
      <w:r>
        <w:rPr>
          <w:rFonts w:cstheme="minorHAnsi"/>
        </w:rPr>
        <w:t>territory</w:t>
      </w:r>
      <w:r w:rsidRPr="00601973">
        <w:rPr>
          <w:rFonts w:cstheme="minorHAnsi"/>
        </w:rPr>
        <w:t xml:space="preserve"> farming organisations</w:t>
      </w:r>
    </w:p>
    <w:p w14:paraId="74D0278D" w14:textId="7F44FA92" w:rsidR="00D57861" w:rsidRPr="00601973" w:rsidRDefault="00D57861" w:rsidP="00D57861">
      <w:pPr>
        <w:pStyle w:val="ListBullet"/>
        <w:rPr>
          <w:rFonts w:cstheme="minorHAnsi"/>
        </w:rPr>
      </w:pPr>
      <w:r>
        <w:rPr>
          <w:rFonts w:cstheme="minorHAnsi"/>
        </w:rPr>
        <w:t>n</w:t>
      </w:r>
      <w:r w:rsidRPr="00601973">
        <w:rPr>
          <w:rFonts w:cstheme="minorHAnsi"/>
        </w:rPr>
        <w:t>ational</w:t>
      </w:r>
      <w:r w:rsidR="00274186">
        <w:rPr>
          <w:rFonts w:cstheme="minorHAnsi"/>
        </w:rPr>
        <w:t>,</w:t>
      </w:r>
      <w:r w:rsidRPr="00601973">
        <w:rPr>
          <w:rFonts w:cstheme="minorHAnsi"/>
        </w:rPr>
        <w:t xml:space="preserve"> state</w:t>
      </w:r>
      <w:r w:rsidR="00274186">
        <w:rPr>
          <w:rFonts w:cstheme="minorHAnsi"/>
        </w:rPr>
        <w:t xml:space="preserve"> or </w:t>
      </w:r>
      <w:r>
        <w:rPr>
          <w:rFonts w:cstheme="minorHAnsi"/>
        </w:rPr>
        <w:t>territory</w:t>
      </w:r>
      <w:r w:rsidRPr="00601973">
        <w:rPr>
          <w:rFonts w:cstheme="minorHAnsi"/>
        </w:rPr>
        <w:t xml:space="preserve"> peak export industry bodies</w:t>
      </w:r>
    </w:p>
    <w:p w14:paraId="2DDC3BAA" w14:textId="2E966EE1" w:rsidR="00D57861" w:rsidRPr="00601973" w:rsidRDefault="00D57861" w:rsidP="00D57861">
      <w:pPr>
        <w:pStyle w:val="ListBullet"/>
        <w:rPr>
          <w:rFonts w:cstheme="minorHAnsi"/>
        </w:rPr>
      </w:pPr>
      <w:r>
        <w:rPr>
          <w:rFonts w:cstheme="minorHAnsi"/>
        </w:rPr>
        <w:t>n</w:t>
      </w:r>
      <w:r w:rsidRPr="00601973">
        <w:rPr>
          <w:rFonts w:cstheme="minorHAnsi"/>
        </w:rPr>
        <w:t>ational</w:t>
      </w:r>
      <w:r w:rsidR="00274186">
        <w:rPr>
          <w:rFonts w:cstheme="minorHAnsi"/>
        </w:rPr>
        <w:t>,</w:t>
      </w:r>
      <w:r w:rsidRPr="00601973">
        <w:rPr>
          <w:rFonts w:cstheme="minorHAnsi"/>
        </w:rPr>
        <w:t xml:space="preserve"> state</w:t>
      </w:r>
      <w:r w:rsidR="00274186">
        <w:rPr>
          <w:rFonts w:cstheme="minorHAnsi"/>
        </w:rPr>
        <w:t xml:space="preserve"> or </w:t>
      </w:r>
      <w:r>
        <w:rPr>
          <w:rFonts w:cstheme="minorHAnsi"/>
        </w:rPr>
        <w:t>territory</w:t>
      </w:r>
      <w:r w:rsidRPr="00601973">
        <w:rPr>
          <w:rFonts w:cstheme="minorHAnsi"/>
        </w:rPr>
        <w:t xml:space="preserve"> producer bodies</w:t>
      </w:r>
    </w:p>
    <w:p w14:paraId="3E714917" w14:textId="54809856" w:rsidR="00D57861" w:rsidRPr="00601973" w:rsidRDefault="00D57861" w:rsidP="00D57861">
      <w:pPr>
        <w:pStyle w:val="ListBullet"/>
        <w:rPr>
          <w:rFonts w:cstheme="minorHAnsi"/>
        </w:rPr>
      </w:pPr>
      <w:r w:rsidRPr="00601973">
        <w:rPr>
          <w:rFonts w:cstheme="minorHAnsi"/>
        </w:rPr>
        <w:t xml:space="preserve">other </w:t>
      </w:r>
      <w:r w:rsidR="008F3EFB">
        <w:rPr>
          <w:rFonts w:cstheme="minorHAnsi"/>
        </w:rPr>
        <w:t>Australian, state or territory</w:t>
      </w:r>
      <w:r w:rsidRPr="00601973">
        <w:rPr>
          <w:rFonts w:cstheme="minorHAnsi"/>
        </w:rPr>
        <w:t xml:space="preserve"> government</w:t>
      </w:r>
      <w:r w:rsidR="008F3EFB">
        <w:rPr>
          <w:rFonts w:cstheme="minorHAnsi"/>
        </w:rPr>
        <w:t>s</w:t>
      </w:r>
      <w:r w:rsidRPr="00601973">
        <w:rPr>
          <w:rFonts w:cstheme="minorHAnsi"/>
        </w:rPr>
        <w:t>, including the Office of Best Practice Regulation</w:t>
      </w:r>
    </w:p>
    <w:p w14:paraId="2912915B" w14:textId="77777777" w:rsidR="00D57861" w:rsidRPr="00601973" w:rsidRDefault="00D57861" w:rsidP="00D57861">
      <w:pPr>
        <w:pStyle w:val="ListBullet"/>
        <w:rPr>
          <w:rFonts w:cstheme="minorHAnsi"/>
        </w:rPr>
      </w:pPr>
      <w:r w:rsidRPr="00601973">
        <w:rPr>
          <w:rFonts w:cstheme="minorHAnsi"/>
        </w:rPr>
        <w:t>producers and farmers</w:t>
      </w:r>
    </w:p>
    <w:p w14:paraId="6586FA0B" w14:textId="77777777" w:rsidR="00D57861" w:rsidRPr="00601973" w:rsidRDefault="00D57861" w:rsidP="00D57861">
      <w:pPr>
        <w:pStyle w:val="ListBullet"/>
        <w:rPr>
          <w:rFonts w:cstheme="minorHAnsi"/>
        </w:rPr>
      </w:pPr>
      <w:r w:rsidRPr="00601973">
        <w:rPr>
          <w:rFonts w:cstheme="minorHAnsi"/>
        </w:rPr>
        <w:t>registered establishment occupiers</w:t>
      </w:r>
    </w:p>
    <w:p w14:paraId="22142E0A" w14:textId="0D98C837" w:rsidR="00D57861" w:rsidRPr="00EF7461" w:rsidRDefault="00D57861" w:rsidP="00EF7461">
      <w:pPr>
        <w:pStyle w:val="ListBullet"/>
        <w:rPr>
          <w:rFonts w:cstheme="minorHAnsi"/>
        </w:rPr>
      </w:pPr>
      <w:r w:rsidRPr="00601973">
        <w:rPr>
          <w:rFonts w:cstheme="minorHAnsi"/>
        </w:rPr>
        <w:t>other interested parties.</w:t>
      </w:r>
    </w:p>
    <w:p w14:paraId="50193B23" w14:textId="39F1A25F" w:rsidR="001625AF" w:rsidRDefault="001625AF" w:rsidP="001625AF">
      <w:pPr>
        <w:pStyle w:val="Heading2"/>
      </w:pPr>
      <w:r>
        <w:lastRenderedPageBreak/>
        <w:t>Communication and engagement channels</w:t>
      </w:r>
    </w:p>
    <w:p w14:paraId="72FE8CDF" w14:textId="0CE529BA" w:rsidR="001625AF" w:rsidRDefault="001625AF" w:rsidP="001625AF">
      <w:r>
        <w:t xml:space="preserve">The department </w:t>
      </w:r>
      <w:r w:rsidR="00A30B46">
        <w:t xml:space="preserve">has a variety of targeted channels to communicate and engage with its stakeholders. The </w:t>
      </w:r>
      <w:r w:rsidR="00A30B46" w:rsidRPr="00A30B46">
        <w:t>department will use the most appropriate communication channels for the given intent, audience, messaging and desired outcomes</w:t>
      </w:r>
      <w:r w:rsidR="00A30B46">
        <w:t>.</w:t>
      </w:r>
    </w:p>
    <w:p w14:paraId="4E7E7B91" w14:textId="5962F5CA" w:rsidR="00A30B46" w:rsidRDefault="00A30B46" w:rsidP="001625AF">
      <w:pPr>
        <w:rPr>
          <w:rFonts w:cstheme="minorHAnsi"/>
        </w:rPr>
      </w:pPr>
      <w:r>
        <w:t xml:space="preserve">Communication </w:t>
      </w:r>
      <w:r w:rsidRPr="002970FF">
        <w:rPr>
          <w:rFonts w:cstheme="minorHAnsi"/>
        </w:rPr>
        <w:t>channels and engagement mechanisms can be formal, informal, interactive, educational, face to face, directional and/or advisory</w:t>
      </w:r>
      <w:r w:rsidR="00A30113">
        <w:rPr>
          <w:rFonts w:cstheme="minorHAnsi"/>
        </w:rPr>
        <w:t>,</w:t>
      </w:r>
      <w:r w:rsidRPr="002970FF">
        <w:rPr>
          <w:rFonts w:cstheme="minorHAnsi"/>
        </w:rPr>
        <w:t xml:space="preserve"> and may include</w:t>
      </w:r>
      <w:r>
        <w:rPr>
          <w:rFonts w:cstheme="minorHAnsi"/>
        </w:rPr>
        <w:t>:</w:t>
      </w:r>
    </w:p>
    <w:p w14:paraId="59233155" w14:textId="7D3087D6" w:rsidR="00A30B46" w:rsidRPr="002970FF" w:rsidRDefault="00A30B46" w:rsidP="00A30B46">
      <w:pPr>
        <w:pStyle w:val="ListBullet"/>
        <w:rPr>
          <w:rFonts w:cstheme="minorHAnsi"/>
        </w:rPr>
      </w:pPr>
      <w:r w:rsidRPr="002970FF">
        <w:rPr>
          <w:rFonts w:cstheme="minorHAnsi"/>
        </w:rPr>
        <w:t>brochures, information packs, reports</w:t>
      </w:r>
    </w:p>
    <w:p w14:paraId="02734111" w14:textId="1D93A365" w:rsidR="00A30B46" w:rsidRPr="002970FF" w:rsidRDefault="00A30B46" w:rsidP="00A30B46">
      <w:pPr>
        <w:pStyle w:val="ListBullet"/>
        <w:rPr>
          <w:rFonts w:cstheme="minorHAnsi"/>
        </w:rPr>
      </w:pPr>
      <w:r w:rsidRPr="002970FF">
        <w:rPr>
          <w:rFonts w:cstheme="minorHAnsi"/>
        </w:rPr>
        <w:t>direct correspondence</w:t>
      </w:r>
      <w:r>
        <w:rPr>
          <w:rFonts w:cstheme="minorHAnsi"/>
        </w:rPr>
        <w:t>,</w:t>
      </w:r>
      <w:r w:rsidRPr="002970FF">
        <w:rPr>
          <w:rFonts w:cstheme="minorHAnsi"/>
        </w:rPr>
        <w:t xml:space="preserve"> such as emails</w:t>
      </w:r>
    </w:p>
    <w:p w14:paraId="6B759752" w14:textId="77777777" w:rsidR="00A30B46" w:rsidRPr="002970FF" w:rsidRDefault="00A30B46" w:rsidP="00A30B46">
      <w:pPr>
        <w:pStyle w:val="ListBullet"/>
        <w:rPr>
          <w:rFonts w:cstheme="minorHAnsi"/>
        </w:rPr>
      </w:pPr>
      <w:r w:rsidRPr="002970FF">
        <w:rPr>
          <w:rFonts w:cstheme="minorHAnsi"/>
        </w:rPr>
        <w:t>education and training events</w:t>
      </w:r>
    </w:p>
    <w:p w14:paraId="024ADA4E" w14:textId="753E2280" w:rsidR="00A30B46" w:rsidRPr="002970FF" w:rsidRDefault="00A30B46" w:rsidP="00A30B46">
      <w:pPr>
        <w:pStyle w:val="ListBullet"/>
        <w:rPr>
          <w:rFonts w:cstheme="minorHAnsi"/>
        </w:rPr>
      </w:pPr>
      <w:r>
        <w:rPr>
          <w:rFonts w:cstheme="minorHAnsi"/>
        </w:rPr>
        <w:t>e</w:t>
      </w:r>
      <w:r w:rsidRPr="002970FF">
        <w:rPr>
          <w:rFonts w:cstheme="minorHAnsi"/>
        </w:rPr>
        <w:t xml:space="preserve">xport </w:t>
      </w:r>
      <w:r>
        <w:rPr>
          <w:rFonts w:cstheme="minorHAnsi"/>
        </w:rPr>
        <w:t>a</w:t>
      </w:r>
      <w:r w:rsidRPr="002970FF">
        <w:rPr>
          <w:rFonts w:cstheme="minorHAnsi"/>
        </w:rPr>
        <w:t xml:space="preserve">dvisory </w:t>
      </w:r>
      <w:r>
        <w:rPr>
          <w:rFonts w:cstheme="minorHAnsi"/>
        </w:rPr>
        <w:t>n</w:t>
      </w:r>
      <w:r w:rsidRPr="002970FF">
        <w:rPr>
          <w:rFonts w:cstheme="minorHAnsi"/>
        </w:rPr>
        <w:t xml:space="preserve">otices (EAN) and </w:t>
      </w:r>
      <w:r>
        <w:rPr>
          <w:rFonts w:cstheme="minorHAnsi"/>
        </w:rPr>
        <w:t>m</w:t>
      </w:r>
      <w:r w:rsidRPr="002970FF">
        <w:rPr>
          <w:rFonts w:cstheme="minorHAnsi"/>
        </w:rPr>
        <w:t xml:space="preserve">arket </w:t>
      </w:r>
      <w:r>
        <w:rPr>
          <w:rFonts w:cstheme="minorHAnsi"/>
        </w:rPr>
        <w:t>a</w:t>
      </w:r>
      <w:r w:rsidRPr="002970FF">
        <w:rPr>
          <w:rFonts w:cstheme="minorHAnsi"/>
        </w:rPr>
        <w:t xml:space="preserve">ccess </w:t>
      </w:r>
      <w:r>
        <w:rPr>
          <w:rFonts w:cstheme="minorHAnsi"/>
        </w:rPr>
        <w:t>n</w:t>
      </w:r>
      <w:r w:rsidRPr="002970FF">
        <w:rPr>
          <w:rFonts w:cstheme="minorHAnsi"/>
        </w:rPr>
        <w:t>otices (MAN)</w:t>
      </w:r>
    </w:p>
    <w:p w14:paraId="203E702C" w14:textId="77777777" w:rsidR="00A30B46" w:rsidRPr="002970FF" w:rsidRDefault="00A30B46" w:rsidP="00A30B46">
      <w:pPr>
        <w:pStyle w:val="ListBullet"/>
        <w:rPr>
          <w:rFonts w:cstheme="minorHAnsi"/>
        </w:rPr>
      </w:pPr>
      <w:r w:rsidRPr="002970FF">
        <w:rPr>
          <w:rFonts w:cstheme="minorHAnsi"/>
        </w:rPr>
        <w:t>Have Your Say and other survey platforms</w:t>
      </w:r>
    </w:p>
    <w:p w14:paraId="077F9A51" w14:textId="77777777" w:rsidR="00A30B46" w:rsidRPr="002970FF" w:rsidRDefault="00A30B46" w:rsidP="00A30B46">
      <w:pPr>
        <w:pStyle w:val="ListBullet"/>
        <w:rPr>
          <w:rFonts w:cstheme="minorHAnsi"/>
        </w:rPr>
      </w:pPr>
      <w:r w:rsidRPr="002970FF">
        <w:rPr>
          <w:rFonts w:cstheme="minorHAnsi"/>
        </w:rPr>
        <w:t>round tables, forums, seminars, focus groups, working groups, consultations</w:t>
      </w:r>
    </w:p>
    <w:p w14:paraId="778C9A42" w14:textId="4CE7059F" w:rsidR="00A30B46" w:rsidRPr="002970FF" w:rsidRDefault="00A30B46" w:rsidP="00A30B46">
      <w:pPr>
        <w:pStyle w:val="ListBullet"/>
        <w:rPr>
          <w:rFonts w:cstheme="minorHAnsi"/>
        </w:rPr>
      </w:pPr>
      <w:r w:rsidRPr="002970FF">
        <w:rPr>
          <w:rFonts w:cstheme="minorHAnsi"/>
        </w:rPr>
        <w:t>social media</w:t>
      </w:r>
      <w:r>
        <w:rPr>
          <w:rFonts w:cstheme="minorHAnsi"/>
        </w:rPr>
        <w:t>,</w:t>
      </w:r>
      <w:r w:rsidRPr="002970FF">
        <w:rPr>
          <w:rFonts w:cstheme="minorHAnsi"/>
        </w:rPr>
        <w:t xml:space="preserve"> including Twitter, Facebook, LinkedIn</w:t>
      </w:r>
    </w:p>
    <w:p w14:paraId="2C74A65D" w14:textId="77777777" w:rsidR="00A30B46" w:rsidRPr="002970FF" w:rsidRDefault="00A30B46" w:rsidP="00A30B46">
      <w:pPr>
        <w:pStyle w:val="ListBullet"/>
        <w:rPr>
          <w:rFonts w:cstheme="minorHAnsi"/>
        </w:rPr>
      </w:pPr>
      <w:r w:rsidRPr="002970FF">
        <w:rPr>
          <w:rFonts w:cstheme="minorHAnsi"/>
        </w:rPr>
        <w:t>webinars, teleconferences</w:t>
      </w:r>
    </w:p>
    <w:p w14:paraId="5625BC38" w14:textId="78E38788" w:rsidR="00A30B46" w:rsidRPr="002970FF" w:rsidRDefault="00A30B46" w:rsidP="00A30B46">
      <w:pPr>
        <w:pStyle w:val="ListBullet"/>
        <w:rPr>
          <w:rFonts w:cstheme="minorHAnsi"/>
        </w:rPr>
      </w:pPr>
      <w:r w:rsidRPr="002970FF">
        <w:rPr>
          <w:rFonts w:cstheme="minorHAnsi"/>
        </w:rPr>
        <w:t>website updates</w:t>
      </w:r>
      <w:r>
        <w:rPr>
          <w:rFonts w:cstheme="minorHAnsi"/>
        </w:rPr>
        <w:t>.</w:t>
      </w:r>
    </w:p>
    <w:p w14:paraId="5A9F3509" w14:textId="3A2DC389" w:rsidR="00A30B46" w:rsidRDefault="00A30B46" w:rsidP="00A30B46">
      <w:pPr>
        <w:pStyle w:val="Heading2"/>
      </w:pPr>
      <w:bookmarkStart w:id="0" w:name="_Hlk130835452"/>
      <w:r>
        <w:t>Engagement circumstances</w:t>
      </w:r>
    </w:p>
    <w:bookmarkEnd w:id="0"/>
    <w:p w14:paraId="30453CBD" w14:textId="799AD01D" w:rsidR="00A30B46" w:rsidRDefault="00076A29" w:rsidP="001625AF">
      <w:pPr>
        <w:rPr>
          <w:rFonts w:cstheme="minorHAnsi"/>
          <w:lang w:val="en-US"/>
        </w:rPr>
      </w:pPr>
      <w:r>
        <w:rPr>
          <w:rFonts w:cstheme="minorHAnsi"/>
          <w:lang w:val="en-US"/>
        </w:rPr>
        <w:t xml:space="preserve">Circumstances where the department engages with specific stakeholder groups are outlined at </w:t>
      </w:r>
      <w:hyperlink w:anchor="_Appendix_A:_Stakeholder" w:history="1">
        <w:r w:rsidRPr="00164391">
          <w:rPr>
            <w:rStyle w:val="Hyperlink"/>
            <w:rFonts w:cstheme="minorHAnsi"/>
            <w:lang w:val="en-US"/>
          </w:rPr>
          <w:t>Appendix A</w:t>
        </w:r>
      </w:hyperlink>
      <w:r>
        <w:rPr>
          <w:rFonts w:cstheme="minorHAnsi"/>
          <w:lang w:val="en-US"/>
        </w:rPr>
        <w:t>.</w:t>
      </w:r>
    </w:p>
    <w:p w14:paraId="59535CE5" w14:textId="22840301" w:rsidR="001625AF" w:rsidRDefault="00076A29">
      <w:r>
        <w:t xml:space="preserve">The </w:t>
      </w:r>
      <w:r w:rsidRPr="00076A29">
        <w:t>department will periodically evaluate its communication and engagement activities to determine whether they are effective and whether messages are being understood</w:t>
      </w:r>
      <w:r>
        <w:t>.</w:t>
      </w:r>
    </w:p>
    <w:p w14:paraId="3D73FA5B" w14:textId="0F9411DB" w:rsidR="00076A29" w:rsidRDefault="00076A29">
      <w:pPr>
        <w:rPr>
          <w:rFonts w:cstheme="minorHAnsi"/>
        </w:rPr>
      </w:pPr>
      <w:r>
        <w:t xml:space="preserve">In </w:t>
      </w:r>
      <w:r w:rsidRPr="002970FF">
        <w:rPr>
          <w:rFonts w:cstheme="minorHAnsi"/>
        </w:rPr>
        <w:t>all circumstances, the department protects information that is of a sensitive or confidential nature so as not to compromise any person, place or organisation as it deems necessary and in line with all relevant legislation</w:t>
      </w:r>
      <w:r>
        <w:rPr>
          <w:rFonts w:cstheme="minorHAnsi"/>
        </w:rPr>
        <w:t>.</w:t>
      </w:r>
    </w:p>
    <w:p w14:paraId="3E7DACB7" w14:textId="5CA78301" w:rsidR="00076A29" w:rsidRDefault="00A30113">
      <w:pPr>
        <w:rPr>
          <w:rFonts w:cstheme="minorHAnsi"/>
        </w:rPr>
      </w:pPr>
      <w:r>
        <w:rPr>
          <w:rFonts w:cstheme="minorHAnsi"/>
        </w:rPr>
        <w:t>I</w:t>
      </w:r>
      <w:r w:rsidR="00076A29" w:rsidRPr="00076A29">
        <w:rPr>
          <w:rFonts w:cstheme="minorHAnsi"/>
        </w:rPr>
        <w:t xml:space="preserve">nformation obtained under, or in accordance with, the </w:t>
      </w:r>
      <w:r w:rsidR="00076A29" w:rsidRPr="004468AC">
        <w:rPr>
          <w:rStyle w:val="Emphasis"/>
        </w:rPr>
        <w:t>Export Control Act</w:t>
      </w:r>
      <w:r w:rsidR="00CA7D23" w:rsidRPr="004468AC">
        <w:rPr>
          <w:rStyle w:val="Emphasis"/>
        </w:rPr>
        <w:t> </w:t>
      </w:r>
      <w:r w:rsidR="00076A29" w:rsidRPr="004468AC">
        <w:rPr>
          <w:rStyle w:val="Emphasis"/>
        </w:rPr>
        <w:t xml:space="preserve">2020 </w:t>
      </w:r>
      <w:r w:rsidR="00076A29">
        <w:rPr>
          <w:rFonts w:cstheme="minorHAnsi"/>
        </w:rPr>
        <w:t xml:space="preserve">(the Act) </w:t>
      </w:r>
      <w:r w:rsidR="00076A29" w:rsidRPr="00076A29">
        <w:rPr>
          <w:rFonts w:cstheme="minorHAnsi"/>
        </w:rPr>
        <w:t>is protected information and may only be used or disclosed in accordance with th</w:t>
      </w:r>
      <w:r w:rsidR="00076A29">
        <w:rPr>
          <w:rFonts w:cstheme="minorHAnsi"/>
        </w:rPr>
        <w:t>e</w:t>
      </w:r>
      <w:r w:rsidR="00076A29" w:rsidRPr="00076A29">
        <w:rPr>
          <w:rFonts w:cstheme="minorHAnsi"/>
        </w:rPr>
        <w:t xml:space="preserve"> Act</w:t>
      </w:r>
      <w:r w:rsidR="00076A29">
        <w:rPr>
          <w:rFonts w:cstheme="minorHAnsi"/>
        </w:rPr>
        <w:t>.</w:t>
      </w:r>
    </w:p>
    <w:p w14:paraId="2D232B9A" w14:textId="2680D543" w:rsidR="00076A29" w:rsidRDefault="00076A29" w:rsidP="00076A29">
      <w:pPr>
        <w:pStyle w:val="Heading2"/>
      </w:pPr>
      <w:r>
        <w:t>Related material</w:t>
      </w:r>
    </w:p>
    <w:p w14:paraId="1CAB1CC0" w14:textId="37905409" w:rsidR="00076A29" w:rsidRPr="00D16A96" w:rsidRDefault="00076A29" w:rsidP="00076A29">
      <w:pPr>
        <w:pStyle w:val="ListBullet"/>
        <w:rPr>
          <w:rStyle w:val="Hyperlink"/>
          <w:rFonts w:cstheme="minorHAnsi"/>
        </w:rPr>
      </w:pPr>
      <w:r w:rsidRPr="00D16A96">
        <w:rPr>
          <w:rFonts w:cstheme="minorHAnsi"/>
        </w:rPr>
        <w:fldChar w:fldCharType="begin"/>
      </w:r>
      <w:r w:rsidRPr="00D16A96">
        <w:rPr>
          <w:rFonts w:cstheme="minorHAnsi"/>
        </w:rPr>
        <w:instrText>HYPERLINK "https://www.agriculture.gov.au/biosecurity-trade/export/controlled-goods/live-animals"</w:instrText>
      </w:r>
      <w:r w:rsidRPr="00D16A96">
        <w:rPr>
          <w:rFonts w:cstheme="minorHAnsi"/>
        </w:rPr>
      </w:r>
      <w:r w:rsidRPr="00D16A96">
        <w:rPr>
          <w:rFonts w:cstheme="minorHAnsi"/>
        </w:rPr>
        <w:fldChar w:fldCharType="separate"/>
      </w:r>
      <w:r w:rsidRPr="00D16A96">
        <w:rPr>
          <w:rStyle w:val="Hyperlink"/>
          <w:rFonts w:cstheme="minorHAnsi"/>
        </w:rPr>
        <w:t>Department of Agriculture, Fisheries and Forestry website</w:t>
      </w:r>
    </w:p>
    <w:p w14:paraId="134FF17C" w14:textId="77777777" w:rsidR="00D16A96" w:rsidRPr="00D16A96" w:rsidRDefault="00076A29" w:rsidP="00D16A96">
      <w:pPr>
        <w:pStyle w:val="ListBullet"/>
        <w:rPr>
          <w:rFonts w:cstheme="minorHAnsi"/>
        </w:rPr>
      </w:pPr>
      <w:r w:rsidRPr="00D16A96">
        <w:rPr>
          <w:rFonts w:cstheme="minorHAnsi"/>
        </w:rPr>
        <w:fldChar w:fldCharType="end"/>
      </w:r>
      <w:hyperlink r:id="rId11" w:history="1">
        <w:r w:rsidR="00D16A96" w:rsidRPr="00D16A96">
          <w:rPr>
            <w:rStyle w:val="Hyperlink"/>
            <w:rFonts w:cstheme="minorHAnsi"/>
          </w:rPr>
          <w:t>Export Advisory Notices</w:t>
        </w:r>
      </w:hyperlink>
    </w:p>
    <w:p w14:paraId="6B7ABB41" w14:textId="235C9EE1" w:rsidR="00076A29" w:rsidRPr="00D16A96" w:rsidRDefault="006559ED" w:rsidP="00076A29">
      <w:pPr>
        <w:pStyle w:val="ListBullet"/>
        <w:rPr>
          <w:rStyle w:val="Emphasis"/>
          <w:rFonts w:cstheme="minorHAnsi"/>
          <w:i w:val="0"/>
          <w:iCs w:val="0"/>
        </w:rPr>
      </w:pPr>
      <w:hyperlink r:id="rId12" w:history="1">
        <w:r w:rsidR="00CA7D23">
          <w:rPr>
            <w:rStyle w:val="Hyperlink"/>
          </w:rPr>
          <w:t>Export Control Act 2020</w:t>
        </w:r>
      </w:hyperlink>
    </w:p>
    <w:p w14:paraId="5E6E8DB8" w14:textId="364DC34B" w:rsidR="00076A29" w:rsidRPr="00D16A96" w:rsidRDefault="006559ED" w:rsidP="00076A29">
      <w:pPr>
        <w:pStyle w:val="ListBullet"/>
        <w:rPr>
          <w:rStyle w:val="Emphasis"/>
          <w:rFonts w:cstheme="minorHAnsi"/>
          <w:i w:val="0"/>
          <w:iCs w:val="0"/>
        </w:rPr>
      </w:pPr>
      <w:hyperlink r:id="rId13" w:history="1">
        <w:r w:rsidR="00CA7D23">
          <w:rPr>
            <w:rStyle w:val="Hyperlink"/>
            <w:rFonts w:cstheme="minorHAnsi"/>
          </w:rPr>
          <w:t>Export Control (Animals) Rules 2021</w:t>
        </w:r>
      </w:hyperlink>
    </w:p>
    <w:p w14:paraId="523FB544" w14:textId="77777777" w:rsidR="00076A29" w:rsidRPr="00D16A96" w:rsidRDefault="006559ED" w:rsidP="00076A29">
      <w:pPr>
        <w:pStyle w:val="ListBullet"/>
        <w:rPr>
          <w:rFonts w:cstheme="minorHAnsi"/>
        </w:rPr>
      </w:pPr>
      <w:hyperlink r:id="rId14" w:history="1">
        <w:r w:rsidR="00076A29" w:rsidRPr="00D16A96">
          <w:rPr>
            <w:rStyle w:val="Hyperlink"/>
            <w:rFonts w:cstheme="minorHAnsi"/>
          </w:rPr>
          <w:t>Have Your Say website</w:t>
        </w:r>
      </w:hyperlink>
    </w:p>
    <w:p w14:paraId="08E6DF8A" w14:textId="08BE00A5" w:rsidR="00076A29" w:rsidRDefault="006559ED" w:rsidP="00076A29">
      <w:pPr>
        <w:pStyle w:val="ListBullet"/>
        <w:rPr>
          <w:rFonts w:cstheme="minorHAnsi"/>
        </w:rPr>
      </w:pPr>
      <w:hyperlink r:id="rId15" w:history="1">
        <w:r w:rsidR="00076A29" w:rsidRPr="00D16A96">
          <w:rPr>
            <w:rStyle w:val="Hyperlink"/>
            <w:rFonts w:cstheme="minorHAnsi"/>
          </w:rPr>
          <w:t>Market Access Notices</w:t>
        </w:r>
      </w:hyperlink>
    </w:p>
    <w:p w14:paraId="0D5D5B92" w14:textId="77777777" w:rsidR="00EF7461" w:rsidRDefault="00EF7461">
      <w:pPr>
        <w:spacing w:after="0" w:line="240" w:lineRule="auto"/>
        <w:rPr>
          <w:rFonts w:cstheme="minorHAnsi"/>
        </w:rPr>
        <w:sectPr w:rsidR="00EF7461">
          <w:headerReference w:type="default" r:id="rId16"/>
          <w:footerReference w:type="default" r:id="rId17"/>
          <w:headerReference w:type="first" r:id="rId18"/>
          <w:footerReference w:type="first" r:id="rId19"/>
          <w:pgSz w:w="11906" w:h="16838"/>
          <w:pgMar w:top="1418" w:right="1418" w:bottom="1418" w:left="1418" w:header="567" w:footer="283" w:gutter="0"/>
          <w:cols w:space="708"/>
          <w:titlePg/>
          <w:docGrid w:linePitch="360"/>
        </w:sectPr>
      </w:pPr>
      <w:r>
        <w:rPr>
          <w:rFonts w:cstheme="minorHAnsi"/>
        </w:rPr>
        <w:br w:type="page"/>
      </w:r>
    </w:p>
    <w:p w14:paraId="6814B387" w14:textId="3D9B94FF" w:rsidR="00E362EF" w:rsidRDefault="007C5B94" w:rsidP="00EF7461">
      <w:pPr>
        <w:pStyle w:val="Heading2"/>
        <w:numPr>
          <w:ilvl w:val="0"/>
          <w:numId w:val="0"/>
        </w:numPr>
      </w:pPr>
      <w:bookmarkStart w:id="3" w:name="_Appendix_A:_Statistical"/>
      <w:bookmarkStart w:id="4" w:name="_Appendix_A:_Stakeholder"/>
      <w:bookmarkStart w:id="5" w:name="_Toc430782160"/>
      <w:bookmarkStart w:id="6" w:name="_Toc511376528"/>
      <w:bookmarkEnd w:id="3"/>
      <w:bookmarkEnd w:id="4"/>
      <w:r>
        <w:lastRenderedPageBreak/>
        <w:t>Appendix A: Sta</w:t>
      </w:r>
      <w:r w:rsidR="00EF7461">
        <w:t>keholder engagement circumstances and platforms</w:t>
      </w:r>
      <w:bookmarkEnd w:id="5"/>
      <w:bookmarkEnd w:id="6"/>
    </w:p>
    <w:tbl>
      <w:tblPr>
        <w:tblStyle w:val="TableGrid"/>
        <w:tblW w:w="1431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89"/>
        <w:gridCol w:w="2976"/>
        <w:gridCol w:w="5387"/>
        <w:gridCol w:w="3260"/>
      </w:tblGrid>
      <w:tr w:rsidR="00EF7461" w:rsidRPr="00EF7461" w14:paraId="6153432A" w14:textId="77777777" w:rsidTr="002159B9">
        <w:tc>
          <w:tcPr>
            <w:tcW w:w="2689" w:type="dxa"/>
          </w:tcPr>
          <w:p w14:paraId="68299ADF" w14:textId="77777777" w:rsidR="00EF7461" w:rsidRPr="00EF7461" w:rsidRDefault="00EF7461" w:rsidP="00E65B05">
            <w:pPr>
              <w:pStyle w:val="TableHeading"/>
            </w:pPr>
            <w:r w:rsidRPr="00EF7461">
              <w:t>Circumstance</w:t>
            </w:r>
          </w:p>
        </w:tc>
        <w:tc>
          <w:tcPr>
            <w:tcW w:w="2976" w:type="dxa"/>
          </w:tcPr>
          <w:p w14:paraId="1F2744A4" w14:textId="77777777" w:rsidR="00EF7461" w:rsidRPr="00EF7461" w:rsidRDefault="00EF7461" w:rsidP="00E65B05">
            <w:pPr>
              <w:pStyle w:val="TableHeading"/>
            </w:pPr>
            <w:r w:rsidRPr="00EF7461">
              <w:t>Primary stakeholder audience includes</w:t>
            </w:r>
          </w:p>
        </w:tc>
        <w:tc>
          <w:tcPr>
            <w:tcW w:w="5387" w:type="dxa"/>
          </w:tcPr>
          <w:p w14:paraId="40810312" w14:textId="77777777" w:rsidR="00EF7461" w:rsidRPr="00EF7461" w:rsidRDefault="00EF7461" w:rsidP="00E65B05">
            <w:pPr>
              <w:pStyle w:val="TableHeading"/>
            </w:pPr>
            <w:r w:rsidRPr="00EF7461">
              <w:t>Reason</w:t>
            </w:r>
          </w:p>
        </w:tc>
        <w:tc>
          <w:tcPr>
            <w:tcW w:w="3260" w:type="dxa"/>
          </w:tcPr>
          <w:p w14:paraId="305FABEC" w14:textId="77777777" w:rsidR="00EF7461" w:rsidRPr="00EF7461" w:rsidRDefault="00EF7461" w:rsidP="00E65B05">
            <w:pPr>
              <w:pStyle w:val="TableHeading"/>
            </w:pPr>
            <w:r w:rsidRPr="00EF7461">
              <w:t>Platforms that may be utilised</w:t>
            </w:r>
          </w:p>
        </w:tc>
      </w:tr>
      <w:tr w:rsidR="00EF7461" w:rsidRPr="00EF7461" w14:paraId="7BD8C995" w14:textId="77777777" w:rsidTr="002159B9">
        <w:tc>
          <w:tcPr>
            <w:tcW w:w="2689" w:type="dxa"/>
          </w:tcPr>
          <w:p w14:paraId="2C9DEB9D" w14:textId="10877369" w:rsidR="00EF7461" w:rsidRPr="00EF7461" w:rsidRDefault="00EF7461" w:rsidP="00BE66BB">
            <w:pPr>
              <w:pStyle w:val="TableText"/>
              <w:rPr>
                <w:lang w:val="en-GB"/>
              </w:rPr>
            </w:pPr>
            <w:r w:rsidRPr="00EF7461">
              <w:rPr>
                <w:lang w:val="en-GB"/>
              </w:rPr>
              <w:t>Routine interactions with our regulated entities, on day-to-day operations.</w:t>
            </w:r>
            <w:r w:rsidR="0076663B">
              <w:rPr>
                <w:lang w:val="en-GB"/>
              </w:rPr>
              <w:t xml:space="preserve"> For example:</w:t>
            </w:r>
          </w:p>
          <w:p w14:paraId="0F3F6168" w14:textId="77777777" w:rsidR="004E7366" w:rsidRDefault="004E7366" w:rsidP="005079D8">
            <w:pPr>
              <w:pStyle w:val="TableBullet2"/>
              <w:tabs>
                <w:tab w:val="clear" w:pos="462"/>
              </w:tabs>
              <w:ind w:left="171" w:hanging="171"/>
            </w:pPr>
            <w:r w:rsidRPr="00EF7461">
              <w:t>AAV application assessments</w:t>
            </w:r>
          </w:p>
          <w:p w14:paraId="41649FF4" w14:textId="26E065BF" w:rsidR="00EF7461" w:rsidRPr="00EF7461" w:rsidRDefault="00EF7461" w:rsidP="005079D8">
            <w:pPr>
              <w:pStyle w:val="TableBullet2"/>
              <w:tabs>
                <w:tab w:val="clear" w:pos="462"/>
              </w:tabs>
              <w:ind w:left="171" w:hanging="171"/>
            </w:pPr>
            <w:r w:rsidRPr="00EF7461">
              <w:t>licence or approved arrangement assessments</w:t>
            </w:r>
          </w:p>
          <w:p w14:paraId="7BAE8498" w14:textId="6174C057" w:rsidR="00EF7461" w:rsidRPr="005079D8" w:rsidRDefault="004E7366" w:rsidP="004E7366">
            <w:pPr>
              <w:pStyle w:val="TableBullet2"/>
              <w:tabs>
                <w:tab w:val="clear" w:pos="462"/>
              </w:tabs>
              <w:ind w:left="171" w:hanging="171"/>
            </w:pPr>
            <w:r>
              <w:t>n</w:t>
            </w:r>
            <w:r w:rsidR="00EF7461" w:rsidRPr="00EF7461">
              <w:t xml:space="preserve">otice of </w:t>
            </w:r>
            <w:r>
              <w:t>i</w:t>
            </w:r>
            <w:r w:rsidR="00EF7461" w:rsidRPr="00EF7461">
              <w:t>ntention to export (NOI) assessments</w:t>
            </w:r>
          </w:p>
        </w:tc>
        <w:tc>
          <w:tcPr>
            <w:tcW w:w="2976" w:type="dxa"/>
          </w:tcPr>
          <w:p w14:paraId="6F598E7F" w14:textId="77777777" w:rsidR="004E7D8C" w:rsidRPr="00EF7461" w:rsidRDefault="004E7D8C" w:rsidP="004E7D8C">
            <w:pPr>
              <w:pStyle w:val="TableBullet1"/>
            </w:pPr>
            <w:r>
              <w:t>AAVs</w:t>
            </w:r>
          </w:p>
          <w:p w14:paraId="5DBE5942" w14:textId="77777777" w:rsidR="004E7D8C" w:rsidRPr="00EF7461" w:rsidRDefault="004E7D8C" w:rsidP="004E7D8C">
            <w:pPr>
              <w:pStyle w:val="TableBullet1"/>
            </w:pPr>
            <w:r w:rsidRPr="00EF7461">
              <w:t>live animal exporters</w:t>
            </w:r>
          </w:p>
          <w:p w14:paraId="6F2B3DA5" w14:textId="3430C30B" w:rsidR="004E7D8C" w:rsidRDefault="004E7D8C" w:rsidP="005079D8">
            <w:pPr>
              <w:pStyle w:val="TableBullet1"/>
            </w:pPr>
            <w:r w:rsidRPr="00EF7461">
              <w:t>other government departments</w:t>
            </w:r>
          </w:p>
          <w:p w14:paraId="249D934D" w14:textId="2DA34A03" w:rsidR="00EF7461" w:rsidRPr="00EF7461" w:rsidRDefault="00EF7461" w:rsidP="004E7D8C">
            <w:pPr>
              <w:pStyle w:val="TableBullet1"/>
            </w:pPr>
            <w:r w:rsidRPr="00EF7461">
              <w:t>registered establishment occupiers</w:t>
            </w:r>
          </w:p>
        </w:tc>
        <w:tc>
          <w:tcPr>
            <w:tcW w:w="5387" w:type="dxa"/>
          </w:tcPr>
          <w:p w14:paraId="4C28C484" w14:textId="77777777" w:rsidR="00EF7461" w:rsidRPr="00BE66BB" w:rsidRDefault="00EF7461" w:rsidP="00BE66BB">
            <w:pPr>
              <w:pStyle w:val="TableText"/>
            </w:pPr>
            <w:r w:rsidRPr="00BE66BB">
              <w:t>The department will communicate with individual stakeholders directly and in-confidence where a particular activity directly concerns their operations (such as licence or approved arrangement assessments).</w:t>
            </w:r>
          </w:p>
          <w:p w14:paraId="5307EA19" w14:textId="314A7093" w:rsidR="00EF7461" w:rsidRPr="00BE66BB" w:rsidRDefault="00EF7461" w:rsidP="00BE66BB">
            <w:pPr>
              <w:pStyle w:val="TableText"/>
            </w:pPr>
            <w:r w:rsidRPr="00BE66BB">
              <w:t xml:space="preserve">There are </w:t>
            </w:r>
            <w:r w:rsidRPr="007E6DB0">
              <w:t xml:space="preserve">circumstances </w:t>
            </w:r>
            <w:r w:rsidRPr="00BE66BB">
              <w:t>where the department can only communicate with certain persons in a livestock export business. They must be nominated under the relevant export licence as a person in management or control. This is a requirement under the Act.</w:t>
            </w:r>
            <w:r w:rsidR="00931892">
              <w:t xml:space="preserve"> Read more about</w:t>
            </w:r>
            <w:r w:rsidR="00274186">
              <w:t xml:space="preserve"> </w:t>
            </w:r>
            <w:hyperlink r:id="rId20" w:anchor="contacting-us-about-your-export-business" w:history="1">
              <w:r w:rsidR="00274186" w:rsidRPr="00274186">
                <w:rPr>
                  <w:rStyle w:val="Hyperlink"/>
                </w:rPr>
                <w:t>management or control and directing export operations</w:t>
              </w:r>
            </w:hyperlink>
            <w:r w:rsidR="00274186">
              <w:t>.</w:t>
            </w:r>
          </w:p>
          <w:p w14:paraId="05D160A2" w14:textId="4B67A8E8" w:rsidR="00EF7461" w:rsidRPr="00EF7461" w:rsidRDefault="00EF7461" w:rsidP="00BE66BB">
            <w:pPr>
              <w:pStyle w:val="TableText"/>
              <w:rPr>
                <w:lang w:val="en-GB"/>
              </w:rPr>
            </w:pPr>
            <w:r w:rsidRPr="00EF7461">
              <w:t>The department will not consult with other stakeholders on these day-to-day operations. The nature of the engagement is regulatory and appropriate to be between the regulator and the regulated entity.</w:t>
            </w:r>
          </w:p>
        </w:tc>
        <w:tc>
          <w:tcPr>
            <w:tcW w:w="3260" w:type="dxa"/>
          </w:tcPr>
          <w:p w14:paraId="28AF2823" w14:textId="79F468D9" w:rsidR="00270847" w:rsidRDefault="00270847" w:rsidP="005079D8">
            <w:pPr>
              <w:pStyle w:val="TableBullet1"/>
            </w:pPr>
            <w:r w:rsidRPr="00270847">
              <w:t>telephone and/or email notifications, instructions and advice</w:t>
            </w:r>
          </w:p>
          <w:p w14:paraId="3BE2836D" w14:textId="05D7E78A" w:rsidR="00EF7461" w:rsidRPr="00EF7461" w:rsidRDefault="00EF7461" w:rsidP="00270847">
            <w:pPr>
              <w:pStyle w:val="TableBullet1"/>
            </w:pPr>
            <w:r w:rsidRPr="00EF7461">
              <w:t>written correspondence (such as email or formal notices)</w:t>
            </w:r>
          </w:p>
        </w:tc>
      </w:tr>
      <w:tr w:rsidR="00EF7461" w:rsidRPr="00EF7461" w14:paraId="72A147F8" w14:textId="77777777" w:rsidTr="002159B9">
        <w:tc>
          <w:tcPr>
            <w:tcW w:w="2689" w:type="dxa"/>
          </w:tcPr>
          <w:p w14:paraId="46BA42ED" w14:textId="77777777" w:rsidR="00EF7461" w:rsidRPr="00EF7461" w:rsidRDefault="00EF7461" w:rsidP="00BE66BB">
            <w:pPr>
              <w:pStyle w:val="TableText"/>
              <w:rPr>
                <w:lang w:val="en-GB"/>
              </w:rPr>
            </w:pPr>
            <w:r w:rsidRPr="00EF7461">
              <w:rPr>
                <w:lang w:val="en-GB"/>
              </w:rPr>
              <w:t>Non-routine interactions with regulated entities and other stakeholders.</w:t>
            </w:r>
          </w:p>
          <w:p w14:paraId="72A66A37" w14:textId="77777777" w:rsidR="00EF7461" w:rsidRPr="00EF7461" w:rsidRDefault="00EF7461" w:rsidP="00BE66BB">
            <w:pPr>
              <w:pStyle w:val="TableText"/>
              <w:rPr>
                <w:lang w:val="en-GB"/>
              </w:rPr>
            </w:pPr>
            <w:r w:rsidRPr="00EF7461">
              <w:rPr>
                <w:lang w:val="en-GB"/>
              </w:rPr>
              <w:t>This may include interactions relating to:</w:t>
            </w:r>
          </w:p>
          <w:p w14:paraId="2DECFCA3" w14:textId="77777777" w:rsidR="004E7366" w:rsidRPr="00EF7461" w:rsidRDefault="004E7366" w:rsidP="004E7366">
            <w:pPr>
              <w:pStyle w:val="TableBullet2"/>
              <w:tabs>
                <w:tab w:val="clear" w:pos="462"/>
                <w:tab w:val="num" w:pos="880"/>
              </w:tabs>
              <w:ind w:left="171" w:hanging="171"/>
              <w:rPr>
                <w:lang w:val="en-GB"/>
              </w:rPr>
            </w:pPr>
            <w:r w:rsidRPr="00EF7461">
              <w:rPr>
                <w:lang w:val="en-GB"/>
              </w:rPr>
              <w:t>claims of Export Supply Chain Assurance System (ESCAS) non-compliances</w:t>
            </w:r>
          </w:p>
          <w:p w14:paraId="7545C44D" w14:textId="323FFDED" w:rsidR="00EF7461" w:rsidRPr="00EF7461" w:rsidRDefault="00EF7461" w:rsidP="005079D8">
            <w:pPr>
              <w:pStyle w:val="TableBullet2"/>
              <w:tabs>
                <w:tab w:val="clear" w:pos="462"/>
                <w:tab w:val="num" w:pos="880"/>
              </w:tabs>
              <w:ind w:left="171" w:hanging="171"/>
              <w:rPr>
                <w:lang w:val="en-GB"/>
              </w:rPr>
            </w:pPr>
            <w:r w:rsidRPr="00EF7461">
              <w:rPr>
                <w:lang w:val="en-GB"/>
              </w:rPr>
              <w:t>compliance activities</w:t>
            </w:r>
          </w:p>
          <w:p w14:paraId="67B2A494" w14:textId="778AAFEA" w:rsidR="00EF7461" w:rsidRPr="00EF7461" w:rsidRDefault="00EF7461" w:rsidP="005079D8">
            <w:pPr>
              <w:pStyle w:val="TableBullet2"/>
              <w:tabs>
                <w:tab w:val="clear" w:pos="462"/>
                <w:tab w:val="num" w:pos="880"/>
              </w:tabs>
              <w:ind w:left="171" w:hanging="171"/>
              <w:rPr>
                <w:lang w:val="en-GB"/>
              </w:rPr>
            </w:pPr>
            <w:r w:rsidRPr="00EF7461">
              <w:rPr>
                <w:lang w:val="en-GB"/>
              </w:rPr>
              <w:t>significant regulatory decisions</w:t>
            </w:r>
          </w:p>
        </w:tc>
        <w:tc>
          <w:tcPr>
            <w:tcW w:w="2976" w:type="dxa"/>
          </w:tcPr>
          <w:p w14:paraId="4B60A352" w14:textId="77777777" w:rsidR="00EF7461" w:rsidRPr="00EF7461" w:rsidRDefault="00EF7461" w:rsidP="005079D8">
            <w:pPr>
              <w:pStyle w:val="TableBullet1"/>
              <w:rPr>
                <w:lang w:val="en-GB"/>
              </w:rPr>
            </w:pPr>
            <w:r w:rsidRPr="00EF7461">
              <w:rPr>
                <w:lang w:val="en-GB"/>
              </w:rPr>
              <w:t>affected parties where appropriate</w:t>
            </w:r>
          </w:p>
        </w:tc>
        <w:tc>
          <w:tcPr>
            <w:tcW w:w="5387" w:type="dxa"/>
          </w:tcPr>
          <w:p w14:paraId="55666DA9" w14:textId="77777777" w:rsidR="00EF7461" w:rsidRPr="00EF7461" w:rsidRDefault="00EF7461" w:rsidP="00BE66BB">
            <w:pPr>
              <w:pStyle w:val="TableText"/>
              <w:rPr>
                <w:lang w:val="en-GB"/>
              </w:rPr>
            </w:pPr>
            <w:r w:rsidRPr="00EF7461">
              <w:rPr>
                <w:lang w:val="en-GB"/>
              </w:rPr>
              <w:t>The department has different legal and decision-making responsibilities in respect of individual regulatory decisions, which are dependent on the issue.</w:t>
            </w:r>
          </w:p>
          <w:p w14:paraId="5589C34F" w14:textId="77777777" w:rsidR="00EF7461" w:rsidRPr="00EF7461" w:rsidRDefault="00EF7461" w:rsidP="00BE66BB">
            <w:pPr>
              <w:pStyle w:val="TableText"/>
              <w:rPr>
                <w:lang w:val="en-GB"/>
              </w:rPr>
            </w:pPr>
            <w:r w:rsidRPr="00EF7461">
              <w:rPr>
                <w:lang w:val="en-GB"/>
              </w:rPr>
              <w:t>In relation to non-routine interactions, the department will consult directly and in confidence with affected regulated entities.</w:t>
            </w:r>
          </w:p>
          <w:p w14:paraId="2116A284" w14:textId="77777777" w:rsidR="00EF7461" w:rsidRPr="00EF7461" w:rsidRDefault="00EF7461" w:rsidP="00BE66BB">
            <w:pPr>
              <w:pStyle w:val="TableText"/>
              <w:rPr>
                <w:lang w:val="en-GB"/>
              </w:rPr>
            </w:pPr>
            <w:r w:rsidRPr="00EF7461">
              <w:rPr>
                <w:lang w:val="en-GB"/>
              </w:rPr>
              <w:t>Third parties and other stakeholders may provide a submission to the department for its consideration on any regulatory matter. However, the department will use its discretion when deciding whether to respond to, or action, any submission it receives as it deems necessary.</w:t>
            </w:r>
          </w:p>
          <w:p w14:paraId="7C655C3E" w14:textId="77777777" w:rsidR="00EF7461" w:rsidRPr="00EF7461" w:rsidRDefault="00EF7461" w:rsidP="00BE66BB">
            <w:pPr>
              <w:pStyle w:val="TableText"/>
              <w:rPr>
                <w:lang w:val="en-GB"/>
              </w:rPr>
            </w:pPr>
            <w:r w:rsidRPr="00EF7461">
              <w:rPr>
                <w:lang w:val="en-GB"/>
              </w:rPr>
              <w:t>The department will not seek input, consult or engage in active dialogue with third party stakeholders, in circumstances where a departmental employee has the statutory authority under relevant export legislation to make a decision.</w:t>
            </w:r>
          </w:p>
          <w:p w14:paraId="5790C2DD" w14:textId="77777777" w:rsidR="00EF7461" w:rsidRPr="00EF7461" w:rsidRDefault="00EF7461" w:rsidP="00BE66BB">
            <w:pPr>
              <w:pStyle w:val="TableText"/>
              <w:rPr>
                <w:lang w:val="en-GB"/>
              </w:rPr>
            </w:pPr>
            <w:r w:rsidRPr="00EF7461">
              <w:rPr>
                <w:lang w:val="en-GB"/>
              </w:rPr>
              <w:t xml:space="preserve">The department may use its discretion and legislative authority to publicly communicate major regulatory decisions. </w:t>
            </w:r>
          </w:p>
        </w:tc>
        <w:tc>
          <w:tcPr>
            <w:tcW w:w="3260" w:type="dxa"/>
          </w:tcPr>
          <w:p w14:paraId="174D97E4" w14:textId="16C8C765" w:rsidR="00270847" w:rsidRDefault="00270847" w:rsidP="005079D8">
            <w:pPr>
              <w:pStyle w:val="TableBullet1"/>
            </w:pPr>
            <w:r w:rsidRPr="00EF7461">
              <w:t>department website (for the purposes of stakeholder consultation, public notification or general information)</w:t>
            </w:r>
          </w:p>
          <w:p w14:paraId="2CB33913" w14:textId="6E1F3016" w:rsidR="00EF7461" w:rsidRPr="00EF7461" w:rsidRDefault="00EF7461" w:rsidP="00270847">
            <w:pPr>
              <w:pStyle w:val="TableBullet1"/>
            </w:pPr>
            <w:r w:rsidRPr="00EF7461">
              <w:t>written correspondence (such as email or formal notices)</w:t>
            </w:r>
          </w:p>
        </w:tc>
      </w:tr>
      <w:tr w:rsidR="00EF7461" w:rsidRPr="00EF7461" w14:paraId="33438861" w14:textId="77777777" w:rsidTr="002159B9">
        <w:tc>
          <w:tcPr>
            <w:tcW w:w="2689" w:type="dxa"/>
          </w:tcPr>
          <w:p w14:paraId="4FDFA6D8" w14:textId="77777777" w:rsidR="006D57DC" w:rsidRDefault="00EF7461" w:rsidP="00BE66BB">
            <w:pPr>
              <w:pStyle w:val="TableText"/>
              <w:rPr>
                <w:lang w:val="en-GB"/>
              </w:rPr>
            </w:pPr>
            <w:r w:rsidRPr="00EF7461">
              <w:rPr>
                <w:lang w:val="en-GB"/>
              </w:rPr>
              <w:lastRenderedPageBreak/>
              <w:t>Policy, guidelines and procedures development that affect export operations.</w:t>
            </w:r>
          </w:p>
          <w:p w14:paraId="7848E58F" w14:textId="4B313430" w:rsidR="00EF7461" w:rsidRPr="00EF7461" w:rsidRDefault="00EF7461" w:rsidP="00BE66BB">
            <w:pPr>
              <w:pStyle w:val="TableText"/>
              <w:rPr>
                <w:lang w:val="en-GB"/>
              </w:rPr>
            </w:pPr>
            <w:r w:rsidRPr="00EF7461">
              <w:rPr>
                <w:lang w:val="en-GB"/>
              </w:rPr>
              <w:t>For example</w:t>
            </w:r>
            <w:r w:rsidR="004E7366">
              <w:rPr>
                <w:lang w:val="en-GB"/>
              </w:rPr>
              <w:t>, p</w:t>
            </w:r>
            <w:r w:rsidRPr="00EF7461">
              <w:rPr>
                <w:lang w:val="en-GB"/>
              </w:rPr>
              <w:t>olicies to support compliance with the Australian Standards for the Export of Livestock</w:t>
            </w:r>
            <w:r w:rsidR="006D57DC">
              <w:rPr>
                <w:lang w:val="en-GB"/>
              </w:rPr>
              <w:t xml:space="preserve"> (ASEL)</w:t>
            </w:r>
            <w:r w:rsidRPr="00EF7461">
              <w:rPr>
                <w:lang w:val="en-GB"/>
              </w:rPr>
              <w:t>, such as how to appropriately calculate voyage length and feed and water provisions.</w:t>
            </w:r>
          </w:p>
        </w:tc>
        <w:tc>
          <w:tcPr>
            <w:tcW w:w="2976" w:type="dxa"/>
          </w:tcPr>
          <w:p w14:paraId="2703E99F" w14:textId="38FA7E44" w:rsidR="00270847" w:rsidRDefault="00270847" w:rsidP="003A41B7">
            <w:pPr>
              <w:pStyle w:val="TableBullet1"/>
              <w:keepNext/>
            </w:pPr>
            <w:r w:rsidRPr="00270847">
              <w:rPr>
                <w:lang w:val="en-GB"/>
              </w:rPr>
              <w:t>AAVs</w:t>
            </w:r>
          </w:p>
          <w:p w14:paraId="1F9B9C15" w14:textId="3D84B441" w:rsidR="00EF7461" w:rsidRPr="00EF7461" w:rsidRDefault="00EF7461" w:rsidP="003A41B7">
            <w:pPr>
              <w:pStyle w:val="TableBullet1"/>
              <w:keepNext/>
            </w:pPr>
            <w:r w:rsidRPr="00EF7461">
              <w:t>live animal exporters</w:t>
            </w:r>
          </w:p>
          <w:p w14:paraId="2FBF924B" w14:textId="77777777" w:rsidR="00EF7461" w:rsidRPr="00EF7461" w:rsidRDefault="00EF7461" w:rsidP="003A41B7">
            <w:pPr>
              <w:pStyle w:val="TableBullet1"/>
              <w:keepNext/>
            </w:pPr>
            <w:r w:rsidRPr="00EF7461">
              <w:t>peak industry bodies</w:t>
            </w:r>
          </w:p>
          <w:p w14:paraId="5F06CAD4" w14:textId="20491269" w:rsidR="00EF7461" w:rsidRPr="00270847" w:rsidRDefault="00EF7461" w:rsidP="00270847">
            <w:pPr>
              <w:pStyle w:val="TableBullet1"/>
              <w:keepNext/>
            </w:pPr>
            <w:r w:rsidRPr="00EF7461">
              <w:t>registered establishment occupiers</w:t>
            </w:r>
          </w:p>
        </w:tc>
        <w:tc>
          <w:tcPr>
            <w:tcW w:w="5387" w:type="dxa"/>
          </w:tcPr>
          <w:p w14:paraId="22A010D1" w14:textId="0A7D6A8F" w:rsidR="00EF7461" w:rsidRPr="00EF7461" w:rsidRDefault="00EF7461" w:rsidP="00BE66BB">
            <w:pPr>
              <w:pStyle w:val="TableText"/>
              <w:rPr>
                <w:lang w:val="en-GB"/>
              </w:rPr>
            </w:pPr>
            <w:r w:rsidRPr="00EF7461">
              <w:rPr>
                <w:lang w:val="en-GB"/>
              </w:rPr>
              <w:t>Where policies affect export operations, stakeholders that are directly or indirectly impacted will be consulted to ensure any new or updated requirements are practical and fit for purpose, and appropriate guidance material is available.</w:t>
            </w:r>
          </w:p>
          <w:p w14:paraId="5A060FD4" w14:textId="158FCA5B" w:rsidR="00EF7461" w:rsidRPr="00EF7461" w:rsidRDefault="00EF7461" w:rsidP="00BE66BB">
            <w:pPr>
              <w:pStyle w:val="TableText"/>
              <w:rPr>
                <w:lang w:val="en-US"/>
              </w:rPr>
            </w:pPr>
            <w:r w:rsidRPr="00EF7461">
              <w:rPr>
                <w:lang w:val="en-US"/>
              </w:rPr>
              <w:t>The department may not respond to submissions at its discretion and unless deemed necessary.</w:t>
            </w:r>
          </w:p>
        </w:tc>
        <w:tc>
          <w:tcPr>
            <w:tcW w:w="3260" w:type="dxa"/>
          </w:tcPr>
          <w:p w14:paraId="665CDD47" w14:textId="5F04BD65" w:rsidR="00270847" w:rsidRDefault="00D1622A" w:rsidP="00D1622A">
            <w:pPr>
              <w:pStyle w:val="TableBullet1"/>
            </w:pPr>
            <w:r w:rsidRPr="00D1622A">
              <w:t>department website and social media platforms</w:t>
            </w:r>
          </w:p>
          <w:p w14:paraId="389271FE" w14:textId="77777777" w:rsidR="00D1622A" w:rsidRPr="00D1622A" w:rsidRDefault="00D1622A" w:rsidP="00D1622A">
            <w:pPr>
              <w:pStyle w:val="TableBullet1"/>
            </w:pPr>
            <w:r w:rsidRPr="00D1622A">
              <w:t>feedback platforms</w:t>
            </w:r>
          </w:p>
          <w:p w14:paraId="7247E932" w14:textId="77777777" w:rsidR="00D1622A" w:rsidRPr="00D1622A" w:rsidRDefault="00D1622A" w:rsidP="00D1622A">
            <w:pPr>
              <w:pStyle w:val="TableBullet1"/>
            </w:pPr>
            <w:r w:rsidRPr="00D1622A">
              <w:t>stakeholder working group meetings</w:t>
            </w:r>
          </w:p>
          <w:p w14:paraId="3CE336D1" w14:textId="161B7D38" w:rsidR="00D1622A" w:rsidRDefault="00D1622A" w:rsidP="003A41B7">
            <w:pPr>
              <w:pStyle w:val="TableBullet1"/>
              <w:keepNext/>
            </w:pPr>
            <w:r w:rsidRPr="00D1622A">
              <w:t>training sessions</w:t>
            </w:r>
          </w:p>
          <w:p w14:paraId="4C11362F" w14:textId="174C9610" w:rsidR="00D1622A" w:rsidRDefault="00D1622A" w:rsidP="003A41B7">
            <w:pPr>
              <w:pStyle w:val="TableBullet1"/>
              <w:keepNext/>
            </w:pPr>
            <w:r w:rsidRPr="00D1622A">
              <w:t>via key representative industry bodies</w:t>
            </w:r>
          </w:p>
          <w:p w14:paraId="223A57B5" w14:textId="665E1AB8" w:rsidR="00EF7461" w:rsidRPr="00EF7461" w:rsidRDefault="00EF7461" w:rsidP="00D1622A">
            <w:pPr>
              <w:pStyle w:val="TableBullet1"/>
              <w:keepNext/>
            </w:pPr>
            <w:r w:rsidRPr="00EF7461">
              <w:t>written correspondence (such as email or formal notices)</w:t>
            </w:r>
          </w:p>
        </w:tc>
      </w:tr>
      <w:tr w:rsidR="00EF7461" w:rsidRPr="00EF7461" w14:paraId="46E98EED" w14:textId="77777777" w:rsidTr="002159B9">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2689" w:type="dxa"/>
          </w:tcPr>
          <w:p w14:paraId="2246D185" w14:textId="2889E22C" w:rsidR="00EF7461" w:rsidRPr="00EF7461" w:rsidRDefault="00EF7461" w:rsidP="00BE66BB">
            <w:pPr>
              <w:pStyle w:val="TableText"/>
              <w:rPr>
                <w:lang w:val="en-GB"/>
              </w:rPr>
            </w:pPr>
            <w:r w:rsidRPr="00EF7461">
              <w:rPr>
                <w:lang w:val="en-GB"/>
              </w:rPr>
              <w:t>Standards, reviews, reforms and legislation.</w:t>
            </w:r>
            <w:r w:rsidR="0076663B">
              <w:rPr>
                <w:lang w:val="en-GB"/>
              </w:rPr>
              <w:t xml:space="preserve"> </w:t>
            </w:r>
            <w:r w:rsidRPr="00EF7461">
              <w:rPr>
                <w:lang w:val="en-GB"/>
              </w:rPr>
              <w:t>For example:</w:t>
            </w:r>
          </w:p>
          <w:p w14:paraId="11E0A5A6" w14:textId="38DC789E" w:rsidR="00EF7461" w:rsidRPr="00EF7461" w:rsidRDefault="0076663B" w:rsidP="005079D8">
            <w:pPr>
              <w:pStyle w:val="TableBullet2"/>
              <w:tabs>
                <w:tab w:val="clear" w:pos="462"/>
                <w:tab w:val="num" w:pos="738"/>
              </w:tabs>
              <w:ind w:left="171" w:hanging="171"/>
              <w:rPr>
                <w:lang w:val="en-GB"/>
              </w:rPr>
            </w:pPr>
            <w:r>
              <w:rPr>
                <w:lang w:val="en-GB"/>
              </w:rPr>
              <w:t>c</w:t>
            </w:r>
            <w:r w:rsidR="00EF7461" w:rsidRPr="00EF7461">
              <w:rPr>
                <w:lang w:val="en-GB"/>
              </w:rPr>
              <w:t xml:space="preserve">onsultation on proposed amendments to export control legislation, such as changes to the </w:t>
            </w:r>
            <w:r w:rsidR="00EF7461" w:rsidRPr="00EF7461">
              <w:rPr>
                <w:i/>
                <w:iCs/>
                <w:lang w:val="en-GB"/>
              </w:rPr>
              <w:t>Export Control Act</w:t>
            </w:r>
            <w:r w:rsidR="00CA7D23">
              <w:rPr>
                <w:i/>
                <w:iCs/>
                <w:lang w:val="en-GB"/>
              </w:rPr>
              <w:t> </w:t>
            </w:r>
            <w:r w:rsidR="00EF7461" w:rsidRPr="00EF7461">
              <w:rPr>
                <w:i/>
                <w:iCs/>
                <w:lang w:val="en-GB"/>
              </w:rPr>
              <w:t>2020</w:t>
            </w:r>
            <w:r w:rsidR="00EF7461" w:rsidRPr="00EF7461">
              <w:rPr>
                <w:lang w:val="en-GB"/>
              </w:rPr>
              <w:t xml:space="preserve"> and </w:t>
            </w:r>
            <w:r w:rsidR="00EF7461" w:rsidRPr="00EF43A7">
              <w:t>Export Control (Animals) Rules</w:t>
            </w:r>
            <w:r w:rsidR="00CA7D23">
              <w:t> </w:t>
            </w:r>
            <w:r w:rsidR="00EF7461" w:rsidRPr="00EF43A7">
              <w:t>2021</w:t>
            </w:r>
          </w:p>
          <w:p w14:paraId="723F8BF9" w14:textId="69DFED20" w:rsidR="00EF7461" w:rsidRPr="00EF7461" w:rsidRDefault="0076663B" w:rsidP="005079D8">
            <w:pPr>
              <w:pStyle w:val="TableBullet2"/>
              <w:tabs>
                <w:tab w:val="clear" w:pos="462"/>
                <w:tab w:val="num" w:pos="738"/>
              </w:tabs>
              <w:ind w:left="171" w:hanging="171"/>
              <w:rPr>
                <w:lang w:val="en-GB"/>
              </w:rPr>
            </w:pPr>
            <w:r>
              <w:rPr>
                <w:lang w:val="en-GB"/>
              </w:rPr>
              <w:t>l</w:t>
            </w:r>
            <w:r w:rsidR="00EF7461" w:rsidRPr="00EF7461">
              <w:rPr>
                <w:lang w:val="en-GB"/>
              </w:rPr>
              <w:t>ive export standards and reviews, such as reviews and implementation of the A</w:t>
            </w:r>
            <w:r w:rsidR="00E65B05">
              <w:rPr>
                <w:lang w:val="en-GB"/>
              </w:rPr>
              <w:t>SEL</w:t>
            </w:r>
          </w:p>
        </w:tc>
        <w:tc>
          <w:tcPr>
            <w:tcW w:w="2976" w:type="dxa"/>
          </w:tcPr>
          <w:p w14:paraId="0A79C530" w14:textId="3DDA152C" w:rsidR="00EF7461" w:rsidRPr="005079D8" w:rsidRDefault="00EF7461" w:rsidP="00EF7461">
            <w:pPr>
              <w:pStyle w:val="TableBullet1"/>
              <w:rPr>
                <w:lang w:val="en-GB"/>
              </w:rPr>
            </w:pPr>
            <w:r w:rsidRPr="00EF7461">
              <w:rPr>
                <w:lang w:val="en-GB"/>
              </w:rPr>
              <w:t>all relevant stakeholders</w:t>
            </w:r>
          </w:p>
        </w:tc>
        <w:tc>
          <w:tcPr>
            <w:tcW w:w="5387" w:type="dxa"/>
          </w:tcPr>
          <w:p w14:paraId="7C8E7995" w14:textId="77777777" w:rsidR="00EF7461" w:rsidRPr="00EF7461" w:rsidRDefault="00EF7461" w:rsidP="00BE66BB">
            <w:pPr>
              <w:pStyle w:val="TableText"/>
              <w:rPr>
                <w:lang w:val="en-GB"/>
              </w:rPr>
            </w:pPr>
            <w:r w:rsidRPr="00EF7461">
              <w:rPr>
                <w:lang w:val="en-GB"/>
              </w:rPr>
              <w:t>The department will engage widely to ensure subject matter experts are engaged, stakeholders are given a platform to be heard, and relevant considerations are reviewed by the department.</w:t>
            </w:r>
          </w:p>
          <w:p w14:paraId="75CD2851" w14:textId="09BA8FD0" w:rsidR="00EF7461" w:rsidRPr="00EF7461" w:rsidRDefault="00882CE1" w:rsidP="00BE66BB">
            <w:pPr>
              <w:pStyle w:val="TableText"/>
              <w:rPr>
                <w:lang w:val="en-GB"/>
              </w:rPr>
            </w:pPr>
            <w:r>
              <w:rPr>
                <w:lang w:val="en-GB"/>
              </w:rPr>
              <w:t>For</w:t>
            </w:r>
            <w:r w:rsidR="00EF7461" w:rsidRPr="00EF7461">
              <w:rPr>
                <w:lang w:val="en-GB"/>
              </w:rPr>
              <w:t xml:space="preserve"> standards, reviews and reform work, the department will engage with all relevant stakeholders to ensure it obtains a holistic and evidence-based understanding on a wide range of matters that may affect, and be affected by, any new or updated requirements.</w:t>
            </w:r>
          </w:p>
          <w:p w14:paraId="7763673F" w14:textId="00B967BD" w:rsidR="00EF7461" w:rsidRPr="00EF7461" w:rsidRDefault="00EF7461" w:rsidP="00BE66BB">
            <w:pPr>
              <w:pStyle w:val="TableText"/>
              <w:rPr>
                <w:lang w:val="en-US"/>
              </w:rPr>
            </w:pPr>
            <w:r w:rsidRPr="00EF7461">
              <w:rPr>
                <w:lang w:val="en-US"/>
              </w:rPr>
              <w:t>The department may not respond to submissions at its discretion and unless deemed necessary.</w:t>
            </w:r>
          </w:p>
        </w:tc>
        <w:tc>
          <w:tcPr>
            <w:tcW w:w="3260" w:type="dxa"/>
          </w:tcPr>
          <w:p w14:paraId="579845DF" w14:textId="77777777" w:rsidR="00F55324" w:rsidRPr="00EF7461" w:rsidRDefault="00F55324" w:rsidP="00F55324">
            <w:pPr>
              <w:pStyle w:val="TableBullet1"/>
            </w:pPr>
            <w:r w:rsidRPr="00EF7461">
              <w:t>department website and social media platforms</w:t>
            </w:r>
          </w:p>
          <w:p w14:paraId="504DBFD1" w14:textId="7295908D" w:rsidR="00F55324" w:rsidRDefault="00F55324" w:rsidP="00F55324">
            <w:pPr>
              <w:pStyle w:val="TableBullet1"/>
            </w:pPr>
            <w:r w:rsidRPr="00EF7461">
              <w:t>events, seminars and other forums</w:t>
            </w:r>
          </w:p>
          <w:p w14:paraId="6ED75865" w14:textId="09C03AE9" w:rsidR="00F55324" w:rsidRDefault="00F55324" w:rsidP="00F55324">
            <w:pPr>
              <w:pStyle w:val="TableBullet1"/>
            </w:pPr>
            <w:r w:rsidRPr="00EF7461">
              <w:t>Have Your Say, other survey and market research platforms</w:t>
            </w:r>
          </w:p>
          <w:p w14:paraId="34FC3489" w14:textId="77777777" w:rsidR="00F55324" w:rsidRPr="00F55324" w:rsidRDefault="00F55324" w:rsidP="00F55324">
            <w:pPr>
              <w:pStyle w:val="TableBullet1"/>
            </w:pPr>
            <w:r w:rsidRPr="00F55324">
              <w:t>stakeholder working group meetings</w:t>
            </w:r>
          </w:p>
          <w:p w14:paraId="2EA0B9A3" w14:textId="36B6791B" w:rsidR="00F55324" w:rsidRDefault="00F55324" w:rsidP="00F55324">
            <w:pPr>
              <w:pStyle w:val="TableBullet1"/>
            </w:pPr>
            <w:r w:rsidRPr="00F55324">
              <w:t>training sessions</w:t>
            </w:r>
          </w:p>
          <w:p w14:paraId="3B7CC157" w14:textId="7157CC83" w:rsidR="00EF7461" w:rsidRPr="00EF7461" w:rsidRDefault="00EF7461" w:rsidP="005079D8">
            <w:pPr>
              <w:pStyle w:val="TableBullet1"/>
            </w:pPr>
            <w:r w:rsidRPr="00EF7461">
              <w:t>written correspondence (such as email or formal notices)</w:t>
            </w:r>
          </w:p>
          <w:p w14:paraId="06A6C53E" w14:textId="04DCFEEE" w:rsidR="00EF7461" w:rsidRPr="00EF7461" w:rsidRDefault="00EF7461" w:rsidP="00F55324">
            <w:pPr>
              <w:pStyle w:val="TableBullet1"/>
            </w:pPr>
            <w:r w:rsidRPr="00EF7461">
              <w:t>via key representative and industry bodies</w:t>
            </w:r>
          </w:p>
        </w:tc>
      </w:tr>
    </w:tbl>
    <w:p w14:paraId="14AFCDA9" w14:textId="77777777" w:rsidR="00EF7461" w:rsidRPr="00EF7461" w:rsidRDefault="00EF7461" w:rsidP="00EF7461">
      <w:pPr>
        <w:rPr>
          <w:lang w:eastAsia="ja-JP"/>
        </w:rPr>
      </w:pPr>
    </w:p>
    <w:p w14:paraId="5A2D06F7" w14:textId="77777777" w:rsidR="00EF7461" w:rsidRDefault="00EF7461">
      <w:pPr>
        <w:spacing w:after="0" w:line="240" w:lineRule="auto"/>
        <w:rPr>
          <w:lang w:eastAsia="ja-JP"/>
        </w:rPr>
        <w:sectPr w:rsidR="00EF7461" w:rsidSect="00EF7461">
          <w:headerReference w:type="first" r:id="rId21"/>
          <w:pgSz w:w="16838" w:h="11906" w:orient="landscape"/>
          <w:pgMar w:top="1418" w:right="1418" w:bottom="1418" w:left="1418" w:header="567" w:footer="283" w:gutter="0"/>
          <w:cols w:space="708"/>
          <w:titlePg/>
          <w:docGrid w:linePitch="360"/>
        </w:sectPr>
      </w:pPr>
      <w:r>
        <w:rPr>
          <w:lang w:eastAsia="ja-JP"/>
        </w:rPr>
        <w:br w:type="page"/>
      </w:r>
    </w:p>
    <w:p w14:paraId="4114AA99" w14:textId="7713D7A0" w:rsidR="00E362EF" w:rsidRDefault="003A41B7" w:rsidP="00460750">
      <w:pPr>
        <w:pStyle w:val="Heading2"/>
        <w:pageBreakBefore/>
        <w:numPr>
          <w:ilvl w:val="0"/>
          <w:numId w:val="0"/>
        </w:numPr>
        <w:spacing w:before="120"/>
        <w:ind w:left="720" w:hanging="720"/>
      </w:pPr>
      <w:bookmarkStart w:id="7" w:name="Title_A2"/>
      <w:bookmarkEnd w:id="7"/>
      <w:r>
        <w:lastRenderedPageBreak/>
        <w:t>Version control</w:t>
      </w:r>
    </w:p>
    <w:tbl>
      <w:tblPr>
        <w:tblStyle w:val="TableGrid"/>
        <w:tblW w:w="0" w:type="auto"/>
        <w:tblLook w:val="04A0" w:firstRow="1" w:lastRow="0" w:firstColumn="1" w:lastColumn="0" w:noHBand="0" w:noVBand="1"/>
      </w:tblPr>
      <w:tblGrid>
        <w:gridCol w:w="1134"/>
        <w:gridCol w:w="1560"/>
        <w:gridCol w:w="2551"/>
        <w:gridCol w:w="3815"/>
      </w:tblGrid>
      <w:tr w:rsidR="003A41B7" w:rsidRPr="003A41B7" w14:paraId="06C65528" w14:textId="77777777" w:rsidTr="006559ED">
        <w:tc>
          <w:tcPr>
            <w:tcW w:w="1134" w:type="dxa"/>
            <w:tcBorders>
              <w:left w:val="nil"/>
              <w:bottom w:val="single" w:sz="4" w:space="0" w:color="auto"/>
              <w:right w:val="nil"/>
            </w:tcBorders>
          </w:tcPr>
          <w:p w14:paraId="2407DBB8" w14:textId="77777777" w:rsidR="003A41B7" w:rsidRPr="003A41B7" w:rsidRDefault="003A41B7" w:rsidP="007E0D66">
            <w:pPr>
              <w:pStyle w:val="TableHeading"/>
              <w:rPr>
                <w:lang w:eastAsia="ja-JP"/>
              </w:rPr>
            </w:pPr>
            <w:r w:rsidRPr="003A41B7">
              <w:t>Version</w:t>
            </w:r>
          </w:p>
        </w:tc>
        <w:tc>
          <w:tcPr>
            <w:tcW w:w="1560" w:type="dxa"/>
            <w:tcBorders>
              <w:left w:val="nil"/>
              <w:bottom w:val="single" w:sz="4" w:space="0" w:color="auto"/>
              <w:right w:val="nil"/>
            </w:tcBorders>
          </w:tcPr>
          <w:p w14:paraId="5C84DACA" w14:textId="77777777" w:rsidR="003A41B7" w:rsidRPr="003A41B7" w:rsidRDefault="003A41B7" w:rsidP="007E0D66">
            <w:pPr>
              <w:pStyle w:val="TableHeading"/>
              <w:rPr>
                <w:rFonts w:cstheme="minorHAnsi"/>
                <w:bCs/>
                <w:lang w:eastAsia="ja-JP"/>
              </w:rPr>
            </w:pPr>
            <w:r w:rsidRPr="003A41B7">
              <w:rPr>
                <w:rFonts w:cstheme="minorHAnsi"/>
                <w:bCs/>
              </w:rPr>
              <w:t>Date of issue</w:t>
            </w:r>
          </w:p>
        </w:tc>
        <w:tc>
          <w:tcPr>
            <w:tcW w:w="2551" w:type="dxa"/>
            <w:tcBorders>
              <w:left w:val="nil"/>
              <w:bottom w:val="single" w:sz="4" w:space="0" w:color="auto"/>
              <w:right w:val="nil"/>
            </w:tcBorders>
          </w:tcPr>
          <w:p w14:paraId="6FCA5304" w14:textId="77777777" w:rsidR="003A41B7" w:rsidRPr="003A41B7" w:rsidRDefault="003A41B7" w:rsidP="007E0D66">
            <w:pPr>
              <w:pStyle w:val="TableHeading"/>
              <w:rPr>
                <w:rFonts w:cstheme="minorHAnsi"/>
                <w:bCs/>
                <w:lang w:eastAsia="ja-JP"/>
              </w:rPr>
            </w:pPr>
            <w:r w:rsidRPr="003A41B7">
              <w:rPr>
                <w:rFonts w:cstheme="minorHAnsi"/>
                <w:bCs/>
              </w:rPr>
              <w:t>Author</w:t>
            </w:r>
          </w:p>
        </w:tc>
        <w:tc>
          <w:tcPr>
            <w:tcW w:w="3815" w:type="dxa"/>
            <w:tcBorders>
              <w:left w:val="nil"/>
              <w:bottom w:val="single" w:sz="4" w:space="0" w:color="auto"/>
              <w:right w:val="nil"/>
            </w:tcBorders>
          </w:tcPr>
          <w:p w14:paraId="3FDFC647" w14:textId="77777777" w:rsidR="003A41B7" w:rsidRPr="003A41B7" w:rsidRDefault="003A41B7" w:rsidP="007E0D66">
            <w:pPr>
              <w:pStyle w:val="TableHeading"/>
              <w:rPr>
                <w:rFonts w:cstheme="minorHAnsi"/>
                <w:bCs/>
                <w:lang w:eastAsia="ja-JP"/>
              </w:rPr>
            </w:pPr>
            <w:r w:rsidRPr="003A41B7">
              <w:rPr>
                <w:rFonts w:cstheme="minorHAnsi"/>
                <w:bCs/>
              </w:rPr>
              <w:t>Reason for change</w:t>
            </w:r>
          </w:p>
        </w:tc>
      </w:tr>
      <w:tr w:rsidR="003A41B7" w:rsidRPr="003A41B7" w14:paraId="4FD0A27F" w14:textId="77777777" w:rsidTr="006559ED">
        <w:tc>
          <w:tcPr>
            <w:tcW w:w="1134" w:type="dxa"/>
            <w:tcBorders>
              <w:left w:val="nil"/>
              <w:right w:val="nil"/>
            </w:tcBorders>
          </w:tcPr>
          <w:p w14:paraId="01BD9E53" w14:textId="77777777" w:rsidR="003A41B7" w:rsidRPr="003A41B7" w:rsidRDefault="003A41B7" w:rsidP="007E0D66">
            <w:pPr>
              <w:pStyle w:val="TableText"/>
              <w:rPr>
                <w:lang w:eastAsia="ja-JP"/>
              </w:rPr>
            </w:pPr>
            <w:r w:rsidRPr="003A41B7">
              <w:rPr>
                <w:lang w:eastAsia="ja-JP"/>
              </w:rPr>
              <w:t>1.0</w:t>
            </w:r>
          </w:p>
        </w:tc>
        <w:tc>
          <w:tcPr>
            <w:tcW w:w="1560" w:type="dxa"/>
            <w:tcBorders>
              <w:left w:val="nil"/>
              <w:right w:val="nil"/>
            </w:tcBorders>
          </w:tcPr>
          <w:p w14:paraId="626F91DE" w14:textId="3ACCC196" w:rsidR="003A41B7" w:rsidRPr="003A41B7" w:rsidRDefault="003A41B7" w:rsidP="007E0D66">
            <w:pPr>
              <w:pStyle w:val="TableText"/>
              <w:rPr>
                <w:lang w:eastAsia="ja-JP"/>
              </w:rPr>
            </w:pPr>
            <w:r w:rsidRPr="003A41B7">
              <w:rPr>
                <w:lang w:eastAsia="ja-JP"/>
              </w:rPr>
              <w:t>April 2022</w:t>
            </w:r>
          </w:p>
        </w:tc>
        <w:tc>
          <w:tcPr>
            <w:tcW w:w="2551" w:type="dxa"/>
            <w:tcBorders>
              <w:left w:val="nil"/>
              <w:right w:val="nil"/>
            </w:tcBorders>
          </w:tcPr>
          <w:p w14:paraId="6D3BE8EF" w14:textId="77777777" w:rsidR="003A41B7" w:rsidRPr="003A41B7" w:rsidRDefault="003A41B7" w:rsidP="007E0D66">
            <w:pPr>
              <w:pStyle w:val="TableText"/>
              <w:rPr>
                <w:lang w:eastAsia="ja-JP"/>
              </w:rPr>
            </w:pPr>
            <w:r w:rsidRPr="003A41B7">
              <w:rPr>
                <w:lang w:eastAsia="ja-JP"/>
              </w:rPr>
              <w:t>Live Animal Export Branch</w:t>
            </w:r>
          </w:p>
        </w:tc>
        <w:tc>
          <w:tcPr>
            <w:tcW w:w="3815" w:type="dxa"/>
            <w:tcBorders>
              <w:left w:val="nil"/>
              <w:right w:val="nil"/>
            </w:tcBorders>
          </w:tcPr>
          <w:p w14:paraId="2E641043" w14:textId="761529B9" w:rsidR="003A41B7" w:rsidRPr="003A41B7" w:rsidRDefault="003A41B7" w:rsidP="007E0D66">
            <w:pPr>
              <w:pStyle w:val="TableText"/>
              <w:rPr>
                <w:lang w:eastAsia="ja-JP"/>
              </w:rPr>
            </w:pPr>
            <w:r w:rsidRPr="003A41B7">
              <w:rPr>
                <w:lang w:eastAsia="ja-JP"/>
              </w:rPr>
              <w:t>First publication</w:t>
            </w:r>
          </w:p>
        </w:tc>
      </w:tr>
      <w:tr w:rsidR="003A41B7" w:rsidRPr="003A41B7" w14:paraId="6CE2DDAB" w14:textId="77777777" w:rsidTr="006559ED">
        <w:tc>
          <w:tcPr>
            <w:tcW w:w="1134" w:type="dxa"/>
            <w:tcBorders>
              <w:left w:val="nil"/>
              <w:right w:val="nil"/>
            </w:tcBorders>
          </w:tcPr>
          <w:p w14:paraId="11F6B8E8" w14:textId="0D1AB7AC" w:rsidR="003A41B7" w:rsidRPr="003A41B7" w:rsidRDefault="003A41B7" w:rsidP="007E0D66">
            <w:pPr>
              <w:pStyle w:val="TableText"/>
              <w:rPr>
                <w:lang w:eastAsia="ja-JP"/>
              </w:rPr>
            </w:pPr>
            <w:r w:rsidRPr="007E0D66">
              <w:rPr>
                <w:lang w:eastAsia="ja-JP"/>
              </w:rPr>
              <w:t>2</w:t>
            </w:r>
            <w:r w:rsidRPr="003A41B7">
              <w:rPr>
                <w:lang w:eastAsia="ja-JP"/>
              </w:rPr>
              <w:t>.</w:t>
            </w:r>
            <w:r w:rsidRPr="007E0D66">
              <w:rPr>
                <w:lang w:eastAsia="ja-JP"/>
              </w:rPr>
              <w:t>0</w:t>
            </w:r>
          </w:p>
        </w:tc>
        <w:tc>
          <w:tcPr>
            <w:tcW w:w="1560" w:type="dxa"/>
            <w:tcBorders>
              <w:left w:val="nil"/>
              <w:right w:val="nil"/>
            </w:tcBorders>
          </w:tcPr>
          <w:p w14:paraId="41205CCB" w14:textId="536C0D0B" w:rsidR="003A41B7" w:rsidRPr="003A41B7" w:rsidRDefault="003A41B7" w:rsidP="007E0D66">
            <w:pPr>
              <w:pStyle w:val="TableText"/>
              <w:rPr>
                <w:lang w:eastAsia="ja-JP"/>
              </w:rPr>
            </w:pPr>
            <w:r w:rsidRPr="004468AC">
              <w:rPr>
                <w:lang w:eastAsia="ja-JP"/>
              </w:rPr>
              <w:t>April 2023</w:t>
            </w:r>
          </w:p>
        </w:tc>
        <w:tc>
          <w:tcPr>
            <w:tcW w:w="2551" w:type="dxa"/>
            <w:tcBorders>
              <w:left w:val="nil"/>
              <w:right w:val="nil"/>
            </w:tcBorders>
          </w:tcPr>
          <w:p w14:paraId="1194C0A6" w14:textId="77777777" w:rsidR="003A41B7" w:rsidRPr="003A41B7" w:rsidRDefault="003A41B7" w:rsidP="007E0D66">
            <w:pPr>
              <w:pStyle w:val="TableText"/>
              <w:rPr>
                <w:lang w:eastAsia="ja-JP"/>
              </w:rPr>
            </w:pPr>
            <w:r w:rsidRPr="003A41B7">
              <w:rPr>
                <w:lang w:eastAsia="ja-JP"/>
              </w:rPr>
              <w:t>Live Animal Export Branch</w:t>
            </w:r>
          </w:p>
        </w:tc>
        <w:tc>
          <w:tcPr>
            <w:tcW w:w="3815" w:type="dxa"/>
            <w:tcBorders>
              <w:left w:val="nil"/>
              <w:right w:val="nil"/>
            </w:tcBorders>
          </w:tcPr>
          <w:p w14:paraId="42462D1C" w14:textId="2D857609" w:rsidR="00155902" w:rsidRDefault="00155902" w:rsidP="00155902">
            <w:pPr>
              <w:pStyle w:val="TableText"/>
              <w:rPr>
                <w:lang w:eastAsia="ja-JP"/>
              </w:rPr>
            </w:pPr>
            <w:r>
              <w:rPr>
                <w:lang w:eastAsia="ja-JP"/>
              </w:rPr>
              <w:t>Added content relating to persons in management or control</w:t>
            </w:r>
            <w:r w:rsidRPr="003A41B7">
              <w:rPr>
                <w:lang w:eastAsia="ja-JP"/>
              </w:rPr>
              <w:t xml:space="preserve"> </w:t>
            </w:r>
          </w:p>
          <w:p w14:paraId="12AF5F2C" w14:textId="7DAAE9C4" w:rsidR="003A41B7" w:rsidRPr="003A41B7" w:rsidDel="00CF341D" w:rsidRDefault="00155902" w:rsidP="00155902">
            <w:pPr>
              <w:pStyle w:val="TableText"/>
              <w:rPr>
                <w:lang w:eastAsia="ja-JP"/>
              </w:rPr>
            </w:pPr>
            <w:r>
              <w:rPr>
                <w:lang w:eastAsia="ja-JP"/>
              </w:rPr>
              <w:t>Updated d</w:t>
            </w:r>
            <w:r w:rsidRPr="003A41B7">
              <w:rPr>
                <w:lang w:eastAsia="ja-JP"/>
              </w:rPr>
              <w:t xml:space="preserve">epartment branding and </w:t>
            </w:r>
            <w:r>
              <w:rPr>
                <w:lang w:eastAsia="ja-JP"/>
              </w:rPr>
              <w:t>document formatting</w:t>
            </w:r>
          </w:p>
        </w:tc>
      </w:tr>
    </w:tbl>
    <w:p w14:paraId="70B76011" w14:textId="77777777" w:rsidR="007E0D66" w:rsidRDefault="007E0D66" w:rsidP="008D1B48">
      <w:pPr>
        <w:pStyle w:val="Normalsmall"/>
        <w:rPr>
          <w:rStyle w:val="Strong"/>
        </w:rPr>
      </w:pPr>
    </w:p>
    <w:p w14:paraId="5DD1E38C" w14:textId="75F91C16" w:rsidR="008D1B48" w:rsidRDefault="008D1B48" w:rsidP="008D1B48">
      <w:pPr>
        <w:pStyle w:val="Normalsmall"/>
      </w:pPr>
      <w:r>
        <w:rPr>
          <w:rStyle w:val="Strong"/>
        </w:rPr>
        <w:t>Acknowledgement of Country</w:t>
      </w:r>
    </w:p>
    <w:p w14:paraId="58136B3E" w14:textId="77777777" w:rsidR="008D1B48" w:rsidRDefault="008D1B48" w:rsidP="008D1B48">
      <w:pPr>
        <w:pStyle w:val="Normalsmall"/>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7C060D40" w14:textId="77777777" w:rsidR="00262394" w:rsidRDefault="00262394" w:rsidP="00262394">
      <w:pPr>
        <w:pStyle w:val="Normalsmall"/>
        <w:spacing w:before="360"/>
      </w:pPr>
      <w:r>
        <w:t>© Commonwealth of Australia 202</w:t>
      </w:r>
      <w:r w:rsidR="00340820">
        <w:t>3</w:t>
      </w:r>
    </w:p>
    <w:p w14:paraId="0F374764" w14:textId="77777777" w:rsidR="00262394" w:rsidRDefault="00262394" w:rsidP="00262394">
      <w:pPr>
        <w:pStyle w:val="Normalsmall"/>
      </w:pPr>
      <w:r>
        <w:t>Unless otherwise noted, copyright (and any other intellectual property rights) in this publication is owned by the Commonwealth of Australia (referred to as the Commonwealth).</w:t>
      </w:r>
    </w:p>
    <w:p w14:paraId="56BA739C" w14:textId="77777777" w:rsidR="00262394" w:rsidRDefault="00262394" w:rsidP="00262394">
      <w:pPr>
        <w:pStyle w:val="Normalsmall"/>
      </w:pPr>
      <w:r>
        <w:t xml:space="preserve">All material in this publication is licensed under a </w:t>
      </w:r>
      <w:hyperlink r:id="rId22" w:history="1">
        <w:r>
          <w:rPr>
            <w:rStyle w:val="Hyperlink"/>
          </w:rPr>
          <w:t>Creative Commons Attribution 4.0 International Licence</w:t>
        </w:r>
      </w:hyperlink>
      <w:r>
        <w:t xml:space="preserve"> except content supplied by third parties, logos and the Commonwealth Coat of Arms.</w:t>
      </w:r>
    </w:p>
    <w:p w14:paraId="49F20EEC" w14:textId="77777777" w:rsidR="00262394" w:rsidRDefault="00262394" w:rsidP="00262394">
      <w:pPr>
        <w:pStyle w:val="Normalsmall"/>
      </w:pPr>
      <w:r>
        <w:t xml:space="preserve">The Australian Government acting through the </w:t>
      </w:r>
      <w:r w:rsidR="007B1F92" w:rsidRPr="007B1F92">
        <w:t>Department of Agriculture, Fisheries and Forestry</w:t>
      </w:r>
      <w:r>
        <w:t xml:space="preserve"> has exercised due care and skill in preparing and compiling the information and data in this publication. Notwithstanding, the </w:t>
      </w:r>
      <w:r w:rsidR="007B1F92" w:rsidRPr="007B1F92">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sectPr w:rsidR="00262394" w:rsidSect="00EF7461">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904F6" w14:textId="77777777" w:rsidR="00883AB0" w:rsidRDefault="00883AB0">
      <w:r>
        <w:separator/>
      </w:r>
    </w:p>
    <w:p w14:paraId="0FD03F97" w14:textId="77777777" w:rsidR="00883AB0" w:rsidRDefault="00883AB0"/>
    <w:p w14:paraId="43243EC0" w14:textId="77777777" w:rsidR="00883AB0" w:rsidRDefault="00883AB0"/>
  </w:endnote>
  <w:endnote w:type="continuationSeparator" w:id="0">
    <w:p w14:paraId="60C3B2C9" w14:textId="77777777" w:rsidR="00883AB0" w:rsidRDefault="00883AB0">
      <w:r>
        <w:continuationSeparator/>
      </w:r>
    </w:p>
    <w:p w14:paraId="4EAEBC55" w14:textId="77777777" w:rsidR="00883AB0" w:rsidRDefault="00883AB0"/>
    <w:p w14:paraId="207BF7A0" w14:textId="77777777" w:rsidR="00883AB0" w:rsidRDefault="00883AB0"/>
  </w:endnote>
  <w:endnote w:type="continuationNotice" w:id="1">
    <w:p w14:paraId="3B80CED7" w14:textId="77777777" w:rsidR="00883AB0" w:rsidRDefault="00883AB0">
      <w:pPr>
        <w:pStyle w:val="Footer"/>
      </w:pPr>
    </w:p>
    <w:p w14:paraId="578BD1C4" w14:textId="77777777" w:rsidR="00883AB0" w:rsidRDefault="00883AB0"/>
    <w:p w14:paraId="29FB26DE" w14:textId="77777777" w:rsidR="00883AB0" w:rsidRDefault="00883A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DF105" w14:textId="77777777" w:rsidR="002A193C" w:rsidRDefault="007B1F92">
    <w:pPr>
      <w:pStyle w:val="Footer"/>
    </w:pPr>
    <w:r w:rsidRPr="007B1F92">
      <w:t>Department of Agriculture, Fisheries and Forestry</w:t>
    </w:r>
  </w:p>
  <w:p w14:paraId="4E741F76" w14:textId="77777777" w:rsidR="002A193C" w:rsidRDefault="002A193C">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4B26E" w14:textId="77777777" w:rsidR="002A193C" w:rsidRDefault="002A193C">
    <w:pPr>
      <w:pStyle w:val="Footer"/>
    </w:pPr>
    <w:r>
      <w:t xml:space="preserve">Department of Agriculture, </w:t>
    </w:r>
    <w:r w:rsidR="00A9002C">
      <w:t>Fisheries and Forestry</w:t>
    </w:r>
  </w:p>
  <w:p w14:paraId="131E0785" w14:textId="77777777" w:rsidR="002A193C" w:rsidRDefault="002A193C">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A56C6" w14:textId="77777777" w:rsidR="00883AB0" w:rsidRDefault="00883AB0">
      <w:r>
        <w:separator/>
      </w:r>
    </w:p>
    <w:p w14:paraId="755FB468" w14:textId="77777777" w:rsidR="00883AB0" w:rsidRDefault="00883AB0"/>
    <w:p w14:paraId="7398E8BF" w14:textId="77777777" w:rsidR="00883AB0" w:rsidRDefault="00883AB0"/>
  </w:footnote>
  <w:footnote w:type="continuationSeparator" w:id="0">
    <w:p w14:paraId="65439CD3" w14:textId="77777777" w:rsidR="00883AB0" w:rsidRDefault="00883AB0">
      <w:r>
        <w:continuationSeparator/>
      </w:r>
    </w:p>
    <w:p w14:paraId="6DE438A5" w14:textId="77777777" w:rsidR="00883AB0" w:rsidRDefault="00883AB0"/>
    <w:p w14:paraId="675E04A8" w14:textId="77777777" w:rsidR="00883AB0" w:rsidRDefault="00883AB0"/>
  </w:footnote>
  <w:footnote w:type="continuationNotice" w:id="1">
    <w:p w14:paraId="2B31887A" w14:textId="77777777" w:rsidR="00883AB0" w:rsidRDefault="00883AB0">
      <w:pPr>
        <w:pStyle w:val="Footer"/>
      </w:pPr>
    </w:p>
    <w:p w14:paraId="264D83B8" w14:textId="77777777" w:rsidR="00883AB0" w:rsidRDefault="00883AB0"/>
    <w:p w14:paraId="06C2E3B1" w14:textId="77777777" w:rsidR="00883AB0" w:rsidRDefault="00883A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60BBE" w14:textId="6803A0AE" w:rsidR="002A193C" w:rsidRDefault="0022596B">
    <w:pPr>
      <w:pStyle w:val="Header"/>
    </w:pPr>
    <w:bookmarkStart w:id="1" w:name="_Hlk130912994"/>
    <w:bookmarkStart w:id="2" w:name="_Hlk130912995"/>
    <w:r>
      <w:t>Stakeholder communication and engagement policy</w:t>
    </w:r>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13946" w14:textId="696D2E4B" w:rsidR="002A193C" w:rsidRDefault="00D36729">
    <w:pPr>
      <w:pStyle w:val="Header"/>
      <w:jc w:val="left"/>
    </w:pPr>
    <w:r>
      <w:rPr>
        <w:noProof/>
        <w:lang w:eastAsia="en-AU"/>
      </w:rPr>
      <w:drawing>
        <wp:inline distT="0" distB="0" distL="0" distR="0" wp14:anchorId="26E9B587" wp14:editId="141EFCA6">
          <wp:extent cx="2542599" cy="738943"/>
          <wp:effectExtent l="0" t="0" r="0" b="4445"/>
          <wp:docPr id="4" name="Picture 4"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554C2" w14:textId="4DD9113A" w:rsidR="009827DD" w:rsidRDefault="009827DD" w:rsidP="009827DD">
    <w:pPr>
      <w:pStyle w:val="Header"/>
    </w:pPr>
    <w:r>
      <w:t>Stakeholder communication and engagement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5829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AAC49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B2FA9A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FCE55C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382C658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B58C452A"/>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12056DAA"/>
    <w:multiLevelType w:val="hybridMultilevel"/>
    <w:tmpl w:val="E13698D2"/>
    <w:lvl w:ilvl="0" w:tplc="1DA20EE0">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96B606F"/>
    <w:multiLevelType w:val="hybridMultilevel"/>
    <w:tmpl w:val="0CA0B57E"/>
    <w:lvl w:ilvl="0" w:tplc="3882266C">
      <w:start w:val="1"/>
      <w:numFmt w:val="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1"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A328D5"/>
    <w:multiLevelType w:val="multilevel"/>
    <w:tmpl w:val="BE78A4F8"/>
    <w:numStyleLink w:val="Numberlist"/>
  </w:abstractNum>
  <w:abstractNum w:abstractNumId="13" w15:restartNumberingAfterBreak="0">
    <w:nsid w:val="21E20078"/>
    <w:multiLevelType w:val="multilevel"/>
    <w:tmpl w:val="B95457A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103637"/>
    <w:multiLevelType w:val="multilevel"/>
    <w:tmpl w:val="BE78A4F8"/>
    <w:numStyleLink w:val="Numberlist"/>
  </w:abstractNum>
  <w:abstractNum w:abstractNumId="15" w15:restartNumberingAfterBreak="0">
    <w:nsid w:val="394A15FE"/>
    <w:multiLevelType w:val="multilevel"/>
    <w:tmpl w:val="B95457A8"/>
    <w:numStyleLink w:val="Headinglist"/>
  </w:abstractNum>
  <w:abstractNum w:abstractNumId="16" w15:restartNumberingAfterBreak="0">
    <w:nsid w:val="414F4729"/>
    <w:multiLevelType w:val="multilevel"/>
    <w:tmpl w:val="A0241B28"/>
    <w:numStyleLink w:val="List1"/>
  </w:abstractNum>
  <w:abstractNum w:abstractNumId="17" w15:restartNumberingAfterBreak="0">
    <w:nsid w:val="486800B4"/>
    <w:multiLevelType w:val="multilevel"/>
    <w:tmpl w:val="A0241B28"/>
    <w:numStyleLink w:val="List1"/>
  </w:abstractNum>
  <w:abstractNum w:abstractNumId="18"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9" w15:restartNumberingAfterBreak="0">
    <w:nsid w:val="496159DC"/>
    <w:multiLevelType w:val="multilevel"/>
    <w:tmpl w:val="BE78A4F8"/>
    <w:numStyleLink w:val="Numberlist"/>
  </w:abstractNum>
  <w:abstractNum w:abstractNumId="2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2" w15:restartNumberingAfterBreak="0">
    <w:nsid w:val="5A8B541B"/>
    <w:multiLevelType w:val="multilevel"/>
    <w:tmpl w:val="BF3294C2"/>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5"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C8C10A1"/>
    <w:multiLevelType w:val="multilevel"/>
    <w:tmpl w:val="BE78A4F8"/>
    <w:numStyleLink w:val="Numberlist"/>
  </w:abstractNum>
  <w:abstractNum w:abstractNumId="28" w15:restartNumberingAfterBreak="0">
    <w:nsid w:val="733934B7"/>
    <w:multiLevelType w:val="multilevel"/>
    <w:tmpl w:val="A0241B28"/>
    <w:numStyleLink w:val="List1"/>
  </w:abstractNum>
  <w:num w:numId="1" w16cid:durableId="1171791816">
    <w:abstractNumId w:val="7"/>
  </w:num>
  <w:num w:numId="2" w16cid:durableId="1667321647">
    <w:abstractNumId w:val="17"/>
  </w:num>
  <w:num w:numId="3" w16cid:durableId="59796415">
    <w:abstractNumId w:val="18"/>
  </w:num>
  <w:num w:numId="4" w16cid:durableId="1913806772">
    <w:abstractNumId w:val="10"/>
  </w:num>
  <w:num w:numId="5" w16cid:durableId="2037268471">
    <w:abstractNumId w:val="23"/>
  </w:num>
  <w:num w:numId="6" w16cid:durableId="1355770275">
    <w:abstractNumId w:val="24"/>
  </w:num>
  <w:num w:numId="7" w16cid:durableId="2033527157">
    <w:abstractNumId w:val="8"/>
  </w:num>
  <w:num w:numId="8" w16cid:durableId="1882862685">
    <w:abstractNumId w:val="13"/>
  </w:num>
  <w:num w:numId="9" w16cid:durableId="179634464">
    <w:abstractNumId w:val="15"/>
  </w:num>
  <w:num w:numId="10" w16cid:durableId="19015584">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9057158">
    <w:abstractNumId w:val="6"/>
  </w:num>
  <w:num w:numId="12" w16cid:durableId="1162504366">
    <w:abstractNumId w:val="4"/>
  </w:num>
  <w:num w:numId="13" w16cid:durableId="306473293">
    <w:abstractNumId w:val="3"/>
  </w:num>
  <w:num w:numId="14" w16cid:durableId="1231303610">
    <w:abstractNumId w:val="2"/>
  </w:num>
  <w:num w:numId="15" w16cid:durableId="1486430518">
    <w:abstractNumId w:val="11"/>
  </w:num>
  <w:num w:numId="16" w16cid:durableId="52967123">
    <w:abstractNumId w:val="21"/>
  </w:num>
  <w:num w:numId="17" w16cid:durableId="6434383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1328216">
    <w:abstractNumId w:val="26"/>
  </w:num>
  <w:num w:numId="19" w16cid:durableId="1707943211">
    <w:abstractNumId w:val="1"/>
  </w:num>
  <w:num w:numId="20" w16cid:durableId="570045979">
    <w:abstractNumId w:val="0"/>
  </w:num>
  <w:num w:numId="21" w16cid:durableId="1679841556">
    <w:abstractNumId w:val="14"/>
  </w:num>
  <w:num w:numId="22" w16cid:durableId="959340878">
    <w:abstractNumId w:val="19"/>
  </w:num>
  <w:num w:numId="23" w16cid:durableId="17239849">
    <w:abstractNumId w:val="27"/>
  </w:num>
  <w:num w:numId="24" w16cid:durableId="1609504699">
    <w:abstractNumId w:val="12"/>
  </w:num>
  <w:num w:numId="25" w16cid:durableId="121310739">
    <w:abstractNumId w:val="16"/>
  </w:num>
  <w:num w:numId="26" w16cid:durableId="360508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14910102">
    <w:abstractNumId w:val="28"/>
  </w:num>
  <w:num w:numId="28" w16cid:durableId="286162399">
    <w:abstractNumId w:val="20"/>
  </w:num>
  <w:num w:numId="29" w16cid:durableId="1314989398">
    <w:abstractNumId w:val="22"/>
  </w:num>
  <w:num w:numId="30" w16cid:durableId="66652615">
    <w:abstractNumId w:val="9"/>
  </w:num>
  <w:num w:numId="31" w16cid:durableId="1990859383">
    <w:abstractNumId w:val="5"/>
  </w:num>
  <w:num w:numId="32" w16cid:durableId="951480071">
    <w:abstractNumId w:val="18"/>
  </w:num>
  <w:num w:numId="33" w16cid:durableId="2131590192">
    <w:abstractNumId w:val="13"/>
    <w:lvlOverride w:ilvl="0">
      <w:lvl w:ilvl="0">
        <w:start w:val="1"/>
        <w:numFmt w:val="decimal"/>
        <w:pStyle w:val="Heading2"/>
        <w:lvlText w:val="%1"/>
        <w:lvlJc w:val="left"/>
        <w:pPr>
          <w:ind w:left="720" w:hanging="720"/>
        </w:pPr>
        <w:rPr>
          <w:color w:val="59621D"/>
        </w:rPr>
      </w:lvl>
    </w:lvlOverride>
  </w:num>
  <w:num w:numId="34" w16cid:durableId="21588965">
    <w:abstractNumId w:val="13"/>
    <w:lvlOverride w:ilvl="0">
      <w:lvl w:ilvl="0">
        <w:start w:val="1"/>
        <w:numFmt w:val="decimal"/>
        <w:pStyle w:val="Heading2"/>
        <w:lvlText w:val="%1"/>
        <w:lvlJc w:val="left"/>
        <w:pPr>
          <w:ind w:left="720" w:hanging="720"/>
        </w:pPr>
        <w:rPr>
          <w:color w:val="59621D"/>
        </w:rPr>
      </w:lvl>
    </w:lvlOverride>
  </w:num>
  <w:num w:numId="35" w16cid:durableId="188571948">
    <w:abstractNumId w:val="13"/>
    <w:lvlOverride w:ilvl="0">
      <w:lvl w:ilvl="0">
        <w:start w:val="1"/>
        <w:numFmt w:val="decimal"/>
        <w:pStyle w:val="Heading2"/>
        <w:lvlText w:val="%1"/>
        <w:lvlJc w:val="left"/>
        <w:pPr>
          <w:ind w:left="720" w:hanging="720"/>
        </w:pPr>
        <w:rPr>
          <w:color w:val="59621D"/>
        </w:rPr>
      </w:lvl>
    </w:lvlOverride>
  </w:num>
  <w:num w:numId="36" w16cid:durableId="1942100909">
    <w:abstractNumId w:val="13"/>
    <w:lvlOverride w:ilvl="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Heading3"/>
        <w:lvlText w:val="%1.%2"/>
        <w:lvlJc w:val="left"/>
        <w:pPr>
          <w:ind w:left="964" w:hanging="964"/>
        </w:pPr>
        <w:rPr>
          <w:rFonts w:hint="default"/>
        </w:rPr>
      </w:lvl>
    </w:lvlOverride>
    <w:lvlOverride w:ilvl="2">
      <w:lvl w:ilvl="2">
        <w:start w:val="1"/>
        <w:numFmt w:val="decimal"/>
        <w:pStyle w:val="Heading4"/>
        <w:lvlText w:val="%1.%2.%3"/>
        <w:lvlJc w:val="left"/>
        <w:pPr>
          <w:ind w:left="964" w:hanging="964"/>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7" w16cid:durableId="935332696">
    <w:abstractNumId w:val="23"/>
  </w:num>
  <w:num w:numId="38" w16cid:durableId="1594363265">
    <w:abstractNumId w:val="23"/>
  </w:num>
  <w:num w:numId="39" w16cid:durableId="934168278">
    <w:abstractNumId w:val="23"/>
  </w:num>
  <w:num w:numId="40" w16cid:durableId="1347173504">
    <w:abstractNumId w:val="24"/>
  </w:num>
  <w:num w:numId="41" w16cid:durableId="823355897">
    <w:abstractNumId w:val="24"/>
  </w:num>
  <w:num w:numId="42" w16cid:durableId="1100218817">
    <w:abstractNumId w:val="24"/>
  </w:num>
  <w:num w:numId="43" w16cid:durableId="1698308952">
    <w:abstractNumId w:val="23"/>
  </w:num>
  <w:num w:numId="44" w16cid:durableId="547035718">
    <w:abstractNumId w:val="24"/>
  </w:num>
  <w:num w:numId="45" w16cid:durableId="921455078">
    <w:abstractNumId w:val="10"/>
  </w:num>
  <w:num w:numId="46" w16cid:durableId="1145393031">
    <w:abstractNumId w:val="9"/>
  </w:num>
  <w:num w:numId="47" w16cid:durableId="776364836">
    <w:abstractNumId w:val="20"/>
  </w:num>
  <w:num w:numId="48" w16cid:durableId="919363984">
    <w:abstractNumId w:val="21"/>
  </w:num>
  <w:num w:numId="49" w16cid:durableId="645671681">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AB0"/>
    <w:rsid w:val="00076A29"/>
    <w:rsid w:val="000C16B2"/>
    <w:rsid w:val="000D6DD8"/>
    <w:rsid w:val="00112B86"/>
    <w:rsid w:val="00155902"/>
    <w:rsid w:val="001567E9"/>
    <w:rsid w:val="001625AF"/>
    <w:rsid w:val="00164391"/>
    <w:rsid w:val="00183612"/>
    <w:rsid w:val="001A1F79"/>
    <w:rsid w:val="001B1009"/>
    <w:rsid w:val="001C3583"/>
    <w:rsid w:val="001D77BC"/>
    <w:rsid w:val="001E1C4C"/>
    <w:rsid w:val="00201500"/>
    <w:rsid w:val="002159B9"/>
    <w:rsid w:val="0022596B"/>
    <w:rsid w:val="00262394"/>
    <w:rsid w:val="00270847"/>
    <w:rsid w:val="00274186"/>
    <w:rsid w:val="002A193C"/>
    <w:rsid w:val="002B1769"/>
    <w:rsid w:val="002C1748"/>
    <w:rsid w:val="00305911"/>
    <w:rsid w:val="003214F8"/>
    <w:rsid w:val="00340820"/>
    <w:rsid w:val="00357095"/>
    <w:rsid w:val="00362353"/>
    <w:rsid w:val="00381D23"/>
    <w:rsid w:val="00396339"/>
    <w:rsid w:val="003A41B7"/>
    <w:rsid w:val="003A4B4A"/>
    <w:rsid w:val="003D3CE1"/>
    <w:rsid w:val="003D44DC"/>
    <w:rsid w:val="00402404"/>
    <w:rsid w:val="00406AC2"/>
    <w:rsid w:val="004073DD"/>
    <w:rsid w:val="004468AC"/>
    <w:rsid w:val="00460750"/>
    <w:rsid w:val="00465993"/>
    <w:rsid w:val="004705F2"/>
    <w:rsid w:val="00473964"/>
    <w:rsid w:val="004776F8"/>
    <w:rsid w:val="004837B1"/>
    <w:rsid w:val="0048569E"/>
    <w:rsid w:val="00486C20"/>
    <w:rsid w:val="00490E7F"/>
    <w:rsid w:val="00491C6D"/>
    <w:rsid w:val="004C6362"/>
    <w:rsid w:val="004C6C47"/>
    <w:rsid w:val="004E7366"/>
    <w:rsid w:val="004E7D8C"/>
    <w:rsid w:val="005079D8"/>
    <w:rsid w:val="005F0E4D"/>
    <w:rsid w:val="00611DA7"/>
    <w:rsid w:val="006416D4"/>
    <w:rsid w:val="006559ED"/>
    <w:rsid w:val="006D57DC"/>
    <w:rsid w:val="007170F4"/>
    <w:rsid w:val="007405CB"/>
    <w:rsid w:val="0076663B"/>
    <w:rsid w:val="007B1F92"/>
    <w:rsid w:val="007C5B94"/>
    <w:rsid w:val="007E0D66"/>
    <w:rsid w:val="007E6DB0"/>
    <w:rsid w:val="008153FE"/>
    <w:rsid w:val="0082249A"/>
    <w:rsid w:val="00833933"/>
    <w:rsid w:val="00882CE1"/>
    <w:rsid w:val="00883AB0"/>
    <w:rsid w:val="008A3190"/>
    <w:rsid w:val="008D1B48"/>
    <w:rsid w:val="008D6E31"/>
    <w:rsid w:val="008E4D90"/>
    <w:rsid w:val="008F3EFB"/>
    <w:rsid w:val="0090774C"/>
    <w:rsid w:val="00931892"/>
    <w:rsid w:val="009679F4"/>
    <w:rsid w:val="00980523"/>
    <w:rsid w:val="009827DD"/>
    <w:rsid w:val="00991227"/>
    <w:rsid w:val="00A26D23"/>
    <w:rsid w:val="00A30113"/>
    <w:rsid w:val="00A30B46"/>
    <w:rsid w:val="00A4229F"/>
    <w:rsid w:val="00A7782E"/>
    <w:rsid w:val="00A9002C"/>
    <w:rsid w:val="00AA70E3"/>
    <w:rsid w:val="00AB0FBE"/>
    <w:rsid w:val="00AF1EB9"/>
    <w:rsid w:val="00AF5211"/>
    <w:rsid w:val="00B01FB8"/>
    <w:rsid w:val="00B35721"/>
    <w:rsid w:val="00B43A41"/>
    <w:rsid w:val="00B5453F"/>
    <w:rsid w:val="00B5466B"/>
    <w:rsid w:val="00B54F61"/>
    <w:rsid w:val="00B6231C"/>
    <w:rsid w:val="00BA0AFF"/>
    <w:rsid w:val="00BB6ACE"/>
    <w:rsid w:val="00BC6BA3"/>
    <w:rsid w:val="00BD2275"/>
    <w:rsid w:val="00BE66BB"/>
    <w:rsid w:val="00C00AAC"/>
    <w:rsid w:val="00C05EA8"/>
    <w:rsid w:val="00C06619"/>
    <w:rsid w:val="00C51E35"/>
    <w:rsid w:val="00C759F8"/>
    <w:rsid w:val="00CA7D23"/>
    <w:rsid w:val="00D06356"/>
    <w:rsid w:val="00D1622A"/>
    <w:rsid w:val="00D16A96"/>
    <w:rsid w:val="00D22DE8"/>
    <w:rsid w:val="00D36729"/>
    <w:rsid w:val="00D45274"/>
    <w:rsid w:val="00D45E0E"/>
    <w:rsid w:val="00D57861"/>
    <w:rsid w:val="00D666DC"/>
    <w:rsid w:val="00D912A7"/>
    <w:rsid w:val="00DB7645"/>
    <w:rsid w:val="00E00B03"/>
    <w:rsid w:val="00E05D92"/>
    <w:rsid w:val="00E32755"/>
    <w:rsid w:val="00E362EF"/>
    <w:rsid w:val="00E43FB4"/>
    <w:rsid w:val="00E65B05"/>
    <w:rsid w:val="00E732BE"/>
    <w:rsid w:val="00E96E54"/>
    <w:rsid w:val="00EB740B"/>
    <w:rsid w:val="00ED6ED7"/>
    <w:rsid w:val="00EE5CD9"/>
    <w:rsid w:val="00EF43A7"/>
    <w:rsid w:val="00EF7461"/>
    <w:rsid w:val="00F35EE8"/>
    <w:rsid w:val="00F5099F"/>
    <w:rsid w:val="00F55324"/>
    <w:rsid w:val="00F65DFD"/>
    <w:rsid w:val="00F90D42"/>
    <w:rsid w:val="00FB088E"/>
    <w:rsid w:val="00FB6115"/>
    <w:rsid w:val="00FD11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A2C56"/>
  <w15:docId w15:val="{CFB1A0B8-3BD6-4E33-B93D-DFAD3DCC2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A41"/>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340820"/>
    <w:pPr>
      <w:widowControl w:val="0"/>
      <w:spacing w:before="360"/>
      <w:contextualSpacing/>
      <w:outlineLvl w:val="0"/>
    </w:pPr>
    <w:rPr>
      <w:rFonts w:ascii="Calibri" w:eastAsiaTheme="minorHAnsi" w:hAnsi="Calibri" w:cstheme="minorBidi"/>
      <w:b/>
      <w:bCs/>
      <w:spacing w:val="5"/>
      <w:kern w:val="28"/>
      <w:sz w:val="52"/>
      <w:szCs w:val="28"/>
      <w:lang w:eastAsia="en-US"/>
    </w:rPr>
  </w:style>
  <w:style w:type="paragraph" w:styleId="Heading2">
    <w:name w:val="heading 2"/>
    <w:basedOn w:val="Normal"/>
    <w:next w:val="Normal"/>
    <w:link w:val="Heading2Char"/>
    <w:uiPriority w:val="3"/>
    <w:rsid w:val="001B1009"/>
    <w:pPr>
      <w:keepNext/>
      <w:numPr>
        <w:numId w:val="36"/>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406AC2"/>
    <w:pPr>
      <w:keepNext/>
      <w:keepLines/>
      <w:numPr>
        <w:ilvl w:val="1"/>
        <w:numId w:val="36"/>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406AC2"/>
    <w:pPr>
      <w:keepNext/>
      <w:numPr>
        <w:ilvl w:val="2"/>
        <w:numId w:val="36"/>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E96E54"/>
    <w:pPr>
      <w:keepNext/>
      <w:keepLines/>
      <w:spacing w:after="0" w:line="240" w:lineRule="auto"/>
      <w:outlineLvl w:val="4"/>
    </w:pPr>
    <w:rPr>
      <w:rFonts w:ascii="Calibri" w:hAnsi="Calibri"/>
      <w:b/>
      <w:sz w:val="20"/>
    </w:rPr>
  </w:style>
  <w:style w:type="paragraph" w:styleId="Heading6">
    <w:name w:val="heading 6"/>
    <w:basedOn w:val="Normal"/>
    <w:next w:val="Normal"/>
    <w:link w:val="Heading6Char"/>
    <w:uiPriority w:val="9"/>
    <w:semiHidden/>
    <w:qFormat/>
    <w:rsid w:val="00FB6115"/>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BB6ACE"/>
    <w:rPr>
      <w:sz w:val="20"/>
      <w:szCs w:val="20"/>
    </w:rPr>
  </w:style>
  <w:style w:type="character" w:customStyle="1" w:styleId="CommentTextChar">
    <w:name w:val="Comment Text Char"/>
    <w:basedOn w:val="DefaultParagraphFont"/>
    <w:link w:val="CommentText"/>
    <w:rsid w:val="00BB6ACE"/>
    <w:rPr>
      <w:rFonts w:asciiTheme="minorHAnsi" w:eastAsiaTheme="minorHAnsi" w:hAnsiTheme="minorHAnsi" w:cstheme="minorBidi"/>
      <w:lang w:eastAsia="en-US"/>
    </w:rPr>
  </w:style>
  <w:style w:type="paragraph" w:styleId="Header">
    <w:name w:val="header"/>
    <w:basedOn w:val="Normal"/>
    <w:link w:val="HeaderChar"/>
    <w:uiPriority w:val="26"/>
    <w:rsid w:val="00BB6ACE"/>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BB6ACE"/>
    <w:rPr>
      <w:rFonts w:ascii="Calibri" w:eastAsiaTheme="minorHAnsi" w:hAnsi="Calibri" w:cstheme="minorBidi"/>
      <w:szCs w:val="22"/>
      <w:lang w:eastAsia="en-US"/>
    </w:rPr>
  </w:style>
  <w:style w:type="paragraph" w:styleId="Footer">
    <w:name w:val="footer"/>
    <w:basedOn w:val="Normal"/>
    <w:link w:val="FooterChar"/>
    <w:uiPriority w:val="27"/>
    <w:rsid w:val="00BB6ACE"/>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BB6ACE"/>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BB6ACE"/>
    <w:rPr>
      <w:sz w:val="16"/>
      <w:szCs w:val="16"/>
    </w:rPr>
  </w:style>
  <w:style w:type="paragraph" w:styleId="CommentSubject">
    <w:name w:val="annotation subject"/>
    <w:basedOn w:val="CommentText"/>
    <w:next w:val="CommentText"/>
    <w:link w:val="CommentSubjectChar"/>
    <w:uiPriority w:val="99"/>
    <w:semiHidden/>
    <w:unhideWhenUsed/>
    <w:rsid w:val="00BB6ACE"/>
    <w:rPr>
      <w:b/>
      <w:bCs/>
    </w:rPr>
  </w:style>
  <w:style w:type="character" w:customStyle="1" w:styleId="CommentSubjectChar">
    <w:name w:val="Comment Subject Char"/>
    <w:basedOn w:val="CommentTextChar"/>
    <w:link w:val="CommentSubject"/>
    <w:uiPriority w:val="99"/>
    <w:semiHidden/>
    <w:rsid w:val="00BB6AC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BB6ACE"/>
    <w:rPr>
      <w:rFonts w:ascii="Calibri" w:hAnsi="Calibri"/>
      <w:sz w:val="18"/>
      <w:szCs w:val="18"/>
    </w:rPr>
  </w:style>
  <w:style w:type="character" w:customStyle="1" w:styleId="BalloonTextChar">
    <w:name w:val="Balloon Text Char"/>
    <w:basedOn w:val="DefaultParagraphFont"/>
    <w:link w:val="BalloonText"/>
    <w:uiPriority w:val="99"/>
    <w:semiHidden/>
    <w:rsid w:val="00BB6ACE"/>
    <w:rPr>
      <w:rFonts w:ascii="Calibri" w:eastAsiaTheme="minorHAnsi" w:hAnsi="Calibri" w:cstheme="minorBidi"/>
      <w:sz w:val="18"/>
      <w:szCs w:val="18"/>
      <w:lang w:eastAsia="en-US"/>
    </w:rPr>
  </w:style>
  <w:style w:type="paragraph" w:customStyle="1" w:styleId="Footeraddress">
    <w:name w:val="Footer address"/>
    <w:basedOn w:val="Footer"/>
    <w:semiHidden/>
    <w:qFormat/>
    <w:rsid w:val="00BB6ACE"/>
    <w:rPr>
      <w:sz w:val="16"/>
    </w:rPr>
  </w:style>
  <w:style w:type="character" w:customStyle="1" w:styleId="Heading1Char">
    <w:name w:val="Heading 1 Char"/>
    <w:basedOn w:val="DefaultParagraphFont"/>
    <w:link w:val="Heading1"/>
    <w:uiPriority w:val="1"/>
    <w:rsid w:val="00340820"/>
    <w:rPr>
      <w:rFonts w:ascii="Calibri" w:eastAsiaTheme="minorHAnsi" w:hAnsi="Calibri" w:cstheme="minorBidi"/>
      <w:b/>
      <w:bCs/>
      <w:spacing w:val="5"/>
      <w:kern w:val="28"/>
      <w:sz w:val="52"/>
      <w:szCs w:val="28"/>
      <w:lang w:eastAsia="en-US"/>
    </w:rPr>
  </w:style>
  <w:style w:type="character" w:customStyle="1" w:styleId="Heading2Char">
    <w:name w:val="Heading 2 Char"/>
    <w:basedOn w:val="DefaultParagraphFont"/>
    <w:link w:val="Heading2"/>
    <w:uiPriority w:val="3"/>
    <w:rsid w:val="001B1009"/>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sid w:val="00406AC2"/>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406AC2"/>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E96E54"/>
    <w:rPr>
      <w:rFonts w:ascii="Calibri" w:eastAsiaTheme="minorHAnsi" w:hAnsi="Calibri" w:cstheme="minorBidi"/>
      <w:b/>
      <w:szCs w:val="22"/>
      <w:lang w:eastAsia="en-US"/>
    </w:rPr>
  </w:style>
  <w:style w:type="paragraph" w:styleId="Quote">
    <w:name w:val="Quote"/>
    <w:basedOn w:val="Normal"/>
    <w:next w:val="Normal"/>
    <w:link w:val="QuoteChar"/>
    <w:uiPriority w:val="18"/>
    <w:qFormat/>
    <w:rsid w:val="00BB6ACE"/>
    <w:pPr>
      <w:ind w:left="709" w:right="567"/>
    </w:pPr>
    <w:rPr>
      <w:iCs/>
      <w:color w:val="000000"/>
    </w:rPr>
  </w:style>
  <w:style w:type="character" w:customStyle="1" w:styleId="QuoteChar">
    <w:name w:val="Quote Char"/>
    <w:basedOn w:val="DefaultParagraphFont"/>
    <w:link w:val="Quote"/>
    <w:uiPriority w:val="18"/>
    <w:rsid w:val="00BB6AC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BB6AC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BB6AC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BB6AC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B5453F"/>
    <w:pPr>
      <w:spacing w:before="120"/>
    </w:pPr>
    <w:rPr>
      <w:b w:val="0"/>
      <w:color w:val="000000" w:themeColor="text1"/>
      <w:sz w:val="44"/>
      <w:szCs w:val="56"/>
    </w:rPr>
  </w:style>
  <w:style w:type="character" w:customStyle="1" w:styleId="SubtitleChar">
    <w:name w:val="Subtitle Char"/>
    <w:basedOn w:val="DefaultParagraphFont"/>
    <w:link w:val="Subtitle"/>
    <w:uiPriority w:val="23"/>
    <w:rsid w:val="00B5453F"/>
    <w:rPr>
      <w:rFonts w:ascii="Calibri" w:eastAsiaTheme="minorHAnsi" w:hAnsi="Calibri" w:cstheme="minorBidi"/>
      <w:bCs/>
      <w:color w:val="000000" w:themeColor="text1"/>
      <w:spacing w:val="5"/>
      <w:kern w:val="28"/>
      <w:sz w:val="44"/>
      <w:szCs w:val="56"/>
      <w:lang w:eastAsia="en-US"/>
    </w:rPr>
  </w:style>
  <w:style w:type="paragraph" w:styleId="TOCHeading">
    <w:name w:val="TOC Heading"/>
    <w:next w:val="Normal"/>
    <w:uiPriority w:val="39"/>
    <w:qFormat/>
    <w:rsid w:val="00BB6AC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BB6AC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BB6AC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BB6AC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BB6ACE"/>
    <w:rPr>
      <w:color w:val="165788"/>
      <w:u w:val="single"/>
    </w:rPr>
  </w:style>
  <w:style w:type="paragraph" w:styleId="ListBullet">
    <w:name w:val="List Bullet"/>
    <w:basedOn w:val="Normal"/>
    <w:uiPriority w:val="99"/>
    <w:qFormat/>
    <w:rsid w:val="00BB6ACE"/>
    <w:pPr>
      <w:numPr>
        <w:numId w:val="43"/>
      </w:numPr>
      <w:spacing w:before="120" w:after="120"/>
    </w:pPr>
  </w:style>
  <w:style w:type="paragraph" w:styleId="TableofFigures">
    <w:name w:val="table of figures"/>
    <w:basedOn w:val="Normal"/>
    <w:next w:val="Normal"/>
    <w:uiPriority w:val="99"/>
    <w:rsid w:val="00BB6ACE"/>
    <w:pPr>
      <w:spacing w:before="120" w:after="120" w:line="240" w:lineRule="auto"/>
    </w:pPr>
  </w:style>
  <w:style w:type="paragraph" w:styleId="ListBullet2">
    <w:name w:val="List Bullet 2"/>
    <w:basedOn w:val="Normal"/>
    <w:uiPriority w:val="8"/>
    <w:qFormat/>
    <w:rsid w:val="00BB6ACE"/>
    <w:pPr>
      <w:numPr>
        <w:ilvl w:val="1"/>
        <w:numId w:val="43"/>
      </w:numPr>
      <w:spacing w:before="120" w:after="120"/>
      <w:contextualSpacing/>
    </w:pPr>
  </w:style>
  <w:style w:type="paragraph" w:styleId="ListNumber">
    <w:name w:val="List Number"/>
    <w:basedOn w:val="Normal"/>
    <w:uiPriority w:val="9"/>
    <w:qFormat/>
    <w:rsid w:val="00BB6ACE"/>
    <w:pPr>
      <w:numPr>
        <w:numId w:val="44"/>
      </w:numPr>
      <w:tabs>
        <w:tab w:val="left" w:pos="142"/>
      </w:tabs>
      <w:spacing w:before="120" w:after="120"/>
    </w:pPr>
  </w:style>
  <w:style w:type="paragraph" w:styleId="ListNumber2">
    <w:name w:val="List Number 2"/>
    <w:uiPriority w:val="10"/>
    <w:qFormat/>
    <w:rsid w:val="00BB6ACE"/>
    <w:pPr>
      <w:numPr>
        <w:ilvl w:val="1"/>
        <w:numId w:val="44"/>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BB6ACE"/>
    <w:pPr>
      <w:numPr>
        <w:ilvl w:val="2"/>
        <w:numId w:val="44"/>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BB6AC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BB6ACE"/>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BB6ACE"/>
    <w:pPr>
      <w:spacing w:before="60" w:after="60" w:line="240" w:lineRule="auto"/>
    </w:pPr>
    <w:rPr>
      <w:sz w:val="18"/>
    </w:rPr>
  </w:style>
  <w:style w:type="table" w:styleId="TableGrid1">
    <w:name w:val="Table Grid 1"/>
    <w:basedOn w:val="TableNormal"/>
    <w:uiPriority w:val="99"/>
    <w:semiHidden/>
    <w:unhideWhenUsed/>
    <w:rsid w:val="00BB6AC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BB6ACE"/>
    <w:pPr>
      <w:keepNext/>
    </w:pPr>
    <w:rPr>
      <w:b/>
    </w:rPr>
  </w:style>
  <w:style w:type="character" w:styleId="PlaceholderText">
    <w:name w:val="Placeholder Text"/>
    <w:basedOn w:val="DefaultParagraphFont"/>
    <w:uiPriority w:val="99"/>
    <w:semiHidden/>
    <w:rsid w:val="00BB6ACE"/>
    <w:rPr>
      <w:color w:val="808080"/>
    </w:rPr>
  </w:style>
  <w:style w:type="paragraph" w:customStyle="1" w:styleId="Author">
    <w:name w:val="Author"/>
    <w:basedOn w:val="Normal"/>
    <w:next w:val="Normal"/>
    <w:uiPriority w:val="24"/>
    <w:qFormat/>
    <w:rsid w:val="00BB6ACE"/>
    <w:pPr>
      <w:spacing w:after="60"/>
    </w:pPr>
    <w:rPr>
      <w:b/>
      <w:sz w:val="24"/>
      <w:szCs w:val="28"/>
    </w:rPr>
  </w:style>
  <w:style w:type="paragraph" w:customStyle="1" w:styleId="AuthorOrganisationAffiliation">
    <w:name w:val="Author Organisation/Affiliation"/>
    <w:basedOn w:val="Normal"/>
    <w:next w:val="Normal"/>
    <w:uiPriority w:val="25"/>
    <w:qFormat/>
    <w:rsid w:val="00BB6ACE"/>
  </w:style>
  <w:style w:type="character" w:styleId="Strong">
    <w:name w:val="Strong"/>
    <w:basedOn w:val="DefaultParagraphFont"/>
    <w:uiPriority w:val="22"/>
    <w:qFormat/>
    <w:rsid w:val="00BB6ACE"/>
    <w:rPr>
      <w:b/>
      <w:bCs/>
    </w:rPr>
  </w:style>
  <w:style w:type="paragraph" w:customStyle="1" w:styleId="Glossary">
    <w:name w:val="Glossary"/>
    <w:basedOn w:val="Normal"/>
    <w:link w:val="GlossaryChar"/>
    <w:uiPriority w:val="28"/>
    <w:semiHidden/>
    <w:locked/>
    <w:rsid w:val="00BB6AC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BB6AC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BB6ACE"/>
    <w:rPr>
      <w:i/>
      <w:iCs/>
    </w:rPr>
  </w:style>
  <w:style w:type="paragraph" w:styleId="TOAHeading">
    <w:name w:val="toa heading"/>
    <w:basedOn w:val="Heading1"/>
    <w:next w:val="Normal"/>
    <w:uiPriority w:val="99"/>
    <w:semiHidden/>
    <w:unhideWhenUsed/>
    <w:rsid w:val="00BB6ACE"/>
    <w:pPr>
      <w:spacing w:before="120"/>
    </w:pPr>
    <w:rPr>
      <w:bCs w:val="0"/>
      <w:sz w:val="24"/>
    </w:rPr>
  </w:style>
  <w:style w:type="paragraph" w:styleId="NormalWeb">
    <w:name w:val="Normal (Web)"/>
    <w:basedOn w:val="Normal"/>
    <w:uiPriority w:val="99"/>
    <w:semiHidden/>
    <w:unhideWhenUsed/>
    <w:rsid w:val="00BB6AC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BC6BA3"/>
    <w:pPr>
      <w:numPr>
        <w:numId w:val="32"/>
      </w:numPr>
      <w:ind w:left="357" w:hanging="357"/>
    </w:pPr>
  </w:style>
  <w:style w:type="paragraph" w:customStyle="1" w:styleId="TableBullet1">
    <w:name w:val="Table Bullet 1"/>
    <w:basedOn w:val="TableText"/>
    <w:uiPriority w:val="15"/>
    <w:qFormat/>
    <w:rsid w:val="003D3CE1"/>
    <w:pPr>
      <w:numPr>
        <w:numId w:val="29"/>
      </w:numPr>
    </w:pPr>
  </w:style>
  <w:style w:type="paragraph" w:styleId="DocumentMap">
    <w:name w:val="Document Map"/>
    <w:basedOn w:val="Normal"/>
    <w:link w:val="DocumentMapChar"/>
    <w:uiPriority w:val="99"/>
    <w:semiHidden/>
    <w:unhideWhenUsed/>
    <w:rsid w:val="00BB6AC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6ACE"/>
    <w:rPr>
      <w:rFonts w:ascii="Tahoma" w:eastAsiaTheme="minorHAnsi" w:hAnsi="Tahoma" w:cs="Tahoma"/>
      <w:sz w:val="16"/>
      <w:szCs w:val="16"/>
      <w:lang w:eastAsia="en-US"/>
    </w:rPr>
  </w:style>
  <w:style w:type="paragraph" w:customStyle="1" w:styleId="BoxHeading">
    <w:name w:val="Box Heading"/>
    <w:basedOn w:val="BoxText"/>
    <w:uiPriority w:val="20"/>
    <w:qFormat/>
    <w:rsid w:val="00BB6ACE"/>
    <w:pPr>
      <w:spacing w:line="240" w:lineRule="auto"/>
    </w:pPr>
    <w:rPr>
      <w:b/>
    </w:rPr>
  </w:style>
  <w:style w:type="paragraph" w:customStyle="1" w:styleId="Securityclassification">
    <w:name w:val="Security classification"/>
    <w:basedOn w:val="Header"/>
    <w:next w:val="Header"/>
    <w:uiPriority w:val="26"/>
    <w:qFormat/>
    <w:rsid w:val="00BB6ACE"/>
    <w:pPr>
      <w:spacing w:after="0"/>
    </w:pPr>
    <w:rPr>
      <w:b/>
      <w:color w:val="FF0000"/>
      <w:sz w:val="36"/>
      <w:szCs w:val="36"/>
    </w:rPr>
  </w:style>
  <w:style w:type="paragraph" w:customStyle="1" w:styleId="DisseminationLimitingMarker">
    <w:name w:val="Dissemination Limiting Marker"/>
    <w:basedOn w:val="Header"/>
    <w:next w:val="Header"/>
    <w:uiPriority w:val="27"/>
    <w:rsid w:val="00BB6ACE"/>
    <w:pPr>
      <w:spacing w:after="0"/>
    </w:pPr>
    <w:rPr>
      <w:b/>
      <w:sz w:val="36"/>
      <w:szCs w:val="36"/>
    </w:rPr>
  </w:style>
  <w:style w:type="paragraph" w:styleId="FootnoteText">
    <w:name w:val="footnote text"/>
    <w:basedOn w:val="Normal"/>
    <w:link w:val="FootnoteTextChar"/>
    <w:uiPriority w:val="99"/>
    <w:unhideWhenUsed/>
    <w:rsid w:val="00BB6ACE"/>
    <w:pPr>
      <w:spacing w:after="60" w:line="264" w:lineRule="auto"/>
    </w:pPr>
    <w:rPr>
      <w:sz w:val="20"/>
      <w:szCs w:val="20"/>
    </w:rPr>
  </w:style>
  <w:style w:type="character" w:customStyle="1" w:styleId="FootnoteTextChar">
    <w:name w:val="Footnote Text Char"/>
    <w:basedOn w:val="DefaultParagraphFont"/>
    <w:link w:val="FootnoteText"/>
    <w:uiPriority w:val="99"/>
    <w:rsid w:val="00BB6AC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B6ACE"/>
    <w:rPr>
      <w:vertAlign w:val="superscript"/>
    </w:rPr>
  </w:style>
  <w:style w:type="paragraph" w:styleId="EndnoteText">
    <w:name w:val="endnote text"/>
    <w:basedOn w:val="Normal"/>
    <w:link w:val="EndnoteTextChar"/>
    <w:uiPriority w:val="99"/>
    <w:unhideWhenUsed/>
    <w:rsid w:val="00BB6ACE"/>
    <w:pPr>
      <w:spacing w:after="60" w:line="264" w:lineRule="auto"/>
    </w:pPr>
    <w:rPr>
      <w:sz w:val="20"/>
      <w:szCs w:val="20"/>
    </w:rPr>
  </w:style>
  <w:style w:type="character" w:customStyle="1" w:styleId="EndnoteTextChar">
    <w:name w:val="Endnote Text Char"/>
    <w:basedOn w:val="DefaultParagraphFont"/>
    <w:link w:val="EndnoteText"/>
    <w:uiPriority w:val="99"/>
    <w:rsid w:val="00BB6AC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BB6ACE"/>
    <w:rPr>
      <w:vertAlign w:val="superscript"/>
    </w:rPr>
  </w:style>
  <w:style w:type="character" w:styleId="FollowedHyperlink">
    <w:name w:val="FollowedHyperlink"/>
    <w:basedOn w:val="DefaultParagraphFont"/>
    <w:uiPriority w:val="99"/>
    <w:semiHidden/>
    <w:unhideWhenUsed/>
    <w:rsid w:val="00BB6ACE"/>
    <w:rPr>
      <w:color w:val="800080"/>
      <w:u w:val="single"/>
    </w:rPr>
  </w:style>
  <w:style w:type="paragraph" w:customStyle="1" w:styleId="BoxSource">
    <w:name w:val="Box Source"/>
    <w:basedOn w:val="FigureTableNoteSource"/>
    <w:uiPriority w:val="22"/>
    <w:qFormat/>
    <w:rsid w:val="00BB6AC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BB6ACE"/>
    <w:pPr>
      <w:numPr>
        <w:numId w:val="5"/>
      </w:numPr>
    </w:pPr>
  </w:style>
  <w:style w:type="paragraph" w:styleId="Title">
    <w:name w:val="Title"/>
    <w:basedOn w:val="Normal"/>
    <w:next w:val="Normal"/>
    <w:link w:val="TitleChar"/>
    <w:uiPriority w:val="10"/>
    <w:semiHidden/>
    <w:qFormat/>
    <w:rsid w:val="00BB6AC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BB6AC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BB6ACE"/>
    <w:rPr>
      <w:rFonts w:ascii="Calibri Light" w:eastAsiaTheme="minorHAnsi" w:hAnsi="Calibri Light" w:cstheme="minorBidi"/>
      <w:sz w:val="36"/>
      <w:szCs w:val="22"/>
      <w:lang w:eastAsia="en-US"/>
    </w:rPr>
  </w:style>
  <w:style w:type="numbering" w:customStyle="1" w:styleId="Numberlist">
    <w:name w:val="Number list"/>
    <w:uiPriority w:val="99"/>
    <w:rsid w:val="00BB6ACE"/>
    <w:pPr>
      <w:numPr>
        <w:numId w:val="6"/>
      </w:numPr>
    </w:pPr>
  </w:style>
  <w:style w:type="numbering" w:customStyle="1" w:styleId="Headinglist">
    <w:name w:val="Heading list"/>
    <w:uiPriority w:val="99"/>
    <w:rsid w:val="00BB6ACE"/>
    <w:pPr>
      <w:numPr>
        <w:numId w:val="8"/>
      </w:numPr>
    </w:pPr>
  </w:style>
  <w:style w:type="paragraph" w:customStyle="1" w:styleId="Normalsmall">
    <w:name w:val="Normal small"/>
    <w:qFormat/>
    <w:rsid w:val="00BB6AC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rsid w:val="00BB6ACE"/>
    <w:pPr>
      <w:numPr>
        <w:ilvl w:val="2"/>
        <w:numId w:val="4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1E1C4C"/>
    <w:pPr>
      <w:numPr>
        <w:numId w:val="48"/>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BB6ACE"/>
    <w:rPr>
      <w:i/>
      <w:iCs/>
      <w:color w:val="4F81BD" w:themeColor="accent1"/>
    </w:rPr>
  </w:style>
  <w:style w:type="paragraph" w:customStyle="1" w:styleId="TableBullet2">
    <w:name w:val="Table Bullet 2"/>
    <w:basedOn w:val="TableBullet1"/>
    <w:qFormat/>
    <w:rsid w:val="003D3CE1"/>
    <w:pPr>
      <w:numPr>
        <w:numId w:val="46"/>
      </w:numPr>
      <w:tabs>
        <w:tab w:val="num" w:pos="462"/>
      </w:tabs>
      <w:ind w:left="604" w:hanging="445"/>
    </w:pPr>
  </w:style>
  <w:style w:type="numbering" w:customStyle="1" w:styleId="TableBulletlist">
    <w:name w:val="Table Bullet list"/>
    <w:uiPriority w:val="99"/>
    <w:rsid w:val="00BB6ACE"/>
    <w:pPr>
      <w:numPr>
        <w:numId w:val="28"/>
      </w:numPr>
    </w:pPr>
  </w:style>
  <w:style w:type="character" w:styleId="UnresolvedMention">
    <w:name w:val="Unresolved Mention"/>
    <w:basedOn w:val="DefaultParagraphFont"/>
    <w:uiPriority w:val="99"/>
    <w:semiHidden/>
    <w:unhideWhenUsed/>
    <w:rsid w:val="00BB6ACE"/>
    <w:rPr>
      <w:color w:val="605E5C"/>
      <w:shd w:val="clear" w:color="auto" w:fill="E1DFDD"/>
    </w:rPr>
  </w:style>
  <w:style w:type="paragraph" w:styleId="ListParagraph">
    <w:name w:val="List Paragraph"/>
    <w:basedOn w:val="Normal"/>
    <w:uiPriority w:val="34"/>
    <w:semiHidden/>
    <w:qFormat/>
    <w:rsid w:val="00BB6ACE"/>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FB6115"/>
    <w:rPr>
      <w:rFonts w:asciiTheme="minorHAnsi" w:eastAsiaTheme="majorEastAsia" w:hAnsiTheme="minorHAnsi" w:cstheme="majorBidi"/>
      <w:i/>
      <w:color w:val="59621D"/>
      <w:szCs w:val="22"/>
      <w:lang w:eastAsia="en-US"/>
    </w:rPr>
  </w:style>
  <w:style w:type="paragraph" w:styleId="Revision">
    <w:name w:val="Revision"/>
    <w:hidden/>
    <w:uiPriority w:val="99"/>
    <w:semiHidden/>
    <w:rsid w:val="00D57861"/>
    <w:rPr>
      <w:rFonts w:asciiTheme="minorHAnsi" w:eastAsiaTheme="minorHAnsi" w:hAnsiTheme="minorHAnsi" w:cstheme="minorBidi"/>
      <w:sz w:val="22"/>
      <w:szCs w:val="22"/>
      <w:lang w:eastAsia="en-US"/>
    </w:rPr>
  </w:style>
  <w:style w:type="table" w:styleId="TableGrid">
    <w:name w:val="Table Grid"/>
    <w:basedOn w:val="TableNormal"/>
    <w:uiPriority w:val="59"/>
    <w:rsid w:val="00EF7461"/>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399161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Series/F2021L00319"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legislation.gov.au/Series/C2020A0001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agriculture.gov.au/biosecurity-trade/export/controlled-goods/live-animals/livestock/exporters/export-lice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ulture.gov.au/biosecurity-trade/export/controlled-goods/live-animals/advisory-notice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icor.agriculture.gov.au/live-animals/Pages/Market%20Access%20Notices.asp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aveyoursay.agriculture.gov.au/" TargetMode="External"/><Relationship Id="rId2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Print%20and%20web%20content\Short_documen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CA9B8C2E-1531-4DAF-A8DB-943A30855E13}"/>
</file>

<file path=customXml/itemProps3.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867144-1A3A-469F-91B9-29B4C357A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Short_document_template.dotx</Template>
  <TotalTime>2</TotalTime>
  <Pages>5</Pages>
  <Words>1506</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Short document template</vt:lpstr>
    </vt:vector>
  </TitlesOfParts>
  <Company/>
  <LinksUpToDate>false</LinksUpToDate>
  <CharactersWithSpaces>10076</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document template</dc:title>
  <dc:creator>White, Carolyn</dc:creator>
  <cp:lastModifiedBy>White, Carolyn</cp:lastModifiedBy>
  <cp:revision>5</cp:revision>
  <cp:lastPrinted>2019-02-13T02:42:00Z</cp:lastPrinted>
  <dcterms:created xsi:type="dcterms:W3CDTF">2023-04-03T02:28:00Z</dcterms:created>
  <dcterms:modified xsi:type="dcterms:W3CDTF">2023-04-03T02:30:00Z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y fmtid="{D5CDD505-2E9C-101B-9397-08002B2CF9AE}" pid="3" name="_DocHome">
    <vt:i4>986778056</vt:i4>
  </property>
  <property fmtid="{D5CDD505-2E9C-101B-9397-08002B2CF9AE}" pid="4" name="MediaServiceImageTags">
    <vt:lpwstr/>
  </property>
</Properties>
</file>