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5E01A" w14:textId="01190073" w:rsidR="00EC0971" w:rsidRPr="00AC5324" w:rsidRDefault="00E84611" w:rsidP="006E2237">
      <w:pPr>
        <w:pStyle w:val="Heading1"/>
        <w:widowControl w:val="0"/>
        <w:tabs>
          <w:tab w:val="clear" w:pos="4513"/>
          <w:tab w:val="clear" w:pos="9026"/>
        </w:tabs>
        <w:spacing w:before="360" w:after="0"/>
        <w:contextualSpacing/>
        <w:rPr>
          <w:rFonts w:eastAsiaTheme="minorHAnsi" w:cstheme="minorBidi"/>
          <w:bCs/>
          <w:spacing w:val="5"/>
          <w:kern w:val="28"/>
          <w:sz w:val="52"/>
          <w:szCs w:val="28"/>
        </w:rPr>
      </w:pPr>
      <w:r w:rsidRPr="00AC5324">
        <w:rPr>
          <w:rFonts w:eastAsiaTheme="minorHAnsi" w:cstheme="minorBidi"/>
          <w:bCs/>
          <w:spacing w:val="5"/>
          <w:kern w:val="28"/>
          <w:sz w:val="52"/>
          <w:szCs w:val="28"/>
        </w:rPr>
        <w:t xml:space="preserve">Stakeholder </w:t>
      </w:r>
      <w:r w:rsidR="006E2237" w:rsidRPr="00AC5324">
        <w:rPr>
          <w:rFonts w:eastAsiaTheme="minorHAnsi" w:cstheme="minorBidi"/>
          <w:bCs/>
          <w:spacing w:val="5"/>
          <w:kern w:val="28"/>
          <w:sz w:val="52"/>
          <w:szCs w:val="28"/>
        </w:rPr>
        <w:t>response summary</w:t>
      </w:r>
    </w:p>
    <w:p w14:paraId="2B505F95" w14:textId="7C34F85D" w:rsidR="00513011" w:rsidRPr="00AC5324" w:rsidRDefault="00413C9F" w:rsidP="00157D77">
      <w:pPr>
        <w:pStyle w:val="Heading1"/>
        <w:shd w:val="clear" w:color="auto" w:fill="FFFFFF"/>
        <w:spacing w:after="360"/>
      </w:pPr>
      <w:r>
        <w:rPr>
          <w:rFonts w:ascii="Open Sans" w:hAnsi="Open Sans" w:cs="Open Sans"/>
          <w:b w:val="0"/>
          <w:bCs/>
          <w:color w:val="000000"/>
          <w:sz w:val="28"/>
          <w:szCs w:val="28"/>
        </w:rPr>
        <w:t>Importation of zoo hippopotamuses and their semen from approved countries</w:t>
      </w:r>
      <w:bookmarkStart w:id="0" w:name="_Hlk175064405"/>
    </w:p>
    <w:tbl>
      <w:tblPr>
        <w:tblW w:w="0" w:type="auto"/>
        <w:tblLook w:val="04A0" w:firstRow="1" w:lastRow="0" w:firstColumn="1" w:lastColumn="0" w:noHBand="0" w:noVBand="1"/>
      </w:tblPr>
      <w:tblGrid>
        <w:gridCol w:w="7647"/>
        <w:gridCol w:w="7031"/>
      </w:tblGrid>
      <w:tr w:rsidR="002F18DF" w:rsidRPr="00AC5324" w14:paraId="254B9C78" w14:textId="77777777" w:rsidTr="00157D77">
        <w:tc>
          <w:tcPr>
            <w:tcW w:w="0" w:type="auto"/>
            <w:tcBorders>
              <w:top w:val="single" w:sz="4" w:space="0" w:color="auto"/>
              <w:bottom w:val="single" w:sz="4" w:space="0" w:color="auto"/>
            </w:tcBorders>
          </w:tcPr>
          <w:bookmarkEnd w:id="0"/>
          <w:p w14:paraId="42057254" w14:textId="0C2FB786" w:rsidR="002F18DF" w:rsidRPr="00477B86" w:rsidRDefault="00477B86" w:rsidP="008D0FC3">
            <w:pPr>
              <w:spacing w:before="40" w:after="40" w:line="276" w:lineRule="auto"/>
              <w:rPr>
                <w:rStyle w:val="Emphasis"/>
                <w:rFonts w:asciiTheme="minorHAnsi" w:eastAsiaTheme="minorHAnsi" w:hAnsiTheme="minorHAnsi" w:cstheme="minorBidi"/>
                <w:b/>
                <w:bCs/>
                <w:sz w:val="32"/>
                <w:szCs w:val="32"/>
              </w:rPr>
            </w:pPr>
            <w:r>
              <w:rPr>
                <w:rStyle w:val="Emphasis"/>
                <w:rFonts w:asciiTheme="minorHAnsi" w:eastAsiaTheme="minorHAnsi" w:hAnsiTheme="minorHAnsi" w:cstheme="minorBidi"/>
                <w:b/>
                <w:bCs/>
                <w:sz w:val="32"/>
                <w:szCs w:val="32"/>
              </w:rPr>
              <w:t>Q</w:t>
            </w:r>
            <w:r>
              <w:rPr>
                <w:rStyle w:val="Emphasis"/>
                <w:b/>
                <w:bCs/>
                <w:sz w:val="32"/>
                <w:szCs w:val="32"/>
              </w:rPr>
              <w:t>uestion and Comments</w:t>
            </w:r>
          </w:p>
        </w:tc>
        <w:tc>
          <w:tcPr>
            <w:tcW w:w="0" w:type="auto"/>
            <w:tcBorders>
              <w:top w:val="single" w:sz="4" w:space="0" w:color="auto"/>
              <w:bottom w:val="single" w:sz="4" w:space="0" w:color="auto"/>
            </w:tcBorders>
          </w:tcPr>
          <w:p w14:paraId="65FFE6F1" w14:textId="5DD40310" w:rsidR="002F18DF" w:rsidRPr="00AC5324" w:rsidRDefault="002F18DF" w:rsidP="008D0FC3">
            <w:pPr>
              <w:pStyle w:val="TableHeading"/>
              <w:spacing w:line="276" w:lineRule="auto"/>
            </w:pPr>
            <w:r w:rsidRPr="00477B86">
              <w:rPr>
                <w:rStyle w:val="Emphasis"/>
                <w:sz w:val="32"/>
                <w:szCs w:val="32"/>
              </w:rPr>
              <w:t>Department response</w:t>
            </w:r>
            <w:r w:rsidRPr="00AC5324">
              <w:rPr>
                <w:rFonts w:asciiTheme="majorHAnsi" w:hAnsiTheme="majorHAnsi" w:cstheme="majorHAnsi"/>
                <w:bCs/>
                <w:sz w:val="24"/>
                <w:szCs w:val="24"/>
              </w:rPr>
              <w:t xml:space="preserve"> </w:t>
            </w:r>
          </w:p>
        </w:tc>
      </w:tr>
      <w:tr w:rsidR="00EF204B" w:rsidRPr="00AC5324" w14:paraId="0CF8C2FF" w14:textId="77777777" w:rsidTr="00157D77">
        <w:tc>
          <w:tcPr>
            <w:tcW w:w="0" w:type="auto"/>
            <w:tcBorders>
              <w:top w:val="single" w:sz="4" w:space="0" w:color="auto"/>
              <w:bottom w:val="single" w:sz="4" w:space="0" w:color="auto"/>
            </w:tcBorders>
          </w:tcPr>
          <w:p w14:paraId="359BB9AB" w14:textId="77777777" w:rsidR="00413C9F" w:rsidRPr="00413C9F" w:rsidRDefault="00413C9F" w:rsidP="008D0FC3">
            <w:pPr>
              <w:spacing w:line="276" w:lineRule="auto"/>
            </w:pPr>
            <w:r w:rsidRPr="00413C9F">
              <w:t xml:space="preserve">A stakeholder requested inclusion of additional tuberculosis testing options, including: </w:t>
            </w:r>
          </w:p>
          <w:p w14:paraId="322E9A95" w14:textId="77777777" w:rsidR="00413C9F" w:rsidRPr="00413C9F" w:rsidRDefault="00413C9F" w:rsidP="008D0FC3">
            <w:pPr>
              <w:pStyle w:val="ListBullet"/>
              <w:spacing w:line="276" w:lineRule="auto"/>
            </w:pPr>
            <w:r w:rsidRPr="00413C9F">
              <w:t xml:space="preserve">the addition of the DPP </w:t>
            </w:r>
            <w:proofErr w:type="spellStart"/>
            <w:r w:rsidRPr="00413C9F">
              <w:t>VetTB</w:t>
            </w:r>
            <w:proofErr w:type="spellEnd"/>
            <w:r w:rsidRPr="00413C9F">
              <w:t xml:space="preserve"> assay as another departmental approved serological test for </w:t>
            </w:r>
            <w:r w:rsidRPr="00413C9F">
              <w:rPr>
                <w:i/>
                <w:iCs/>
              </w:rPr>
              <w:t xml:space="preserve">Mycobacterium tuberculosis </w:t>
            </w:r>
            <w:r w:rsidRPr="00413C9F">
              <w:t>complex (MTBC) diagnosis in hippos</w:t>
            </w:r>
          </w:p>
          <w:p w14:paraId="12C5F15B" w14:textId="336AC32F" w:rsidR="00EF204B" w:rsidRPr="00413C9F" w:rsidRDefault="00413C9F" w:rsidP="008D0FC3">
            <w:pPr>
              <w:pStyle w:val="ListBullet"/>
              <w:spacing w:line="276" w:lineRule="auto"/>
            </w:pPr>
            <w:r w:rsidRPr="00413C9F">
              <w:t>the inclusion of interferon-gamma release assays (IGRA) as an alternative method of assessing cell-mediated immunity in hippos to tuberculin skin tests (TSTs), due to problematic interpretation of TSTs in pachyderms (thick-skinned mammals).</w:t>
            </w:r>
          </w:p>
        </w:tc>
        <w:tc>
          <w:tcPr>
            <w:tcW w:w="0" w:type="auto"/>
            <w:tcBorders>
              <w:top w:val="single" w:sz="4" w:space="0" w:color="auto"/>
              <w:bottom w:val="single" w:sz="4" w:space="0" w:color="auto"/>
            </w:tcBorders>
          </w:tcPr>
          <w:p w14:paraId="22BC2382" w14:textId="77777777" w:rsidR="00413C9F" w:rsidRPr="00BE656D" w:rsidRDefault="00413C9F" w:rsidP="008D0FC3">
            <w:pPr>
              <w:spacing w:line="276" w:lineRule="auto"/>
            </w:pPr>
            <w:r w:rsidRPr="00BE656D">
              <w:t xml:space="preserve">We agree to include the DPP </w:t>
            </w:r>
            <w:proofErr w:type="spellStart"/>
            <w:r w:rsidRPr="00BE656D">
              <w:t>VetTB</w:t>
            </w:r>
            <w:proofErr w:type="spellEnd"/>
            <w:r w:rsidRPr="00BE656D">
              <w:t xml:space="preserve"> assay as an approved serological test option for MTBC diagnosis in hippos and have modified the conditions accordingly. </w:t>
            </w:r>
          </w:p>
          <w:p w14:paraId="26AAEED8" w14:textId="77777777" w:rsidR="00413C9F" w:rsidRPr="00BE656D" w:rsidRDefault="00413C9F" w:rsidP="008D0FC3">
            <w:pPr>
              <w:spacing w:line="276" w:lineRule="auto"/>
            </w:pPr>
            <w:r w:rsidRPr="00BE656D">
              <w:t xml:space="preserve">We acknowledge issues of interpretation of TSTs in pachyderm species and difficulties with interpretation. However, we are not aware of any evidence regarding use of the interferon gamma release assays in hippos to support the inclusion of an IGRA as an alternative to TSTs. </w:t>
            </w:r>
          </w:p>
          <w:p w14:paraId="4EC8EB54" w14:textId="0699AC4A" w:rsidR="00EF204B" w:rsidRPr="00413C9F" w:rsidRDefault="00413C9F" w:rsidP="008D0FC3">
            <w:pPr>
              <w:spacing w:line="276" w:lineRule="auto"/>
            </w:pPr>
            <w:r w:rsidRPr="00413C9F">
              <w:t>It is important to note that options for equivalence still stand and if evidence can be provided to support the use of an IGRA or other tuberculosis testing in hippos, we will be able to assess this on a case-by-case basis or modify future conditions accordingly.</w:t>
            </w:r>
          </w:p>
        </w:tc>
      </w:tr>
      <w:tr w:rsidR="00413C9F" w:rsidRPr="00AC5324" w14:paraId="2A197502" w14:textId="77777777" w:rsidTr="00157D77">
        <w:tc>
          <w:tcPr>
            <w:tcW w:w="0" w:type="auto"/>
            <w:tcBorders>
              <w:top w:val="single" w:sz="4" w:space="0" w:color="auto"/>
              <w:bottom w:val="single" w:sz="4" w:space="0" w:color="auto"/>
            </w:tcBorders>
          </w:tcPr>
          <w:p w14:paraId="60BE772A" w14:textId="7F167743" w:rsidR="00413C9F" w:rsidRPr="00413C9F" w:rsidRDefault="00413C9F" w:rsidP="008D0FC3">
            <w:pPr>
              <w:spacing w:line="276" w:lineRule="auto"/>
            </w:pPr>
            <w:r w:rsidRPr="00413C9F">
              <w:t xml:space="preserve">A stakeholder requested clarification as to the nature of the water treatment that would be required (where water is pumped directly from a natural water course) to meet the departments requirements for water supplies for pre-export quarantine. Stakeholders also requested allowances be made for a case-by case assessment of these requirements. </w:t>
            </w:r>
          </w:p>
        </w:tc>
        <w:tc>
          <w:tcPr>
            <w:tcW w:w="0" w:type="auto"/>
            <w:tcBorders>
              <w:top w:val="single" w:sz="4" w:space="0" w:color="auto"/>
              <w:bottom w:val="single" w:sz="4" w:space="0" w:color="auto"/>
            </w:tcBorders>
          </w:tcPr>
          <w:p w14:paraId="05EE82B8" w14:textId="2D1CFFE6" w:rsidR="00413C9F" w:rsidRPr="00413C9F" w:rsidRDefault="00413C9F" w:rsidP="008D0FC3">
            <w:pPr>
              <w:spacing w:line="276" w:lineRule="auto"/>
            </w:pPr>
            <w:r w:rsidRPr="00413C9F">
              <w:t xml:space="preserve">Further clarity has been included about this requirement. However, as several water treatment methods or combinations of treatments may achieve the same outcome, prescriptive requirements are not </w:t>
            </w:r>
            <w:proofErr w:type="gramStart"/>
            <w:r w:rsidRPr="00413C9F">
              <w:t>included</w:t>
            </w:r>
            <w:proofErr w:type="gramEnd"/>
            <w:r w:rsidRPr="00413C9F">
              <w:t xml:space="preserve"> and water treatment will be assessed on a case-by-case basis.</w:t>
            </w:r>
          </w:p>
        </w:tc>
      </w:tr>
      <w:tr w:rsidR="00413C9F" w:rsidRPr="00AC5324" w14:paraId="5F3822DA" w14:textId="77777777" w:rsidTr="00157D77">
        <w:tc>
          <w:tcPr>
            <w:tcW w:w="0" w:type="auto"/>
            <w:tcBorders>
              <w:top w:val="single" w:sz="4" w:space="0" w:color="auto"/>
              <w:bottom w:val="single" w:sz="4" w:space="0" w:color="auto"/>
            </w:tcBorders>
          </w:tcPr>
          <w:p w14:paraId="2828F837" w14:textId="4AD99CFC" w:rsidR="00413C9F" w:rsidRPr="00413C9F" w:rsidRDefault="00413C9F" w:rsidP="008D0FC3">
            <w:pPr>
              <w:spacing w:line="276" w:lineRule="auto"/>
            </w:pPr>
            <w:r w:rsidRPr="00413C9F">
              <w:lastRenderedPageBreak/>
              <w:t xml:space="preserve">A stakeholder requested clarification of the definition of a ‘collection’, noting this may be interpreted by some as including all animals within the physical boundaries of an entire zoo premises. </w:t>
            </w:r>
          </w:p>
        </w:tc>
        <w:tc>
          <w:tcPr>
            <w:tcW w:w="0" w:type="auto"/>
            <w:tcBorders>
              <w:top w:val="single" w:sz="4" w:space="0" w:color="auto"/>
              <w:bottom w:val="single" w:sz="4" w:space="0" w:color="auto"/>
            </w:tcBorders>
          </w:tcPr>
          <w:p w14:paraId="46C719DE" w14:textId="0C2A714C" w:rsidR="00413C9F" w:rsidRPr="00413C9F" w:rsidRDefault="00413C9F" w:rsidP="008D0FC3">
            <w:pPr>
              <w:spacing w:line="276" w:lineRule="auto"/>
            </w:pPr>
            <w:r w:rsidRPr="00413C9F">
              <w:rPr>
                <w:color w:val="000000" w:themeColor="text1"/>
              </w:rPr>
              <w:t>We added a note to define the use of the word ‘collection’, in the specific context the definition of a closed herd in the policy, as all the animals that share same physical enclosure on the premises as the animal/s for export or from which semen is collected for export.</w:t>
            </w:r>
          </w:p>
        </w:tc>
      </w:tr>
      <w:tr w:rsidR="00413C9F" w:rsidRPr="00AC5324" w14:paraId="3E7F7E96" w14:textId="77777777" w:rsidTr="00157D77">
        <w:tc>
          <w:tcPr>
            <w:tcW w:w="0" w:type="auto"/>
            <w:tcBorders>
              <w:top w:val="single" w:sz="4" w:space="0" w:color="auto"/>
              <w:bottom w:val="single" w:sz="4" w:space="0" w:color="auto"/>
            </w:tcBorders>
          </w:tcPr>
          <w:p w14:paraId="2DAA8EFE" w14:textId="19684A37" w:rsidR="00413C9F" w:rsidRPr="00413C9F" w:rsidRDefault="00413C9F" w:rsidP="008D0FC3">
            <w:pPr>
              <w:spacing w:line="276" w:lineRule="auto"/>
            </w:pPr>
            <w:r w:rsidRPr="00413C9F">
              <w:t xml:space="preserve">A stakeholder requested that we consider </w:t>
            </w:r>
            <w:r w:rsidRPr="00413C9F">
              <w:rPr>
                <w:i/>
                <w:iCs/>
              </w:rPr>
              <w:t xml:space="preserve">Salmonella </w:t>
            </w:r>
            <w:r w:rsidRPr="00413C9F">
              <w:t xml:space="preserve">spp., </w:t>
            </w:r>
            <w:r w:rsidRPr="00413C9F">
              <w:rPr>
                <w:i/>
                <w:iCs/>
              </w:rPr>
              <w:t xml:space="preserve">Clostridium </w:t>
            </w:r>
            <w:proofErr w:type="spellStart"/>
            <w:r w:rsidRPr="00413C9F">
              <w:rPr>
                <w:i/>
                <w:iCs/>
              </w:rPr>
              <w:t>chauvoei</w:t>
            </w:r>
            <w:proofErr w:type="spellEnd"/>
            <w:r w:rsidRPr="00413C9F">
              <w:rPr>
                <w:i/>
                <w:iCs/>
              </w:rPr>
              <w:t xml:space="preserve"> </w:t>
            </w:r>
            <w:r w:rsidRPr="00413C9F">
              <w:t xml:space="preserve">and </w:t>
            </w:r>
            <w:r w:rsidRPr="00413C9F">
              <w:rPr>
                <w:i/>
                <w:iCs/>
              </w:rPr>
              <w:t>Clostridium perfringens</w:t>
            </w:r>
            <w:r w:rsidRPr="00413C9F">
              <w:t xml:space="preserve"> as potential hazards for the importation of live zoo hippos and their semen.</w:t>
            </w:r>
          </w:p>
        </w:tc>
        <w:tc>
          <w:tcPr>
            <w:tcW w:w="0" w:type="auto"/>
            <w:tcBorders>
              <w:top w:val="single" w:sz="4" w:space="0" w:color="auto"/>
              <w:bottom w:val="single" w:sz="4" w:space="0" w:color="auto"/>
            </w:tcBorders>
          </w:tcPr>
          <w:p w14:paraId="033C61C5" w14:textId="42095CC5" w:rsidR="00413C9F" w:rsidRPr="00413C9F" w:rsidRDefault="00413C9F" w:rsidP="008D0FC3">
            <w:pPr>
              <w:spacing w:line="276" w:lineRule="auto"/>
            </w:pPr>
            <w:r w:rsidRPr="00413C9F">
              <w:t xml:space="preserve">These hazards were considered in drafting of the report but excluded from the hazard ID table </w:t>
            </w:r>
            <w:proofErr w:type="gramStart"/>
            <w:r w:rsidRPr="00413C9F">
              <w:t>on the basis of</w:t>
            </w:r>
            <w:proofErr w:type="gramEnd"/>
            <w:r w:rsidRPr="00413C9F">
              <w:t xml:space="preserve"> their ubiquitous nature and/or endemism of some types in Australia. The hazards identified by the stakeholder have been listed in the hazard table in the final report to clearly document that they were considered.  </w:t>
            </w:r>
          </w:p>
        </w:tc>
      </w:tr>
    </w:tbl>
    <w:p w14:paraId="38D58DA1" w14:textId="77777777" w:rsidR="00E84611" w:rsidRPr="00E84611" w:rsidRDefault="00E84611" w:rsidP="00157D77"/>
    <w:sectPr w:rsidR="00E84611" w:rsidRPr="00E84611" w:rsidSect="00F8737A">
      <w:headerReference w:type="default" r:id="rId11"/>
      <w:footerReference w:type="default" r:id="rId12"/>
      <w:headerReference w:type="first" r:id="rId13"/>
      <w:footerReference w:type="first" r:id="rId14"/>
      <w:pgSz w:w="16838" w:h="11906" w:orient="landscape"/>
      <w:pgMar w:top="1440" w:right="1080" w:bottom="1440" w:left="1080" w:header="425"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D7E32C" w14:textId="77777777" w:rsidR="00A50A33" w:rsidRDefault="00A50A33" w:rsidP="00BB22E3">
      <w:pPr>
        <w:spacing w:after="0"/>
      </w:pPr>
      <w:r>
        <w:separator/>
      </w:r>
    </w:p>
  </w:endnote>
  <w:endnote w:type="continuationSeparator" w:id="0">
    <w:p w14:paraId="450B53E9" w14:textId="77777777" w:rsidR="00A50A33" w:rsidRDefault="00A50A33" w:rsidP="00BB22E3">
      <w:pPr>
        <w:spacing w:after="0"/>
      </w:pPr>
      <w:r>
        <w:continuationSeparator/>
      </w:r>
    </w:p>
  </w:endnote>
  <w:endnote w:type="continuationNotice" w:id="1">
    <w:p w14:paraId="12AB5AFD" w14:textId="77777777" w:rsidR="00A50A33" w:rsidRDefault="00A50A3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B4C12" w14:textId="77777777" w:rsidR="00E22F90" w:rsidRDefault="00B85774" w:rsidP="00356FAE">
    <w:pPr>
      <w:pStyle w:val="Footer"/>
    </w:pPr>
    <w:r>
      <w:t>Department of Agriculture, Fisheries and Forestry</w:t>
    </w:r>
  </w:p>
  <w:p w14:paraId="7FE23842" w14:textId="77777777" w:rsidR="00E22F90" w:rsidRPr="00ED30D0" w:rsidRDefault="00B85774" w:rsidP="00356FAE">
    <w:pPr>
      <w:pStyle w:val="Footer"/>
    </w:pPr>
    <w:r>
      <w:fldChar w:fldCharType="begin"/>
    </w:r>
    <w:r>
      <w:instrText xml:space="preserve"> PAGE   \* MERGEFORMAT </w:instrText>
    </w:r>
    <w:r>
      <w:fldChar w:fldCharType="separate"/>
    </w:r>
    <w: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333CF" w14:textId="77777777" w:rsidR="005F421F" w:rsidRDefault="005F421F">
    <w:pPr>
      <w:pStyle w:val="Footer"/>
    </w:pPr>
    <w:r>
      <w:t>Department of Agriculture, Fisheries and Forestry</w:t>
    </w:r>
  </w:p>
  <w:p w14:paraId="60D8D2E0" w14:textId="7D67916E" w:rsidR="005F421F" w:rsidRDefault="00351495">
    <w:pPr>
      <w:pStyle w:val="Footer"/>
    </w:pPr>
    <w:sdt>
      <w:sdtPr>
        <w:id w:val="-1262133357"/>
        <w:docPartObj>
          <w:docPartGallery w:val="Page Numbers (Bottom of Page)"/>
          <w:docPartUnique/>
        </w:docPartObj>
      </w:sdtPr>
      <w:sdtEndPr>
        <w:rPr>
          <w:noProof/>
        </w:rPr>
      </w:sdtEndPr>
      <w:sdtContent>
        <w:r w:rsidR="005F421F">
          <w:fldChar w:fldCharType="begin"/>
        </w:r>
        <w:r w:rsidR="005F421F">
          <w:instrText xml:space="preserve"> PAGE   \* MERGEFORMAT </w:instrText>
        </w:r>
        <w:r w:rsidR="005F421F">
          <w:fldChar w:fldCharType="separate"/>
        </w:r>
        <w:r w:rsidR="005F421F">
          <w:rPr>
            <w:noProof/>
          </w:rPr>
          <w:t>2</w:t>
        </w:r>
        <w:r w:rsidR="005F421F">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5EEFD3" w14:textId="77777777" w:rsidR="00A50A33" w:rsidRDefault="00A50A33" w:rsidP="00BB22E3">
      <w:pPr>
        <w:spacing w:after="0"/>
      </w:pPr>
      <w:r>
        <w:separator/>
      </w:r>
    </w:p>
  </w:footnote>
  <w:footnote w:type="continuationSeparator" w:id="0">
    <w:p w14:paraId="738874DC" w14:textId="77777777" w:rsidR="00A50A33" w:rsidRDefault="00A50A33" w:rsidP="00BB22E3">
      <w:pPr>
        <w:spacing w:after="0"/>
      </w:pPr>
      <w:r>
        <w:continuationSeparator/>
      </w:r>
    </w:p>
  </w:footnote>
  <w:footnote w:type="continuationNotice" w:id="1">
    <w:p w14:paraId="4BD7D1D5" w14:textId="77777777" w:rsidR="00A50A33" w:rsidRDefault="00A50A3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A71D7" w14:textId="0CC91F93" w:rsidR="00E22F90" w:rsidRPr="006E2237" w:rsidRDefault="00464F4B" w:rsidP="00356FAE">
    <w:pPr>
      <w:pStyle w:val="Header"/>
      <w:rPr>
        <w:b w:val="0"/>
        <w:bCs/>
      </w:rPr>
    </w:pPr>
    <w:r w:rsidRPr="006E2237">
      <w:rPr>
        <w:b w:val="0"/>
        <w:bCs/>
      </w:rPr>
      <w:t xml:space="preserve">Stakeholder </w:t>
    </w:r>
    <w:r w:rsidR="006E2237">
      <w:rPr>
        <w:b w:val="0"/>
        <w:bCs/>
      </w:rPr>
      <w:t>response summary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EF83A" w14:textId="77777777" w:rsidR="00E22F90" w:rsidRPr="0046450A" w:rsidRDefault="00B85774" w:rsidP="00356FAE">
    <w:pPr>
      <w:pStyle w:val="Heading1"/>
    </w:pPr>
    <w:r>
      <w:rPr>
        <w:noProof/>
      </w:rPr>
      <w:drawing>
        <wp:inline distT="0" distB="0" distL="0" distR="0" wp14:anchorId="4D9552AC" wp14:editId="74916E84">
          <wp:extent cx="1971675" cy="569937"/>
          <wp:effectExtent l="0" t="0" r="0" b="1905"/>
          <wp:docPr id="11" name="Picture 11"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56993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84B528B"/>
    <w:multiLevelType w:val="hybridMultilevel"/>
    <w:tmpl w:val="AA50718E"/>
    <w:lvl w:ilvl="0" w:tplc="D5D62F16">
      <w:start w:val="1"/>
      <w:numFmt w:val="bullet"/>
      <w:lvlText w:val=""/>
      <w:lvlJc w:val="left"/>
      <w:pPr>
        <w:ind w:left="1080" w:hanging="360"/>
      </w:pPr>
      <w:rPr>
        <w:rFonts w:ascii="Symbol" w:hAnsi="Symbol"/>
      </w:rPr>
    </w:lvl>
    <w:lvl w:ilvl="1" w:tplc="BAFE1A2E">
      <w:start w:val="1"/>
      <w:numFmt w:val="bullet"/>
      <w:lvlText w:val=""/>
      <w:lvlJc w:val="left"/>
      <w:pPr>
        <w:ind w:left="1080" w:hanging="360"/>
      </w:pPr>
      <w:rPr>
        <w:rFonts w:ascii="Symbol" w:hAnsi="Symbol"/>
      </w:rPr>
    </w:lvl>
    <w:lvl w:ilvl="2" w:tplc="A6106584">
      <w:start w:val="1"/>
      <w:numFmt w:val="bullet"/>
      <w:lvlText w:val=""/>
      <w:lvlJc w:val="left"/>
      <w:pPr>
        <w:ind w:left="1080" w:hanging="360"/>
      </w:pPr>
      <w:rPr>
        <w:rFonts w:ascii="Symbol" w:hAnsi="Symbol"/>
      </w:rPr>
    </w:lvl>
    <w:lvl w:ilvl="3" w:tplc="08761A0A">
      <w:start w:val="1"/>
      <w:numFmt w:val="bullet"/>
      <w:lvlText w:val=""/>
      <w:lvlJc w:val="left"/>
      <w:pPr>
        <w:ind w:left="1080" w:hanging="360"/>
      </w:pPr>
      <w:rPr>
        <w:rFonts w:ascii="Symbol" w:hAnsi="Symbol"/>
      </w:rPr>
    </w:lvl>
    <w:lvl w:ilvl="4" w:tplc="7B40C290">
      <w:start w:val="1"/>
      <w:numFmt w:val="bullet"/>
      <w:lvlText w:val=""/>
      <w:lvlJc w:val="left"/>
      <w:pPr>
        <w:ind w:left="1080" w:hanging="360"/>
      </w:pPr>
      <w:rPr>
        <w:rFonts w:ascii="Symbol" w:hAnsi="Symbol"/>
      </w:rPr>
    </w:lvl>
    <w:lvl w:ilvl="5" w:tplc="AF4EF15C">
      <w:start w:val="1"/>
      <w:numFmt w:val="bullet"/>
      <w:lvlText w:val=""/>
      <w:lvlJc w:val="left"/>
      <w:pPr>
        <w:ind w:left="1080" w:hanging="360"/>
      </w:pPr>
      <w:rPr>
        <w:rFonts w:ascii="Symbol" w:hAnsi="Symbol"/>
      </w:rPr>
    </w:lvl>
    <w:lvl w:ilvl="6" w:tplc="1A3AA792">
      <w:start w:val="1"/>
      <w:numFmt w:val="bullet"/>
      <w:lvlText w:val=""/>
      <w:lvlJc w:val="left"/>
      <w:pPr>
        <w:ind w:left="1080" w:hanging="360"/>
      </w:pPr>
      <w:rPr>
        <w:rFonts w:ascii="Symbol" w:hAnsi="Symbol"/>
      </w:rPr>
    </w:lvl>
    <w:lvl w:ilvl="7" w:tplc="34F057AA">
      <w:start w:val="1"/>
      <w:numFmt w:val="bullet"/>
      <w:lvlText w:val=""/>
      <w:lvlJc w:val="left"/>
      <w:pPr>
        <w:ind w:left="1080" w:hanging="360"/>
      </w:pPr>
      <w:rPr>
        <w:rFonts w:ascii="Symbol" w:hAnsi="Symbol"/>
      </w:rPr>
    </w:lvl>
    <w:lvl w:ilvl="8" w:tplc="A1827334">
      <w:start w:val="1"/>
      <w:numFmt w:val="bullet"/>
      <w:lvlText w:val=""/>
      <w:lvlJc w:val="left"/>
      <w:pPr>
        <w:ind w:left="1080" w:hanging="360"/>
      </w:pPr>
      <w:rPr>
        <w:rFonts w:ascii="Symbol" w:hAnsi="Symbol"/>
      </w:rPr>
    </w:lvl>
  </w:abstractNum>
  <w:abstractNum w:abstractNumId="2" w15:restartNumberingAfterBreak="0">
    <w:nsid w:val="08B3683A"/>
    <w:multiLevelType w:val="hybridMultilevel"/>
    <w:tmpl w:val="FEB869B0"/>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5B223C"/>
    <w:multiLevelType w:val="hybridMultilevel"/>
    <w:tmpl w:val="FA24E474"/>
    <w:lvl w:ilvl="0" w:tplc="CE9E0F60">
      <w:numFmt w:val="bullet"/>
      <w:lvlText w:val="-"/>
      <w:lvlJc w:val="left"/>
      <w:pPr>
        <w:ind w:left="785" w:hanging="360"/>
      </w:pPr>
      <w:rPr>
        <w:rFonts w:ascii="Calibri" w:eastAsiaTheme="minorHAnsi" w:hAnsi="Calibri" w:cs="Calibri"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4" w15:restartNumberingAfterBreak="0">
    <w:nsid w:val="13560552"/>
    <w:multiLevelType w:val="multilevel"/>
    <w:tmpl w:val="75281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7227FF"/>
    <w:multiLevelType w:val="hybridMultilevel"/>
    <w:tmpl w:val="5476A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745BC2"/>
    <w:multiLevelType w:val="multilevel"/>
    <w:tmpl w:val="E5E89F92"/>
    <w:numStyleLink w:val="BulletList"/>
  </w:abstractNum>
  <w:abstractNum w:abstractNumId="7" w15:restartNumberingAfterBreak="0">
    <w:nsid w:val="29B40887"/>
    <w:multiLevelType w:val="hybridMultilevel"/>
    <w:tmpl w:val="95546072"/>
    <w:lvl w:ilvl="0" w:tplc="EA986B44">
      <w:numFmt w:val="bullet"/>
      <w:lvlText w:val="-"/>
      <w:lvlJc w:val="left"/>
      <w:pPr>
        <w:ind w:left="420" w:hanging="360"/>
      </w:pPr>
      <w:rPr>
        <w:rFonts w:ascii="Calibri Light" w:eastAsia="Calibri" w:hAnsi="Calibri Light" w:cs="Calibri Light"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8" w15:restartNumberingAfterBreak="0">
    <w:nsid w:val="41E65F06"/>
    <w:multiLevelType w:val="multilevel"/>
    <w:tmpl w:val="802C9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36A0D51"/>
    <w:multiLevelType w:val="hybridMultilevel"/>
    <w:tmpl w:val="22187590"/>
    <w:lvl w:ilvl="0" w:tplc="FC6C3FD8">
      <w:start w:val="1"/>
      <w:numFmt w:val="bullet"/>
      <w:lvlText w:val=""/>
      <w:lvlJc w:val="left"/>
      <w:pPr>
        <w:ind w:left="720" w:hanging="360"/>
      </w:pPr>
      <w:rPr>
        <w:rFonts w:ascii="Symbol" w:hAnsi="Symbol" w:hint="default"/>
      </w:rPr>
    </w:lvl>
    <w:lvl w:ilvl="1" w:tplc="D3061BD4">
      <w:start w:val="1"/>
      <w:numFmt w:val="bullet"/>
      <w:lvlText w:val="o"/>
      <w:lvlJc w:val="left"/>
      <w:pPr>
        <w:ind w:left="1440" w:hanging="360"/>
      </w:pPr>
      <w:rPr>
        <w:rFonts w:ascii="Courier New" w:hAnsi="Courier New" w:cs="Courier New" w:hint="default"/>
      </w:rPr>
    </w:lvl>
    <w:lvl w:ilvl="2" w:tplc="D34CBB7A" w:tentative="1">
      <w:start w:val="1"/>
      <w:numFmt w:val="bullet"/>
      <w:lvlText w:val=""/>
      <w:lvlJc w:val="left"/>
      <w:pPr>
        <w:ind w:left="2160" w:hanging="360"/>
      </w:pPr>
      <w:rPr>
        <w:rFonts w:ascii="Wingdings" w:hAnsi="Wingdings" w:hint="default"/>
      </w:rPr>
    </w:lvl>
    <w:lvl w:ilvl="3" w:tplc="E4D6696A" w:tentative="1">
      <w:start w:val="1"/>
      <w:numFmt w:val="bullet"/>
      <w:lvlText w:val=""/>
      <w:lvlJc w:val="left"/>
      <w:pPr>
        <w:ind w:left="2880" w:hanging="360"/>
      </w:pPr>
      <w:rPr>
        <w:rFonts w:ascii="Symbol" w:hAnsi="Symbol" w:hint="default"/>
      </w:rPr>
    </w:lvl>
    <w:lvl w:ilvl="4" w:tplc="663A152E" w:tentative="1">
      <w:start w:val="1"/>
      <w:numFmt w:val="bullet"/>
      <w:lvlText w:val="o"/>
      <w:lvlJc w:val="left"/>
      <w:pPr>
        <w:ind w:left="3600" w:hanging="360"/>
      </w:pPr>
      <w:rPr>
        <w:rFonts w:ascii="Courier New" w:hAnsi="Courier New" w:cs="Courier New" w:hint="default"/>
      </w:rPr>
    </w:lvl>
    <w:lvl w:ilvl="5" w:tplc="DDCEB00C" w:tentative="1">
      <w:start w:val="1"/>
      <w:numFmt w:val="bullet"/>
      <w:lvlText w:val=""/>
      <w:lvlJc w:val="left"/>
      <w:pPr>
        <w:ind w:left="4320" w:hanging="360"/>
      </w:pPr>
      <w:rPr>
        <w:rFonts w:ascii="Wingdings" w:hAnsi="Wingdings" w:hint="default"/>
      </w:rPr>
    </w:lvl>
    <w:lvl w:ilvl="6" w:tplc="28F0DF98" w:tentative="1">
      <w:start w:val="1"/>
      <w:numFmt w:val="bullet"/>
      <w:lvlText w:val=""/>
      <w:lvlJc w:val="left"/>
      <w:pPr>
        <w:ind w:left="5040" w:hanging="360"/>
      </w:pPr>
      <w:rPr>
        <w:rFonts w:ascii="Symbol" w:hAnsi="Symbol" w:hint="default"/>
      </w:rPr>
    </w:lvl>
    <w:lvl w:ilvl="7" w:tplc="8A14C0CA" w:tentative="1">
      <w:start w:val="1"/>
      <w:numFmt w:val="bullet"/>
      <w:lvlText w:val="o"/>
      <w:lvlJc w:val="left"/>
      <w:pPr>
        <w:ind w:left="5760" w:hanging="360"/>
      </w:pPr>
      <w:rPr>
        <w:rFonts w:ascii="Courier New" w:hAnsi="Courier New" w:cs="Courier New" w:hint="default"/>
      </w:rPr>
    </w:lvl>
    <w:lvl w:ilvl="8" w:tplc="897012B0" w:tentative="1">
      <w:start w:val="1"/>
      <w:numFmt w:val="bullet"/>
      <w:lvlText w:val=""/>
      <w:lvlJc w:val="left"/>
      <w:pPr>
        <w:ind w:left="6480" w:hanging="360"/>
      </w:pPr>
      <w:rPr>
        <w:rFonts w:ascii="Wingdings" w:hAnsi="Wingdings" w:hint="default"/>
      </w:rPr>
    </w:lvl>
  </w:abstractNum>
  <w:abstractNum w:abstractNumId="10" w15:restartNumberingAfterBreak="0">
    <w:nsid w:val="4E2115B8"/>
    <w:multiLevelType w:val="hybridMultilevel"/>
    <w:tmpl w:val="D014226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AA12966"/>
    <w:multiLevelType w:val="multilevel"/>
    <w:tmpl w:val="A0241B28"/>
    <w:styleLink w:val="List1"/>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2" w15:restartNumberingAfterBreak="0">
    <w:nsid w:val="5F7F5CFC"/>
    <w:multiLevelType w:val="hybridMultilevel"/>
    <w:tmpl w:val="D062C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14E32DD"/>
    <w:multiLevelType w:val="hybridMultilevel"/>
    <w:tmpl w:val="E5360158"/>
    <w:lvl w:ilvl="0" w:tplc="A5145A2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2AD5CF5"/>
    <w:multiLevelType w:val="multilevel"/>
    <w:tmpl w:val="E13EC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4623DCC"/>
    <w:multiLevelType w:val="hybridMultilevel"/>
    <w:tmpl w:val="40DCBC4C"/>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5456429"/>
    <w:multiLevelType w:val="multilevel"/>
    <w:tmpl w:val="D5F21E5A"/>
    <w:lvl w:ilvl="0">
      <w:start w:val="1"/>
      <w:numFmt w:val="decimal"/>
      <w:pStyle w:val="ListNumber"/>
      <w:lvlText w:val="%1."/>
      <w:lvlJc w:val="left"/>
      <w:pPr>
        <w:ind w:left="369" w:hanging="369"/>
      </w:pPr>
      <w:rPr>
        <w:rFonts w:ascii="Calibri" w:hAnsi="Calibri" w:hint="default"/>
        <w:sz w:val="22"/>
        <w:szCs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7" w15:restartNumberingAfterBreak="0">
    <w:nsid w:val="734C7A5D"/>
    <w:multiLevelType w:val="hybridMultilevel"/>
    <w:tmpl w:val="FB92C068"/>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AA30E1D"/>
    <w:multiLevelType w:val="hybridMultilevel"/>
    <w:tmpl w:val="FDE61E22"/>
    <w:lvl w:ilvl="0" w:tplc="0C090001">
      <w:start w:val="1"/>
      <w:numFmt w:val="bullet"/>
      <w:lvlText w:val=""/>
      <w:lvlJc w:val="left"/>
      <w:pPr>
        <w:tabs>
          <w:tab w:val="num" w:pos="114"/>
        </w:tabs>
        <w:ind w:left="57" w:hanging="340"/>
      </w:pPr>
      <w:rPr>
        <w:rFonts w:ascii="Symbol" w:hAnsi="Symbol" w:hint="default"/>
      </w:rPr>
    </w:lvl>
    <w:lvl w:ilvl="1" w:tplc="5576E418">
      <w:start w:val="1"/>
      <w:numFmt w:val="bullet"/>
      <w:lvlText w:val="o"/>
      <w:lvlJc w:val="left"/>
      <w:pPr>
        <w:tabs>
          <w:tab w:val="num" w:pos="1157"/>
        </w:tabs>
        <w:ind w:left="1157" w:hanging="360"/>
      </w:pPr>
      <w:rPr>
        <w:rFonts w:ascii="Courier New" w:hAnsi="Courier New" w:cs="Courier New" w:hint="default"/>
      </w:rPr>
    </w:lvl>
    <w:lvl w:ilvl="2" w:tplc="0C090005" w:tentative="1">
      <w:start w:val="1"/>
      <w:numFmt w:val="bullet"/>
      <w:lvlText w:val=""/>
      <w:lvlJc w:val="left"/>
      <w:pPr>
        <w:tabs>
          <w:tab w:val="num" w:pos="1877"/>
        </w:tabs>
        <w:ind w:left="1877" w:hanging="360"/>
      </w:pPr>
      <w:rPr>
        <w:rFonts w:ascii="Wingdings" w:hAnsi="Wingdings" w:hint="default"/>
      </w:rPr>
    </w:lvl>
    <w:lvl w:ilvl="3" w:tplc="0C090001" w:tentative="1">
      <w:start w:val="1"/>
      <w:numFmt w:val="bullet"/>
      <w:lvlText w:val=""/>
      <w:lvlJc w:val="left"/>
      <w:pPr>
        <w:tabs>
          <w:tab w:val="num" w:pos="2597"/>
        </w:tabs>
        <w:ind w:left="2597" w:hanging="360"/>
      </w:pPr>
      <w:rPr>
        <w:rFonts w:ascii="Symbol" w:hAnsi="Symbol" w:hint="default"/>
      </w:rPr>
    </w:lvl>
    <w:lvl w:ilvl="4" w:tplc="0C090003" w:tentative="1">
      <w:start w:val="1"/>
      <w:numFmt w:val="bullet"/>
      <w:lvlText w:val="o"/>
      <w:lvlJc w:val="left"/>
      <w:pPr>
        <w:tabs>
          <w:tab w:val="num" w:pos="3317"/>
        </w:tabs>
        <w:ind w:left="3317" w:hanging="360"/>
      </w:pPr>
      <w:rPr>
        <w:rFonts w:ascii="Courier New" w:hAnsi="Courier New" w:cs="Courier New" w:hint="default"/>
      </w:rPr>
    </w:lvl>
    <w:lvl w:ilvl="5" w:tplc="0C090005" w:tentative="1">
      <w:start w:val="1"/>
      <w:numFmt w:val="bullet"/>
      <w:lvlText w:val=""/>
      <w:lvlJc w:val="left"/>
      <w:pPr>
        <w:tabs>
          <w:tab w:val="num" w:pos="4037"/>
        </w:tabs>
        <w:ind w:left="4037" w:hanging="360"/>
      </w:pPr>
      <w:rPr>
        <w:rFonts w:ascii="Wingdings" w:hAnsi="Wingdings" w:hint="default"/>
      </w:rPr>
    </w:lvl>
    <w:lvl w:ilvl="6" w:tplc="0C090001" w:tentative="1">
      <w:start w:val="1"/>
      <w:numFmt w:val="bullet"/>
      <w:lvlText w:val=""/>
      <w:lvlJc w:val="left"/>
      <w:pPr>
        <w:tabs>
          <w:tab w:val="num" w:pos="4757"/>
        </w:tabs>
        <w:ind w:left="4757" w:hanging="360"/>
      </w:pPr>
      <w:rPr>
        <w:rFonts w:ascii="Symbol" w:hAnsi="Symbol" w:hint="default"/>
      </w:rPr>
    </w:lvl>
    <w:lvl w:ilvl="7" w:tplc="0C090003" w:tentative="1">
      <w:start w:val="1"/>
      <w:numFmt w:val="bullet"/>
      <w:lvlText w:val="o"/>
      <w:lvlJc w:val="left"/>
      <w:pPr>
        <w:tabs>
          <w:tab w:val="num" w:pos="5477"/>
        </w:tabs>
        <w:ind w:left="5477" w:hanging="360"/>
      </w:pPr>
      <w:rPr>
        <w:rFonts w:ascii="Courier New" w:hAnsi="Courier New" w:cs="Courier New" w:hint="default"/>
      </w:rPr>
    </w:lvl>
    <w:lvl w:ilvl="8" w:tplc="0C090005" w:tentative="1">
      <w:start w:val="1"/>
      <w:numFmt w:val="bullet"/>
      <w:lvlText w:val=""/>
      <w:lvlJc w:val="left"/>
      <w:pPr>
        <w:tabs>
          <w:tab w:val="num" w:pos="6197"/>
        </w:tabs>
        <w:ind w:left="6197" w:hanging="360"/>
      </w:pPr>
      <w:rPr>
        <w:rFonts w:ascii="Wingdings" w:hAnsi="Wingdings" w:hint="default"/>
      </w:rPr>
    </w:lvl>
  </w:abstractNum>
  <w:num w:numId="1" w16cid:durableId="1967347076">
    <w:abstractNumId w:val="0"/>
  </w:num>
  <w:num w:numId="2" w16cid:durableId="2141532770">
    <w:abstractNumId w:val="6"/>
  </w:num>
  <w:num w:numId="3" w16cid:durableId="446241628">
    <w:abstractNumId w:val="16"/>
  </w:num>
  <w:num w:numId="4" w16cid:durableId="1910574512">
    <w:abstractNumId w:val="18"/>
  </w:num>
  <w:num w:numId="5" w16cid:durableId="967858002">
    <w:abstractNumId w:val="3"/>
  </w:num>
  <w:num w:numId="6" w16cid:durableId="1394045098">
    <w:abstractNumId w:val="11"/>
  </w:num>
  <w:num w:numId="7" w16cid:durableId="1678771081">
    <w:abstractNumId w:val="5"/>
  </w:num>
  <w:num w:numId="8" w16cid:durableId="1428304829">
    <w:abstractNumId w:val="2"/>
  </w:num>
  <w:num w:numId="9" w16cid:durableId="321395406">
    <w:abstractNumId w:val="15"/>
  </w:num>
  <w:num w:numId="10" w16cid:durableId="815106">
    <w:abstractNumId w:val="17"/>
  </w:num>
  <w:num w:numId="11" w16cid:durableId="2010675709">
    <w:abstractNumId w:val="10"/>
  </w:num>
  <w:num w:numId="12" w16cid:durableId="1539587017">
    <w:abstractNumId w:val="13"/>
  </w:num>
  <w:num w:numId="13" w16cid:durableId="2111586804">
    <w:abstractNumId w:val="1"/>
  </w:num>
  <w:num w:numId="14" w16cid:durableId="1299724040">
    <w:abstractNumId w:val="7"/>
  </w:num>
  <w:num w:numId="15" w16cid:durableId="1627155436">
    <w:abstractNumId w:val="14"/>
  </w:num>
  <w:num w:numId="16" w16cid:durableId="751970966">
    <w:abstractNumId w:val="4"/>
  </w:num>
  <w:num w:numId="17" w16cid:durableId="1913470675">
    <w:abstractNumId w:val="12"/>
  </w:num>
  <w:num w:numId="18" w16cid:durableId="1382243864">
    <w:abstractNumId w:val="8"/>
  </w:num>
  <w:num w:numId="19" w16cid:durableId="20868772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971"/>
    <w:rsid w:val="000076A8"/>
    <w:rsid w:val="0001115A"/>
    <w:rsid w:val="00054EDE"/>
    <w:rsid w:val="00062FCC"/>
    <w:rsid w:val="000663C0"/>
    <w:rsid w:val="000824B0"/>
    <w:rsid w:val="000A72F6"/>
    <w:rsid w:val="000C1649"/>
    <w:rsid w:val="000C25CB"/>
    <w:rsid w:val="000F0DFA"/>
    <w:rsid w:val="001025D3"/>
    <w:rsid w:val="00112D3E"/>
    <w:rsid w:val="00113B89"/>
    <w:rsid w:val="001210B9"/>
    <w:rsid w:val="00124403"/>
    <w:rsid w:val="00124B71"/>
    <w:rsid w:val="00140EE0"/>
    <w:rsid w:val="00141441"/>
    <w:rsid w:val="0014176D"/>
    <w:rsid w:val="0014214B"/>
    <w:rsid w:val="0014655B"/>
    <w:rsid w:val="0015053A"/>
    <w:rsid w:val="00150F4D"/>
    <w:rsid w:val="001566FC"/>
    <w:rsid w:val="00157D77"/>
    <w:rsid w:val="00160C59"/>
    <w:rsid w:val="00163E55"/>
    <w:rsid w:val="0016736A"/>
    <w:rsid w:val="00172BE5"/>
    <w:rsid w:val="00182B65"/>
    <w:rsid w:val="001842CB"/>
    <w:rsid w:val="00187C07"/>
    <w:rsid w:val="001941DD"/>
    <w:rsid w:val="00195C77"/>
    <w:rsid w:val="001A242F"/>
    <w:rsid w:val="001B146B"/>
    <w:rsid w:val="001B749E"/>
    <w:rsid w:val="001C1ACB"/>
    <w:rsid w:val="001C2435"/>
    <w:rsid w:val="001C7BA9"/>
    <w:rsid w:val="001E6B9E"/>
    <w:rsid w:val="001F28AD"/>
    <w:rsid w:val="0020062A"/>
    <w:rsid w:val="00201573"/>
    <w:rsid w:val="00220DCD"/>
    <w:rsid w:val="00232FA7"/>
    <w:rsid w:val="00236C92"/>
    <w:rsid w:val="00263B06"/>
    <w:rsid w:val="00264777"/>
    <w:rsid w:val="00275018"/>
    <w:rsid w:val="002770D1"/>
    <w:rsid w:val="00283773"/>
    <w:rsid w:val="00291344"/>
    <w:rsid w:val="002C2F39"/>
    <w:rsid w:val="002E48D8"/>
    <w:rsid w:val="002E4952"/>
    <w:rsid w:val="002F18DF"/>
    <w:rsid w:val="00305DD5"/>
    <w:rsid w:val="00314EB7"/>
    <w:rsid w:val="003260C4"/>
    <w:rsid w:val="0034227D"/>
    <w:rsid w:val="003511BE"/>
    <w:rsid w:val="00351495"/>
    <w:rsid w:val="00356FAE"/>
    <w:rsid w:val="0036595C"/>
    <w:rsid w:val="003759A1"/>
    <w:rsid w:val="00382420"/>
    <w:rsid w:val="003958B9"/>
    <w:rsid w:val="003C57F8"/>
    <w:rsid w:val="003E346A"/>
    <w:rsid w:val="003E3EB4"/>
    <w:rsid w:val="003E7C9A"/>
    <w:rsid w:val="00413C9F"/>
    <w:rsid w:val="004155E0"/>
    <w:rsid w:val="00415B26"/>
    <w:rsid w:val="00417CA9"/>
    <w:rsid w:val="004306D3"/>
    <w:rsid w:val="0043422B"/>
    <w:rsid w:val="004565D5"/>
    <w:rsid w:val="00464F4B"/>
    <w:rsid w:val="00477B86"/>
    <w:rsid w:val="00496724"/>
    <w:rsid w:val="004977B9"/>
    <w:rsid w:val="004A3104"/>
    <w:rsid w:val="004A3BE4"/>
    <w:rsid w:val="004A7D61"/>
    <w:rsid w:val="004C4BEE"/>
    <w:rsid w:val="004C682A"/>
    <w:rsid w:val="004D3CD4"/>
    <w:rsid w:val="004F6F62"/>
    <w:rsid w:val="00501A61"/>
    <w:rsid w:val="00513011"/>
    <w:rsid w:val="0052121E"/>
    <w:rsid w:val="00522295"/>
    <w:rsid w:val="00530416"/>
    <w:rsid w:val="005513D5"/>
    <w:rsid w:val="00551C23"/>
    <w:rsid w:val="005566DD"/>
    <w:rsid w:val="005761E9"/>
    <w:rsid w:val="00580451"/>
    <w:rsid w:val="00587DB4"/>
    <w:rsid w:val="005903AB"/>
    <w:rsid w:val="005914C4"/>
    <w:rsid w:val="005921C9"/>
    <w:rsid w:val="00597224"/>
    <w:rsid w:val="00597313"/>
    <w:rsid w:val="005A7615"/>
    <w:rsid w:val="005C32EC"/>
    <w:rsid w:val="005C7FE9"/>
    <w:rsid w:val="005E13DA"/>
    <w:rsid w:val="005F421F"/>
    <w:rsid w:val="005F4AD5"/>
    <w:rsid w:val="005F6BE8"/>
    <w:rsid w:val="00607AB6"/>
    <w:rsid w:val="00624679"/>
    <w:rsid w:val="0063662E"/>
    <w:rsid w:val="00640C60"/>
    <w:rsid w:val="00641B02"/>
    <w:rsid w:val="00655868"/>
    <w:rsid w:val="006724B8"/>
    <w:rsid w:val="00692742"/>
    <w:rsid w:val="00697BAF"/>
    <w:rsid w:val="006A4E77"/>
    <w:rsid w:val="006A5A9E"/>
    <w:rsid w:val="006B0C56"/>
    <w:rsid w:val="006B15CC"/>
    <w:rsid w:val="006B3EAE"/>
    <w:rsid w:val="006B6804"/>
    <w:rsid w:val="006C02B8"/>
    <w:rsid w:val="006C7E1D"/>
    <w:rsid w:val="006E2237"/>
    <w:rsid w:val="006E59A7"/>
    <w:rsid w:val="006F6508"/>
    <w:rsid w:val="00700E38"/>
    <w:rsid w:val="00702AC3"/>
    <w:rsid w:val="00710BEB"/>
    <w:rsid w:val="0071173C"/>
    <w:rsid w:val="00723DA3"/>
    <w:rsid w:val="0073124F"/>
    <w:rsid w:val="007549AD"/>
    <w:rsid w:val="007825E9"/>
    <w:rsid w:val="00786B39"/>
    <w:rsid w:val="00793B0D"/>
    <w:rsid w:val="007A0388"/>
    <w:rsid w:val="007A3556"/>
    <w:rsid w:val="007A5611"/>
    <w:rsid w:val="007C59DB"/>
    <w:rsid w:val="007D2111"/>
    <w:rsid w:val="007F4EDB"/>
    <w:rsid w:val="007F7AA3"/>
    <w:rsid w:val="00803E15"/>
    <w:rsid w:val="00812401"/>
    <w:rsid w:val="0082312B"/>
    <w:rsid w:val="0082415D"/>
    <w:rsid w:val="008252F3"/>
    <w:rsid w:val="008339EE"/>
    <w:rsid w:val="008577CF"/>
    <w:rsid w:val="00867E22"/>
    <w:rsid w:val="008714A2"/>
    <w:rsid w:val="008745D1"/>
    <w:rsid w:val="00892383"/>
    <w:rsid w:val="00896ADA"/>
    <w:rsid w:val="008973C3"/>
    <w:rsid w:val="008B24DB"/>
    <w:rsid w:val="008B60CB"/>
    <w:rsid w:val="008C7431"/>
    <w:rsid w:val="008D0FC3"/>
    <w:rsid w:val="008E4D35"/>
    <w:rsid w:val="00905D29"/>
    <w:rsid w:val="00907EEE"/>
    <w:rsid w:val="009108A4"/>
    <w:rsid w:val="00926891"/>
    <w:rsid w:val="0095562C"/>
    <w:rsid w:val="009A0564"/>
    <w:rsid w:val="009B3859"/>
    <w:rsid w:val="009B4554"/>
    <w:rsid w:val="009D0407"/>
    <w:rsid w:val="009F23DF"/>
    <w:rsid w:val="009F43BD"/>
    <w:rsid w:val="009F512C"/>
    <w:rsid w:val="00A148AC"/>
    <w:rsid w:val="00A30010"/>
    <w:rsid w:val="00A472D3"/>
    <w:rsid w:val="00A50A33"/>
    <w:rsid w:val="00A7782C"/>
    <w:rsid w:val="00A913E3"/>
    <w:rsid w:val="00AA07DE"/>
    <w:rsid w:val="00AC0C2F"/>
    <w:rsid w:val="00AC3E40"/>
    <w:rsid w:val="00AC5324"/>
    <w:rsid w:val="00AD3057"/>
    <w:rsid w:val="00AE37FB"/>
    <w:rsid w:val="00AE4934"/>
    <w:rsid w:val="00AE74D5"/>
    <w:rsid w:val="00B0016E"/>
    <w:rsid w:val="00B00FAE"/>
    <w:rsid w:val="00B11F1F"/>
    <w:rsid w:val="00B1558E"/>
    <w:rsid w:val="00B264D6"/>
    <w:rsid w:val="00B3115D"/>
    <w:rsid w:val="00B31627"/>
    <w:rsid w:val="00B34D4A"/>
    <w:rsid w:val="00B37B4D"/>
    <w:rsid w:val="00B413C6"/>
    <w:rsid w:val="00B43611"/>
    <w:rsid w:val="00B523C3"/>
    <w:rsid w:val="00B52DBD"/>
    <w:rsid w:val="00B65183"/>
    <w:rsid w:val="00B70EB1"/>
    <w:rsid w:val="00B85774"/>
    <w:rsid w:val="00BA2D7B"/>
    <w:rsid w:val="00BB22E3"/>
    <w:rsid w:val="00BB671D"/>
    <w:rsid w:val="00BC1846"/>
    <w:rsid w:val="00BE656D"/>
    <w:rsid w:val="00BF0ECA"/>
    <w:rsid w:val="00C50F52"/>
    <w:rsid w:val="00C7189C"/>
    <w:rsid w:val="00C77AA1"/>
    <w:rsid w:val="00C85E1C"/>
    <w:rsid w:val="00C93252"/>
    <w:rsid w:val="00C95D46"/>
    <w:rsid w:val="00CA0929"/>
    <w:rsid w:val="00CB2DF9"/>
    <w:rsid w:val="00CC7D06"/>
    <w:rsid w:val="00CD7A33"/>
    <w:rsid w:val="00CE1BDA"/>
    <w:rsid w:val="00CF4227"/>
    <w:rsid w:val="00D019AA"/>
    <w:rsid w:val="00D057C1"/>
    <w:rsid w:val="00D06BD6"/>
    <w:rsid w:val="00D113A6"/>
    <w:rsid w:val="00D148D9"/>
    <w:rsid w:val="00D2775B"/>
    <w:rsid w:val="00D37561"/>
    <w:rsid w:val="00D42AF1"/>
    <w:rsid w:val="00D42BD6"/>
    <w:rsid w:val="00D43249"/>
    <w:rsid w:val="00D51542"/>
    <w:rsid w:val="00D55C14"/>
    <w:rsid w:val="00D640B9"/>
    <w:rsid w:val="00D65FEC"/>
    <w:rsid w:val="00D733C6"/>
    <w:rsid w:val="00D74F04"/>
    <w:rsid w:val="00D826EE"/>
    <w:rsid w:val="00D82C1D"/>
    <w:rsid w:val="00D97B96"/>
    <w:rsid w:val="00DD361C"/>
    <w:rsid w:val="00E115E4"/>
    <w:rsid w:val="00E12D39"/>
    <w:rsid w:val="00E217ED"/>
    <w:rsid w:val="00E22F90"/>
    <w:rsid w:val="00E30CF4"/>
    <w:rsid w:val="00E31238"/>
    <w:rsid w:val="00E31C7A"/>
    <w:rsid w:val="00E36CE5"/>
    <w:rsid w:val="00E37F8D"/>
    <w:rsid w:val="00E46C30"/>
    <w:rsid w:val="00E67EEB"/>
    <w:rsid w:val="00E74D51"/>
    <w:rsid w:val="00E773BD"/>
    <w:rsid w:val="00E84611"/>
    <w:rsid w:val="00E8567B"/>
    <w:rsid w:val="00E94C5B"/>
    <w:rsid w:val="00E94EBA"/>
    <w:rsid w:val="00EA7744"/>
    <w:rsid w:val="00EC0971"/>
    <w:rsid w:val="00EC2BA9"/>
    <w:rsid w:val="00EC6490"/>
    <w:rsid w:val="00ED0A91"/>
    <w:rsid w:val="00EE5304"/>
    <w:rsid w:val="00EE6947"/>
    <w:rsid w:val="00EE7468"/>
    <w:rsid w:val="00EF204B"/>
    <w:rsid w:val="00EF4144"/>
    <w:rsid w:val="00EF4929"/>
    <w:rsid w:val="00F0502C"/>
    <w:rsid w:val="00F14D98"/>
    <w:rsid w:val="00F23F96"/>
    <w:rsid w:val="00F3601D"/>
    <w:rsid w:val="00F40578"/>
    <w:rsid w:val="00F43795"/>
    <w:rsid w:val="00F545DE"/>
    <w:rsid w:val="00F55182"/>
    <w:rsid w:val="00F70836"/>
    <w:rsid w:val="00F8737A"/>
    <w:rsid w:val="00F91802"/>
    <w:rsid w:val="00F92380"/>
    <w:rsid w:val="00FB03D1"/>
    <w:rsid w:val="00FC6C3A"/>
    <w:rsid w:val="00FD0D3A"/>
    <w:rsid w:val="00FE0963"/>
    <w:rsid w:val="00FE7FB1"/>
    <w:rsid w:val="00FF3644"/>
    <w:rsid w:val="00FF4BEF"/>
    <w:rsid w:val="00FF5A7B"/>
    <w:rsid w:val="00FF6B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371C5"/>
  <w15:docId w15:val="{31A81A79-2957-47AF-822E-AA10B1377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971"/>
    <w:pPr>
      <w:spacing w:after="200" w:line="240" w:lineRule="auto"/>
    </w:pPr>
    <w:rPr>
      <w:rFonts w:ascii="Calibri" w:eastAsia="Calibri" w:hAnsi="Calibri" w:cs="Times New Roman"/>
    </w:rPr>
  </w:style>
  <w:style w:type="paragraph" w:styleId="Heading1">
    <w:name w:val="heading 1"/>
    <w:basedOn w:val="Header"/>
    <w:next w:val="Normal"/>
    <w:link w:val="Heading1Char"/>
    <w:uiPriority w:val="1"/>
    <w:qFormat/>
    <w:rsid w:val="00EC0971"/>
    <w:pPr>
      <w:spacing w:after="120"/>
      <w:jc w:val="left"/>
      <w:outlineLvl w:val="0"/>
    </w:pPr>
    <w:rPr>
      <w:sz w:val="32"/>
      <w:szCs w:val="24"/>
    </w:rPr>
  </w:style>
  <w:style w:type="paragraph" w:styleId="Heading2">
    <w:name w:val="heading 2"/>
    <w:basedOn w:val="Normal"/>
    <w:next w:val="Normal"/>
    <w:link w:val="Heading2Char"/>
    <w:uiPriority w:val="9"/>
    <w:qFormat/>
    <w:rsid w:val="00EC0971"/>
    <w:pPr>
      <w:keepNext/>
      <w:spacing w:before="120" w:after="120"/>
      <w:outlineLvl w:val="1"/>
    </w:pPr>
    <w:rPr>
      <w:b/>
      <w:sz w:val="24"/>
      <w:szCs w:val="20"/>
    </w:rPr>
  </w:style>
  <w:style w:type="paragraph" w:styleId="Heading3">
    <w:name w:val="heading 3"/>
    <w:basedOn w:val="Normal"/>
    <w:next w:val="Normal"/>
    <w:link w:val="Heading3Char"/>
    <w:uiPriority w:val="9"/>
    <w:unhideWhenUsed/>
    <w:qFormat/>
    <w:rsid w:val="00A913E3"/>
    <w:pPr>
      <w:keepNext/>
      <w:spacing w:before="40" w:after="40"/>
      <w:outlineLvl w:val="2"/>
    </w:pPr>
    <w:rPr>
      <w:rFonts w:asciiTheme="majorHAnsi" w:hAnsiTheme="majorHAnsi" w:cstheme="majorHAns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C0971"/>
    <w:rPr>
      <w:rFonts w:ascii="Calibri" w:eastAsia="Calibri" w:hAnsi="Calibri" w:cs="Times New Roman"/>
      <w:b/>
      <w:sz w:val="32"/>
      <w:szCs w:val="24"/>
    </w:rPr>
  </w:style>
  <w:style w:type="character" w:customStyle="1" w:styleId="Heading2Char">
    <w:name w:val="Heading 2 Char"/>
    <w:basedOn w:val="DefaultParagraphFont"/>
    <w:link w:val="Heading2"/>
    <w:uiPriority w:val="9"/>
    <w:rsid w:val="00EC0971"/>
    <w:rPr>
      <w:rFonts w:ascii="Calibri" w:eastAsia="Calibri" w:hAnsi="Calibri" w:cs="Times New Roman"/>
      <w:b/>
      <w:sz w:val="24"/>
      <w:szCs w:val="20"/>
    </w:rPr>
  </w:style>
  <w:style w:type="paragraph" w:styleId="Header">
    <w:name w:val="header"/>
    <w:basedOn w:val="Normal"/>
    <w:link w:val="HeaderChar"/>
    <w:uiPriority w:val="99"/>
    <w:unhideWhenUsed/>
    <w:rsid w:val="00EC0971"/>
    <w:pPr>
      <w:tabs>
        <w:tab w:val="center" w:pos="4513"/>
        <w:tab w:val="right" w:pos="9026"/>
      </w:tabs>
      <w:jc w:val="center"/>
    </w:pPr>
    <w:rPr>
      <w:b/>
    </w:rPr>
  </w:style>
  <w:style w:type="character" w:customStyle="1" w:styleId="HeaderChar">
    <w:name w:val="Header Char"/>
    <w:basedOn w:val="DefaultParagraphFont"/>
    <w:link w:val="Header"/>
    <w:uiPriority w:val="99"/>
    <w:rsid w:val="00EC0971"/>
    <w:rPr>
      <w:rFonts w:ascii="Calibri" w:eastAsia="Calibri" w:hAnsi="Calibri" w:cs="Times New Roman"/>
      <w:b/>
    </w:rPr>
  </w:style>
  <w:style w:type="paragraph" w:styleId="Footer">
    <w:name w:val="footer"/>
    <w:basedOn w:val="Normal"/>
    <w:link w:val="FooterChar"/>
    <w:uiPriority w:val="99"/>
    <w:unhideWhenUsed/>
    <w:rsid w:val="00EC0971"/>
    <w:pPr>
      <w:tabs>
        <w:tab w:val="center" w:pos="4513"/>
        <w:tab w:val="right" w:pos="9026"/>
      </w:tabs>
      <w:spacing w:after="0"/>
      <w:jc w:val="center"/>
    </w:pPr>
  </w:style>
  <w:style w:type="character" w:customStyle="1" w:styleId="FooterChar">
    <w:name w:val="Footer Char"/>
    <w:basedOn w:val="DefaultParagraphFont"/>
    <w:link w:val="Footer"/>
    <w:uiPriority w:val="99"/>
    <w:rsid w:val="00EC0971"/>
    <w:rPr>
      <w:rFonts w:ascii="Calibri" w:eastAsia="Calibri" w:hAnsi="Calibri" w:cs="Times New Roman"/>
    </w:rPr>
  </w:style>
  <w:style w:type="numbering" w:customStyle="1" w:styleId="BulletList">
    <w:name w:val="Bullet List"/>
    <w:uiPriority w:val="99"/>
    <w:rsid w:val="00EC0971"/>
    <w:pPr>
      <w:numPr>
        <w:numId w:val="1"/>
      </w:numPr>
    </w:pPr>
  </w:style>
  <w:style w:type="paragraph" w:styleId="ListBullet">
    <w:name w:val="List Bullet"/>
    <w:basedOn w:val="Normal"/>
    <w:uiPriority w:val="99"/>
    <w:unhideWhenUsed/>
    <w:qFormat/>
    <w:rsid w:val="00EC0971"/>
    <w:pPr>
      <w:numPr>
        <w:numId w:val="2"/>
      </w:numPr>
    </w:pPr>
  </w:style>
  <w:style w:type="paragraph" w:styleId="ListBullet2">
    <w:name w:val="List Bullet 2"/>
    <w:basedOn w:val="Normal"/>
    <w:uiPriority w:val="99"/>
    <w:unhideWhenUsed/>
    <w:rsid w:val="00EC0971"/>
    <w:pPr>
      <w:numPr>
        <w:ilvl w:val="1"/>
        <w:numId w:val="2"/>
      </w:numPr>
    </w:pPr>
  </w:style>
  <w:style w:type="paragraph" w:styleId="ListNumber">
    <w:name w:val="List Number"/>
    <w:basedOn w:val="Normal"/>
    <w:uiPriority w:val="99"/>
    <w:qFormat/>
    <w:rsid w:val="00EC0971"/>
    <w:pPr>
      <w:numPr>
        <w:numId w:val="3"/>
      </w:numPr>
      <w:spacing w:before="120" w:after="120"/>
    </w:pPr>
  </w:style>
  <w:style w:type="paragraph" w:styleId="ListNumber2">
    <w:name w:val="List Number 2"/>
    <w:basedOn w:val="Normal"/>
    <w:uiPriority w:val="99"/>
    <w:rsid w:val="00EC0971"/>
    <w:pPr>
      <w:numPr>
        <w:ilvl w:val="1"/>
        <w:numId w:val="3"/>
      </w:numPr>
    </w:pPr>
    <w:rPr>
      <w:rFonts w:cs="Segoe UI"/>
    </w:rPr>
  </w:style>
  <w:style w:type="paragraph" w:styleId="ListNumber3">
    <w:name w:val="List Number 3"/>
    <w:basedOn w:val="Normal"/>
    <w:uiPriority w:val="99"/>
    <w:rsid w:val="00EC0971"/>
    <w:pPr>
      <w:numPr>
        <w:ilvl w:val="2"/>
        <w:numId w:val="3"/>
      </w:numPr>
    </w:pPr>
    <w:rPr>
      <w:rFonts w:cs="Segoe UI"/>
    </w:rPr>
  </w:style>
  <w:style w:type="paragraph" w:styleId="FootnoteText">
    <w:name w:val="footnote text"/>
    <w:basedOn w:val="Normal"/>
    <w:link w:val="FootnoteTextChar"/>
    <w:uiPriority w:val="99"/>
    <w:semiHidden/>
    <w:unhideWhenUsed/>
    <w:rsid w:val="00BB22E3"/>
    <w:pPr>
      <w:spacing w:after="0"/>
    </w:pPr>
    <w:rPr>
      <w:sz w:val="20"/>
      <w:szCs w:val="20"/>
    </w:rPr>
  </w:style>
  <w:style w:type="character" w:customStyle="1" w:styleId="FootnoteTextChar">
    <w:name w:val="Footnote Text Char"/>
    <w:basedOn w:val="DefaultParagraphFont"/>
    <w:link w:val="FootnoteText"/>
    <w:uiPriority w:val="99"/>
    <w:semiHidden/>
    <w:rsid w:val="00BB22E3"/>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BB22E3"/>
    <w:rPr>
      <w:vertAlign w:val="superscript"/>
    </w:rPr>
  </w:style>
  <w:style w:type="paragraph" w:styleId="Revision">
    <w:name w:val="Revision"/>
    <w:hidden/>
    <w:uiPriority w:val="99"/>
    <w:semiHidden/>
    <w:rsid w:val="00896ADA"/>
    <w:pPr>
      <w:spacing w:after="0" w:line="240" w:lineRule="auto"/>
    </w:pPr>
    <w:rPr>
      <w:rFonts w:ascii="Calibri" w:eastAsia="Calibri" w:hAnsi="Calibri" w:cs="Times New Roman"/>
    </w:rPr>
  </w:style>
  <w:style w:type="numbering" w:customStyle="1" w:styleId="List1">
    <w:name w:val="List1"/>
    <w:basedOn w:val="NoList"/>
    <w:uiPriority w:val="99"/>
    <w:rsid w:val="00896ADA"/>
    <w:pPr>
      <w:numPr>
        <w:numId w:val="6"/>
      </w:numPr>
    </w:pPr>
  </w:style>
  <w:style w:type="table" w:styleId="TableGrid">
    <w:name w:val="Table Grid"/>
    <w:basedOn w:val="TableNormal"/>
    <w:uiPriority w:val="39"/>
    <w:rsid w:val="00E84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4611"/>
    <w:rPr>
      <w:color w:val="0563C1" w:themeColor="hyperlink"/>
      <w:u w:val="single"/>
    </w:rPr>
  </w:style>
  <w:style w:type="paragraph" w:styleId="Title">
    <w:name w:val="Title"/>
    <w:basedOn w:val="Normal"/>
    <w:next w:val="Normal"/>
    <w:link w:val="TitleChar"/>
    <w:uiPriority w:val="10"/>
    <w:qFormat/>
    <w:rsid w:val="00E8461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4611"/>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E84611"/>
    <w:pPr>
      <w:spacing w:after="160" w:line="259" w:lineRule="auto"/>
      <w:ind w:left="720"/>
      <w:contextualSpacing/>
    </w:pPr>
    <w:rPr>
      <w:rFonts w:asciiTheme="minorHAnsi" w:eastAsiaTheme="minorHAnsi" w:hAnsiTheme="minorHAnsi" w:cstheme="minorBidi"/>
    </w:rPr>
  </w:style>
  <w:style w:type="paragraph" w:customStyle="1" w:styleId="TableHeading">
    <w:name w:val="Table Heading"/>
    <w:basedOn w:val="Normal"/>
    <w:uiPriority w:val="14"/>
    <w:qFormat/>
    <w:rsid w:val="00E84611"/>
    <w:pPr>
      <w:keepNext/>
      <w:spacing w:before="60" w:after="60"/>
    </w:pPr>
    <w:rPr>
      <w:rFonts w:asciiTheme="minorHAnsi" w:eastAsiaTheme="minorHAnsi" w:hAnsiTheme="minorHAnsi" w:cstheme="minorBidi"/>
      <w:b/>
      <w:sz w:val="18"/>
    </w:rPr>
  </w:style>
  <w:style w:type="character" w:styleId="CommentReference">
    <w:name w:val="annotation reference"/>
    <w:basedOn w:val="DefaultParagraphFont"/>
    <w:uiPriority w:val="99"/>
    <w:semiHidden/>
    <w:unhideWhenUsed/>
    <w:rsid w:val="00867E22"/>
    <w:rPr>
      <w:sz w:val="16"/>
      <w:szCs w:val="16"/>
    </w:rPr>
  </w:style>
  <w:style w:type="paragraph" w:styleId="CommentText">
    <w:name w:val="annotation text"/>
    <w:basedOn w:val="Normal"/>
    <w:link w:val="CommentTextChar"/>
    <w:uiPriority w:val="99"/>
    <w:unhideWhenUsed/>
    <w:rsid w:val="00867E22"/>
    <w:rPr>
      <w:sz w:val="20"/>
      <w:szCs w:val="20"/>
    </w:rPr>
  </w:style>
  <w:style w:type="character" w:customStyle="1" w:styleId="CommentTextChar">
    <w:name w:val="Comment Text Char"/>
    <w:basedOn w:val="DefaultParagraphFont"/>
    <w:link w:val="CommentText"/>
    <w:uiPriority w:val="99"/>
    <w:rsid w:val="00867E2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67E22"/>
    <w:rPr>
      <w:b/>
      <w:bCs/>
    </w:rPr>
  </w:style>
  <w:style w:type="character" w:customStyle="1" w:styleId="CommentSubjectChar">
    <w:name w:val="Comment Subject Char"/>
    <w:basedOn w:val="CommentTextChar"/>
    <w:link w:val="CommentSubject"/>
    <w:uiPriority w:val="99"/>
    <w:semiHidden/>
    <w:rsid w:val="00867E22"/>
    <w:rPr>
      <w:rFonts w:ascii="Calibri" w:eastAsia="Calibri" w:hAnsi="Calibri" w:cs="Times New Roman"/>
      <w:b/>
      <w:bCs/>
      <w:sz w:val="20"/>
      <w:szCs w:val="20"/>
    </w:rPr>
  </w:style>
  <w:style w:type="character" w:styleId="UnresolvedMention">
    <w:name w:val="Unresolved Mention"/>
    <w:basedOn w:val="DefaultParagraphFont"/>
    <w:uiPriority w:val="99"/>
    <w:semiHidden/>
    <w:unhideWhenUsed/>
    <w:rsid w:val="00892383"/>
    <w:rPr>
      <w:color w:val="605E5C"/>
      <w:shd w:val="clear" w:color="auto" w:fill="E1DFDD"/>
    </w:rPr>
  </w:style>
  <w:style w:type="character" w:styleId="FollowedHyperlink">
    <w:name w:val="FollowedHyperlink"/>
    <w:basedOn w:val="DefaultParagraphFont"/>
    <w:uiPriority w:val="99"/>
    <w:semiHidden/>
    <w:unhideWhenUsed/>
    <w:rsid w:val="0001115A"/>
    <w:rPr>
      <w:color w:val="954F72" w:themeColor="followedHyperlink"/>
      <w:u w:val="single"/>
    </w:rPr>
  </w:style>
  <w:style w:type="paragraph" w:styleId="BodyTextIndent">
    <w:name w:val="Body Text Indent"/>
    <w:basedOn w:val="Normal"/>
    <w:link w:val="BodyTextIndentChar"/>
    <w:uiPriority w:val="99"/>
    <w:unhideWhenUsed/>
    <w:rsid w:val="00291344"/>
    <w:pPr>
      <w:spacing w:before="40" w:after="240"/>
      <w:ind w:left="1440"/>
    </w:pPr>
    <w:rPr>
      <w:rFonts w:asciiTheme="majorHAnsi" w:hAnsiTheme="majorHAnsi" w:cstheme="majorHAnsi"/>
      <w:sz w:val="24"/>
      <w:szCs w:val="24"/>
    </w:rPr>
  </w:style>
  <w:style w:type="character" w:customStyle="1" w:styleId="BodyTextIndentChar">
    <w:name w:val="Body Text Indent Char"/>
    <w:basedOn w:val="DefaultParagraphFont"/>
    <w:link w:val="BodyTextIndent"/>
    <w:uiPriority w:val="99"/>
    <w:rsid w:val="00291344"/>
    <w:rPr>
      <w:rFonts w:asciiTheme="majorHAnsi" w:eastAsia="Calibri" w:hAnsiTheme="majorHAnsi" w:cstheme="majorHAnsi"/>
      <w:sz w:val="24"/>
      <w:szCs w:val="24"/>
    </w:rPr>
  </w:style>
  <w:style w:type="character" w:customStyle="1" w:styleId="Heading3Char">
    <w:name w:val="Heading 3 Char"/>
    <w:basedOn w:val="DefaultParagraphFont"/>
    <w:link w:val="Heading3"/>
    <w:uiPriority w:val="9"/>
    <w:rsid w:val="00A913E3"/>
    <w:rPr>
      <w:rFonts w:asciiTheme="majorHAnsi" w:eastAsia="Calibri" w:hAnsiTheme="majorHAnsi" w:cstheme="majorHAnsi"/>
      <w:i/>
      <w:iCs/>
      <w:sz w:val="24"/>
      <w:szCs w:val="24"/>
    </w:rPr>
  </w:style>
  <w:style w:type="character" w:styleId="Emphasis">
    <w:name w:val="Emphasis"/>
    <w:basedOn w:val="DefaultParagraphFont"/>
    <w:uiPriority w:val="99"/>
    <w:qFormat/>
    <w:rsid w:val="00477B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003181">
      <w:bodyDiv w:val="1"/>
      <w:marLeft w:val="0"/>
      <w:marRight w:val="0"/>
      <w:marTop w:val="0"/>
      <w:marBottom w:val="0"/>
      <w:divBdr>
        <w:top w:val="none" w:sz="0" w:space="0" w:color="auto"/>
        <w:left w:val="none" w:sz="0" w:space="0" w:color="auto"/>
        <w:bottom w:val="none" w:sz="0" w:space="0" w:color="auto"/>
        <w:right w:val="none" w:sz="0" w:space="0" w:color="auto"/>
      </w:divBdr>
    </w:div>
    <w:div w:id="363945586">
      <w:bodyDiv w:val="1"/>
      <w:marLeft w:val="0"/>
      <w:marRight w:val="0"/>
      <w:marTop w:val="0"/>
      <w:marBottom w:val="0"/>
      <w:divBdr>
        <w:top w:val="none" w:sz="0" w:space="0" w:color="auto"/>
        <w:left w:val="none" w:sz="0" w:space="0" w:color="auto"/>
        <w:bottom w:val="none" w:sz="0" w:space="0" w:color="auto"/>
        <w:right w:val="none" w:sz="0" w:space="0" w:color="auto"/>
      </w:divBdr>
    </w:div>
    <w:div w:id="1506089598">
      <w:bodyDiv w:val="1"/>
      <w:marLeft w:val="0"/>
      <w:marRight w:val="0"/>
      <w:marTop w:val="0"/>
      <w:marBottom w:val="0"/>
      <w:divBdr>
        <w:top w:val="none" w:sz="0" w:space="0" w:color="auto"/>
        <w:left w:val="none" w:sz="0" w:space="0" w:color="auto"/>
        <w:bottom w:val="none" w:sz="0" w:space="0" w:color="auto"/>
        <w:right w:val="none" w:sz="0" w:space="0" w:color="auto"/>
      </w:divBdr>
    </w:div>
    <w:div w:id="15677188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564BFB-C50C-4E02-AF4A-C10038096F71}">
  <ds:schemaRefs>
    <ds:schemaRef ds:uri="http://schemas.microsoft.com/sharepoint/v3/contenttype/forms"/>
  </ds:schemaRefs>
</ds:datastoreItem>
</file>

<file path=customXml/itemProps2.xml><?xml version="1.0" encoding="utf-8"?>
<ds:datastoreItem xmlns:ds="http://schemas.openxmlformats.org/officeDocument/2006/customXml" ds:itemID="{757C9D0B-FDDC-4ABE-B0C5-08B18B32CEF5}">
  <ds:schemaRefs>
    <ds:schemaRef ds:uri="http://schemas.microsoft.com/office/infopath/2007/PartnerControls"/>
    <ds:schemaRef ds:uri="http://schemas.microsoft.com/office/2006/metadata/properties"/>
    <ds:schemaRef ds:uri="81c01dc6-2c49-4730-b140-874c95cac377"/>
    <ds:schemaRef ds:uri="http://purl.org/dc/dcmitype/"/>
    <ds:schemaRef ds:uri="http://purl.org/dc/elements/1.1/"/>
    <ds:schemaRef ds:uri="http://www.w3.org/XML/1998/namespace"/>
    <ds:schemaRef ds:uri="http://schemas.microsoft.com/office/2006/documentManagement/types"/>
    <ds:schemaRef ds:uri="http://purl.org/dc/terms/"/>
    <ds:schemaRef ds:uri="faa728ad-f6f7-45f7-9bfa-680f39ae2815"/>
    <ds:schemaRef ds:uri="http://schemas.openxmlformats.org/package/2006/metadata/core-properties"/>
    <ds:schemaRef ds:uri="28699d96-231d-483f-8406-f80ed7573ccd"/>
  </ds:schemaRefs>
</ds:datastoreItem>
</file>

<file path=customXml/itemProps3.xml><?xml version="1.0" encoding="utf-8"?>
<ds:datastoreItem xmlns:ds="http://schemas.openxmlformats.org/officeDocument/2006/customXml" ds:itemID="{B9AB26E8-DD72-432F-8BA1-266D7007F0F1}">
  <ds:schemaRefs>
    <ds:schemaRef ds:uri="http://schemas.openxmlformats.org/officeDocument/2006/bibliography"/>
  </ds:schemaRefs>
</ds:datastoreItem>
</file>

<file path=customXml/itemProps4.xml><?xml version="1.0" encoding="utf-8"?>
<ds:datastoreItem xmlns:ds="http://schemas.openxmlformats.org/officeDocument/2006/customXml" ds:itemID="{E973C935-137E-41E0-8819-BBA87B627659}"/>
</file>

<file path=docProps/app.xml><?xml version="1.0" encoding="utf-8"?>
<Properties xmlns="http://schemas.openxmlformats.org/officeDocument/2006/extended-properties" xmlns:vt="http://schemas.openxmlformats.org/officeDocument/2006/docPropsVTypes">
  <Template>Normal</Template>
  <TotalTime>20</TotalTime>
  <Pages>2</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Stakeholder response summary</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Stakeholder response summary: Importation of zoo hippopotamuses and their semen from approved countries</dc:title>
  <dc:subject/>
  <dc:creator>Department of Agriculture, Fisheries and Forestry</dc:creator>
  <cp:keywords/>
  <dc:description/>
  <cp:lastModifiedBy>Animal Biosecurity</cp:lastModifiedBy>
  <cp:revision>10</cp:revision>
  <cp:lastPrinted>2023-01-11T01:01:00Z</cp:lastPrinted>
  <dcterms:created xsi:type="dcterms:W3CDTF">2024-09-19T22:54:00Z</dcterms:created>
  <dcterms:modified xsi:type="dcterms:W3CDTF">2024-11-21T04:07:00Z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3d8be6-3c40-4052-87a2-9c2adcba8759_Enabled">
    <vt:lpwstr>true</vt:lpwstr>
  </property>
  <property fmtid="{D5CDD505-2E9C-101B-9397-08002B2CF9AE}" pid="3" name="MSIP_Label_933d8be6-3c40-4052-87a2-9c2adcba8759_SetDate">
    <vt:lpwstr>2024-08-20T02:46:29Z</vt:lpwstr>
  </property>
  <property fmtid="{D5CDD505-2E9C-101B-9397-08002B2CF9AE}" pid="4" name="MSIP_Label_933d8be6-3c40-4052-87a2-9c2adcba8759_Method">
    <vt:lpwstr>Privileged</vt:lpwstr>
  </property>
  <property fmtid="{D5CDD505-2E9C-101B-9397-08002B2CF9AE}" pid="5" name="MSIP_Label_933d8be6-3c40-4052-87a2-9c2adcba8759_Name">
    <vt:lpwstr>OFFICIAL</vt:lpwstr>
  </property>
  <property fmtid="{D5CDD505-2E9C-101B-9397-08002B2CF9AE}" pid="6" name="MSIP_Label_933d8be6-3c40-4052-87a2-9c2adcba8759_SiteId">
    <vt:lpwstr>2be67eb7-400c-4b3f-a5a1-1258c0da0696</vt:lpwstr>
  </property>
  <property fmtid="{D5CDD505-2E9C-101B-9397-08002B2CF9AE}" pid="7" name="MSIP_Label_933d8be6-3c40-4052-87a2-9c2adcba8759_ActionId">
    <vt:lpwstr>31c1cf3d-3eb6-4d46-99f0-6e2a803ddc3c</vt:lpwstr>
  </property>
  <property fmtid="{D5CDD505-2E9C-101B-9397-08002B2CF9AE}" pid="8" name="MSIP_Label_933d8be6-3c40-4052-87a2-9c2adcba8759_ContentBits">
    <vt:lpwstr>3</vt:lpwstr>
  </property>
  <property fmtid="{D5CDD505-2E9C-101B-9397-08002B2CF9AE}" pid="9" name="ContentTypeId">
    <vt:lpwstr>0x0101008991DB94C8E2E14F9D69CDF9B52A3286</vt:lpwstr>
  </property>
  <property fmtid="{D5CDD505-2E9C-101B-9397-08002B2CF9AE}" pid="10" name="MediaServiceImageTags">
    <vt:lpwstr/>
  </property>
</Properties>
</file>