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CAA3" w14:textId="079004A1" w:rsidR="00EE0797" w:rsidRDefault="00C650CA" w:rsidP="00EE0797">
      <w:pPr>
        <w:pStyle w:val="Heading1"/>
        <w:spacing w:before="240"/>
      </w:pPr>
      <w:r>
        <w:t>Snapshot of</w:t>
      </w:r>
      <w:r w:rsidR="00A1073E">
        <w:t xml:space="preserve"> </w:t>
      </w:r>
      <w:r>
        <w:t xml:space="preserve">global fertiliser </w:t>
      </w:r>
      <w:r w:rsidR="00105DBB">
        <w:t>trade</w:t>
      </w:r>
      <w:r>
        <w:t xml:space="preserve"> </w:t>
      </w:r>
      <w:r w:rsidR="00EE0797">
        <w:t xml:space="preserve">- </w:t>
      </w:r>
      <w:r>
        <w:t>September</w:t>
      </w:r>
      <w:r w:rsidR="00EE0797" w:rsidRPr="00435C5F">
        <w:t xml:space="preserve"> 2022</w:t>
      </w:r>
    </w:p>
    <w:p w14:paraId="32E79799" w14:textId="1D2851F7" w:rsidR="00EE0797" w:rsidRPr="00EE0797" w:rsidRDefault="00A223BF" w:rsidP="00EE0797">
      <w:pPr>
        <w:rPr>
          <w:bCs/>
          <w:sz w:val="24"/>
          <w:szCs w:val="24"/>
        </w:rPr>
      </w:pPr>
      <w:r w:rsidRPr="00A223BF">
        <w:rPr>
          <w:sz w:val="24"/>
          <w:szCs w:val="24"/>
        </w:rPr>
        <w:t>High natural gas prices, export restrictions</w:t>
      </w:r>
      <w:r w:rsidR="00A1073E">
        <w:rPr>
          <w:sz w:val="24"/>
          <w:szCs w:val="24"/>
        </w:rPr>
        <w:t>,</w:t>
      </w:r>
      <w:r w:rsidRPr="00A223BF">
        <w:rPr>
          <w:sz w:val="24"/>
          <w:szCs w:val="24"/>
        </w:rPr>
        <w:t xml:space="preserve"> and Russia’s invasion of Ukraine have placed pressure on the supply and price of fertilisers</w:t>
      </w:r>
      <w:r w:rsidR="00EE0797" w:rsidRPr="00EE07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There is no indication that prices are likely to </w:t>
      </w:r>
      <w:r w:rsidR="00BE2B08">
        <w:rPr>
          <w:sz w:val="24"/>
          <w:szCs w:val="24"/>
        </w:rPr>
        <w:t xml:space="preserve">experience substantial </w:t>
      </w:r>
      <w:r>
        <w:rPr>
          <w:sz w:val="24"/>
          <w:szCs w:val="24"/>
        </w:rPr>
        <w:t>fall</w:t>
      </w:r>
      <w:r w:rsidR="00BE2B08">
        <w:rPr>
          <w:sz w:val="24"/>
          <w:szCs w:val="24"/>
        </w:rPr>
        <w:t>s</w:t>
      </w:r>
      <w:r>
        <w:rPr>
          <w:sz w:val="24"/>
          <w:szCs w:val="24"/>
        </w:rPr>
        <w:t xml:space="preserve"> in the </w:t>
      </w:r>
      <w:r w:rsidR="00BE2B08">
        <w:rPr>
          <w:sz w:val="24"/>
          <w:szCs w:val="24"/>
        </w:rPr>
        <w:t>near</w:t>
      </w:r>
      <w:r>
        <w:rPr>
          <w:sz w:val="24"/>
          <w:szCs w:val="24"/>
        </w:rPr>
        <w:t>-term.</w:t>
      </w:r>
    </w:p>
    <w:p w14:paraId="4077FEA7" w14:textId="22F916B8" w:rsidR="00C650CA" w:rsidRPr="00A223BF" w:rsidRDefault="001370E0" w:rsidP="00A223BF">
      <w:pPr>
        <w:pStyle w:val="Heading2"/>
        <w:numPr>
          <w:ilvl w:val="0"/>
          <w:numId w:val="0"/>
        </w:numPr>
        <w:ind w:left="720" w:hanging="720"/>
      </w:pPr>
      <w:r w:rsidRPr="001370E0">
        <w:t>Global fertiliser prices are rising</w:t>
      </w:r>
    </w:p>
    <w:p w14:paraId="2DF221F3" w14:textId="6E8CBE50" w:rsidR="00A1073E" w:rsidRDefault="00A1073E" w:rsidP="001370E0">
      <w:pPr>
        <w:pStyle w:val="ListParagraph"/>
        <w:numPr>
          <w:ilvl w:val="0"/>
          <w:numId w:val="5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Average global fertiliser prices have almost tripled since January 2020.</w:t>
      </w:r>
    </w:p>
    <w:p w14:paraId="001F6E1C" w14:textId="7ECD8848" w:rsidR="00A1073E" w:rsidRDefault="00A1073E" w:rsidP="001370E0">
      <w:pPr>
        <w:pStyle w:val="ListParagraph"/>
        <w:numPr>
          <w:ilvl w:val="0"/>
          <w:numId w:val="5"/>
        </w:numPr>
        <w:ind w:left="714" w:hanging="357"/>
        <w:contextualSpacing w:val="0"/>
        <w:rPr>
          <w:sz w:val="24"/>
          <w:szCs w:val="24"/>
        </w:rPr>
      </w:pPr>
      <w:r w:rsidRPr="00C650CA">
        <w:rPr>
          <w:sz w:val="24"/>
          <w:szCs w:val="24"/>
        </w:rPr>
        <w:t xml:space="preserve">Most commercial </w:t>
      </w:r>
      <w:r>
        <w:rPr>
          <w:sz w:val="24"/>
          <w:szCs w:val="24"/>
        </w:rPr>
        <w:t>cropping and horticulture</w:t>
      </w:r>
      <w:r w:rsidRPr="00C650CA">
        <w:rPr>
          <w:sz w:val="24"/>
          <w:szCs w:val="24"/>
        </w:rPr>
        <w:t xml:space="preserve"> operations rely on a combination of nitrogen (N), phosphorous (P) and potassium (K) fertilisers.</w:t>
      </w:r>
    </w:p>
    <w:p w14:paraId="5797501E" w14:textId="431A6081" w:rsidR="00C650CA" w:rsidRDefault="00C650CA" w:rsidP="001370E0">
      <w:pPr>
        <w:pStyle w:val="ListParagraph"/>
        <w:numPr>
          <w:ilvl w:val="0"/>
          <w:numId w:val="5"/>
        </w:numPr>
        <w:ind w:left="714" w:hanging="357"/>
        <w:contextualSpacing w:val="0"/>
        <w:rPr>
          <w:sz w:val="24"/>
          <w:szCs w:val="24"/>
        </w:rPr>
      </w:pPr>
      <w:r w:rsidRPr="00C650CA">
        <w:rPr>
          <w:sz w:val="24"/>
          <w:szCs w:val="24"/>
        </w:rPr>
        <w:t xml:space="preserve">Nitrogenous fertilisers, such as ammonia and urea, are produced </w:t>
      </w:r>
      <w:r w:rsidR="00483188">
        <w:rPr>
          <w:sz w:val="24"/>
          <w:szCs w:val="24"/>
        </w:rPr>
        <w:t>using</w:t>
      </w:r>
      <w:r w:rsidRPr="00C650CA">
        <w:rPr>
          <w:sz w:val="24"/>
          <w:szCs w:val="24"/>
        </w:rPr>
        <w:t xml:space="preserve"> natural gas. </w:t>
      </w:r>
      <w:r w:rsidR="001370E0" w:rsidRPr="001370E0">
        <w:rPr>
          <w:sz w:val="24"/>
          <w:szCs w:val="24"/>
        </w:rPr>
        <w:t>Rising gas prices are increasing costs for fertiliser producers, particularly in Europe, and have led to widespread production halts</w:t>
      </w:r>
      <w:r w:rsidR="00D12233">
        <w:rPr>
          <w:sz w:val="24"/>
          <w:szCs w:val="24"/>
        </w:rPr>
        <w:t>.</w:t>
      </w:r>
      <w:r w:rsidR="00D53703">
        <w:rPr>
          <w:sz w:val="24"/>
          <w:szCs w:val="24"/>
        </w:rPr>
        <w:t xml:space="preserve"> </w:t>
      </w:r>
    </w:p>
    <w:p w14:paraId="5B248885" w14:textId="03321E41" w:rsidR="00483188" w:rsidRPr="00483188" w:rsidRDefault="00483188" w:rsidP="001370E0">
      <w:pPr>
        <w:pStyle w:val="ListParagraph"/>
        <w:numPr>
          <w:ilvl w:val="0"/>
          <w:numId w:val="5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International sanctions have limited exports from </w:t>
      </w:r>
      <w:r w:rsidRPr="00C650CA">
        <w:rPr>
          <w:sz w:val="24"/>
          <w:szCs w:val="24"/>
        </w:rPr>
        <w:t xml:space="preserve">Russia and Belarus. </w:t>
      </w:r>
    </w:p>
    <w:p w14:paraId="4E5F7A5A" w14:textId="61850C4A" w:rsidR="00C650CA" w:rsidRDefault="00C650CA" w:rsidP="001370E0">
      <w:pPr>
        <w:pStyle w:val="ListParagraph"/>
        <w:numPr>
          <w:ilvl w:val="0"/>
          <w:numId w:val="5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In October 2021, China introduced additional inspection requirements for fertiliser exports. Exports have subsequently fallen to multi-year lows. </w:t>
      </w:r>
    </w:p>
    <w:p w14:paraId="1F45208E" w14:textId="22EF8B8E" w:rsidR="00A1073E" w:rsidRDefault="00A1073E" w:rsidP="00A1073E">
      <w:pPr>
        <w:pStyle w:val="Caption"/>
      </w:pPr>
      <w:r>
        <w:t xml:space="preserve">Figure </w:t>
      </w:r>
      <w:fldSimple w:instr=" SEQ Figure \* ARABIC ">
        <w:r w:rsidR="00A35F29">
          <w:rPr>
            <w:noProof/>
          </w:rPr>
          <w:t>1</w:t>
        </w:r>
      </w:fldSimple>
      <w:r>
        <w:t>: Price indices January 2020 - September 2022</w:t>
      </w:r>
    </w:p>
    <w:p w14:paraId="48355929" w14:textId="6DC264A2" w:rsidR="00A1073E" w:rsidRDefault="00A1073E" w:rsidP="00A1073E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9E3558" wp14:editId="16610EC1">
            <wp:extent cx="4938395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FBFF5" w14:textId="36BEEA28" w:rsidR="00A1073E" w:rsidRDefault="00A1073E" w:rsidP="00A1073E">
      <w:pPr>
        <w:pStyle w:val="Caption"/>
      </w:pPr>
      <w:r>
        <w:lastRenderedPageBreak/>
        <w:t xml:space="preserve">Figure </w:t>
      </w:r>
      <w:fldSimple w:instr=" SEQ Figure \* ARABIC ">
        <w:r w:rsidR="00A35F29">
          <w:rPr>
            <w:noProof/>
          </w:rPr>
          <w:t>2</w:t>
        </w:r>
      </w:fldSimple>
      <w:r>
        <w:t>: World fertiliser production and exports</w:t>
      </w:r>
    </w:p>
    <w:p w14:paraId="559B895F" w14:textId="11FF52BA" w:rsidR="00A1073E" w:rsidRPr="001370E0" w:rsidRDefault="00E83BA6" w:rsidP="001370E0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03648B" wp14:editId="7347511A">
            <wp:extent cx="6297930" cy="2651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CD035" w14:textId="67858365" w:rsidR="00C650CA" w:rsidRDefault="00C650CA" w:rsidP="001370E0">
      <w:pPr>
        <w:pStyle w:val="Heading2"/>
        <w:numPr>
          <w:ilvl w:val="0"/>
          <w:numId w:val="0"/>
        </w:numPr>
      </w:pPr>
      <w:r>
        <w:t>World fertiliser production and export markets are concentrated</w:t>
      </w:r>
    </w:p>
    <w:p w14:paraId="1E07157C" w14:textId="77777777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>China, India, the US, Russia, and the EU, account for 66% of world nitrogen and phosphate fertiliser production.</w:t>
      </w:r>
    </w:p>
    <w:p w14:paraId="10CFECF9" w14:textId="77777777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 xml:space="preserve">Canada, Russia, </w:t>
      </w:r>
      <w:proofErr w:type="gramStart"/>
      <w:r w:rsidRPr="001370E0">
        <w:rPr>
          <w:sz w:val="24"/>
          <w:szCs w:val="24"/>
        </w:rPr>
        <w:t>Belarus</w:t>
      </w:r>
      <w:proofErr w:type="gramEnd"/>
      <w:r w:rsidRPr="001370E0">
        <w:rPr>
          <w:sz w:val="24"/>
          <w:szCs w:val="24"/>
        </w:rPr>
        <w:t xml:space="preserve"> and China account for 80% of world potash (potassium) production.</w:t>
      </w:r>
    </w:p>
    <w:p w14:paraId="13C2C568" w14:textId="77777777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 xml:space="preserve">The EU, Russia, </w:t>
      </w:r>
      <w:proofErr w:type="gramStart"/>
      <w:r w:rsidRPr="001370E0">
        <w:rPr>
          <w:sz w:val="24"/>
          <w:szCs w:val="24"/>
        </w:rPr>
        <w:t>Belarus</w:t>
      </w:r>
      <w:proofErr w:type="gramEnd"/>
      <w:r w:rsidRPr="001370E0">
        <w:rPr>
          <w:sz w:val="24"/>
          <w:szCs w:val="24"/>
        </w:rPr>
        <w:t xml:space="preserve"> and China account for 46% of the value of world fertiliser exports.</w:t>
      </w:r>
    </w:p>
    <w:p w14:paraId="51AF6037" w14:textId="77777777" w:rsidR="001370E0" w:rsidRDefault="001370E0" w:rsidP="001370E0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>There are important differences across nutrient types. For example, India is a major producer of nitrogen and phosphate, but relies on Belarus and Canada for potash supplies.</w:t>
      </w:r>
    </w:p>
    <w:p w14:paraId="6F9C4F57" w14:textId="5B60648C" w:rsidR="00C650CA" w:rsidRDefault="00DE39F6" w:rsidP="00C650CA">
      <w:r>
        <w:rPr>
          <w:noProof/>
        </w:rPr>
        <w:drawing>
          <wp:inline distT="0" distB="0" distL="0" distR="0" wp14:anchorId="7CE9CC69" wp14:editId="575B9A47">
            <wp:extent cx="6204585" cy="797171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06" cy="803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42321" w14:textId="44AC4A0E" w:rsidR="00A35F29" w:rsidRDefault="00A35F29" w:rsidP="00A35F29">
      <w:pPr>
        <w:pStyle w:val="Caption"/>
      </w:pPr>
      <w:r>
        <w:lastRenderedPageBreak/>
        <w:t xml:space="preserve">Figure </w:t>
      </w:r>
      <w:fldSimple w:instr=" SEQ Figure \* ARABIC ">
        <w:r>
          <w:rPr>
            <w:noProof/>
          </w:rPr>
          <w:t>3</w:t>
        </w:r>
      </w:fldSimple>
      <w:r>
        <w:t>: Australian fertiliser imports by financial year</w:t>
      </w:r>
    </w:p>
    <w:p w14:paraId="58B60323" w14:textId="3C6DF9AC" w:rsidR="00A35F29" w:rsidRDefault="008B066B" w:rsidP="00C650CA">
      <w:r>
        <w:rPr>
          <w:noProof/>
        </w:rPr>
        <w:drawing>
          <wp:inline distT="0" distB="0" distL="0" distR="0" wp14:anchorId="0E0A998F" wp14:editId="0A9976C4">
            <wp:extent cx="4877435" cy="260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680E3" w14:textId="2A2873E2" w:rsidR="00A223BF" w:rsidRDefault="00A35F29" w:rsidP="00A223BF">
      <w:pPr>
        <w:pStyle w:val="Heading2"/>
        <w:numPr>
          <w:ilvl w:val="0"/>
          <w:numId w:val="0"/>
        </w:numPr>
      </w:pPr>
      <w:bookmarkStart w:id="0" w:name="_Hlk113875007"/>
      <w:r>
        <w:t>Impact of high global price</w:t>
      </w:r>
      <w:r w:rsidR="00624B96">
        <w:t>s</w:t>
      </w:r>
      <w:r>
        <w:t xml:space="preserve"> on Australian fertiliser imports</w:t>
      </w:r>
    </w:p>
    <w:p w14:paraId="45057FF8" w14:textId="77777777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 xml:space="preserve">Figure 3 shows the volume of Australian fertiliser imports in 2021-22 was slightly down compared to 2020-21, but still at high levels. </w:t>
      </w:r>
    </w:p>
    <w:p w14:paraId="7F0B1DDD" w14:textId="77777777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 xml:space="preserve">The value of imports increased from $2.5b in 2020-21 to $4.9b in 2021-22. This is due to a 110% increase in average import unit value. </w:t>
      </w:r>
    </w:p>
    <w:p w14:paraId="162AF3EC" w14:textId="0C91EBCB" w:rsidR="001370E0" w:rsidRPr="00593786" w:rsidRDefault="00593786" w:rsidP="00593786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bookmarkStart w:id="1" w:name="_Hlk114481641"/>
      <w:r w:rsidRPr="00593786">
        <w:rPr>
          <w:sz w:val="24"/>
          <w:szCs w:val="24"/>
        </w:rPr>
        <w:t xml:space="preserve">Ongoing high import volumes in 2021-22 are a </w:t>
      </w:r>
      <w:hyperlink r:id="rId12" w:history="1">
        <w:r w:rsidRPr="00593786">
          <w:rPr>
            <w:rStyle w:val="Hyperlink"/>
            <w:sz w:val="24"/>
            <w:szCs w:val="24"/>
          </w:rPr>
          <w:t>good sign for Australian fertiliser supplies</w:t>
        </w:r>
      </w:hyperlink>
      <w:r w:rsidRPr="00593786">
        <w:rPr>
          <w:sz w:val="24"/>
          <w:szCs w:val="24"/>
        </w:rPr>
        <w:t xml:space="preserve"> and indicate that Australian farmers are applying fertiliser at the same rate, despite high fertiliser prices</w:t>
      </w:r>
      <w:bookmarkEnd w:id="1"/>
      <w:r w:rsidRPr="00593786">
        <w:rPr>
          <w:sz w:val="24"/>
          <w:szCs w:val="24"/>
        </w:rPr>
        <w:t>.</w:t>
      </w:r>
    </w:p>
    <w:p w14:paraId="268CE67F" w14:textId="133D292C" w:rsidR="00624B96" w:rsidRPr="00624B96" w:rsidRDefault="001370E0" w:rsidP="001370E0">
      <w:pPr>
        <w:pStyle w:val="Heading2"/>
        <w:numPr>
          <w:ilvl w:val="0"/>
          <w:numId w:val="0"/>
        </w:numPr>
      </w:pPr>
      <w:r w:rsidRPr="001370E0">
        <w:t xml:space="preserve">How do price </w:t>
      </w:r>
      <w:proofErr w:type="gramStart"/>
      <w:r w:rsidRPr="001370E0">
        <w:t>rises</w:t>
      </w:r>
      <w:proofErr w:type="gramEnd"/>
      <w:r w:rsidRPr="001370E0">
        <w:t xml:space="preserve"> in Australia compare to the rest of the world</w:t>
      </w:r>
      <w:r w:rsidR="00624B96" w:rsidRPr="001370E0">
        <w:t>?</w:t>
      </w:r>
    </w:p>
    <w:p w14:paraId="4A5124B7" w14:textId="7926DCC6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 xml:space="preserve">Figure 1 on slide 1 shows the relative price increases of fertiliser in North America, Australian fertiliser imports, and </w:t>
      </w:r>
      <w:r w:rsidR="00593786">
        <w:rPr>
          <w:sz w:val="24"/>
          <w:szCs w:val="24"/>
        </w:rPr>
        <w:t xml:space="preserve">US </w:t>
      </w:r>
      <w:r w:rsidRPr="001370E0">
        <w:rPr>
          <w:sz w:val="24"/>
          <w:szCs w:val="24"/>
        </w:rPr>
        <w:t>natural gas.</w:t>
      </w:r>
    </w:p>
    <w:p w14:paraId="25FA5A9F" w14:textId="77777777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>Australian import prices were slower to rise due to Australia’s limited imports from Russia and Belarus, seasonality, and the time lag between production overseas and imports entering Australia.</w:t>
      </w:r>
    </w:p>
    <w:p w14:paraId="70724322" w14:textId="0F444673" w:rsidR="00A223BF" w:rsidRPr="001370E0" w:rsidRDefault="001370E0" w:rsidP="001370E0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>Australian prices are now beginning to converge with global prices.</w:t>
      </w:r>
    </w:p>
    <w:bookmarkEnd w:id="0"/>
    <w:p w14:paraId="0D373A42" w14:textId="40D79CB0" w:rsidR="00A223BF" w:rsidRDefault="00A223BF" w:rsidP="00A223BF">
      <w:pPr>
        <w:pStyle w:val="Heading2"/>
        <w:numPr>
          <w:ilvl w:val="0"/>
          <w:numId w:val="0"/>
        </w:numPr>
      </w:pPr>
      <w:r>
        <w:t>Outlook for fertiliser prices</w:t>
      </w:r>
    </w:p>
    <w:p w14:paraId="217AFEDA" w14:textId="5CB07480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 xml:space="preserve">There is no indication that fertiliser </w:t>
      </w:r>
      <w:r w:rsidR="003F28A0">
        <w:rPr>
          <w:sz w:val="24"/>
          <w:szCs w:val="24"/>
        </w:rPr>
        <w:t xml:space="preserve">prices </w:t>
      </w:r>
      <w:r w:rsidRPr="001370E0">
        <w:rPr>
          <w:sz w:val="24"/>
          <w:szCs w:val="24"/>
        </w:rPr>
        <w:t xml:space="preserve">will </w:t>
      </w:r>
      <w:r w:rsidR="00BE2B08">
        <w:rPr>
          <w:sz w:val="24"/>
          <w:szCs w:val="24"/>
        </w:rPr>
        <w:t>experience substantial falls</w:t>
      </w:r>
      <w:r w:rsidR="00BE2B08" w:rsidRPr="001370E0">
        <w:rPr>
          <w:sz w:val="24"/>
          <w:szCs w:val="24"/>
        </w:rPr>
        <w:t xml:space="preserve"> </w:t>
      </w:r>
      <w:r w:rsidRPr="001370E0">
        <w:rPr>
          <w:sz w:val="24"/>
          <w:szCs w:val="24"/>
        </w:rPr>
        <w:t xml:space="preserve">in the </w:t>
      </w:r>
      <w:r w:rsidR="00BE2B08">
        <w:rPr>
          <w:sz w:val="24"/>
          <w:szCs w:val="24"/>
        </w:rPr>
        <w:t>near</w:t>
      </w:r>
      <w:r w:rsidRPr="001370E0">
        <w:rPr>
          <w:sz w:val="24"/>
          <w:szCs w:val="24"/>
        </w:rPr>
        <w:t>-term.</w:t>
      </w:r>
    </w:p>
    <w:p w14:paraId="068FB3A9" w14:textId="62F0A039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>Natural gas prices are likely to rise further during the European winter, particularly following the closure of the Nord Stream 1 pipeline</w:t>
      </w:r>
      <w:r w:rsidR="00593786">
        <w:rPr>
          <w:sz w:val="24"/>
          <w:szCs w:val="24"/>
        </w:rPr>
        <w:t>.</w:t>
      </w:r>
    </w:p>
    <w:p w14:paraId="51EC124A" w14:textId="77777777" w:rsidR="001370E0" w:rsidRPr="001370E0" w:rsidRDefault="001370E0" w:rsidP="001370E0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lastRenderedPageBreak/>
        <w:t>Neither export restrictions by China nor sanctions on Russia and Belarus are scheduled for removal.</w:t>
      </w:r>
    </w:p>
    <w:p w14:paraId="30CDE11B" w14:textId="0F8D32AA" w:rsidR="001370E0" w:rsidRPr="001370E0" w:rsidRDefault="001370E0" w:rsidP="001370E0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370E0">
        <w:rPr>
          <w:sz w:val="24"/>
          <w:szCs w:val="24"/>
        </w:rPr>
        <w:t>High prices are encouraging new investment in fertiliser and natural gas production, including in Australia. However, these projects will have a limited impact in the short-term</w:t>
      </w:r>
      <w:r>
        <w:rPr>
          <w:sz w:val="24"/>
          <w:szCs w:val="24"/>
        </w:rPr>
        <w:t>.</w:t>
      </w:r>
    </w:p>
    <w:sectPr w:rsidR="001370E0" w:rsidRPr="001370E0" w:rsidSect="00EE079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59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7880" w14:textId="77777777" w:rsidR="00EE0797" w:rsidRDefault="00EE0797" w:rsidP="00EE0797">
      <w:pPr>
        <w:spacing w:after="0" w:line="240" w:lineRule="auto"/>
      </w:pPr>
      <w:r>
        <w:separator/>
      </w:r>
    </w:p>
  </w:endnote>
  <w:endnote w:type="continuationSeparator" w:id="0">
    <w:p w14:paraId="462842AA" w14:textId="77777777" w:rsidR="00EE0797" w:rsidRDefault="00EE0797" w:rsidP="00EE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E3D7" w14:textId="77777777" w:rsidR="002A193C" w:rsidRDefault="00EE0797">
    <w:pPr>
      <w:pStyle w:val="Footer"/>
    </w:pPr>
    <w:r>
      <w:t>Department of Agriculture, Fisheries and Forestry</w:t>
    </w:r>
  </w:p>
  <w:p w14:paraId="6DF05491" w14:textId="77777777" w:rsidR="002A193C" w:rsidRDefault="00EE07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D53B" w14:textId="35EBE029" w:rsidR="002A193C" w:rsidRDefault="00EE0797">
    <w:pPr>
      <w:pStyle w:val="Footer"/>
    </w:pPr>
    <w:r>
      <w:t>Department of Agriculture, Fisheries and Forestry</w:t>
    </w:r>
  </w:p>
  <w:p w14:paraId="242C15A5" w14:textId="77777777" w:rsidR="002A193C" w:rsidRDefault="00EE07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75A" w14:textId="77777777" w:rsidR="00EE0797" w:rsidRDefault="00EE0797" w:rsidP="00EE0797">
      <w:pPr>
        <w:spacing w:after="0" w:line="240" w:lineRule="auto"/>
      </w:pPr>
      <w:r>
        <w:separator/>
      </w:r>
    </w:p>
  </w:footnote>
  <w:footnote w:type="continuationSeparator" w:id="0">
    <w:p w14:paraId="4B43FA83" w14:textId="77777777" w:rsidR="00EE0797" w:rsidRDefault="00EE0797" w:rsidP="00EE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337F" w14:textId="70031A88" w:rsidR="00AB53EE" w:rsidRDefault="00A223BF">
    <w:pPr>
      <w:pStyle w:val="Header"/>
    </w:pPr>
    <w:r>
      <w:t>Snapshot of</w:t>
    </w:r>
    <w:r w:rsidR="001370E0">
      <w:t xml:space="preserve"> global</w:t>
    </w:r>
    <w:r>
      <w:t xml:space="preserve"> fertiliser </w:t>
    </w:r>
    <w:r w:rsidR="00105DBB">
      <w:t>trade</w:t>
    </w:r>
    <w:r>
      <w:t xml:space="preserve"> – September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9B63" w14:textId="2CF64CE1" w:rsidR="002A193C" w:rsidRDefault="00EE0797" w:rsidP="00EE0797">
    <w:pPr>
      <w:pStyle w:val="Header"/>
      <w:tabs>
        <w:tab w:val="clear" w:pos="4820"/>
        <w:tab w:val="left" w:pos="3048"/>
      </w:tabs>
      <w:jc w:val="left"/>
    </w:pPr>
    <w:r>
      <w:rPr>
        <w:noProof/>
      </w:rPr>
      <w:drawing>
        <wp:inline distT="0" distB="0" distL="0" distR="0" wp14:anchorId="2C587C98" wp14:editId="45396328">
          <wp:extent cx="2231045" cy="856013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507" cy="85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44"/>
    <w:multiLevelType w:val="hybridMultilevel"/>
    <w:tmpl w:val="3806B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12EB"/>
    <w:multiLevelType w:val="hybridMultilevel"/>
    <w:tmpl w:val="E4FE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FB620A"/>
    <w:multiLevelType w:val="hybridMultilevel"/>
    <w:tmpl w:val="5A3069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503122F"/>
    <w:multiLevelType w:val="hybridMultilevel"/>
    <w:tmpl w:val="A30CAB14"/>
    <w:lvl w:ilvl="0" w:tplc="621A0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15FE"/>
    <w:multiLevelType w:val="multilevel"/>
    <w:tmpl w:val="F36C17E8"/>
    <w:numStyleLink w:val="Headinglist"/>
  </w:abstractNum>
  <w:abstractNum w:abstractNumId="6" w15:restartNumberingAfterBreak="0">
    <w:nsid w:val="5FB61B3F"/>
    <w:multiLevelType w:val="hybridMultilevel"/>
    <w:tmpl w:val="03F4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A51F5"/>
    <w:multiLevelType w:val="hybridMultilevel"/>
    <w:tmpl w:val="D93C5444"/>
    <w:lvl w:ilvl="0" w:tplc="0A1C25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E9AF53A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E2A30D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065B3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33C49A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3BCB21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6E4AC2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F62B53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42772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2472737">
    <w:abstractNumId w:val="2"/>
  </w:num>
  <w:num w:numId="2" w16cid:durableId="1811707377">
    <w:abstractNumId w:val="5"/>
  </w:num>
  <w:num w:numId="3" w16cid:durableId="2044093347">
    <w:abstractNumId w:val="1"/>
  </w:num>
  <w:num w:numId="4" w16cid:durableId="1039014724">
    <w:abstractNumId w:val="3"/>
  </w:num>
  <w:num w:numId="5" w16cid:durableId="727149189">
    <w:abstractNumId w:val="0"/>
  </w:num>
  <w:num w:numId="6" w16cid:durableId="351732287">
    <w:abstractNumId w:val="6"/>
  </w:num>
  <w:num w:numId="7" w16cid:durableId="42365914">
    <w:abstractNumId w:val="5"/>
  </w:num>
  <w:num w:numId="8" w16cid:durableId="335503195">
    <w:abstractNumId w:val="5"/>
  </w:num>
  <w:num w:numId="9" w16cid:durableId="1930649091">
    <w:abstractNumId w:val="4"/>
  </w:num>
  <w:num w:numId="10" w16cid:durableId="1058430442">
    <w:abstractNumId w:val="5"/>
  </w:num>
  <w:num w:numId="11" w16cid:durableId="410658917">
    <w:abstractNumId w:val="5"/>
  </w:num>
  <w:num w:numId="12" w16cid:durableId="1175463192">
    <w:abstractNumId w:val="5"/>
  </w:num>
  <w:num w:numId="13" w16cid:durableId="61222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97"/>
    <w:rsid w:val="00105DBB"/>
    <w:rsid w:val="001370E0"/>
    <w:rsid w:val="001F0B31"/>
    <w:rsid w:val="00312E64"/>
    <w:rsid w:val="00315026"/>
    <w:rsid w:val="00392A5E"/>
    <w:rsid w:val="003F28A0"/>
    <w:rsid w:val="00483188"/>
    <w:rsid w:val="0051565A"/>
    <w:rsid w:val="00593786"/>
    <w:rsid w:val="00624B96"/>
    <w:rsid w:val="006D6C8F"/>
    <w:rsid w:val="007710DF"/>
    <w:rsid w:val="0086398E"/>
    <w:rsid w:val="008B066B"/>
    <w:rsid w:val="00977B9A"/>
    <w:rsid w:val="00A1073E"/>
    <w:rsid w:val="00A223BF"/>
    <w:rsid w:val="00A35F29"/>
    <w:rsid w:val="00AB30AB"/>
    <w:rsid w:val="00AD3F01"/>
    <w:rsid w:val="00BE2B08"/>
    <w:rsid w:val="00C15267"/>
    <w:rsid w:val="00C650CA"/>
    <w:rsid w:val="00D12233"/>
    <w:rsid w:val="00D53703"/>
    <w:rsid w:val="00DE39F6"/>
    <w:rsid w:val="00E332F4"/>
    <w:rsid w:val="00E3583E"/>
    <w:rsid w:val="00E73CB4"/>
    <w:rsid w:val="00E83BA6"/>
    <w:rsid w:val="00EB3B9B"/>
    <w:rsid w:val="00ED0574"/>
    <w:rsid w:val="00E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B74C3"/>
  <w15:chartTrackingRefBased/>
  <w15:docId w15:val="{0E0272E2-8694-4BE6-B987-AAF54F9A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97"/>
    <w:pPr>
      <w:spacing w:after="200" w:line="276" w:lineRule="auto"/>
    </w:pPr>
    <w:rPr>
      <w:rFonts w:ascii="Cambria" w:hAnsi="Cambria"/>
    </w:rPr>
  </w:style>
  <w:style w:type="paragraph" w:styleId="Heading1">
    <w:name w:val="heading 1"/>
    <w:next w:val="Normal"/>
    <w:link w:val="Heading1Char"/>
    <w:uiPriority w:val="1"/>
    <w:qFormat/>
    <w:rsid w:val="00EE0797"/>
    <w:pPr>
      <w:widowControl w:val="0"/>
      <w:spacing w:before="360" w:after="0" w:line="240" w:lineRule="auto"/>
      <w:contextualSpacing/>
      <w:outlineLvl w:val="0"/>
    </w:pPr>
    <w:rPr>
      <w:rFonts w:ascii="Calibri" w:hAnsi="Calibri"/>
      <w:b/>
      <w:bCs/>
      <w:color w:val="000000"/>
      <w:spacing w:val="5"/>
      <w:kern w:val="28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rsid w:val="00EE0797"/>
    <w:pPr>
      <w:keepNext/>
      <w:numPr>
        <w:numId w:val="2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E0797"/>
    <w:pPr>
      <w:keepNext/>
      <w:keepLines/>
      <w:numPr>
        <w:ilvl w:val="1"/>
        <w:numId w:val="2"/>
      </w:numPr>
      <w:spacing w:after="0" w:line="240" w:lineRule="auto"/>
      <w:outlineLvl w:val="2"/>
    </w:pPr>
    <w:rPr>
      <w:rFonts w:ascii="Calibri" w:eastAsia="Times New Roman" w:hAnsi="Calibri" w:cs="Times New Roman"/>
      <w:b/>
      <w:bCs/>
      <w:sz w:val="28"/>
      <w:szCs w:val="24"/>
    </w:rPr>
  </w:style>
  <w:style w:type="paragraph" w:styleId="Heading4">
    <w:name w:val="heading 4"/>
    <w:next w:val="Normal"/>
    <w:link w:val="Heading4Char"/>
    <w:uiPriority w:val="5"/>
    <w:qFormat/>
    <w:rsid w:val="00EE0797"/>
    <w:pPr>
      <w:keepNext/>
      <w:numPr>
        <w:ilvl w:val="2"/>
        <w:numId w:val="2"/>
      </w:numPr>
      <w:spacing w:after="0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E0797"/>
    <w:rPr>
      <w:rFonts w:ascii="Calibri" w:hAnsi="Calibri"/>
      <w:b/>
      <w:bCs/>
      <w:color w:val="000000"/>
      <w:spacing w:val="5"/>
      <w:kern w:val="28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EE0797"/>
    <w:rPr>
      <w:rFonts w:ascii="Calibri" w:eastAsiaTheme="minorEastAsia" w:hAnsi="Calibr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E0797"/>
    <w:rPr>
      <w:rFonts w:ascii="Calibri" w:eastAsia="Times New Roman" w:hAnsi="Calibri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EE0797"/>
    <w:rPr>
      <w:rFonts w:ascii="Calibri" w:eastAsia="Times New Roman" w:hAnsi="Calibr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26"/>
    <w:rsid w:val="00EE0797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EE0797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27"/>
    <w:rsid w:val="00EE079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EE0797"/>
    <w:rPr>
      <w:rFonts w:ascii="Calibri" w:hAnsi="Calibri"/>
      <w:sz w:val="20"/>
    </w:rPr>
  </w:style>
  <w:style w:type="paragraph" w:styleId="Caption">
    <w:name w:val="caption"/>
    <w:basedOn w:val="Normal"/>
    <w:next w:val="Normal"/>
    <w:uiPriority w:val="12"/>
    <w:qFormat/>
    <w:rsid w:val="00EE0797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character" w:styleId="Hyperlink">
    <w:name w:val="Hyperlink"/>
    <w:basedOn w:val="DefaultParagraphFont"/>
    <w:uiPriority w:val="99"/>
    <w:qFormat/>
    <w:rsid w:val="00EE0797"/>
    <w:rPr>
      <w:color w:val="165788"/>
      <w:u w:val="single"/>
    </w:rPr>
  </w:style>
  <w:style w:type="numbering" w:customStyle="1" w:styleId="Headinglist">
    <w:name w:val="Heading list"/>
    <w:uiPriority w:val="99"/>
    <w:rsid w:val="00EE079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E07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07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2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A5E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A5E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73E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12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ff.ent.sirsidynix.net.au/client/en_AU/search/asset/1033941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D59E-1808-4CF8-B3A9-E9878BF6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of global fertiliser trade - September 2022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of global fertiliser trade - September 2022</dc:title>
  <dc:subject/>
  <dc:creator>Department of Agriculture, Fisheries and Forestry</dc:creator>
  <cp:keywords/>
  <dc:description/>
  <cp:lastModifiedBy>Nov, Amanda</cp:lastModifiedBy>
  <cp:revision>21</cp:revision>
  <dcterms:created xsi:type="dcterms:W3CDTF">2022-09-12T01:45:00Z</dcterms:created>
  <dcterms:modified xsi:type="dcterms:W3CDTF">2022-09-30T08:19:00Z</dcterms:modified>
</cp:coreProperties>
</file>