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4B6C" w14:textId="089B22E1" w:rsidR="000E455C" w:rsidRDefault="00234732" w:rsidP="0013173D">
      <w:pPr>
        <w:pStyle w:val="Date"/>
        <w:spacing w:before="1440"/>
      </w:pPr>
      <w:r>
        <w:t>May</w:t>
      </w:r>
      <w:r w:rsidR="008C749A">
        <w:t xml:space="preserve"> </w:t>
      </w:r>
      <w:r w:rsidR="00B82095">
        <w:t>20</w:t>
      </w:r>
      <w:r w:rsidR="0044304D">
        <w:t>2</w:t>
      </w:r>
      <w:r w:rsidR="00A0018B">
        <w:t>3</w:t>
      </w:r>
    </w:p>
    <w:p w14:paraId="7555EC7E" w14:textId="1CD4B75F" w:rsidR="00B82095" w:rsidRPr="008C749A" w:rsidRDefault="008C749A" w:rsidP="007B4C63">
      <w:pPr>
        <w:pStyle w:val="Heading1"/>
      </w:pPr>
      <w:r>
        <w:t xml:space="preserve">Review of the biosecurity risks of imported prawns for human consumption </w:t>
      </w:r>
    </w:p>
    <w:p w14:paraId="66887A9D" w14:textId="55E8CACA" w:rsidR="008C749A" w:rsidRDefault="008C749A" w:rsidP="00E87842">
      <w:pPr>
        <w:tabs>
          <w:tab w:val="left" w:pos="6135"/>
        </w:tabs>
      </w:pPr>
      <w:r>
        <w:t xml:space="preserve">The final report for the </w:t>
      </w:r>
      <w:r>
        <w:rPr>
          <w:i/>
          <w:iCs/>
        </w:rPr>
        <w:t>Review of the biosecurity risks of imported prawns for human consumption</w:t>
      </w:r>
      <w:r>
        <w:t xml:space="preserve"> has been released. </w:t>
      </w:r>
    </w:p>
    <w:p w14:paraId="5EB896BA" w14:textId="12924A56" w:rsidR="008C749A" w:rsidRDefault="008C749A" w:rsidP="00E87842">
      <w:pPr>
        <w:tabs>
          <w:tab w:val="left" w:pos="6135"/>
        </w:tabs>
      </w:pPr>
      <w:r>
        <w:t xml:space="preserve">The report recommends continued importation of prawns and prawn products into Australia, provided they comply with strengthened biosecurity measures. </w:t>
      </w:r>
    </w:p>
    <w:p w14:paraId="113A823D" w14:textId="163E2DE6" w:rsidR="008C749A" w:rsidRPr="008C749A" w:rsidRDefault="008C749A" w:rsidP="00E87842">
      <w:pPr>
        <w:tabs>
          <w:tab w:val="left" w:pos="6135"/>
        </w:tabs>
      </w:pPr>
      <w:r>
        <w:t xml:space="preserve">The strengthened measures include requirements that: </w:t>
      </w:r>
    </w:p>
    <w:p w14:paraId="3BBF55A1" w14:textId="3C019C6A" w:rsidR="00754CA3" w:rsidRDefault="008C749A" w:rsidP="00A8157A">
      <w:pPr>
        <w:pStyle w:val="ListBullet"/>
      </w:pPr>
      <w:r>
        <w:t xml:space="preserve">All prawns and prawn products must be frozen. </w:t>
      </w:r>
    </w:p>
    <w:p w14:paraId="4C52DB01" w14:textId="1ADE30B6" w:rsidR="008C749A" w:rsidRDefault="008C749A" w:rsidP="00A8157A">
      <w:pPr>
        <w:pStyle w:val="ListBullet"/>
      </w:pPr>
      <w:r>
        <w:t>All prawns and prawn products must have attained a minimum core temperature of 65</w:t>
      </w:r>
      <w:r>
        <w:rPr>
          <w:rFonts w:ascii="Cambria" w:hAnsi="Cambria"/>
        </w:rPr>
        <w:t>°</w:t>
      </w:r>
      <w:r>
        <w:t xml:space="preserve">C to be considered a cooked prawn or prawn product. </w:t>
      </w:r>
    </w:p>
    <w:p w14:paraId="58FF859D" w14:textId="78B525A0" w:rsidR="008C749A" w:rsidRDefault="008C749A" w:rsidP="00A8157A">
      <w:pPr>
        <w:pStyle w:val="ListBullet"/>
      </w:pPr>
      <w:r>
        <w:t xml:space="preserve">All countries seeking market access to Australia for whole, uncooked prawns must be able to demonstrate, to Australia’s satisfaction, that the prawns are free from 10 diseases of biosecurity concern. </w:t>
      </w:r>
    </w:p>
    <w:p w14:paraId="49C4DD98" w14:textId="1033D05B" w:rsidR="008C749A" w:rsidRDefault="008C749A" w:rsidP="008C749A">
      <w:pPr>
        <w:pStyle w:val="ListBullet"/>
        <w:numPr>
          <w:ilvl w:val="0"/>
          <w:numId w:val="0"/>
        </w:numPr>
      </w:pPr>
      <w:r>
        <w:t xml:space="preserve">Pre-export and on arrival testing for white spot syndrome virus (WSSV) and yellow head virus genotype 1 (YHV1) in frozen, uncooked, de-headed, de-shelled and deveined prawns is still considered necessary to manage biosecurity risks. </w:t>
      </w:r>
    </w:p>
    <w:p w14:paraId="78F39B33" w14:textId="4CE0230D" w:rsidR="00943779" w:rsidRDefault="008C749A" w:rsidP="00A8157A">
      <w:pPr>
        <w:pStyle w:val="Heading2"/>
      </w:pPr>
      <w:r>
        <w:t xml:space="preserve">Assessing biosecurity risks </w:t>
      </w:r>
    </w:p>
    <w:p w14:paraId="067B8B57" w14:textId="54EF2FD3" w:rsidR="008C749A" w:rsidRDefault="008C749A" w:rsidP="008C749A">
      <w:r>
        <w:t xml:space="preserve">We carry out </w:t>
      </w:r>
      <w:hyperlink r:id="rId11" w:history="1">
        <w:r>
          <w:rPr>
            <w:rStyle w:val="Hyperlink"/>
          </w:rPr>
          <w:t>b</w:t>
        </w:r>
        <w:r w:rsidRPr="00087215">
          <w:rPr>
            <w:rStyle w:val="Hyperlink"/>
          </w:rPr>
          <w:t>iosecurity risk analyses</w:t>
        </w:r>
      </w:hyperlink>
      <w:r w:rsidRPr="002930E6">
        <w:t xml:space="preserve"> </w:t>
      </w:r>
      <w:r>
        <w:t>to evaluate</w:t>
      </w:r>
      <w:r w:rsidRPr="002930E6">
        <w:t xml:space="preserve"> the biosecurity risk</w:t>
      </w:r>
      <w:r>
        <w:t>s</w:t>
      </w:r>
      <w:r w:rsidRPr="002930E6">
        <w:t xml:space="preserve"> associated with import</w:t>
      </w:r>
      <w:r>
        <w:t>ing goods into Australia</w:t>
      </w:r>
      <w:r w:rsidRPr="002930E6">
        <w:t xml:space="preserve">. </w:t>
      </w:r>
    </w:p>
    <w:p w14:paraId="64CC1054" w14:textId="77777777" w:rsidR="008C749A" w:rsidRDefault="008C749A" w:rsidP="008C749A">
      <w:r>
        <w:t>When</w:t>
      </w:r>
      <w:r w:rsidRPr="002930E6">
        <w:t xml:space="preserve"> </w:t>
      </w:r>
      <w:r>
        <w:t xml:space="preserve">we assess </w:t>
      </w:r>
      <w:r w:rsidRPr="002930E6">
        <w:t xml:space="preserve">the </w:t>
      </w:r>
      <w:r>
        <w:t xml:space="preserve">biosecurity </w:t>
      </w:r>
      <w:r w:rsidRPr="002930E6">
        <w:t xml:space="preserve">risks </w:t>
      </w:r>
      <w:r>
        <w:t xml:space="preserve">are unacceptable, we apply import conditions to reduce that risk. </w:t>
      </w:r>
      <w:r w:rsidRPr="002930E6">
        <w:t xml:space="preserve">If </w:t>
      </w:r>
      <w:r>
        <w:t xml:space="preserve">import conditions don’t </w:t>
      </w:r>
      <w:r w:rsidRPr="002930E6">
        <w:t>reduce biosecurity risk to an acceptable level, the goods cannot be imported</w:t>
      </w:r>
      <w:r>
        <w:t>.</w:t>
      </w:r>
    </w:p>
    <w:p w14:paraId="4C4B307C" w14:textId="3DD54AA0" w:rsidR="008C749A" w:rsidRDefault="008C749A" w:rsidP="008C749A">
      <w:r>
        <w:t>Our final report’s recommended strengthened measures are stricter than</w:t>
      </w:r>
      <w:r w:rsidRPr="00107366">
        <w:t xml:space="preserve"> those recommended by the World Organisation for Animal Health (WOAH) for prawns for human consumption. </w:t>
      </w:r>
      <w:r>
        <w:t>The measures meet</w:t>
      </w:r>
      <w:r w:rsidRPr="00107366">
        <w:t xml:space="preserve"> our international rights and obligations </w:t>
      </w:r>
      <w:r>
        <w:t xml:space="preserve">under </w:t>
      </w:r>
      <w:r w:rsidRPr="002C52FC">
        <w:t>the World Trade Organization</w:t>
      </w:r>
      <w:r>
        <w:t xml:space="preserve"> (WTO)</w:t>
      </w:r>
      <w:r w:rsidRPr="002C52FC">
        <w:t xml:space="preserve"> </w:t>
      </w:r>
      <w:r w:rsidRPr="00107366">
        <w:t xml:space="preserve">and </w:t>
      </w:r>
      <w:r>
        <w:t xml:space="preserve">are </w:t>
      </w:r>
      <w:r w:rsidRPr="00107366">
        <w:t>supported by</w:t>
      </w:r>
      <w:r>
        <w:t xml:space="preserve"> scientific</w:t>
      </w:r>
      <w:r w:rsidRPr="00107366">
        <w:t xml:space="preserve"> risk assessments</w:t>
      </w:r>
      <w:r>
        <w:t xml:space="preserve">. </w:t>
      </w:r>
      <w:r w:rsidRPr="00144516">
        <w:t>These measures are necessary to protect the health of Australian crustaceans.</w:t>
      </w:r>
      <w:r>
        <w:t xml:space="preserve"> </w:t>
      </w:r>
    </w:p>
    <w:p w14:paraId="3A9CAFAC" w14:textId="280C2144" w:rsidR="004254CB" w:rsidRDefault="004254CB" w:rsidP="008C749A"/>
    <w:p w14:paraId="746507FD" w14:textId="62F07064" w:rsidR="004254CB" w:rsidRDefault="004254CB" w:rsidP="008C749A"/>
    <w:p w14:paraId="3D14935B" w14:textId="77777777" w:rsidR="004254CB" w:rsidRDefault="004254CB" w:rsidP="008C749A"/>
    <w:p w14:paraId="1876EFF5" w14:textId="25733809" w:rsidR="00507AF8" w:rsidRDefault="00507AF8" w:rsidP="00507AF8">
      <w:pPr>
        <w:pStyle w:val="Heading2"/>
      </w:pPr>
      <w:r>
        <w:lastRenderedPageBreak/>
        <w:t xml:space="preserve">Summary of prawn import conditions </w:t>
      </w:r>
    </w:p>
    <w:tbl>
      <w:tblPr>
        <w:tblStyle w:val="TableGrid"/>
        <w:tblW w:w="5000" w:type="pct"/>
        <w:tblLook w:val="04A0" w:firstRow="1" w:lastRow="0" w:firstColumn="1" w:lastColumn="0" w:noHBand="0" w:noVBand="1"/>
      </w:tblPr>
      <w:tblGrid>
        <w:gridCol w:w="1276"/>
        <w:gridCol w:w="1696"/>
        <w:gridCol w:w="1702"/>
        <w:gridCol w:w="1559"/>
        <w:gridCol w:w="1559"/>
        <w:gridCol w:w="1610"/>
      </w:tblGrid>
      <w:tr w:rsidR="004254CB" w:rsidRPr="004254CB" w14:paraId="079373F9" w14:textId="77777777" w:rsidTr="004254CB">
        <w:trPr>
          <w:trHeight w:val="798"/>
        </w:trPr>
        <w:tc>
          <w:tcPr>
            <w:tcW w:w="679" w:type="pct"/>
          </w:tcPr>
          <w:p w14:paraId="32242BEC" w14:textId="77777777" w:rsidR="004254CB" w:rsidRPr="004254CB" w:rsidRDefault="004254CB" w:rsidP="00654B16">
            <w:pPr>
              <w:rPr>
                <w:rFonts w:asciiTheme="majorHAnsi" w:hAnsiTheme="majorHAnsi" w:cstheme="majorHAnsi"/>
                <w:sz w:val="16"/>
                <w:szCs w:val="16"/>
              </w:rPr>
            </w:pPr>
          </w:p>
        </w:tc>
        <w:tc>
          <w:tcPr>
            <w:tcW w:w="902" w:type="pct"/>
          </w:tcPr>
          <w:p w14:paraId="4701C499" w14:textId="4C7C9609" w:rsidR="004254CB" w:rsidRPr="004254CB" w:rsidRDefault="004254CB" w:rsidP="00C45E41">
            <w:pPr>
              <w:rPr>
                <w:rFonts w:asciiTheme="majorHAnsi" w:hAnsiTheme="majorHAnsi" w:cstheme="majorHAnsi"/>
                <w:sz w:val="16"/>
                <w:szCs w:val="16"/>
              </w:rPr>
            </w:pPr>
            <w:r w:rsidRPr="004254CB">
              <w:rPr>
                <w:rFonts w:asciiTheme="majorHAnsi" w:hAnsiTheme="majorHAnsi" w:cstheme="majorHAnsi"/>
                <w:b/>
                <w:bCs/>
                <w:sz w:val="16"/>
                <w:szCs w:val="16"/>
              </w:rPr>
              <w:t>Cooked</w:t>
            </w:r>
          </w:p>
        </w:tc>
        <w:tc>
          <w:tcPr>
            <w:tcW w:w="905" w:type="pct"/>
          </w:tcPr>
          <w:p w14:paraId="0F97FD1A" w14:textId="728752B3" w:rsidR="004254CB" w:rsidRPr="004254CB" w:rsidRDefault="004254CB" w:rsidP="00C45E41">
            <w:pPr>
              <w:rPr>
                <w:rFonts w:asciiTheme="majorHAnsi" w:hAnsiTheme="majorHAnsi" w:cstheme="majorHAnsi"/>
                <w:sz w:val="16"/>
                <w:szCs w:val="16"/>
              </w:rPr>
            </w:pPr>
            <w:r w:rsidRPr="004254CB">
              <w:rPr>
                <w:rFonts w:asciiTheme="majorHAnsi" w:hAnsiTheme="majorHAnsi" w:cstheme="majorHAnsi"/>
                <w:b/>
                <w:bCs/>
                <w:sz w:val="16"/>
                <w:szCs w:val="16"/>
              </w:rPr>
              <w:t>Uncooked</w:t>
            </w:r>
          </w:p>
        </w:tc>
        <w:tc>
          <w:tcPr>
            <w:tcW w:w="829" w:type="pct"/>
          </w:tcPr>
          <w:p w14:paraId="1D959008" w14:textId="3359A9F8" w:rsidR="004254CB" w:rsidRPr="004254CB" w:rsidRDefault="004254CB" w:rsidP="00654B16">
            <w:pPr>
              <w:rPr>
                <w:rFonts w:asciiTheme="majorHAnsi" w:hAnsiTheme="majorHAnsi" w:cstheme="majorHAnsi"/>
                <w:sz w:val="16"/>
                <w:szCs w:val="16"/>
              </w:rPr>
            </w:pPr>
            <w:r w:rsidRPr="004254CB">
              <w:rPr>
                <w:rFonts w:asciiTheme="majorHAnsi" w:hAnsiTheme="majorHAnsi" w:cstheme="majorHAnsi"/>
                <w:b/>
                <w:bCs/>
                <w:sz w:val="16"/>
                <w:szCs w:val="16"/>
              </w:rPr>
              <w:t>Breaded, battered and crumbed</w:t>
            </w:r>
          </w:p>
        </w:tc>
        <w:tc>
          <w:tcPr>
            <w:tcW w:w="829" w:type="pct"/>
          </w:tcPr>
          <w:p w14:paraId="15045F89" w14:textId="11DA589A" w:rsidR="004254CB" w:rsidRPr="004254CB" w:rsidRDefault="004254CB" w:rsidP="00654B16">
            <w:pPr>
              <w:rPr>
                <w:rFonts w:asciiTheme="majorHAnsi" w:hAnsiTheme="majorHAnsi" w:cstheme="majorHAnsi"/>
                <w:sz w:val="16"/>
                <w:szCs w:val="16"/>
              </w:rPr>
            </w:pPr>
            <w:r w:rsidRPr="004254CB">
              <w:rPr>
                <w:rFonts w:asciiTheme="majorHAnsi" w:hAnsiTheme="majorHAnsi" w:cstheme="majorHAnsi"/>
                <w:b/>
                <w:bCs/>
                <w:sz w:val="16"/>
                <w:szCs w:val="16"/>
              </w:rPr>
              <w:t>Highly processed product</w:t>
            </w:r>
          </w:p>
        </w:tc>
        <w:tc>
          <w:tcPr>
            <w:tcW w:w="856" w:type="pct"/>
          </w:tcPr>
          <w:p w14:paraId="01A73B1D" w14:textId="31ED4B60" w:rsidR="004254CB" w:rsidRPr="004254CB" w:rsidRDefault="004254CB" w:rsidP="00654B16">
            <w:pPr>
              <w:rPr>
                <w:rFonts w:asciiTheme="majorHAnsi" w:hAnsiTheme="majorHAnsi" w:cstheme="majorHAnsi"/>
                <w:sz w:val="16"/>
                <w:szCs w:val="16"/>
              </w:rPr>
            </w:pPr>
            <w:r w:rsidRPr="004254CB">
              <w:rPr>
                <w:rFonts w:asciiTheme="majorHAnsi" w:hAnsiTheme="majorHAnsi" w:cstheme="majorHAnsi"/>
                <w:b/>
                <w:bCs/>
                <w:sz w:val="16"/>
                <w:szCs w:val="16"/>
              </w:rPr>
              <w:t>Sourced from disease free populations</w:t>
            </w:r>
          </w:p>
        </w:tc>
      </w:tr>
      <w:tr w:rsidR="004254CB" w:rsidRPr="004254CB" w14:paraId="63664F00" w14:textId="77777777" w:rsidTr="004254CB">
        <w:tc>
          <w:tcPr>
            <w:tcW w:w="679" w:type="pct"/>
          </w:tcPr>
          <w:p w14:paraId="3ED4BFEB" w14:textId="77777777" w:rsidR="004254CB" w:rsidRPr="004254CB" w:rsidRDefault="004254CB" w:rsidP="00654B16">
            <w:pPr>
              <w:rPr>
                <w:rFonts w:asciiTheme="majorHAnsi" w:hAnsiTheme="majorHAnsi" w:cstheme="majorHAnsi"/>
                <w:sz w:val="16"/>
                <w:szCs w:val="16"/>
              </w:rPr>
            </w:pPr>
            <w:r w:rsidRPr="004254CB">
              <w:rPr>
                <w:rFonts w:asciiTheme="majorHAnsi" w:hAnsiTheme="majorHAnsi" w:cstheme="majorHAnsi"/>
                <w:sz w:val="16"/>
                <w:szCs w:val="16"/>
              </w:rPr>
              <w:t>Documentation</w:t>
            </w:r>
          </w:p>
        </w:tc>
        <w:tc>
          <w:tcPr>
            <w:tcW w:w="902" w:type="pct"/>
          </w:tcPr>
          <w:p w14:paraId="02D38303" w14:textId="77777777" w:rsidR="004254CB" w:rsidRPr="004254CB" w:rsidRDefault="004254CB" w:rsidP="004254CB">
            <w:pPr>
              <w:pStyle w:val="ListParagraph"/>
              <w:numPr>
                <w:ilvl w:val="0"/>
                <w:numId w:val="10"/>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health certificate</w:t>
            </w:r>
          </w:p>
        </w:tc>
        <w:tc>
          <w:tcPr>
            <w:tcW w:w="905" w:type="pct"/>
          </w:tcPr>
          <w:p w14:paraId="0755C3CA" w14:textId="77777777" w:rsidR="004254CB" w:rsidRPr="004254CB" w:rsidRDefault="004254CB" w:rsidP="004254CB">
            <w:pPr>
              <w:pStyle w:val="ListParagraph"/>
              <w:numPr>
                <w:ilvl w:val="0"/>
                <w:numId w:val="10"/>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import permit</w:t>
            </w:r>
          </w:p>
          <w:p w14:paraId="0044CA9F" w14:textId="77777777" w:rsidR="004254CB" w:rsidRPr="004254CB" w:rsidRDefault="004254CB" w:rsidP="004254CB">
            <w:pPr>
              <w:pStyle w:val="ListParagraph"/>
              <w:numPr>
                <w:ilvl w:val="0"/>
                <w:numId w:val="10"/>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health certificate</w:t>
            </w:r>
          </w:p>
        </w:tc>
        <w:tc>
          <w:tcPr>
            <w:tcW w:w="829" w:type="pct"/>
          </w:tcPr>
          <w:p w14:paraId="6A1DDCA3" w14:textId="77777777" w:rsidR="004254CB" w:rsidRPr="004254CB" w:rsidRDefault="004254CB" w:rsidP="004254CB">
            <w:pPr>
              <w:pStyle w:val="ListParagraph"/>
              <w:numPr>
                <w:ilvl w:val="0"/>
                <w:numId w:val="10"/>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import permit</w:t>
            </w:r>
          </w:p>
          <w:p w14:paraId="16A65494" w14:textId="77777777" w:rsidR="004254CB" w:rsidRPr="004254CB" w:rsidRDefault="004254CB" w:rsidP="004254CB">
            <w:pPr>
              <w:pStyle w:val="ListParagraph"/>
              <w:numPr>
                <w:ilvl w:val="0"/>
                <w:numId w:val="10"/>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health certificate</w:t>
            </w:r>
          </w:p>
        </w:tc>
        <w:tc>
          <w:tcPr>
            <w:tcW w:w="829" w:type="pct"/>
          </w:tcPr>
          <w:p w14:paraId="06077A4D" w14:textId="77777777" w:rsidR="004254CB" w:rsidRPr="004254CB" w:rsidRDefault="004254CB" w:rsidP="004254CB">
            <w:pPr>
              <w:pStyle w:val="ListParagraph"/>
              <w:numPr>
                <w:ilvl w:val="0"/>
                <w:numId w:val="10"/>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import permit</w:t>
            </w:r>
          </w:p>
          <w:p w14:paraId="67EB88DA" w14:textId="77777777" w:rsidR="004254CB" w:rsidRPr="004254CB" w:rsidRDefault="004254CB" w:rsidP="004254CB">
            <w:pPr>
              <w:pStyle w:val="ListParagraph"/>
              <w:numPr>
                <w:ilvl w:val="0"/>
                <w:numId w:val="10"/>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health certificate</w:t>
            </w:r>
          </w:p>
        </w:tc>
        <w:tc>
          <w:tcPr>
            <w:tcW w:w="856" w:type="pct"/>
          </w:tcPr>
          <w:p w14:paraId="51EE0BD4"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import permit</w:t>
            </w:r>
          </w:p>
          <w:p w14:paraId="3448AECA"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health certificate</w:t>
            </w:r>
          </w:p>
        </w:tc>
      </w:tr>
      <w:tr w:rsidR="004254CB" w:rsidRPr="004254CB" w14:paraId="068F0662" w14:textId="77777777" w:rsidTr="004254CB">
        <w:tc>
          <w:tcPr>
            <w:tcW w:w="679" w:type="pct"/>
          </w:tcPr>
          <w:p w14:paraId="66F1A81C" w14:textId="77777777" w:rsidR="004254CB" w:rsidRPr="004254CB" w:rsidRDefault="004254CB" w:rsidP="00654B16">
            <w:pPr>
              <w:rPr>
                <w:rFonts w:asciiTheme="majorHAnsi" w:hAnsiTheme="majorHAnsi" w:cstheme="majorHAnsi"/>
                <w:sz w:val="16"/>
                <w:szCs w:val="16"/>
              </w:rPr>
            </w:pPr>
            <w:r w:rsidRPr="004254CB">
              <w:rPr>
                <w:rFonts w:asciiTheme="majorHAnsi" w:hAnsiTheme="majorHAnsi" w:cstheme="majorHAnsi"/>
                <w:sz w:val="16"/>
                <w:szCs w:val="16"/>
              </w:rPr>
              <w:t>Import conditions</w:t>
            </w:r>
          </w:p>
        </w:tc>
        <w:tc>
          <w:tcPr>
            <w:tcW w:w="902" w:type="pct"/>
          </w:tcPr>
          <w:p w14:paraId="5FCB36B3" w14:textId="063D2659" w:rsidR="004254CB" w:rsidRPr="004254CB" w:rsidRDefault="00234732" w:rsidP="004254CB">
            <w:pPr>
              <w:pStyle w:val="ListParagraph"/>
              <w:numPr>
                <w:ilvl w:val="0"/>
                <w:numId w:val="12"/>
              </w:numPr>
              <w:spacing w:after="0" w:line="240" w:lineRule="auto"/>
              <w:rPr>
                <w:rFonts w:asciiTheme="majorHAnsi" w:hAnsiTheme="majorHAnsi" w:cstheme="majorHAnsi"/>
                <w:sz w:val="16"/>
                <w:szCs w:val="16"/>
              </w:rPr>
            </w:pPr>
            <w:r>
              <w:rPr>
                <w:rFonts w:asciiTheme="majorHAnsi" w:hAnsiTheme="majorHAnsi" w:cstheme="majorHAnsi"/>
                <w:sz w:val="16"/>
                <w:szCs w:val="16"/>
              </w:rPr>
              <w:t>f</w:t>
            </w:r>
            <w:r w:rsidR="004254CB" w:rsidRPr="004254CB">
              <w:rPr>
                <w:rFonts w:asciiTheme="majorHAnsi" w:hAnsiTheme="majorHAnsi" w:cstheme="majorHAnsi"/>
                <w:sz w:val="16"/>
                <w:szCs w:val="16"/>
              </w:rPr>
              <w:t>rozen</w:t>
            </w:r>
          </w:p>
          <w:p w14:paraId="11FE6CE3" w14:textId="77777777" w:rsidR="004254CB" w:rsidRPr="004254CB" w:rsidRDefault="004254CB" w:rsidP="004254CB">
            <w:pPr>
              <w:pStyle w:val="ListParagraph"/>
              <w:numPr>
                <w:ilvl w:val="0"/>
                <w:numId w:val="12"/>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cooked at CA approved premises</w:t>
            </w:r>
          </w:p>
          <w:p w14:paraId="68A3FD9B" w14:textId="77777777" w:rsidR="004254CB" w:rsidRPr="004254CB" w:rsidRDefault="004254CB" w:rsidP="004254CB">
            <w:pPr>
              <w:pStyle w:val="ListParagraph"/>
              <w:numPr>
                <w:ilvl w:val="0"/>
                <w:numId w:val="12"/>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 xml:space="preserve">appear fully cooked and have achieved a core temperature of at least 65°C </w:t>
            </w:r>
          </w:p>
          <w:p w14:paraId="76450589" w14:textId="77777777" w:rsidR="004254CB" w:rsidRPr="004254CB" w:rsidRDefault="004254CB" w:rsidP="004254CB">
            <w:pPr>
              <w:pStyle w:val="ListParagraph"/>
              <w:numPr>
                <w:ilvl w:val="0"/>
                <w:numId w:val="12"/>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fit for human consumption</w:t>
            </w:r>
          </w:p>
        </w:tc>
        <w:tc>
          <w:tcPr>
            <w:tcW w:w="905" w:type="pct"/>
          </w:tcPr>
          <w:p w14:paraId="50F25DFE" w14:textId="346444C1" w:rsidR="004254CB" w:rsidRPr="004254CB" w:rsidRDefault="00234732" w:rsidP="004254CB">
            <w:pPr>
              <w:pStyle w:val="ListParagraph"/>
              <w:numPr>
                <w:ilvl w:val="0"/>
                <w:numId w:val="12"/>
              </w:numPr>
              <w:spacing w:after="0" w:line="240" w:lineRule="auto"/>
              <w:rPr>
                <w:rFonts w:asciiTheme="majorHAnsi" w:hAnsiTheme="majorHAnsi" w:cstheme="majorHAnsi"/>
                <w:sz w:val="16"/>
                <w:szCs w:val="16"/>
              </w:rPr>
            </w:pPr>
            <w:r>
              <w:rPr>
                <w:rFonts w:asciiTheme="majorHAnsi" w:hAnsiTheme="majorHAnsi" w:cstheme="majorHAnsi"/>
                <w:sz w:val="16"/>
                <w:szCs w:val="16"/>
              </w:rPr>
              <w:t>f</w:t>
            </w:r>
            <w:r w:rsidR="004254CB" w:rsidRPr="004254CB">
              <w:rPr>
                <w:rFonts w:asciiTheme="majorHAnsi" w:hAnsiTheme="majorHAnsi" w:cstheme="majorHAnsi"/>
                <w:sz w:val="16"/>
                <w:szCs w:val="16"/>
              </w:rPr>
              <w:t>rozen</w:t>
            </w:r>
          </w:p>
          <w:p w14:paraId="7D0CB19C" w14:textId="77777777" w:rsidR="004254CB" w:rsidRPr="004254CB" w:rsidRDefault="004254CB" w:rsidP="004254CB">
            <w:pPr>
              <w:pStyle w:val="ListParagraph"/>
              <w:numPr>
                <w:ilvl w:val="0"/>
                <w:numId w:val="12"/>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head and shell removed</w:t>
            </w:r>
          </w:p>
          <w:p w14:paraId="6B06B3CB" w14:textId="77777777" w:rsidR="004254CB" w:rsidRPr="004254CB" w:rsidRDefault="004254CB" w:rsidP="004254CB">
            <w:pPr>
              <w:pStyle w:val="ListParagraph"/>
              <w:numPr>
                <w:ilvl w:val="0"/>
                <w:numId w:val="12"/>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deveined</w:t>
            </w:r>
          </w:p>
          <w:p w14:paraId="7B2C51FA" w14:textId="77777777" w:rsidR="004254CB" w:rsidRPr="004254CB" w:rsidRDefault="004254CB" w:rsidP="004254CB">
            <w:pPr>
              <w:pStyle w:val="ListParagraph"/>
              <w:numPr>
                <w:ilvl w:val="0"/>
                <w:numId w:val="12"/>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WSSV and YHV1 batch freedom</w:t>
            </w:r>
          </w:p>
          <w:p w14:paraId="6E51DEED" w14:textId="77777777" w:rsidR="004254CB" w:rsidRPr="004254CB" w:rsidRDefault="004254CB" w:rsidP="004254CB">
            <w:pPr>
              <w:pStyle w:val="ListParagraph"/>
              <w:numPr>
                <w:ilvl w:val="0"/>
                <w:numId w:val="12"/>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inspected, graded at CA approved premises</w:t>
            </w:r>
          </w:p>
          <w:p w14:paraId="55E214B8" w14:textId="77777777" w:rsidR="004254CB" w:rsidRPr="004254CB" w:rsidRDefault="004254CB" w:rsidP="004254CB">
            <w:pPr>
              <w:pStyle w:val="ListParagraph"/>
              <w:numPr>
                <w:ilvl w:val="0"/>
                <w:numId w:val="12"/>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free from signs of disease</w:t>
            </w:r>
          </w:p>
          <w:p w14:paraId="5D41C2F7" w14:textId="77777777" w:rsidR="004254CB" w:rsidRPr="004254CB" w:rsidRDefault="004254CB" w:rsidP="004254CB">
            <w:pPr>
              <w:pStyle w:val="ListParagraph"/>
              <w:numPr>
                <w:ilvl w:val="0"/>
                <w:numId w:val="12"/>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fit for human consumption</w:t>
            </w:r>
          </w:p>
          <w:p w14:paraId="3EE15BB1" w14:textId="77777777" w:rsidR="004254CB" w:rsidRPr="004254CB" w:rsidRDefault="004254CB" w:rsidP="004254CB">
            <w:pPr>
              <w:pStyle w:val="ListParagraph"/>
              <w:numPr>
                <w:ilvl w:val="0"/>
                <w:numId w:val="12"/>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labelled</w:t>
            </w:r>
          </w:p>
        </w:tc>
        <w:tc>
          <w:tcPr>
            <w:tcW w:w="829" w:type="pct"/>
          </w:tcPr>
          <w:p w14:paraId="66876699" w14:textId="0FA66D0B" w:rsidR="004254CB" w:rsidRPr="004254CB" w:rsidRDefault="00234732" w:rsidP="004254CB">
            <w:pPr>
              <w:pStyle w:val="ListParagraph"/>
              <w:numPr>
                <w:ilvl w:val="0"/>
                <w:numId w:val="11"/>
              </w:numPr>
              <w:spacing w:after="0" w:line="240" w:lineRule="auto"/>
              <w:rPr>
                <w:rFonts w:asciiTheme="majorHAnsi" w:hAnsiTheme="majorHAnsi" w:cstheme="majorHAnsi"/>
                <w:sz w:val="16"/>
                <w:szCs w:val="16"/>
              </w:rPr>
            </w:pPr>
            <w:r>
              <w:rPr>
                <w:rFonts w:asciiTheme="majorHAnsi" w:hAnsiTheme="majorHAnsi" w:cstheme="majorHAnsi"/>
                <w:sz w:val="16"/>
                <w:szCs w:val="16"/>
              </w:rPr>
              <w:t>f</w:t>
            </w:r>
            <w:r w:rsidR="004254CB" w:rsidRPr="004254CB">
              <w:rPr>
                <w:rFonts w:asciiTheme="majorHAnsi" w:hAnsiTheme="majorHAnsi" w:cstheme="majorHAnsi"/>
                <w:sz w:val="16"/>
                <w:szCs w:val="16"/>
              </w:rPr>
              <w:t>rozen</w:t>
            </w:r>
          </w:p>
          <w:p w14:paraId="7377D87E"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head and shell removed</w:t>
            </w:r>
          </w:p>
          <w:p w14:paraId="57B93C9A"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processed, inspected, graded at CA approved premises</w:t>
            </w:r>
          </w:p>
          <w:p w14:paraId="7856D042"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free from signs of disease prior to coating</w:t>
            </w:r>
          </w:p>
          <w:p w14:paraId="35807EE5"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par-cooking</w:t>
            </w:r>
          </w:p>
        </w:tc>
        <w:tc>
          <w:tcPr>
            <w:tcW w:w="829" w:type="pct"/>
          </w:tcPr>
          <w:p w14:paraId="1D90E80B" w14:textId="0BE39B4E" w:rsidR="004254CB" w:rsidRPr="004254CB" w:rsidRDefault="00234732" w:rsidP="004254CB">
            <w:pPr>
              <w:pStyle w:val="ListParagraph"/>
              <w:numPr>
                <w:ilvl w:val="0"/>
                <w:numId w:val="11"/>
              </w:numPr>
              <w:spacing w:after="0" w:line="240" w:lineRule="auto"/>
              <w:rPr>
                <w:rFonts w:asciiTheme="majorHAnsi" w:hAnsiTheme="majorHAnsi" w:cstheme="majorHAnsi"/>
                <w:sz w:val="16"/>
                <w:szCs w:val="16"/>
              </w:rPr>
            </w:pPr>
            <w:r>
              <w:rPr>
                <w:rFonts w:asciiTheme="majorHAnsi" w:hAnsiTheme="majorHAnsi" w:cstheme="majorHAnsi"/>
                <w:sz w:val="16"/>
                <w:szCs w:val="16"/>
              </w:rPr>
              <w:t>f</w:t>
            </w:r>
            <w:r w:rsidR="004254CB" w:rsidRPr="004254CB">
              <w:rPr>
                <w:rFonts w:asciiTheme="majorHAnsi" w:hAnsiTheme="majorHAnsi" w:cstheme="majorHAnsi"/>
                <w:sz w:val="16"/>
                <w:szCs w:val="16"/>
              </w:rPr>
              <w:t>rozen</w:t>
            </w:r>
          </w:p>
          <w:p w14:paraId="5B22A119"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head and shell removed</w:t>
            </w:r>
          </w:p>
          <w:p w14:paraId="5A8B1146"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processed, inspected, graded at CA approved premises</w:t>
            </w:r>
          </w:p>
          <w:p w14:paraId="2422986D"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free from signs of disease before processing</w:t>
            </w:r>
          </w:p>
        </w:tc>
        <w:tc>
          <w:tcPr>
            <w:tcW w:w="856" w:type="pct"/>
          </w:tcPr>
          <w:p w14:paraId="5E3E59F3" w14:textId="162E239E" w:rsidR="004254CB" w:rsidRPr="004254CB" w:rsidRDefault="00234732" w:rsidP="004254CB">
            <w:pPr>
              <w:pStyle w:val="ListParagraph"/>
              <w:numPr>
                <w:ilvl w:val="0"/>
                <w:numId w:val="11"/>
              </w:numPr>
              <w:spacing w:after="0" w:line="240" w:lineRule="auto"/>
              <w:rPr>
                <w:rFonts w:asciiTheme="majorHAnsi" w:hAnsiTheme="majorHAnsi" w:cstheme="majorHAnsi"/>
                <w:sz w:val="16"/>
                <w:szCs w:val="16"/>
              </w:rPr>
            </w:pPr>
            <w:r>
              <w:rPr>
                <w:rFonts w:asciiTheme="majorHAnsi" w:hAnsiTheme="majorHAnsi" w:cstheme="majorHAnsi"/>
                <w:sz w:val="16"/>
                <w:szCs w:val="16"/>
              </w:rPr>
              <w:t>f</w:t>
            </w:r>
            <w:r w:rsidR="004254CB" w:rsidRPr="004254CB">
              <w:rPr>
                <w:rFonts w:asciiTheme="majorHAnsi" w:hAnsiTheme="majorHAnsi" w:cstheme="majorHAnsi"/>
                <w:sz w:val="16"/>
                <w:szCs w:val="16"/>
              </w:rPr>
              <w:t>rozen</w:t>
            </w:r>
          </w:p>
          <w:p w14:paraId="190D9CA4"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CA evaluation</w:t>
            </w:r>
          </w:p>
          <w:p w14:paraId="3A3EFF7E"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official assessment of pathogen freedom</w:t>
            </w:r>
          </w:p>
          <w:p w14:paraId="1DDC5C4B"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processed, inspected, graded at CA approved premises</w:t>
            </w:r>
          </w:p>
          <w:p w14:paraId="29CD62B8"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fit for human consumption</w:t>
            </w:r>
          </w:p>
          <w:p w14:paraId="4750EC88"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labelled</w:t>
            </w:r>
          </w:p>
        </w:tc>
      </w:tr>
      <w:tr w:rsidR="004254CB" w:rsidRPr="004254CB" w14:paraId="2CBFA5D7" w14:textId="77777777" w:rsidTr="004254CB">
        <w:tc>
          <w:tcPr>
            <w:tcW w:w="679" w:type="pct"/>
          </w:tcPr>
          <w:p w14:paraId="37F4A370" w14:textId="77777777" w:rsidR="004254CB" w:rsidRPr="004254CB" w:rsidRDefault="004254CB" w:rsidP="00654B16">
            <w:pPr>
              <w:rPr>
                <w:rFonts w:asciiTheme="majorHAnsi" w:hAnsiTheme="majorHAnsi" w:cstheme="majorHAnsi"/>
                <w:sz w:val="16"/>
                <w:szCs w:val="16"/>
              </w:rPr>
            </w:pPr>
            <w:r w:rsidRPr="004254CB">
              <w:rPr>
                <w:rFonts w:asciiTheme="majorHAnsi" w:hAnsiTheme="majorHAnsi" w:cstheme="majorHAnsi"/>
                <w:sz w:val="16"/>
                <w:szCs w:val="16"/>
              </w:rPr>
              <w:t>On-arrival requirements</w:t>
            </w:r>
          </w:p>
        </w:tc>
        <w:tc>
          <w:tcPr>
            <w:tcW w:w="902" w:type="pct"/>
          </w:tcPr>
          <w:p w14:paraId="3F2EBE41"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inspection at a rate determined by the department</w:t>
            </w:r>
          </w:p>
        </w:tc>
        <w:tc>
          <w:tcPr>
            <w:tcW w:w="905" w:type="pct"/>
          </w:tcPr>
          <w:p w14:paraId="7F4590C9"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inspection at a rate determined by the department</w:t>
            </w:r>
          </w:p>
          <w:p w14:paraId="2AD072AC"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WSSV and YHV1 on-arrival testing</w:t>
            </w:r>
          </w:p>
        </w:tc>
        <w:tc>
          <w:tcPr>
            <w:tcW w:w="829" w:type="pct"/>
          </w:tcPr>
          <w:p w14:paraId="19CBE982"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inspection at a rate determined by the department</w:t>
            </w:r>
          </w:p>
          <w:p w14:paraId="3EC9DC78"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verification of par-cooking</w:t>
            </w:r>
          </w:p>
        </w:tc>
        <w:tc>
          <w:tcPr>
            <w:tcW w:w="829" w:type="pct"/>
          </w:tcPr>
          <w:p w14:paraId="611BC2EE"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inspection at a rate determined by the department</w:t>
            </w:r>
          </w:p>
        </w:tc>
        <w:tc>
          <w:tcPr>
            <w:tcW w:w="856" w:type="pct"/>
          </w:tcPr>
          <w:p w14:paraId="01120E6A" w14:textId="77777777" w:rsidR="004254CB" w:rsidRPr="004254CB" w:rsidRDefault="004254CB" w:rsidP="004254CB">
            <w:pPr>
              <w:pStyle w:val="ListParagraph"/>
              <w:numPr>
                <w:ilvl w:val="0"/>
                <w:numId w:val="11"/>
              </w:numPr>
              <w:spacing w:after="0" w:line="240" w:lineRule="auto"/>
              <w:rPr>
                <w:rFonts w:asciiTheme="majorHAnsi" w:hAnsiTheme="majorHAnsi" w:cstheme="majorHAnsi"/>
                <w:sz w:val="16"/>
                <w:szCs w:val="16"/>
              </w:rPr>
            </w:pPr>
            <w:r w:rsidRPr="004254CB">
              <w:rPr>
                <w:rFonts w:asciiTheme="majorHAnsi" w:hAnsiTheme="majorHAnsi" w:cstheme="majorHAnsi"/>
                <w:sz w:val="16"/>
                <w:szCs w:val="16"/>
              </w:rPr>
              <w:t>inspection at a rate determined by the department</w:t>
            </w:r>
          </w:p>
        </w:tc>
      </w:tr>
    </w:tbl>
    <w:p w14:paraId="62943BBB" w14:textId="77777777" w:rsidR="00507AF8" w:rsidRPr="00507AF8" w:rsidRDefault="00507AF8" w:rsidP="00507AF8">
      <w:pPr>
        <w:pStyle w:val="FigureTableNoteSource"/>
        <w:rPr>
          <w:sz w:val="22"/>
          <w:szCs w:val="28"/>
        </w:rPr>
      </w:pPr>
      <w:r w:rsidRPr="00507AF8">
        <w:rPr>
          <w:b/>
          <w:bCs/>
          <w:sz w:val="22"/>
          <w:szCs w:val="28"/>
        </w:rPr>
        <w:t>Competent authority (CA</w:t>
      </w:r>
      <w:r w:rsidRPr="00507AF8">
        <w:rPr>
          <w:sz w:val="22"/>
          <w:szCs w:val="28"/>
        </w:rPr>
        <w:t>): veterinary or other government authority of a member country responsible for implementation of aquatic animal health and welfare measures, international health certification and other standards and recommendations in the World Organisation for Animal Health (WOAH)</w:t>
      </w:r>
      <w:r w:rsidRPr="00507AF8">
        <w:rPr>
          <w:i/>
          <w:iCs/>
          <w:sz w:val="22"/>
          <w:szCs w:val="28"/>
        </w:rPr>
        <w:t xml:space="preserve"> Aquatic animal health code.</w:t>
      </w:r>
      <w:r w:rsidRPr="00507AF8">
        <w:rPr>
          <w:sz w:val="22"/>
          <w:szCs w:val="28"/>
        </w:rPr>
        <w:t xml:space="preserve"> </w:t>
      </w:r>
      <w:r w:rsidRPr="00507AF8">
        <w:rPr>
          <w:sz w:val="22"/>
          <w:szCs w:val="28"/>
        </w:rPr>
        <w:br/>
      </w:r>
      <w:r w:rsidRPr="00507AF8">
        <w:rPr>
          <w:b/>
          <w:bCs/>
          <w:sz w:val="22"/>
          <w:szCs w:val="28"/>
        </w:rPr>
        <w:t>WSSV:</w:t>
      </w:r>
      <w:r w:rsidRPr="00507AF8">
        <w:rPr>
          <w:sz w:val="22"/>
          <w:szCs w:val="28"/>
        </w:rPr>
        <w:t xml:space="preserve"> white spot syndrome virus. </w:t>
      </w:r>
      <w:r w:rsidRPr="00507AF8">
        <w:rPr>
          <w:sz w:val="22"/>
          <w:szCs w:val="28"/>
        </w:rPr>
        <w:br/>
      </w:r>
      <w:r w:rsidRPr="00507AF8">
        <w:rPr>
          <w:b/>
          <w:bCs/>
          <w:sz w:val="22"/>
          <w:szCs w:val="28"/>
        </w:rPr>
        <w:t>YHV1:</w:t>
      </w:r>
      <w:r w:rsidRPr="00507AF8">
        <w:rPr>
          <w:sz w:val="22"/>
          <w:szCs w:val="28"/>
        </w:rPr>
        <w:t xml:space="preserve"> yellow head virus genotype 1. </w:t>
      </w:r>
      <w:r w:rsidRPr="00507AF8">
        <w:rPr>
          <w:sz w:val="22"/>
          <w:szCs w:val="28"/>
        </w:rPr>
        <w:br/>
      </w:r>
      <w:r w:rsidRPr="00507AF8">
        <w:rPr>
          <w:b/>
          <w:bCs/>
          <w:sz w:val="22"/>
          <w:szCs w:val="28"/>
        </w:rPr>
        <w:t xml:space="preserve">Labelled: </w:t>
      </w:r>
      <w:r w:rsidRPr="00507AF8">
        <w:rPr>
          <w:sz w:val="22"/>
          <w:szCs w:val="28"/>
        </w:rPr>
        <w:t>packaged prawns marked “</w:t>
      </w:r>
      <w:r w:rsidRPr="00507AF8">
        <w:rPr>
          <w:i/>
          <w:iCs/>
          <w:sz w:val="22"/>
          <w:szCs w:val="28"/>
        </w:rPr>
        <w:t>For human consumption only. Not to be used as bait or feed for aquatic animals</w:t>
      </w:r>
      <w:r w:rsidRPr="00507AF8">
        <w:rPr>
          <w:sz w:val="22"/>
          <w:szCs w:val="28"/>
        </w:rPr>
        <w:t>”.</w:t>
      </w:r>
    </w:p>
    <w:p w14:paraId="0592B9A8" w14:textId="418924F4" w:rsidR="00507AF8" w:rsidRPr="0080517C" w:rsidRDefault="00507AF8" w:rsidP="00507AF8">
      <w:pPr>
        <w:pStyle w:val="Heading2"/>
      </w:pPr>
      <w:r>
        <w:t>Next steps</w:t>
      </w:r>
    </w:p>
    <w:p w14:paraId="5BF40567" w14:textId="77777777" w:rsidR="00507AF8" w:rsidRDefault="00507AF8" w:rsidP="00507AF8">
      <w:pPr>
        <w:pStyle w:val="ListBullet"/>
      </w:pPr>
      <w:r>
        <w:t>Trading partners have until X Month 2023 to provide comments to the department about the proposed import conditions.</w:t>
      </w:r>
    </w:p>
    <w:p w14:paraId="3B802E30" w14:textId="77777777" w:rsidR="00507AF8" w:rsidRDefault="00507AF8" w:rsidP="00507AF8">
      <w:pPr>
        <w:pStyle w:val="ListBullet"/>
      </w:pPr>
      <w:r>
        <w:t>We will consider comments from trading partners on the proposed import conditions and publish a Biosecurity Advice confirming the date of implementation of the new import conditions.</w:t>
      </w:r>
    </w:p>
    <w:p w14:paraId="3F78C540" w14:textId="77777777" w:rsidR="00507AF8" w:rsidRDefault="00507AF8" w:rsidP="00507AF8">
      <w:pPr>
        <w:pStyle w:val="ListBullet"/>
      </w:pPr>
      <w:r>
        <w:t xml:space="preserve">The final step in the process is to publish the new import conditions on our Biosecurity Import Conditions system (BICON). </w:t>
      </w:r>
    </w:p>
    <w:p w14:paraId="7AA26ECE" w14:textId="4ADA8077" w:rsidR="00507AF8" w:rsidRDefault="00507AF8" w:rsidP="008C749A">
      <w:pPr>
        <w:pStyle w:val="ListBullet"/>
      </w:pPr>
      <w:r>
        <w:t>We will continue to closely monitor imports of prawns and prawn products to ensure that the import conditions continue to manage biosecurity risks appropriately.</w:t>
      </w:r>
    </w:p>
    <w:p w14:paraId="78CDD201" w14:textId="100FE184" w:rsidR="00B82095" w:rsidRPr="0080517C" w:rsidRDefault="000913B5" w:rsidP="008C749A">
      <w:pPr>
        <w:pStyle w:val="Heading2"/>
      </w:pPr>
      <w:r>
        <w:t>More</w:t>
      </w:r>
      <w:r w:rsidR="00B82095" w:rsidRPr="0080517C">
        <w:t xml:space="preserve"> information</w:t>
      </w:r>
    </w:p>
    <w:p w14:paraId="0AFE62DB" w14:textId="3CF6D790" w:rsidR="000E7803" w:rsidRPr="00017ACB" w:rsidRDefault="000E7803" w:rsidP="00B82095">
      <w:pPr>
        <w:rPr>
          <w:lang w:eastAsia="ja-JP"/>
        </w:rPr>
      </w:pPr>
      <w:r>
        <w:rPr>
          <w:lang w:eastAsia="ja-JP"/>
        </w:rPr>
        <w:t xml:space="preserve">Learn more about </w:t>
      </w:r>
      <w:r w:rsidR="00507AF8">
        <w:t xml:space="preserve">the </w:t>
      </w:r>
      <w:hyperlink r:id="rId12" w:history="1">
        <w:r w:rsidR="006C6ED3" w:rsidRPr="006C6ED3">
          <w:rPr>
            <w:rStyle w:val="Hyperlink"/>
          </w:rPr>
          <w:t>review of prawns and prawn products</w:t>
        </w:r>
      </w:hyperlink>
      <w:r w:rsidR="00507AF8">
        <w:t xml:space="preserve">. </w:t>
      </w:r>
    </w:p>
    <w:p w14:paraId="6068A14A" w14:textId="77777777" w:rsidR="00507AF8" w:rsidRDefault="000E7803" w:rsidP="00507AF8">
      <w:pPr>
        <w:rPr>
          <w:lang w:eastAsia="ja-JP"/>
        </w:rPr>
      </w:pPr>
      <w:r w:rsidRPr="00017ACB">
        <w:rPr>
          <w:lang w:eastAsia="ja-JP"/>
        </w:rPr>
        <w:t xml:space="preserve">Web </w:t>
      </w:r>
      <w:hyperlink r:id="rId13" w:history="1">
        <w:r w:rsidR="00507AF8" w:rsidRPr="008C047F">
          <w:rPr>
            <w:rStyle w:val="Hyperlink"/>
            <w:lang w:eastAsia="ja-JP"/>
          </w:rPr>
          <w:t>agriculture.gov.au/biosecurity-trade/market-access-trade</w:t>
        </w:r>
      </w:hyperlink>
      <w:r w:rsidR="00507AF8">
        <w:rPr>
          <w:lang w:eastAsia="ja-JP"/>
        </w:rPr>
        <w:t xml:space="preserve"> </w:t>
      </w:r>
    </w:p>
    <w:p w14:paraId="4D8F49BB" w14:textId="4835A51E" w:rsidR="00B82095" w:rsidRDefault="00B82095" w:rsidP="00507AF8">
      <w:pPr>
        <w:rPr>
          <w:lang w:eastAsia="ja-JP"/>
        </w:rPr>
      </w:pPr>
      <w:r w:rsidRPr="00017ACB">
        <w:rPr>
          <w:lang w:eastAsia="ja-JP"/>
        </w:rPr>
        <w:t xml:space="preserve">Email </w:t>
      </w:r>
      <w:hyperlink r:id="rId14" w:history="1">
        <w:r w:rsidR="00507AF8" w:rsidRPr="00D234B6">
          <w:rPr>
            <w:rStyle w:val="Hyperlink"/>
            <w:lang w:eastAsia="ja-JP"/>
          </w:rPr>
          <w:t>prawnreview@agriculture.gov.au</w:t>
        </w:r>
      </w:hyperlink>
    </w:p>
    <w:p w14:paraId="0D0C6154" w14:textId="77777777" w:rsidR="000A5BA0" w:rsidRDefault="000A5BA0" w:rsidP="000A5BA0">
      <w:pPr>
        <w:pStyle w:val="Normalsmall"/>
      </w:pPr>
      <w:r>
        <w:rPr>
          <w:rStyle w:val="Strong"/>
        </w:rPr>
        <w:t>Acknowledgement of Country</w:t>
      </w:r>
    </w:p>
    <w:p w14:paraId="2EFE978D" w14:textId="77777777" w:rsidR="000A5BA0" w:rsidRPr="000A5BA0" w:rsidRDefault="000A5BA0" w:rsidP="000A5BA0">
      <w:pPr>
        <w:pStyle w:val="Normalsmall"/>
        <w:rPr>
          <w:rStyle w:val="Hyperlink"/>
          <w:color w:val="auto"/>
          <w:u w:val="none"/>
        </w:rPr>
      </w:pPr>
      <w:r>
        <w:lastRenderedPageBreak/>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808D35C" w14:textId="77777777" w:rsidR="00E9781D" w:rsidRDefault="00E9781D" w:rsidP="00E9781D">
      <w:pPr>
        <w:pStyle w:val="Normalsmall"/>
        <w:spacing w:before="360"/>
      </w:pPr>
      <w:r>
        <w:t>© Commonwealth of Australia 202</w:t>
      </w:r>
      <w:r w:rsidR="00A0018B">
        <w:t>3</w:t>
      </w:r>
    </w:p>
    <w:p w14:paraId="05A17A25"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1ED78B86"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4E10625B"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3173D">
      <w:headerReference w:type="default" r:id="rId16"/>
      <w:footerReference w:type="default" r:id="rId17"/>
      <w:headerReference w:type="first" r:id="rId18"/>
      <w:footerReference w:type="first" r:id="rId19"/>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56B2" w14:textId="77777777" w:rsidR="00630C5F" w:rsidRDefault="00630C5F">
      <w:r>
        <w:separator/>
      </w:r>
    </w:p>
    <w:p w14:paraId="571CAD80" w14:textId="77777777" w:rsidR="00630C5F" w:rsidRDefault="00630C5F"/>
    <w:p w14:paraId="0238E23E" w14:textId="77777777" w:rsidR="00630C5F" w:rsidRDefault="00630C5F"/>
  </w:endnote>
  <w:endnote w:type="continuationSeparator" w:id="0">
    <w:p w14:paraId="1110ABE0" w14:textId="77777777" w:rsidR="00630C5F" w:rsidRDefault="00630C5F">
      <w:r>
        <w:continuationSeparator/>
      </w:r>
    </w:p>
    <w:p w14:paraId="479E73BC" w14:textId="77777777" w:rsidR="00630C5F" w:rsidRDefault="00630C5F"/>
    <w:p w14:paraId="24CAD874" w14:textId="77777777" w:rsidR="00630C5F" w:rsidRDefault="00630C5F"/>
  </w:endnote>
  <w:endnote w:type="continuationNotice" w:id="1">
    <w:p w14:paraId="3A27E9D8" w14:textId="77777777" w:rsidR="00630C5F" w:rsidRDefault="00630C5F">
      <w:pPr>
        <w:pStyle w:val="Footer"/>
      </w:pPr>
    </w:p>
    <w:p w14:paraId="2842E3E7" w14:textId="77777777" w:rsidR="00630C5F" w:rsidRDefault="00630C5F"/>
    <w:p w14:paraId="292DE5FE" w14:textId="77777777" w:rsidR="00630C5F" w:rsidRDefault="00630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5B87" w14:textId="77777777" w:rsidR="00863E83" w:rsidRDefault="00863E83" w:rsidP="00863E83">
    <w:pPr>
      <w:pStyle w:val="Footer"/>
    </w:pPr>
    <w:r w:rsidRPr="007B1F92">
      <w:t>Department of Agriculture, Fisheries and Forestry</w:t>
    </w:r>
  </w:p>
  <w:p w14:paraId="7D280828" w14:textId="77777777" w:rsidR="000542B4" w:rsidRDefault="00D172C2"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7D5241AC"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27C2" w14:textId="77777777" w:rsidR="00630C5F" w:rsidRDefault="00630C5F">
      <w:r>
        <w:separator/>
      </w:r>
    </w:p>
    <w:p w14:paraId="70322014" w14:textId="77777777" w:rsidR="00630C5F" w:rsidRDefault="00630C5F"/>
    <w:p w14:paraId="4E05A0F7" w14:textId="77777777" w:rsidR="00630C5F" w:rsidRDefault="00630C5F"/>
  </w:footnote>
  <w:footnote w:type="continuationSeparator" w:id="0">
    <w:p w14:paraId="2F057FC7" w14:textId="77777777" w:rsidR="00630C5F" w:rsidRDefault="00630C5F">
      <w:r>
        <w:continuationSeparator/>
      </w:r>
    </w:p>
    <w:p w14:paraId="0103C6E5" w14:textId="77777777" w:rsidR="00630C5F" w:rsidRDefault="00630C5F"/>
    <w:p w14:paraId="08F1EB41" w14:textId="77777777" w:rsidR="00630C5F" w:rsidRDefault="00630C5F"/>
  </w:footnote>
  <w:footnote w:type="continuationNotice" w:id="1">
    <w:p w14:paraId="3B4E6C76" w14:textId="77777777" w:rsidR="00630C5F" w:rsidRDefault="00630C5F">
      <w:pPr>
        <w:pStyle w:val="Footer"/>
      </w:pPr>
    </w:p>
    <w:p w14:paraId="4AA3C8FA" w14:textId="77777777" w:rsidR="00630C5F" w:rsidRDefault="00630C5F"/>
    <w:p w14:paraId="0861FE0F" w14:textId="77777777" w:rsidR="00630C5F" w:rsidRDefault="00630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D2A2" w14:textId="77777777" w:rsidR="000542B4" w:rsidRDefault="00863E83">
    <w:pPr>
      <w:pStyle w:val="Header"/>
    </w:pPr>
    <w:r>
      <w:t>[insert title of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87C7"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27A5EF66" wp14:editId="23DDE45D">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2845"/>
    <w:multiLevelType w:val="hybridMultilevel"/>
    <w:tmpl w:val="1D92A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B41267"/>
    <w:multiLevelType w:val="hybridMultilevel"/>
    <w:tmpl w:val="450EB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13F344E"/>
    <w:multiLevelType w:val="hybridMultilevel"/>
    <w:tmpl w:val="9B92A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79D65445"/>
    <w:multiLevelType w:val="hybridMultilevel"/>
    <w:tmpl w:val="56BC0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00088148">
    <w:abstractNumId w:val="4"/>
  </w:num>
  <w:num w:numId="2" w16cid:durableId="1209954464">
    <w:abstractNumId w:val="3"/>
  </w:num>
  <w:num w:numId="3" w16cid:durableId="211696695">
    <w:abstractNumId w:val="9"/>
  </w:num>
  <w:num w:numId="4" w16cid:durableId="1550148830">
    <w:abstractNumId w:val="10"/>
  </w:num>
  <w:num w:numId="5" w16cid:durableId="1460108156">
    <w:abstractNumId w:val="1"/>
  </w:num>
  <w:num w:numId="6" w16cid:durableId="1934704985">
    <w:abstractNumId w:val="5"/>
  </w:num>
  <w:num w:numId="7" w16cid:durableId="1013073201">
    <w:abstractNumId w:val="8"/>
  </w:num>
  <w:num w:numId="8" w16cid:durableId="524289160">
    <w:abstractNumId w:val="2"/>
  </w:num>
  <w:num w:numId="9" w16cid:durableId="759519435">
    <w:abstractNumId w:val="7"/>
  </w:num>
  <w:num w:numId="10" w16cid:durableId="1933053443">
    <w:abstractNumId w:val="0"/>
  </w:num>
  <w:num w:numId="11" w16cid:durableId="966085260">
    <w:abstractNumId w:val="11"/>
  </w:num>
  <w:num w:numId="12" w16cid:durableId="6032688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49A"/>
    <w:rsid w:val="0000059E"/>
    <w:rsid w:val="0000066F"/>
    <w:rsid w:val="00001B53"/>
    <w:rsid w:val="00017ACB"/>
    <w:rsid w:val="00021590"/>
    <w:rsid w:val="00025D1B"/>
    <w:rsid w:val="000266C4"/>
    <w:rsid w:val="00052DE7"/>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233A8"/>
    <w:rsid w:val="0013173D"/>
    <w:rsid w:val="00144601"/>
    <w:rsid w:val="00190D7E"/>
    <w:rsid w:val="001929D2"/>
    <w:rsid w:val="001A6968"/>
    <w:rsid w:val="001D0EF3"/>
    <w:rsid w:val="00201BFB"/>
    <w:rsid w:val="00203DE1"/>
    <w:rsid w:val="00220618"/>
    <w:rsid w:val="00234732"/>
    <w:rsid w:val="00237A69"/>
    <w:rsid w:val="00275B58"/>
    <w:rsid w:val="00281CEA"/>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254CB"/>
    <w:rsid w:val="00442630"/>
    <w:rsid w:val="0044304D"/>
    <w:rsid w:val="00446CB3"/>
    <w:rsid w:val="00474BB1"/>
    <w:rsid w:val="00477888"/>
    <w:rsid w:val="00495068"/>
    <w:rsid w:val="004C2DA2"/>
    <w:rsid w:val="004D0888"/>
    <w:rsid w:val="004E6316"/>
    <w:rsid w:val="005019C1"/>
    <w:rsid w:val="005070C8"/>
    <w:rsid w:val="00507AF8"/>
    <w:rsid w:val="00514CEE"/>
    <w:rsid w:val="00515287"/>
    <w:rsid w:val="005157CF"/>
    <w:rsid w:val="00531B5A"/>
    <w:rsid w:val="00553E9D"/>
    <w:rsid w:val="0055447F"/>
    <w:rsid w:val="00567DFC"/>
    <w:rsid w:val="00577F29"/>
    <w:rsid w:val="005A48A6"/>
    <w:rsid w:val="005B613F"/>
    <w:rsid w:val="005B656B"/>
    <w:rsid w:val="005C2BFD"/>
    <w:rsid w:val="00607A21"/>
    <w:rsid w:val="00607A36"/>
    <w:rsid w:val="006156DF"/>
    <w:rsid w:val="00625D8D"/>
    <w:rsid w:val="00630C5F"/>
    <w:rsid w:val="006360F9"/>
    <w:rsid w:val="00642F36"/>
    <w:rsid w:val="00646917"/>
    <w:rsid w:val="00656587"/>
    <w:rsid w:val="00696682"/>
    <w:rsid w:val="006B0030"/>
    <w:rsid w:val="006B49DE"/>
    <w:rsid w:val="006C6ED3"/>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517C"/>
    <w:rsid w:val="00832638"/>
    <w:rsid w:val="00863E83"/>
    <w:rsid w:val="00865130"/>
    <w:rsid w:val="00892F53"/>
    <w:rsid w:val="00895341"/>
    <w:rsid w:val="008C749A"/>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018B"/>
    <w:rsid w:val="00A04AFD"/>
    <w:rsid w:val="00A130F7"/>
    <w:rsid w:val="00A32860"/>
    <w:rsid w:val="00A62CD6"/>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45E41"/>
    <w:rsid w:val="00C6128D"/>
    <w:rsid w:val="00C73278"/>
    <w:rsid w:val="00C765C8"/>
    <w:rsid w:val="00C82029"/>
    <w:rsid w:val="00C9283A"/>
    <w:rsid w:val="00C95039"/>
    <w:rsid w:val="00CA4615"/>
    <w:rsid w:val="00CA7C6F"/>
    <w:rsid w:val="00CD3A6F"/>
    <w:rsid w:val="00CD6263"/>
    <w:rsid w:val="00CE7F36"/>
    <w:rsid w:val="00CF7D08"/>
    <w:rsid w:val="00D04A3C"/>
    <w:rsid w:val="00D172C2"/>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75F33"/>
    <w:rsid w:val="00F8408A"/>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2E443"/>
  <w15:docId w15:val="{5828C173-24BF-4911-B7C9-B18CD357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3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basedOn w:val="Normal"/>
    <w:uiPriority w:val="34"/>
    <w:qFormat/>
    <w:rsid w:val="00507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biosecurity-trade/market-access-tra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biosecurity-trade/policy/risk-analysis/animal/praw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risk-analysis"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awnrevie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26</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6106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McQuinn, Tahlia</dc:creator>
  <cp:lastModifiedBy>Aitken, Des</cp:lastModifiedBy>
  <cp:revision>3</cp:revision>
  <cp:lastPrinted>2022-10-26T05:30:00Z</cp:lastPrinted>
  <dcterms:created xsi:type="dcterms:W3CDTF">2023-04-20T06:30:00Z</dcterms:created>
  <dcterms:modified xsi:type="dcterms:W3CDTF">2023-06-05T01:03:00Z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