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69257" w14:textId="77777777" w:rsidR="00B8204E" w:rsidRDefault="00A54B82" w:rsidP="00372810">
      <w:pPr>
        <w:pStyle w:val="Text"/>
      </w:pPr>
      <w:bookmarkStart w:id="0" w:name="_GoBack"/>
      <w:bookmarkEnd w:id="0"/>
      <w:r w:rsidRPr="00A54B82">
        <w:rPr>
          <w:noProof/>
          <w:lang w:eastAsia="en-AU"/>
        </w:rPr>
        <w:drawing>
          <wp:inline distT="0" distB="0" distL="0" distR="0" wp14:anchorId="56469B32" wp14:editId="56469B33">
            <wp:extent cx="3118104" cy="539496"/>
            <wp:effectExtent l="19050" t="0" r="6096" b="0"/>
            <wp:docPr id="1" name="Picture 1" descr="The Australian Government Department of the Environment and Energy"/>
            <wp:cNvGraphicFramePr/>
            <a:graphic xmlns:a="http://schemas.openxmlformats.org/drawingml/2006/main">
              <a:graphicData uri="http://schemas.openxmlformats.org/drawingml/2006/picture">
                <pic:pic xmlns:pic="http://schemas.openxmlformats.org/drawingml/2006/picture">
                  <pic:nvPicPr>
                    <pic:cNvPr id="0" name="Dept-the-Environment-inline.png"/>
                    <pic:cNvPicPr/>
                  </pic:nvPicPr>
                  <pic:blipFill>
                    <a:blip r:embed="rId8" cstate="print"/>
                    <a:stretch>
                      <a:fillRect/>
                    </a:stretch>
                  </pic:blipFill>
                  <pic:spPr>
                    <a:xfrm>
                      <a:off x="0" y="0"/>
                      <a:ext cx="3118104" cy="539496"/>
                    </a:xfrm>
                    <a:prstGeom prst="rect">
                      <a:avLst/>
                    </a:prstGeom>
                  </pic:spPr>
                </pic:pic>
              </a:graphicData>
            </a:graphic>
          </wp:inline>
        </w:drawing>
      </w:r>
    </w:p>
    <w:p w14:paraId="56469258" w14:textId="77777777" w:rsidR="00A54B82" w:rsidRDefault="00A54B82" w:rsidP="00372810">
      <w:pPr>
        <w:pStyle w:val="Text"/>
      </w:pPr>
    </w:p>
    <w:p w14:paraId="56469259" w14:textId="77777777" w:rsidR="00BB2B23" w:rsidRDefault="00BB2B23" w:rsidP="00BB2B23">
      <w:pPr>
        <w:pStyle w:val="CoverTitle"/>
      </w:pPr>
      <w:r>
        <w:t xml:space="preserve">Emissions reduction options for synthetic greenhouse gases </w:t>
      </w:r>
    </w:p>
    <w:p w14:paraId="5646925A" w14:textId="77777777" w:rsidR="00BB2B23" w:rsidRDefault="00BB2B23" w:rsidP="00BB2B23">
      <w:pPr>
        <w:pStyle w:val="CoverSubtitle"/>
      </w:pPr>
      <w:r>
        <w:t>Contributing to Australia’s 2030 emissions reduction target</w:t>
      </w:r>
    </w:p>
    <w:p w14:paraId="5646925B" w14:textId="77777777" w:rsidR="00BB2B23" w:rsidRDefault="00BB2B23" w:rsidP="00BB2B23">
      <w:pPr>
        <w:pStyle w:val="CoverSubtitle"/>
        <w:rPr>
          <w:rStyle w:val="TextItalic"/>
        </w:rPr>
      </w:pPr>
      <w:r>
        <w:rPr>
          <w:rStyle w:val="TextItalic"/>
        </w:rPr>
        <w:t xml:space="preserve">Regulation Impact Statement </w:t>
      </w:r>
    </w:p>
    <w:p w14:paraId="5646925C" w14:textId="77777777" w:rsidR="00BB2B23" w:rsidRDefault="00BB2B23" w:rsidP="00BB2B23">
      <w:pPr>
        <w:pStyle w:val="CoverSubtitle"/>
      </w:pPr>
      <w:r>
        <w:t>April 2016</w:t>
      </w:r>
    </w:p>
    <w:p w14:paraId="5646925D" w14:textId="77777777" w:rsidR="0005026F" w:rsidRDefault="0005026F" w:rsidP="00BB2B23">
      <w:pPr>
        <w:pStyle w:val="Subhead1"/>
        <w:sectPr w:rsidR="0005026F" w:rsidSect="00B8204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5" w:footer="425" w:gutter="0"/>
          <w:pgNumType w:start="1"/>
          <w:cols w:space="708"/>
          <w:titlePg/>
          <w:docGrid w:linePitch="360"/>
        </w:sectPr>
      </w:pPr>
    </w:p>
    <w:p w14:paraId="5646925E" w14:textId="77777777" w:rsidR="00BB2B23" w:rsidRDefault="00BB2B23" w:rsidP="00BB2B23">
      <w:pPr>
        <w:pStyle w:val="Subhead1"/>
      </w:pPr>
      <w:r>
        <w:lastRenderedPageBreak/>
        <w:t>Contents</w:t>
      </w:r>
    </w:p>
    <w:p w14:paraId="5646925F" w14:textId="77777777" w:rsidR="00BB2B23" w:rsidRDefault="00BB2B23" w:rsidP="00BB2B23">
      <w:pPr>
        <w:pStyle w:val="Text"/>
      </w:pPr>
      <w:r>
        <w:t xml:space="preserve">Abbreviations and acronyms </w:t>
      </w:r>
      <w:r>
        <w:tab/>
        <w:t>vi</w:t>
      </w:r>
    </w:p>
    <w:p w14:paraId="56469260" w14:textId="77777777" w:rsidR="00BB2B23" w:rsidRDefault="00BB2B23" w:rsidP="00BB2B23">
      <w:pPr>
        <w:pStyle w:val="Text"/>
      </w:pPr>
      <w:r>
        <w:t>Table of Figures</w:t>
      </w:r>
      <w:r>
        <w:tab/>
        <w:t>vii</w:t>
      </w:r>
    </w:p>
    <w:p w14:paraId="56469261" w14:textId="77777777" w:rsidR="00BB2B23" w:rsidRDefault="00BB2B23" w:rsidP="00BB2B23">
      <w:pPr>
        <w:pStyle w:val="Text"/>
      </w:pPr>
      <w:r>
        <w:t>List of Tables</w:t>
      </w:r>
      <w:r>
        <w:tab/>
        <w:t>viii</w:t>
      </w:r>
    </w:p>
    <w:p w14:paraId="56469262" w14:textId="77777777" w:rsidR="00BB2B23" w:rsidRDefault="00BB2B23" w:rsidP="00BB2B23">
      <w:pPr>
        <w:pStyle w:val="Text"/>
      </w:pPr>
      <w:r>
        <w:t>Executive Summary</w:t>
      </w:r>
      <w:r>
        <w:tab/>
        <w:t>1</w:t>
      </w:r>
    </w:p>
    <w:p w14:paraId="56469263" w14:textId="77777777" w:rsidR="00BB2B23" w:rsidRDefault="00BB2B23" w:rsidP="00BB2B23">
      <w:pPr>
        <w:pStyle w:val="Text"/>
      </w:pPr>
      <w:r>
        <w:t>What is the Policy Problem?</w:t>
      </w:r>
      <w:r>
        <w:tab/>
        <w:t>1</w:t>
      </w:r>
    </w:p>
    <w:p w14:paraId="56469264" w14:textId="77777777" w:rsidR="00BB2B23" w:rsidRDefault="00BB2B23" w:rsidP="00BB2B23">
      <w:pPr>
        <w:pStyle w:val="Text"/>
      </w:pPr>
      <w:r>
        <w:t xml:space="preserve">Nature and extent of the problem—Hydrofluorocarbons </w:t>
      </w:r>
      <w:r>
        <w:tab/>
        <w:t>1</w:t>
      </w:r>
    </w:p>
    <w:p w14:paraId="56469265" w14:textId="77777777" w:rsidR="00BB2B23" w:rsidRDefault="00BB2B23" w:rsidP="00BB2B23">
      <w:pPr>
        <w:pStyle w:val="Text"/>
      </w:pPr>
      <w:r>
        <w:t>Regulation of HFC use in Australia</w:t>
      </w:r>
      <w:r>
        <w:tab/>
        <w:t>3</w:t>
      </w:r>
    </w:p>
    <w:p w14:paraId="56469266" w14:textId="77777777" w:rsidR="00BB2B23" w:rsidRDefault="00BB2B23" w:rsidP="00BB2B23">
      <w:pPr>
        <w:pStyle w:val="Text"/>
      </w:pPr>
      <w:r>
        <w:t xml:space="preserve">The future of HFC use in Australia </w:t>
      </w:r>
      <w:r>
        <w:tab/>
        <w:t>3</w:t>
      </w:r>
    </w:p>
    <w:p w14:paraId="56469267" w14:textId="77777777" w:rsidR="00BB2B23" w:rsidRDefault="00BB2B23" w:rsidP="00BB2B23">
      <w:pPr>
        <w:pStyle w:val="Text"/>
      </w:pPr>
      <w:r>
        <w:t>Why is Government action needed?</w:t>
      </w:r>
      <w:r>
        <w:tab/>
        <w:t>3</w:t>
      </w:r>
    </w:p>
    <w:p w14:paraId="56469268" w14:textId="77777777" w:rsidR="00BB2B23" w:rsidRDefault="00BB2B23" w:rsidP="00BB2B23">
      <w:pPr>
        <w:pStyle w:val="Text"/>
      </w:pPr>
      <w:r>
        <w:t>Objectives of Government action</w:t>
      </w:r>
      <w:r>
        <w:tab/>
        <w:t>3</w:t>
      </w:r>
    </w:p>
    <w:p w14:paraId="56469269" w14:textId="77777777" w:rsidR="00BB2B23" w:rsidRDefault="00BB2B23" w:rsidP="00BB2B23">
      <w:pPr>
        <w:pStyle w:val="Text"/>
      </w:pPr>
      <w:r>
        <w:t xml:space="preserve">Options for Government action </w:t>
      </w:r>
      <w:r>
        <w:tab/>
        <w:t>3</w:t>
      </w:r>
    </w:p>
    <w:p w14:paraId="5646926A" w14:textId="77777777" w:rsidR="00BB2B23" w:rsidRDefault="00BB2B23" w:rsidP="00BB2B23">
      <w:pPr>
        <w:pStyle w:val="Text"/>
      </w:pPr>
      <w:r>
        <w:t>Impact Analysis of Options</w:t>
      </w:r>
      <w:r>
        <w:tab/>
        <w:t>6</w:t>
      </w:r>
    </w:p>
    <w:p w14:paraId="5646926B" w14:textId="77777777" w:rsidR="00BB2B23" w:rsidRDefault="00BB2B23" w:rsidP="00BB2B23">
      <w:pPr>
        <w:pStyle w:val="Text"/>
      </w:pPr>
      <w:r>
        <w:t>Summary of impact analysis</w:t>
      </w:r>
      <w:r>
        <w:tab/>
        <w:t>6</w:t>
      </w:r>
    </w:p>
    <w:p w14:paraId="5646926C" w14:textId="77777777" w:rsidR="00BB2B23" w:rsidRDefault="00BB2B23" w:rsidP="00BB2B23">
      <w:pPr>
        <w:pStyle w:val="Text"/>
      </w:pPr>
      <w:r>
        <w:t>Consultation</w:t>
      </w:r>
      <w:r>
        <w:tab/>
        <w:t>9</w:t>
      </w:r>
    </w:p>
    <w:p w14:paraId="5646926D" w14:textId="77777777" w:rsidR="00BB2B23" w:rsidRDefault="00BB2B23" w:rsidP="00BB2B23">
      <w:pPr>
        <w:pStyle w:val="Text"/>
      </w:pPr>
      <w:r>
        <w:t>Best Option</w:t>
      </w:r>
      <w:r>
        <w:tab/>
        <w:t>9</w:t>
      </w:r>
    </w:p>
    <w:p w14:paraId="5646926E" w14:textId="77777777" w:rsidR="00BB2B23" w:rsidRDefault="00BB2B23" w:rsidP="00BB2B23">
      <w:pPr>
        <w:pStyle w:val="Text"/>
      </w:pPr>
      <w:r>
        <w:t xml:space="preserve">Implementation </w:t>
      </w:r>
      <w:r>
        <w:tab/>
        <w:t>9</w:t>
      </w:r>
    </w:p>
    <w:p w14:paraId="5646926F" w14:textId="77777777" w:rsidR="00BB2B23" w:rsidRDefault="00BB2B23" w:rsidP="00BB2B23">
      <w:pPr>
        <w:pStyle w:val="Text"/>
      </w:pPr>
      <w:r>
        <w:t>Review and evaluation</w:t>
      </w:r>
      <w:r>
        <w:tab/>
        <w:t>9</w:t>
      </w:r>
    </w:p>
    <w:p w14:paraId="56469270" w14:textId="77777777" w:rsidR="00BB2B23" w:rsidRDefault="00BB2B23" w:rsidP="00BB2B23">
      <w:pPr>
        <w:pStyle w:val="Text"/>
      </w:pPr>
      <w:r>
        <w:t>Overview of the Regulation Impact</w:t>
      </w:r>
      <w:r>
        <w:rPr>
          <w:rStyle w:val="nobreak"/>
        </w:rPr>
        <w:t xml:space="preserve"> </w:t>
      </w:r>
      <w:r>
        <w:t>Statement</w:t>
      </w:r>
      <w:r>
        <w:tab/>
        <w:t>10</w:t>
      </w:r>
    </w:p>
    <w:p w14:paraId="56469271" w14:textId="77777777" w:rsidR="00BB2B23" w:rsidRDefault="00BB2B23" w:rsidP="00BB2B23">
      <w:pPr>
        <w:pStyle w:val="Text"/>
      </w:pPr>
      <w:r>
        <w:t>Report structure</w:t>
      </w:r>
      <w:r>
        <w:tab/>
        <w:t>10</w:t>
      </w:r>
    </w:p>
    <w:p w14:paraId="56469272" w14:textId="77777777" w:rsidR="00BB2B23" w:rsidRDefault="00BB2B23" w:rsidP="00BB2B23">
      <w:pPr>
        <w:pStyle w:val="Text"/>
      </w:pPr>
      <w:r>
        <w:t>Section 1</w:t>
      </w:r>
      <w:r>
        <w:tab/>
        <w:t>11</w:t>
      </w:r>
    </w:p>
    <w:p w14:paraId="56469273" w14:textId="77777777" w:rsidR="00BB2B23" w:rsidRDefault="00BB2B23" w:rsidP="00BB2B23">
      <w:pPr>
        <w:pStyle w:val="Text"/>
      </w:pPr>
      <w:r>
        <w:t>Purpose</w:t>
      </w:r>
      <w:r>
        <w:tab/>
        <w:t>11</w:t>
      </w:r>
    </w:p>
    <w:p w14:paraId="56469274" w14:textId="77777777" w:rsidR="00BB2B23" w:rsidRDefault="00BB2B23" w:rsidP="00BB2B23">
      <w:pPr>
        <w:pStyle w:val="Text"/>
      </w:pPr>
      <w:r>
        <w:t>Section 2</w:t>
      </w:r>
      <w:r>
        <w:tab/>
        <w:t>12</w:t>
      </w:r>
    </w:p>
    <w:p w14:paraId="56469275" w14:textId="77777777" w:rsidR="00BB2B23" w:rsidRDefault="00BB2B23" w:rsidP="00BB2B23">
      <w:pPr>
        <w:pStyle w:val="Text"/>
      </w:pPr>
      <w:r>
        <w:t xml:space="preserve">What is the policy problem </w:t>
      </w:r>
      <w:r>
        <w:tab/>
        <w:t>12</w:t>
      </w:r>
    </w:p>
    <w:p w14:paraId="56469276" w14:textId="77777777" w:rsidR="00BB2B23" w:rsidRDefault="00BB2B23" w:rsidP="00BB2B23">
      <w:pPr>
        <w:pStyle w:val="Text"/>
      </w:pPr>
      <w:r>
        <w:t xml:space="preserve">Background </w:t>
      </w:r>
      <w:r>
        <w:tab/>
        <w:t>13</w:t>
      </w:r>
    </w:p>
    <w:p w14:paraId="56469277" w14:textId="77777777" w:rsidR="00BB2B23" w:rsidRDefault="00BB2B23" w:rsidP="00BB2B23">
      <w:pPr>
        <w:pStyle w:val="Text"/>
      </w:pPr>
      <w:r>
        <w:t>Nature and extent of the problem—Hydrofluorocarbons</w:t>
      </w:r>
      <w:r>
        <w:tab/>
        <w:t>13</w:t>
      </w:r>
    </w:p>
    <w:p w14:paraId="56469278" w14:textId="77777777" w:rsidR="00BB2B23" w:rsidRDefault="00BB2B23" w:rsidP="00BB2B23">
      <w:pPr>
        <w:pStyle w:val="Text"/>
      </w:pPr>
      <w:r>
        <w:t>Health and Environmental Impacts</w:t>
      </w:r>
      <w:r>
        <w:tab/>
        <w:t>14</w:t>
      </w:r>
    </w:p>
    <w:p w14:paraId="56469279" w14:textId="77777777" w:rsidR="00BB2B23" w:rsidRDefault="00BB2B23" w:rsidP="00BB2B23">
      <w:pPr>
        <w:pStyle w:val="Text"/>
      </w:pPr>
      <w:r>
        <w:t>Australia’s main HFC use—Refrigeration and air conditioning</w:t>
      </w:r>
      <w:r>
        <w:tab/>
        <w:t>15</w:t>
      </w:r>
    </w:p>
    <w:p w14:paraId="5646927A" w14:textId="77777777" w:rsidR="00BB2B23" w:rsidRDefault="00BB2B23" w:rsidP="00BB2B23">
      <w:pPr>
        <w:pStyle w:val="Text"/>
      </w:pPr>
      <w:r>
        <w:t>Regulation of HFC use in Australia</w:t>
      </w:r>
      <w:r>
        <w:tab/>
        <w:t>16</w:t>
      </w:r>
    </w:p>
    <w:p w14:paraId="5646927B" w14:textId="77777777" w:rsidR="00BB2B23" w:rsidRDefault="00BB2B23" w:rsidP="00BB2B23">
      <w:pPr>
        <w:pStyle w:val="Text"/>
      </w:pPr>
      <w:r>
        <w:t xml:space="preserve">The future of HFC use in Australia </w:t>
      </w:r>
      <w:r>
        <w:tab/>
        <w:t>16</w:t>
      </w:r>
    </w:p>
    <w:p w14:paraId="5646927C" w14:textId="77777777" w:rsidR="00BB2B23" w:rsidRDefault="00BB2B23" w:rsidP="00BB2B23">
      <w:pPr>
        <w:pStyle w:val="Text"/>
      </w:pPr>
      <w:r>
        <w:lastRenderedPageBreak/>
        <w:t>Section 3</w:t>
      </w:r>
      <w:r>
        <w:tab/>
        <w:t>18</w:t>
      </w:r>
    </w:p>
    <w:p w14:paraId="5646927D" w14:textId="77777777" w:rsidR="00BB2B23" w:rsidRDefault="00BB2B23" w:rsidP="00BB2B23">
      <w:pPr>
        <w:pStyle w:val="Text"/>
      </w:pPr>
      <w:r>
        <w:t>Why is Government action</w:t>
      </w:r>
      <w:r>
        <w:rPr>
          <w:rStyle w:val="nobreak"/>
        </w:rPr>
        <w:t xml:space="preserve"> </w:t>
      </w:r>
      <w:r>
        <w:t>needed?</w:t>
      </w:r>
      <w:r>
        <w:tab/>
        <w:t>18</w:t>
      </w:r>
    </w:p>
    <w:p w14:paraId="5646927E" w14:textId="77777777" w:rsidR="00BB2B23" w:rsidRDefault="00BB2B23" w:rsidP="00BB2B23">
      <w:pPr>
        <w:pStyle w:val="Text"/>
      </w:pPr>
      <w:r>
        <w:t>Objectives of Government action</w:t>
      </w:r>
      <w:r>
        <w:tab/>
        <w:t>18</w:t>
      </w:r>
    </w:p>
    <w:p w14:paraId="5646927F" w14:textId="77777777" w:rsidR="00BB2B23" w:rsidRDefault="00BB2B23" w:rsidP="00BB2B23">
      <w:pPr>
        <w:pStyle w:val="Text"/>
      </w:pPr>
      <w:r>
        <w:t>Section 4</w:t>
      </w:r>
      <w:r>
        <w:tab/>
        <w:t>19</w:t>
      </w:r>
    </w:p>
    <w:p w14:paraId="56469280" w14:textId="77777777" w:rsidR="00BB2B23" w:rsidRDefault="00BB2B23" w:rsidP="00BB2B23">
      <w:pPr>
        <w:pStyle w:val="Text"/>
      </w:pPr>
      <w:r>
        <w:t>Options for Government</w:t>
      </w:r>
      <w:r>
        <w:rPr>
          <w:rStyle w:val="nobreak"/>
        </w:rPr>
        <w:t xml:space="preserve"> </w:t>
      </w:r>
      <w:r>
        <w:t xml:space="preserve">action </w:t>
      </w:r>
      <w:r>
        <w:tab/>
        <w:t>19</w:t>
      </w:r>
    </w:p>
    <w:p w14:paraId="56469281" w14:textId="77777777" w:rsidR="00BB2B23" w:rsidRDefault="00BB2B23" w:rsidP="00BB2B23">
      <w:pPr>
        <w:pStyle w:val="Text"/>
      </w:pPr>
      <w:r>
        <w:t>Option 1 Overview—No additional regulation</w:t>
      </w:r>
      <w:r>
        <w:tab/>
        <w:t>20</w:t>
      </w:r>
    </w:p>
    <w:p w14:paraId="56469282" w14:textId="77777777" w:rsidR="00BB2B23" w:rsidRDefault="00BB2B23" w:rsidP="00BB2B23">
      <w:pPr>
        <w:pStyle w:val="Text"/>
      </w:pPr>
      <w:r>
        <w:t xml:space="preserve">Option 2 Overview—Legislated HFC Phase-down (reduction of imports of bulk gases) </w:t>
      </w:r>
      <w:r>
        <w:tab/>
        <w:t>20</w:t>
      </w:r>
    </w:p>
    <w:p w14:paraId="56469283" w14:textId="77777777" w:rsidR="00BB2B23" w:rsidRDefault="00BB2B23" w:rsidP="00BB2B23">
      <w:pPr>
        <w:pStyle w:val="Text"/>
      </w:pPr>
      <w:r>
        <w:t xml:space="preserve">Option 2a—North American HFC phase-down proposal </w:t>
      </w:r>
      <w:r>
        <w:tab/>
        <w:t>20</w:t>
      </w:r>
    </w:p>
    <w:p w14:paraId="56469284" w14:textId="77777777" w:rsidR="00BB2B23" w:rsidRDefault="00BB2B23" w:rsidP="00BB2B23">
      <w:pPr>
        <w:pStyle w:val="Text"/>
      </w:pPr>
      <w:r>
        <w:t>Option 2b—Accelerated HFC phase-down</w:t>
      </w:r>
      <w:r>
        <w:tab/>
        <w:t>21</w:t>
      </w:r>
    </w:p>
    <w:p w14:paraId="56469285" w14:textId="77777777" w:rsidR="00BB2B23" w:rsidRDefault="00BB2B23" w:rsidP="00BB2B23">
      <w:pPr>
        <w:pStyle w:val="Text"/>
      </w:pPr>
      <w:r>
        <w:t>Option 3 Overview—Bans on imports of HFC pre</w:t>
      </w:r>
      <w:r>
        <w:rPr>
          <w:rStyle w:val="nobreak"/>
        </w:rPr>
        <w:t>-c</w:t>
      </w:r>
      <w:r>
        <w:t>harged</w:t>
      </w:r>
      <w:r>
        <w:rPr>
          <w:rStyle w:val="nobreak"/>
        </w:rPr>
        <w:t xml:space="preserve"> </w:t>
      </w:r>
      <w:r>
        <w:t xml:space="preserve">equipment </w:t>
      </w:r>
      <w:r>
        <w:tab/>
        <w:t>22</w:t>
      </w:r>
    </w:p>
    <w:p w14:paraId="56469286" w14:textId="77777777" w:rsidR="00BB2B23" w:rsidRDefault="00BB2B23" w:rsidP="00BB2B23">
      <w:pPr>
        <w:pStyle w:val="Text"/>
      </w:pPr>
      <w:r>
        <w:t>Overview of Option 3a—supermarket equipment bans</w:t>
      </w:r>
      <w:r>
        <w:tab/>
        <w:t>22</w:t>
      </w:r>
    </w:p>
    <w:p w14:paraId="56469287" w14:textId="77777777" w:rsidR="00BB2B23" w:rsidRDefault="00BB2B23" w:rsidP="00BB2B23">
      <w:pPr>
        <w:pStyle w:val="Text"/>
      </w:pPr>
      <w:r>
        <w:t>Overview of Option 3b—mobile air conditioning bans</w:t>
      </w:r>
      <w:r>
        <w:tab/>
        <w:t>22</w:t>
      </w:r>
    </w:p>
    <w:p w14:paraId="56469288" w14:textId="77777777" w:rsidR="00BB2B23" w:rsidRDefault="00BB2B23" w:rsidP="00BB2B23">
      <w:pPr>
        <w:pStyle w:val="Text"/>
      </w:pPr>
      <w:r>
        <w:t>Option 4 Overview—Domestic equipment controls</w:t>
      </w:r>
      <w:r>
        <w:tab/>
        <w:t>23</w:t>
      </w:r>
    </w:p>
    <w:p w14:paraId="56469289" w14:textId="77777777" w:rsidR="00BB2B23" w:rsidRDefault="00BB2B23" w:rsidP="00BB2B23">
      <w:pPr>
        <w:pStyle w:val="Text"/>
      </w:pPr>
      <w:r>
        <w:t xml:space="preserve">Overview of Option 4a—Mandatory leak testing </w:t>
      </w:r>
      <w:r>
        <w:tab/>
        <w:t>23</w:t>
      </w:r>
    </w:p>
    <w:p w14:paraId="5646928A" w14:textId="77777777" w:rsidR="00BB2B23" w:rsidRDefault="00BB2B23" w:rsidP="00BB2B23">
      <w:pPr>
        <w:pStyle w:val="Text"/>
      </w:pPr>
      <w:r>
        <w:t>Overview of Option 4b—Mandatory maintenance</w:t>
      </w:r>
      <w:r>
        <w:tab/>
        <w:t>23</w:t>
      </w:r>
    </w:p>
    <w:p w14:paraId="5646928B" w14:textId="77777777" w:rsidR="00BB2B23" w:rsidRDefault="00BB2B23" w:rsidP="00BB2B23">
      <w:pPr>
        <w:pStyle w:val="Text"/>
      </w:pPr>
      <w:r>
        <w:t>Section 5</w:t>
      </w:r>
      <w:r>
        <w:tab/>
        <w:t>24</w:t>
      </w:r>
    </w:p>
    <w:p w14:paraId="5646928C" w14:textId="77777777" w:rsidR="00BB2B23" w:rsidRDefault="00BB2B23" w:rsidP="00BB2B23">
      <w:pPr>
        <w:pStyle w:val="Text"/>
      </w:pPr>
      <w:r>
        <w:t>Impact analysis of each</w:t>
      </w:r>
      <w:r>
        <w:rPr>
          <w:rStyle w:val="nobreak"/>
        </w:rPr>
        <w:t xml:space="preserve"> </w:t>
      </w:r>
      <w:r>
        <w:t>option</w:t>
      </w:r>
      <w:r>
        <w:tab/>
        <w:t>24</w:t>
      </w:r>
    </w:p>
    <w:p w14:paraId="5646928D" w14:textId="77777777" w:rsidR="00BB2B23" w:rsidRDefault="00BB2B23" w:rsidP="00BB2B23">
      <w:pPr>
        <w:pStyle w:val="Text"/>
      </w:pPr>
      <w:r>
        <w:t>Cost-Benefit Analysis—General Framework</w:t>
      </w:r>
      <w:r>
        <w:tab/>
        <w:t>24</w:t>
      </w:r>
    </w:p>
    <w:p w14:paraId="5646928E" w14:textId="77777777" w:rsidR="00BB2B23" w:rsidRDefault="00BB2B23" w:rsidP="00BB2B23">
      <w:pPr>
        <w:pStyle w:val="Text"/>
      </w:pPr>
      <w:r>
        <w:t>Cost-Benefit Analysis—Reference Scenario</w:t>
      </w:r>
      <w:r>
        <w:tab/>
        <w:t>24</w:t>
      </w:r>
    </w:p>
    <w:p w14:paraId="5646928F" w14:textId="77777777" w:rsidR="00BB2B23" w:rsidRDefault="00BB2B23" w:rsidP="00BB2B23">
      <w:pPr>
        <w:pStyle w:val="Text"/>
      </w:pPr>
      <w:r>
        <w:t>Cost-Benefit Analysis—Assumptions and methodology</w:t>
      </w:r>
      <w:r>
        <w:tab/>
        <w:t>25</w:t>
      </w:r>
    </w:p>
    <w:p w14:paraId="56469290" w14:textId="77777777" w:rsidR="00BB2B23" w:rsidRDefault="00BB2B23" w:rsidP="00BB2B23">
      <w:pPr>
        <w:pStyle w:val="Text"/>
      </w:pPr>
      <w:r>
        <w:t>Costs and benefits data</w:t>
      </w:r>
      <w:r>
        <w:tab/>
        <w:t>25</w:t>
      </w:r>
    </w:p>
    <w:p w14:paraId="56469291" w14:textId="77777777" w:rsidR="00BB2B23" w:rsidRDefault="00BB2B23" w:rsidP="00BB2B23">
      <w:pPr>
        <w:pStyle w:val="Text"/>
      </w:pPr>
      <w:r>
        <w:t>Impact analysis Option 1—No additional regulation</w:t>
      </w:r>
      <w:r>
        <w:tab/>
        <w:t>27</w:t>
      </w:r>
    </w:p>
    <w:p w14:paraId="56469292" w14:textId="77777777" w:rsidR="00BB2B23" w:rsidRDefault="00BB2B23" w:rsidP="00BB2B23">
      <w:pPr>
        <w:pStyle w:val="Text"/>
      </w:pPr>
      <w:r>
        <w:t>Impact on stakeholders</w:t>
      </w:r>
      <w:r>
        <w:tab/>
        <w:t>28</w:t>
      </w:r>
    </w:p>
    <w:p w14:paraId="56469293" w14:textId="77777777" w:rsidR="00BB2B23" w:rsidRDefault="00BB2B23" w:rsidP="00BB2B23">
      <w:pPr>
        <w:pStyle w:val="Text"/>
      </w:pPr>
      <w:r>
        <w:t>Option 2—Legislated HFC phase-down (reduction of imports of bulk gases)</w:t>
      </w:r>
      <w:r>
        <w:tab/>
        <w:t>29</w:t>
      </w:r>
    </w:p>
    <w:p w14:paraId="56469294" w14:textId="77777777" w:rsidR="00BB2B23" w:rsidRDefault="00BB2B23" w:rsidP="00BB2B23">
      <w:pPr>
        <w:pStyle w:val="Text"/>
      </w:pPr>
      <w:r>
        <w:t>Anticipated benefits (Options 2a and 2b)</w:t>
      </w:r>
      <w:r>
        <w:tab/>
        <w:t>29</w:t>
      </w:r>
    </w:p>
    <w:p w14:paraId="56469295" w14:textId="77777777" w:rsidR="00BB2B23" w:rsidRDefault="00BB2B23" w:rsidP="00BB2B23">
      <w:pPr>
        <w:pStyle w:val="Text"/>
      </w:pPr>
      <w:r>
        <w:t>Anticipated costs (Options 2a and 2b)</w:t>
      </w:r>
      <w:r>
        <w:tab/>
        <w:t>29</w:t>
      </w:r>
    </w:p>
    <w:p w14:paraId="56469296" w14:textId="77777777" w:rsidR="00BB2B23" w:rsidRDefault="00BB2B23" w:rsidP="00BB2B23">
      <w:pPr>
        <w:pStyle w:val="Text"/>
      </w:pPr>
      <w:r>
        <w:t>Impacts on affected stakeholders</w:t>
      </w:r>
      <w:r>
        <w:tab/>
        <w:t>30</w:t>
      </w:r>
    </w:p>
    <w:p w14:paraId="56469297" w14:textId="77777777" w:rsidR="00BB2B23" w:rsidRDefault="00BB2B23" w:rsidP="00BB2B23">
      <w:pPr>
        <w:pStyle w:val="Text"/>
      </w:pPr>
      <w:r>
        <w:t>Competition impacts and distributional impacts</w:t>
      </w:r>
      <w:r>
        <w:tab/>
        <w:t>31</w:t>
      </w:r>
    </w:p>
    <w:p w14:paraId="56469298" w14:textId="77777777" w:rsidR="00BB2B23" w:rsidRDefault="00BB2B23" w:rsidP="00BB2B23">
      <w:pPr>
        <w:pStyle w:val="Text"/>
      </w:pPr>
      <w:r>
        <w:t>Alternative allocation method</w:t>
      </w:r>
      <w:r>
        <w:tab/>
        <w:t>32</w:t>
      </w:r>
    </w:p>
    <w:p w14:paraId="56469299" w14:textId="77777777" w:rsidR="00BB2B23" w:rsidRDefault="00BB2B23" w:rsidP="00BB2B23">
      <w:pPr>
        <w:pStyle w:val="Text"/>
      </w:pPr>
      <w:r>
        <w:t xml:space="preserve">Cost-Benefit Analysis </w:t>
      </w:r>
      <w:r>
        <w:tab/>
        <w:t>33</w:t>
      </w:r>
    </w:p>
    <w:p w14:paraId="5646929A" w14:textId="77777777" w:rsidR="00BB2B23" w:rsidRDefault="00BB2B23" w:rsidP="00BB2B23">
      <w:pPr>
        <w:pStyle w:val="Text"/>
      </w:pPr>
      <w:r>
        <w:t>Impact analysis Option 3—Bans on pre-charged HFC Equipment</w:t>
      </w:r>
      <w:r>
        <w:tab/>
        <w:t>35</w:t>
      </w:r>
    </w:p>
    <w:p w14:paraId="5646929B" w14:textId="77777777" w:rsidR="00BB2B23" w:rsidRDefault="00BB2B23" w:rsidP="00BB2B23">
      <w:pPr>
        <w:pStyle w:val="Text"/>
      </w:pPr>
      <w:r>
        <w:lastRenderedPageBreak/>
        <w:t>Impact of Option 3a—Supermarket equipment bans</w:t>
      </w:r>
      <w:r>
        <w:tab/>
        <w:t>35</w:t>
      </w:r>
    </w:p>
    <w:p w14:paraId="5646929C" w14:textId="77777777" w:rsidR="00BB2B23" w:rsidRDefault="00BB2B23" w:rsidP="00BB2B23">
      <w:pPr>
        <w:pStyle w:val="Text"/>
      </w:pPr>
      <w:r>
        <w:t>Impacts of Option 3b—Mobile air conditioning bans</w:t>
      </w:r>
      <w:r>
        <w:tab/>
        <w:t>35</w:t>
      </w:r>
    </w:p>
    <w:p w14:paraId="5646929D" w14:textId="77777777" w:rsidR="00BB2B23" w:rsidRDefault="00BB2B23" w:rsidP="00BB2B23">
      <w:pPr>
        <w:pStyle w:val="Text"/>
      </w:pPr>
      <w:r>
        <w:t>Anticipated benefits (Options 3a and 3b)</w:t>
      </w:r>
      <w:r>
        <w:tab/>
        <w:t>36</w:t>
      </w:r>
    </w:p>
    <w:p w14:paraId="5646929E" w14:textId="77777777" w:rsidR="00BB2B23" w:rsidRDefault="00BB2B23" w:rsidP="00BB2B23">
      <w:pPr>
        <w:pStyle w:val="Text"/>
      </w:pPr>
      <w:r>
        <w:t>Anticipated costs (Options 3a and 3b)</w:t>
      </w:r>
      <w:r>
        <w:tab/>
        <w:t>36</w:t>
      </w:r>
    </w:p>
    <w:p w14:paraId="5646929F" w14:textId="77777777" w:rsidR="00BB2B23" w:rsidRDefault="00BB2B23" w:rsidP="00BB2B23">
      <w:pPr>
        <w:pStyle w:val="Text"/>
      </w:pPr>
      <w:r>
        <w:t>Impacts on affected stakeholders</w:t>
      </w:r>
      <w:r>
        <w:tab/>
        <w:t>36</w:t>
      </w:r>
    </w:p>
    <w:p w14:paraId="564692A0" w14:textId="77777777" w:rsidR="00BB2B23" w:rsidRDefault="00BB2B23" w:rsidP="00BB2B23">
      <w:pPr>
        <w:pStyle w:val="Text"/>
      </w:pPr>
      <w:r>
        <w:t>Cost-Benefit Analysis results</w:t>
      </w:r>
      <w:r>
        <w:tab/>
        <w:t>37</w:t>
      </w:r>
    </w:p>
    <w:p w14:paraId="564692A1" w14:textId="77777777" w:rsidR="00BB2B23" w:rsidRDefault="00BB2B23" w:rsidP="00BB2B23">
      <w:pPr>
        <w:pStyle w:val="Text"/>
      </w:pPr>
      <w:r>
        <w:t>Impact analysis—Option 4—Equipment controls</w:t>
      </w:r>
      <w:r>
        <w:tab/>
        <w:t>38</w:t>
      </w:r>
    </w:p>
    <w:p w14:paraId="564692A2" w14:textId="77777777" w:rsidR="00BB2B23" w:rsidRDefault="00BB2B23" w:rsidP="00BB2B23">
      <w:pPr>
        <w:pStyle w:val="Text"/>
      </w:pPr>
      <w:r>
        <w:t>Impacts of Option 4a—Mandatory leak testing</w:t>
      </w:r>
      <w:r>
        <w:tab/>
        <w:t>38</w:t>
      </w:r>
    </w:p>
    <w:p w14:paraId="564692A3" w14:textId="77777777" w:rsidR="00BB2B23" w:rsidRDefault="00BB2B23" w:rsidP="00BB2B23">
      <w:pPr>
        <w:pStyle w:val="Text"/>
      </w:pPr>
      <w:r>
        <w:t>Impacts of Option 4b—Mandatory maintenance</w:t>
      </w:r>
      <w:r>
        <w:tab/>
        <w:t>38</w:t>
      </w:r>
    </w:p>
    <w:p w14:paraId="564692A4" w14:textId="77777777" w:rsidR="00BB2B23" w:rsidRDefault="00BB2B23" w:rsidP="00BB2B23">
      <w:pPr>
        <w:pStyle w:val="Text"/>
      </w:pPr>
      <w:r>
        <w:t>Anticipated benefits (Options 4a and 4b)</w:t>
      </w:r>
      <w:r>
        <w:tab/>
        <w:t>38</w:t>
      </w:r>
    </w:p>
    <w:p w14:paraId="564692A5" w14:textId="77777777" w:rsidR="00BB2B23" w:rsidRDefault="00BB2B23" w:rsidP="00BB2B23">
      <w:pPr>
        <w:pStyle w:val="Text"/>
      </w:pPr>
      <w:r>
        <w:t>Anticipated costs (Options 4a and 4b)</w:t>
      </w:r>
      <w:r>
        <w:tab/>
        <w:t>39</w:t>
      </w:r>
    </w:p>
    <w:p w14:paraId="564692A6" w14:textId="77777777" w:rsidR="00BB2B23" w:rsidRDefault="00BB2B23" w:rsidP="00BB2B23">
      <w:pPr>
        <w:pStyle w:val="Text"/>
      </w:pPr>
      <w:r>
        <w:t>Impacts on affected stakeholders</w:t>
      </w:r>
      <w:r>
        <w:tab/>
        <w:t>39</w:t>
      </w:r>
    </w:p>
    <w:p w14:paraId="564692A7" w14:textId="77777777" w:rsidR="00BB2B23" w:rsidRDefault="00BB2B23" w:rsidP="00BB2B23">
      <w:pPr>
        <w:pStyle w:val="Text"/>
      </w:pPr>
      <w:r>
        <w:t>Cost-Benefit Analysis Results—Mandatory leak testing</w:t>
      </w:r>
      <w:r>
        <w:tab/>
        <w:t>40</w:t>
      </w:r>
    </w:p>
    <w:p w14:paraId="564692A8" w14:textId="77777777" w:rsidR="00BB2B23" w:rsidRDefault="00BB2B23" w:rsidP="00BB2B23">
      <w:pPr>
        <w:pStyle w:val="Text"/>
      </w:pPr>
      <w:r>
        <w:t>Cost-Benefit Analysis Results—Mandatory maintenance</w:t>
      </w:r>
      <w:r>
        <w:tab/>
        <w:t>41</w:t>
      </w:r>
    </w:p>
    <w:p w14:paraId="564692A9" w14:textId="77777777" w:rsidR="00BB2B23" w:rsidRDefault="00BB2B23" w:rsidP="00BB2B23">
      <w:pPr>
        <w:pStyle w:val="Text"/>
      </w:pPr>
      <w:r>
        <w:t>Regulatory burden of each option</w:t>
      </w:r>
      <w:r>
        <w:tab/>
        <w:t>42</w:t>
      </w:r>
    </w:p>
    <w:p w14:paraId="564692AA" w14:textId="77777777" w:rsidR="00BB2B23" w:rsidRDefault="00BB2B23" w:rsidP="00BB2B23">
      <w:pPr>
        <w:pStyle w:val="Text"/>
      </w:pPr>
      <w:r>
        <w:t>General characteristics of the options in this RIS</w:t>
      </w:r>
      <w:r>
        <w:tab/>
        <w:t>42</w:t>
      </w:r>
    </w:p>
    <w:p w14:paraId="564692AB" w14:textId="77777777" w:rsidR="00BB2B23" w:rsidRDefault="00BB2B23" w:rsidP="00BB2B23">
      <w:pPr>
        <w:pStyle w:val="Text"/>
      </w:pPr>
      <w:r>
        <w:t>RBM framework—Results</w:t>
      </w:r>
      <w:r>
        <w:tab/>
        <w:t>43</w:t>
      </w:r>
    </w:p>
    <w:p w14:paraId="564692AC" w14:textId="77777777" w:rsidR="00BB2B23" w:rsidRDefault="00BB2B23" w:rsidP="00BB2B23">
      <w:pPr>
        <w:pStyle w:val="Text"/>
      </w:pPr>
      <w:r>
        <w:t>Summary of impact analysis</w:t>
      </w:r>
      <w:r>
        <w:tab/>
        <w:t>44</w:t>
      </w:r>
    </w:p>
    <w:p w14:paraId="564692AD" w14:textId="77777777" w:rsidR="00BB2B23" w:rsidRDefault="00BB2B23" w:rsidP="00BB2B23">
      <w:pPr>
        <w:pStyle w:val="Text"/>
      </w:pPr>
      <w:r>
        <w:t xml:space="preserve">Summary of Emissions Reduction Pathways of Options 1, 2, 3 &amp; 4 </w:t>
      </w:r>
      <w:r>
        <w:tab/>
        <w:t>45</w:t>
      </w:r>
    </w:p>
    <w:p w14:paraId="564692AE" w14:textId="77777777" w:rsidR="00BB2B23" w:rsidRDefault="00BB2B23" w:rsidP="00BB2B23">
      <w:pPr>
        <w:pStyle w:val="Text"/>
      </w:pPr>
      <w:r>
        <w:t>Cost-Benefit Analysis—Sensitivity analysis</w:t>
      </w:r>
      <w:r>
        <w:tab/>
        <w:t>46</w:t>
      </w:r>
    </w:p>
    <w:p w14:paraId="564692AF" w14:textId="77777777" w:rsidR="00BB2B23" w:rsidRDefault="00BB2B23" w:rsidP="00BB2B23">
      <w:pPr>
        <w:pStyle w:val="Text"/>
      </w:pPr>
      <w:r>
        <w:t xml:space="preserve">Discount Rate </w:t>
      </w:r>
      <w:r>
        <w:tab/>
        <w:t>46</w:t>
      </w:r>
    </w:p>
    <w:p w14:paraId="564692B0" w14:textId="77777777" w:rsidR="00BB2B23" w:rsidRDefault="00BB2B23" w:rsidP="00BB2B23">
      <w:pPr>
        <w:pStyle w:val="Text"/>
      </w:pPr>
      <w:r>
        <w:t>Carbon price</w:t>
      </w:r>
      <w:r>
        <w:tab/>
        <w:t>47</w:t>
      </w:r>
    </w:p>
    <w:p w14:paraId="564692B1" w14:textId="77777777" w:rsidR="00BB2B23" w:rsidRDefault="00BB2B23" w:rsidP="00BB2B23">
      <w:pPr>
        <w:pStyle w:val="Text"/>
      </w:pPr>
      <w:r>
        <w:t>Maintenance costs</w:t>
      </w:r>
      <w:r>
        <w:tab/>
        <w:t>48</w:t>
      </w:r>
    </w:p>
    <w:p w14:paraId="564692B2" w14:textId="77777777" w:rsidR="00BB2B23" w:rsidRDefault="00BB2B23" w:rsidP="00BB2B23">
      <w:pPr>
        <w:pStyle w:val="Text"/>
      </w:pPr>
      <w:r>
        <w:t>Capital costs</w:t>
      </w:r>
      <w:r>
        <w:tab/>
        <w:t>48</w:t>
      </w:r>
    </w:p>
    <w:p w14:paraId="564692B3" w14:textId="77777777" w:rsidR="00BB2B23" w:rsidRDefault="00BB2B23" w:rsidP="00BB2B23">
      <w:pPr>
        <w:pStyle w:val="Text"/>
      </w:pPr>
      <w:r>
        <w:t>Gas costs</w:t>
      </w:r>
      <w:r>
        <w:tab/>
        <w:t>49</w:t>
      </w:r>
    </w:p>
    <w:p w14:paraId="564692B4" w14:textId="77777777" w:rsidR="00BB2B23" w:rsidRDefault="00BB2B23" w:rsidP="00BB2B23">
      <w:pPr>
        <w:pStyle w:val="Text"/>
      </w:pPr>
      <w:r>
        <w:t>Maintenance frequency under the maintenance and leak detection scenarios</w:t>
      </w:r>
      <w:r>
        <w:tab/>
        <w:t>49</w:t>
      </w:r>
    </w:p>
    <w:p w14:paraId="564692B5" w14:textId="77777777" w:rsidR="00BB2B23" w:rsidRDefault="00BB2B23" w:rsidP="00BB2B23">
      <w:pPr>
        <w:pStyle w:val="Text"/>
      </w:pPr>
      <w:r>
        <w:t>Section 6</w:t>
      </w:r>
      <w:r>
        <w:tab/>
        <w:t>51</w:t>
      </w:r>
    </w:p>
    <w:p w14:paraId="564692B6" w14:textId="77777777" w:rsidR="00BB2B23" w:rsidRDefault="00BB2B23" w:rsidP="00BB2B23">
      <w:pPr>
        <w:pStyle w:val="Text"/>
      </w:pPr>
      <w:r>
        <w:t>Consultation</w:t>
      </w:r>
      <w:r>
        <w:tab/>
        <w:t>51</w:t>
      </w:r>
    </w:p>
    <w:p w14:paraId="564692B7" w14:textId="77777777" w:rsidR="00BB2B23" w:rsidRDefault="00BB2B23" w:rsidP="00BB2B23">
      <w:pPr>
        <w:pStyle w:val="Text"/>
      </w:pPr>
      <w:r>
        <w:t>Outcomes of Consultation</w:t>
      </w:r>
      <w:r>
        <w:tab/>
        <w:t>53</w:t>
      </w:r>
    </w:p>
    <w:p w14:paraId="564692B8" w14:textId="77777777" w:rsidR="00BB2B23" w:rsidRDefault="00BB2B23" w:rsidP="00BB2B23">
      <w:pPr>
        <w:pStyle w:val="Text"/>
      </w:pPr>
      <w:r>
        <w:t>Section 7</w:t>
      </w:r>
      <w:r>
        <w:tab/>
        <w:t>58</w:t>
      </w:r>
    </w:p>
    <w:p w14:paraId="564692B9" w14:textId="77777777" w:rsidR="00BB2B23" w:rsidRDefault="00BB2B23" w:rsidP="00BB2B23">
      <w:pPr>
        <w:pStyle w:val="Text"/>
      </w:pPr>
      <w:r>
        <w:t>What is the best option from those you have considered?</w:t>
      </w:r>
      <w:r>
        <w:tab/>
        <w:t>58</w:t>
      </w:r>
    </w:p>
    <w:p w14:paraId="564692BA" w14:textId="77777777" w:rsidR="00BB2B23" w:rsidRDefault="00BB2B23" w:rsidP="00BB2B23">
      <w:pPr>
        <w:pStyle w:val="Text"/>
      </w:pPr>
      <w:r>
        <w:lastRenderedPageBreak/>
        <w:t>Implementation of preferred option</w:t>
      </w:r>
      <w:r>
        <w:tab/>
        <w:t>58</w:t>
      </w:r>
    </w:p>
    <w:p w14:paraId="564692BB" w14:textId="77777777" w:rsidR="00BB2B23" w:rsidRDefault="00BB2B23" w:rsidP="00BB2B23">
      <w:pPr>
        <w:pStyle w:val="Text"/>
      </w:pPr>
      <w:r>
        <w:t>Option 2a—HFC phase-down (bulk gases) – North American Montreal Protocol Amendment Proposal</w:t>
      </w:r>
      <w:r>
        <w:tab/>
        <w:t>58</w:t>
      </w:r>
    </w:p>
    <w:p w14:paraId="564692BC" w14:textId="77777777" w:rsidR="00BB2B23" w:rsidRDefault="00BB2B23" w:rsidP="00BB2B23">
      <w:pPr>
        <w:pStyle w:val="Text"/>
      </w:pPr>
      <w:r>
        <w:t>Implementation processes</w:t>
      </w:r>
      <w:r>
        <w:tab/>
        <w:t>59</w:t>
      </w:r>
    </w:p>
    <w:p w14:paraId="564692BD" w14:textId="77777777" w:rsidR="00BB2B23" w:rsidRDefault="00BB2B23" w:rsidP="00BB2B23">
      <w:pPr>
        <w:pStyle w:val="Text"/>
      </w:pPr>
      <w:r>
        <w:t xml:space="preserve">Implementation Risks </w:t>
      </w:r>
      <w:r>
        <w:tab/>
        <w:t>60</w:t>
      </w:r>
    </w:p>
    <w:p w14:paraId="564692BE" w14:textId="77777777" w:rsidR="00BB2B23" w:rsidRDefault="00BB2B23" w:rsidP="00BB2B23">
      <w:pPr>
        <w:pStyle w:val="Text"/>
      </w:pPr>
      <w:r>
        <w:t>Market Impacts</w:t>
      </w:r>
      <w:r>
        <w:tab/>
        <w:t>60</w:t>
      </w:r>
    </w:p>
    <w:p w14:paraId="564692BF" w14:textId="77777777" w:rsidR="00BB2B23" w:rsidRDefault="00BB2B23" w:rsidP="00BB2B23">
      <w:pPr>
        <w:pStyle w:val="Text"/>
      </w:pPr>
      <w:r>
        <w:t>Environmental Risks</w:t>
      </w:r>
      <w:r>
        <w:tab/>
        <w:t>60</w:t>
      </w:r>
    </w:p>
    <w:p w14:paraId="564692C0" w14:textId="77777777" w:rsidR="00BB2B23" w:rsidRDefault="00BB2B23" w:rsidP="00BB2B23">
      <w:pPr>
        <w:pStyle w:val="Text"/>
      </w:pPr>
      <w:r>
        <w:t>Health and Safety Risks</w:t>
      </w:r>
      <w:r>
        <w:tab/>
        <w:t>60</w:t>
      </w:r>
    </w:p>
    <w:p w14:paraId="564692C1" w14:textId="77777777" w:rsidR="00BB2B23" w:rsidRDefault="00BB2B23" w:rsidP="00BB2B23">
      <w:pPr>
        <w:pStyle w:val="Text"/>
      </w:pPr>
      <w:r>
        <w:t>Funding</w:t>
      </w:r>
      <w:r>
        <w:tab/>
        <w:t>61</w:t>
      </w:r>
    </w:p>
    <w:p w14:paraId="564692C2" w14:textId="77777777" w:rsidR="00BB2B23" w:rsidRDefault="00BB2B23" w:rsidP="00BB2B23">
      <w:pPr>
        <w:pStyle w:val="Text"/>
      </w:pPr>
      <w:r>
        <w:t>Review</w:t>
      </w:r>
      <w:r>
        <w:tab/>
        <w:t>61</w:t>
      </w:r>
    </w:p>
    <w:p w14:paraId="564692C3" w14:textId="77777777" w:rsidR="00BB2B23" w:rsidRDefault="00BB2B23" w:rsidP="00BB2B23">
      <w:pPr>
        <w:pStyle w:val="Text"/>
      </w:pPr>
      <w:r>
        <w:t>Works Cited</w:t>
      </w:r>
      <w:r>
        <w:tab/>
        <w:t>62</w:t>
      </w:r>
    </w:p>
    <w:p w14:paraId="564692C4" w14:textId="77777777" w:rsidR="00BB2B23" w:rsidRDefault="00BB2B23" w:rsidP="00BB2B23">
      <w:pPr>
        <w:pStyle w:val="TOC31"/>
      </w:pPr>
    </w:p>
    <w:p w14:paraId="564692C5" w14:textId="77777777" w:rsidR="0005026F" w:rsidRDefault="0005026F" w:rsidP="00BB2B23">
      <w:pPr>
        <w:pStyle w:val="Subhead1"/>
        <w:sectPr w:rsidR="0005026F" w:rsidSect="00B8204E">
          <w:pgSz w:w="11906" w:h="16838"/>
          <w:pgMar w:top="720" w:right="720" w:bottom="720" w:left="720" w:header="425" w:footer="425" w:gutter="0"/>
          <w:pgNumType w:start="1"/>
          <w:cols w:space="708"/>
          <w:titlePg/>
          <w:docGrid w:linePitch="360"/>
        </w:sectPr>
      </w:pPr>
    </w:p>
    <w:p w14:paraId="564692C6" w14:textId="77777777" w:rsidR="00BB2B23" w:rsidRDefault="00BB2B23" w:rsidP="00BB2B23">
      <w:pPr>
        <w:pStyle w:val="Subhead1"/>
      </w:pPr>
      <w:r>
        <w:lastRenderedPageBreak/>
        <w:t xml:space="preserve">Abbreviations and acronyms </w:t>
      </w:r>
    </w:p>
    <w:tbl>
      <w:tblPr>
        <w:tblW w:w="0" w:type="auto"/>
        <w:tblInd w:w="113" w:type="dxa"/>
        <w:tblLayout w:type="fixed"/>
        <w:tblCellMar>
          <w:left w:w="0" w:type="dxa"/>
          <w:right w:w="0" w:type="dxa"/>
        </w:tblCellMar>
        <w:tblLook w:val="0000" w:firstRow="0" w:lastRow="0" w:firstColumn="0" w:lastColumn="0" w:noHBand="0" w:noVBand="0"/>
      </w:tblPr>
      <w:tblGrid>
        <w:gridCol w:w="2660"/>
        <w:gridCol w:w="6127"/>
      </w:tblGrid>
      <w:tr w:rsidR="00BB2B23" w14:paraId="564692C9"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2C7" w14:textId="77777777" w:rsidR="00BB2B23" w:rsidRDefault="00BB2B23" w:rsidP="00F5693B">
            <w:pPr>
              <w:pStyle w:val="Text"/>
            </w:pPr>
            <w:r>
              <w:t>B/C</w:t>
            </w:r>
          </w:p>
        </w:tc>
        <w:tc>
          <w:tcPr>
            <w:tcW w:w="6127" w:type="dxa"/>
            <w:tcBorders>
              <w:top w:val="nil"/>
              <w:left w:val="nil"/>
              <w:bottom w:val="nil"/>
              <w:right w:val="nil"/>
            </w:tcBorders>
            <w:tcMar>
              <w:top w:w="113" w:type="dxa"/>
              <w:left w:w="113" w:type="dxa"/>
              <w:bottom w:w="85" w:type="dxa"/>
              <w:right w:w="113" w:type="dxa"/>
            </w:tcMar>
          </w:tcPr>
          <w:p w14:paraId="564692C8" w14:textId="77777777" w:rsidR="00BB2B23" w:rsidRDefault="00BB2B23" w:rsidP="00F5693B">
            <w:pPr>
              <w:pStyle w:val="Text"/>
            </w:pPr>
            <w:r>
              <w:t>benefit to cost ratio</w:t>
            </w:r>
          </w:p>
        </w:tc>
      </w:tr>
      <w:tr w:rsidR="00BB2B23" w14:paraId="564692CC"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2CA" w14:textId="77777777" w:rsidR="00BB2B23" w:rsidRDefault="00BB2B23" w:rsidP="00F5693B">
            <w:pPr>
              <w:pStyle w:val="Text"/>
            </w:pPr>
            <w:r>
              <w:t>CBA</w:t>
            </w:r>
          </w:p>
        </w:tc>
        <w:tc>
          <w:tcPr>
            <w:tcW w:w="6127" w:type="dxa"/>
            <w:tcBorders>
              <w:top w:val="nil"/>
              <w:left w:val="nil"/>
              <w:bottom w:val="nil"/>
              <w:right w:val="nil"/>
            </w:tcBorders>
            <w:tcMar>
              <w:top w:w="113" w:type="dxa"/>
              <w:left w:w="113" w:type="dxa"/>
              <w:bottom w:w="85" w:type="dxa"/>
              <w:right w:w="113" w:type="dxa"/>
            </w:tcMar>
          </w:tcPr>
          <w:p w14:paraId="564692CB" w14:textId="77777777" w:rsidR="00BB2B23" w:rsidRDefault="00BB2B23" w:rsidP="00F5693B">
            <w:pPr>
              <w:pStyle w:val="Text"/>
            </w:pPr>
            <w:r>
              <w:t>cost-benefit analysis</w:t>
            </w:r>
          </w:p>
        </w:tc>
      </w:tr>
      <w:tr w:rsidR="00BB2B23" w14:paraId="564692CF"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2CD" w14:textId="77777777" w:rsidR="00BB2B23" w:rsidRDefault="00BB2B23" w:rsidP="00F5693B">
            <w:pPr>
              <w:pStyle w:val="Text"/>
            </w:pPr>
            <w:r>
              <w:t>CFC</w:t>
            </w:r>
          </w:p>
        </w:tc>
        <w:tc>
          <w:tcPr>
            <w:tcW w:w="6127" w:type="dxa"/>
            <w:tcBorders>
              <w:top w:val="nil"/>
              <w:left w:val="nil"/>
              <w:bottom w:val="nil"/>
              <w:right w:val="nil"/>
            </w:tcBorders>
            <w:tcMar>
              <w:top w:w="113" w:type="dxa"/>
              <w:left w:w="113" w:type="dxa"/>
              <w:bottom w:w="85" w:type="dxa"/>
              <w:right w:w="113" w:type="dxa"/>
            </w:tcMar>
          </w:tcPr>
          <w:p w14:paraId="564692CE" w14:textId="77777777" w:rsidR="00BB2B23" w:rsidRDefault="00BB2B23" w:rsidP="00F5693B">
            <w:pPr>
              <w:pStyle w:val="Text"/>
            </w:pPr>
            <w:r>
              <w:t>chlorofluorocarbon</w:t>
            </w:r>
          </w:p>
        </w:tc>
      </w:tr>
      <w:tr w:rsidR="00BB2B23" w14:paraId="564692D2"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2D0" w14:textId="77777777" w:rsidR="00BB2B23" w:rsidRDefault="00BB2B23" w:rsidP="00F5693B">
            <w:pPr>
              <w:pStyle w:val="Text"/>
            </w:pPr>
            <w:r>
              <w:t>CH</w:t>
            </w:r>
            <w:r>
              <w:rPr>
                <w:rStyle w:val="subscript"/>
              </w:rPr>
              <w:t>4</w:t>
            </w:r>
          </w:p>
        </w:tc>
        <w:tc>
          <w:tcPr>
            <w:tcW w:w="6127" w:type="dxa"/>
            <w:tcBorders>
              <w:top w:val="nil"/>
              <w:left w:val="nil"/>
              <w:bottom w:val="nil"/>
              <w:right w:val="nil"/>
            </w:tcBorders>
            <w:tcMar>
              <w:top w:w="113" w:type="dxa"/>
              <w:left w:w="113" w:type="dxa"/>
              <w:bottom w:w="85" w:type="dxa"/>
              <w:right w:w="113" w:type="dxa"/>
            </w:tcMar>
          </w:tcPr>
          <w:p w14:paraId="564692D1" w14:textId="77777777" w:rsidR="00BB2B23" w:rsidRDefault="00BB2B23" w:rsidP="00F5693B">
            <w:pPr>
              <w:pStyle w:val="Text"/>
            </w:pPr>
            <w:r>
              <w:t>methane</w:t>
            </w:r>
          </w:p>
        </w:tc>
      </w:tr>
      <w:tr w:rsidR="00BB2B23" w14:paraId="564692D5"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2D3" w14:textId="77777777" w:rsidR="00BB2B23" w:rsidRDefault="00BB2B23" w:rsidP="00F5693B">
            <w:pPr>
              <w:pStyle w:val="Text"/>
            </w:pPr>
            <w:r>
              <w:t>CO</w:t>
            </w:r>
            <w:r>
              <w:rPr>
                <w:rStyle w:val="subscript"/>
              </w:rPr>
              <w:t>2</w:t>
            </w:r>
          </w:p>
        </w:tc>
        <w:tc>
          <w:tcPr>
            <w:tcW w:w="6127" w:type="dxa"/>
            <w:tcBorders>
              <w:top w:val="nil"/>
              <w:left w:val="nil"/>
              <w:bottom w:val="nil"/>
              <w:right w:val="nil"/>
            </w:tcBorders>
            <w:tcMar>
              <w:top w:w="113" w:type="dxa"/>
              <w:left w:w="113" w:type="dxa"/>
              <w:bottom w:w="85" w:type="dxa"/>
              <w:right w:w="113" w:type="dxa"/>
            </w:tcMar>
          </w:tcPr>
          <w:p w14:paraId="564692D4" w14:textId="77777777" w:rsidR="00BB2B23" w:rsidRDefault="00BB2B23" w:rsidP="00F5693B">
            <w:pPr>
              <w:pStyle w:val="Text"/>
            </w:pPr>
            <w:r>
              <w:t>carbon dioxide</w:t>
            </w:r>
          </w:p>
        </w:tc>
      </w:tr>
      <w:tr w:rsidR="00BB2B23" w14:paraId="564692D8"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2D6" w14:textId="77777777" w:rsidR="00BB2B23" w:rsidRDefault="00BB2B23" w:rsidP="00F5693B">
            <w:pPr>
              <w:pStyle w:val="Text"/>
            </w:pPr>
            <w:r>
              <w:t>CO</w:t>
            </w:r>
            <w:r>
              <w:rPr>
                <w:rStyle w:val="subscript"/>
              </w:rPr>
              <w:t>2</w:t>
            </w:r>
            <w:r>
              <w:t>-e</w:t>
            </w:r>
          </w:p>
        </w:tc>
        <w:tc>
          <w:tcPr>
            <w:tcW w:w="6127" w:type="dxa"/>
            <w:tcBorders>
              <w:top w:val="nil"/>
              <w:left w:val="nil"/>
              <w:bottom w:val="nil"/>
              <w:right w:val="nil"/>
            </w:tcBorders>
            <w:tcMar>
              <w:top w:w="113" w:type="dxa"/>
              <w:left w:w="113" w:type="dxa"/>
              <w:bottom w:w="85" w:type="dxa"/>
              <w:right w:w="113" w:type="dxa"/>
            </w:tcMar>
          </w:tcPr>
          <w:p w14:paraId="564692D7" w14:textId="77777777" w:rsidR="00BB2B23" w:rsidRDefault="00BB2B23" w:rsidP="00F5693B">
            <w:pPr>
              <w:pStyle w:val="Text"/>
            </w:pPr>
            <w:r>
              <w:t>carbon dioxide equivalent</w:t>
            </w:r>
          </w:p>
        </w:tc>
      </w:tr>
      <w:tr w:rsidR="00BB2B23" w14:paraId="564692DB"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2D9" w14:textId="77777777" w:rsidR="00BB2B23" w:rsidRDefault="00BB2B23" w:rsidP="00F5693B">
            <w:pPr>
              <w:pStyle w:val="Text"/>
            </w:pPr>
            <w:r>
              <w:t>ERF</w:t>
            </w:r>
          </w:p>
        </w:tc>
        <w:tc>
          <w:tcPr>
            <w:tcW w:w="6127" w:type="dxa"/>
            <w:tcBorders>
              <w:top w:val="nil"/>
              <w:left w:val="nil"/>
              <w:bottom w:val="nil"/>
              <w:right w:val="nil"/>
            </w:tcBorders>
            <w:tcMar>
              <w:top w:w="113" w:type="dxa"/>
              <w:left w:w="113" w:type="dxa"/>
              <w:bottom w:w="85" w:type="dxa"/>
              <w:right w:w="113" w:type="dxa"/>
            </w:tcMar>
          </w:tcPr>
          <w:p w14:paraId="564692DA" w14:textId="77777777" w:rsidR="00BB2B23" w:rsidRDefault="00BB2B23" w:rsidP="00F5693B">
            <w:pPr>
              <w:pStyle w:val="Text"/>
            </w:pPr>
            <w:r>
              <w:t>Emissions Reduction Fund</w:t>
            </w:r>
          </w:p>
        </w:tc>
      </w:tr>
      <w:tr w:rsidR="00BB2B23" w14:paraId="564692DE"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2DC" w14:textId="77777777" w:rsidR="00BB2B23" w:rsidRDefault="00BB2B23" w:rsidP="00F5693B">
            <w:pPr>
              <w:pStyle w:val="Text"/>
            </w:pPr>
            <w:r>
              <w:t>EU</w:t>
            </w:r>
          </w:p>
        </w:tc>
        <w:tc>
          <w:tcPr>
            <w:tcW w:w="6127" w:type="dxa"/>
            <w:tcBorders>
              <w:top w:val="nil"/>
              <w:left w:val="nil"/>
              <w:bottom w:val="nil"/>
              <w:right w:val="nil"/>
            </w:tcBorders>
            <w:tcMar>
              <w:top w:w="113" w:type="dxa"/>
              <w:left w:w="113" w:type="dxa"/>
              <w:bottom w:w="85" w:type="dxa"/>
              <w:right w:w="113" w:type="dxa"/>
            </w:tcMar>
          </w:tcPr>
          <w:p w14:paraId="564692DD" w14:textId="77777777" w:rsidR="00BB2B23" w:rsidRDefault="00BB2B23" w:rsidP="00F5693B">
            <w:pPr>
              <w:pStyle w:val="Text"/>
            </w:pPr>
            <w:r>
              <w:t>European Union</w:t>
            </w:r>
          </w:p>
        </w:tc>
      </w:tr>
      <w:tr w:rsidR="00BB2B23" w14:paraId="564692E1"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2DF" w14:textId="77777777" w:rsidR="00BB2B23" w:rsidRDefault="00BB2B23" w:rsidP="00F5693B">
            <w:pPr>
              <w:pStyle w:val="Text"/>
            </w:pPr>
            <w:r>
              <w:t>GWP</w:t>
            </w:r>
          </w:p>
        </w:tc>
        <w:tc>
          <w:tcPr>
            <w:tcW w:w="6127" w:type="dxa"/>
            <w:tcBorders>
              <w:top w:val="nil"/>
              <w:left w:val="nil"/>
              <w:bottom w:val="nil"/>
              <w:right w:val="nil"/>
            </w:tcBorders>
            <w:tcMar>
              <w:top w:w="113" w:type="dxa"/>
              <w:left w:w="113" w:type="dxa"/>
              <w:bottom w:w="85" w:type="dxa"/>
              <w:right w:w="113" w:type="dxa"/>
            </w:tcMar>
          </w:tcPr>
          <w:p w14:paraId="564692E0" w14:textId="77777777" w:rsidR="00BB2B23" w:rsidRDefault="00BB2B23" w:rsidP="00F5693B">
            <w:pPr>
              <w:pStyle w:val="Text"/>
            </w:pPr>
            <w:r>
              <w:t>global warming potential</w:t>
            </w:r>
          </w:p>
        </w:tc>
      </w:tr>
      <w:tr w:rsidR="00BB2B23" w14:paraId="564692E4"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2E2" w14:textId="77777777" w:rsidR="00BB2B23" w:rsidRDefault="00BB2B23" w:rsidP="00F5693B">
            <w:pPr>
              <w:pStyle w:val="Text"/>
            </w:pPr>
            <w:r>
              <w:t>HCFC</w:t>
            </w:r>
          </w:p>
        </w:tc>
        <w:tc>
          <w:tcPr>
            <w:tcW w:w="6127" w:type="dxa"/>
            <w:tcBorders>
              <w:top w:val="nil"/>
              <w:left w:val="nil"/>
              <w:bottom w:val="nil"/>
              <w:right w:val="nil"/>
            </w:tcBorders>
            <w:tcMar>
              <w:top w:w="113" w:type="dxa"/>
              <w:left w:w="113" w:type="dxa"/>
              <w:bottom w:w="85" w:type="dxa"/>
              <w:right w:w="113" w:type="dxa"/>
            </w:tcMar>
          </w:tcPr>
          <w:p w14:paraId="564692E3" w14:textId="77777777" w:rsidR="00BB2B23" w:rsidRDefault="00BB2B23" w:rsidP="00F5693B">
            <w:pPr>
              <w:pStyle w:val="Text"/>
            </w:pPr>
            <w:r>
              <w:t>hydrochlorofluorocarbon</w:t>
            </w:r>
          </w:p>
        </w:tc>
      </w:tr>
      <w:tr w:rsidR="00BB2B23" w14:paraId="564692E7"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2E5" w14:textId="77777777" w:rsidR="00BB2B23" w:rsidRDefault="00BB2B23" w:rsidP="00F5693B">
            <w:pPr>
              <w:pStyle w:val="Text"/>
            </w:pPr>
            <w:r>
              <w:t>HFC</w:t>
            </w:r>
          </w:p>
        </w:tc>
        <w:tc>
          <w:tcPr>
            <w:tcW w:w="6127" w:type="dxa"/>
            <w:tcBorders>
              <w:top w:val="nil"/>
              <w:left w:val="nil"/>
              <w:bottom w:val="nil"/>
              <w:right w:val="nil"/>
            </w:tcBorders>
            <w:tcMar>
              <w:top w:w="113" w:type="dxa"/>
              <w:left w:w="113" w:type="dxa"/>
              <w:bottom w:w="85" w:type="dxa"/>
              <w:right w:w="113" w:type="dxa"/>
            </w:tcMar>
          </w:tcPr>
          <w:p w14:paraId="564692E6" w14:textId="77777777" w:rsidR="00BB2B23" w:rsidRDefault="00BB2B23" w:rsidP="00F5693B">
            <w:pPr>
              <w:pStyle w:val="Text"/>
            </w:pPr>
            <w:r>
              <w:t>hydrofluorocarbon</w:t>
            </w:r>
          </w:p>
        </w:tc>
      </w:tr>
      <w:tr w:rsidR="00BB2B23" w14:paraId="564692EA"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2E8" w14:textId="77777777" w:rsidR="00BB2B23" w:rsidRDefault="00BB2B23" w:rsidP="00F5693B">
            <w:pPr>
              <w:pStyle w:val="Text"/>
            </w:pPr>
            <w:r>
              <w:t>HFO</w:t>
            </w:r>
          </w:p>
        </w:tc>
        <w:tc>
          <w:tcPr>
            <w:tcW w:w="6127" w:type="dxa"/>
            <w:tcBorders>
              <w:top w:val="nil"/>
              <w:left w:val="nil"/>
              <w:bottom w:val="nil"/>
              <w:right w:val="nil"/>
            </w:tcBorders>
            <w:tcMar>
              <w:top w:w="113" w:type="dxa"/>
              <w:left w:w="113" w:type="dxa"/>
              <w:bottom w:w="85" w:type="dxa"/>
              <w:right w:w="113" w:type="dxa"/>
            </w:tcMar>
          </w:tcPr>
          <w:p w14:paraId="564692E9" w14:textId="77777777" w:rsidR="00BB2B23" w:rsidRDefault="00BB2B23" w:rsidP="00F5693B">
            <w:pPr>
              <w:pStyle w:val="Text"/>
            </w:pPr>
            <w:r>
              <w:t>hydrofluoro olefin</w:t>
            </w:r>
          </w:p>
        </w:tc>
      </w:tr>
      <w:tr w:rsidR="00BB2B23" w14:paraId="564692ED"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2EB" w14:textId="77777777" w:rsidR="00BB2B23" w:rsidRDefault="00BB2B23" w:rsidP="00F5693B">
            <w:pPr>
              <w:pStyle w:val="Text"/>
            </w:pPr>
            <w:r>
              <w:t>ISO</w:t>
            </w:r>
          </w:p>
        </w:tc>
        <w:tc>
          <w:tcPr>
            <w:tcW w:w="6127" w:type="dxa"/>
            <w:tcBorders>
              <w:top w:val="nil"/>
              <w:left w:val="nil"/>
              <w:bottom w:val="nil"/>
              <w:right w:val="nil"/>
            </w:tcBorders>
            <w:tcMar>
              <w:top w:w="113" w:type="dxa"/>
              <w:left w:w="113" w:type="dxa"/>
              <w:bottom w:w="85" w:type="dxa"/>
              <w:right w:w="113" w:type="dxa"/>
            </w:tcMar>
          </w:tcPr>
          <w:p w14:paraId="564692EC" w14:textId="77777777" w:rsidR="00BB2B23" w:rsidRDefault="00BB2B23" w:rsidP="00F5693B">
            <w:pPr>
              <w:pStyle w:val="Text"/>
            </w:pPr>
            <w:r>
              <w:t>International Organization for Standardization</w:t>
            </w:r>
          </w:p>
        </w:tc>
      </w:tr>
      <w:tr w:rsidR="00BB2B23" w14:paraId="564692F0"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2EE" w14:textId="77777777" w:rsidR="00BB2B23" w:rsidRDefault="00BB2B23" w:rsidP="00F5693B">
            <w:pPr>
              <w:pStyle w:val="Text"/>
            </w:pPr>
            <w:r>
              <w:t>IWG</w:t>
            </w:r>
          </w:p>
        </w:tc>
        <w:tc>
          <w:tcPr>
            <w:tcW w:w="6127" w:type="dxa"/>
            <w:tcBorders>
              <w:top w:val="nil"/>
              <w:left w:val="nil"/>
              <w:bottom w:val="nil"/>
              <w:right w:val="nil"/>
            </w:tcBorders>
            <w:tcMar>
              <w:top w:w="113" w:type="dxa"/>
              <w:left w:w="113" w:type="dxa"/>
              <w:bottom w:w="85" w:type="dxa"/>
              <w:right w:w="113" w:type="dxa"/>
            </w:tcMar>
          </w:tcPr>
          <w:p w14:paraId="564692EF" w14:textId="77777777" w:rsidR="00BB2B23" w:rsidRDefault="00BB2B23" w:rsidP="00F5693B">
            <w:pPr>
              <w:pStyle w:val="Text"/>
            </w:pPr>
            <w:r>
              <w:t>Interdepartmental Working Group</w:t>
            </w:r>
          </w:p>
        </w:tc>
      </w:tr>
      <w:tr w:rsidR="00BB2B23" w14:paraId="564692F3"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2F1" w14:textId="77777777" w:rsidR="00BB2B23" w:rsidRDefault="00BB2B23" w:rsidP="00F5693B">
            <w:pPr>
              <w:pStyle w:val="Text"/>
            </w:pPr>
            <w:r>
              <w:t>MAC</w:t>
            </w:r>
          </w:p>
        </w:tc>
        <w:tc>
          <w:tcPr>
            <w:tcW w:w="6127" w:type="dxa"/>
            <w:tcBorders>
              <w:top w:val="nil"/>
              <w:left w:val="nil"/>
              <w:bottom w:val="nil"/>
              <w:right w:val="nil"/>
            </w:tcBorders>
            <w:tcMar>
              <w:top w:w="113" w:type="dxa"/>
              <w:left w:w="113" w:type="dxa"/>
              <w:bottom w:w="85" w:type="dxa"/>
              <w:right w:w="113" w:type="dxa"/>
            </w:tcMar>
          </w:tcPr>
          <w:p w14:paraId="564692F2" w14:textId="77777777" w:rsidR="00BB2B23" w:rsidRDefault="00BB2B23" w:rsidP="00F5693B">
            <w:pPr>
              <w:pStyle w:val="Text"/>
            </w:pPr>
            <w:r>
              <w:t>Mobile Air Conditioning</w:t>
            </w:r>
          </w:p>
        </w:tc>
      </w:tr>
      <w:tr w:rsidR="00BB2B23" w14:paraId="564692F6"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2F4" w14:textId="77777777" w:rsidR="00BB2B23" w:rsidRDefault="00BB2B23" w:rsidP="00F5693B">
            <w:pPr>
              <w:pStyle w:val="Text"/>
            </w:pPr>
            <w:r>
              <w:t>Montreal Protocol</w:t>
            </w:r>
          </w:p>
        </w:tc>
        <w:tc>
          <w:tcPr>
            <w:tcW w:w="6127" w:type="dxa"/>
            <w:tcBorders>
              <w:top w:val="nil"/>
              <w:left w:val="nil"/>
              <w:bottom w:val="nil"/>
              <w:right w:val="nil"/>
            </w:tcBorders>
            <w:tcMar>
              <w:top w:w="113" w:type="dxa"/>
              <w:left w:w="113" w:type="dxa"/>
              <w:bottom w:w="85" w:type="dxa"/>
              <w:right w:w="113" w:type="dxa"/>
            </w:tcMar>
          </w:tcPr>
          <w:p w14:paraId="564692F5" w14:textId="77777777" w:rsidR="00BB2B23" w:rsidRDefault="00BB2B23" w:rsidP="00F5693B">
            <w:pPr>
              <w:pStyle w:val="Text"/>
            </w:pPr>
            <w:r>
              <w:rPr>
                <w:rStyle w:val="TextItalic"/>
              </w:rPr>
              <w:t>Montreal Protocol on Substances that Deplete the Ozone Layer</w:t>
            </w:r>
          </w:p>
        </w:tc>
      </w:tr>
      <w:tr w:rsidR="00BB2B23" w14:paraId="564692F9"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2F7" w14:textId="77777777" w:rsidR="00BB2B23" w:rsidRDefault="00BB2B23" w:rsidP="00F5693B">
            <w:pPr>
              <w:pStyle w:val="Text"/>
            </w:pPr>
            <w:r>
              <w:t>Mt</w:t>
            </w:r>
          </w:p>
        </w:tc>
        <w:tc>
          <w:tcPr>
            <w:tcW w:w="6127" w:type="dxa"/>
            <w:tcBorders>
              <w:top w:val="nil"/>
              <w:left w:val="nil"/>
              <w:bottom w:val="nil"/>
              <w:right w:val="nil"/>
            </w:tcBorders>
            <w:tcMar>
              <w:top w:w="113" w:type="dxa"/>
              <w:left w:w="113" w:type="dxa"/>
              <w:bottom w:w="85" w:type="dxa"/>
              <w:right w:w="113" w:type="dxa"/>
            </w:tcMar>
          </w:tcPr>
          <w:p w14:paraId="564692F8" w14:textId="77777777" w:rsidR="00BB2B23" w:rsidRDefault="00BB2B23" w:rsidP="00F5693B">
            <w:pPr>
              <w:pStyle w:val="Text"/>
            </w:pPr>
            <w:r>
              <w:t>metric tonne</w:t>
            </w:r>
          </w:p>
        </w:tc>
      </w:tr>
      <w:tr w:rsidR="00BB2B23" w14:paraId="564692FC"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2FA" w14:textId="77777777" w:rsidR="00BB2B23" w:rsidRDefault="00BB2B23" w:rsidP="00F5693B">
            <w:pPr>
              <w:pStyle w:val="Text"/>
            </w:pPr>
            <w:r>
              <w:lastRenderedPageBreak/>
              <w:t>N</w:t>
            </w:r>
            <w:r>
              <w:rPr>
                <w:rStyle w:val="subscript"/>
              </w:rPr>
              <w:t>2</w:t>
            </w:r>
            <w:r>
              <w:t>0</w:t>
            </w:r>
          </w:p>
        </w:tc>
        <w:tc>
          <w:tcPr>
            <w:tcW w:w="6127" w:type="dxa"/>
            <w:tcBorders>
              <w:top w:val="nil"/>
              <w:left w:val="nil"/>
              <w:bottom w:val="nil"/>
              <w:right w:val="nil"/>
            </w:tcBorders>
            <w:tcMar>
              <w:top w:w="113" w:type="dxa"/>
              <w:left w:w="113" w:type="dxa"/>
              <w:bottom w:w="85" w:type="dxa"/>
              <w:right w:w="113" w:type="dxa"/>
            </w:tcMar>
          </w:tcPr>
          <w:p w14:paraId="564692FB" w14:textId="77777777" w:rsidR="00BB2B23" w:rsidRDefault="00BB2B23" w:rsidP="00F5693B">
            <w:pPr>
              <w:pStyle w:val="Text"/>
            </w:pPr>
            <w:r>
              <w:t>nitrous oxide</w:t>
            </w:r>
          </w:p>
        </w:tc>
      </w:tr>
      <w:tr w:rsidR="00BB2B23" w14:paraId="564692FF"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2FD" w14:textId="77777777" w:rsidR="00BB2B23" w:rsidRDefault="00BB2B23" w:rsidP="00F5693B">
            <w:pPr>
              <w:pStyle w:val="Text"/>
            </w:pPr>
            <w:r>
              <w:t>NPV</w:t>
            </w:r>
          </w:p>
        </w:tc>
        <w:tc>
          <w:tcPr>
            <w:tcW w:w="6127" w:type="dxa"/>
            <w:tcBorders>
              <w:top w:val="nil"/>
              <w:left w:val="nil"/>
              <w:bottom w:val="nil"/>
              <w:right w:val="nil"/>
            </w:tcBorders>
            <w:tcMar>
              <w:top w:w="113" w:type="dxa"/>
              <w:left w:w="113" w:type="dxa"/>
              <w:bottom w:w="85" w:type="dxa"/>
              <w:right w:w="113" w:type="dxa"/>
            </w:tcMar>
          </w:tcPr>
          <w:p w14:paraId="564692FE" w14:textId="77777777" w:rsidR="00BB2B23" w:rsidRDefault="00BB2B23" w:rsidP="00F5693B">
            <w:pPr>
              <w:pStyle w:val="Text"/>
            </w:pPr>
            <w:r>
              <w:t>net present value</w:t>
            </w:r>
          </w:p>
        </w:tc>
      </w:tr>
      <w:tr w:rsidR="00BB2B23" w14:paraId="56469302"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300" w14:textId="77777777" w:rsidR="00BB2B23" w:rsidRDefault="00BB2B23" w:rsidP="00F5693B">
            <w:pPr>
              <w:pStyle w:val="Text"/>
            </w:pPr>
            <w:r>
              <w:t>OBPR</w:t>
            </w:r>
          </w:p>
        </w:tc>
        <w:tc>
          <w:tcPr>
            <w:tcW w:w="6127" w:type="dxa"/>
            <w:tcBorders>
              <w:top w:val="nil"/>
              <w:left w:val="nil"/>
              <w:bottom w:val="nil"/>
              <w:right w:val="nil"/>
            </w:tcBorders>
            <w:tcMar>
              <w:top w:w="113" w:type="dxa"/>
              <w:left w:w="113" w:type="dxa"/>
              <w:bottom w:w="85" w:type="dxa"/>
              <w:right w:w="113" w:type="dxa"/>
            </w:tcMar>
          </w:tcPr>
          <w:p w14:paraId="56469301" w14:textId="77777777" w:rsidR="00BB2B23" w:rsidRDefault="00BB2B23" w:rsidP="00F5693B">
            <w:pPr>
              <w:pStyle w:val="Text"/>
            </w:pPr>
            <w:r>
              <w:t>Office of Best Practice Regulation</w:t>
            </w:r>
          </w:p>
        </w:tc>
      </w:tr>
      <w:tr w:rsidR="00BB2B23" w14:paraId="56469305"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303" w14:textId="77777777" w:rsidR="00BB2B23" w:rsidRDefault="00BB2B23" w:rsidP="00F5693B">
            <w:pPr>
              <w:pStyle w:val="Text"/>
            </w:pPr>
            <w:r>
              <w:t>ODS</w:t>
            </w:r>
          </w:p>
        </w:tc>
        <w:tc>
          <w:tcPr>
            <w:tcW w:w="6127" w:type="dxa"/>
            <w:tcBorders>
              <w:top w:val="nil"/>
              <w:left w:val="nil"/>
              <w:bottom w:val="nil"/>
              <w:right w:val="nil"/>
            </w:tcBorders>
            <w:tcMar>
              <w:top w:w="113" w:type="dxa"/>
              <w:left w:w="113" w:type="dxa"/>
              <w:bottom w:w="85" w:type="dxa"/>
              <w:right w:w="113" w:type="dxa"/>
            </w:tcMar>
          </w:tcPr>
          <w:p w14:paraId="56469304" w14:textId="77777777" w:rsidR="00BB2B23" w:rsidRDefault="00BB2B23" w:rsidP="00F5693B">
            <w:pPr>
              <w:pStyle w:val="Text"/>
            </w:pPr>
            <w:r>
              <w:t>ozone depleting substance</w:t>
            </w:r>
          </w:p>
        </w:tc>
      </w:tr>
      <w:tr w:rsidR="00BB2B23" w14:paraId="56469308"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306" w14:textId="77777777" w:rsidR="00BB2B23" w:rsidRDefault="00BB2B23" w:rsidP="00F5693B">
            <w:pPr>
              <w:pStyle w:val="Text"/>
            </w:pPr>
            <w:r>
              <w:t>OPSGGM</w:t>
            </w:r>
          </w:p>
        </w:tc>
        <w:tc>
          <w:tcPr>
            <w:tcW w:w="6127" w:type="dxa"/>
            <w:tcBorders>
              <w:top w:val="nil"/>
              <w:left w:val="nil"/>
              <w:bottom w:val="nil"/>
              <w:right w:val="nil"/>
            </w:tcBorders>
            <w:tcMar>
              <w:top w:w="113" w:type="dxa"/>
              <w:left w:w="113" w:type="dxa"/>
              <w:bottom w:w="85" w:type="dxa"/>
              <w:right w:w="113" w:type="dxa"/>
            </w:tcMar>
          </w:tcPr>
          <w:p w14:paraId="56469307" w14:textId="77777777" w:rsidR="00BB2B23" w:rsidRDefault="00BB2B23" w:rsidP="00F5693B">
            <w:pPr>
              <w:pStyle w:val="Text"/>
            </w:pPr>
            <w:r>
              <w:t>Ozone Protection and Synthetic Greenhouse Gas Management</w:t>
            </w:r>
          </w:p>
        </w:tc>
      </w:tr>
      <w:tr w:rsidR="00BB2B23" w14:paraId="5646930B"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309" w14:textId="77777777" w:rsidR="00BB2B23" w:rsidRDefault="00BB2B23" w:rsidP="00F5693B">
            <w:pPr>
              <w:pStyle w:val="Text"/>
            </w:pPr>
            <w:r>
              <w:t>PFC</w:t>
            </w:r>
          </w:p>
        </w:tc>
        <w:tc>
          <w:tcPr>
            <w:tcW w:w="6127" w:type="dxa"/>
            <w:tcBorders>
              <w:top w:val="nil"/>
              <w:left w:val="nil"/>
              <w:bottom w:val="nil"/>
              <w:right w:val="nil"/>
            </w:tcBorders>
            <w:tcMar>
              <w:top w:w="113" w:type="dxa"/>
              <w:left w:w="113" w:type="dxa"/>
              <w:bottom w:w="85" w:type="dxa"/>
              <w:right w:w="113" w:type="dxa"/>
            </w:tcMar>
          </w:tcPr>
          <w:p w14:paraId="5646930A" w14:textId="77777777" w:rsidR="00BB2B23" w:rsidRDefault="00BB2B23" w:rsidP="00F5693B">
            <w:pPr>
              <w:pStyle w:val="Text"/>
            </w:pPr>
            <w:r>
              <w:t>perfluorocarbon</w:t>
            </w:r>
          </w:p>
        </w:tc>
      </w:tr>
      <w:tr w:rsidR="00BB2B23" w14:paraId="5646930E"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30C" w14:textId="77777777" w:rsidR="00BB2B23" w:rsidRDefault="00BB2B23" w:rsidP="00F5693B">
            <w:pPr>
              <w:pStyle w:val="Text"/>
            </w:pPr>
            <w:r>
              <w:t>RAC</w:t>
            </w:r>
          </w:p>
        </w:tc>
        <w:tc>
          <w:tcPr>
            <w:tcW w:w="6127" w:type="dxa"/>
            <w:tcBorders>
              <w:top w:val="nil"/>
              <w:left w:val="nil"/>
              <w:bottom w:val="nil"/>
              <w:right w:val="nil"/>
            </w:tcBorders>
            <w:tcMar>
              <w:top w:w="113" w:type="dxa"/>
              <w:left w:w="113" w:type="dxa"/>
              <w:bottom w:w="85" w:type="dxa"/>
              <w:right w:w="113" w:type="dxa"/>
            </w:tcMar>
          </w:tcPr>
          <w:p w14:paraId="5646930D" w14:textId="77777777" w:rsidR="00BB2B23" w:rsidRDefault="00BB2B23" w:rsidP="00F5693B">
            <w:pPr>
              <w:pStyle w:val="Text"/>
            </w:pPr>
            <w:r>
              <w:t xml:space="preserve">refrigeration and air conditioning </w:t>
            </w:r>
          </w:p>
        </w:tc>
      </w:tr>
      <w:tr w:rsidR="00BB2B23" w14:paraId="56469311"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30F" w14:textId="77777777" w:rsidR="00BB2B23" w:rsidRDefault="00BB2B23" w:rsidP="00F5693B">
            <w:pPr>
              <w:pStyle w:val="Text"/>
            </w:pPr>
            <w:r>
              <w:t>Rb</w:t>
            </w:r>
          </w:p>
        </w:tc>
        <w:tc>
          <w:tcPr>
            <w:tcW w:w="6127" w:type="dxa"/>
            <w:tcBorders>
              <w:top w:val="nil"/>
              <w:left w:val="nil"/>
              <w:bottom w:val="nil"/>
              <w:right w:val="nil"/>
            </w:tcBorders>
            <w:tcMar>
              <w:top w:w="113" w:type="dxa"/>
              <w:left w:w="113" w:type="dxa"/>
              <w:bottom w:w="85" w:type="dxa"/>
              <w:right w:w="113" w:type="dxa"/>
            </w:tcMar>
          </w:tcPr>
          <w:p w14:paraId="56469310" w14:textId="77777777" w:rsidR="00BB2B23" w:rsidRDefault="00BB2B23" w:rsidP="00F5693B">
            <w:pPr>
              <w:pStyle w:val="Text"/>
            </w:pPr>
            <w:r>
              <w:t>regulatory burden estimate</w:t>
            </w:r>
          </w:p>
        </w:tc>
      </w:tr>
      <w:tr w:rsidR="00BB2B23" w14:paraId="56469314"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312" w14:textId="77777777" w:rsidR="00BB2B23" w:rsidRDefault="00BB2B23" w:rsidP="00F5693B">
            <w:pPr>
              <w:pStyle w:val="Text"/>
            </w:pPr>
            <w:r>
              <w:t>RBM</w:t>
            </w:r>
          </w:p>
        </w:tc>
        <w:tc>
          <w:tcPr>
            <w:tcW w:w="6127" w:type="dxa"/>
            <w:tcBorders>
              <w:top w:val="nil"/>
              <w:left w:val="nil"/>
              <w:bottom w:val="nil"/>
              <w:right w:val="nil"/>
            </w:tcBorders>
            <w:tcMar>
              <w:top w:w="113" w:type="dxa"/>
              <w:left w:w="113" w:type="dxa"/>
              <w:bottom w:w="85" w:type="dxa"/>
              <w:right w:w="113" w:type="dxa"/>
            </w:tcMar>
          </w:tcPr>
          <w:p w14:paraId="56469313" w14:textId="77777777" w:rsidR="00BB2B23" w:rsidRDefault="00BB2B23" w:rsidP="00F5693B">
            <w:pPr>
              <w:pStyle w:val="Text"/>
            </w:pPr>
            <w:r>
              <w:t>regulatory burden measurement</w:t>
            </w:r>
          </w:p>
        </w:tc>
      </w:tr>
      <w:tr w:rsidR="00BB2B23" w14:paraId="56469317"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315" w14:textId="77777777" w:rsidR="00BB2B23" w:rsidRDefault="00BB2B23" w:rsidP="00F5693B">
            <w:pPr>
              <w:pStyle w:val="Text"/>
            </w:pPr>
            <w:r>
              <w:t>Rb/t</w:t>
            </w:r>
          </w:p>
        </w:tc>
        <w:tc>
          <w:tcPr>
            <w:tcW w:w="6127" w:type="dxa"/>
            <w:tcBorders>
              <w:top w:val="nil"/>
              <w:left w:val="nil"/>
              <w:bottom w:val="nil"/>
              <w:right w:val="nil"/>
            </w:tcBorders>
            <w:tcMar>
              <w:top w:w="113" w:type="dxa"/>
              <w:left w:w="113" w:type="dxa"/>
              <w:bottom w:w="85" w:type="dxa"/>
              <w:right w:w="113" w:type="dxa"/>
            </w:tcMar>
          </w:tcPr>
          <w:p w14:paraId="56469316" w14:textId="77777777" w:rsidR="00BB2B23" w:rsidRDefault="00BB2B23" w:rsidP="00F5693B">
            <w:pPr>
              <w:pStyle w:val="Text"/>
            </w:pPr>
            <w:r>
              <w:t>regulatory burden estimate per tonne</w:t>
            </w:r>
          </w:p>
        </w:tc>
      </w:tr>
      <w:tr w:rsidR="00BB2B23" w14:paraId="5646931A"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318" w14:textId="77777777" w:rsidR="00BB2B23" w:rsidRDefault="00BB2B23" w:rsidP="00F5693B">
            <w:pPr>
              <w:pStyle w:val="Text"/>
            </w:pPr>
            <w:r>
              <w:t>RIS</w:t>
            </w:r>
          </w:p>
        </w:tc>
        <w:tc>
          <w:tcPr>
            <w:tcW w:w="6127" w:type="dxa"/>
            <w:tcBorders>
              <w:top w:val="nil"/>
              <w:left w:val="nil"/>
              <w:bottom w:val="nil"/>
              <w:right w:val="nil"/>
            </w:tcBorders>
            <w:tcMar>
              <w:top w:w="113" w:type="dxa"/>
              <w:left w:w="113" w:type="dxa"/>
              <w:bottom w:w="85" w:type="dxa"/>
              <w:right w:w="113" w:type="dxa"/>
            </w:tcMar>
          </w:tcPr>
          <w:p w14:paraId="56469319" w14:textId="77777777" w:rsidR="00BB2B23" w:rsidRDefault="00BB2B23" w:rsidP="00F5693B">
            <w:pPr>
              <w:pStyle w:val="Text"/>
            </w:pPr>
            <w:r>
              <w:t>Regulation Impact Statement</w:t>
            </w:r>
          </w:p>
        </w:tc>
      </w:tr>
      <w:tr w:rsidR="00BB2B23" w14:paraId="5646931D"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31B" w14:textId="77777777" w:rsidR="00BB2B23" w:rsidRDefault="00BB2B23" w:rsidP="00F5693B">
            <w:pPr>
              <w:pStyle w:val="Text"/>
            </w:pPr>
            <w:r>
              <w:t>SF</w:t>
            </w:r>
            <w:r>
              <w:rPr>
                <w:rStyle w:val="subscript"/>
              </w:rPr>
              <w:t>6</w:t>
            </w:r>
          </w:p>
        </w:tc>
        <w:tc>
          <w:tcPr>
            <w:tcW w:w="6127" w:type="dxa"/>
            <w:tcBorders>
              <w:top w:val="nil"/>
              <w:left w:val="nil"/>
              <w:bottom w:val="nil"/>
              <w:right w:val="nil"/>
            </w:tcBorders>
            <w:tcMar>
              <w:top w:w="113" w:type="dxa"/>
              <w:left w:w="113" w:type="dxa"/>
              <w:bottom w:w="85" w:type="dxa"/>
              <w:right w:w="113" w:type="dxa"/>
            </w:tcMar>
          </w:tcPr>
          <w:p w14:paraId="5646931C" w14:textId="77777777" w:rsidR="00BB2B23" w:rsidRDefault="00BB2B23" w:rsidP="00F5693B">
            <w:pPr>
              <w:pStyle w:val="Text"/>
            </w:pPr>
            <w:r>
              <w:t>sulfur hexafluoride</w:t>
            </w:r>
          </w:p>
        </w:tc>
      </w:tr>
      <w:tr w:rsidR="00BB2B23" w14:paraId="56469320"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31E" w14:textId="77777777" w:rsidR="00BB2B23" w:rsidRDefault="00BB2B23" w:rsidP="00F5693B">
            <w:pPr>
              <w:pStyle w:val="Text"/>
            </w:pPr>
            <w:r>
              <w:t>SGG</w:t>
            </w:r>
          </w:p>
        </w:tc>
        <w:tc>
          <w:tcPr>
            <w:tcW w:w="6127" w:type="dxa"/>
            <w:tcBorders>
              <w:top w:val="nil"/>
              <w:left w:val="nil"/>
              <w:bottom w:val="nil"/>
              <w:right w:val="nil"/>
            </w:tcBorders>
            <w:tcMar>
              <w:top w:w="113" w:type="dxa"/>
              <w:left w:w="113" w:type="dxa"/>
              <w:bottom w:w="85" w:type="dxa"/>
              <w:right w:w="113" w:type="dxa"/>
            </w:tcMar>
          </w:tcPr>
          <w:p w14:paraId="5646931F" w14:textId="77777777" w:rsidR="00BB2B23" w:rsidRDefault="00BB2B23" w:rsidP="00F5693B">
            <w:pPr>
              <w:pStyle w:val="Text"/>
            </w:pPr>
            <w:r>
              <w:t>synthetic greenhouse gas</w:t>
            </w:r>
          </w:p>
        </w:tc>
      </w:tr>
      <w:tr w:rsidR="00BB2B23" w14:paraId="56469323"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321" w14:textId="77777777" w:rsidR="00BB2B23" w:rsidRDefault="00BB2B23" w:rsidP="00F5693B">
            <w:pPr>
              <w:pStyle w:val="Text"/>
            </w:pPr>
            <w:r>
              <w:t>the Act</w:t>
            </w:r>
          </w:p>
        </w:tc>
        <w:tc>
          <w:tcPr>
            <w:tcW w:w="6127" w:type="dxa"/>
            <w:tcBorders>
              <w:top w:val="nil"/>
              <w:left w:val="nil"/>
              <w:bottom w:val="nil"/>
              <w:right w:val="nil"/>
            </w:tcBorders>
            <w:tcMar>
              <w:top w:w="113" w:type="dxa"/>
              <w:left w:w="113" w:type="dxa"/>
              <w:bottom w:w="85" w:type="dxa"/>
              <w:right w:w="113" w:type="dxa"/>
            </w:tcMar>
          </w:tcPr>
          <w:p w14:paraId="56469322" w14:textId="77777777" w:rsidR="00BB2B23" w:rsidRDefault="00BB2B23" w:rsidP="00F5693B">
            <w:pPr>
              <w:pStyle w:val="Text"/>
            </w:pPr>
            <w:r>
              <w:rPr>
                <w:rStyle w:val="TextItalic"/>
              </w:rPr>
              <w:t>Ozone Protection and Synthetic Greenhouse Gas Management Act 1986</w:t>
            </w:r>
          </w:p>
        </w:tc>
      </w:tr>
      <w:tr w:rsidR="00BB2B23" w14:paraId="56469326"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324" w14:textId="77777777" w:rsidR="00BB2B23" w:rsidRDefault="00BB2B23" w:rsidP="00F5693B">
            <w:pPr>
              <w:pStyle w:val="Text"/>
            </w:pPr>
            <w:r>
              <w:t>the Department</w:t>
            </w:r>
          </w:p>
        </w:tc>
        <w:tc>
          <w:tcPr>
            <w:tcW w:w="6127" w:type="dxa"/>
            <w:tcBorders>
              <w:top w:val="nil"/>
              <w:left w:val="nil"/>
              <w:bottom w:val="nil"/>
              <w:right w:val="nil"/>
            </w:tcBorders>
            <w:tcMar>
              <w:top w:w="113" w:type="dxa"/>
              <w:left w:w="113" w:type="dxa"/>
              <w:bottom w:w="85" w:type="dxa"/>
              <w:right w:w="113" w:type="dxa"/>
            </w:tcMar>
          </w:tcPr>
          <w:p w14:paraId="56469325" w14:textId="77777777" w:rsidR="00BB2B23" w:rsidRDefault="00BB2B23" w:rsidP="00F5693B">
            <w:pPr>
              <w:pStyle w:val="Text"/>
            </w:pPr>
            <w:r>
              <w:t>Department of the Environment and Energy</w:t>
            </w:r>
          </w:p>
        </w:tc>
      </w:tr>
      <w:tr w:rsidR="00BB2B23" w14:paraId="56469329"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327" w14:textId="77777777" w:rsidR="00BB2B23" w:rsidRDefault="00BB2B23" w:rsidP="00F5693B">
            <w:pPr>
              <w:pStyle w:val="Text"/>
            </w:pPr>
            <w:r>
              <w:t>TWG</w:t>
            </w:r>
          </w:p>
        </w:tc>
        <w:tc>
          <w:tcPr>
            <w:tcW w:w="6127" w:type="dxa"/>
            <w:tcBorders>
              <w:top w:val="nil"/>
              <w:left w:val="nil"/>
              <w:bottom w:val="nil"/>
              <w:right w:val="nil"/>
            </w:tcBorders>
            <w:tcMar>
              <w:top w:w="113" w:type="dxa"/>
              <w:left w:w="113" w:type="dxa"/>
              <w:bottom w:w="85" w:type="dxa"/>
              <w:right w:w="113" w:type="dxa"/>
            </w:tcMar>
          </w:tcPr>
          <w:p w14:paraId="56469328" w14:textId="77777777" w:rsidR="00BB2B23" w:rsidRDefault="00BB2B23" w:rsidP="00F5693B">
            <w:pPr>
              <w:pStyle w:val="Text"/>
            </w:pPr>
            <w:r>
              <w:t>Technical Working Group</w:t>
            </w:r>
          </w:p>
        </w:tc>
      </w:tr>
      <w:tr w:rsidR="00BB2B23" w14:paraId="5646932C" w14:textId="77777777" w:rsidTr="00F5693B">
        <w:trPr>
          <w:trHeight w:val="60"/>
        </w:trPr>
        <w:tc>
          <w:tcPr>
            <w:tcW w:w="2660" w:type="dxa"/>
            <w:tcBorders>
              <w:top w:val="nil"/>
              <w:left w:val="nil"/>
              <w:bottom w:val="nil"/>
              <w:right w:val="nil"/>
            </w:tcBorders>
            <w:tcMar>
              <w:top w:w="113" w:type="dxa"/>
              <w:left w:w="113" w:type="dxa"/>
              <w:bottom w:w="85" w:type="dxa"/>
              <w:right w:w="113" w:type="dxa"/>
            </w:tcMar>
          </w:tcPr>
          <w:p w14:paraId="5646932A" w14:textId="77777777" w:rsidR="00BB2B23" w:rsidRDefault="00BB2B23" w:rsidP="00F5693B">
            <w:pPr>
              <w:pStyle w:val="Text"/>
            </w:pPr>
            <w:r>
              <w:t>UNFCCC</w:t>
            </w:r>
          </w:p>
        </w:tc>
        <w:tc>
          <w:tcPr>
            <w:tcW w:w="6127" w:type="dxa"/>
            <w:tcBorders>
              <w:top w:val="nil"/>
              <w:left w:val="nil"/>
              <w:bottom w:val="nil"/>
              <w:right w:val="nil"/>
            </w:tcBorders>
            <w:tcMar>
              <w:top w:w="113" w:type="dxa"/>
              <w:left w:w="113" w:type="dxa"/>
              <w:bottom w:w="85" w:type="dxa"/>
              <w:right w:w="113" w:type="dxa"/>
            </w:tcMar>
          </w:tcPr>
          <w:p w14:paraId="5646932B" w14:textId="77777777" w:rsidR="00BB2B23" w:rsidRDefault="00BB2B23" w:rsidP="00F5693B">
            <w:pPr>
              <w:pStyle w:val="Text"/>
            </w:pPr>
            <w:r>
              <w:t>United Nations Framework Convention on Climate Change</w:t>
            </w:r>
          </w:p>
        </w:tc>
      </w:tr>
    </w:tbl>
    <w:p w14:paraId="5646932D" w14:textId="77777777" w:rsidR="0005026F" w:rsidRDefault="0005026F" w:rsidP="00BB2B23">
      <w:pPr>
        <w:pStyle w:val="Subhead1"/>
        <w:sectPr w:rsidR="0005026F" w:rsidSect="00B8204E">
          <w:pgSz w:w="11906" w:h="16838"/>
          <w:pgMar w:top="720" w:right="720" w:bottom="720" w:left="720" w:header="425" w:footer="425" w:gutter="0"/>
          <w:pgNumType w:start="1"/>
          <w:cols w:space="708"/>
          <w:titlePg/>
          <w:docGrid w:linePitch="360"/>
        </w:sectPr>
      </w:pPr>
    </w:p>
    <w:p w14:paraId="5646932E" w14:textId="77777777" w:rsidR="00BB2B23" w:rsidRDefault="00BB2B23" w:rsidP="00BB2B23">
      <w:pPr>
        <w:pStyle w:val="Subhead1"/>
      </w:pPr>
      <w:r>
        <w:lastRenderedPageBreak/>
        <w:t>Table of Figures</w:t>
      </w:r>
    </w:p>
    <w:p w14:paraId="5646932F" w14:textId="77777777" w:rsidR="00BB2B23" w:rsidRDefault="00BB2B23" w:rsidP="00BB2B23">
      <w:pPr>
        <w:pStyle w:val="TableofFigures1"/>
      </w:pPr>
      <w:r>
        <w:t>Figure 1: Greenhouse gas reduction pathways under HFC phase-down scenario</w:t>
      </w:r>
      <w:r>
        <w:tab/>
        <w:t>4</w:t>
      </w:r>
    </w:p>
    <w:p w14:paraId="56469330" w14:textId="77777777" w:rsidR="00BB2B23" w:rsidRDefault="00BB2B23" w:rsidP="00BB2B23">
      <w:pPr>
        <w:pStyle w:val="TableofFigures1"/>
      </w:pPr>
      <w:r>
        <w:t>Figure 2: (also referred to in Section 5 as figure 8) Projected base case emissions, excluding HCFCs, Mt</w:t>
      </w:r>
      <w:r>
        <w:rPr>
          <w:rStyle w:val="nobreak"/>
        </w:rPr>
        <w:t xml:space="preserve"> </w:t>
      </w:r>
      <w:r>
        <w:t>CO2-e</w:t>
      </w:r>
      <w:r>
        <w:tab/>
        <w:t>6</w:t>
      </w:r>
    </w:p>
    <w:p w14:paraId="56469331" w14:textId="77777777" w:rsidR="00BB2B23" w:rsidRDefault="00BB2B23" w:rsidP="00BB2B23">
      <w:pPr>
        <w:pStyle w:val="TableofFigures1"/>
      </w:pPr>
      <w:r>
        <w:t>Figure 3: Direct (leakage) emissions against BAU 2017–2030</w:t>
      </w:r>
      <w:r>
        <w:tab/>
        <w:t>8</w:t>
      </w:r>
    </w:p>
    <w:p w14:paraId="56469332" w14:textId="77777777" w:rsidR="00BB2B23" w:rsidRDefault="00BB2B23" w:rsidP="00BB2B23">
      <w:pPr>
        <w:pStyle w:val="TableofFigures1"/>
      </w:pPr>
      <w:r>
        <w:t>Figure 4: Direct (leakage) emissions against BAU 2026–2030</w:t>
      </w:r>
      <w:r>
        <w:tab/>
        <w:t>8</w:t>
      </w:r>
    </w:p>
    <w:p w14:paraId="56469333" w14:textId="77777777" w:rsidR="00BB2B23" w:rsidRDefault="00BB2B23" w:rsidP="00BB2B23">
      <w:pPr>
        <w:pStyle w:val="TableofFigures1"/>
      </w:pPr>
      <w:r>
        <w:t>Figure 5: Bank of refrigerants by major segment 2012 (total of 43,500 tonnes)</w:t>
      </w:r>
      <w:r>
        <w:tab/>
        <w:t>15</w:t>
      </w:r>
    </w:p>
    <w:p w14:paraId="56469334" w14:textId="77777777" w:rsidR="00BB2B23" w:rsidRDefault="00BB2B23" w:rsidP="00BB2B23">
      <w:pPr>
        <w:pStyle w:val="TableofFigures1"/>
      </w:pPr>
      <w:r>
        <w:t>Figure 6: Predicted refrigerant bank transition from 2013 to 2030 by gas species in Mt CO2-e</w:t>
      </w:r>
      <w:r>
        <w:tab/>
        <w:t>17</w:t>
      </w:r>
    </w:p>
    <w:p w14:paraId="56469335" w14:textId="77777777" w:rsidR="00BB2B23" w:rsidRDefault="00BB2B23" w:rsidP="00BB2B23">
      <w:pPr>
        <w:pStyle w:val="TableofFigures1"/>
      </w:pPr>
      <w:r>
        <w:t>Figure 7: Greenhouse gas reduction pathways under HFC phase-down scenario</w:t>
      </w:r>
      <w:r>
        <w:tab/>
        <w:t>21</w:t>
      </w:r>
    </w:p>
    <w:p w14:paraId="56469336" w14:textId="77777777" w:rsidR="00BB2B23" w:rsidRDefault="00BB2B23" w:rsidP="00BB2B23">
      <w:pPr>
        <w:pStyle w:val="TableofFigures1"/>
      </w:pPr>
      <w:r>
        <w:t>Figure 8: Projected emissions, base case, excluding HCFCs, Mt CO2-e</w:t>
      </w:r>
      <w:r>
        <w:tab/>
        <w:t>27</w:t>
      </w:r>
    </w:p>
    <w:p w14:paraId="56469337" w14:textId="77777777" w:rsidR="00BB2B23" w:rsidRDefault="00BB2B23" w:rsidP="00BB2B23">
      <w:pPr>
        <w:pStyle w:val="TableofFigures1"/>
      </w:pPr>
      <w:r>
        <w:t>Figure 9: Benefit cost ratio under a selection of discount rates</w:t>
      </w:r>
      <w:r>
        <w:tab/>
        <w:t>46</w:t>
      </w:r>
    </w:p>
    <w:p w14:paraId="56469338" w14:textId="77777777" w:rsidR="00BB2B23" w:rsidRDefault="00BB2B23" w:rsidP="00BB2B23">
      <w:pPr>
        <w:pStyle w:val="TableofFigures1"/>
      </w:pPr>
      <w:r>
        <w:t>Figure 10: Benefit cost ratio under a selection of carbon prices</w:t>
      </w:r>
      <w:r>
        <w:tab/>
        <w:t>47</w:t>
      </w:r>
    </w:p>
    <w:p w14:paraId="56469339" w14:textId="77777777" w:rsidR="00BB2B23" w:rsidRDefault="00BB2B23" w:rsidP="00BB2B23">
      <w:pPr>
        <w:pStyle w:val="Text"/>
      </w:pPr>
    </w:p>
    <w:p w14:paraId="5646933A" w14:textId="77777777" w:rsidR="00BB2B23" w:rsidRDefault="00BB2B23" w:rsidP="00BB2B23">
      <w:pPr>
        <w:pStyle w:val="Text"/>
      </w:pPr>
    </w:p>
    <w:p w14:paraId="5646933B" w14:textId="77777777" w:rsidR="0005026F" w:rsidRDefault="0005026F" w:rsidP="00BB2B23">
      <w:pPr>
        <w:pStyle w:val="Subhead1"/>
        <w:sectPr w:rsidR="0005026F" w:rsidSect="00B8204E">
          <w:pgSz w:w="11906" w:h="16838"/>
          <w:pgMar w:top="720" w:right="720" w:bottom="720" w:left="720" w:header="425" w:footer="425" w:gutter="0"/>
          <w:pgNumType w:start="1"/>
          <w:cols w:space="708"/>
          <w:titlePg/>
          <w:docGrid w:linePitch="360"/>
        </w:sectPr>
      </w:pPr>
    </w:p>
    <w:p w14:paraId="5646933C" w14:textId="77777777" w:rsidR="00BB2B23" w:rsidRDefault="00BB2B23" w:rsidP="00BB2B23">
      <w:pPr>
        <w:pStyle w:val="Subhead1"/>
      </w:pPr>
      <w:r>
        <w:lastRenderedPageBreak/>
        <w:t>List of Tables</w:t>
      </w:r>
    </w:p>
    <w:p w14:paraId="5646933D" w14:textId="77777777" w:rsidR="00BB2B23" w:rsidRDefault="00BB2B23" w:rsidP="00BB2B23">
      <w:pPr>
        <w:pStyle w:val="TableofFigures1"/>
      </w:pPr>
      <w:r>
        <w:t>Table 1: Stakeholder impacts (2016–30)</w:t>
      </w:r>
      <w:r>
        <w:tab/>
        <w:t>30</w:t>
      </w:r>
    </w:p>
    <w:p w14:paraId="5646933E" w14:textId="77777777" w:rsidR="00BB2B23" w:rsidRDefault="00BB2B23" w:rsidP="00BB2B23">
      <w:pPr>
        <w:pStyle w:val="TableofFigures1"/>
      </w:pPr>
      <w:r>
        <w:t>Table 2: Estimated transfer costs for stakeholder group—users and consumers of RAC services</w:t>
      </w:r>
      <w:r>
        <w:tab/>
        <w:t>31</w:t>
      </w:r>
    </w:p>
    <w:p w14:paraId="5646933F" w14:textId="77777777" w:rsidR="00BB2B23" w:rsidRDefault="00BB2B23" w:rsidP="00BB2B23">
      <w:pPr>
        <w:pStyle w:val="TableofFigures1"/>
      </w:pPr>
      <w:r>
        <w:t>Table 3: Cost-benefit analysis of HFC phase-down scenario, $000s</w:t>
      </w:r>
      <w:r>
        <w:tab/>
        <w:t>34</w:t>
      </w:r>
    </w:p>
    <w:p w14:paraId="56469340" w14:textId="77777777" w:rsidR="00BB2B23" w:rsidRDefault="00BB2B23" w:rsidP="00BB2B23">
      <w:pPr>
        <w:pStyle w:val="TableofFigures1"/>
      </w:pPr>
      <w:r>
        <w:t>Table 4: Stakeholder impacts (2016–30)</w:t>
      </w:r>
      <w:r>
        <w:tab/>
        <w:t>36</w:t>
      </w:r>
    </w:p>
    <w:p w14:paraId="56469341" w14:textId="77777777" w:rsidR="00BB2B23" w:rsidRDefault="00BB2B23" w:rsidP="00BB2B23">
      <w:pPr>
        <w:pStyle w:val="TableofFigures1"/>
      </w:pPr>
      <w:r>
        <w:t>Table 5: Cost-benefit analysis for equipment bans</w:t>
      </w:r>
      <w:r>
        <w:tab/>
        <w:t>37</w:t>
      </w:r>
    </w:p>
    <w:p w14:paraId="56469342" w14:textId="77777777" w:rsidR="00BB2B23" w:rsidRDefault="00BB2B23" w:rsidP="00BB2B23">
      <w:pPr>
        <w:pStyle w:val="TableofFigures1"/>
      </w:pPr>
      <w:r>
        <w:t>Table 6: Stakeholder impacts (2016–30)</w:t>
      </w:r>
      <w:r>
        <w:tab/>
        <w:t>39</w:t>
      </w:r>
    </w:p>
    <w:p w14:paraId="56469343" w14:textId="77777777" w:rsidR="00BB2B23" w:rsidRDefault="00BB2B23" w:rsidP="00BB2B23">
      <w:pPr>
        <w:pStyle w:val="TableofFigures1"/>
      </w:pPr>
      <w:r>
        <w:t>Table 7: Cost-benefit analysis for leak detection scenario</w:t>
      </w:r>
      <w:r>
        <w:tab/>
        <w:t>40</w:t>
      </w:r>
    </w:p>
    <w:p w14:paraId="56469344" w14:textId="77777777" w:rsidR="00BB2B23" w:rsidRDefault="00BB2B23" w:rsidP="00BB2B23">
      <w:pPr>
        <w:pStyle w:val="TableofFigures1"/>
      </w:pPr>
      <w:r>
        <w:t>Table 8: Cost-benefit analysis for maintenance scenario</w:t>
      </w:r>
      <w:r>
        <w:tab/>
        <w:t>41</w:t>
      </w:r>
    </w:p>
    <w:p w14:paraId="56469345" w14:textId="77777777" w:rsidR="00BB2B23" w:rsidRDefault="00BB2B23" w:rsidP="00BB2B23">
      <w:pPr>
        <w:pStyle w:val="TableofFigures1"/>
      </w:pPr>
      <w:r>
        <w:t>Table 9: Summary of impact analysis of emission reduction options over period 2016</w:t>
      </w:r>
      <w:r>
        <w:noBreakHyphen/>
        <w:t>2030</w:t>
      </w:r>
      <w:r>
        <w:tab/>
        <w:t>44</w:t>
      </w:r>
    </w:p>
    <w:p w14:paraId="56469346" w14:textId="77777777" w:rsidR="00BB2B23" w:rsidRDefault="00BB2B23" w:rsidP="00BB2B23">
      <w:pPr>
        <w:pStyle w:val="TableofFigures1"/>
      </w:pPr>
      <w:r>
        <w:t>Table 10: Net present value under a selection of discount rates, $M</w:t>
      </w:r>
      <w:r>
        <w:tab/>
        <w:t>46</w:t>
      </w:r>
    </w:p>
    <w:p w14:paraId="56469347" w14:textId="77777777" w:rsidR="00BB2B23" w:rsidRDefault="00BB2B23" w:rsidP="00BB2B23">
      <w:pPr>
        <w:pStyle w:val="TableofFigures1"/>
      </w:pPr>
      <w:r>
        <w:t>Table 11: Net present value under a selection of starting carbon prices, $M</w:t>
      </w:r>
      <w:r>
        <w:tab/>
        <w:t>47</w:t>
      </w:r>
    </w:p>
    <w:p w14:paraId="56469348" w14:textId="77777777" w:rsidR="00BB2B23" w:rsidRDefault="00BB2B23" w:rsidP="00BB2B23">
      <w:pPr>
        <w:pStyle w:val="TableofFigures1"/>
      </w:pPr>
      <w:r>
        <w:t>Table 12: Net present value under a selection of maintenance cost assumptions, $M</w:t>
      </w:r>
      <w:r>
        <w:tab/>
        <w:t>48</w:t>
      </w:r>
    </w:p>
    <w:p w14:paraId="56469349" w14:textId="77777777" w:rsidR="00BB2B23" w:rsidRDefault="00BB2B23" w:rsidP="00BB2B23">
      <w:pPr>
        <w:pStyle w:val="TableofFigures1"/>
      </w:pPr>
      <w:r>
        <w:t>Table 13: Net present value under a selection of capital cost assumptions</w:t>
      </w:r>
      <w:r>
        <w:tab/>
        <w:t>48</w:t>
      </w:r>
    </w:p>
    <w:p w14:paraId="5646934A" w14:textId="77777777" w:rsidR="00BB2B23" w:rsidRDefault="00BB2B23" w:rsidP="00BB2B23">
      <w:pPr>
        <w:pStyle w:val="TableofFigures1"/>
      </w:pPr>
      <w:r>
        <w:t>Table 14: Net present value under a selection of gas cost assumptions, $M</w:t>
      </w:r>
      <w:r>
        <w:tab/>
        <w:t>49</w:t>
      </w:r>
    </w:p>
    <w:p w14:paraId="5646934B" w14:textId="77777777" w:rsidR="00BB2B23" w:rsidRDefault="00BB2B23" w:rsidP="00BB2B23">
      <w:pPr>
        <w:pStyle w:val="TableofFigures1"/>
      </w:pPr>
      <w:r>
        <w:t>Table 15: Effect of varying maintenance assumptions</w:t>
      </w:r>
      <w:r>
        <w:tab/>
        <w:t>50</w:t>
      </w:r>
    </w:p>
    <w:p w14:paraId="5646934C" w14:textId="77777777" w:rsidR="00BB2B23" w:rsidRDefault="00BB2B23" w:rsidP="00BB2B23">
      <w:pPr>
        <w:pStyle w:val="TableofFigures1"/>
      </w:pPr>
      <w:r>
        <w:t>Table 16: Effect of varying leak detection assumptions</w:t>
      </w:r>
      <w:r>
        <w:tab/>
        <w:t>50</w:t>
      </w:r>
    </w:p>
    <w:p w14:paraId="5646934D" w14:textId="77777777" w:rsidR="00BB2B23" w:rsidRDefault="00BB2B23" w:rsidP="00BB2B23">
      <w:pPr>
        <w:pStyle w:val="TableofFigures1"/>
      </w:pPr>
      <w:r>
        <w:t>Table 17: Summary of stakeholder feedback</w:t>
      </w:r>
      <w:r>
        <w:tab/>
        <w:t>55</w:t>
      </w:r>
    </w:p>
    <w:p w14:paraId="5646934E" w14:textId="77777777" w:rsidR="00BB2B23" w:rsidRDefault="00BB2B23" w:rsidP="00BB2B23">
      <w:pPr>
        <w:pStyle w:val="Text"/>
      </w:pPr>
    </w:p>
    <w:p w14:paraId="5646934F" w14:textId="77777777" w:rsidR="0005026F" w:rsidRDefault="0005026F" w:rsidP="00BB2B23">
      <w:pPr>
        <w:pStyle w:val="Subhead1"/>
        <w:sectPr w:rsidR="0005026F" w:rsidSect="00B8204E">
          <w:pgSz w:w="11906" w:h="16838"/>
          <w:pgMar w:top="720" w:right="720" w:bottom="720" w:left="720" w:header="425" w:footer="425" w:gutter="0"/>
          <w:pgNumType w:start="1"/>
          <w:cols w:space="708"/>
          <w:titlePg/>
          <w:docGrid w:linePitch="360"/>
        </w:sectPr>
      </w:pPr>
    </w:p>
    <w:p w14:paraId="56469350" w14:textId="77777777" w:rsidR="00BB2B23" w:rsidRDefault="00BB2B23" w:rsidP="00BB2B23">
      <w:pPr>
        <w:pStyle w:val="Subhead1"/>
      </w:pPr>
      <w:r>
        <w:lastRenderedPageBreak/>
        <w:t>Executive Summary</w:t>
      </w:r>
    </w:p>
    <w:p w14:paraId="56469351" w14:textId="77777777" w:rsidR="00BB2B23" w:rsidRDefault="00BB2B23" w:rsidP="00BB2B23">
      <w:pPr>
        <w:pStyle w:val="Text"/>
      </w:pPr>
      <w:r>
        <w:t>This Regulation Impact Statement (RIS) examines options to reduce emissions of hydrofluorocarbons (HFCs) by 85 per cent from 2016 levels by 2036. HFCs are a sub group of synthetic greenhouse gases (SGGs) contributing between 1–2 per cent of Australia’s carbon equivalent emissions. The reduction of HFCs will contribute to the Australian Government’s broader target to reduce to reduce greenhouse gas emissions by 26–28 per cent below 2005 levels by 2030. Current Australian consumption is 7.82 Mt CO</w:t>
      </w:r>
      <w:r>
        <w:rPr>
          <w:rStyle w:val="subscript"/>
        </w:rPr>
        <w:t>2</w:t>
      </w:r>
      <w:r>
        <w:t>-e (based on the average consumption between 2011 and 2013), and the objective is to reduce this by 85% to 1.17 Mt CO</w:t>
      </w:r>
      <w:r>
        <w:rPr>
          <w:rStyle w:val="subscript"/>
        </w:rPr>
        <w:t>2</w:t>
      </w:r>
      <w:r>
        <w:t>-e by 2036.</w:t>
      </w:r>
    </w:p>
    <w:p w14:paraId="56469352" w14:textId="77777777" w:rsidR="00BB2B23" w:rsidRDefault="00BB2B23" w:rsidP="00BB2B23">
      <w:pPr>
        <w:pStyle w:val="Text"/>
      </w:pPr>
      <w:r>
        <w:t xml:space="preserve">This RIS has been prepared by the Australian Government Department of the Environment and Energy (the Department) on behalf of the Commonwealth, in consultation with other Commonwealth Agencies and primary stakeholders. It follows the Office of Best Practice Regulation’s </w:t>
      </w:r>
      <w:r>
        <w:rPr>
          <w:rStyle w:val="TextItalic"/>
        </w:rPr>
        <w:t>Australian Government Guide to Regulation</w:t>
      </w:r>
      <w:r>
        <w:t xml:space="preserve"> and builds on the Options Paper published by the Department in October 2015. </w:t>
      </w:r>
    </w:p>
    <w:p w14:paraId="56469353" w14:textId="77777777" w:rsidR="00BB2B23" w:rsidRDefault="00BB2B23" w:rsidP="00BB2B23">
      <w:pPr>
        <w:pStyle w:val="Subhead2"/>
      </w:pPr>
      <w:r>
        <w:t>What is the Policy Problem?</w:t>
      </w:r>
    </w:p>
    <w:p w14:paraId="56469354" w14:textId="77777777" w:rsidR="00BB2B23" w:rsidRDefault="00BB2B23" w:rsidP="00BB2B23">
      <w:pPr>
        <w:pStyle w:val="Text"/>
      </w:pPr>
      <w:r>
        <w:t xml:space="preserve">In the lead up to the Paris United Nations Climate Conference in December 2015, the Government committed to reducing Australia’s carbon emissions to 26–28 per cent below 2005 levels by 2030. As part of this announcement the Government committed to looking to fast track work to reduce domestic hydrofluorocarbon (a sub-group of SGGs) emissions specifically by 85 per cent from 2016 levels by 2036, in-line with the most ambitious phase-down proposals under the </w:t>
      </w:r>
      <w:r>
        <w:rPr>
          <w:rStyle w:val="TextItalic"/>
        </w:rPr>
        <w:t>Montreal Protocol on Substances that Deplete the Ozone Layer</w:t>
      </w:r>
      <w:r>
        <w:t xml:space="preserve"> (the</w:t>
      </w:r>
      <w:r>
        <w:rPr>
          <w:rStyle w:val="nobreak"/>
        </w:rPr>
        <w:t xml:space="preserve"> </w:t>
      </w:r>
      <w:r>
        <w:t>Montreal Protocol).</w:t>
      </w:r>
    </w:p>
    <w:p w14:paraId="56469355" w14:textId="77777777" w:rsidR="00BB2B23" w:rsidRDefault="00BB2B23" w:rsidP="00BB2B23">
      <w:pPr>
        <w:pStyle w:val="Text"/>
      </w:pPr>
      <w:r>
        <w:t>Hydrofluorocarbons (HFCs) are a sub-group of SGGs which are greenhouse gases. HFCs have been specifically identified for possible policy action at the Montreal Protocol, to which Australia is a party, as they are powerful greenhouse gases. The Australian Government has identified them for possible earlier domestic action as they are widely used in the Australian economy by virtue of being the main gases used in the refrigeration, air conditioning and fire protection industries. HFCs constitute between 1–2 per cent of Australia’s carbon-equivalent emissions. Current Australian consumption is 7.82 Mt CO</w:t>
      </w:r>
      <w:r>
        <w:rPr>
          <w:rStyle w:val="subscript"/>
        </w:rPr>
        <w:t>2</w:t>
      </w:r>
      <w:r>
        <w:t>-e in 2016, and the objective is to reduce this to 1.17 Mt CO</w:t>
      </w:r>
      <w:r>
        <w:rPr>
          <w:rStyle w:val="subscript"/>
        </w:rPr>
        <w:t>2</w:t>
      </w:r>
      <w:r>
        <w:t>-e by 2036.</w:t>
      </w:r>
    </w:p>
    <w:p w14:paraId="56469356" w14:textId="77777777" w:rsidR="00BB2B23" w:rsidRDefault="00BB2B23" w:rsidP="00BB2B23">
      <w:pPr>
        <w:pStyle w:val="Text"/>
      </w:pPr>
      <w:r>
        <w:t xml:space="preserve">Policy intervention in these sectors is expected to have a positive environmental impact due to their scope, covering residential to commercial buildings to the cold-food sector. In 2012 it was estimated there were more than 45 million individual pieces of equipment operating in Australia, with some 20,000 business involved in their sale, installation or maintenance. The refrigeration and air conditioning, and fire protection industries, the primary users of HFCs, have a history of successfully working with Government to reduce the use of environmentally damaging substances. </w:t>
      </w:r>
    </w:p>
    <w:p w14:paraId="56469357" w14:textId="77777777" w:rsidR="00BB2B23" w:rsidRDefault="00BB2B23" w:rsidP="00BB2B23">
      <w:pPr>
        <w:pStyle w:val="Subhead3"/>
      </w:pPr>
      <w:r>
        <w:t xml:space="preserve">Nature and extent of the problem—Hydrofluorocarbons </w:t>
      </w:r>
    </w:p>
    <w:p w14:paraId="56469358" w14:textId="77777777" w:rsidR="00BB2B23" w:rsidRDefault="00BB2B23" w:rsidP="00BB2B23">
      <w:pPr>
        <w:pStyle w:val="Text"/>
      </w:pPr>
      <w:r>
        <w:t xml:space="preserve">Hydrofluorocarbons (HFCs) are SGGs, the manmade subset of greenhouse gases. Greenhouse gases insulate the Earth and prevent the sun’s heat from escaping, meaning the Earth stays warm and enables life to exist and thrive. Many greenhouse gases occur naturally in the atmosphere, such as methane and </w:t>
      </w:r>
      <w:r>
        <w:lastRenderedPageBreak/>
        <w:t>carbon dioxide. However the concentration of these gases has increased throughout the industrial era due to the burning of fossil fuels and changes in land use practices. The vast majority of the world’s atmospheric scientists agree that the build up of anthropogenic greenhouse gases in the atmosphere is changing the planet’s heat balance, which in turn is affecting global temperature and rainfall patterns.</w:t>
      </w:r>
    </w:p>
    <w:p w14:paraId="56469359" w14:textId="77777777" w:rsidR="00BB2B23" w:rsidRDefault="00BB2B23" w:rsidP="00BB2B23">
      <w:pPr>
        <w:pStyle w:val="Text"/>
      </w:pPr>
      <w:r>
        <w:t>HFCs are generally present in the atmosphere at low concentrations however they have a measurable impact on climate change because they typically have very high Global Warming Potential (GWP). GWP is a relative measure of how much heat a greenhouse gas traps in the atmosphere compared to a similar mass of carbon dioxide. Most commonly used SGGs have very high GWPs. The most common SGG used in Australia is HFC-134a, which has a GWP of 1430</w:t>
      </w:r>
      <w:r>
        <w:rPr>
          <w:rFonts w:ascii="Myriad Pro" w:hAnsi="Myriad Pro" w:cstheme="minorBidi"/>
          <w:sz w:val="24"/>
          <w:szCs w:val="24"/>
        </w:rPr>
        <w:footnoteReference w:id="1"/>
      </w:r>
      <w:r>
        <w:t>, meaning that it is 1430 times as potent in the atmosphere as carbon dioxide.</w:t>
      </w:r>
    </w:p>
    <w:p w14:paraId="5646935A" w14:textId="77777777" w:rsidR="00BB2B23" w:rsidRDefault="00BB2B23" w:rsidP="00BB2B23">
      <w:pPr>
        <w:pStyle w:val="Text"/>
      </w:pPr>
      <w:r>
        <w:t>HFCs are used in a range of applications including refrigeration and air conditioning, fire protection, aerosols, electricity distribution, foams, medical and veterinary applications, smelting, solvents, niche processing applications (such as plasma etching and semi-conductor manufacture), and for laboratory and analytical purposes.</w:t>
      </w:r>
    </w:p>
    <w:p w14:paraId="5646935B" w14:textId="77777777" w:rsidR="00BB2B23" w:rsidRDefault="00BB2B23" w:rsidP="00BB2B23">
      <w:pPr>
        <w:pStyle w:val="Subhead4"/>
      </w:pPr>
      <w:r>
        <w:t>Health and Environmental Impacts</w:t>
      </w:r>
    </w:p>
    <w:p w14:paraId="5646935C" w14:textId="77777777" w:rsidR="00BB2B23" w:rsidRDefault="00BB2B23" w:rsidP="00BB2B23">
      <w:pPr>
        <w:pStyle w:val="Text"/>
      </w:pPr>
      <w:r>
        <w:t xml:space="preserve">HFCs are either emissive in their designed use (e.g. fire extinguishers and aerosols) or inherently emissive in the equipment they are contained in (e.g. refrigeration and air conditioning systems will leak due to sudden equipment failure and or more slowly as pipe joints are weakened through mechanical vibrations). HFCs can be recovered from equipment when it reaches end of life. However, given the dispersed nature of applications using SGGs (i.e. it is used in small quantities in high numbers of equipment); the volume of SGGs recovered is generally low. Approximate recovery rates from different applications are included in the modelling supporting this RIS. </w:t>
      </w:r>
    </w:p>
    <w:p w14:paraId="5646935D" w14:textId="77777777" w:rsidR="00BB2B23" w:rsidRDefault="00BB2B23" w:rsidP="00BB2B23">
      <w:pPr>
        <w:pStyle w:val="Text"/>
      </w:pPr>
      <w:r>
        <w:t xml:space="preserve">This means that it is assumed their full GWP will be released into the atmosphere over the course of their lifetime, contributing to global warming. </w:t>
      </w:r>
    </w:p>
    <w:p w14:paraId="5646935E" w14:textId="77777777" w:rsidR="00BB2B23" w:rsidRDefault="00BB2B23" w:rsidP="00BB2B23">
      <w:pPr>
        <w:pStyle w:val="Text"/>
      </w:pPr>
      <w:r>
        <w:t>The prediction of future health impacts (from climate change) is a challenge because of the highly complex relationships that exist between humans and their environment. The links between a climate variable and a health impact can be very direct, such as physical injuries suffered during an extreme event or increases in respiratory symptoms during high temperature events. Other links are indirect and complex and require careful consideration of the chain of events that lead from climate variable to health impact</w:t>
      </w:r>
      <w:r>
        <w:rPr>
          <w:rFonts w:ascii="Myriad Pro" w:hAnsi="Myriad Pro" w:cstheme="minorBidi"/>
          <w:sz w:val="24"/>
          <w:szCs w:val="24"/>
        </w:rPr>
        <w:footnoteReference w:id="2"/>
      </w:r>
      <w:r>
        <w:t>.</w:t>
      </w:r>
    </w:p>
    <w:p w14:paraId="5646935F" w14:textId="77777777" w:rsidR="00BB2B23" w:rsidRDefault="00BB2B23" w:rsidP="00BB2B23">
      <w:pPr>
        <w:pStyle w:val="Subhead4"/>
      </w:pPr>
      <w:r>
        <w:t>HFC use in Australia</w:t>
      </w:r>
    </w:p>
    <w:p w14:paraId="56469360" w14:textId="77777777" w:rsidR="00BB2B23" w:rsidRDefault="00BB2B23" w:rsidP="00BB2B23">
      <w:pPr>
        <w:pStyle w:val="Text"/>
      </w:pPr>
      <w:r>
        <w:t xml:space="preserve">The prevalence in Australia of HFCs is a direct consequence of the global effort to reduce emissions of ozone depleting substances, which commenced in the 1990s. HFC are now the dominant gases used in the refrigeration and air conditioning sector, and constitute between 1–2 per cent of Australia’s carbon-equivalent emissions. Direct spending in the refrigeration and air conditioning sector is equivalent to </w:t>
      </w:r>
      <w:r>
        <w:lastRenderedPageBreak/>
        <w:t xml:space="preserve">0.7 per cent of Australia’s gross domestic product. An overall expenditure figure of some $26.2 billion was spent on equipment and services in 2012. Air conditioning is estimated to be installed in the majority of Australia’s 8 million homes and in the majority of the 16 million registered road vehicles. Around 173,000 people are employed in more than 20,000 businesses operating in the sector. </w:t>
      </w:r>
    </w:p>
    <w:p w14:paraId="56469361" w14:textId="77777777" w:rsidR="00BB2B23" w:rsidRDefault="00BB2B23" w:rsidP="00BB2B23">
      <w:pPr>
        <w:pStyle w:val="Text"/>
      </w:pPr>
      <w:r>
        <w:t xml:space="preserve">A reduction of SGGs in this industry, due to its overall size and proportion of Australia’s economy, means it is considered an opportunity for successful implementation of cost effective emissions reductions policies. </w:t>
      </w:r>
    </w:p>
    <w:p w14:paraId="56469362" w14:textId="77777777" w:rsidR="00BB2B23" w:rsidRDefault="00BB2B23" w:rsidP="00BB2B23">
      <w:pPr>
        <w:pStyle w:val="Text"/>
      </w:pPr>
    </w:p>
    <w:p w14:paraId="56469363" w14:textId="77777777" w:rsidR="00BB2B23" w:rsidRDefault="00BB2B23" w:rsidP="00BB2B23">
      <w:pPr>
        <w:pStyle w:val="Subhead3"/>
      </w:pPr>
      <w:r>
        <w:t>Regulation of HFC use in Australia</w:t>
      </w:r>
    </w:p>
    <w:p w14:paraId="56469364" w14:textId="77777777" w:rsidR="00BB2B23" w:rsidRDefault="00BB2B23" w:rsidP="00BB2B23">
      <w:pPr>
        <w:pStyle w:val="Text"/>
      </w:pPr>
      <w:r>
        <w:t xml:space="preserve">Australia regulates the manufacture, import, export, and domestic ‘end-use’ (handling, storage, transport) of HFCs and equipment containing these gases through import, export and end-use licensing systems under the Ozone Protection and Synthetic Greenhouse Gas Management (OPSGGM) Programme, established in 1989. HFCs were included in the OPSGGM Programme in 2003 following Australia’s ratification of the United Nations Framework Convention on Climate Change. </w:t>
      </w:r>
    </w:p>
    <w:p w14:paraId="56469365" w14:textId="77777777" w:rsidR="00BB2B23" w:rsidRDefault="00BB2B23" w:rsidP="00BB2B23">
      <w:pPr>
        <w:pStyle w:val="Subhead3"/>
      </w:pPr>
      <w:r>
        <w:t xml:space="preserve">The future of HFC use in Australia </w:t>
      </w:r>
    </w:p>
    <w:p w14:paraId="56469366" w14:textId="77777777" w:rsidR="00BB2B23" w:rsidRDefault="00BB2B23" w:rsidP="00BB2B23">
      <w:pPr>
        <w:pStyle w:val="Text"/>
      </w:pPr>
      <w:r>
        <w:t xml:space="preserve">While feedback from some stakeholders consulted disputes this view, the majority of stakeholders consider that Australia is a ‘technology taker’, notwithstanding that different technologies have been adapted from markets in Asia, Europe and North America to suit local conditions. </w:t>
      </w:r>
    </w:p>
    <w:p w14:paraId="56469367" w14:textId="77777777" w:rsidR="00BB2B23" w:rsidRDefault="00BB2B23" w:rsidP="00BB2B23">
      <w:pPr>
        <w:pStyle w:val="Text"/>
      </w:pPr>
      <w:r>
        <w:t xml:space="preserve">In the recent past, HFC use has been increasing as domestic air conditioning becomes more prevalent and the phase-out of HCFCs (hydrochlorofluorocarbons, a group of gases being phased out under the Montreal Protocol) nears completion. In the future, HFC use is expect to decline as alternative technologies become more cost-effective. </w:t>
      </w:r>
    </w:p>
    <w:p w14:paraId="56469368" w14:textId="77777777" w:rsidR="00BB2B23" w:rsidRDefault="00BB2B23" w:rsidP="00BB2B23">
      <w:pPr>
        <w:pStyle w:val="Subhead2"/>
      </w:pPr>
      <w:r>
        <w:t>Why is Government action needed?</w:t>
      </w:r>
    </w:p>
    <w:p w14:paraId="56469369" w14:textId="77777777" w:rsidR="00BB2B23" w:rsidRDefault="00BB2B23" w:rsidP="00BB2B23">
      <w:pPr>
        <w:pStyle w:val="Text"/>
      </w:pPr>
      <w:r>
        <w:t>Carbon emissions are associated with a wide range of economic activities, such that private decisions of business and individuals are likely to increase emissions roughly in line with economic growth. If unpriced, the costs of those emissions are borne by the global community, rather than the person who makes the emission decision. The</w:t>
      </w:r>
      <w:r>
        <w:rPr>
          <w:rStyle w:val="nobreak"/>
        </w:rPr>
        <w:t xml:space="preserve"> </w:t>
      </w:r>
      <w:r>
        <w:t xml:space="preserve">Government can use a range of policy instruments to ensure that Australia meets its emission reduction targets. The choice of instrument varies depending on the application or industry concerned. This RIS explores the most efficient and cost-effective policy instruments relevant to the applications and industries that use SGGs. </w:t>
      </w:r>
    </w:p>
    <w:p w14:paraId="5646936A" w14:textId="77777777" w:rsidR="00BB2B23" w:rsidRDefault="00BB2B23" w:rsidP="00BB2B23">
      <w:pPr>
        <w:pStyle w:val="Subhead2"/>
      </w:pPr>
      <w:r>
        <w:t>Objectives of Government action</w:t>
      </w:r>
    </w:p>
    <w:p w14:paraId="5646936B" w14:textId="77777777" w:rsidR="00BB2B23" w:rsidRDefault="00BB2B23" w:rsidP="00BB2B23">
      <w:pPr>
        <w:pStyle w:val="Text"/>
      </w:pPr>
      <w:r>
        <w:t xml:space="preserve">The objectives of Government action are to implement cost effective policy options to reduce HFC emissions by 85 per cent by 2036. </w:t>
      </w:r>
    </w:p>
    <w:p w14:paraId="5646936C" w14:textId="77777777" w:rsidR="00BB2B23" w:rsidRDefault="00BB2B23" w:rsidP="00BB2B23">
      <w:pPr>
        <w:pStyle w:val="Subhead2"/>
      </w:pPr>
      <w:r>
        <w:t xml:space="preserve">Options for Government action </w:t>
      </w:r>
    </w:p>
    <w:p w14:paraId="5646936D" w14:textId="77777777" w:rsidR="00BB2B23" w:rsidRDefault="00BB2B23" w:rsidP="00BB2B23">
      <w:pPr>
        <w:pStyle w:val="Text"/>
      </w:pPr>
      <w:r>
        <w:lastRenderedPageBreak/>
        <w:t xml:space="preserve">Emissions occur as a result of designed use, leakage and sub-standard decommissioning. There is a causal relationship between imports of bulk gas, imports of charged equipment and eventual emissions (as emissions are assumed at the point of production). </w:t>
      </w:r>
    </w:p>
    <w:p w14:paraId="5646936E" w14:textId="77777777" w:rsidR="00BB2B23" w:rsidRDefault="00BB2B23" w:rsidP="00BB2B23">
      <w:pPr>
        <w:pStyle w:val="Text"/>
      </w:pPr>
      <w:r>
        <w:t xml:space="preserve">Therefore, options that (a) reduce imports of gas, whether bulk or in charged equipment, (b) prevent leakage in service, and (c) capture and destroy gas from charged equipment at end of life, could address the problem. </w:t>
      </w:r>
    </w:p>
    <w:p w14:paraId="5646936F" w14:textId="77777777" w:rsidR="00BB2B23" w:rsidRDefault="00BB2B23" w:rsidP="00BB2B23">
      <w:pPr>
        <w:pStyle w:val="Text"/>
      </w:pPr>
      <w:r>
        <w:t>The following Options have been developed in discussions between the Department and industry stakeholders following these principles.</w:t>
      </w:r>
    </w:p>
    <w:p w14:paraId="56469370" w14:textId="77777777" w:rsidR="00BB2B23" w:rsidRDefault="00BB2B23" w:rsidP="00BB2B23">
      <w:pPr>
        <w:pStyle w:val="Subhead4"/>
      </w:pPr>
      <w:r>
        <w:t xml:space="preserve">Option 1—No Additional Regulation </w:t>
      </w:r>
    </w:p>
    <w:p w14:paraId="56469371" w14:textId="77777777" w:rsidR="00BB2B23" w:rsidRDefault="00BB2B23" w:rsidP="00BB2B23">
      <w:pPr>
        <w:pStyle w:val="Text"/>
      </w:pPr>
      <w:r>
        <w:t>Option 1 (no additional regulation) represents the scenario in which government maintains current policy and there is an emphasis, through communication and education, on maximising the emissions reduction potential of current policies and practices.</w:t>
      </w:r>
    </w:p>
    <w:p w14:paraId="56469372" w14:textId="77777777" w:rsidR="00BB2B23" w:rsidRDefault="00BB2B23" w:rsidP="00BB2B23">
      <w:pPr>
        <w:pStyle w:val="Subhead4"/>
      </w:pPr>
      <w:r>
        <w:t>Option 2—Legislated HFC phase-down (reduction of imports of bulk gases)</w:t>
      </w:r>
    </w:p>
    <w:p w14:paraId="56469373" w14:textId="77777777" w:rsidR="00BB2B23" w:rsidRDefault="00BB2B23" w:rsidP="00BB2B23">
      <w:pPr>
        <w:pStyle w:val="Text"/>
      </w:pPr>
      <w:r>
        <w:t>A legislated phase-down of bulk imports of HFCs would work to reduce emissions of HFCs through a decreasing total allowable amount that may be imported into Australia over a prescribed time period. The restriction on imports is administered through a quota system. Figure 1 shows the different reduction pathways.</w:t>
      </w:r>
    </w:p>
    <w:p w14:paraId="56469374" w14:textId="77777777" w:rsidR="00BB2B23" w:rsidRDefault="00BB2B23" w:rsidP="00BB2B23">
      <w:pPr>
        <w:pStyle w:val="Subhead5"/>
      </w:pPr>
      <w:r>
        <w:t>Option 2a—North American HFC phase-down proposal</w:t>
      </w:r>
    </w:p>
    <w:p w14:paraId="56469375" w14:textId="77777777" w:rsidR="00BB2B23" w:rsidRDefault="00BB2B23" w:rsidP="00BB2B23">
      <w:pPr>
        <w:pStyle w:val="Text"/>
      </w:pPr>
      <w:r>
        <w:t>Under this proposal, the phase-down leads to a gradual reduction from current levels to 15 per cent of current levels post 2036. The initial quota is at 90 per cent of the baseline in 2019, 65 per cent in 2024 and 30 per cent by 2030.</w:t>
      </w:r>
    </w:p>
    <w:p w14:paraId="56469376" w14:textId="77777777" w:rsidR="00BB2B23" w:rsidRDefault="00BB2B23" w:rsidP="00BB2B23">
      <w:pPr>
        <w:pStyle w:val="Subhead5"/>
      </w:pPr>
      <w:r>
        <w:t>Option 2b—Accelerated alternative</w:t>
      </w:r>
    </w:p>
    <w:p w14:paraId="56469377" w14:textId="77777777" w:rsidR="00BB2B23" w:rsidRDefault="00BB2B23" w:rsidP="00BB2B23">
      <w:pPr>
        <w:pStyle w:val="Text"/>
      </w:pPr>
      <w:r>
        <w:t xml:space="preserve">The accelerated proposal considers stronger early reductions from current levels, smaller more frequent reductions in total quota and finally tapering to the same 15 per cent residual by 2036. </w:t>
      </w:r>
    </w:p>
    <w:p w14:paraId="56469378" w14:textId="77777777" w:rsidR="00BB2B23" w:rsidRDefault="00BB2B23" w:rsidP="00BB2B23">
      <w:pPr>
        <w:pStyle w:val="Figuretitle"/>
      </w:pPr>
      <w:r>
        <w:t>Figure 1: Greenhouse gas reduction pathways under HFC phase-down scenario</w:t>
      </w:r>
    </w:p>
    <w:p w14:paraId="56469379" w14:textId="77777777" w:rsidR="00BB2B23" w:rsidRDefault="00BB2B23" w:rsidP="00BB2B23">
      <w:pPr>
        <w:pStyle w:val="Figuretitle"/>
      </w:pPr>
      <w:r>
        <w:rPr>
          <w:noProof/>
          <w:lang w:val="en-AU"/>
        </w:rPr>
        <w:drawing>
          <wp:inline distT="0" distB="0" distL="0" distR="0" wp14:anchorId="56469B34" wp14:editId="32E472D2">
            <wp:extent cx="4380865" cy="2250440"/>
            <wp:effectExtent l="0" t="0" r="635" b="0"/>
            <wp:docPr id="14" name="Picture 1" descr="Figure 1: Greenhouse gas reduction pathways under HFC phase-down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380865" cy="2250440"/>
                    </a:xfrm>
                    <a:prstGeom prst="rect">
                      <a:avLst/>
                    </a:prstGeom>
                    <a:noFill/>
                    <a:ln w="9525">
                      <a:noFill/>
                      <a:miter lim="800000"/>
                      <a:headEnd/>
                      <a:tailEnd/>
                    </a:ln>
                  </pic:spPr>
                </pic:pic>
              </a:graphicData>
            </a:graphic>
          </wp:inline>
        </w:drawing>
      </w:r>
    </w:p>
    <w:p w14:paraId="5646937A" w14:textId="77777777" w:rsidR="00BB2B23" w:rsidRDefault="00BB2B23" w:rsidP="00BB2B23">
      <w:pPr>
        <w:pStyle w:val="Subhead4"/>
      </w:pPr>
      <w:r>
        <w:lastRenderedPageBreak/>
        <w:t>Option 3—Bans on HFC pre-charged equipment</w:t>
      </w:r>
    </w:p>
    <w:p w14:paraId="5646937B" w14:textId="77777777" w:rsidR="00BB2B23" w:rsidRDefault="00BB2B23" w:rsidP="00BB2B23">
      <w:pPr>
        <w:pStyle w:val="Text"/>
      </w:pPr>
      <w:r>
        <w:t>Certain types of equipment are banned from import into Australia based on the GWP value of the gases they are pre-charged with and the availability of alternatives. Banning certain types of equipment is a direct way to move the market towards alternative and new technologies, as opposed to a phase-down which aims to do so through influencing the behaviour of manufacturers into decisions to move to new (and hopefully low GWP) alternatives.</w:t>
      </w:r>
    </w:p>
    <w:p w14:paraId="5646937C" w14:textId="77777777" w:rsidR="00BB2B23" w:rsidRDefault="00BB2B23" w:rsidP="00BB2B23">
      <w:pPr>
        <w:pStyle w:val="Subhead5"/>
      </w:pPr>
      <w:r>
        <w:t>Option 3a—Supermarket equipment bans</w:t>
      </w:r>
    </w:p>
    <w:p w14:paraId="5646937D" w14:textId="77777777" w:rsidR="00BB2B23" w:rsidRDefault="00BB2B23" w:rsidP="00BB2B23">
      <w:pPr>
        <w:pStyle w:val="Text"/>
      </w:pPr>
      <w:r>
        <w:t xml:space="preserve">Ban supermarket equipment containing gas with GWP &gt;2500 from 2020. This scenario has been developed around HFC-404a which, even though it represented only 3 per cent of bulk imports in 2013, by volume, its high GWP of 3800 means that it has a significant climate impact. </w:t>
      </w:r>
    </w:p>
    <w:p w14:paraId="5646937E" w14:textId="77777777" w:rsidR="00BB2B23" w:rsidRDefault="00BB2B23" w:rsidP="00BB2B23">
      <w:pPr>
        <w:pStyle w:val="Subhead5"/>
      </w:pPr>
      <w:r>
        <w:t>Option 3b—Mobile air conditioning bans</w:t>
      </w:r>
    </w:p>
    <w:p w14:paraId="5646937F" w14:textId="77777777" w:rsidR="00BB2B23" w:rsidRDefault="00BB2B23" w:rsidP="00BB2B23">
      <w:pPr>
        <w:pStyle w:val="Text"/>
        <w:ind w:right="567"/>
      </w:pPr>
      <w:r>
        <w:t>Bans on imports of mobile air conditioning equipment containing gas with GWP &gt;150 and with a date of manufacture from 2017. This ban would see the Australian motor vehicle market maintain pace with international markets which have adopted similar policies, noting that motor vehicle air conditioning is seen as a single global platform by motor vehicle manufacturers.</w:t>
      </w:r>
    </w:p>
    <w:p w14:paraId="56469380" w14:textId="77777777" w:rsidR="00BB2B23" w:rsidRDefault="00BB2B23" w:rsidP="00BB2B23">
      <w:pPr>
        <w:pStyle w:val="Subhead4"/>
      </w:pPr>
      <w:r>
        <w:t xml:space="preserve">Option 4—Domestic equipment controls </w:t>
      </w:r>
    </w:p>
    <w:p w14:paraId="56469381" w14:textId="77777777" w:rsidR="00BB2B23" w:rsidRDefault="00BB2B23" w:rsidP="00BB2B23">
      <w:pPr>
        <w:pStyle w:val="Text"/>
      </w:pPr>
      <w:r>
        <w:t>Mandatory equipment maintenance requirements could reduce emissions, both directly (through avoided leakage of SGGs) and indirectly via reductions in electricity use. This would reduce demand for bulk HFC, rather than limiting its availability (as in option 2).</w:t>
      </w:r>
    </w:p>
    <w:p w14:paraId="56469382" w14:textId="77777777" w:rsidR="00BB2B23" w:rsidRDefault="00BB2B23" w:rsidP="00BB2B23">
      <w:pPr>
        <w:pStyle w:val="Subhead5"/>
      </w:pPr>
      <w:r>
        <w:t xml:space="preserve">Option 4a—Mandatory leak testing </w:t>
      </w:r>
    </w:p>
    <w:p w14:paraId="56469383" w14:textId="77777777" w:rsidR="00BB2B23" w:rsidRDefault="00BB2B23" w:rsidP="00BB2B23">
      <w:pPr>
        <w:pStyle w:val="Text"/>
      </w:pPr>
      <w:r>
        <w:t xml:space="preserve">Regular leak testing on all large equipment (remote and supermarket, medium to large air conditioning and large automotive systems). </w:t>
      </w:r>
    </w:p>
    <w:p w14:paraId="56469384" w14:textId="77777777" w:rsidR="00BB2B23" w:rsidRDefault="00BB2B23" w:rsidP="00BB2B23">
      <w:pPr>
        <w:pStyle w:val="Text"/>
      </w:pPr>
      <w:r>
        <w:t>The schedule of leak testing required follows Regulation (EU) No. 517/2014, and varies depending on the size of the gas charge in the equipment.</w:t>
      </w:r>
    </w:p>
    <w:p w14:paraId="56469385" w14:textId="77777777" w:rsidR="00BB2B23" w:rsidRDefault="00BB2B23" w:rsidP="00BB2B23">
      <w:pPr>
        <w:pStyle w:val="Subhead5"/>
      </w:pPr>
      <w:r>
        <w:t>Option 4b—Mandatory maintenance</w:t>
      </w:r>
    </w:p>
    <w:p w14:paraId="56469386" w14:textId="77777777" w:rsidR="00BB2B23" w:rsidRDefault="00BB2B23" w:rsidP="00BB2B23">
      <w:pPr>
        <w:pStyle w:val="Text"/>
      </w:pPr>
      <w:r>
        <w:t>Regular maintenance on all large equipment (remote and supermarket, medium to large air conditioners and large automotive systems), in accordance with ISO 5149</w:t>
      </w:r>
      <w:r>
        <w:noBreakHyphen/>
        <w:t xml:space="preserve">4. </w:t>
      </w:r>
    </w:p>
    <w:p w14:paraId="56469387" w14:textId="77777777" w:rsidR="00BB2B23" w:rsidRDefault="00BB2B23" w:rsidP="00BB2B23">
      <w:pPr>
        <w:pStyle w:val="Text"/>
      </w:pPr>
      <w:r>
        <w:t xml:space="preserve">Maintenance would be required to be completed as per the schedule for leak testing and would cover energy performance aspects beyond refrigerants such as fans and filters. </w:t>
      </w:r>
    </w:p>
    <w:p w14:paraId="56469388" w14:textId="77777777" w:rsidR="00BB2B23" w:rsidRDefault="00BB2B23" w:rsidP="00BB2B23">
      <w:pPr>
        <w:pStyle w:val="Subhead2"/>
      </w:pPr>
      <w:r>
        <w:t>Impact Analysis of Options</w:t>
      </w:r>
    </w:p>
    <w:p w14:paraId="56469389" w14:textId="77777777" w:rsidR="00BB2B23" w:rsidRDefault="00BB2B23" w:rsidP="00BB2B23">
      <w:pPr>
        <w:pStyle w:val="Subhead3"/>
      </w:pPr>
      <w:r>
        <w:t>Summary of impact analysis</w:t>
      </w:r>
    </w:p>
    <w:p w14:paraId="5646938A" w14:textId="77777777" w:rsidR="00BB2B23" w:rsidRDefault="00BB2B23" w:rsidP="00BB2B23">
      <w:pPr>
        <w:pStyle w:val="Text"/>
      </w:pPr>
      <w:r>
        <w:t xml:space="preserve">Each option was analysed to determine potential emissions reductions compared the base case of no additional policy intervention to the mechanisms in place under the OPSGGM Programme. </w:t>
      </w:r>
    </w:p>
    <w:p w14:paraId="5646938B" w14:textId="77777777" w:rsidR="00BB2B23" w:rsidRDefault="00BB2B23" w:rsidP="00BB2B23">
      <w:pPr>
        <w:pStyle w:val="Text"/>
      </w:pPr>
      <w:r>
        <w:lastRenderedPageBreak/>
        <w:t>This was done through independent consultancies undertaken by Expert Group as part of the Environmental Impact Analysis of the Ozone Protection and Synthetic Greenhouse Gas Management Programme and Jacobs Consultancies as part of their cost-benefit analysis (CBA) by first establishing a business as usual scenario and using an industry model to make forward projections of consumption. Emissions from use and the bank of equipment and gas in Australia were then estimated based on this.</w:t>
      </w:r>
    </w:p>
    <w:p w14:paraId="5646938C" w14:textId="77777777" w:rsidR="00BB2B23" w:rsidRDefault="00BB2B23" w:rsidP="00BB2B23">
      <w:pPr>
        <w:pStyle w:val="Text"/>
      </w:pPr>
      <w:r>
        <w:t xml:space="preserve">Costs and benefits of the options have been quantified in a formal CBA and these are used to compare options with each other and determine their net benefit. </w:t>
      </w:r>
    </w:p>
    <w:p w14:paraId="5646938D" w14:textId="77777777" w:rsidR="00BB2B23" w:rsidRDefault="00BB2B23" w:rsidP="00BB2B23">
      <w:pPr>
        <w:pStyle w:val="Subhead4"/>
      </w:pPr>
      <w:r>
        <w:t>Option 1—No additional regulation</w:t>
      </w:r>
    </w:p>
    <w:p w14:paraId="5646938E" w14:textId="77777777" w:rsidR="00BB2B23" w:rsidRDefault="00BB2B23" w:rsidP="00BB2B23">
      <w:pPr>
        <w:pStyle w:val="Text"/>
      </w:pPr>
      <w:r>
        <w:t xml:space="preserve">Even if no additional regulation is introduced, the quantities of Australia’s HFC emissions are expected to decrease over the analysis period. Figure 2 shows the expected trajectory under the ‘business as usual’ scenario. </w:t>
      </w:r>
    </w:p>
    <w:p w14:paraId="5646938F" w14:textId="77777777" w:rsidR="00BB2B23" w:rsidRDefault="00BB2B23" w:rsidP="00BB2B23">
      <w:pPr>
        <w:pStyle w:val="Figuretitle"/>
      </w:pPr>
      <w:r>
        <w:t>Figure 2: (also referred to in Section 5 as figure 8) Projected base case emissions, excluding HCFCs, Mt</w:t>
      </w:r>
      <w:r>
        <w:rPr>
          <w:rStyle w:val="nobreak"/>
        </w:rPr>
        <w:t xml:space="preserve"> </w:t>
      </w:r>
      <w:r>
        <w:t>CO</w:t>
      </w:r>
      <w:r>
        <w:rPr>
          <w:rStyle w:val="subscript"/>
        </w:rPr>
        <w:t>2</w:t>
      </w:r>
      <w:r>
        <w:t>-e</w:t>
      </w:r>
    </w:p>
    <w:p w14:paraId="56469390" w14:textId="77777777" w:rsidR="00BB2B23" w:rsidRDefault="00BB2B23" w:rsidP="00BB2B23">
      <w:pPr>
        <w:pStyle w:val="Text"/>
        <w:rPr>
          <w:rStyle w:val="TextItalic"/>
        </w:rPr>
      </w:pPr>
      <w:r>
        <w:rPr>
          <w:i/>
          <w:iCs/>
          <w:noProof/>
          <w:lang w:eastAsia="en-AU"/>
        </w:rPr>
        <w:drawing>
          <wp:inline distT="0" distB="0" distL="0" distR="0" wp14:anchorId="56469B36" wp14:editId="0E0FA6C2">
            <wp:extent cx="4142740" cy="2051685"/>
            <wp:effectExtent l="0" t="0" r="0" b="5715"/>
            <wp:docPr id="2" name="Picture 2" descr="Figure 2: (also referred to in Section 5 as figure 8) Projected base case emissions, excluding HCFCs, Mt CO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142740" cy="2051685"/>
                    </a:xfrm>
                    <a:prstGeom prst="rect">
                      <a:avLst/>
                    </a:prstGeom>
                    <a:noFill/>
                    <a:ln w="9525">
                      <a:noFill/>
                      <a:miter lim="800000"/>
                      <a:headEnd/>
                      <a:tailEnd/>
                    </a:ln>
                  </pic:spPr>
                </pic:pic>
              </a:graphicData>
            </a:graphic>
          </wp:inline>
        </w:drawing>
      </w:r>
    </w:p>
    <w:p w14:paraId="56469391" w14:textId="77777777" w:rsidR="00BB2B23" w:rsidRPr="00AC69B2" w:rsidRDefault="00BB2B23" w:rsidP="00AC69B2">
      <w:pPr>
        <w:pStyle w:val="FootnoteText1"/>
        <w:rPr>
          <w:rStyle w:val="FootnoteReference1"/>
          <w:vertAlign w:val="baseline"/>
        </w:rPr>
      </w:pPr>
      <w:r w:rsidRPr="00AC69B2">
        <w:rPr>
          <w:rStyle w:val="FootnoteReference1"/>
          <w:vertAlign w:val="baseline"/>
        </w:rPr>
        <w:t>Source: Expert Group source database</w:t>
      </w:r>
    </w:p>
    <w:p w14:paraId="56469392" w14:textId="77777777" w:rsidR="00BB2B23" w:rsidRDefault="00BB2B23" w:rsidP="00BB2B23">
      <w:pPr>
        <w:pStyle w:val="Text"/>
      </w:pPr>
      <w:r>
        <w:t>Figure 2 is based on the Expert Group reference scenario for 2016, it therefore uses a baseline of 7.31 Mt CO</w:t>
      </w:r>
      <w:r>
        <w:rPr>
          <w:rStyle w:val="subscript"/>
        </w:rPr>
        <w:t>2</w:t>
      </w:r>
      <w:r>
        <w:t>-e as opposed to the 7.82 Mt CO</w:t>
      </w:r>
      <w:r>
        <w:rPr>
          <w:rStyle w:val="subscript"/>
        </w:rPr>
        <w:t>2</w:t>
      </w:r>
      <w:r>
        <w:t>-e baseline accepted for this RIS. It has been used by Jacobs in the CBA to visually represent the reference scenario of expected trajectory of HFC emissions without policy intervention.</w:t>
      </w:r>
      <w:r>
        <w:rPr>
          <w:rFonts w:ascii="Myriad Pro" w:hAnsi="Myriad Pro" w:cstheme="minorBidi"/>
          <w:sz w:val="24"/>
          <w:szCs w:val="24"/>
        </w:rPr>
        <w:footnoteReference w:id="3"/>
      </w:r>
      <w:r>
        <w:t xml:space="preserve"> </w:t>
      </w:r>
    </w:p>
    <w:p w14:paraId="56469393" w14:textId="77777777" w:rsidR="00BB2B23" w:rsidRDefault="00BB2B23" w:rsidP="00BB2B23">
      <w:pPr>
        <w:pStyle w:val="Text"/>
      </w:pPr>
      <w:r>
        <w:t>This is because emissions of HFCs, in carbon dioxide equivalent (CO</w:t>
      </w:r>
      <w:r>
        <w:rPr>
          <w:rStyle w:val="subscript"/>
        </w:rPr>
        <w:t>2</w:t>
      </w:r>
      <w:r>
        <w:t>-e) terms, are expected to fall over time due in large part to improved containment, a more skilled workforce and changing technology driving an existing trend to adopt non-HFC refrigerants, with a predicted transition from high-GWP gases to lower or no-GWP alternatives.</w:t>
      </w:r>
    </w:p>
    <w:p w14:paraId="56469394" w14:textId="77777777" w:rsidR="00BB2B23" w:rsidRDefault="00BB2B23" w:rsidP="00BB2B23">
      <w:pPr>
        <w:pStyle w:val="Text"/>
      </w:pPr>
      <w:r>
        <w:t xml:space="preserve">Option 1 is based on the business as usual reference scenario analysed in the cost-benefit analysis for comparison to Options 2, 3 and 4. </w:t>
      </w:r>
    </w:p>
    <w:p w14:paraId="56469395" w14:textId="77777777" w:rsidR="00BB2B23" w:rsidRDefault="00BB2B23" w:rsidP="00BB2B23">
      <w:pPr>
        <w:pStyle w:val="Subhead4"/>
      </w:pPr>
      <w:r>
        <w:t>Option 2—Legislated HFC phase-down (reduction of imports of bulk gases)</w:t>
      </w:r>
    </w:p>
    <w:p w14:paraId="56469396" w14:textId="77777777" w:rsidR="00BB2B23" w:rsidRDefault="00BB2B23" w:rsidP="00BB2B23">
      <w:pPr>
        <w:pStyle w:val="Text"/>
      </w:pPr>
      <w:r>
        <w:lastRenderedPageBreak/>
        <w:t xml:space="preserve">Option 2 has an overall net benefit, ranging from $10 million to $40 million, depending on how rapidly HFC is phased out. </w:t>
      </w:r>
    </w:p>
    <w:p w14:paraId="56469397" w14:textId="77777777" w:rsidR="00BB2B23" w:rsidRDefault="00BB2B23" w:rsidP="00BB2B23">
      <w:pPr>
        <w:pStyle w:val="Subhead5"/>
      </w:pPr>
      <w:r>
        <w:t>Option 2a—North American HFC phase-down proposal</w:t>
      </w:r>
    </w:p>
    <w:p w14:paraId="56469398" w14:textId="77777777" w:rsidR="00BB2B23" w:rsidRDefault="00BB2B23" w:rsidP="00BB2B23">
      <w:pPr>
        <w:pStyle w:val="Text"/>
      </w:pPr>
      <w:r>
        <w:t>Option 2a is expected to result in emissions reduction of approximately 3.99 Mt CO</w:t>
      </w:r>
      <w:r>
        <w:rPr>
          <w:rStyle w:val="subscript"/>
        </w:rPr>
        <w:t>2</w:t>
      </w:r>
      <w:r>
        <w:t>-e over the period 2017–2036. Its benefits over the period 2016–2030 exceed its costs, with a net present value of $40 million.</w:t>
      </w:r>
    </w:p>
    <w:p w14:paraId="56469399" w14:textId="77777777" w:rsidR="00BB2B23" w:rsidRDefault="00BB2B23" w:rsidP="00BB2B23">
      <w:pPr>
        <w:pStyle w:val="Text"/>
      </w:pPr>
      <w:r>
        <w:t xml:space="preserve">Regulatory burden estimated to be </w:t>
      </w:r>
      <w:r>
        <w:rPr>
          <w:rStyle w:val="TextBold"/>
        </w:rPr>
        <w:t>$4.19 million</w:t>
      </w:r>
      <w:r>
        <w:t xml:space="preserve"> per annum.</w:t>
      </w:r>
    </w:p>
    <w:p w14:paraId="5646939A" w14:textId="77777777" w:rsidR="00BB2B23" w:rsidRDefault="00BB2B23" w:rsidP="00BB2B23">
      <w:pPr>
        <w:pStyle w:val="Subhead5"/>
      </w:pPr>
      <w:r>
        <w:t>Option 2b—Accelerated alternative</w:t>
      </w:r>
    </w:p>
    <w:p w14:paraId="5646939B" w14:textId="77777777" w:rsidR="00BB2B23" w:rsidRDefault="00BB2B23" w:rsidP="00BB2B23">
      <w:pPr>
        <w:pStyle w:val="Text"/>
      </w:pPr>
      <w:r>
        <w:t>Option 2b is expected to result in emissions reduction of approximately 9.15 Mt CO</w:t>
      </w:r>
      <w:r>
        <w:rPr>
          <w:rStyle w:val="subscript"/>
        </w:rPr>
        <w:t>2</w:t>
      </w:r>
      <w:r>
        <w:t xml:space="preserve">-e over the period 2017–2036. Its benefits over the period 2016–2030 exceed its costs, with a net present value of $10 million. </w:t>
      </w:r>
    </w:p>
    <w:p w14:paraId="5646939C" w14:textId="77777777" w:rsidR="00BB2B23" w:rsidRDefault="00BB2B23" w:rsidP="00BB2B23">
      <w:pPr>
        <w:pStyle w:val="Text"/>
      </w:pPr>
      <w:r>
        <w:t>Implementation of option 2a and 2b would be done so as to ensure that there are no anti-competitive impacts, such that all potential participants in Australia’s HFC market have equal opportunity to access the limited amount of import quota.</w:t>
      </w:r>
    </w:p>
    <w:p w14:paraId="5646939D" w14:textId="77777777" w:rsidR="00BB2B23" w:rsidRDefault="00BB2B23" w:rsidP="00BB2B23">
      <w:pPr>
        <w:pStyle w:val="Text"/>
      </w:pPr>
      <w:r>
        <w:t xml:space="preserve">Regulatory burden estimated to be </w:t>
      </w:r>
      <w:r>
        <w:rPr>
          <w:rStyle w:val="TextBold"/>
        </w:rPr>
        <w:t>$11.72 million</w:t>
      </w:r>
      <w:r>
        <w:t xml:space="preserve"> per annum.</w:t>
      </w:r>
    </w:p>
    <w:p w14:paraId="5646939E" w14:textId="77777777" w:rsidR="00BB2B23" w:rsidRDefault="00BB2B23" w:rsidP="00BB2B23">
      <w:pPr>
        <w:pStyle w:val="Subhead4"/>
      </w:pPr>
      <w:r>
        <w:t>Option 3—Bans on HFC pre-charged equipment</w:t>
      </w:r>
    </w:p>
    <w:p w14:paraId="5646939F" w14:textId="77777777" w:rsidR="00BB2B23" w:rsidRDefault="00BB2B23" w:rsidP="00BB2B23">
      <w:pPr>
        <w:pStyle w:val="Text"/>
      </w:pPr>
      <w:r>
        <w:t>In terms of net benefit, Option 3 has mixed results.</w:t>
      </w:r>
    </w:p>
    <w:p w14:paraId="564693A0" w14:textId="77777777" w:rsidR="00BB2B23" w:rsidRDefault="00BB2B23" w:rsidP="00BB2B23">
      <w:pPr>
        <w:pStyle w:val="Subhead5"/>
      </w:pPr>
      <w:r>
        <w:t>Option 3a—Supermarket equipment bans</w:t>
      </w:r>
    </w:p>
    <w:p w14:paraId="564693A1" w14:textId="77777777" w:rsidR="00BB2B23" w:rsidRDefault="00BB2B23" w:rsidP="00BB2B23">
      <w:pPr>
        <w:pStyle w:val="Text"/>
      </w:pPr>
      <w:r>
        <w:t>Option 3a is expected to result in emissions reduction of approximately 0.28 Mt CO</w:t>
      </w:r>
      <w:r>
        <w:rPr>
          <w:rStyle w:val="subscript"/>
        </w:rPr>
        <w:t>2</w:t>
      </w:r>
      <w:r>
        <w:t>-e over the period 2017–2036. While that achievement is very small, the benefits of this option clearly outweigh its costs, with a net benefit of $4 million.</w:t>
      </w:r>
    </w:p>
    <w:p w14:paraId="564693A2" w14:textId="77777777" w:rsidR="00BB2B23" w:rsidRDefault="00BB2B23" w:rsidP="00BB2B23">
      <w:pPr>
        <w:pStyle w:val="Text"/>
      </w:pPr>
      <w:r>
        <w:t xml:space="preserve">Regulatory burden estimated to be </w:t>
      </w:r>
      <w:r>
        <w:rPr>
          <w:rStyle w:val="TextBold"/>
        </w:rPr>
        <w:t>$0.05 million</w:t>
      </w:r>
      <w:r>
        <w:t xml:space="preserve"> per annum. </w:t>
      </w:r>
    </w:p>
    <w:p w14:paraId="564693A3" w14:textId="77777777" w:rsidR="00BB2B23" w:rsidRDefault="00BB2B23" w:rsidP="00BB2B23">
      <w:pPr>
        <w:pStyle w:val="Subhead5"/>
      </w:pPr>
      <w:r>
        <w:t>Option 3b—Mobile air conditioning bans</w:t>
      </w:r>
    </w:p>
    <w:p w14:paraId="564693A4" w14:textId="77777777" w:rsidR="00BB2B23" w:rsidRDefault="00BB2B23" w:rsidP="00BB2B23">
      <w:pPr>
        <w:pStyle w:val="Text"/>
      </w:pPr>
      <w:r>
        <w:t>Option 3b is expected to result in emissions reduction of approximately 6.14 Mt CO</w:t>
      </w:r>
      <w:r>
        <w:rPr>
          <w:rStyle w:val="subscript"/>
        </w:rPr>
        <w:t>2</w:t>
      </w:r>
      <w:r>
        <w:t>-e over the period 2017–2036. However, its costs exceed its benefits, with a net present value of -$182 million.</w:t>
      </w:r>
    </w:p>
    <w:p w14:paraId="564693A5" w14:textId="77777777" w:rsidR="00BB2B23" w:rsidRDefault="00BB2B23" w:rsidP="00BB2B23">
      <w:pPr>
        <w:pStyle w:val="Text"/>
      </w:pPr>
      <w:r>
        <w:t xml:space="preserve">Regulatory burden estimated to be </w:t>
      </w:r>
      <w:r>
        <w:rPr>
          <w:rStyle w:val="TextBold"/>
        </w:rPr>
        <w:t>$31.57 million</w:t>
      </w:r>
      <w:r>
        <w:t xml:space="preserve"> per annum.</w:t>
      </w:r>
    </w:p>
    <w:p w14:paraId="564693A6" w14:textId="77777777" w:rsidR="00BB2B23" w:rsidRDefault="00BB2B23" w:rsidP="00BB2B23">
      <w:pPr>
        <w:pStyle w:val="Subhead4"/>
      </w:pPr>
      <w:r>
        <w:t xml:space="preserve">Option 4—Domestic equipment controls </w:t>
      </w:r>
    </w:p>
    <w:p w14:paraId="564693A7" w14:textId="77777777" w:rsidR="00BB2B23" w:rsidRDefault="00BB2B23" w:rsidP="00BB2B23">
      <w:pPr>
        <w:pStyle w:val="Text"/>
      </w:pPr>
      <w:r>
        <w:t xml:space="preserve">These options achieve the largest emissions reductions, but they do so at very high cost and/or with higher risk. </w:t>
      </w:r>
    </w:p>
    <w:p w14:paraId="564693A8" w14:textId="77777777" w:rsidR="00BB2B23" w:rsidRDefault="00BB2B23" w:rsidP="00BB2B23">
      <w:pPr>
        <w:pStyle w:val="Subhead5"/>
      </w:pPr>
      <w:r>
        <w:t xml:space="preserve">Option 4a—Mandatory leak testing </w:t>
      </w:r>
    </w:p>
    <w:p w14:paraId="564693A9" w14:textId="77777777" w:rsidR="00BB2B23" w:rsidRDefault="00BB2B23" w:rsidP="00BB2B23">
      <w:pPr>
        <w:pStyle w:val="Text"/>
      </w:pPr>
      <w:r>
        <w:t>Option 4b delivers large expected emissions reduction of approximately 21.63 Mt CO</w:t>
      </w:r>
      <w:r>
        <w:rPr>
          <w:rStyle w:val="subscript"/>
        </w:rPr>
        <w:t>2</w:t>
      </w:r>
      <w:r>
        <w:t>-e over the period 2017–2036. While, based on reasonable assumptions, the benefits of this option could exceed its costs, with a net present value of $106 million; the ratio of benefits to cost is so marginal that the option presents a high risk of negative results.</w:t>
      </w:r>
    </w:p>
    <w:p w14:paraId="564693AA" w14:textId="77777777" w:rsidR="00BB2B23" w:rsidRDefault="00BB2B23" w:rsidP="00BB2B23">
      <w:pPr>
        <w:pStyle w:val="Text"/>
      </w:pPr>
      <w:r>
        <w:lastRenderedPageBreak/>
        <w:t xml:space="preserve">Regulatory burden estimated to be </w:t>
      </w:r>
      <w:r>
        <w:rPr>
          <w:rStyle w:val="TextBold"/>
        </w:rPr>
        <w:t>$111.98 million</w:t>
      </w:r>
      <w:r>
        <w:t xml:space="preserve"> per annum</w:t>
      </w:r>
    </w:p>
    <w:p w14:paraId="564693AB" w14:textId="77777777" w:rsidR="00BB2B23" w:rsidRDefault="00BB2B23" w:rsidP="00BB2B23">
      <w:pPr>
        <w:pStyle w:val="Subhead5"/>
      </w:pPr>
      <w:r>
        <w:t>Option 4b—Mandatory maintenance</w:t>
      </w:r>
    </w:p>
    <w:p w14:paraId="564693AC" w14:textId="77777777" w:rsidR="00BB2B23" w:rsidRDefault="00BB2B23" w:rsidP="00BB2B23">
      <w:pPr>
        <w:pStyle w:val="Text"/>
      </w:pPr>
      <w:r>
        <w:t>Option 4a is the option with the largest expected emissions reduction of approximately 70.19 Mt CO</w:t>
      </w:r>
      <w:r>
        <w:rPr>
          <w:rStyle w:val="subscript"/>
        </w:rPr>
        <w:t>2</w:t>
      </w:r>
      <w:r>
        <w:t>-e over the period 2017–2036. However, Option 4a imposes unacceptably high costs on the owners of charged equipment, such that costs exceed benefits with a net present value of -$342 million.</w:t>
      </w:r>
    </w:p>
    <w:p w14:paraId="564693AD" w14:textId="77777777" w:rsidR="00BB2B23" w:rsidRDefault="00BB2B23" w:rsidP="00BB2B23">
      <w:pPr>
        <w:pStyle w:val="Text"/>
      </w:pPr>
      <w:r>
        <w:t xml:space="preserve">Regulatory burden estimated to be </w:t>
      </w:r>
      <w:r>
        <w:rPr>
          <w:rStyle w:val="TextBold"/>
        </w:rPr>
        <w:t>$430.0 million</w:t>
      </w:r>
      <w:r>
        <w:t xml:space="preserve"> per annum </w:t>
      </w:r>
    </w:p>
    <w:p w14:paraId="564693AE" w14:textId="77777777" w:rsidR="00BB2B23" w:rsidRDefault="00BB2B23" w:rsidP="00BB2B23">
      <w:pPr>
        <w:pStyle w:val="Subhead4"/>
      </w:pPr>
      <w:r>
        <w:t xml:space="preserve">Summary of Emissions Reduction Pathways of Options 1, 2, 3 &amp; 4 </w:t>
      </w:r>
    </w:p>
    <w:p w14:paraId="564693AF" w14:textId="77777777" w:rsidR="00BB2B23" w:rsidRDefault="00BB2B23" w:rsidP="00BB2B23">
      <w:pPr>
        <w:pStyle w:val="Text"/>
      </w:pPr>
      <w:r>
        <w:t>Figure 3 and Figure 4 depict the emissions reduction pathways of each option compared to Option 1. Figure</w:t>
      </w:r>
      <w:r>
        <w:rPr>
          <w:rStyle w:val="nobreak"/>
        </w:rPr>
        <w:t xml:space="preserve"> </w:t>
      </w:r>
      <w:r>
        <w:t>4 depicts the final years of projections to clearly show the difference between options. Option 3a is not shown as it overlaps with BAU such that they are not discernable for the purpose of this graph.</w:t>
      </w:r>
    </w:p>
    <w:p w14:paraId="564693B0" w14:textId="77777777" w:rsidR="00BB2B23" w:rsidRDefault="00BB2B23" w:rsidP="00BB2B23">
      <w:pPr>
        <w:pStyle w:val="Figuretitle"/>
      </w:pPr>
      <w:r>
        <w:t>Figure 3: Direct (leakage) emissions against BAU 2017–2030</w:t>
      </w:r>
    </w:p>
    <w:p w14:paraId="564693B1" w14:textId="77777777" w:rsidR="00BB2B23" w:rsidRDefault="00BB2B23" w:rsidP="00BB2B23">
      <w:pPr>
        <w:pStyle w:val="Figuretitle"/>
      </w:pPr>
      <w:r>
        <w:rPr>
          <w:noProof/>
          <w:lang w:val="en-AU"/>
        </w:rPr>
        <w:drawing>
          <wp:inline distT="0" distB="0" distL="0" distR="0" wp14:anchorId="56469B38" wp14:editId="7E86AA85">
            <wp:extent cx="3872230" cy="2337435"/>
            <wp:effectExtent l="0" t="0" r="0" b="5715"/>
            <wp:docPr id="3" name="Picture 3" descr="Figure 3: Direct (leakage) emissions against BAU 2017–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3872230" cy="2337435"/>
                    </a:xfrm>
                    <a:prstGeom prst="rect">
                      <a:avLst/>
                    </a:prstGeom>
                    <a:noFill/>
                    <a:ln w="9525">
                      <a:noFill/>
                      <a:miter lim="800000"/>
                      <a:headEnd/>
                      <a:tailEnd/>
                    </a:ln>
                  </pic:spPr>
                </pic:pic>
              </a:graphicData>
            </a:graphic>
          </wp:inline>
        </w:drawing>
      </w:r>
    </w:p>
    <w:p w14:paraId="564693B2" w14:textId="77777777" w:rsidR="00BB2B23" w:rsidRDefault="00BB2B23" w:rsidP="00BB2B23">
      <w:pPr>
        <w:pStyle w:val="Figuretitle"/>
      </w:pPr>
    </w:p>
    <w:p w14:paraId="564693B3" w14:textId="77777777" w:rsidR="00BB2B23" w:rsidRDefault="00BB2B23" w:rsidP="00BB2B23">
      <w:pPr>
        <w:pStyle w:val="Figuretitle"/>
      </w:pPr>
      <w:r>
        <w:t>Figure 4: Direct (leakage) emissions against BAU 2026–2030</w:t>
      </w:r>
    </w:p>
    <w:p w14:paraId="564693B4" w14:textId="77777777" w:rsidR="00BB2B23" w:rsidRDefault="00BB2B23" w:rsidP="00BB2B23">
      <w:pPr>
        <w:pStyle w:val="Figuretitle"/>
      </w:pPr>
      <w:r>
        <w:rPr>
          <w:noProof/>
          <w:lang w:val="en-AU"/>
        </w:rPr>
        <w:drawing>
          <wp:inline distT="0" distB="0" distL="0" distR="0" wp14:anchorId="56469B3A" wp14:editId="7FBA348F">
            <wp:extent cx="3872230" cy="2337435"/>
            <wp:effectExtent l="0" t="0" r="0" b="5715"/>
            <wp:docPr id="4" name="Picture 4" descr="Figure 4: Direct (leakage) emissions against BAU 2026–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3872230" cy="2337435"/>
                    </a:xfrm>
                    <a:prstGeom prst="rect">
                      <a:avLst/>
                    </a:prstGeom>
                    <a:noFill/>
                    <a:ln w="9525">
                      <a:noFill/>
                      <a:miter lim="800000"/>
                      <a:headEnd/>
                      <a:tailEnd/>
                    </a:ln>
                  </pic:spPr>
                </pic:pic>
              </a:graphicData>
            </a:graphic>
          </wp:inline>
        </w:drawing>
      </w:r>
    </w:p>
    <w:p w14:paraId="564693B5" w14:textId="77777777" w:rsidR="00BB2B23" w:rsidRDefault="00BB2B23" w:rsidP="00BB2B23">
      <w:pPr>
        <w:pStyle w:val="Subhead3"/>
      </w:pPr>
      <w:r>
        <w:t>Consultation</w:t>
      </w:r>
    </w:p>
    <w:p w14:paraId="564693B6" w14:textId="77777777" w:rsidR="00BB2B23" w:rsidRDefault="00BB2B23" w:rsidP="00BB2B23">
      <w:pPr>
        <w:pStyle w:val="Text"/>
      </w:pPr>
      <w:r>
        <w:lastRenderedPageBreak/>
        <w:t>Comprehensive consultation has been undertaken as part of wider consultation on the Review of the Ozone</w:t>
      </w:r>
      <w:r>
        <w:rPr>
          <w:rStyle w:val="nobreak"/>
        </w:rPr>
        <w:t xml:space="preserve"> </w:t>
      </w:r>
      <w:r>
        <w:t>Protection and Synthetic Greenhouse Gas Management Programme. Consultation has included two public consultation periods, first on the Terms of Reference to the review, then the Options Paper; convening of a Technical Working Group as well as an Interdepartmental Working Group; and targeted consultation with stakeholders specifically relating to emissions reduction options.</w:t>
      </w:r>
    </w:p>
    <w:p w14:paraId="564693B7" w14:textId="77777777" w:rsidR="00BB2B23" w:rsidRDefault="00BB2B23" w:rsidP="00BB2B23">
      <w:pPr>
        <w:pStyle w:val="Text"/>
      </w:pPr>
      <w:r>
        <w:t>38 submissions were received on the emission reduction options, covering the majority of sectors that use</w:t>
      </w:r>
      <w:r>
        <w:rPr>
          <w:rStyle w:val="nobreak"/>
        </w:rPr>
        <w:t xml:space="preserve"> </w:t>
      </w:r>
      <w:r>
        <w:t>HFCS—importers, manufacturers, wholesalers, the refrigerated food industry, through to technicians installing and maintaining equipment. The majority supported the implementation of all options as a way to ensure maximum emission reduction and provide certainty for the industry. This is shown in the fact that 35 submissions supported Option 1, education and better enforcement of current policies, however 28 of these also supported additional policies, whether Option 2, 3 or 4. A minority of submissions preferred no additional policies be undertaken.</w:t>
      </w:r>
    </w:p>
    <w:p w14:paraId="564693B8" w14:textId="77777777" w:rsidR="00BB2B23" w:rsidRDefault="00BB2B23" w:rsidP="00BB2B23">
      <w:pPr>
        <w:pStyle w:val="Subhead3"/>
      </w:pPr>
      <w:r>
        <w:t>Best Option</w:t>
      </w:r>
    </w:p>
    <w:p w14:paraId="564693B9" w14:textId="77777777" w:rsidR="00BB2B23" w:rsidRDefault="00BB2B23" w:rsidP="00BB2B23">
      <w:pPr>
        <w:pStyle w:val="Text"/>
      </w:pPr>
      <w:r>
        <w:t xml:space="preserve">The option with the highest net present value and that is robust under a range of assumptions is recommended for implementation to contribute to the Government’s carbon emissions commitment. </w:t>
      </w:r>
    </w:p>
    <w:p w14:paraId="564693BA" w14:textId="77777777" w:rsidR="00BB2B23" w:rsidRDefault="00BB2B23" w:rsidP="00BB2B23">
      <w:pPr>
        <w:pStyle w:val="Text"/>
      </w:pPr>
      <w:r>
        <w:t xml:space="preserve">This showed that option 2a (the HFC phase-down of bulk gas imports based on the North American amendment proposal) with a net present value of $39.67 million, delivers a positive net benefit across a wide range of conditions and thus has a low level of risk. </w:t>
      </w:r>
    </w:p>
    <w:p w14:paraId="564693BB" w14:textId="77777777" w:rsidR="00BB2B23" w:rsidRDefault="00BB2B23" w:rsidP="00BB2B23">
      <w:pPr>
        <w:pStyle w:val="Text"/>
      </w:pPr>
      <w:r>
        <w:t xml:space="preserve">Regulatory burden is estimated to be </w:t>
      </w:r>
      <w:r>
        <w:rPr>
          <w:rStyle w:val="TextBold"/>
        </w:rPr>
        <w:t>$4.19 million</w:t>
      </w:r>
      <w:r>
        <w:t xml:space="preserve"> per annum.</w:t>
      </w:r>
    </w:p>
    <w:p w14:paraId="564693BC" w14:textId="77777777" w:rsidR="00BB2B23" w:rsidRDefault="00BB2B23" w:rsidP="00BB2B23">
      <w:pPr>
        <w:pStyle w:val="Subhead3"/>
      </w:pPr>
      <w:r>
        <w:t xml:space="preserve">Implementation </w:t>
      </w:r>
    </w:p>
    <w:p w14:paraId="564693BD" w14:textId="77777777" w:rsidR="00BB2B23" w:rsidRDefault="00BB2B23" w:rsidP="00BB2B23">
      <w:pPr>
        <w:pStyle w:val="Text"/>
      </w:pPr>
      <w:r>
        <w:t>Option 2a implementation will involve detailed design of both elements of the phase-down:</w:t>
      </w:r>
    </w:p>
    <w:p w14:paraId="564693BE" w14:textId="77777777" w:rsidR="00BB2B23" w:rsidRDefault="00BB2B23" w:rsidP="00BB2B23">
      <w:pPr>
        <w:pStyle w:val="Text"/>
      </w:pPr>
      <w:r>
        <w:t>1) the HFC phase-down, including the baseline for total imports allowed, the step-down intervals and values, and</w:t>
      </w:r>
    </w:p>
    <w:p w14:paraId="564693BF" w14:textId="77777777" w:rsidR="00BB2B23" w:rsidRDefault="00BB2B23" w:rsidP="00BB2B23">
      <w:pPr>
        <w:pStyle w:val="Text"/>
      </w:pPr>
      <w:r>
        <w:t xml:space="preserve">2) </w:t>
      </w:r>
      <w:r>
        <w:br/>
        <w:t>quota allocation, including to ensure that all potential importers, including new entrants, have a fair opportunity to obtain quota, for example by an open market auction.</w:t>
      </w:r>
    </w:p>
    <w:p w14:paraId="564693C0" w14:textId="77777777" w:rsidR="00BB2B23" w:rsidRDefault="00BB2B23" w:rsidP="00BB2B23">
      <w:pPr>
        <w:pStyle w:val="Text"/>
      </w:pPr>
      <w:r>
        <w:t xml:space="preserve">It is further proposed that the policy be implemented outlining other review triggers such as reported detrimental impacts of the policy on Australian industry. </w:t>
      </w:r>
    </w:p>
    <w:p w14:paraId="564693C1" w14:textId="77777777" w:rsidR="00BB2B23" w:rsidRDefault="00BB2B23" w:rsidP="00BB2B23">
      <w:pPr>
        <w:pStyle w:val="Text"/>
      </w:pPr>
      <w:r>
        <w:t xml:space="preserve">Other options found to have a positive net benefit will be assessed for potential implementation as part of the review of Option 2a implementation. </w:t>
      </w:r>
    </w:p>
    <w:p w14:paraId="564693C2" w14:textId="77777777" w:rsidR="00BB2B23" w:rsidRDefault="00BB2B23" w:rsidP="00BB2B23">
      <w:pPr>
        <w:pStyle w:val="Subhead3"/>
      </w:pPr>
      <w:r>
        <w:t>Review and evaluation</w:t>
      </w:r>
    </w:p>
    <w:p w14:paraId="564693C3" w14:textId="77777777" w:rsidR="00BB2B23" w:rsidRDefault="00BB2B23" w:rsidP="00BB2B23">
      <w:pPr>
        <w:pStyle w:val="Text"/>
      </w:pPr>
      <w:r>
        <w:t>The recommended policy will be reviewed at five year intervals to determine the effectiveness of the policy. This</w:t>
      </w:r>
      <w:r>
        <w:rPr>
          <w:rStyle w:val="nobreak"/>
        </w:rPr>
        <w:t xml:space="preserve"> </w:t>
      </w:r>
      <w:r>
        <w:t>will include consideration of:</w:t>
      </w:r>
    </w:p>
    <w:p w14:paraId="564693C4" w14:textId="77777777" w:rsidR="00BB2B23" w:rsidRDefault="00BB2B23" w:rsidP="00BB2B23">
      <w:pPr>
        <w:pStyle w:val="Bullets1"/>
      </w:pPr>
      <w:r>
        <w:t>The pace of the phase-down.</w:t>
      </w:r>
    </w:p>
    <w:p w14:paraId="564693C5" w14:textId="77777777" w:rsidR="00BB2B23" w:rsidRDefault="00BB2B23" w:rsidP="00BB2B23">
      <w:pPr>
        <w:pStyle w:val="Bullets1"/>
      </w:pPr>
      <w:r>
        <w:t>Other policy options to support the phase-down.</w:t>
      </w:r>
    </w:p>
    <w:p w14:paraId="564693C6" w14:textId="77777777" w:rsidR="0005026F" w:rsidRDefault="0005026F" w:rsidP="00BB2B23">
      <w:pPr>
        <w:pStyle w:val="Subhead1"/>
        <w:sectPr w:rsidR="0005026F" w:rsidSect="00B8204E">
          <w:pgSz w:w="11906" w:h="16838"/>
          <w:pgMar w:top="720" w:right="720" w:bottom="720" w:left="720" w:header="425" w:footer="425" w:gutter="0"/>
          <w:pgNumType w:start="1"/>
          <w:cols w:space="708"/>
          <w:titlePg/>
          <w:docGrid w:linePitch="360"/>
        </w:sectPr>
      </w:pPr>
    </w:p>
    <w:p w14:paraId="564693C7" w14:textId="77777777" w:rsidR="00BB2B23" w:rsidRDefault="00BB2B23" w:rsidP="00BB2B23">
      <w:pPr>
        <w:pStyle w:val="Subhead1"/>
      </w:pPr>
      <w:r>
        <w:lastRenderedPageBreak/>
        <w:t>Overview of the Regulation Impact</w:t>
      </w:r>
      <w:r>
        <w:rPr>
          <w:rStyle w:val="nobreak"/>
        </w:rPr>
        <w:t xml:space="preserve"> </w:t>
      </w:r>
      <w:r>
        <w:t>Statement</w:t>
      </w:r>
    </w:p>
    <w:p w14:paraId="564693C8" w14:textId="77777777" w:rsidR="00BB2B23" w:rsidRDefault="00BB2B23" w:rsidP="00BB2B23">
      <w:pPr>
        <w:pStyle w:val="Subhead2"/>
      </w:pPr>
      <w:r>
        <w:t>Report structure</w:t>
      </w:r>
    </w:p>
    <w:p w14:paraId="564693C9" w14:textId="77777777" w:rsidR="00BB2B23" w:rsidRDefault="00BB2B23" w:rsidP="00BB2B23">
      <w:pPr>
        <w:pStyle w:val="Text"/>
      </w:pPr>
      <w:r>
        <w:t>The RIS is structured as follows:</w:t>
      </w:r>
    </w:p>
    <w:p w14:paraId="564693CA" w14:textId="77777777" w:rsidR="00BB2B23" w:rsidRDefault="00BB2B23" w:rsidP="00BB2B23">
      <w:pPr>
        <w:pStyle w:val="Text"/>
      </w:pPr>
      <w:r>
        <w:rPr>
          <w:rStyle w:val="Hyperlink"/>
        </w:rPr>
        <w:t>Section 1</w:t>
      </w:r>
      <w:r>
        <w:t xml:space="preserve"> provides the purpose and policy context for this RIS.</w:t>
      </w:r>
    </w:p>
    <w:p w14:paraId="564693CB" w14:textId="77777777" w:rsidR="00BB2B23" w:rsidRDefault="00BB2B23" w:rsidP="00BB2B23">
      <w:pPr>
        <w:pStyle w:val="Text"/>
      </w:pPr>
      <w:r>
        <w:rPr>
          <w:rStyle w:val="Hyperlink"/>
        </w:rPr>
        <w:t>Section 2</w:t>
      </w:r>
      <w:r>
        <w:t xml:space="preserve"> describes the problem that governments are seeking to address, and identifies current regulatory arrangements and core stakeholders.</w:t>
      </w:r>
    </w:p>
    <w:p w14:paraId="564693CC" w14:textId="77777777" w:rsidR="00BB2B23" w:rsidRDefault="00BB2B23" w:rsidP="00BB2B23">
      <w:pPr>
        <w:pStyle w:val="Text"/>
      </w:pPr>
      <w:r>
        <w:rPr>
          <w:rStyle w:val="Hyperlink"/>
        </w:rPr>
        <w:t>Section 3</w:t>
      </w:r>
      <w:r>
        <w:t xml:space="preserve"> establishes the principles and objectives of government action.</w:t>
      </w:r>
    </w:p>
    <w:p w14:paraId="564693CD" w14:textId="77777777" w:rsidR="00BB2B23" w:rsidRDefault="00BB2B23" w:rsidP="00BB2B23">
      <w:pPr>
        <w:pStyle w:val="Text"/>
      </w:pPr>
      <w:r>
        <w:rPr>
          <w:rStyle w:val="Hyperlink"/>
        </w:rPr>
        <w:t>Section 4</w:t>
      </w:r>
      <w:r>
        <w:t xml:space="preserve"> describes the policy options for consideration in this RIS.</w:t>
      </w:r>
    </w:p>
    <w:p w14:paraId="564693CE" w14:textId="77777777" w:rsidR="00BB2B23" w:rsidRDefault="00BB2B23" w:rsidP="00BB2B23">
      <w:pPr>
        <w:pStyle w:val="Text"/>
      </w:pPr>
      <w:r>
        <w:rPr>
          <w:rStyle w:val="Hyperlink"/>
        </w:rPr>
        <w:t>Section 5</w:t>
      </w:r>
      <w:r>
        <w:t xml:space="preserve"> outlines the impact analysis that has been undertaken, as well as the Regulatory Burden Measurement for each of the proposed options. </w:t>
      </w:r>
    </w:p>
    <w:p w14:paraId="564693CF" w14:textId="77777777" w:rsidR="00BB2B23" w:rsidRDefault="00BB2B23" w:rsidP="00BB2B23">
      <w:pPr>
        <w:pStyle w:val="Text"/>
      </w:pPr>
      <w:r>
        <w:rPr>
          <w:rStyle w:val="Hyperlink"/>
        </w:rPr>
        <w:t>Section 6</w:t>
      </w:r>
      <w:r>
        <w:t xml:space="preserve"> summarises consultation during the development of this RIS. </w:t>
      </w:r>
    </w:p>
    <w:p w14:paraId="564693D0" w14:textId="77777777" w:rsidR="00BB2B23" w:rsidRDefault="00BB2B23" w:rsidP="00BB2B23">
      <w:pPr>
        <w:pStyle w:val="Text"/>
      </w:pPr>
      <w:r>
        <w:rPr>
          <w:rStyle w:val="Hyperlink"/>
        </w:rPr>
        <w:t>Section 7</w:t>
      </w:r>
      <w:r>
        <w:t xml:space="preserve"> summarises the proposed implementation and review processes for the preferred policy option.</w:t>
      </w:r>
    </w:p>
    <w:p w14:paraId="564693D1" w14:textId="77777777" w:rsidR="00BB2B23" w:rsidRDefault="00BB2B23" w:rsidP="00BB2B23">
      <w:pPr>
        <w:pStyle w:val="Text"/>
      </w:pPr>
    </w:p>
    <w:p w14:paraId="564693D2" w14:textId="77777777" w:rsidR="00BB2B23" w:rsidRDefault="00BB2B23" w:rsidP="00BB2B23">
      <w:pPr>
        <w:pStyle w:val="Text"/>
      </w:pPr>
    </w:p>
    <w:p w14:paraId="564693D3" w14:textId="77777777" w:rsidR="0005026F" w:rsidRDefault="0005026F" w:rsidP="00BB2B23">
      <w:pPr>
        <w:pStyle w:val="Subhead1"/>
        <w:sectPr w:rsidR="0005026F" w:rsidSect="00B8204E">
          <w:pgSz w:w="11906" w:h="16838"/>
          <w:pgMar w:top="720" w:right="720" w:bottom="720" w:left="720" w:header="425" w:footer="425" w:gutter="0"/>
          <w:pgNumType w:start="1"/>
          <w:cols w:space="708"/>
          <w:titlePg/>
          <w:docGrid w:linePitch="360"/>
        </w:sectPr>
      </w:pPr>
    </w:p>
    <w:p w14:paraId="564693D4" w14:textId="77777777" w:rsidR="00BB2B23" w:rsidRDefault="00BB2B23" w:rsidP="00BB2B23">
      <w:pPr>
        <w:pStyle w:val="Subhead1"/>
      </w:pPr>
      <w:r>
        <w:lastRenderedPageBreak/>
        <w:t>Section 1</w:t>
      </w:r>
    </w:p>
    <w:p w14:paraId="564693D5" w14:textId="77777777" w:rsidR="00BB2B23" w:rsidRDefault="00BB2B23" w:rsidP="00BB2B23">
      <w:pPr>
        <w:pStyle w:val="Subhead1"/>
      </w:pPr>
      <w:r>
        <w:t>Purpose</w:t>
      </w:r>
    </w:p>
    <w:p w14:paraId="564693D6" w14:textId="77777777" w:rsidR="00BB2B23" w:rsidRDefault="00BB2B23" w:rsidP="00BB2B23">
      <w:pPr>
        <w:pStyle w:val="Text"/>
      </w:pPr>
      <w:r>
        <w:t>This Regulation Impact Statement (RIS) examines options to reduce emissions of hydrofluorocarbons (HFCs) by 85 per cent from 2016 levels by 2036. HFCs are a sub group of synthetic greenhouse gases (SGGs). Reducing emissions of HFCs will contribute to the Australian Government’s broader target to reduce to reduce greenhouse gas emissions by 26–28 per cent below 2005 levels by 2030. In order to verify its recommendation, a cost-benefit analysis (CBA) has also been prepared to understand the performance of the options against a broader set of benefits. It is not the objective of this RIS to establish the net benefits of Australia’s particular economy-wide emissions target.</w:t>
      </w:r>
    </w:p>
    <w:p w14:paraId="564693D7" w14:textId="77777777" w:rsidR="00BB2B23" w:rsidRDefault="00BB2B23" w:rsidP="00BB2B23">
      <w:pPr>
        <w:pStyle w:val="Text"/>
      </w:pPr>
      <w:r>
        <w:t>The commitment to reducing HFC emissions as part of the broader 2030 target was informed by an Options Paper, outlining a CBA of HFC emission reduction options as part of the Review of the Ozone Protection and Synthetic Greenhouse Gas Management (OPSGGM) Programme. The Options Paper was published for public comment in October 2015.</w:t>
      </w:r>
    </w:p>
    <w:p w14:paraId="564693D8" w14:textId="77777777" w:rsidR="00BB2B23" w:rsidRDefault="00BB2B23" w:rsidP="00BB2B23">
      <w:pPr>
        <w:pStyle w:val="Text"/>
      </w:pPr>
      <w:r>
        <w:t xml:space="preserve">The objectives of the Review, in train since May 2014, were to find opportunities for emissions reduction as well as efficiency and effectiveness gains within the OPSGGM Programme. The Options Paper summarised 18 months of in-depth analysis and two independent consultancies, including a CBA, exploring potential policies to reduce HFC emissions. </w:t>
      </w:r>
    </w:p>
    <w:p w14:paraId="564693D9" w14:textId="77777777" w:rsidR="00BB2B23" w:rsidRDefault="00BB2B23" w:rsidP="00BB2B23">
      <w:pPr>
        <w:pStyle w:val="Text"/>
      </w:pPr>
      <w:r>
        <w:t>Recommendations on efficiency and effectiveness opportunities are outside the scope of this RIS. The preferred option outlined in this RIS has however been considered with the view of implementation alongside the efficiency and effectiveness recommendations stemming from the review to ensure the most robust implementation of the preferred option.</w:t>
      </w:r>
    </w:p>
    <w:p w14:paraId="564693DA" w14:textId="5C3750EF" w:rsidR="00BB2B23" w:rsidRDefault="00BB2B23" w:rsidP="00BB2B23">
      <w:pPr>
        <w:pStyle w:val="Text"/>
      </w:pPr>
      <w:r>
        <w:t>This RIS has been prepared by the Australian Government Department of the Environment and Energy (the</w:t>
      </w:r>
      <w:r>
        <w:rPr>
          <w:rStyle w:val="nobreak"/>
        </w:rPr>
        <w:t xml:space="preserve"> </w:t>
      </w:r>
      <w:r>
        <w:t xml:space="preserve">Department) on behalf of the Commonwealth, in consultation with other Commonwealth Agencies and primary stakeholders. It follows the Office of Best Practice Regulation’s (OBPR) </w:t>
      </w:r>
      <w:r>
        <w:rPr>
          <w:rStyle w:val="TextItalic"/>
        </w:rPr>
        <w:t>Australian Government Guide to Regulation</w:t>
      </w:r>
      <w:r>
        <w:t xml:space="preserve"> and builds on the Options Paper published by the Department in October 2015.</w:t>
      </w:r>
    </w:p>
    <w:p w14:paraId="564693DB" w14:textId="77777777" w:rsidR="00BB2B23" w:rsidRDefault="00BB2B23" w:rsidP="00BB2B23">
      <w:pPr>
        <w:pStyle w:val="Text"/>
      </w:pPr>
    </w:p>
    <w:p w14:paraId="564693DC" w14:textId="77777777" w:rsidR="00BB2B23" w:rsidRDefault="00BB2B23" w:rsidP="00BB2B23">
      <w:pPr>
        <w:pStyle w:val="Text"/>
      </w:pPr>
    </w:p>
    <w:p w14:paraId="564693DD" w14:textId="77777777" w:rsidR="0005026F" w:rsidRDefault="0005026F" w:rsidP="00BB2B23">
      <w:pPr>
        <w:pStyle w:val="Subhead1"/>
        <w:sectPr w:rsidR="0005026F" w:rsidSect="00B8204E">
          <w:pgSz w:w="11906" w:h="16838"/>
          <w:pgMar w:top="720" w:right="720" w:bottom="720" w:left="720" w:header="425" w:footer="425" w:gutter="0"/>
          <w:pgNumType w:start="1"/>
          <w:cols w:space="708"/>
          <w:titlePg/>
          <w:docGrid w:linePitch="360"/>
        </w:sectPr>
      </w:pPr>
    </w:p>
    <w:p w14:paraId="564693DE" w14:textId="77777777" w:rsidR="00BB2B23" w:rsidRDefault="00BB2B23" w:rsidP="00BB2B23">
      <w:pPr>
        <w:pStyle w:val="Subhead1"/>
      </w:pPr>
      <w:r>
        <w:lastRenderedPageBreak/>
        <w:t>Section 2</w:t>
      </w:r>
    </w:p>
    <w:p w14:paraId="564693DF" w14:textId="77777777" w:rsidR="00BB2B23" w:rsidRDefault="00BB2B23" w:rsidP="00BB2B23">
      <w:pPr>
        <w:pStyle w:val="Subhead1"/>
      </w:pPr>
      <w:r>
        <w:t xml:space="preserve">What is the policy problem </w:t>
      </w:r>
    </w:p>
    <w:p w14:paraId="564693E0" w14:textId="77777777" w:rsidR="00BB2B23" w:rsidRDefault="00BB2B23" w:rsidP="00BB2B23">
      <w:pPr>
        <w:pStyle w:val="Text"/>
      </w:pPr>
      <w:r>
        <w:t>In the lead up to the Paris United Nations Climate Conference in December 2015, the Government committed to reducing Australia’s carbon emissions to 26–28 per cent below 2005 levels by 2030. Australia’s target poses a challenge because total emissions are projected to increase without further policy action. Without taking account of abatement from the Government’s emissions reduction policies, domestic emissions are projected to be 724 Mt</w:t>
      </w:r>
      <w:r>
        <w:rPr>
          <w:rStyle w:val="nobreak"/>
        </w:rPr>
        <w:t xml:space="preserve"> </w:t>
      </w:r>
      <w:r>
        <w:t>CO</w:t>
      </w:r>
      <w:r>
        <w:rPr>
          <w:rStyle w:val="subscript"/>
        </w:rPr>
        <w:t>2</w:t>
      </w:r>
      <w:r>
        <w:t>-e</w:t>
      </w:r>
      <w:r>
        <w:rPr>
          <w:rFonts w:ascii="Myriad Pro" w:hAnsi="Myriad Pro" w:cstheme="minorBidi"/>
          <w:sz w:val="24"/>
          <w:szCs w:val="24"/>
        </w:rPr>
        <w:footnoteReference w:id="4"/>
      </w:r>
      <w:r>
        <w:t xml:space="preserve"> in 2029–2030, a 30 per cent increase on 1999–2000 levels.</w:t>
      </w:r>
    </w:p>
    <w:p w14:paraId="564693E1" w14:textId="77777777" w:rsidR="00BB2B23" w:rsidRDefault="00BB2B23" w:rsidP="00BB2B23">
      <w:pPr>
        <w:pStyle w:val="Text"/>
      </w:pPr>
      <w:r>
        <w:t xml:space="preserve">The Government has indicated it will meet this target through a suite of targeted policies, including action to reduce the domestic use of HFCs. The Government has announced that “Australia will look to fast track work to reduce domestic HFC emissions by 85 per cent by 2036, in-line with the most ambitious phase-down proposals under the Montreal Protocol”. This inclusion was informed by an options paper on the expected costs and benefits of HFC emission reduction policy options being explored for inclusion in the OPSGGM Programme, developed over the course of 18 months of in-depth analysis. </w:t>
      </w:r>
    </w:p>
    <w:p w14:paraId="564693E2" w14:textId="77777777" w:rsidR="00BB2B23" w:rsidRDefault="00BB2B23" w:rsidP="00BB2B23">
      <w:pPr>
        <w:pStyle w:val="Text"/>
      </w:pPr>
      <w:r>
        <w:t xml:space="preserve">HFCs are SGGs used principally in refrigeration, air conditioning and fire protection applications and were introduced as substitutes ozone depleting substances (ODS), which have been phased out under the OPSGGM Programme. The refrigeration and air conditioning industry is the major industry, using over 80 per cent of all HFCs. HFCs are powerful greenhouse gases and are sometimes thousands of times more potent than carbon dioxide. </w:t>
      </w:r>
    </w:p>
    <w:p w14:paraId="564693E3" w14:textId="77777777" w:rsidR="00BB2B23" w:rsidRDefault="00BB2B23" w:rsidP="00BB2B23">
      <w:pPr>
        <w:pStyle w:val="Text"/>
      </w:pPr>
      <w:r>
        <w:t>HFCs are being targeted for policy action as they comprise the vast majority of SGG emissions in Australia. Other synthetic greenhouse gases—perfluorocarbons (PFCs) and sulfur hexafluoride (SF</w:t>
      </w:r>
      <w:r>
        <w:rPr>
          <w:rStyle w:val="subscript"/>
        </w:rPr>
        <w:t>6</w:t>
      </w:r>
      <w:r>
        <w:t xml:space="preserve">)—constitute only a very small portion of emissions and are not considered in the RIS. </w:t>
      </w:r>
    </w:p>
    <w:p w14:paraId="564693E4" w14:textId="77777777" w:rsidR="00BB2B23" w:rsidRDefault="00BB2B23" w:rsidP="00BB2B23">
      <w:pPr>
        <w:pStyle w:val="Text"/>
      </w:pPr>
      <w:r>
        <w:t xml:space="preserve">Modelling undertaken by Expert Group in the 2015 report: Assessment of environmental impacts from </w:t>
      </w:r>
      <w:r>
        <w:rPr>
          <w:rStyle w:val="TextItalic"/>
        </w:rPr>
        <w:t>the</w:t>
      </w:r>
      <w:r>
        <w:rPr>
          <w:rStyle w:val="nobreak"/>
        </w:rPr>
        <w:t xml:space="preserve"> </w:t>
      </w:r>
      <w:r>
        <w:rPr>
          <w:rStyle w:val="TextItalic"/>
        </w:rPr>
        <w:t>Ozone Protection and Synthetic Greenhouse Gas Management Act 1989</w:t>
      </w:r>
      <w:r>
        <w:rPr>
          <w:rFonts w:ascii="Myriad Pro" w:hAnsi="Myriad Pro" w:cstheme="minorBidi"/>
          <w:sz w:val="24"/>
          <w:szCs w:val="24"/>
        </w:rPr>
        <w:footnoteReference w:id="5"/>
      </w:r>
      <w:r>
        <w:rPr>
          <w:rStyle w:val="FootnoteReference1"/>
        </w:rPr>
        <w:t>[2]</w:t>
      </w:r>
      <w:r>
        <w:t>, indicates there are currently a range of alternatives to SGGs gases in most applications, or that alternatives are in development and could soon be introduced to the Australian market. The implication is that, over time, the stock of equipment with high GWP will reduce and therefore emissions will reduce.</w:t>
      </w:r>
    </w:p>
    <w:p w14:paraId="564693E5" w14:textId="77777777" w:rsidR="00BB2B23" w:rsidRDefault="00BB2B23" w:rsidP="00BB2B23">
      <w:pPr>
        <w:pStyle w:val="Text"/>
      </w:pPr>
      <w:r>
        <w:t>The transition to alternative chemicals has already started in major global markets and is now expanding the range of technology available to the Australian market. This includes legislation to reduce HFC emissions in the European Union (EU) through a phase-down and gas and equipment bans, and gas and equipment bans in the United States of America. These actions are encouraging global equipment manufacturers to transition to alternative gases.</w:t>
      </w:r>
    </w:p>
    <w:p w14:paraId="564693E6" w14:textId="77777777" w:rsidR="00BB2B23" w:rsidRDefault="00BB2B23" w:rsidP="00BB2B23">
      <w:pPr>
        <w:pStyle w:val="Text"/>
      </w:pPr>
      <w:r>
        <w:lastRenderedPageBreak/>
        <w:t>The Expert Group model considers technology already present in the Australian market or available elsewhere in the world, and policy options to accelerate, or complement, the uptake of alternative technology at a pace that the Australian market can manage.</w:t>
      </w:r>
    </w:p>
    <w:p w14:paraId="564693E7" w14:textId="77777777" w:rsidR="00BB2B23" w:rsidRDefault="00BB2B23" w:rsidP="00BB2B23">
      <w:pPr>
        <w:pStyle w:val="Text"/>
      </w:pPr>
      <w:r>
        <w:t>These industry sectors have been very responsive and successful in managing the environmental impacts of other similar chemicals. They have, in close relationship with the Government, successfully transitioned from the first generation of harmful gases, ODS gases, including the successful phase-out of chlorofluorocarbons (CFCs), and are currently in the tail-end of a phase-out of hydrochlorofluorocarbons (HCFCs). The emerging potential for low- GWP gases to cost-effectively replace SGGs represents an opportunity to make a contribution to the emission reduction target.</w:t>
      </w:r>
    </w:p>
    <w:p w14:paraId="564693E8" w14:textId="77777777" w:rsidR="00BB2B23" w:rsidRDefault="00BB2B23" w:rsidP="00BB2B23">
      <w:pPr>
        <w:pStyle w:val="Text"/>
      </w:pPr>
      <w:r>
        <w:t>In consultation, major participants in these industry sectors have agreed that the proposed options are achievable.</w:t>
      </w:r>
    </w:p>
    <w:p w14:paraId="564693E9" w14:textId="77777777" w:rsidR="00BB2B23" w:rsidRDefault="00BB2B23" w:rsidP="00BB2B23">
      <w:pPr>
        <w:pStyle w:val="Subhead2"/>
      </w:pPr>
      <w:r>
        <w:t xml:space="preserve">Background </w:t>
      </w:r>
    </w:p>
    <w:p w14:paraId="564693EA" w14:textId="77777777" w:rsidR="00BB2B23" w:rsidRDefault="00BB2B23" w:rsidP="00BB2B23">
      <w:pPr>
        <w:pStyle w:val="Subhead3"/>
      </w:pPr>
      <w:r>
        <w:t>Nature and extent of the problem—Hydrofluorocarbons</w:t>
      </w:r>
    </w:p>
    <w:p w14:paraId="564693EB" w14:textId="77777777" w:rsidR="00BB2B23" w:rsidRDefault="00BB2B23" w:rsidP="00BB2B23">
      <w:pPr>
        <w:pStyle w:val="Text"/>
      </w:pPr>
      <w:r>
        <w:t>Gases in the atmosphere, known as greenhouse gases, insulate the Earth. They prevent the sun’s heat from escaping meaning the Earth stays warm and enables life to exist and thrive. Many greenhouse gases occur naturally in the atmosphere. Common greenhouse gases include methane (CH</w:t>
      </w:r>
      <w:r>
        <w:rPr>
          <w:rStyle w:val="subscript"/>
        </w:rPr>
        <w:t>4</w:t>
      </w:r>
      <w:r>
        <w:t>), nitrous oxide (N</w:t>
      </w:r>
      <w:r>
        <w:rPr>
          <w:rStyle w:val="subscript"/>
        </w:rPr>
        <w:t>2</w:t>
      </w:r>
      <w:r>
        <w:t>O) and carbon</w:t>
      </w:r>
      <w:r>
        <w:rPr>
          <w:rStyle w:val="nobreak"/>
        </w:rPr>
        <w:t xml:space="preserve"> </w:t>
      </w:r>
      <w:r>
        <w:t>dioxide (CO</w:t>
      </w:r>
      <w:r>
        <w:rPr>
          <w:rStyle w:val="subscript"/>
        </w:rPr>
        <w:t>2</w:t>
      </w:r>
      <w:r>
        <w:t xml:space="preserve">). Other greenhouse gases include water vapour, fluorocarbon gases such as CFCs and HCFCs. </w:t>
      </w:r>
    </w:p>
    <w:p w14:paraId="564693EC" w14:textId="77777777" w:rsidR="00BB2B23" w:rsidRDefault="00BB2B23" w:rsidP="00BB2B23">
      <w:pPr>
        <w:pStyle w:val="Text"/>
      </w:pPr>
      <w:r>
        <w:t>HFCs are type of SGG, which refers to man-made greenhouse gases. HFCs are generally present in the atmosphere at low concentrations however they have a measurable impact on climate change because they typically have very high Global Warming Potential (GWP). GWP is a relative measure of how much heat a greenhouse gas traps in the atmosphere. It compares the amount of heat trapped by a certain mass of the gas in question to the amount of heat trapped by</w:t>
      </w:r>
      <w:r>
        <w:rPr>
          <w:rStyle w:val="nobreak"/>
        </w:rPr>
        <w:t xml:space="preserve"> </w:t>
      </w:r>
      <w:r>
        <w:t>a similar mass of CO</w:t>
      </w:r>
      <w:r>
        <w:rPr>
          <w:rStyle w:val="subscript"/>
        </w:rPr>
        <w:t>2</w:t>
      </w:r>
      <w:r>
        <w:t xml:space="preserve">. </w:t>
      </w:r>
    </w:p>
    <w:p w14:paraId="564693ED" w14:textId="77777777" w:rsidR="00BB2B23" w:rsidRDefault="00BB2B23" w:rsidP="00BB2B23">
      <w:pPr>
        <w:pStyle w:val="Text"/>
      </w:pPr>
      <w:r>
        <w:t xml:space="preserve">HFCs are used in a range of applications including refrigeration and air conditioning, fire protection, aerosols, electricity distribution, foams, medical and veterinary applications, smelting, solvents, niche processing applications (such as plasma etching and semi-conductor manufacture), and for laboratory and analytical purposes. HFCs are the common replacement for ODS. The prominence of HFCs represents an unintended consequence of the phase-out of ODS commencing in the late 1980s. While they have no ozone depleting potential, most commonly used SGGs have very high GWPs. </w:t>
      </w:r>
    </w:p>
    <w:p w14:paraId="564693EE" w14:textId="77777777" w:rsidR="00BB2B23" w:rsidRDefault="00BB2B23" w:rsidP="00BB2B23">
      <w:pPr>
        <w:pStyle w:val="Text"/>
      </w:pPr>
      <w:r>
        <w:t>The most common HFCs used in Australia is HFC-134a, which has a GWP of 1430</w:t>
      </w:r>
      <w:r>
        <w:rPr>
          <w:rFonts w:ascii="Myriad Pro" w:hAnsi="Myriad Pro" w:cstheme="minorBidi"/>
          <w:sz w:val="24"/>
          <w:szCs w:val="24"/>
        </w:rPr>
        <w:footnoteReference w:id="6"/>
      </w:r>
      <w:r>
        <w:t>, meaning that it is 1430 times as potent in the atmosphere as CO</w:t>
      </w:r>
      <w:r>
        <w:rPr>
          <w:rStyle w:val="subscript"/>
        </w:rPr>
        <w:t>2</w:t>
      </w:r>
      <w:r>
        <w:t>. Other SGGs are even more powerful global warmers, with PFCs having GWPs between 7390–12,200 and SF</w:t>
      </w:r>
      <w:r>
        <w:rPr>
          <w:rStyle w:val="subscript"/>
        </w:rPr>
        <w:t>6</w:t>
      </w:r>
      <w:r>
        <w:t xml:space="preserve"> having a GWP of 22,800. Total SGG emissions accounted for around 1.9 per cent of Australia’s annual net CO</w:t>
      </w:r>
      <w:r>
        <w:rPr>
          <w:rStyle w:val="subscript"/>
        </w:rPr>
        <w:t>2</w:t>
      </w:r>
      <w:r>
        <w:t>-e emissions (excluding emissions from land use, land use change and forestry) in 2013. By gas types, HFC emissions account for 1.8 per cent, PFCs for 0.04 per cent and SF</w:t>
      </w:r>
      <w:r>
        <w:rPr>
          <w:rStyle w:val="subscript"/>
        </w:rPr>
        <w:t>6</w:t>
      </w:r>
      <w:r>
        <w:t xml:space="preserve"> for 0.02 per cent of Australia’s total annual emissions in 2013. </w:t>
      </w:r>
    </w:p>
    <w:p w14:paraId="564693EF" w14:textId="77777777" w:rsidR="00BB2B23" w:rsidRDefault="00BB2B23" w:rsidP="00BB2B23">
      <w:pPr>
        <w:pStyle w:val="Text"/>
      </w:pPr>
    </w:p>
    <w:p w14:paraId="564693F0" w14:textId="77777777" w:rsidR="00BB2B23" w:rsidRDefault="00BB2B23" w:rsidP="00BB2B23">
      <w:pPr>
        <w:pStyle w:val="Subhead3"/>
      </w:pPr>
      <w:r>
        <w:t>Health and Environmental Impacts</w:t>
      </w:r>
    </w:p>
    <w:p w14:paraId="564693F1" w14:textId="77777777" w:rsidR="00BB2B23" w:rsidRDefault="00BB2B23" w:rsidP="00BB2B23">
      <w:pPr>
        <w:pStyle w:val="Text"/>
      </w:pPr>
      <w:r>
        <w:t>HFCs are either emissive in their designed use (e.g. fire extinguishers and aerosols) or inherently emissive in the equipment they are contained in (e.g. refrigeration and air conditioning systems will leak due to sudden equipment failure and or more slowly as pipe joins are weakened through mechanical vibrations). A proportion of HFCs will be recovered and disposed of when equipment is serviced (replacing contaminated HFCs with pure HFCs) or when equipment is decommissioned at end of life.</w:t>
      </w:r>
    </w:p>
    <w:p w14:paraId="564693F2" w14:textId="77777777" w:rsidR="00BB2B23" w:rsidRDefault="00BB2B23" w:rsidP="00BB2B23">
      <w:pPr>
        <w:pStyle w:val="Text"/>
      </w:pPr>
      <w:r>
        <w:t xml:space="preserve">Recovery rates are built into the emissions model supporting the OPSGGM Programme review. Australia’s National Greenhouse Gas Inventory assumes annual emission rates from different classes of equipment based on standard Intergovernmental Panel on Climate Change emission rates, modified to Australia’s circumstances where better data is available, and accounts for HFCs destroyed through product stewardship arrangements. </w:t>
      </w:r>
    </w:p>
    <w:p w14:paraId="564693F3" w14:textId="77777777" w:rsidR="00BB2B23" w:rsidRDefault="00BB2B23" w:rsidP="00BB2B23">
      <w:pPr>
        <w:pStyle w:val="Text"/>
      </w:pPr>
      <w:r>
        <w:t xml:space="preserve">In summary, this means that it is assumed their full GWP will be released into the atmosphere over the course of their lifetime, contributing to global warming. </w:t>
      </w:r>
    </w:p>
    <w:p w14:paraId="564693F4" w14:textId="77777777" w:rsidR="00BB2B23" w:rsidRDefault="00BB2B23" w:rsidP="00BB2B23">
      <w:pPr>
        <w:pStyle w:val="Text"/>
      </w:pPr>
      <w:r>
        <w:t>The prediction of future health impacts (from climate change) is a challenge because of the highly complex relationships that exist between humans and their environment. The links between a climate variable and a health impact can be very direct, such as physical injuries suffered during an extreme event or increases in respiratory symptoms during high temperature events. Other links are indirect and complex and require careful consideration of the chain of events that lead from climate variable to health impact</w:t>
      </w:r>
      <w:r>
        <w:rPr>
          <w:rFonts w:ascii="Myriad Pro" w:hAnsi="Myriad Pro" w:cstheme="minorBidi"/>
          <w:sz w:val="24"/>
          <w:szCs w:val="24"/>
        </w:rPr>
        <w:footnoteReference w:id="7"/>
      </w:r>
      <w:r>
        <w:t>.</w:t>
      </w:r>
    </w:p>
    <w:p w14:paraId="564693F5" w14:textId="77777777" w:rsidR="00BB2B23" w:rsidRDefault="00BB2B23" w:rsidP="00BB2B23">
      <w:pPr>
        <w:pStyle w:val="Text"/>
      </w:pPr>
    </w:p>
    <w:p w14:paraId="564693F6" w14:textId="77777777" w:rsidR="00BB2B23" w:rsidRDefault="00BB2B23" w:rsidP="00BB2B23">
      <w:pPr>
        <w:pStyle w:val="Subhead3"/>
      </w:pPr>
      <w:r>
        <w:t>Australia’s main HFC use—Refrigeration and air conditioning</w:t>
      </w:r>
    </w:p>
    <w:p w14:paraId="564693F7" w14:textId="77777777" w:rsidR="00BB2B23" w:rsidRDefault="00BB2B23" w:rsidP="00BB2B23">
      <w:pPr>
        <w:pStyle w:val="Text"/>
      </w:pPr>
      <w:r>
        <w:t xml:space="preserve">As outlined in the Background, HFCs are used in a wide range of applications in the Australian economy. The main sector is refrigeration and air conditioning. </w:t>
      </w:r>
      <w:r>
        <w:rPr>
          <w:rStyle w:val="TextItalic"/>
        </w:rPr>
        <w:t>Cold Hard Facts 2: A study of the refrigeration and air conditioning industry in Australia</w:t>
      </w:r>
      <w:r>
        <w:rPr>
          <w:rFonts w:ascii="Myriad Pro" w:hAnsi="Myriad Pro" w:cstheme="minorBidi"/>
          <w:sz w:val="24"/>
          <w:szCs w:val="24"/>
        </w:rPr>
        <w:footnoteReference w:id="8"/>
      </w:r>
      <w:r>
        <w:t xml:space="preserve"> provides a detailed examination of the refrigeration and air conditioning industry in Australia. It provides information on the role of the industry and related industries and how they provide essential services within the Australian economy and how a reduction of HFC use in this industry, due to its overall size, can produce positive environmental impacts. </w:t>
      </w:r>
    </w:p>
    <w:p w14:paraId="564693F8" w14:textId="77777777" w:rsidR="00BB2B23" w:rsidRDefault="00BB2B23" w:rsidP="00BB2B23">
      <w:pPr>
        <w:pStyle w:val="Text"/>
      </w:pPr>
      <w:r>
        <w:t xml:space="preserve">The report provides a snapshot of the vast scope and impact of the refrigeration and air conditioning sector on the Australian economy. The refrigerated cold food chain transports nearly $30 billion worth of perishable food annually. There are more than 140 million square metres of air conditioned, commercial and other non-residential buildings in Australia. Air conditioning is installed in the majority of Australia’s eight million homes and 16 million registered road vehicles. Nearly $5.9 billion was spent purchasing and installing new equipment in 2012 with a further $533 million spent on bulk refrigerant gas. An overall </w:t>
      </w:r>
      <w:r>
        <w:lastRenderedPageBreak/>
        <w:t xml:space="preserve">expenditure figure of some $26.2 billion was spent on equipment and services in 2012 with the sector equating to direct spending of 0.7 per cent of Australia’s gross domestic product. </w:t>
      </w:r>
    </w:p>
    <w:p w14:paraId="564693F9" w14:textId="77777777" w:rsidR="00BB2B23" w:rsidRDefault="00BB2B23" w:rsidP="00BB2B23">
      <w:pPr>
        <w:pStyle w:val="Text"/>
      </w:pPr>
      <w:r>
        <w:t xml:space="preserve">The sector employs some 173,000 people in more than 20,000 businesses operating in the industry. These employees are earning approximately $13.3 billion in wages and salaries per annum. </w:t>
      </w:r>
    </w:p>
    <w:p w14:paraId="564693FA" w14:textId="77777777" w:rsidR="00BB2B23" w:rsidRDefault="00BB2B23" w:rsidP="00BB2B23">
      <w:pPr>
        <w:pStyle w:val="Text"/>
      </w:pPr>
      <w:r>
        <w:t>In terms of energy usage, refrigeration and air conditioning technology in all its forms is the single largest electricity consuming class of technology in Australia. There are more than 45 million individual pieces of equipment operating in Australia consuming more than an estimated 59,000 gigawatt hours of electricity in 2012, equivalent to more than 22 per cent of all electricity used in Australia that year. Equipment owners spent an estimated $14 billion to pay for that electricity.</w:t>
      </w:r>
    </w:p>
    <w:p w14:paraId="564693FB" w14:textId="77777777" w:rsidR="00BB2B23" w:rsidRDefault="00BB2B23" w:rsidP="00BB2B23">
      <w:pPr>
        <w:pStyle w:val="Text"/>
      </w:pPr>
      <w:r>
        <w:t xml:space="preserve">As a result of the huge quantity of electricity used and the significant stock of high-GWP refrigerant gases used, equipment is one of the largest single sources of greenhouse emissions in Australia. Total indirect greenhouse gas emissions resulting from the energy required to power systems is equivalent to more than 10 per cent of Australian greenhouse emissions. </w:t>
      </w:r>
    </w:p>
    <w:p w14:paraId="564693FC" w14:textId="77777777" w:rsidR="00BB2B23" w:rsidRDefault="00BB2B23" w:rsidP="00BB2B23">
      <w:pPr>
        <w:pStyle w:val="Figuretitle"/>
      </w:pPr>
      <w:r>
        <w:t>Figure 5: Bank of refrigerants by major segment 2012 (total of 43,500 tonnes)</w:t>
      </w:r>
    </w:p>
    <w:p w14:paraId="564693FD" w14:textId="77777777" w:rsidR="00BB2B23" w:rsidRDefault="00BB2B23" w:rsidP="00BB2B23">
      <w:pPr>
        <w:pStyle w:val="Text"/>
        <w:rPr>
          <w:rStyle w:val="TextItalic"/>
        </w:rPr>
      </w:pPr>
      <w:r>
        <w:rPr>
          <w:i/>
          <w:iCs/>
          <w:noProof/>
          <w:lang w:eastAsia="en-AU"/>
        </w:rPr>
        <w:drawing>
          <wp:inline distT="0" distB="0" distL="0" distR="0" wp14:anchorId="56469B3C" wp14:editId="1D1DBAA8">
            <wp:extent cx="4246245" cy="2433320"/>
            <wp:effectExtent l="0" t="0" r="1905" b="5080"/>
            <wp:docPr id="5" name="Picture 5" descr="Figure 5: Bank of refrigerants by major segment 2012 (total of 43,500 to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4246245" cy="2433320"/>
                    </a:xfrm>
                    <a:prstGeom prst="rect">
                      <a:avLst/>
                    </a:prstGeom>
                    <a:noFill/>
                    <a:ln w="9525">
                      <a:noFill/>
                      <a:miter lim="800000"/>
                      <a:headEnd/>
                      <a:tailEnd/>
                    </a:ln>
                  </pic:spPr>
                </pic:pic>
              </a:graphicData>
            </a:graphic>
          </wp:inline>
        </w:drawing>
      </w:r>
    </w:p>
    <w:p w14:paraId="564693FE" w14:textId="77777777" w:rsidR="00BB2B23" w:rsidRPr="00AC69B2" w:rsidRDefault="00BB2B23" w:rsidP="00AC69B2">
      <w:pPr>
        <w:pStyle w:val="FootnoteText1"/>
        <w:rPr>
          <w:rStyle w:val="FootnoteReference1"/>
          <w:vertAlign w:val="baseline"/>
        </w:rPr>
      </w:pPr>
      <w:r w:rsidRPr="00AC69B2">
        <w:rPr>
          <w:rStyle w:val="FootnoteReference1"/>
          <w:vertAlign w:val="baseline"/>
        </w:rPr>
        <w:t>Source: CHF2 stock model</w:t>
      </w:r>
    </w:p>
    <w:p w14:paraId="564693FF" w14:textId="77777777" w:rsidR="00BB2B23" w:rsidRDefault="00BB2B23" w:rsidP="00BB2B23">
      <w:pPr>
        <w:pStyle w:val="Subhead3"/>
      </w:pPr>
      <w:r>
        <w:t>Regulation of HFC use in Australia</w:t>
      </w:r>
    </w:p>
    <w:p w14:paraId="56469400" w14:textId="77777777" w:rsidR="00BB2B23" w:rsidRDefault="00BB2B23" w:rsidP="00BB2B23">
      <w:pPr>
        <w:pStyle w:val="Text"/>
      </w:pPr>
      <w:r>
        <w:t xml:space="preserve">Australia regulates the manufacture, import, export, and domestic ‘end-use’ (handling, storage, transport) of SGGs and equipment containing these gases through import, export and end-use licensing systems under the OPSGGM Programme. </w:t>
      </w:r>
    </w:p>
    <w:p w14:paraId="56469401" w14:textId="77777777" w:rsidR="00BB2B23" w:rsidRDefault="00BB2B23" w:rsidP="00BB2B23">
      <w:pPr>
        <w:pStyle w:val="Text"/>
      </w:pPr>
      <w:r>
        <w:t>The OPSGGM Programme came into effect in 1989 and includes a suite of legislation (three Acts and three sets of Regulations</w:t>
      </w:r>
      <w:r>
        <w:rPr>
          <w:rFonts w:ascii="Myriad Pro" w:hAnsi="Myriad Pro" w:cstheme="minorBidi"/>
          <w:sz w:val="24"/>
          <w:szCs w:val="24"/>
        </w:rPr>
        <w:footnoteReference w:id="9"/>
      </w:r>
      <w:r>
        <w:t xml:space="preserve">) and associated administrative policy. There are around 1200 import licences issued </w:t>
      </w:r>
      <w:r>
        <w:lastRenderedPageBreak/>
        <w:t xml:space="preserve">and around 80,000 businesses and technicians licensed to trade in and handle ODS and HFCs in the refrigeration and air conditioning and fire protection industries. </w:t>
      </w:r>
    </w:p>
    <w:p w14:paraId="56469402" w14:textId="77777777" w:rsidR="00BB2B23" w:rsidRDefault="00BB2B23" w:rsidP="00BB2B23">
      <w:pPr>
        <w:pStyle w:val="Text"/>
      </w:pPr>
      <w:r>
        <w:t>As a result of a review of the OPSGGM Programme in 2001 amendments were made to the legislation in 2003 to include controls on HFCs and PFCs and an enabling power to introduce nationally consistent regulation of the sale, purchase, acquisition, disposal, storage, use handling and labelling of ODS, HFCs and PFCs. Critically, 2003 also saw the states and territories hand their power to regulate the end use of ODS and SGGs to the Commonwealth, resulting in a national scheme that is consistent across all jurisdictions. Prior to this there was little consistency between the schemes that had been administered separately by each jurisdiction, with Western Australia the only state with end use controls of HFCs.</w:t>
      </w:r>
    </w:p>
    <w:p w14:paraId="56469403" w14:textId="77777777" w:rsidR="00BB2B23" w:rsidRDefault="00BB2B23" w:rsidP="00BB2B23">
      <w:pPr>
        <w:pStyle w:val="Subhead3"/>
      </w:pPr>
      <w:r>
        <w:t xml:space="preserve">The future of HFC use in Australia </w:t>
      </w:r>
    </w:p>
    <w:p w14:paraId="56469404" w14:textId="77777777" w:rsidR="00BB2B23" w:rsidRDefault="00BB2B23" w:rsidP="00BB2B23">
      <w:pPr>
        <w:pStyle w:val="Text"/>
      </w:pPr>
      <w:r>
        <w:t xml:space="preserve">Australia is generally considered a ‘technology taker’, and different technologies have been adopted from markets in Asia, Europe and North America to suit local conditions. </w:t>
      </w:r>
    </w:p>
    <w:p w14:paraId="56469405" w14:textId="77777777" w:rsidR="00BB2B23" w:rsidRDefault="00BB2B23" w:rsidP="00BB2B23">
      <w:pPr>
        <w:pStyle w:val="Text"/>
      </w:pPr>
      <w:r>
        <w:t>Generally, HFC use is increasing as domestic air conditioning becomes more prevalent and the phase-out of HCFCs nears completion, while total emissions of these gases, in CO</w:t>
      </w:r>
      <w:r>
        <w:rPr>
          <w:rStyle w:val="subscript"/>
        </w:rPr>
        <w:t>2</w:t>
      </w:r>
      <w:r>
        <w:t>-e terms, are expected to fall over time. This is due in large part to improved containment, a more skilled workforce and changing technology, with a predicted transition from high-GWP HFCs to lower or no GWP alternatives. Figure 6 shows the potential refrigerant bank transition by gas species in Mt CO</w:t>
      </w:r>
      <w:r>
        <w:rPr>
          <w:rStyle w:val="subscript"/>
        </w:rPr>
        <w:t>2</w:t>
      </w:r>
      <w:r>
        <w:t xml:space="preserve">-e (IPCC Assessment Report 4—AR4). </w:t>
      </w:r>
    </w:p>
    <w:p w14:paraId="56469406" w14:textId="77777777" w:rsidR="00BB2B23" w:rsidRDefault="00BB2B23" w:rsidP="00BB2B23">
      <w:pPr>
        <w:pStyle w:val="Text"/>
      </w:pPr>
      <w:r>
        <w:t xml:space="preserve">The amount of lower GWP equipment currently entering the Australian market is relatively low, however it is increasing. For the immediate future equipment containing high GWP gases will continue to enter the Australian market, adding to the large bank of equipment already installed containing ODS and SGGs. This equipment bank requires management to reduce the emissions during life and at the end of life. </w:t>
      </w:r>
    </w:p>
    <w:p w14:paraId="56469407" w14:textId="77777777" w:rsidR="00BB2B23" w:rsidRDefault="00BB2B23" w:rsidP="00BB2B23">
      <w:pPr>
        <w:pStyle w:val="Text"/>
      </w:pPr>
      <w:r>
        <w:t xml:space="preserve">The largest sector of the existing charged-equipment bank is stationary air conditioning, while the largest annual service demand is in the mobile air conditioning sector. </w:t>
      </w:r>
    </w:p>
    <w:p w14:paraId="56469408" w14:textId="77777777" w:rsidR="00BB2B23" w:rsidRDefault="00BB2B23" w:rsidP="00BB2B23">
      <w:pPr>
        <w:pStyle w:val="Text"/>
      </w:pPr>
    </w:p>
    <w:p w14:paraId="56469409" w14:textId="77777777" w:rsidR="00BB2B23" w:rsidRDefault="00BB2B23" w:rsidP="00BB2B23">
      <w:pPr>
        <w:pStyle w:val="Figuretitle"/>
      </w:pPr>
      <w:r>
        <w:t>Figure 6: Predicted refrigerant bank transition from 2013 to 2030 by gas species in Mt CO</w:t>
      </w:r>
      <w:r>
        <w:rPr>
          <w:rStyle w:val="subscript"/>
        </w:rPr>
        <w:t>2</w:t>
      </w:r>
      <w:r>
        <w:t>-e</w:t>
      </w:r>
    </w:p>
    <w:p w14:paraId="5646940A" w14:textId="77777777" w:rsidR="00BB2B23" w:rsidRDefault="00BB2B23" w:rsidP="00BB2B23">
      <w:pPr>
        <w:pStyle w:val="Figuretitle"/>
      </w:pPr>
      <w:r>
        <w:rPr>
          <w:noProof/>
          <w:lang w:val="en-AU"/>
        </w:rPr>
        <w:drawing>
          <wp:inline distT="0" distB="0" distL="0" distR="0" wp14:anchorId="56469B3E" wp14:editId="2968D553">
            <wp:extent cx="4563745" cy="2170430"/>
            <wp:effectExtent l="0" t="0" r="8255" b="1270"/>
            <wp:docPr id="6" name="Picture 6" descr="Figure 6: Predicted refrigerant bank transition from 2013 to 2030 by gas species in Mt CO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4563745" cy="2170430"/>
                    </a:xfrm>
                    <a:prstGeom prst="rect">
                      <a:avLst/>
                    </a:prstGeom>
                    <a:noFill/>
                    <a:ln w="9525">
                      <a:noFill/>
                      <a:miter lim="800000"/>
                      <a:headEnd/>
                      <a:tailEnd/>
                    </a:ln>
                  </pic:spPr>
                </pic:pic>
              </a:graphicData>
            </a:graphic>
          </wp:inline>
        </w:drawing>
      </w:r>
    </w:p>
    <w:p w14:paraId="5646940B" w14:textId="77777777" w:rsidR="00BB2B23" w:rsidRPr="00AC69B2" w:rsidRDefault="00BB2B23" w:rsidP="00AC69B2">
      <w:pPr>
        <w:pStyle w:val="FootnoteText1"/>
        <w:rPr>
          <w:rStyle w:val="FootnoteReference1"/>
          <w:vertAlign w:val="baseline"/>
        </w:rPr>
      </w:pPr>
      <w:r w:rsidRPr="00AC69B2">
        <w:rPr>
          <w:rStyle w:val="FootnoteReference1"/>
          <w:vertAlign w:val="baseline"/>
        </w:rPr>
        <w:t>Source: The data used to produce this graph was sourced by Expert Group from Departmental imports data, industry data and verified through consultation with fire protection industry representatives</w:t>
      </w:r>
    </w:p>
    <w:p w14:paraId="5646940C" w14:textId="77777777" w:rsidR="0005026F" w:rsidRDefault="0005026F" w:rsidP="00BB2B23">
      <w:pPr>
        <w:pStyle w:val="Subhead1"/>
        <w:sectPr w:rsidR="0005026F" w:rsidSect="00B8204E">
          <w:pgSz w:w="11906" w:h="16838"/>
          <w:pgMar w:top="720" w:right="720" w:bottom="720" w:left="720" w:header="425" w:footer="425" w:gutter="0"/>
          <w:pgNumType w:start="1"/>
          <w:cols w:space="708"/>
          <w:titlePg/>
          <w:docGrid w:linePitch="360"/>
        </w:sectPr>
      </w:pPr>
    </w:p>
    <w:p w14:paraId="5646940D" w14:textId="77777777" w:rsidR="00BB2B23" w:rsidRDefault="00BB2B23" w:rsidP="00BB2B23">
      <w:pPr>
        <w:pStyle w:val="Subhead1"/>
      </w:pPr>
      <w:r>
        <w:lastRenderedPageBreak/>
        <w:t>Section 3</w:t>
      </w:r>
    </w:p>
    <w:p w14:paraId="5646940E" w14:textId="77777777" w:rsidR="00BB2B23" w:rsidRDefault="00BB2B23" w:rsidP="00BB2B23">
      <w:pPr>
        <w:pStyle w:val="Subhead1"/>
      </w:pPr>
      <w:r>
        <w:t>Why is Government action</w:t>
      </w:r>
      <w:r>
        <w:rPr>
          <w:rStyle w:val="nobreak"/>
        </w:rPr>
        <w:t xml:space="preserve"> </w:t>
      </w:r>
      <w:r>
        <w:t>needed?</w:t>
      </w:r>
    </w:p>
    <w:p w14:paraId="5646940F" w14:textId="77777777" w:rsidR="00BB2B23" w:rsidRDefault="00BB2B23" w:rsidP="00BB2B23">
      <w:pPr>
        <w:pStyle w:val="Text"/>
      </w:pPr>
      <w:r>
        <w:t xml:space="preserve">Carbon emissions are associated with a wide range of economic activities, such that private decisions of business and individuals are likely to increase emissions roughly in line with economic growth. </w:t>
      </w:r>
    </w:p>
    <w:p w14:paraId="56469410" w14:textId="77777777" w:rsidR="00BB2B23" w:rsidRDefault="00BB2B23" w:rsidP="00BB2B23">
      <w:pPr>
        <w:pStyle w:val="Text"/>
      </w:pPr>
      <w:r>
        <w:t xml:space="preserve">If unpriced, the costs of those emissions are borne by the global community, rather than the person who makes the emission decision. </w:t>
      </w:r>
    </w:p>
    <w:p w14:paraId="56469411" w14:textId="77777777" w:rsidR="00BB2B23" w:rsidRDefault="00BB2B23" w:rsidP="00BB2B23">
      <w:pPr>
        <w:pStyle w:val="Text"/>
      </w:pPr>
      <w:r>
        <w:t>Without the expected abatement from the Government’s emissions reduction policies, Australia’s overall emissions are projected to be 724 Mt CO</w:t>
      </w:r>
      <w:r>
        <w:rPr>
          <w:rStyle w:val="subscript"/>
        </w:rPr>
        <w:t>2</w:t>
      </w:r>
      <w:r>
        <w:t>-e</w:t>
      </w:r>
      <w:r>
        <w:rPr>
          <w:rFonts w:ascii="Myriad Pro" w:hAnsi="Myriad Pro" w:cstheme="minorBidi"/>
          <w:sz w:val="24"/>
          <w:szCs w:val="24"/>
        </w:rPr>
        <w:footnoteReference w:id="10"/>
      </w:r>
      <w:r>
        <w:t xml:space="preserve"> in 2029–2030, a 30 per cent increase on 1999–2000 levels. </w:t>
      </w:r>
    </w:p>
    <w:p w14:paraId="56469412" w14:textId="77777777" w:rsidR="00BB2B23" w:rsidRDefault="00BB2B23" w:rsidP="00BB2B23">
      <w:pPr>
        <w:pStyle w:val="Text"/>
      </w:pPr>
      <w:r>
        <w:t xml:space="preserve">The Government has a range of policy instruments available to ensure that Australia meets these commitments. For example, the Government could implement regulation for the import, manufacture or use of greenhouse gases or could provide incentives for households or businesses to purchase equipment that stops or minimises emissions. The choice of instrument varies depending on the application or industry concerned. </w:t>
      </w:r>
    </w:p>
    <w:p w14:paraId="56469413" w14:textId="77777777" w:rsidR="00BB2B23" w:rsidRDefault="00BB2B23" w:rsidP="00BB2B23">
      <w:pPr>
        <w:pStyle w:val="Text"/>
      </w:pPr>
      <w:r>
        <w:t>This RIS explores the most efficient policy instruments relevant to those applications and industries that</w:t>
      </w:r>
      <w:r>
        <w:rPr>
          <w:rStyle w:val="nobreak"/>
        </w:rPr>
        <w:t xml:space="preserve"> </w:t>
      </w:r>
      <w:r>
        <w:t>use SGGs.</w:t>
      </w:r>
    </w:p>
    <w:p w14:paraId="56469414" w14:textId="77777777" w:rsidR="00BB2B23" w:rsidRDefault="00BB2B23" w:rsidP="00BB2B23">
      <w:pPr>
        <w:pStyle w:val="Subhead2"/>
      </w:pPr>
      <w:r>
        <w:t>Objectives of Government action</w:t>
      </w:r>
    </w:p>
    <w:p w14:paraId="56469415" w14:textId="77777777" w:rsidR="00BB2B23" w:rsidRDefault="00BB2B23" w:rsidP="00BB2B23">
      <w:pPr>
        <w:pStyle w:val="Text"/>
      </w:pPr>
      <w:r>
        <w:t>The objectives of Government action are to:</w:t>
      </w:r>
    </w:p>
    <w:p w14:paraId="56469416" w14:textId="77777777" w:rsidR="00BB2B23" w:rsidRDefault="00BB2B23" w:rsidP="00BB2B23">
      <w:pPr>
        <w:pStyle w:val="Bullets1"/>
      </w:pPr>
      <w:r>
        <w:t>Implement cost effective policy options to reduce HFC emissions by 85 per cent by 2036.</w:t>
      </w:r>
    </w:p>
    <w:p w14:paraId="56469417" w14:textId="77777777" w:rsidR="00BB2B23" w:rsidRDefault="00BB2B23" w:rsidP="00BB2B23">
      <w:pPr>
        <w:pStyle w:val="Bullets1"/>
      </w:pPr>
      <w:r>
        <w:t xml:space="preserve">Ensure that any approach provides a net benefit to the community, while meeting the objectives of the Government’s better regulation agenda by minimising the impact and costs to business/industry and individuals while meeting the first objective. </w:t>
      </w:r>
    </w:p>
    <w:p w14:paraId="56469418" w14:textId="77777777" w:rsidR="00BB2B23" w:rsidRDefault="00BB2B23" w:rsidP="00BB2B23">
      <w:pPr>
        <w:pStyle w:val="Text"/>
      </w:pPr>
    </w:p>
    <w:p w14:paraId="56469419" w14:textId="77777777" w:rsidR="0005026F" w:rsidRDefault="0005026F" w:rsidP="00BB2B23">
      <w:pPr>
        <w:pStyle w:val="Subhead1"/>
        <w:sectPr w:rsidR="0005026F" w:rsidSect="00B8204E">
          <w:pgSz w:w="11906" w:h="16838"/>
          <w:pgMar w:top="720" w:right="720" w:bottom="720" w:left="720" w:header="425" w:footer="425" w:gutter="0"/>
          <w:pgNumType w:start="1"/>
          <w:cols w:space="708"/>
          <w:titlePg/>
          <w:docGrid w:linePitch="360"/>
        </w:sectPr>
      </w:pPr>
    </w:p>
    <w:p w14:paraId="5646941A" w14:textId="77777777" w:rsidR="00BB2B23" w:rsidRDefault="00BB2B23" w:rsidP="00BB2B23">
      <w:pPr>
        <w:pStyle w:val="Subhead1"/>
      </w:pPr>
      <w:r>
        <w:lastRenderedPageBreak/>
        <w:t>Section 4</w:t>
      </w:r>
    </w:p>
    <w:p w14:paraId="5646941B" w14:textId="77777777" w:rsidR="00BB2B23" w:rsidRDefault="00BB2B23" w:rsidP="00BB2B23">
      <w:pPr>
        <w:pStyle w:val="Subhead1"/>
      </w:pPr>
      <w:r>
        <w:t>Options for Government</w:t>
      </w:r>
      <w:r>
        <w:rPr>
          <w:rStyle w:val="nobreak"/>
        </w:rPr>
        <w:t xml:space="preserve"> </w:t>
      </w:r>
      <w:r>
        <w:t xml:space="preserve">action </w:t>
      </w:r>
    </w:p>
    <w:p w14:paraId="5646941C" w14:textId="77777777" w:rsidR="00BB2B23" w:rsidRDefault="00BB2B23" w:rsidP="00BB2B23">
      <w:pPr>
        <w:pStyle w:val="Text"/>
      </w:pPr>
      <w:r>
        <w:t>As outlined in the ‘Health and Environmental Impact’ section, emissions are a result of intended purpose, leakage and sub</w:t>
      </w:r>
      <w:r>
        <w:noBreakHyphen/>
        <w:t xml:space="preserve">standard decommissioning, meaning there is a causal relationship between imports of bulk gas, imports of charged equipment and eventual emissions (as emissions are assumed at the point of production). </w:t>
      </w:r>
    </w:p>
    <w:p w14:paraId="5646941D" w14:textId="77777777" w:rsidR="00BB2B23" w:rsidRDefault="00BB2B23" w:rsidP="00BB2B23">
      <w:pPr>
        <w:pStyle w:val="Text"/>
      </w:pPr>
      <w:r>
        <w:t xml:space="preserve">Therefore, options that (a) reduce imports of gas, whether bulk or in charged equipment, (b) prevent leakage in service, and (c) capture &amp; destroy gas from charged equipment at end of life, could address the problem. </w:t>
      </w:r>
    </w:p>
    <w:p w14:paraId="5646941E" w14:textId="77777777" w:rsidR="00BB2B23" w:rsidRDefault="00BB2B23" w:rsidP="00BB2B23">
      <w:pPr>
        <w:pStyle w:val="Text"/>
      </w:pPr>
      <w:r>
        <w:t>The following Options have been developed in line with this methodology and are explored in depth in this section:</w:t>
      </w:r>
    </w:p>
    <w:p w14:paraId="5646941F" w14:textId="77777777" w:rsidR="00BB2B23" w:rsidRDefault="00BB2B23" w:rsidP="00BB2B23">
      <w:pPr>
        <w:pStyle w:val="Bullets1"/>
      </w:pPr>
      <w:r>
        <w:t>Option 1—No additional regulation</w:t>
      </w:r>
    </w:p>
    <w:p w14:paraId="56469420" w14:textId="77777777" w:rsidR="00BB2B23" w:rsidRDefault="00BB2B23" w:rsidP="00BB2B23">
      <w:pPr>
        <w:pStyle w:val="Bullets1"/>
      </w:pPr>
      <w:r>
        <w:t>Option 2—Legislated HFC phase-down (reduction of imports of bulk gases)</w:t>
      </w:r>
    </w:p>
    <w:p w14:paraId="56469421" w14:textId="77777777" w:rsidR="00BB2B23" w:rsidRDefault="00BB2B23" w:rsidP="00BB2B23">
      <w:pPr>
        <w:pStyle w:val="Bullets2"/>
      </w:pPr>
      <w:r>
        <w:t>Option 2a—North American HFC phase-down proposal</w:t>
      </w:r>
    </w:p>
    <w:p w14:paraId="56469422" w14:textId="77777777" w:rsidR="00BB2B23" w:rsidRDefault="00BB2B23" w:rsidP="00BB2B23">
      <w:pPr>
        <w:pStyle w:val="Bullets2"/>
      </w:pPr>
      <w:r>
        <w:t>Option 2b—Accelerated alternative</w:t>
      </w:r>
    </w:p>
    <w:p w14:paraId="56469423" w14:textId="77777777" w:rsidR="00BB2B23" w:rsidRDefault="00BB2B23" w:rsidP="00BB2B23">
      <w:pPr>
        <w:pStyle w:val="Bullets1"/>
      </w:pPr>
      <w:r>
        <w:t>Option 3—Bans on HFC pre-charged equipment</w:t>
      </w:r>
    </w:p>
    <w:p w14:paraId="56469424" w14:textId="77777777" w:rsidR="00BB2B23" w:rsidRDefault="00BB2B23" w:rsidP="00BB2B23">
      <w:pPr>
        <w:pStyle w:val="Bullets2"/>
      </w:pPr>
      <w:r>
        <w:t>Option 3a—Bans on commercial size supermarket equipment</w:t>
      </w:r>
    </w:p>
    <w:p w14:paraId="56469425" w14:textId="77777777" w:rsidR="00BB2B23" w:rsidRDefault="00BB2B23" w:rsidP="00BB2B23">
      <w:pPr>
        <w:pStyle w:val="Bullets2"/>
      </w:pPr>
      <w:r>
        <w:t>Option 3b—Bans on mobile air conditioning equipment</w:t>
      </w:r>
    </w:p>
    <w:p w14:paraId="56469426" w14:textId="77777777" w:rsidR="00BB2B23" w:rsidRDefault="00BB2B23" w:rsidP="00BB2B23">
      <w:pPr>
        <w:pStyle w:val="Bullets1"/>
      </w:pPr>
      <w:r>
        <w:t xml:space="preserve">Option 4—Domestic equipment controls </w:t>
      </w:r>
    </w:p>
    <w:p w14:paraId="56469427" w14:textId="77777777" w:rsidR="00BB2B23" w:rsidRDefault="00BB2B23" w:rsidP="00BB2B23">
      <w:pPr>
        <w:pStyle w:val="Bullets2"/>
      </w:pPr>
      <w:r>
        <w:t xml:space="preserve">Option 4a—Mandatory leak testing </w:t>
      </w:r>
    </w:p>
    <w:p w14:paraId="56469428" w14:textId="77777777" w:rsidR="00BB2B23" w:rsidRDefault="00BB2B23" w:rsidP="00BB2B23">
      <w:pPr>
        <w:pStyle w:val="Bullets2"/>
      </w:pPr>
      <w:r>
        <w:t>Option 4b—Mandatory maintenance</w:t>
      </w:r>
    </w:p>
    <w:p w14:paraId="56469429" w14:textId="77777777" w:rsidR="00BB2B23" w:rsidRDefault="00BB2B23" w:rsidP="00BB2B23">
      <w:pPr>
        <w:pStyle w:val="Subhead2"/>
      </w:pPr>
      <w:r>
        <w:t>Option 1 Overview—No additional regulation</w:t>
      </w:r>
    </w:p>
    <w:p w14:paraId="5646942A" w14:textId="77777777" w:rsidR="00BB2B23" w:rsidRDefault="00BB2B23" w:rsidP="00BB2B23">
      <w:pPr>
        <w:pStyle w:val="Text"/>
      </w:pPr>
      <w:r>
        <w:t xml:space="preserve">Under this option no additional policies would be adopted to reduce HFCs. Rather a focus on strategic communication and education of the existing emissions reduction policies under the OPSGGM Programme would be undertaken to maximise their emission reduction potential. </w:t>
      </w:r>
    </w:p>
    <w:p w14:paraId="5646942B" w14:textId="77777777" w:rsidR="00BB2B23" w:rsidRDefault="00BB2B23" w:rsidP="00BB2B23">
      <w:pPr>
        <w:pStyle w:val="Text"/>
      </w:pPr>
      <w:r>
        <w:t xml:space="preserve">Option 1 has been analysed by overlaying this emphasis on current policies onto the base case scenario developed for the cost benefit analysis for comparison with Options 2, 3 and 4. The underlying equipment stock and gas bank projections in the reference scenario were obtained from the source database developed by Expert Group. This database models significant technological change over the time period of analysis. </w:t>
      </w:r>
    </w:p>
    <w:p w14:paraId="5646942C" w14:textId="77777777" w:rsidR="00BB2B23" w:rsidRDefault="00BB2B23" w:rsidP="00BB2B23">
      <w:pPr>
        <w:pStyle w:val="Subhead2"/>
      </w:pPr>
      <w:r>
        <w:t xml:space="preserve">Option 2 Overview—Legislated HFC Phase-down (reduction of imports of bulk gases) </w:t>
      </w:r>
    </w:p>
    <w:p w14:paraId="5646942D" w14:textId="77777777" w:rsidR="00BB2B23" w:rsidRDefault="00BB2B23" w:rsidP="00BB2B23">
      <w:pPr>
        <w:pStyle w:val="Text"/>
      </w:pPr>
      <w:r>
        <w:lastRenderedPageBreak/>
        <w:t xml:space="preserve">As outlined in Section 2, HFCs are the predominant SGGs used in Australia’s economy by virtue of them being the most-used alternative to the phased-out ODS. A reduction in HFC emissions, through controls on bulk gas imports (meaning gas imported in a cylinder from which it must be transferred to be used) into the economy, is therefore considered a viable and likely cost effective method of achieving meaningful emissions reductions to contribute to Australia’s broader 2030 targets. </w:t>
      </w:r>
    </w:p>
    <w:p w14:paraId="5646942E" w14:textId="77777777" w:rsidR="00BB2B23" w:rsidRDefault="00BB2B23" w:rsidP="00BB2B23">
      <w:pPr>
        <w:pStyle w:val="Text"/>
      </w:pPr>
      <w:r>
        <w:t>A legislated phase-down of bulk imports of HFCs would work to reduce emissions of HFCs through a decreasing total allowable amount that may be imported into Australia over a prescribed time period. The restriction on imports is administered through a quota system. The phase-down targets all HFCs listed under the United Nations Framework Convention on Climate Change (UNFCCC) and its Kyoto Protocol, meaning 100 per cent of the potential 1.8 per cent emissions that SGGs represent.</w:t>
      </w:r>
    </w:p>
    <w:p w14:paraId="5646942F" w14:textId="77777777" w:rsidR="00BB2B23" w:rsidRDefault="00BB2B23" w:rsidP="00BB2B23">
      <w:pPr>
        <w:pStyle w:val="Text"/>
      </w:pPr>
      <w:r>
        <w:t xml:space="preserve">A restriction in the total quantity of gas in the economy is expected to induce the flow on effects of industry transition to alternative, and lower GWP gases. This method of reducing emissions through a restriction of total allowable imports has a successful track record globally, but specifically in Australia where this type of mechanism was effectively implemented to phase-out methyl bromide, CFCs, and currently HCFCs. </w:t>
      </w:r>
    </w:p>
    <w:p w14:paraId="56469430" w14:textId="77777777" w:rsidR="00BB2B23" w:rsidRDefault="00BB2B23" w:rsidP="00BB2B23">
      <w:pPr>
        <w:pStyle w:val="Text"/>
      </w:pPr>
      <w:r>
        <w:t xml:space="preserve">A phase-down of HFCs has been considered globally through the Montreal Protocol since 2009. While HFCs are traditionally monitored and managed through the UNFCCC and its Kyoto Protocol, it is generally accepted that the phase-out and phase-down mechanisms employed under the Montreal Protocol are the most effective way of reducing emissions of gases used in the types of industries and applications that HFCs are. Several phase-down designs have been developed and discussed at the Montreal Protocol level. This RIS looks at two versions of a phase-down design. </w:t>
      </w:r>
    </w:p>
    <w:p w14:paraId="56469431" w14:textId="77777777" w:rsidR="00BB2B23" w:rsidRDefault="00BB2B23" w:rsidP="00BB2B23">
      <w:pPr>
        <w:pStyle w:val="Text"/>
      </w:pPr>
      <w:r>
        <w:t>The first is the North American Amendment proposal submitted to the Montreal Protocol, considered the most ambitious of all phase-down proposals. The second is an accelerated alternative to the North American Amendment proposal. The greenhouse gas reduction pathways under each HFC phase-down scenario are defined according to different baseline definitions and total quantity step-down rates.</w:t>
      </w:r>
    </w:p>
    <w:p w14:paraId="56469432" w14:textId="77777777" w:rsidR="00BB2B23" w:rsidRDefault="00BB2B23" w:rsidP="00BB2B23">
      <w:pPr>
        <w:pStyle w:val="Subhead3"/>
      </w:pPr>
      <w:r>
        <w:t xml:space="preserve">Option 2a—North American HFC phase-down proposal </w:t>
      </w:r>
    </w:p>
    <w:p w14:paraId="56469433" w14:textId="77777777" w:rsidR="00BB2B23" w:rsidRDefault="00BB2B23" w:rsidP="00BB2B23">
      <w:pPr>
        <w:pStyle w:val="Text"/>
      </w:pPr>
      <w:r>
        <w:t>Under the North American Amendment proposal, the baseline is 9.05 Mt CO</w:t>
      </w:r>
      <w:r>
        <w:rPr>
          <w:rStyle w:val="subscript"/>
        </w:rPr>
        <w:t>2</w:t>
      </w:r>
      <w:r>
        <w:t xml:space="preserve">-e, based on 100 per cent HFC consumption as well as 75 per cent of HCFC consumption between 2011 and 2013 (on the basis that HFCs largely replace HCFCs, the ODS currently being phased-out). </w:t>
      </w:r>
    </w:p>
    <w:p w14:paraId="56469434" w14:textId="77777777" w:rsidR="00BB2B23" w:rsidRDefault="00BB2B23" w:rsidP="00BB2B23">
      <w:pPr>
        <w:pStyle w:val="Text"/>
        <w:rPr>
          <w:spacing w:val="-2"/>
        </w:rPr>
      </w:pPr>
      <w:r>
        <w:rPr>
          <w:spacing w:val="-2"/>
        </w:rPr>
        <w:t>Under this proposal, the phase</w:t>
      </w:r>
      <w:r>
        <w:rPr>
          <w:spacing w:val="-2"/>
        </w:rPr>
        <w:noBreakHyphen/>
        <w:t>down leads to a gradual reduction from current levels to 15 per cent of current levels post 2036. The initial quota is at 90 per cent of the baseline in 2019, 65 per cent in 2024 and 30 per cent by 2030.</w:t>
      </w:r>
    </w:p>
    <w:p w14:paraId="56469435" w14:textId="77777777" w:rsidR="00BB2B23" w:rsidRDefault="00BB2B23" w:rsidP="00BB2B23">
      <w:pPr>
        <w:pStyle w:val="Subhead3"/>
      </w:pPr>
      <w:r>
        <w:t>Option 2b—Accelerated HFC phase-down</w:t>
      </w:r>
    </w:p>
    <w:p w14:paraId="56469436" w14:textId="77777777" w:rsidR="00BB2B23" w:rsidRDefault="00BB2B23" w:rsidP="00BB2B23">
      <w:pPr>
        <w:pStyle w:val="Text"/>
      </w:pPr>
      <w:r>
        <w:t>Under the Accelerated alternative, the baseline is lower at 7.82 Mt CO</w:t>
      </w:r>
      <w:r>
        <w:rPr>
          <w:rStyle w:val="subscript"/>
        </w:rPr>
        <w:t>2</w:t>
      </w:r>
      <w:r>
        <w:t xml:space="preserve">-e, based on the average consumption of HFCs between 2011 and 2013, and not accounting for HCFC imports. </w:t>
      </w:r>
    </w:p>
    <w:p w14:paraId="56469437" w14:textId="77777777" w:rsidR="00BB2B23" w:rsidRDefault="00BB2B23" w:rsidP="00BB2B23">
      <w:pPr>
        <w:pStyle w:val="Text"/>
      </w:pPr>
      <w:r>
        <w:t xml:space="preserve">The accelerated proposal considers stronger early reductions from current levels, smaller more frequent reductions in total quota and finally tapering to the same 15 per cent residual. Specifically, imports are </w:t>
      </w:r>
      <w:r>
        <w:lastRenderedPageBreak/>
        <w:t>frozen at 100 per cent in 2017, reducing to 90 per cent in 2018, 86 per cent in 2020, 78 per cent in 2022, 68 per cent in 2024, 58 per cent in 2026, 49 per cent in 2028 and 35 per cent in 2030. This option allows less total imports over the phase-down period.</w:t>
      </w:r>
    </w:p>
    <w:p w14:paraId="56469438" w14:textId="77777777" w:rsidR="00BB2B23" w:rsidRDefault="00BB2B23" w:rsidP="00BB2B23">
      <w:pPr>
        <w:pStyle w:val="Text"/>
      </w:pPr>
      <w:r>
        <w:t>Figure 7 shows each HFC phase-down in terms of imports, expressed in millions of tonnes of CO</w:t>
      </w:r>
      <w:r>
        <w:rPr>
          <w:rStyle w:val="subscript"/>
        </w:rPr>
        <w:t>2</w:t>
      </w:r>
      <w:r>
        <w:t>-e gases.</w:t>
      </w:r>
    </w:p>
    <w:p w14:paraId="56469439" w14:textId="77777777" w:rsidR="00BB2B23" w:rsidRDefault="00BB2B23" w:rsidP="00BB2B23">
      <w:pPr>
        <w:pStyle w:val="Figuretitle"/>
      </w:pPr>
      <w:r>
        <w:t>Figure 7: Greenhouse gas reduction pathways under HFC phase-down scenario</w:t>
      </w:r>
    </w:p>
    <w:p w14:paraId="5646943A" w14:textId="77777777" w:rsidR="00BB2B23" w:rsidRDefault="00BB2B23" w:rsidP="00BB2B23">
      <w:pPr>
        <w:pStyle w:val="Figuretitle"/>
      </w:pPr>
      <w:r>
        <w:rPr>
          <w:noProof/>
          <w:lang w:val="en-AU"/>
        </w:rPr>
        <w:drawing>
          <wp:inline distT="0" distB="0" distL="0" distR="0" wp14:anchorId="56469B40" wp14:editId="6ED66F1F">
            <wp:extent cx="4380865" cy="2250440"/>
            <wp:effectExtent l="0" t="0" r="635" b="0"/>
            <wp:docPr id="7" name="Picture 7" descr="Figure 7: Greenhouse gas reduction pathways under HFC phase-down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4380865" cy="2250440"/>
                    </a:xfrm>
                    <a:prstGeom prst="rect">
                      <a:avLst/>
                    </a:prstGeom>
                    <a:noFill/>
                    <a:ln w="9525">
                      <a:noFill/>
                      <a:miter lim="800000"/>
                      <a:headEnd/>
                      <a:tailEnd/>
                    </a:ln>
                  </pic:spPr>
                </pic:pic>
              </a:graphicData>
            </a:graphic>
          </wp:inline>
        </w:drawing>
      </w:r>
    </w:p>
    <w:p w14:paraId="5646943B" w14:textId="77777777" w:rsidR="00BB2B23" w:rsidRDefault="00BB2B23" w:rsidP="00BB2B23">
      <w:pPr>
        <w:pStyle w:val="Subhead4"/>
      </w:pPr>
      <w:r>
        <w:t>Common characteristics</w:t>
      </w:r>
    </w:p>
    <w:p w14:paraId="5646943C" w14:textId="77777777" w:rsidR="00BB2B23" w:rsidRDefault="00BB2B23" w:rsidP="00BB2B23">
      <w:pPr>
        <w:pStyle w:val="Text"/>
      </w:pPr>
      <w:r>
        <w:t xml:space="preserve">For purposes of a meaningful CBA comparison, </w:t>
      </w:r>
      <w:r>
        <w:rPr>
          <w:rStyle w:val="TextBold"/>
        </w:rPr>
        <w:t>Options 2a</w:t>
      </w:r>
      <w:r>
        <w:t xml:space="preserve"> and </w:t>
      </w:r>
      <w:r>
        <w:rPr>
          <w:rStyle w:val="TextBold"/>
        </w:rPr>
        <w:t xml:space="preserve">2b </w:t>
      </w:r>
      <w:r>
        <w:t>have been analysed with the following common scenario characteristics:</w:t>
      </w:r>
    </w:p>
    <w:p w14:paraId="5646943D" w14:textId="77777777" w:rsidR="00BB2B23" w:rsidRDefault="00BB2B23" w:rsidP="00BB2B23">
      <w:pPr>
        <w:pStyle w:val="Bullets1"/>
      </w:pPr>
      <w:r>
        <w:t>Base case is that import quotas for HFCs are not in place.</w:t>
      </w:r>
    </w:p>
    <w:p w14:paraId="5646943E" w14:textId="77777777" w:rsidR="00BB2B23" w:rsidRDefault="00BB2B23" w:rsidP="00BB2B23">
      <w:pPr>
        <w:pStyle w:val="Bullets1"/>
      </w:pPr>
      <w:r>
        <w:t>Phase-down would include only bulk imports of HFCs (in transport cylinders or containers).</w:t>
      </w:r>
    </w:p>
    <w:p w14:paraId="5646943F" w14:textId="77777777" w:rsidR="00BB2B23" w:rsidRDefault="00BB2B23" w:rsidP="00BB2B23">
      <w:pPr>
        <w:pStyle w:val="Bullets1"/>
      </w:pPr>
      <w:r>
        <w:t xml:space="preserve">Phase-down would include all HFCs listed under the Kyoto Protocol. </w:t>
      </w:r>
    </w:p>
    <w:p w14:paraId="56469440" w14:textId="77777777" w:rsidR="00BB2B23" w:rsidRDefault="00BB2B23" w:rsidP="00BB2B23">
      <w:pPr>
        <w:pStyle w:val="Bullets1"/>
      </w:pPr>
      <w:r>
        <w:t>It is assumed phase-down will be based on least cost low GWP gas alternatives being adopted. Safety and ease of handling are also important considerations in selecting gas alternatives. However, these decision criteria cannot be easily modelled.</w:t>
      </w:r>
    </w:p>
    <w:p w14:paraId="56469441" w14:textId="77777777" w:rsidR="00BB2B23" w:rsidRDefault="00BB2B23" w:rsidP="00BB2B23">
      <w:pPr>
        <w:pStyle w:val="Bullets1"/>
      </w:pPr>
      <w:r>
        <w:t xml:space="preserve">Implementation of a phase-down and quota allocation system would be through the existing licensing system under the OPSGGM legislation. </w:t>
      </w:r>
    </w:p>
    <w:p w14:paraId="56469442" w14:textId="77777777" w:rsidR="00BB2B23" w:rsidRDefault="00BB2B23" w:rsidP="00BB2B23">
      <w:pPr>
        <w:pStyle w:val="Bullets1"/>
      </w:pPr>
      <w:r>
        <w:t xml:space="preserve">Quota would be allocated through current licensing processes, similar to methods currently in use for the HCFC phase-out. </w:t>
      </w:r>
    </w:p>
    <w:p w14:paraId="56469443" w14:textId="77777777" w:rsidR="00BB2B23" w:rsidRDefault="00BB2B23" w:rsidP="00BB2B23">
      <w:pPr>
        <w:pStyle w:val="Bullets1"/>
      </w:pPr>
      <w:r>
        <w:t xml:space="preserve">Assume no changes to monitoring, compliance and enforcement. </w:t>
      </w:r>
    </w:p>
    <w:p w14:paraId="56469444" w14:textId="77777777" w:rsidR="00BB2B23" w:rsidRDefault="00BB2B23" w:rsidP="00BB2B23">
      <w:pPr>
        <w:pStyle w:val="Subhead4"/>
      </w:pPr>
      <w:r>
        <w:t>Method for quota allocation</w:t>
      </w:r>
    </w:p>
    <w:p w14:paraId="56469445" w14:textId="77777777" w:rsidR="00BB2B23" w:rsidRDefault="00BB2B23" w:rsidP="00BB2B23">
      <w:pPr>
        <w:pStyle w:val="Text"/>
      </w:pPr>
      <w:r>
        <w:t>Quota is auctioned to the highest bidder</w:t>
      </w:r>
    </w:p>
    <w:p w14:paraId="56469446" w14:textId="77777777" w:rsidR="00BB2B23" w:rsidRDefault="00BB2B23" w:rsidP="00BB2B23">
      <w:pPr>
        <w:pStyle w:val="Text"/>
      </w:pPr>
      <w:r>
        <w:t xml:space="preserve">An alternative method for quota was considered, but is not recommended, due to the distributional impacts and the risk of possibly reducing competition, as discussed in </w:t>
      </w:r>
      <w:r>
        <w:rPr>
          <w:rStyle w:val="TextItalic"/>
        </w:rPr>
        <w:t>Section 7: Implementation</w:t>
      </w:r>
      <w:r>
        <w:t>. Under the alternative method, quota is allocated through a hybrid grandfathered/non-grandfathered allocation system (split 90/10). This would be designed as follows:</w:t>
      </w:r>
    </w:p>
    <w:p w14:paraId="56469447" w14:textId="77777777" w:rsidR="00BB2B23" w:rsidRDefault="00BB2B23" w:rsidP="00BB2B23">
      <w:pPr>
        <w:pStyle w:val="Bullets1"/>
      </w:pPr>
      <w:r>
        <w:lastRenderedPageBreak/>
        <w:t>The grandfathered portion would be allocated free of charge to existing players in the market based on their share of historical imports, similar to the current approach for allocating HCFC quota.</w:t>
      </w:r>
    </w:p>
    <w:p w14:paraId="56469448" w14:textId="77777777" w:rsidR="00BB2B23" w:rsidRDefault="00BB2B23" w:rsidP="00BB2B23">
      <w:pPr>
        <w:pStyle w:val="Bullets1"/>
      </w:pPr>
      <w:r>
        <w:t xml:space="preserve">There are currently around 30 bulk importers who would be eligible for grandfathered quota. </w:t>
      </w:r>
    </w:p>
    <w:p w14:paraId="56469449" w14:textId="77777777" w:rsidR="00BB2B23" w:rsidRDefault="00BB2B23" w:rsidP="00BB2B23">
      <w:pPr>
        <w:pStyle w:val="Bullets1"/>
      </w:pPr>
      <w:r>
        <w:t xml:space="preserve">The non-grandfathered quota would be available to any applicant, and also allocated free of charge. An application and assessment process would need to be established in the </w:t>
      </w:r>
      <w:r>
        <w:rPr>
          <w:rStyle w:val="TextItalic"/>
        </w:rPr>
        <w:t>Ozone Protection and Synthetic Greenhouse Gas Management Act 1989</w:t>
      </w:r>
      <w:r>
        <w:t xml:space="preserve"> (the Act). For the purposes of modelling, it is estimated that five new entities would lodge an application for non-grandfathered quota for each quota period, although the European experience indicates a higher number of applications may be received.</w:t>
      </w:r>
    </w:p>
    <w:p w14:paraId="5646944A" w14:textId="77777777" w:rsidR="00BB2B23" w:rsidRDefault="00BB2B23" w:rsidP="00BB2B23">
      <w:pPr>
        <w:pStyle w:val="Bullets1"/>
      </w:pPr>
      <w:r>
        <w:t xml:space="preserve">Quota would be allocated every two years, valid for a two year period. </w:t>
      </w:r>
    </w:p>
    <w:p w14:paraId="5646944B" w14:textId="77777777" w:rsidR="00BB2B23" w:rsidRDefault="00BB2B23" w:rsidP="00BB2B23">
      <w:pPr>
        <w:pStyle w:val="Subhead2"/>
      </w:pPr>
      <w:r>
        <w:t>Option 3 Overview—Bans on imports of HFC pre</w:t>
      </w:r>
      <w:r>
        <w:rPr>
          <w:rStyle w:val="nobreak"/>
        </w:rPr>
        <w:t>-c</w:t>
      </w:r>
      <w:r>
        <w:t>harged</w:t>
      </w:r>
      <w:r>
        <w:rPr>
          <w:rStyle w:val="nobreak"/>
        </w:rPr>
        <w:t xml:space="preserve"> </w:t>
      </w:r>
      <w:r>
        <w:t xml:space="preserve">equipment </w:t>
      </w:r>
    </w:p>
    <w:p w14:paraId="5646944C" w14:textId="77777777" w:rsidR="00BB2B23" w:rsidRDefault="00BB2B23" w:rsidP="00BB2B23">
      <w:pPr>
        <w:pStyle w:val="Text"/>
      </w:pPr>
      <w:r>
        <w:t xml:space="preserve">Bans on imports of specified equipment are considered to be another potentially effective mechanism to cost effectively reduce SGG emissions. Under this policy option, certain types of equipment are banned from import into Australia based on the GWP value of the gases they are pre-charged with and where alternatives are commercially available. Banning certain types of equipment is a direct way to move the market towards alternative and new technologies, as opposed to a phase-down which aims to do so through influencing the behaviour of manufacturers into decisions to move to new (and hopefully low GWP) alternatives. </w:t>
      </w:r>
    </w:p>
    <w:p w14:paraId="5646944D" w14:textId="77777777" w:rsidR="00BB2B23" w:rsidRDefault="00BB2B23" w:rsidP="00BB2B23">
      <w:pPr>
        <w:pStyle w:val="Subhead3"/>
      </w:pPr>
      <w:r>
        <w:t>Overview of Option 3a—supermarket equipment bans</w:t>
      </w:r>
    </w:p>
    <w:p w14:paraId="5646944E" w14:textId="77777777" w:rsidR="00BB2B23" w:rsidRDefault="00BB2B23" w:rsidP="00BB2B23">
      <w:pPr>
        <w:pStyle w:val="Text"/>
      </w:pPr>
      <w:r>
        <w:t>Bans of supermarket equipment containing gas with GWP &gt;2500 from 2020. This scenario has been developed around HFC-404a which, even though it represented only 3 per cent of bulk imports in 2013, its high GWP</w:t>
      </w:r>
      <w:r>
        <w:rPr>
          <w:rStyle w:val="nobreak"/>
        </w:rPr>
        <w:t xml:space="preserve"> </w:t>
      </w:r>
      <w:r>
        <w:t>of 3800 means that it has a significant climate impact. This option was developed for the purpose of this RIS</w:t>
      </w:r>
      <w:r>
        <w:rPr>
          <w:rStyle w:val="nobreak"/>
        </w:rPr>
        <w:t xml:space="preserve"> </w:t>
      </w:r>
      <w:r>
        <w:t>based</w:t>
      </w:r>
      <w:r>
        <w:rPr>
          <w:rStyle w:val="nobreak"/>
        </w:rPr>
        <w:t xml:space="preserve"> </w:t>
      </w:r>
      <w:r>
        <w:t>on an early assessment of its potential to achieve direct emissions reductions of up to 0.28 Mt CO</w:t>
      </w:r>
      <w:r>
        <w:rPr>
          <w:rStyle w:val="subscript"/>
        </w:rPr>
        <w:t>2</w:t>
      </w:r>
      <w:r>
        <w:t xml:space="preserve">-e between 2017 and 2036. </w:t>
      </w:r>
    </w:p>
    <w:p w14:paraId="5646944F" w14:textId="77777777" w:rsidR="00BB2B23" w:rsidRDefault="00BB2B23" w:rsidP="00BB2B23">
      <w:pPr>
        <w:pStyle w:val="Bullets1"/>
      </w:pPr>
      <w:r>
        <w:t>There are presently 215 importers of equipment containing HFC-404A.</w:t>
      </w:r>
    </w:p>
    <w:p w14:paraId="56469450" w14:textId="77777777" w:rsidR="00BB2B23" w:rsidRDefault="00BB2B23" w:rsidP="00BB2B23">
      <w:pPr>
        <w:pStyle w:val="Subhead3"/>
      </w:pPr>
      <w:r>
        <w:t>Overview of Option 3b—mobile air conditioning bans</w:t>
      </w:r>
    </w:p>
    <w:p w14:paraId="56469451" w14:textId="77777777" w:rsidR="00BB2B23" w:rsidRDefault="00BB2B23" w:rsidP="00BB2B23">
      <w:pPr>
        <w:pStyle w:val="Text"/>
      </w:pPr>
      <w:r>
        <w:t>Bans on imports of mobile air conditioning (MAC) equipment containing gas with GWP &gt;150 and with a date of manufacture from 2017. This ban would see the Australian motor vehicle market maintain pace with international markets which have adopted similar policies, noting that motor vehicle air conditioning is seen as a</w:t>
      </w:r>
      <w:r>
        <w:rPr>
          <w:rStyle w:val="nobreak"/>
        </w:rPr>
        <w:t xml:space="preserve"> </w:t>
      </w:r>
      <w:r>
        <w:t>single global platform by motor vehicle manufacturers.</w:t>
      </w:r>
    </w:p>
    <w:p w14:paraId="56469452" w14:textId="77777777" w:rsidR="00BB2B23" w:rsidRDefault="00BB2B23" w:rsidP="00BB2B23">
      <w:pPr>
        <w:pStyle w:val="Bullets1"/>
      </w:pPr>
      <w:r>
        <w:t xml:space="preserve">There are presently 265 importers of automotive air conditioning equipment. </w:t>
      </w:r>
    </w:p>
    <w:p w14:paraId="56469453" w14:textId="77777777" w:rsidR="00BB2B23" w:rsidRDefault="00BB2B23" w:rsidP="00BB2B23">
      <w:pPr>
        <w:pStyle w:val="Text"/>
      </w:pPr>
    </w:p>
    <w:p w14:paraId="56469454" w14:textId="77777777" w:rsidR="00BB2B23" w:rsidRDefault="00BB2B23" w:rsidP="00BB2B23">
      <w:pPr>
        <w:pStyle w:val="Subhead2"/>
      </w:pPr>
      <w:r>
        <w:t>Option 4 Overview—Domestic equipment controls</w:t>
      </w:r>
    </w:p>
    <w:p w14:paraId="56469455" w14:textId="77777777" w:rsidR="00BB2B23" w:rsidRDefault="00BB2B23" w:rsidP="00BB2B23">
      <w:pPr>
        <w:pStyle w:val="Text"/>
      </w:pPr>
      <w:r>
        <w:t xml:space="preserve">The third option that has been developed and assessed for cost-effectiveness is controls on equipment installed in the Australian economy through mandatory maintenance. Mandatory equipment maintenance </w:t>
      </w:r>
      <w:r>
        <w:lastRenderedPageBreak/>
        <w:t xml:space="preserve">requirements could reduce emissions, both directly (through avoided leakage of HFCs) and indirectly via reductions in electricity use. </w:t>
      </w:r>
    </w:p>
    <w:p w14:paraId="56469456" w14:textId="77777777" w:rsidR="00BB2B23" w:rsidRDefault="00BB2B23" w:rsidP="00BB2B23">
      <w:pPr>
        <w:pStyle w:val="Text"/>
      </w:pPr>
      <w:r>
        <w:t xml:space="preserve">Two alternative forms of equipment control are discussed, each with varying levels of stringency with respect to management of leaks: (i) simple leak testing (including repair) and (ii) maintenance (which includes leak testing as well as a range of preventative measures to prevent leaks from occurring and enhance system performance). </w:t>
      </w:r>
    </w:p>
    <w:p w14:paraId="56469457" w14:textId="77777777" w:rsidR="00BB2B23" w:rsidRDefault="00BB2B23" w:rsidP="00BB2B23">
      <w:pPr>
        <w:pStyle w:val="Subhead3"/>
      </w:pPr>
      <w:r>
        <w:t xml:space="preserve">Overview of Option 4a—Mandatory leak testing </w:t>
      </w:r>
    </w:p>
    <w:p w14:paraId="56469458" w14:textId="77777777" w:rsidR="00BB2B23" w:rsidRDefault="00BB2B23" w:rsidP="00BB2B23">
      <w:pPr>
        <w:pStyle w:val="Text"/>
      </w:pPr>
      <w:r>
        <w:t xml:space="preserve">Regular leak testing on all large equipment (remote and supermarket, medium to large air conditioning and large automotive systems). </w:t>
      </w:r>
    </w:p>
    <w:p w14:paraId="56469459" w14:textId="77777777" w:rsidR="00BB2B23" w:rsidRDefault="00BB2B23" w:rsidP="00BB2B23">
      <w:pPr>
        <w:pStyle w:val="Text"/>
      </w:pPr>
      <w:r>
        <w:t>The schedule of leak testing required follows Regulation (EU) No. 517/2014, and varies depending on the size of the gas charge in the equipment.</w:t>
      </w:r>
    </w:p>
    <w:p w14:paraId="5646945A" w14:textId="77777777" w:rsidR="00BB2B23" w:rsidRDefault="00BB2B23" w:rsidP="00BB2B23">
      <w:pPr>
        <w:pStyle w:val="Subhead3"/>
      </w:pPr>
      <w:r>
        <w:t>Overview of Option 4b—Mandatory maintenance</w:t>
      </w:r>
    </w:p>
    <w:p w14:paraId="5646945B" w14:textId="77777777" w:rsidR="00BB2B23" w:rsidRDefault="00BB2B23" w:rsidP="00BB2B23">
      <w:pPr>
        <w:pStyle w:val="Text"/>
      </w:pPr>
      <w:r>
        <w:t>Regular maintenance on all large equipment (remote and supermarkets, medium to large air conditioners and large automotive systems), in accordance with ISO 5149</w:t>
      </w:r>
      <w:r>
        <w:noBreakHyphen/>
        <w:t xml:space="preserve">4. </w:t>
      </w:r>
    </w:p>
    <w:p w14:paraId="5646945C" w14:textId="77777777" w:rsidR="00BB2B23" w:rsidRDefault="00BB2B23" w:rsidP="00BB2B23">
      <w:pPr>
        <w:pStyle w:val="Text"/>
      </w:pPr>
      <w:r>
        <w:t xml:space="preserve">Maintenance would be required to be completed as per the schedule for leak testing and would cover energy performance aspects beyond refrigerants such as fans and filters. </w:t>
      </w:r>
    </w:p>
    <w:p w14:paraId="5646945D" w14:textId="77777777" w:rsidR="00BB2B23" w:rsidRDefault="00BB2B23" w:rsidP="00BB2B23">
      <w:pPr>
        <w:pStyle w:val="Text"/>
      </w:pPr>
    </w:p>
    <w:p w14:paraId="5646945E" w14:textId="77777777" w:rsidR="0005026F" w:rsidRDefault="0005026F" w:rsidP="00BB2B23">
      <w:pPr>
        <w:pStyle w:val="Subhead1"/>
        <w:sectPr w:rsidR="0005026F" w:rsidSect="00B8204E">
          <w:pgSz w:w="11906" w:h="16838"/>
          <w:pgMar w:top="720" w:right="720" w:bottom="720" w:left="720" w:header="425" w:footer="425" w:gutter="0"/>
          <w:pgNumType w:start="1"/>
          <w:cols w:space="708"/>
          <w:titlePg/>
          <w:docGrid w:linePitch="360"/>
        </w:sectPr>
      </w:pPr>
    </w:p>
    <w:p w14:paraId="5646945F" w14:textId="77777777" w:rsidR="00BB2B23" w:rsidRDefault="00BB2B23" w:rsidP="00BB2B23">
      <w:pPr>
        <w:pStyle w:val="Subhead1"/>
      </w:pPr>
      <w:r>
        <w:lastRenderedPageBreak/>
        <w:t>Section 5</w:t>
      </w:r>
    </w:p>
    <w:p w14:paraId="56469460" w14:textId="77777777" w:rsidR="00BB2B23" w:rsidRDefault="00BB2B23" w:rsidP="00BB2B23">
      <w:pPr>
        <w:pStyle w:val="Subhead1"/>
      </w:pPr>
      <w:r>
        <w:t>Impact analysis of each</w:t>
      </w:r>
      <w:r>
        <w:rPr>
          <w:rStyle w:val="nobreak"/>
        </w:rPr>
        <w:t xml:space="preserve"> </w:t>
      </w:r>
      <w:r>
        <w:t>option</w:t>
      </w:r>
    </w:p>
    <w:p w14:paraId="56469461" w14:textId="77777777" w:rsidR="00BB2B23" w:rsidRDefault="00BB2B23" w:rsidP="00BB2B23">
      <w:pPr>
        <w:pStyle w:val="Text"/>
      </w:pPr>
      <w:r>
        <w:t>This section describes the methodology and key assumptions underpinning the impact analysis; and the application of a sensitivity analysis to measures, as applicable.</w:t>
      </w:r>
    </w:p>
    <w:p w14:paraId="56469462" w14:textId="77777777" w:rsidR="00BB2B23" w:rsidRDefault="00BB2B23" w:rsidP="00BB2B23">
      <w:pPr>
        <w:pStyle w:val="Text"/>
      </w:pPr>
      <w:r>
        <w:t>The results of the CBA are summarised using two main metrics:</w:t>
      </w:r>
    </w:p>
    <w:p w14:paraId="56469463" w14:textId="77777777" w:rsidR="00BB2B23" w:rsidRDefault="00BB2B23" w:rsidP="00BB2B23">
      <w:pPr>
        <w:pStyle w:val="Bullets1"/>
      </w:pPr>
      <w:r>
        <w:t>Net present value (NPV), which is the present value of benefits delivered by the policy less the present value of costs incurred. It measures the expected benefit (or cost) to society of implementing each scenario; and</w:t>
      </w:r>
    </w:p>
    <w:p w14:paraId="56469464" w14:textId="77777777" w:rsidR="00BB2B23" w:rsidRDefault="00BB2B23" w:rsidP="00BB2B23">
      <w:pPr>
        <w:pStyle w:val="Bullets1"/>
      </w:pPr>
      <w:r>
        <w:t>Benefit Cost Ratio (B/C), which is the ratio of the present value of benefits to present value of costs.</w:t>
      </w:r>
    </w:p>
    <w:p w14:paraId="56469465" w14:textId="77777777" w:rsidR="00BB2B23" w:rsidRDefault="00BB2B23" w:rsidP="00BB2B23">
      <w:pPr>
        <w:pStyle w:val="Text"/>
      </w:pPr>
      <w:r>
        <w:t xml:space="preserve">The Department commissioned Jacobs Environmental Consultancies and Services to undertake the modelling. The modelling is substantially informed by </w:t>
      </w:r>
      <w:r>
        <w:rPr>
          <w:rStyle w:val="TextItalic"/>
        </w:rPr>
        <w:t>Cold Hard Facts 2: A study of the refrigeration and air conditioning industry in Australia</w:t>
      </w:r>
      <w:r>
        <w:t>, a report commissioned by the Department in 2013. The modelling report draws attention to the high level of uncertainty around the estimated costs and benefits it presents in relation to the maintenance and leak testing options, noting that, “In many cases, the available data from which to estimate costs and benefits was scarce and assumptions had to be made.”</w:t>
      </w:r>
      <w:r>
        <w:rPr>
          <w:rFonts w:ascii="Myriad Pro" w:hAnsi="Myriad Pro" w:cstheme="minorBidi"/>
          <w:sz w:val="24"/>
          <w:szCs w:val="24"/>
        </w:rPr>
        <w:footnoteReference w:id="11"/>
      </w:r>
      <w:r>
        <w:t xml:space="preserve"> </w:t>
      </w:r>
    </w:p>
    <w:p w14:paraId="56469466" w14:textId="77777777" w:rsidR="00BB2B23" w:rsidRDefault="00BB2B23" w:rsidP="00BB2B23">
      <w:pPr>
        <w:pStyle w:val="Subhead2"/>
      </w:pPr>
      <w:r>
        <w:t>Cost-Benefit Analysis—General Framework</w:t>
      </w:r>
    </w:p>
    <w:p w14:paraId="56469467" w14:textId="77777777" w:rsidR="00BB2B23" w:rsidRDefault="00BB2B23" w:rsidP="00BB2B23">
      <w:pPr>
        <w:pStyle w:val="Text"/>
      </w:pPr>
      <w:r>
        <w:t>The CBA involves a comparison of costs and benefits against a reference scenario which represents a business as usual outcome. The timeframe of the CBA is from 2016 to 2030 (the ‘study period’) . This timeframe was selected to align with the emissions estimates that have already been modelled by Expert Group for the Department. Because many of the costs may be incurred up-front and benefits such as avoided greenhouse gas emissions and energy savings would be realised after this evaluation period, it is likely that the CBA will understate benefits.</w:t>
      </w:r>
    </w:p>
    <w:p w14:paraId="56469468" w14:textId="77777777" w:rsidR="00BB2B23" w:rsidRDefault="00BB2B23" w:rsidP="00BB2B23">
      <w:pPr>
        <w:pStyle w:val="Text"/>
      </w:pPr>
      <w:r>
        <w:t>The discount rate used is 7 per cent. The CBA is conducted in line with the recent guidelines published by the OBPR</w:t>
      </w:r>
      <w:r>
        <w:rPr>
          <w:rFonts w:ascii="Myriad Pro" w:hAnsi="Myriad Pro" w:cstheme="minorBidi"/>
          <w:sz w:val="24"/>
          <w:szCs w:val="24"/>
        </w:rPr>
        <w:footnoteReference w:id="12"/>
      </w:r>
      <w:r>
        <w:t xml:space="preserve"> and is consistent with the Regulatory Burden Measure to estimate compliance costs. Unless specified otherwise, all modeling is undertaken in real terms, in 2015 dollars. Sensitivity analysis of key variables appears as the end of this </w:t>
      </w:r>
      <w:r>
        <w:rPr>
          <w:rStyle w:val="TextItalic"/>
        </w:rPr>
        <w:t>Impacts</w:t>
      </w:r>
      <w:r>
        <w:t xml:space="preserve"> section. </w:t>
      </w:r>
    </w:p>
    <w:p w14:paraId="56469469" w14:textId="77777777" w:rsidR="00BB2B23" w:rsidRDefault="00BB2B23" w:rsidP="00BB2B23">
      <w:pPr>
        <w:pStyle w:val="Subhead2"/>
      </w:pPr>
      <w:r>
        <w:t>Cost-Benefit Analysis—Reference Scenario</w:t>
      </w:r>
    </w:p>
    <w:p w14:paraId="5646946A" w14:textId="77777777" w:rsidR="00BB2B23" w:rsidRDefault="00BB2B23" w:rsidP="00BB2B23">
      <w:pPr>
        <w:pStyle w:val="Text"/>
        <w:rPr>
          <w:spacing w:val="-4"/>
        </w:rPr>
      </w:pPr>
      <w:r>
        <w:rPr>
          <w:spacing w:val="-4"/>
        </w:rPr>
        <w:t xml:space="preserve">A reference scenario was developed for comparison with each of the proposed policy scenarios. The underlying equipment stock and gas bank projections in the reference scenario were obtained from the source database </w:t>
      </w:r>
      <w:r>
        <w:rPr>
          <w:spacing w:val="-4"/>
        </w:rPr>
        <w:lastRenderedPageBreak/>
        <w:t xml:space="preserve">developed by Expert Group. The source database models significant technological change over the time period of analysis. </w:t>
      </w:r>
    </w:p>
    <w:p w14:paraId="5646946B" w14:textId="77777777" w:rsidR="00BB2B23" w:rsidRDefault="00BB2B23" w:rsidP="00BB2B23">
      <w:pPr>
        <w:pStyle w:val="Text"/>
      </w:pPr>
      <w:r>
        <w:t xml:space="preserve">Given the range of options being examined, the reference scenario needed to provide annual estimates of various items from the source database. In addition, projections were required for gas prices, maintenance and leak testing activity, and end use licences issued for refrigeration and air conditioning and fire protection equipment. Each of these variables is projected between 2015 and 2030, based on available evidence and reasonable assumptions. </w:t>
      </w:r>
    </w:p>
    <w:p w14:paraId="5646946C" w14:textId="77777777" w:rsidR="00BB2B23" w:rsidRDefault="00BB2B23" w:rsidP="00BB2B23">
      <w:pPr>
        <w:pStyle w:val="Subhead2"/>
      </w:pPr>
      <w:r>
        <w:t>Cost-Benefit Analysis—Assumptions and methodology</w:t>
      </w:r>
      <w:r>
        <w:rPr>
          <w:rFonts w:ascii="Myriad Pro" w:hAnsi="Myriad Pro" w:cstheme="minorBidi"/>
          <w:sz w:val="24"/>
          <w:szCs w:val="24"/>
        </w:rPr>
        <w:footnoteReference w:id="13"/>
      </w:r>
    </w:p>
    <w:p w14:paraId="5646946D" w14:textId="77777777" w:rsidR="00BB2B23" w:rsidRDefault="00BB2B23" w:rsidP="00BB2B23">
      <w:pPr>
        <w:pStyle w:val="Text"/>
      </w:pPr>
      <w:r>
        <w:t>This section describes the assumptions and methodology underlying calculation of the cost and benefit in each scenario. In all cases costs and benefits are compared to the reference scenario to deduce net benefit of</w:t>
      </w:r>
      <w:r>
        <w:rPr>
          <w:rStyle w:val="nobreak"/>
        </w:rPr>
        <w:t xml:space="preserve"> </w:t>
      </w:r>
      <w:r>
        <w:t>each scenario.</w:t>
      </w:r>
    </w:p>
    <w:p w14:paraId="5646946E" w14:textId="77777777" w:rsidR="00BB2B23" w:rsidRDefault="00BB2B23" w:rsidP="00BB2B23">
      <w:pPr>
        <w:pStyle w:val="Subhead3"/>
      </w:pPr>
      <w:r>
        <w:t>Costs and benefits data</w:t>
      </w:r>
    </w:p>
    <w:p w14:paraId="5646946F" w14:textId="77777777" w:rsidR="00BB2B23" w:rsidRDefault="00BB2B23" w:rsidP="00BB2B23">
      <w:pPr>
        <w:pStyle w:val="Text"/>
      </w:pPr>
      <w:r>
        <w:t>Costs and benefits were classified in the following categories:</w:t>
      </w:r>
    </w:p>
    <w:p w14:paraId="56469470" w14:textId="77777777" w:rsidR="00BB2B23" w:rsidRDefault="00BB2B23" w:rsidP="00BB2B23">
      <w:pPr>
        <w:pStyle w:val="Bullets1"/>
      </w:pPr>
      <w:r>
        <w:t>Costs of abatement. These are likely to reduce under most scenarios which either reduce the amount of leakage of HFCs or reduce the GWP of HFCs.The CBA model applies a $14/tonne abatement price in 2014 which rises by 3 per cent every year to $22/tonne in 2030. This reflects the increasing cost of achieving emission reductions over time, using a starting cost consistent with the cost of emission reductions achieved under round 1 of the Emission Reductions Fund ($13.95/tonne)</w:t>
      </w:r>
      <w:r>
        <w:rPr>
          <w:rFonts w:ascii="Myriad Pro" w:hAnsi="Myriad Pro" w:cstheme="minorBidi"/>
          <w:sz w:val="24"/>
          <w:szCs w:val="24"/>
        </w:rPr>
        <w:footnoteReference w:id="14"/>
      </w:r>
      <w:r>
        <w:t xml:space="preserve">. </w:t>
      </w:r>
    </w:p>
    <w:p w14:paraId="56469471" w14:textId="77777777" w:rsidR="00BB2B23" w:rsidRDefault="00BB2B23" w:rsidP="00BB2B23">
      <w:pPr>
        <w:pStyle w:val="Bullets1"/>
      </w:pPr>
      <w:r>
        <w:t>Energy costs. These are likely to reduce for most scenarios. Energy reduction occurs when HFC leakage is reduced (i.e. improving the efficiency of the equipment) and can also occur when standard gas options are replaced with certain alternatives in new equipment. Energy costs are likely to increase if regulation is removed. These costs will be incurred by equipment owners. The CBA model calculates electricity cost savings by applying baseline energy costs across nine different equipment types (ranging from $100–$65,550 per year), nominating changes to energy costs for two equipment types (refrigerated remote and supermarket) based on the improved efficiency associated with low GWP alternatives. Jacobs used their own energy market model for retail electricity prices, which has been developed using a range of price drivers including carbon prices, fuel costs, unit inefficiencies and capital costs of new plant. Specifically, the electricity cost in the CBA model moves from $22.24/MWh in 2016 to $25.43 in 2030 for residential, and from $12.8</w:t>
      </w:r>
      <w:r>
        <w:rPr>
          <w:rStyle w:val="nobreak"/>
        </w:rPr>
        <w:t xml:space="preserve">3/MWh </w:t>
      </w:r>
      <w:r>
        <w:t>to $14.70 for large commercial.</w:t>
      </w:r>
    </w:p>
    <w:p w14:paraId="56469472" w14:textId="77777777" w:rsidR="00BB2B23" w:rsidRDefault="00BB2B23" w:rsidP="00BB2B23">
      <w:pPr>
        <w:pStyle w:val="Bullets1"/>
      </w:pPr>
      <w:r>
        <w:t>Capital costs. Where equipment is replaced at the end of life with low GWP alternatives, capital costs could increase if equipment is more expensive when designed for certain types of low GWP gases. For example, equipment that uses CO</w:t>
      </w:r>
      <w:r>
        <w:rPr>
          <w:rStyle w:val="subscript"/>
        </w:rPr>
        <w:t>2</w:t>
      </w:r>
      <w:r>
        <w:t xml:space="preserve"> is typically more expensive because the properties of the gas create additional pressurisation requirements. These costs will be incurred by the refrigeration and air conditioning and/or fire protection industries, and be passed on to equipment owners. The CBA model applies base year capital costs </w:t>
      </w:r>
      <w:r>
        <w:lastRenderedPageBreak/>
        <w:t>for nine different equipment types that range from $1000 for domestic refrigeration to $488,000 for supermarket RCFC. Small and large MAC was expected to become more expensive in the move to low GWP</w:t>
      </w:r>
      <w:r>
        <w:rPr>
          <w:rStyle w:val="nobreak"/>
        </w:rPr>
        <w:t xml:space="preserve"> </w:t>
      </w:r>
      <w:r>
        <w:t>alternatives, with a respective 5 per cent and 10 per cent capital cost increase reflected in the CBA model.</w:t>
      </w:r>
    </w:p>
    <w:p w14:paraId="56469473" w14:textId="77777777" w:rsidR="00BB2B23" w:rsidRDefault="00BB2B23" w:rsidP="00BB2B23">
      <w:pPr>
        <w:pStyle w:val="Bullets1"/>
      </w:pPr>
      <w:r>
        <w:t>Maintenance costs. In the case of scenarios in which equipment is replaced at the end of life with low GWP</w:t>
      </w:r>
      <w:r>
        <w:rPr>
          <w:rStyle w:val="nobreak"/>
        </w:rPr>
        <w:t xml:space="preserve"> </w:t>
      </w:r>
      <w:r>
        <w:t>alternatives, maintenance costs could increase as a result of changes to flammability and thermodynamic properties. In the case of scenarios which increase leak detection and maintenance from business as usual, these costs will include additional time costs of equipment handlers. Maintenance costs will be incurred by the refrigeration and air conditioning and/or fire protection industries and will be passed on to equipment owners. The CBA model applies base year maintenance costs for nine different equipment types that range from $10 for domestic refrigeration to $14,640 for supermarket RCFC. The maintenance regimes for small and large MAC equipment is expected to become more expensive, with a respective 9 per cent and 14 per cent maintenance cost increase reflected in the CBA model.</w:t>
      </w:r>
    </w:p>
    <w:p w14:paraId="56469474" w14:textId="77777777" w:rsidR="00BB2B23" w:rsidRDefault="00BB2B23" w:rsidP="00BB2B23">
      <w:pPr>
        <w:pStyle w:val="Bullets1"/>
      </w:pPr>
      <w:r>
        <w:t>Gas costs. Reducing the quota of HFCs that are imported into the country will increase prices and see a corresponding increase in demand for an alternative. These costs will be incurred by the refrigeration and air conditioning and/or fire protection industries, and will be passed on to equipment owners. If leakage increases under reduced regulation, these costs could also rise. However, the CBA assumes that HFC gas prices will not change because the nature of the phase-down is such that it allows the market to choose where the phase down can most efficiently be undertaken. This approach was undertaken because it simplifies the modelling and makes the results more transparent and explainable. Two species of HFC alternatives for which a price change is modelled in the CBA are ‘HFO1234yf’ (which changes from $150/kg in 2016 to $26.9/kg in 2030) and ‘HFO New Blends’ which changes from $50/kg in 2016 to $30/kg in 2030.</w:t>
      </w:r>
    </w:p>
    <w:p w14:paraId="56469475" w14:textId="77777777" w:rsidR="00BB2B23" w:rsidRDefault="00BB2B23" w:rsidP="00BB2B23">
      <w:pPr>
        <w:pStyle w:val="Bullets1"/>
      </w:pPr>
      <w:r>
        <w:t xml:space="preserve">Administration costs. For the purpose of this analysis, these costs describe regular ongoing costs which underpin management, monitoring, reporting, and control under each scenario. Administration costs are presently incurred by the Australian Government and refrigeration and air conditioning and fire protection industry licensees. Depending on the scenario under consideration, the distribution of administration costs could change between the Australian Government, the State and Territory governments, and refrigeration and air conditioning and fire protection licensees. The CBA assumes that the value of a bulk importer’s and equipment owner’s time is $50/hr. </w:t>
      </w:r>
    </w:p>
    <w:p w14:paraId="56469476" w14:textId="77777777" w:rsidR="00BB2B23" w:rsidRDefault="00BB2B23" w:rsidP="00BB2B23">
      <w:pPr>
        <w:pStyle w:val="Bullets1"/>
      </w:pPr>
      <w:r>
        <w:t>Transitional costs. Transitional costs are incurred prior to, or in the first few years of any scenario, and cover the cost of stakeholder adjustment to each scenario’s conditions relative to current conditions. Increased transaction costs for equipment owners are expected as they will likely have to undertake research to determine the most appropriate low GWP alternative. The CBA model assumes that the 21 existing bulk importers and 5 new entrants would each require eight hours to understand the change in regulations, plan for which gases to import and liaise with key customers. The 17,241 refrigerant traders were assumed to require an additional four hours each to understand the phase down and begin identifying alternative gases to</w:t>
      </w:r>
      <w:r>
        <w:rPr>
          <w:rStyle w:val="nobreak"/>
        </w:rPr>
        <w:t xml:space="preserve"> </w:t>
      </w:r>
      <w:r>
        <w:t xml:space="preserve">promote to customers. </w:t>
      </w:r>
    </w:p>
    <w:p w14:paraId="56469477" w14:textId="77777777" w:rsidR="00BB2B23" w:rsidRDefault="00BB2B23" w:rsidP="00BB2B23">
      <w:pPr>
        <w:pStyle w:val="Subhead2"/>
      </w:pPr>
      <w:r>
        <w:t>Impact analysis Option 1—No additional regulation</w:t>
      </w:r>
    </w:p>
    <w:p w14:paraId="56469478" w14:textId="77777777" w:rsidR="00BB2B23" w:rsidRDefault="00BB2B23" w:rsidP="00BB2B23">
      <w:pPr>
        <w:pStyle w:val="Text"/>
      </w:pPr>
      <w:r>
        <w:t xml:space="preserve">Option 1 represents the scenario where no new policy intervention is undertaken and there is an emphasis on uptake of existing policies through education. This scenario was modelled as the reference scenario for Options 2, 3 and 4. Figure 8 displays the reference scenario. It has the following features: </w:t>
      </w:r>
    </w:p>
    <w:p w14:paraId="56469479" w14:textId="77777777" w:rsidR="00BB2B23" w:rsidRDefault="00BB2B23" w:rsidP="00BB2B23">
      <w:pPr>
        <w:pStyle w:val="Bullets1"/>
      </w:pPr>
      <w:r>
        <w:lastRenderedPageBreak/>
        <w:t>A steady decline in ODS imports consistent with the legislated phase-out of these substances under the Montreal Protocol and the accelerated phase-out in Australia, continuing impacting on the transition to alternatives, including HFCs.</w:t>
      </w:r>
    </w:p>
    <w:p w14:paraId="5646947A" w14:textId="77777777" w:rsidR="00BB2B23" w:rsidRDefault="00BB2B23" w:rsidP="00BB2B23">
      <w:pPr>
        <w:pStyle w:val="Bullets1"/>
      </w:pPr>
      <w:r>
        <w:t>A gradual decline in the volumes of high GWP HFC imports, despite growth in the stock of equipment such as small and medium air conditioning charged with HFC-410A.</w:t>
      </w:r>
    </w:p>
    <w:p w14:paraId="5646947B" w14:textId="77777777" w:rsidR="00BB2B23" w:rsidRDefault="00BB2B23" w:rsidP="00BB2B23">
      <w:pPr>
        <w:pStyle w:val="Bullets1"/>
      </w:pPr>
      <w:r>
        <w:t>Growth of low GWP import substances (CO</w:t>
      </w:r>
      <w:r>
        <w:rPr>
          <w:rStyle w:val="subscript"/>
        </w:rPr>
        <w:t>2</w:t>
      </w:r>
      <w:r>
        <w:t>, hydrofluoro</w:t>
      </w:r>
      <w:r>
        <w:noBreakHyphen/>
        <w:t>olefins (HFO) and HFO blends, hydrocarbons) in equipment post 2018.</w:t>
      </w:r>
    </w:p>
    <w:p w14:paraId="5646947C" w14:textId="77777777" w:rsidR="00BB2B23" w:rsidRDefault="00BB2B23" w:rsidP="00BB2B23">
      <w:pPr>
        <w:pStyle w:val="Bullets1"/>
      </w:pPr>
      <w:r>
        <w:t>A high degree of diversification in the use of refrigerant gases, especially in the supermarket industry, with projected sales mixes including a range of hydrocarbons, CO</w:t>
      </w:r>
      <w:r>
        <w:rPr>
          <w:rStyle w:val="subscript"/>
        </w:rPr>
        <w:t>2</w:t>
      </w:r>
      <w:r>
        <w:t>, HFCs, HFOs and blends.</w:t>
      </w:r>
    </w:p>
    <w:p w14:paraId="5646947D" w14:textId="77777777" w:rsidR="00BB2B23" w:rsidRDefault="00BB2B23" w:rsidP="00BB2B23">
      <w:pPr>
        <w:pStyle w:val="Text"/>
        <w:ind w:right="57"/>
      </w:pPr>
      <w:r>
        <w:t>The international situation for HFCs is likely to change. The United States of America, Canada and Mexico have put forward the North American Amendment proposal to the Montreal Protocol which, if adopted, would introduce a global HFC phase-down. The amendment proposal is supported by recent agreements between USA</w:t>
      </w:r>
      <w:r>
        <w:rPr>
          <w:rStyle w:val="nobreak"/>
        </w:rPr>
        <w:t xml:space="preserve"> </w:t>
      </w:r>
      <w:r>
        <w:t xml:space="preserve">and China, and between the G-20 group of countries. In addition the European Union has introduced a HFC phase-down from 2015. The Parties to the Montreal Protocol agreed in November 2015 to work to agreeing a HFC phase-down in 2016. </w:t>
      </w:r>
    </w:p>
    <w:p w14:paraId="5646947E" w14:textId="77777777" w:rsidR="00BB2B23" w:rsidRDefault="00BB2B23" w:rsidP="00BB2B23">
      <w:pPr>
        <w:pStyle w:val="Text"/>
      </w:pPr>
      <w:r>
        <w:t>The reference scenario concludes that emissions are likely to decline over the projections period without further policy intervention, however potential future changes such as these introduce a high degree of uncertainty around the estimates.</w:t>
      </w:r>
    </w:p>
    <w:p w14:paraId="5646947F" w14:textId="77777777" w:rsidR="00BB2B23" w:rsidRDefault="00BB2B23" w:rsidP="00BB2B23">
      <w:pPr>
        <w:pStyle w:val="Figuretitle"/>
      </w:pPr>
      <w:r>
        <w:t>Figure 8: Projected emissions, base case, excluding HCFCs, Mt CO</w:t>
      </w:r>
      <w:r>
        <w:rPr>
          <w:rStyle w:val="subscript"/>
        </w:rPr>
        <w:t>2</w:t>
      </w:r>
      <w:r>
        <w:t>-e</w:t>
      </w:r>
    </w:p>
    <w:p w14:paraId="56469480" w14:textId="77777777" w:rsidR="00BB2B23" w:rsidRDefault="00BB2B23" w:rsidP="00BB2B23">
      <w:pPr>
        <w:pStyle w:val="Text"/>
        <w:rPr>
          <w:rStyle w:val="TextItalic"/>
        </w:rPr>
      </w:pPr>
      <w:r>
        <w:rPr>
          <w:i/>
          <w:iCs/>
          <w:noProof/>
          <w:lang w:eastAsia="en-AU"/>
        </w:rPr>
        <w:drawing>
          <wp:inline distT="0" distB="0" distL="0" distR="0" wp14:anchorId="56469B42" wp14:editId="7D625642">
            <wp:extent cx="4563745" cy="2258060"/>
            <wp:effectExtent l="0" t="0" r="8255" b="8890"/>
            <wp:docPr id="8" name="Picture 8" descr="Figure 8: Projected emissions, base case, excluding HCFCs, Mt CO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4563745" cy="2258060"/>
                    </a:xfrm>
                    <a:prstGeom prst="rect">
                      <a:avLst/>
                    </a:prstGeom>
                    <a:noFill/>
                    <a:ln w="9525">
                      <a:noFill/>
                      <a:miter lim="800000"/>
                      <a:headEnd/>
                      <a:tailEnd/>
                    </a:ln>
                  </pic:spPr>
                </pic:pic>
              </a:graphicData>
            </a:graphic>
          </wp:inline>
        </w:drawing>
      </w:r>
    </w:p>
    <w:p w14:paraId="56469481" w14:textId="77777777" w:rsidR="00BB2B23" w:rsidRPr="00AC69B2" w:rsidRDefault="00BB2B23" w:rsidP="00AC69B2">
      <w:pPr>
        <w:pStyle w:val="FootnoteText1"/>
        <w:rPr>
          <w:rStyle w:val="FootnoteReference1"/>
          <w:vertAlign w:val="baseline"/>
        </w:rPr>
      </w:pPr>
      <w:r w:rsidRPr="00AC69B2">
        <w:rPr>
          <w:rStyle w:val="FootnoteReference1"/>
          <w:vertAlign w:val="baseline"/>
        </w:rPr>
        <w:t>Source: Expert Group source database</w:t>
      </w:r>
    </w:p>
    <w:p w14:paraId="56469482" w14:textId="77777777" w:rsidR="00BB2B23" w:rsidRDefault="00BB2B23" w:rsidP="00BB2B23">
      <w:pPr>
        <w:pStyle w:val="Subhead3"/>
      </w:pPr>
      <w:r>
        <w:t>Impact on stakeholders</w:t>
      </w:r>
    </w:p>
    <w:p w14:paraId="56469483" w14:textId="77777777" w:rsidR="00BB2B23" w:rsidRDefault="00BB2B23" w:rsidP="00BB2B23">
      <w:pPr>
        <w:pStyle w:val="Text"/>
      </w:pPr>
      <w:r>
        <w:t>Option 1 represents an uncertain future for Australian industry that use HFCs in any capacity, this ranges from importers, manufacturers, wholesalers to the building industry and the cold food industry, through to technicians installing and maintaining the equipment.</w:t>
      </w:r>
    </w:p>
    <w:p w14:paraId="56469484" w14:textId="77777777" w:rsidR="00BB2B23" w:rsidRDefault="00BB2B23" w:rsidP="00BB2B23">
      <w:pPr>
        <w:pStyle w:val="Text"/>
      </w:pPr>
      <w:r>
        <w:t xml:space="preserve">As Australia is a technology taker, a scenario in which the import of HFCs is not formally regulated opens the Australian industry up to outcomes of policy decisions made by other countries without any known ‘stop point’. Stakeholders have voiced concern that in this scenario, Australia could become the global ‘dumping ground’ of old technology. As other countries regulate to move their industries to newer technologies, </w:t>
      </w:r>
      <w:r>
        <w:lastRenderedPageBreak/>
        <w:t xml:space="preserve">Australia could in this scenario become a likely target for manufacturers sending their old technology equipment which they cannot sell in regulated markets. </w:t>
      </w:r>
    </w:p>
    <w:p w14:paraId="56469485" w14:textId="77777777" w:rsidR="00BB2B23" w:rsidRDefault="00BB2B23" w:rsidP="00BB2B23">
      <w:pPr>
        <w:pStyle w:val="Text"/>
      </w:pPr>
      <w:r>
        <w:t xml:space="preserve">The rate of change in this scenario is unpredictable, with a likely initial influx of old technology, delay in transition to new technologies, and a build up of this old technology in the Australian economy—further delaying a transition and extending the requirement for higher emitting gases to service old equipment. </w:t>
      </w:r>
    </w:p>
    <w:p w14:paraId="56469486" w14:textId="77777777" w:rsidR="00BB2B23" w:rsidRDefault="00BB2B23" w:rsidP="00BB2B23">
      <w:pPr>
        <w:pStyle w:val="Text"/>
      </w:pPr>
      <w:r>
        <w:t>Likely expected impacts on the main groups of stakeholders include:</w:t>
      </w:r>
    </w:p>
    <w:p w14:paraId="56469487" w14:textId="77777777" w:rsidR="00BB2B23" w:rsidRDefault="00BB2B23" w:rsidP="00BB2B23">
      <w:pPr>
        <w:pStyle w:val="Subhead4"/>
      </w:pPr>
      <w:r>
        <w:t>Importers, manufacturers, wholesalers</w:t>
      </w:r>
    </w:p>
    <w:p w14:paraId="56469488" w14:textId="77777777" w:rsidR="00BB2B23" w:rsidRDefault="00BB2B23" w:rsidP="00BB2B23">
      <w:pPr>
        <w:pStyle w:val="Bullets1"/>
        <w:spacing w:before="170"/>
      </w:pPr>
      <w:r>
        <w:t>In the context of global regulation, the expectation that future Australian governments are likely to regulate HFCs may reduce investment certainty.</w:t>
      </w:r>
    </w:p>
    <w:p w14:paraId="56469489" w14:textId="77777777" w:rsidR="00BB2B23" w:rsidRDefault="00BB2B23" w:rsidP="00BB2B23">
      <w:pPr>
        <w:pStyle w:val="Bullets1"/>
      </w:pPr>
      <w:r>
        <w:t>Cost impacts from inability to plan their business model and required stock levels with any certainty.</w:t>
      </w:r>
    </w:p>
    <w:p w14:paraId="5646948A" w14:textId="77777777" w:rsidR="00BB2B23" w:rsidRDefault="00BB2B23" w:rsidP="00BB2B23">
      <w:pPr>
        <w:pStyle w:val="Bullets1"/>
      </w:pPr>
      <w:r>
        <w:t xml:space="preserve">Induces flow on effects from importers through to wholesalers. </w:t>
      </w:r>
    </w:p>
    <w:p w14:paraId="5646948B" w14:textId="77777777" w:rsidR="00BB2B23" w:rsidRDefault="00BB2B23" w:rsidP="00BB2B23">
      <w:pPr>
        <w:pStyle w:val="Subhead4"/>
      </w:pPr>
      <w:r>
        <w:t>Building and cold food industries</w:t>
      </w:r>
    </w:p>
    <w:p w14:paraId="5646948C" w14:textId="77777777" w:rsidR="00BB2B23" w:rsidRDefault="00BB2B23" w:rsidP="00BB2B23">
      <w:pPr>
        <w:pStyle w:val="Bullets1"/>
        <w:spacing w:before="170"/>
      </w:pPr>
      <w:r>
        <w:t xml:space="preserve">Likely cost impacts from not being able to choose equipment for installation with certainty relating to their quality and likely longevity. </w:t>
      </w:r>
    </w:p>
    <w:p w14:paraId="5646948D" w14:textId="77777777" w:rsidR="00BB2B23" w:rsidRDefault="00BB2B23" w:rsidP="00BB2B23">
      <w:pPr>
        <w:pStyle w:val="Bullets1"/>
      </w:pPr>
      <w:r>
        <w:t>Likely cost impacts from increased price of maintenance due both to old technology (increasing frequency of maintenance required) and cost of labour (increasing due to flow on impacts to technicians in wider range of required training and occupational risks).</w:t>
      </w:r>
    </w:p>
    <w:p w14:paraId="5646948E" w14:textId="77777777" w:rsidR="00BB2B23" w:rsidRDefault="00BB2B23" w:rsidP="00BB2B23">
      <w:pPr>
        <w:pStyle w:val="Subhead4"/>
      </w:pPr>
      <w:r>
        <w:t>Technicians</w:t>
      </w:r>
    </w:p>
    <w:p w14:paraId="5646948F" w14:textId="77777777" w:rsidR="00BB2B23" w:rsidRDefault="00BB2B23" w:rsidP="00BB2B23">
      <w:pPr>
        <w:pStyle w:val="Bullets1"/>
        <w:spacing w:before="170"/>
      </w:pPr>
      <w:r>
        <w:t xml:space="preserve">Inability to plan their business model adequately with uncertainty around training and regulatory requirements for gases they may work with. </w:t>
      </w:r>
    </w:p>
    <w:p w14:paraId="56469490" w14:textId="77777777" w:rsidR="00BB2B23" w:rsidRDefault="00BB2B23" w:rsidP="00BB2B23">
      <w:pPr>
        <w:pStyle w:val="Bullets1"/>
      </w:pPr>
      <w:r>
        <w:t xml:space="preserve">Increased health and safety risks due to highly diversified range of gases in the market. If not adequately trained in the handling of all possibilities, risks rise. </w:t>
      </w:r>
    </w:p>
    <w:p w14:paraId="56469491" w14:textId="77777777" w:rsidR="00BB2B23" w:rsidRDefault="00BB2B23" w:rsidP="00BB2B23">
      <w:pPr>
        <w:pStyle w:val="Bullets1"/>
      </w:pPr>
      <w:r>
        <w:t>Cost impacts of minimising these risks through additional training and research.</w:t>
      </w:r>
    </w:p>
    <w:p w14:paraId="56469492" w14:textId="77777777" w:rsidR="00BB2B23" w:rsidRDefault="00BB2B23" w:rsidP="00BB2B23">
      <w:pPr>
        <w:pStyle w:val="Subhead4"/>
      </w:pPr>
      <w:r>
        <w:t>Consumers</w:t>
      </w:r>
    </w:p>
    <w:p w14:paraId="56469493" w14:textId="77777777" w:rsidR="00BB2B23" w:rsidRDefault="00BB2B23" w:rsidP="00BB2B23">
      <w:pPr>
        <w:pStyle w:val="Bullets1"/>
        <w:spacing w:before="170"/>
      </w:pPr>
      <w:r>
        <w:t>Similar impacts are expected to those to the building and cold food industries, as consumer goods are likely to</w:t>
      </w:r>
      <w:r>
        <w:rPr>
          <w:rStyle w:val="nobreak"/>
        </w:rPr>
        <w:t xml:space="preserve"> </w:t>
      </w:r>
      <w:r>
        <w:t xml:space="preserve">track in the same direction as commercial goods. </w:t>
      </w:r>
    </w:p>
    <w:p w14:paraId="56469494" w14:textId="77777777" w:rsidR="00BB2B23" w:rsidRDefault="00BB2B23" w:rsidP="00BB2B23">
      <w:pPr>
        <w:pStyle w:val="Subhead2"/>
      </w:pPr>
      <w:r>
        <w:t>Option 2—Legislated HFC phase-down (reduction of imports of bulk gases)</w:t>
      </w:r>
    </w:p>
    <w:p w14:paraId="56469495" w14:textId="77777777" w:rsidR="00BB2B23" w:rsidRDefault="00BB2B23" w:rsidP="00BB2B23">
      <w:pPr>
        <w:pStyle w:val="Subhead5"/>
      </w:pPr>
      <w:r>
        <w:t xml:space="preserve">Option 2a—North American HFC phase-down proposal </w:t>
      </w:r>
    </w:p>
    <w:p w14:paraId="56469496" w14:textId="77777777" w:rsidR="00BB2B23" w:rsidRDefault="00BB2B23" w:rsidP="00BB2B23">
      <w:pPr>
        <w:pStyle w:val="Subhead5"/>
      </w:pPr>
      <w:r>
        <w:t xml:space="preserve">Option 2b—Accelerated HFC phase-down </w:t>
      </w:r>
    </w:p>
    <w:p w14:paraId="56469497" w14:textId="77777777" w:rsidR="00BB2B23" w:rsidRDefault="00BB2B23" w:rsidP="00BB2B23">
      <w:pPr>
        <w:pStyle w:val="Text"/>
      </w:pPr>
      <w:r>
        <w:t>The key impact from implementation of Option 2 as a whole, whether through the specific mechanisms of Options 2a or 2b, is to reduce the amount of bulk HFC available to potential users in a predictable way. This</w:t>
      </w:r>
      <w:r>
        <w:rPr>
          <w:rStyle w:val="nobreak"/>
        </w:rPr>
        <w:t xml:space="preserve"> </w:t>
      </w:r>
      <w:r>
        <w:t xml:space="preserve">scarcity effect may be felt in the form of higher prices, or the expectation of higher future prices for HFC. </w:t>
      </w:r>
    </w:p>
    <w:p w14:paraId="56469498" w14:textId="77777777" w:rsidR="00BB2B23" w:rsidRDefault="00BB2B23" w:rsidP="00BB2B23">
      <w:pPr>
        <w:pStyle w:val="Text"/>
      </w:pPr>
      <w:r>
        <w:lastRenderedPageBreak/>
        <w:t>Either option is expected to lead to market adaptation through reducing supply of existing gases and exploration of alternative options. This includes importing equipment that uses lower GWP gases so that equipment could be serviced into the future. At end of life, existing systems would be replaced with equipment that uses</w:t>
      </w:r>
      <w:r>
        <w:rPr>
          <w:rStyle w:val="nobreak"/>
        </w:rPr>
        <w:t xml:space="preserve"> </w:t>
      </w:r>
      <w:r>
        <w:t>lower</w:t>
      </w:r>
      <w:r>
        <w:rPr>
          <w:rStyle w:val="nobreak"/>
        </w:rPr>
        <w:t xml:space="preserve"> </w:t>
      </w:r>
      <w:r>
        <w:t xml:space="preserve">GWP gases. </w:t>
      </w:r>
    </w:p>
    <w:p w14:paraId="56469499" w14:textId="77777777" w:rsidR="00BB2B23" w:rsidRDefault="00BB2B23" w:rsidP="00BB2B23">
      <w:pPr>
        <w:pStyle w:val="Subhead3"/>
      </w:pPr>
      <w:r>
        <w:t>Anticipated benefits (Options 2a and 2b)</w:t>
      </w:r>
    </w:p>
    <w:p w14:paraId="5646949A" w14:textId="77777777" w:rsidR="00BB2B23" w:rsidRDefault="00BB2B23" w:rsidP="00BB2B23">
      <w:pPr>
        <w:pStyle w:val="Bullets1"/>
        <w:spacing w:before="170"/>
      </w:pPr>
      <w:r>
        <w:t>Option 2a is expected to result in emissions reduction of approximately 3.99 Mt CO</w:t>
      </w:r>
      <w:r>
        <w:rPr>
          <w:rStyle w:val="subscript"/>
        </w:rPr>
        <w:t>2</w:t>
      </w:r>
      <w:r>
        <w:t>-e over the period</w:t>
      </w:r>
      <w:r>
        <w:rPr>
          <w:rStyle w:val="nobreak"/>
        </w:rPr>
        <w:t xml:space="preserve"> </w:t>
      </w:r>
      <w:r>
        <w:t>2017–2036.</w:t>
      </w:r>
    </w:p>
    <w:p w14:paraId="5646949B" w14:textId="77777777" w:rsidR="00BB2B23" w:rsidRDefault="00BB2B23" w:rsidP="00BB2B23">
      <w:pPr>
        <w:pStyle w:val="Bullets1"/>
      </w:pPr>
      <w:r>
        <w:t>Option 2b is expected to result in emissions reduction of approximately 9.15 Mt CO</w:t>
      </w:r>
      <w:r>
        <w:rPr>
          <w:rStyle w:val="subscript"/>
        </w:rPr>
        <w:t>2</w:t>
      </w:r>
      <w:r>
        <w:t>-e over the period</w:t>
      </w:r>
      <w:r>
        <w:rPr>
          <w:rStyle w:val="nobreak"/>
        </w:rPr>
        <w:t xml:space="preserve"> </w:t>
      </w:r>
      <w:r>
        <w:t>2017–2036.</w:t>
      </w:r>
    </w:p>
    <w:p w14:paraId="5646949C" w14:textId="77777777" w:rsidR="00BB2B23" w:rsidRDefault="00BB2B23" w:rsidP="00BB2B23">
      <w:pPr>
        <w:pStyle w:val="Bullets1"/>
      </w:pPr>
      <w:r>
        <w:t>Improved energy efficiency an indirect consequence of the use of alternative gas in new equipment and/or as a direct consequence of reducing leakage. Option 2a and 2b are estimated to save owners $31.8 million in energy costs over the study period.</w:t>
      </w:r>
    </w:p>
    <w:p w14:paraId="5646949D" w14:textId="77777777" w:rsidR="00BB2B23" w:rsidRDefault="00BB2B23" w:rsidP="00BB2B23">
      <w:pPr>
        <w:pStyle w:val="Bullets1"/>
      </w:pPr>
      <w:r>
        <w:t>Encourage replacement of equipment with low GWP alternatives, particularly after 2020. May encourage retrofit of certain systems with lower GWP alternatives that can be used as direct drop-in alternatives. This is considered especially likely in the supermarket sector.</w:t>
      </w:r>
    </w:p>
    <w:p w14:paraId="5646949E" w14:textId="77777777" w:rsidR="00BB2B23" w:rsidRDefault="00BB2B23" w:rsidP="00BB2B23">
      <w:pPr>
        <w:pStyle w:val="Subhead3"/>
      </w:pPr>
      <w:r>
        <w:t>Anticipated costs (Options 2a and 2b)</w:t>
      </w:r>
    </w:p>
    <w:p w14:paraId="5646949F" w14:textId="77777777" w:rsidR="00BB2B23" w:rsidRDefault="00BB2B23" w:rsidP="00BB2B23">
      <w:pPr>
        <w:pStyle w:val="Bullets1"/>
        <w:spacing w:before="170"/>
      </w:pPr>
      <w:r>
        <w:t>Industry will need to adapt their business model to a quota or rationing system where none exists now—although as noted in the HFC consumption study</w:t>
      </w:r>
      <w:r>
        <w:rPr>
          <w:rFonts w:ascii="Myriad Pro" w:hAnsi="Myriad Pro" w:cstheme="minorBidi"/>
          <w:sz w:val="24"/>
          <w:szCs w:val="24"/>
        </w:rPr>
        <w:footnoteReference w:id="15"/>
      </w:r>
      <w:r>
        <w:t>, this is unlikely to be a cost until at least 2020 based on current import/consumption projections. Option 2a and 2b are estimated to cost $0.8 million in transitional costs over the study period.</w:t>
      </w:r>
    </w:p>
    <w:p w14:paraId="564694A0" w14:textId="77777777" w:rsidR="00BB2B23" w:rsidRDefault="00BB2B23" w:rsidP="00BB2B23">
      <w:pPr>
        <w:pStyle w:val="Bullets1"/>
      </w:pPr>
      <w:r>
        <w:t>Owners of equipment charged with HFCs may experience higher costs to replace gas lost due to leakage. This</w:t>
      </w:r>
      <w:r>
        <w:rPr>
          <w:rStyle w:val="nobreak"/>
        </w:rPr>
        <w:t xml:space="preserve"> </w:t>
      </w:r>
      <w:r>
        <w:t>may occur if demand for HFCs exceeds available supply, pushing prices up. Option 2a and 2b are estimated to cost owners $3.8 million and $27.9 million respectively, in additional gas costs over the study period.</w:t>
      </w:r>
    </w:p>
    <w:p w14:paraId="564694A1" w14:textId="77777777" w:rsidR="00BB2B23" w:rsidRDefault="00BB2B23" w:rsidP="00BB2B23">
      <w:pPr>
        <w:pStyle w:val="Bullets1"/>
      </w:pPr>
      <w:r>
        <w:t>Equipment owners are not expected to replace their HFC equipment earlier than usual as the phase-down is gradual; it is unlikely to force early equipment retirement.</w:t>
      </w:r>
    </w:p>
    <w:p w14:paraId="564694A2" w14:textId="77777777" w:rsidR="00BB2B23" w:rsidRDefault="00BB2B23" w:rsidP="00BB2B23">
      <w:pPr>
        <w:pStyle w:val="Bullets1"/>
      </w:pPr>
      <w:r>
        <w:t xml:space="preserve">Some equipment purchasers would purchase more expensive non-HFC equipment as a result of the scarcity of HFC. The major substitute gas is HFO-1234yf, and this gas is more expensive than HFC, but the price differential is projected to decline over the period to 2030. Option 2a and 2b are estimated to cost </w:t>
      </w:r>
      <w:r>
        <w:rPr>
          <w:rStyle w:val="TextItalic"/>
        </w:rPr>
        <w:t>residential</w:t>
      </w:r>
      <w:r>
        <w:t xml:space="preserve"> purchasers $4.7 million and $7.3 million, respectively, in capital costs over the study period. Option 2a and 2b are estimated to cost </w:t>
      </w:r>
      <w:r>
        <w:rPr>
          <w:rStyle w:val="TextItalic"/>
        </w:rPr>
        <w:t>business</w:t>
      </w:r>
      <w:r>
        <w:t xml:space="preserve"> purchasers $2.9 million in capital costs over the study period.</w:t>
      </w:r>
    </w:p>
    <w:p w14:paraId="564694A3" w14:textId="77777777" w:rsidR="00BB2B23" w:rsidRDefault="00BB2B23" w:rsidP="00BB2B23">
      <w:pPr>
        <w:pStyle w:val="Bullets1"/>
      </w:pPr>
      <w:r>
        <w:t>Higher maintenance costs in some instances</w:t>
      </w:r>
      <w:r>
        <w:rPr>
          <w:rFonts w:ascii="Myriad Pro" w:hAnsi="Myriad Pro" w:cstheme="minorBidi"/>
          <w:sz w:val="24"/>
          <w:szCs w:val="24"/>
        </w:rPr>
        <w:footnoteReference w:id="16"/>
      </w:r>
      <w:r>
        <w:t xml:space="preserve"> where replacement gases have higher flammability, toxicity or require higher operating pressure. Option 2a and 2b are estimated to cost residential purchasers $18.0 million and $46.2 million, respectively, in maintenance costs over the study period.</w:t>
      </w:r>
    </w:p>
    <w:p w14:paraId="564694A4" w14:textId="77777777" w:rsidR="00BB2B23" w:rsidRDefault="00BB2B23" w:rsidP="00BB2B23">
      <w:pPr>
        <w:pStyle w:val="Bullets1"/>
      </w:pPr>
      <w:r>
        <w:lastRenderedPageBreak/>
        <w:t xml:space="preserve">Australian Government to design and implement a phase-down process including baseline, schedule and quotas acceptable to industry. </w:t>
      </w:r>
    </w:p>
    <w:p w14:paraId="564694A5" w14:textId="77777777" w:rsidR="00BB2B23" w:rsidRDefault="00BB2B23" w:rsidP="00BB2B23">
      <w:pPr>
        <w:pStyle w:val="Subhead3"/>
      </w:pPr>
      <w:r>
        <w:t>Impacts on affected stakeholders</w:t>
      </w:r>
    </w:p>
    <w:p w14:paraId="564694A6" w14:textId="77777777" w:rsidR="00BB2B23" w:rsidRDefault="00BB2B23" w:rsidP="00BB2B23">
      <w:pPr>
        <w:pStyle w:val="Text"/>
      </w:pPr>
      <w:r>
        <w:t xml:space="preserve">While many modelled costs are incurred by the RAC industry, gas importers and traders bear the ultimate incidence of costs associated with an HFC phase-down are most likely to fall primarily on users and consumers of refrigeration and air conditioning services. While the purchase price of HFC charged equipment will not be directly impacted, due to the exemption of charged equipment from the quota system, we assume that generally equipment suppliers will gradually move away from HFC charged equipment as the servicing of that equipment is projected to become increasingly difficult or expensive. </w:t>
      </w:r>
    </w:p>
    <w:p w14:paraId="564694A7" w14:textId="77777777" w:rsidR="00BB2B23" w:rsidRDefault="00BB2B23" w:rsidP="00BB2B23">
      <w:pPr>
        <w:pStyle w:val="Text"/>
      </w:pPr>
      <w:r>
        <w:t>For example, if a car manufacturer currently chooses to install HFO air conditioning units in lieu of HFC units (the current standard), the retail price of the car is likely to reflect the additional cost of HFO which is $60 for a full gas charge, compared with $11 for HFC charge. In addition, the capital cost of the HFO car air conditioning unit itself is approximately $50 more expensive than the HFC version it replaces.</w:t>
      </w:r>
      <w:r>
        <w:rPr>
          <w:rFonts w:ascii="Myriad Pro" w:hAnsi="Myriad Pro" w:cstheme="minorBidi"/>
          <w:sz w:val="24"/>
          <w:szCs w:val="24"/>
        </w:rPr>
        <w:footnoteReference w:id="17"/>
      </w:r>
      <w:r>
        <w:t xml:space="preserve"> The HFO cost premiums are expected to get progressively smaller in the future as technological innovation and economies of scale drive down the price. </w:t>
      </w:r>
    </w:p>
    <w:p w14:paraId="564694A8" w14:textId="77777777" w:rsidR="00BB2B23" w:rsidRDefault="00BB2B23" w:rsidP="00BB2B23">
      <w:pPr>
        <w:pStyle w:val="Text"/>
      </w:pPr>
      <w:r>
        <w:t>Consumers of RAC services are estimated to incur most of the costs over the analysis period, and these costs are much higher in the case of the Accelerated Proposal due to its earlier, faster adoption of expensive alternative gases and equipment that requires more costly maintenance than HFC equipment. See Table 1 for a summary of distributional impacts.</w:t>
      </w:r>
    </w:p>
    <w:p w14:paraId="564694A9" w14:textId="77777777" w:rsidR="00BB2B23" w:rsidRDefault="00BB2B23" w:rsidP="00BB2B23">
      <w:pPr>
        <w:pStyle w:val="Text"/>
      </w:pPr>
      <w:r>
        <w:t>Under the Regulatory Burden Measurement Framework, regulatory burden is estimated at $4.19 million (option</w:t>
      </w:r>
      <w:r>
        <w:rPr>
          <w:rStyle w:val="nobreak"/>
        </w:rPr>
        <w:t xml:space="preserve"> </w:t>
      </w:r>
      <w:r>
        <w:t xml:space="preserve">2a) for the North American Proposal and $11.72 million (option 2b) for the Accelerated Proposal. </w:t>
      </w:r>
    </w:p>
    <w:p w14:paraId="564694AA" w14:textId="77777777" w:rsidR="00BB2B23" w:rsidRDefault="00BB2B23" w:rsidP="00BB2B23">
      <w:pPr>
        <w:pStyle w:val="Tabletitle"/>
      </w:pPr>
      <w:r>
        <w:t>Table 1: Stakeholder impacts (2016–30)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5"/>
        <w:gridCol w:w="2977"/>
        <w:gridCol w:w="2725"/>
      </w:tblGrid>
      <w:tr w:rsidR="00BB2B23" w:rsidRPr="002C06E4" w14:paraId="564694AD" w14:textId="77777777" w:rsidTr="002C06E4">
        <w:trPr>
          <w:trHeight w:val="60"/>
          <w:tblHeader/>
        </w:trPr>
        <w:tc>
          <w:tcPr>
            <w:tcW w:w="3085" w:type="dxa"/>
            <w:shd w:val="clear" w:color="auto" w:fill="auto"/>
            <w:tcMar>
              <w:top w:w="113" w:type="dxa"/>
              <w:left w:w="113" w:type="dxa"/>
              <w:bottom w:w="113" w:type="dxa"/>
              <w:right w:w="113" w:type="dxa"/>
            </w:tcMar>
          </w:tcPr>
          <w:p w14:paraId="564694AB" w14:textId="77777777" w:rsidR="00BB2B23" w:rsidRPr="002C06E4" w:rsidRDefault="00BB2B23" w:rsidP="00F5693B">
            <w:pPr>
              <w:pStyle w:val="Tablesmallheading"/>
              <w:rPr>
                <w:color w:val="auto"/>
              </w:rPr>
            </w:pPr>
            <w:r w:rsidRPr="002C06E4">
              <w:rPr>
                <w:color w:val="auto"/>
              </w:rPr>
              <w:t>Stakeholder group</w:t>
            </w:r>
          </w:p>
        </w:tc>
        <w:tc>
          <w:tcPr>
            <w:tcW w:w="5702" w:type="dxa"/>
            <w:gridSpan w:val="2"/>
            <w:shd w:val="clear" w:color="auto" w:fill="auto"/>
            <w:tcMar>
              <w:top w:w="113" w:type="dxa"/>
              <w:left w:w="113" w:type="dxa"/>
              <w:bottom w:w="113" w:type="dxa"/>
              <w:right w:w="113" w:type="dxa"/>
            </w:tcMar>
            <w:vAlign w:val="bottom"/>
          </w:tcPr>
          <w:p w14:paraId="564694AC" w14:textId="77777777" w:rsidR="00BB2B23" w:rsidRPr="002C06E4" w:rsidRDefault="00BB2B23" w:rsidP="00F5693B">
            <w:pPr>
              <w:pStyle w:val="Tablesmallheading"/>
              <w:jc w:val="center"/>
              <w:rPr>
                <w:color w:val="auto"/>
              </w:rPr>
            </w:pPr>
            <w:r w:rsidRPr="002C06E4">
              <w:rPr>
                <w:color w:val="auto"/>
              </w:rPr>
              <w:t>Substitution Costs ($ million, NPV)</w:t>
            </w:r>
          </w:p>
        </w:tc>
      </w:tr>
      <w:tr w:rsidR="00BB2B23" w:rsidRPr="002C06E4" w14:paraId="564694B3" w14:textId="77777777" w:rsidTr="002C06E4">
        <w:trPr>
          <w:trHeight w:val="60"/>
        </w:trPr>
        <w:tc>
          <w:tcPr>
            <w:tcW w:w="3085" w:type="dxa"/>
            <w:shd w:val="clear" w:color="auto" w:fill="auto"/>
            <w:tcMar>
              <w:top w:w="113" w:type="dxa"/>
              <w:left w:w="113" w:type="dxa"/>
              <w:bottom w:w="113" w:type="dxa"/>
              <w:right w:w="113" w:type="dxa"/>
            </w:tcMar>
          </w:tcPr>
          <w:p w14:paraId="564694AE"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2977" w:type="dxa"/>
            <w:shd w:val="clear" w:color="auto" w:fill="auto"/>
            <w:tcMar>
              <w:top w:w="113" w:type="dxa"/>
              <w:left w:w="113" w:type="dxa"/>
              <w:bottom w:w="113" w:type="dxa"/>
              <w:right w:w="113" w:type="dxa"/>
            </w:tcMar>
            <w:vAlign w:val="bottom"/>
          </w:tcPr>
          <w:p w14:paraId="564694AF" w14:textId="77777777" w:rsidR="00BB2B23" w:rsidRPr="002C06E4" w:rsidRDefault="00BB2B23" w:rsidP="00F5693B">
            <w:pPr>
              <w:pStyle w:val="Tablesmalltext"/>
              <w:spacing w:before="0"/>
              <w:jc w:val="center"/>
              <w:rPr>
                <w:rStyle w:val="TextBold"/>
                <w:color w:val="auto"/>
              </w:rPr>
            </w:pPr>
            <w:r w:rsidRPr="002C06E4">
              <w:rPr>
                <w:rStyle w:val="TextBold"/>
                <w:color w:val="auto"/>
              </w:rPr>
              <w:t>Option 2a</w:t>
            </w:r>
          </w:p>
          <w:p w14:paraId="564694B0" w14:textId="77777777" w:rsidR="00BB2B23" w:rsidRPr="002C06E4" w:rsidRDefault="00BB2B23" w:rsidP="00F5693B">
            <w:pPr>
              <w:pStyle w:val="Tablesmalltext"/>
              <w:spacing w:before="0"/>
              <w:jc w:val="center"/>
              <w:rPr>
                <w:color w:val="auto"/>
              </w:rPr>
            </w:pPr>
            <w:r w:rsidRPr="002C06E4">
              <w:rPr>
                <w:rStyle w:val="TextBold"/>
                <w:color w:val="auto"/>
              </w:rPr>
              <w:t>North American Proposal</w:t>
            </w:r>
          </w:p>
        </w:tc>
        <w:tc>
          <w:tcPr>
            <w:tcW w:w="2725" w:type="dxa"/>
            <w:shd w:val="clear" w:color="auto" w:fill="auto"/>
            <w:tcMar>
              <w:top w:w="113" w:type="dxa"/>
              <w:left w:w="113" w:type="dxa"/>
              <w:bottom w:w="113" w:type="dxa"/>
              <w:right w:w="113" w:type="dxa"/>
            </w:tcMar>
            <w:vAlign w:val="bottom"/>
          </w:tcPr>
          <w:p w14:paraId="564694B1" w14:textId="77777777" w:rsidR="00BB2B23" w:rsidRPr="002C06E4" w:rsidRDefault="00BB2B23" w:rsidP="00F5693B">
            <w:pPr>
              <w:pStyle w:val="Tablesmalltext"/>
              <w:spacing w:before="0"/>
              <w:jc w:val="center"/>
              <w:rPr>
                <w:rStyle w:val="TextBold"/>
                <w:color w:val="auto"/>
              </w:rPr>
            </w:pPr>
            <w:r w:rsidRPr="002C06E4">
              <w:rPr>
                <w:rStyle w:val="TextBold"/>
                <w:color w:val="auto"/>
              </w:rPr>
              <w:t>Option 2b</w:t>
            </w:r>
          </w:p>
          <w:p w14:paraId="564694B2" w14:textId="77777777" w:rsidR="00BB2B23" w:rsidRPr="002C06E4" w:rsidRDefault="00BB2B23" w:rsidP="00F5693B">
            <w:pPr>
              <w:pStyle w:val="Tablesmalltext"/>
              <w:spacing w:before="0"/>
              <w:jc w:val="center"/>
              <w:rPr>
                <w:color w:val="auto"/>
              </w:rPr>
            </w:pPr>
            <w:r w:rsidRPr="002C06E4">
              <w:rPr>
                <w:rStyle w:val="TextBold"/>
                <w:color w:val="auto"/>
              </w:rPr>
              <w:t>Accelerated Proposal</w:t>
            </w:r>
          </w:p>
        </w:tc>
      </w:tr>
      <w:tr w:rsidR="00BB2B23" w:rsidRPr="002C06E4" w14:paraId="564694B7" w14:textId="77777777" w:rsidTr="002C06E4">
        <w:trPr>
          <w:trHeight w:val="60"/>
        </w:trPr>
        <w:tc>
          <w:tcPr>
            <w:tcW w:w="3085" w:type="dxa"/>
            <w:shd w:val="clear" w:color="auto" w:fill="auto"/>
            <w:tcMar>
              <w:top w:w="113" w:type="dxa"/>
              <w:left w:w="113" w:type="dxa"/>
              <w:bottom w:w="113" w:type="dxa"/>
              <w:right w:w="113" w:type="dxa"/>
            </w:tcMar>
          </w:tcPr>
          <w:p w14:paraId="564694B4" w14:textId="77777777" w:rsidR="00BB2B23" w:rsidRPr="002C06E4" w:rsidRDefault="00BB2B23" w:rsidP="00F5693B">
            <w:pPr>
              <w:pStyle w:val="Tablesmalltext"/>
              <w:rPr>
                <w:color w:val="auto"/>
              </w:rPr>
            </w:pPr>
            <w:r w:rsidRPr="002C06E4">
              <w:rPr>
                <w:color w:val="auto"/>
              </w:rPr>
              <w:t>End users (business) and consumers of RAC services</w:t>
            </w:r>
          </w:p>
        </w:tc>
        <w:tc>
          <w:tcPr>
            <w:tcW w:w="2977" w:type="dxa"/>
            <w:shd w:val="clear" w:color="auto" w:fill="auto"/>
            <w:tcMar>
              <w:top w:w="113" w:type="dxa"/>
              <w:left w:w="113" w:type="dxa"/>
              <w:bottom w:w="113" w:type="dxa"/>
              <w:right w:w="113" w:type="dxa"/>
            </w:tcMar>
            <w:vAlign w:val="bottom"/>
          </w:tcPr>
          <w:p w14:paraId="564694B5" w14:textId="77777777" w:rsidR="00BB2B23" w:rsidRPr="002C06E4" w:rsidRDefault="00BB2B23" w:rsidP="00F5693B">
            <w:pPr>
              <w:pStyle w:val="Tablesmalltext"/>
              <w:jc w:val="center"/>
              <w:rPr>
                <w:color w:val="auto"/>
              </w:rPr>
            </w:pPr>
            <w:r w:rsidRPr="002C06E4">
              <w:rPr>
                <w:color w:val="auto"/>
              </w:rPr>
              <w:t>30.2</w:t>
            </w:r>
          </w:p>
        </w:tc>
        <w:tc>
          <w:tcPr>
            <w:tcW w:w="2725" w:type="dxa"/>
            <w:shd w:val="clear" w:color="auto" w:fill="auto"/>
            <w:tcMar>
              <w:top w:w="113" w:type="dxa"/>
              <w:left w:w="113" w:type="dxa"/>
              <w:bottom w:w="113" w:type="dxa"/>
              <w:right w:w="113" w:type="dxa"/>
            </w:tcMar>
            <w:vAlign w:val="bottom"/>
          </w:tcPr>
          <w:p w14:paraId="564694B6" w14:textId="77777777" w:rsidR="00BB2B23" w:rsidRPr="002C06E4" w:rsidRDefault="00BB2B23" w:rsidP="00F5693B">
            <w:pPr>
              <w:pStyle w:val="Tablesmalltext"/>
              <w:jc w:val="center"/>
              <w:rPr>
                <w:color w:val="auto"/>
              </w:rPr>
            </w:pPr>
            <w:r w:rsidRPr="002C06E4">
              <w:rPr>
                <w:color w:val="auto"/>
              </w:rPr>
              <w:t>85.2</w:t>
            </w:r>
          </w:p>
        </w:tc>
      </w:tr>
      <w:tr w:rsidR="00BB2B23" w:rsidRPr="002C06E4" w14:paraId="564694BB" w14:textId="77777777" w:rsidTr="002C06E4">
        <w:trPr>
          <w:trHeight w:val="60"/>
        </w:trPr>
        <w:tc>
          <w:tcPr>
            <w:tcW w:w="3085" w:type="dxa"/>
            <w:shd w:val="clear" w:color="auto" w:fill="auto"/>
            <w:tcMar>
              <w:top w:w="113" w:type="dxa"/>
              <w:left w:w="113" w:type="dxa"/>
              <w:bottom w:w="113" w:type="dxa"/>
              <w:right w:w="113" w:type="dxa"/>
            </w:tcMar>
          </w:tcPr>
          <w:p w14:paraId="564694B8" w14:textId="77777777" w:rsidR="00BB2B23" w:rsidRPr="002C06E4" w:rsidRDefault="00BB2B23" w:rsidP="00F5693B">
            <w:pPr>
              <w:pStyle w:val="Tablesmalltext"/>
              <w:rPr>
                <w:color w:val="auto"/>
              </w:rPr>
            </w:pPr>
            <w:r w:rsidRPr="002C06E4">
              <w:rPr>
                <w:color w:val="auto"/>
              </w:rPr>
              <w:t>Australian Government</w:t>
            </w:r>
          </w:p>
        </w:tc>
        <w:tc>
          <w:tcPr>
            <w:tcW w:w="2977" w:type="dxa"/>
            <w:shd w:val="clear" w:color="auto" w:fill="auto"/>
            <w:tcMar>
              <w:top w:w="113" w:type="dxa"/>
              <w:left w:w="113" w:type="dxa"/>
              <w:bottom w:w="113" w:type="dxa"/>
              <w:right w:w="113" w:type="dxa"/>
            </w:tcMar>
            <w:vAlign w:val="bottom"/>
          </w:tcPr>
          <w:p w14:paraId="564694B9" w14:textId="77777777" w:rsidR="00BB2B23" w:rsidRPr="002C06E4" w:rsidRDefault="00BB2B23" w:rsidP="00F5693B">
            <w:pPr>
              <w:pStyle w:val="Tablesmalltext"/>
              <w:jc w:val="center"/>
              <w:rPr>
                <w:color w:val="auto"/>
              </w:rPr>
            </w:pPr>
            <w:r w:rsidRPr="002C06E4">
              <w:rPr>
                <w:color w:val="auto"/>
              </w:rPr>
              <w:t>2.6</w:t>
            </w:r>
          </w:p>
        </w:tc>
        <w:tc>
          <w:tcPr>
            <w:tcW w:w="2725" w:type="dxa"/>
            <w:shd w:val="clear" w:color="auto" w:fill="auto"/>
            <w:tcMar>
              <w:top w:w="113" w:type="dxa"/>
              <w:left w:w="113" w:type="dxa"/>
              <w:bottom w:w="113" w:type="dxa"/>
              <w:right w:w="113" w:type="dxa"/>
            </w:tcMar>
            <w:vAlign w:val="bottom"/>
          </w:tcPr>
          <w:p w14:paraId="564694BA" w14:textId="77777777" w:rsidR="00BB2B23" w:rsidRPr="002C06E4" w:rsidRDefault="00BB2B23" w:rsidP="00F5693B">
            <w:pPr>
              <w:pStyle w:val="Tablesmalltext"/>
              <w:jc w:val="center"/>
              <w:rPr>
                <w:color w:val="auto"/>
              </w:rPr>
            </w:pPr>
            <w:r w:rsidRPr="002C06E4">
              <w:rPr>
                <w:color w:val="auto"/>
              </w:rPr>
              <w:t>2.6</w:t>
            </w:r>
          </w:p>
        </w:tc>
      </w:tr>
      <w:tr w:rsidR="00BB2B23" w:rsidRPr="002C06E4" w14:paraId="564694BF" w14:textId="77777777" w:rsidTr="002C06E4">
        <w:trPr>
          <w:trHeight w:val="60"/>
        </w:trPr>
        <w:tc>
          <w:tcPr>
            <w:tcW w:w="3085" w:type="dxa"/>
            <w:shd w:val="clear" w:color="auto" w:fill="auto"/>
            <w:tcMar>
              <w:top w:w="113" w:type="dxa"/>
              <w:left w:w="113" w:type="dxa"/>
              <w:bottom w:w="113" w:type="dxa"/>
              <w:right w:w="113" w:type="dxa"/>
            </w:tcMar>
          </w:tcPr>
          <w:p w14:paraId="564694BC" w14:textId="77777777" w:rsidR="00BB2B23" w:rsidRPr="002C06E4" w:rsidRDefault="00BB2B23" w:rsidP="00F5693B">
            <w:pPr>
              <w:pStyle w:val="Tablesmalltext"/>
              <w:rPr>
                <w:color w:val="auto"/>
              </w:rPr>
            </w:pPr>
            <w:r w:rsidRPr="002C06E4">
              <w:rPr>
                <w:rStyle w:val="TextBold"/>
                <w:color w:val="auto"/>
              </w:rPr>
              <w:t>Total substitution costs</w:t>
            </w:r>
          </w:p>
        </w:tc>
        <w:tc>
          <w:tcPr>
            <w:tcW w:w="2977" w:type="dxa"/>
            <w:shd w:val="clear" w:color="auto" w:fill="auto"/>
            <w:tcMar>
              <w:top w:w="113" w:type="dxa"/>
              <w:left w:w="113" w:type="dxa"/>
              <w:bottom w:w="113" w:type="dxa"/>
              <w:right w:w="113" w:type="dxa"/>
            </w:tcMar>
            <w:vAlign w:val="bottom"/>
          </w:tcPr>
          <w:p w14:paraId="564694BD" w14:textId="77777777" w:rsidR="00BB2B23" w:rsidRPr="002C06E4" w:rsidRDefault="00BB2B23" w:rsidP="00F5693B">
            <w:pPr>
              <w:pStyle w:val="Tablesmalltext"/>
              <w:jc w:val="center"/>
              <w:rPr>
                <w:color w:val="auto"/>
              </w:rPr>
            </w:pPr>
            <w:r w:rsidRPr="002C06E4">
              <w:rPr>
                <w:rStyle w:val="TextBold"/>
                <w:color w:val="auto"/>
              </w:rPr>
              <w:t>32.8</w:t>
            </w:r>
          </w:p>
        </w:tc>
        <w:tc>
          <w:tcPr>
            <w:tcW w:w="2725" w:type="dxa"/>
            <w:shd w:val="clear" w:color="auto" w:fill="auto"/>
            <w:tcMar>
              <w:top w:w="113" w:type="dxa"/>
              <w:left w:w="113" w:type="dxa"/>
              <w:bottom w:w="113" w:type="dxa"/>
              <w:right w:w="113" w:type="dxa"/>
            </w:tcMar>
            <w:vAlign w:val="bottom"/>
          </w:tcPr>
          <w:p w14:paraId="564694BE" w14:textId="77777777" w:rsidR="00BB2B23" w:rsidRPr="002C06E4" w:rsidRDefault="00BB2B23" w:rsidP="00F5693B">
            <w:pPr>
              <w:pStyle w:val="Tablesmalltext"/>
              <w:jc w:val="center"/>
              <w:rPr>
                <w:color w:val="auto"/>
              </w:rPr>
            </w:pPr>
            <w:r w:rsidRPr="002C06E4">
              <w:rPr>
                <w:rStyle w:val="TextBold"/>
                <w:color w:val="auto"/>
              </w:rPr>
              <w:t>87.7</w:t>
            </w:r>
          </w:p>
        </w:tc>
      </w:tr>
    </w:tbl>
    <w:p w14:paraId="564694C0" w14:textId="77777777" w:rsidR="00BB2B23" w:rsidRDefault="00BB2B23" w:rsidP="00BB2B23">
      <w:pPr>
        <w:pStyle w:val="Text"/>
      </w:pPr>
    </w:p>
    <w:p w14:paraId="564694C1" w14:textId="77777777" w:rsidR="00BB2B23" w:rsidRDefault="00BB2B23" w:rsidP="00BB2B23">
      <w:pPr>
        <w:pStyle w:val="Text"/>
      </w:pPr>
      <w:r>
        <w:t xml:space="preserve">In addition to the costs faced by those users and consumers who will substitute out of HFC, many in this group will continue to use HFC including those who own older equipment and those who elected to keep </w:t>
      </w:r>
      <w:r>
        <w:lastRenderedPageBreak/>
        <w:t>buying HFC equipment. For this group, there is likely to be higher costs associated with recharging their equipment with HFC if it leaks, for example (70% of bulk HFC imports are used for leak replacement</w:t>
      </w:r>
      <w:r>
        <w:rPr>
          <w:rFonts w:ascii="Myriad Pro" w:hAnsi="Myriad Pro" w:cstheme="minorBidi"/>
          <w:sz w:val="24"/>
          <w:szCs w:val="24"/>
        </w:rPr>
        <w:footnoteReference w:id="18"/>
      </w:r>
      <w:r>
        <w:t>). Higher costs are a direct result of the scarcity created by the phase-down. These costs are extremely difficult to predict, but indicative values are provided below. These are not costs in the traditional sense, rather they are likely to be transfers to the Australian Government via the bulk HFC quota auction mechanism. These estimates are based on a simple model in which:</w:t>
      </w:r>
    </w:p>
    <w:p w14:paraId="564694C2" w14:textId="77777777" w:rsidR="00BB2B23" w:rsidRDefault="00BB2B23" w:rsidP="00BB2B23">
      <w:pPr>
        <w:pStyle w:val="Bullets1"/>
      </w:pPr>
      <w:r>
        <w:t>The current level of demand for refrigerants sets the reference quantity, in terms of megatonnes CO</w:t>
      </w:r>
      <w:r>
        <w:rPr>
          <w:rStyle w:val="subscript"/>
        </w:rPr>
        <w:t>2</w:t>
      </w:r>
      <w:r>
        <w:t xml:space="preserve">-e per year, and this demand is assumed to decline at a rate which averages 5% every year, reflecting the projections of future HFC use by the Expert Group. </w:t>
      </w:r>
    </w:p>
    <w:p w14:paraId="564694C3" w14:textId="77777777" w:rsidR="00BB2B23" w:rsidRDefault="00BB2B23" w:rsidP="00BB2B23">
      <w:pPr>
        <w:pStyle w:val="Bullets1"/>
      </w:pPr>
      <w:r>
        <w:t>The difference between the amount of permitted bulk HFC import under the phase down schedules and the reference quantity for that period gives the quantity change as a percentage</w:t>
      </w:r>
    </w:p>
    <w:p w14:paraId="564694C4" w14:textId="77777777" w:rsidR="00BB2B23" w:rsidRDefault="00BB2B23" w:rsidP="00BB2B23">
      <w:pPr>
        <w:pStyle w:val="Bullets1"/>
      </w:pPr>
      <w:r>
        <w:t>The price elasticity of demand gives the impact of this quantity change on price. Direct evidence of the elasticity for substitutable gases could not be obtained so proxy information was obtained from a study of substitutable fuel sources, which indicates that demand for HFC is likely to be ‘reasonably elastic’, with a value of approximately -1.2. Given the high degree of uncertainty around this estimate, a wide range of sensitivity has been tested, at slightly inelastic (-0.8) and very elastic (-1.6), to provide a sense of scale. See</w:t>
      </w:r>
      <w:r>
        <w:rPr>
          <w:rStyle w:val="nobreak"/>
        </w:rPr>
        <w:t xml:space="preserve"> </w:t>
      </w:r>
      <w:r>
        <w:t>Table 2 below.</w:t>
      </w:r>
    </w:p>
    <w:p w14:paraId="564694C5" w14:textId="77777777" w:rsidR="00BB2B23" w:rsidRDefault="00BB2B23" w:rsidP="00BB2B23">
      <w:pPr>
        <w:pStyle w:val="Tabletitle"/>
      </w:pPr>
      <w:r>
        <w:t>Table 2: Estimated transfer costs for stakeholder group—users and consumers of RAC services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5"/>
        <w:gridCol w:w="3118"/>
        <w:gridCol w:w="3434"/>
      </w:tblGrid>
      <w:tr w:rsidR="00BB2B23" w:rsidRPr="002C06E4" w14:paraId="564694C8" w14:textId="77777777" w:rsidTr="002C06E4">
        <w:trPr>
          <w:trHeight w:val="60"/>
        </w:trPr>
        <w:tc>
          <w:tcPr>
            <w:tcW w:w="2235" w:type="dxa"/>
            <w:vMerge w:val="restart"/>
            <w:shd w:val="clear" w:color="auto" w:fill="auto"/>
            <w:tcMar>
              <w:top w:w="113" w:type="dxa"/>
              <w:left w:w="113" w:type="dxa"/>
              <w:bottom w:w="113" w:type="dxa"/>
              <w:right w:w="113" w:type="dxa"/>
            </w:tcMar>
          </w:tcPr>
          <w:p w14:paraId="564694C6" w14:textId="77777777" w:rsidR="00BB2B23" w:rsidRPr="002C06E4" w:rsidRDefault="00BB2B23" w:rsidP="00F5693B">
            <w:pPr>
              <w:pStyle w:val="Tablesmallheading"/>
              <w:jc w:val="center"/>
              <w:rPr>
                <w:color w:val="auto"/>
              </w:rPr>
            </w:pPr>
            <w:r w:rsidRPr="002C06E4">
              <w:rPr>
                <w:color w:val="auto"/>
              </w:rPr>
              <w:t>Own price elasticity</w:t>
            </w:r>
          </w:p>
        </w:tc>
        <w:tc>
          <w:tcPr>
            <w:tcW w:w="6552" w:type="dxa"/>
            <w:gridSpan w:val="2"/>
            <w:shd w:val="clear" w:color="auto" w:fill="auto"/>
            <w:tcMar>
              <w:top w:w="113" w:type="dxa"/>
              <w:left w:w="113" w:type="dxa"/>
              <w:bottom w:w="113" w:type="dxa"/>
              <w:right w:w="113" w:type="dxa"/>
            </w:tcMar>
          </w:tcPr>
          <w:p w14:paraId="564694C7" w14:textId="77777777" w:rsidR="00BB2B23" w:rsidRPr="002C06E4" w:rsidRDefault="00BB2B23" w:rsidP="00F5693B">
            <w:pPr>
              <w:pStyle w:val="Tablesmallheading"/>
              <w:jc w:val="center"/>
              <w:rPr>
                <w:color w:val="auto"/>
              </w:rPr>
            </w:pPr>
            <w:r w:rsidRPr="002C06E4">
              <w:rPr>
                <w:color w:val="auto"/>
              </w:rPr>
              <w:t>Transfers 2016–2030 ($ million, NPV)</w:t>
            </w:r>
          </w:p>
        </w:tc>
      </w:tr>
      <w:tr w:rsidR="00BB2B23" w:rsidRPr="002C06E4" w14:paraId="564694CE" w14:textId="77777777" w:rsidTr="002C06E4">
        <w:trPr>
          <w:trHeight w:val="60"/>
        </w:trPr>
        <w:tc>
          <w:tcPr>
            <w:tcW w:w="2235" w:type="dxa"/>
            <w:vMerge/>
            <w:shd w:val="clear" w:color="auto" w:fill="auto"/>
          </w:tcPr>
          <w:p w14:paraId="564694C9"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3118" w:type="dxa"/>
            <w:shd w:val="clear" w:color="auto" w:fill="auto"/>
            <w:tcMar>
              <w:top w:w="113" w:type="dxa"/>
              <w:left w:w="113" w:type="dxa"/>
              <w:bottom w:w="113" w:type="dxa"/>
              <w:right w:w="113" w:type="dxa"/>
            </w:tcMar>
          </w:tcPr>
          <w:p w14:paraId="564694CA" w14:textId="77777777" w:rsidR="00BB2B23" w:rsidRPr="002C06E4" w:rsidRDefault="00BB2B23" w:rsidP="00F5693B">
            <w:pPr>
              <w:pStyle w:val="Tablesmalltext"/>
              <w:spacing w:before="0"/>
              <w:jc w:val="center"/>
              <w:rPr>
                <w:rStyle w:val="TextBold"/>
                <w:color w:val="auto"/>
              </w:rPr>
            </w:pPr>
            <w:r w:rsidRPr="002C06E4">
              <w:rPr>
                <w:rStyle w:val="TextBold"/>
                <w:color w:val="auto"/>
              </w:rPr>
              <w:t>Option 2a</w:t>
            </w:r>
          </w:p>
          <w:p w14:paraId="564694CB" w14:textId="77777777" w:rsidR="00BB2B23" w:rsidRPr="002C06E4" w:rsidRDefault="00BB2B23" w:rsidP="00F5693B">
            <w:pPr>
              <w:pStyle w:val="Tablesmalltext"/>
              <w:spacing w:before="0"/>
              <w:jc w:val="center"/>
              <w:rPr>
                <w:color w:val="auto"/>
              </w:rPr>
            </w:pPr>
            <w:r w:rsidRPr="002C06E4">
              <w:rPr>
                <w:rStyle w:val="TextBold"/>
                <w:color w:val="auto"/>
              </w:rPr>
              <w:t>North American Proposal</w:t>
            </w:r>
          </w:p>
        </w:tc>
        <w:tc>
          <w:tcPr>
            <w:tcW w:w="3434" w:type="dxa"/>
            <w:shd w:val="clear" w:color="auto" w:fill="auto"/>
            <w:tcMar>
              <w:top w:w="113" w:type="dxa"/>
              <w:left w:w="113" w:type="dxa"/>
              <w:bottom w:w="113" w:type="dxa"/>
              <w:right w:w="113" w:type="dxa"/>
            </w:tcMar>
          </w:tcPr>
          <w:p w14:paraId="564694CC" w14:textId="77777777" w:rsidR="00BB2B23" w:rsidRPr="002C06E4" w:rsidRDefault="00BB2B23" w:rsidP="00F5693B">
            <w:pPr>
              <w:pStyle w:val="Tablesmalltext"/>
              <w:spacing w:before="0"/>
              <w:jc w:val="center"/>
              <w:rPr>
                <w:rStyle w:val="TextBold"/>
                <w:color w:val="auto"/>
              </w:rPr>
            </w:pPr>
            <w:r w:rsidRPr="002C06E4">
              <w:rPr>
                <w:rStyle w:val="TextBold"/>
                <w:color w:val="auto"/>
              </w:rPr>
              <w:t>Option 2b</w:t>
            </w:r>
          </w:p>
          <w:p w14:paraId="564694CD" w14:textId="77777777" w:rsidR="00BB2B23" w:rsidRPr="002C06E4" w:rsidRDefault="00BB2B23" w:rsidP="00F5693B">
            <w:pPr>
              <w:pStyle w:val="Tablesmalltext"/>
              <w:spacing w:before="0"/>
              <w:jc w:val="center"/>
              <w:rPr>
                <w:color w:val="auto"/>
              </w:rPr>
            </w:pPr>
            <w:r w:rsidRPr="002C06E4">
              <w:rPr>
                <w:rStyle w:val="TextBold"/>
                <w:color w:val="auto"/>
              </w:rPr>
              <w:t>Accelerated Proposal</w:t>
            </w:r>
          </w:p>
        </w:tc>
      </w:tr>
      <w:tr w:rsidR="00BB2B23" w:rsidRPr="002C06E4" w14:paraId="564694D2" w14:textId="77777777" w:rsidTr="002C06E4">
        <w:trPr>
          <w:trHeight w:val="300"/>
        </w:trPr>
        <w:tc>
          <w:tcPr>
            <w:tcW w:w="2235" w:type="dxa"/>
            <w:shd w:val="clear" w:color="auto" w:fill="auto"/>
            <w:tcMar>
              <w:top w:w="113" w:type="dxa"/>
              <w:left w:w="113" w:type="dxa"/>
              <w:bottom w:w="113" w:type="dxa"/>
              <w:right w:w="113" w:type="dxa"/>
            </w:tcMar>
          </w:tcPr>
          <w:p w14:paraId="564694CF" w14:textId="77777777" w:rsidR="00BB2B23" w:rsidRPr="002C06E4" w:rsidRDefault="00BB2B23" w:rsidP="00F5693B">
            <w:pPr>
              <w:pStyle w:val="Tablesmalltext"/>
              <w:jc w:val="center"/>
              <w:rPr>
                <w:color w:val="auto"/>
              </w:rPr>
            </w:pPr>
            <w:r w:rsidRPr="002C06E4">
              <w:rPr>
                <w:color w:val="auto"/>
              </w:rPr>
              <w:t>0.8</w:t>
            </w:r>
          </w:p>
        </w:tc>
        <w:tc>
          <w:tcPr>
            <w:tcW w:w="3118" w:type="dxa"/>
            <w:shd w:val="clear" w:color="auto" w:fill="auto"/>
            <w:tcMar>
              <w:top w:w="113" w:type="dxa"/>
              <w:left w:w="113" w:type="dxa"/>
              <w:bottom w:w="113" w:type="dxa"/>
              <w:right w:w="113" w:type="dxa"/>
            </w:tcMar>
          </w:tcPr>
          <w:p w14:paraId="564694D0" w14:textId="77777777" w:rsidR="00BB2B23" w:rsidRPr="002C06E4" w:rsidRDefault="00BB2B23" w:rsidP="00F5693B">
            <w:pPr>
              <w:pStyle w:val="Tablesmalltext"/>
              <w:jc w:val="center"/>
              <w:rPr>
                <w:color w:val="auto"/>
              </w:rPr>
            </w:pPr>
            <w:r w:rsidRPr="002C06E4">
              <w:rPr>
                <w:color w:val="auto"/>
              </w:rPr>
              <w:t>$100</w:t>
            </w:r>
          </w:p>
        </w:tc>
        <w:tc>
          <w:tcPr>
            <w:tcW w:w="3434" w:type="dxa"/>
            <w:shd w:val="clear" w:color="auto" w:fill="auto"/>
            <w:tcMar>
              <w:top w:w="113" w:type="dxa"/>
              <w:left w:w="113" w:type="dxa"/>
              <w:bottom w:w="113" w:type="dxa"/>
              <w:right w:w="113" w:type="dxa"/>
            </w:tcMar>
          </w:tcPr>
          <w:p w14:paraId="564694D1" w14:textId="77777777" w:rsidR="00BB2B23" w:rsidRPr="002C06E4" w:rsidRDefault="00BB2B23" w:rsidP="00F5693B">
            <w:pPr>
              <w:pStyle w:val="Tablesmalltext"/>
              <w:jc w:val="center"/>
              <w:rPr>
                <w:color w:val="auto"/>
              </w:rPr>
            </w:pPr>
            <w:r w:rsidRPr="002C06E4">
              <w:rPr>
                <w:color w:val="auto"/>
              </w:rPr>
              <w:t>$341</w:t>
            </w:r>
          </w:p>
        </w:tc>
      </w:tr>
      <w:tr w:rsidR="00BB2B23" w:rsidRPr="002C06E4" w14:paraId="564694D6" w14:textId="77777777" w:rsidTr="002C06E4">
        <w:trPr>
          <w:trHeight w:val="300"/>
        </w:trPr>
        <w:tc>
          <w:tcPr>
            <w:tcW w:w="2235" w:type="dxa"/>
            <w:shd w:val="clear" w:color="auto" w:fill="auto"/>
            <w:tcMar>
              <w:top w:w="113" w:type="dxa"/>
              <w:left w:w="113" w:type="dxa"/>
              <w:bottom w:w="113" w:type="dxa"/>
              <w:right w:w="113" w:type="dxa"/>
            </w:tcMar>
          </w:tcPr>
          <w:p w14:paraId="564694D3" w14:textId="77777777" w:rsidR="00BB2B23" w:rsidRPr="002C06E4" w:rsidRDefault="00BB2B23" w:rsidP="00F5693B">
            <w:pPr>
              <w:pStyle w:val="Tablesmalltext"/>
              <w:jc w:val="center"/>
              <w:rPr>
                <w:color w:val="auto"/>
              </w:rPr>
            </w:pPr>
            <w:r w:rsidRPr="002C06E4">
              <w:rPr>
                <w:color w:val="auto"/>
              </w:rPr>
              <w:t>1.2</w:t>
            </w:r>
          </w:p>
        </w:tc>
        <w:tc>
          <w:tcPr>
            <w:tcW w:w="3118" w:type="dxa"/>
            <w:shd w:val="clear" w:color="auto" w:fill="auto"/>
            <w:tcMar>
              <w:top w:w="113" w:type="dxa"/>
              <w:left w:w="113" w:type="dxa"/>
              <w:bottom w:w="113" w:type="dxa"/>
              <w:right w:w="113" w:type="dxa"/>
            </w:tcMar>
          </w:tcPr>
          <w:p w14:paraId="564694D4" w14:textId="77777777" w:rsidR="00BB2B23" w:rsidRPr="002C06E4" w:rsidRDefault="00BB2B23" w:rsidP="00F5693B">
            <w:pPr>
              <w:pStyle w:val="Tablesmalltext"/>
              <w:jc w:val="center"/>
              <w:rPr>
                <w:color w:val="auto"/>
              </w:rPr>
            </w:pPr>
            <w:r w:rsidRPr="002C06E4">
              <w:rPr>
                <w:color w:val="auto"/>
              </w:rPr>
              <w:t>$66</w:t>
            </w:r>
          </w:p>
        </w:tc>
        <w:tc>
          <w:tcPr>
            <w:tcW w:w="3434" w:type="dxa"/>
            <w:shd w:val="clear" w:color="auto" w:fill="auto"/>
            <w:tcMar>
              <w:top w:w="113" w:type="dxa"/>
              <w:left w:w="113" w:type="dxa"/>
              <w:bottom w:w="113" w:type="dxa"/>
              <w:right w:w="113" w:type="dxa"/>
            </w:tcMar>
          </w:tcPr>
          <w:p w14:paraId="564694D5" w14:textId="77777777" w:rsidR="00BB2B23" w:rsidRPr="002C06E4" w:rsidRDefault="00BB2B23" w:rsidP="00F5693B">
            <w:pPr>
              <w:pStyle w:val="Tablesmalltext"/>
              <w:jc w:val="center"/>
              <w:rPr>
                <w:color w:val="auto"/>
              </w:rPr>
            </w:pPr>
            <w:r w:rsidRPr="002C06E4">
              <w:rPr>
                <w:color w:val="auto"/>
              </w:rPr>
              <w:t>$228</w:t>
            </w:r>
          </w:p>
        </w:tc>
      </w:tr>
      <w:tr w:rsidR="00BB2B23" w:rsidRPr="002C06E4" w14:paraId="564694DA" w14:textId="77777777" w:rsidTr="002C06E4">
        <w:trPr>
          <w:trHeight w:val="300"/>
        </w:trPr>
        <w:tc>
          <w:tcPr>
            <w:tcW w:w="2235" w:type="dxa"/>
            <w:shd w:val="clear" w:color="auto" w:fill="auto"/>
            <w:tcMar>
              <w:top w:w="113" w:type="dxa"/>
              <w:left w:w="113" w:type="dxa"/>
              <w:bottom w:w="113" w:type="dxa"/>
              <w:right w:w="113" w:type="dxa"/>
            </w:tcMar>
          </w:tcPr>
          <w:p w14:paraId="564694D7" w14:textId="77777777" w:rsidR="00BB2B23" w:rsidRPr="002C06E4" w:rsidRDefault="00BB2B23" w:rsidP="00F5693B">
            <w:pPr>
              <w:pStyle w:val="Tablesmalltext"/>
              <w:jc w:val="center"/>
              <w:rPr>
                <w:color w:val="auto"/>
              </w:rPr>
            </w:pPr>
            <w:r w:rsidRPr="002C06E4">
              <w:rPr>
                <w:color w:val="auto"/>
              </w:rPr>
              <w:t>1.6</w:t>
            </w:r>
          </w:p>
        </w:tc>
        <w:tc>
          <w:tcPr>
            <w:tcW w:w="3118" w:type="dxa"/>
            <w:shd w:val="clear" w:color="auto" w:fill="auto"/>
            <w:tcMar>
              <w:top w:w="113" w:type="dxa"/>
              <w:left w:w="113" w:type="dxa"/>
              <w:bottom w:w="113" w:type="dxa"/>
              <w:right w:w="113" w:type="dxa"/>
            </w:tcMar>
          </w:tcPr>
          <w:p w14:paraId="564694D8" w14:textId="77777777" w:rsidR="00BB2B23" w:rsidRPr="002C06E4" w:rsidRDefault="00BB2B23" w:rsidP="00F5693B">
            <w:pPr>
              <w:pStyle w:val="Tablesmalltext"/>
              <w:jc w:val="center"/>
              <w:rPr>
                <w:color w:val="auto"/>
              </w:rPr>
            </w:pPr>
            <w:r w:rsidRPr="002C06E4">
              <w:rPr>
                <w:color w:val="auto"/>
              </w:rPr>
              <w:t>$50</w:t>
            </w:r>
          </w:p>
        </w:tc>
        <w:tc>
          <w:tcPr>
            <w:tcW w:w="3434" w:type="dxa"/>
            <w:shd w:val="clear" w:color="auto" w:fill="auto"/>
            <w:tcMar>
              <w:top w:w="113" w:type="dxa"/>
              <w:left w:w="113" w:type="dxa"/>
              <w:bottom w:w="113" w:type="dxa"/>
              <w:right w:w="113" w:type="dxa"/>
            </w:tcMar>
          </w:tcPr>
          <w:p w14:paraId="564694D9" w14:textId="77777777" w:rsidR="00BB2B23" w:rsidRPr="002C06E4" w:rsidRDefault="00BB2B23" w:rsidP="00F5693B">
            <w:pPr>
              <w:pStyle w:val="Tablesmalltext"/>
              <w:jc w:val="center"/>
              <w:rPr>
                <w:color w:val="auto"/>
              </w:rPr>
            </w:pPr>
            <w:r w:rsidRPr="002C06E4">
              <w:rPr>
                <w:color w:val="auto"/>
              </w:rPr>
              <w:t>$171</w:t>
            </w:r>
          </w:p>
        </w:tc>
      </w:tr>
    </w:tbl>
    <w:p w14:paraId="564694DB" w14:textId="77777777" w:rsidR="00BB2B23" w:rsidRDefault="00BB2B23" w:rsidP="00BB2B23">
      <w:pPr>
        <w:pStyle w:val="Text"/>
      </w:pPr>
    </w:p>
    <w:p w14:paraId="564694DC" w14:textId="77777777" w:rsidR="00BB2B23" w:rsidRDefault="00BB2B23" w:rsidP="00BB2B23">
      <w:pPr>
        <w:pStyle w:val="Text"/>
      </w:pPr>
      <w:r>
        <w:t>Under the recommended scenario, this transfer would be revenue to the Australian Government. Under the alternative implementation scenario, in which quota is allocated under a ‘grandfathering’ method, this transfer would be income to the holders of quota rights.</w:t>
      </w:r>
    </w:p>
    <w:p w14:paraId="564694DD" w14:textId="77777777" w:rsidR="00BB2B23" w:rsidRDefault="00BB2B23" w:rsidP="00BB2B23">
      <w:pPr>
        <w:pStyle w:val="Text"/>
      </w:pPr>
      <w:r>
        <w:t xml:space="preserve">In any case, these transfer estimates should be considered to be indicative only, as they are based on a range of assumptions that cannot be easily validated, such as the future demand schedule. </w:t>
      </w:r>
    </w:p>
    <w:p w14:paraId="564694DE" w14:textId="77777777" w:rsidR="00BB2B23" w:rsidRDefault="00BB2B23" w:rsidP="00BB2B23">
      <w:pPr>
        <w:pStyle w:val="Subhead3"/>
      </w:pPr>
      <w:r>
        <w:t>Competition impacts and distributional impacts</w:t>
      </w:r>
    </w:p>
    <w:p w14:paraId="564694DF" w14:textId="77777777" w:rsidR="00BB2B23" w:rsidRDefault="00BB2B23" w:rsidP="00BB2B23">
      <w:pPr>
        <w:pStyle w:val="Text"/>
      </w:pPr>
      <w:r>
        <w:t>The recommended method for allocation of HFC import quota is via a periodic open-market auction, or equivalent process that ensures that all firms (incumbent, new entrant) have an equal opportunity to obtain the HFC quantities they desire. Should demand exceed supply at the time of any auction, this system should ensure that the quota goes to the party who values it most.</w:t>
      </w:r>
    </w:p>
    <w:p w14:paraId="564694E0" w14:textId="77777777" w:rsidR="00BB2B23" w:rsidRDefault="00BB2B23" w:rsidP="00BB2B23">
      <w:pPr>
        <w:pStyle w:val="Text"/>
      </w:pPr>
    </w:p>
    <w:p w14:paraId="564694E1" w14:textId="77777777" w:rsidR="00BB2B23" w:rsidRDefault="00BB2B23" w:rsidP="00BB2B23">
      <w:pPr>
        <w:pStyle w:val="Subhead3"/>
      </w:pPr>
      <w:r>
        <w:t>Alternative allocation method</w:t>
      </w:r>
    </w:p>
    <w:p w14:paraId="564694E2" w14:textId="77777777" w:rsidR="00BB2B23" w:rsidRDefault="00BB2B23" w:rsidP="00BB2B23">
      <w:pPr>
        <w:pStyle w:val="Text"/>
      </w:pPr>
      <w:r>
        <w:t>Another method is to allocate most of the quota, free of charge, to existing importers. This alternative allocation method is not recommended but, if it is adopted, the RIS recommends that it be subject to special review arrangements at appropriate intervals.</w:t>
      </w:r>
    </w:p>
    <w:p w14:paraId="564694E3" w14:textId="77777777" w:rsidR="00BB2B23" w:rsidRDefault="00BB2B23" w:rsidP="00BB2B23">
      <w:pPr>
        <w:pStyle w:val="Text"/>
      </w:pPr>
      <w:r>
        <w:t xml:space="preserve">There are currently around 30 importers of HFCs in the Australian market, with this figure holding more or less steady over the comparable time period of the HCFC phase-out beginning in the mid 1990s. Of these, two importers represent 50 per cent of the total market with this break down of the market also relatively steady over the same time period. The allocation of quota to these incumbent firms presents a barrier to new entrants, which is not faced by the incumbent importers, thus limiting the number or types of businesses that may import HFC in the future. </w:t>
      </w:r>
    </w:p>
    <w:p w14:paraId="564694E4" w14:textId="77777777" w:rsidR="00BB2B23" w:rsidRDefault="00BB2B23" w:rsidP="00BB2B23">
      <w:pPr>
        <w:pStyle w:val="Text"/>
      </w:pPr>
      <w:r>
        <w:t>The alternative allocation method has the potential to exclude new entrants from any markets in which HFC is a possible input in the short term, so provision would be made for new entrants to apply for a portion of the 5–10 per cent of quota set aside for this group. Future demand for HFC cannot be predicted and may be more or less than this amount in any given quota period. Any uncertainty for new entrants about their ability to access HFC quota when they need it necessarily raises the costs of entry, such as by making capital more difficult to secure.</w:t>
      </w:r>
    </w:p>
    <w:p w14:paraId="564694E5" w14:textId="77777777" w:rsidR="00BB2B23" w:rsidRDefault="00BB2B23" w:rsidP="00BB2B23">
      <w:pPr>
        <w:pStyle w:val="Text"/>
      </w:pPr>
      <w:r>
        <w:t xml:space="preserve">Competition would be protected by ensuring that quota holders are not restricted from re-selling their quota or gas on the domestic market. Markets are complex and the HFC phase-down option operates at the simplest level, by limiting the quantity of gas imported. Once imported, gas might be used by the importer (downstream production) or resold to other parties to incorporate in products or consume in other processes. If there is inadequate gas to meet the requirements of all potential domestic users, at the pre-quota price, then the domestic price for HFC will have to rise until demand and supply are again equal. Holders of grandfathered quota will also face a choice: use the gas, or resell it at the (possibly higher) domestic price. This freedom to resell means that, if the relevant markets are perfectly efficient, then any firm that wants to use HFC will be assured that they can secure supply, and that prices are likely to be higher than the import price. In this way, the downstream markets remain competitive even if imports are tied up by incumbents. In fact, the opportunity cost for a quota holder to continue to participate in downstream markets will increase as the opportunity for arbitrage profits increases. While this involves a transfer of wealth from consumers to quota holders, innovation in the market is protected. </w:t>
      </w:r>
    </w:p>
    <w:p w14:paraId="564694E6" w14:textId="77777777" w:rsidR="00BB2B23" w:rsidRDefault="00BB2B23" w:rsidP="00BB2B23">
      <w:pPr>
        <w:pStyle w:val="Text"/>
      </w:pPr>
      <w:r>
        <w:t xml:space="preserve">Thus, grandfathering quota under the alternative allocation method increases the cost of exit from the import market, but may encourage exit from downstream markets (for those importers who were vertically integrated) since firms that hold quota rights face an incentive to continue to import, to retain the option value of being able to exploit potential rents generated by regulatory scarcity, which may be valuable in perpetuity. </w:t>
      </w:r>
    </w:p>
    <w:p w14:paraId="564694E7" w14:textId="77777777" w:rsidR="00BB2B23" w:rsidRDefault="00BB2B23" w:rsidP="00BB2B23">
      <w:pPr>
        <w:pStyle w:val="Text"/>
      </w:pPr>
      <w:r>
        <w:t>The distributional impacts of grandfathering may be small as substitute technologies become cost-effective, or they could be large. For example, with HFC imports at 8Mt of CO</w:t>
      </w:r>
      <w:r>
        <w:rPr>
          <w:rStyle w:val="subscript"/>
        </w:rPr>
        <w:t>2</w:t>
      </w:r>
      <w:r>
        <w:t xml:space="preserve">-e (equivalent to 5.6 million kg of HFC-134a) which presently trades for the world price of AUD$26 per kg, the value of a year’s imports is in the </w:t>
      </w:r>
      <w:r>
        <w:lastRenderedPageBreak/>
        <w:t>order of $145 million. Given a supply elasticity of zero (under the quota), a (for example) 10 per cent increase in price is conceivable and would transfer wealth of around $15 million from consumers to quota holders annually. Transfers are conventionally excluded from a cost-benefit analysis but indicative modelling has been described above in Table 2.</w:t>
      </w:r>
    </w:p>
    <w:p w14:paraId="564694E8" w14:textId="77777777" w:rsidR="00BB2B23" w:rsidRDefault="00BB2B23" w:rsidP="00BB2B23">
      <w:pPr>
        <w:pStyle w:val="Text"/>
      </w:pPr>
      <w:r>
        <w:t xml:space="preserve">The recommended allocation method, involving the open auction of all quota, would put incumbents and new entrants on an equal competitive footing at all stages of the import-distribution-consumption chain. This option, however, is untested whereas the grandfathering approach was used in the phase-out of ODS in Australia, and is being used for the phase-down of HFCs currently underway in Europe. The auction method also involves a financial transfer (depending on demand) from industry to government which is likely to be similar in size to the arbitrage profits described above and in Table 2. </w:t>
      </w:r>
    </w:p>
    <w:p w14:paraId="564694E9" w14:textId="77777777" w:rsidR="00BB2B23" w:rsidRDefault="00BB2B23" w:rsidP="00BB2B23">
      <w:pPr>
        <w:pStyle w:val="Text"/>
      </w:pPr>
      <w:r>
        <w:t xml:space="preserve">While elements of the proposal do not promote competition, any adverse impact is limited to the import stage of the market, with downstream markets able to remain competitive, and the extent of competition impact is reduced by provisions to set aside up to 10 per cent of quota for new entrants. Based on these factors, it is possible that the allocation mechanisms of the proposed regulation would not impose significant costs on consumers additional to the costs imposed by limiting HFC supply </w:t>
      </w:r>
      <w:r>
        <w:rPr>
          <w:rStyle w:val="TextItalic"/>
        </w:rPr>
        <w:t>per se</w:t>
      </w:r>
      <w:r>
        <w:t xml:space="preserve"> (these default costs are fully captured in the form of higher prices by the regulatory burden measurement framework and by the cost-benefit analysis discussed in Section 6).</w:t>
      </w:r>
    </w:p>
    <w:p w14:paraId="564694EA" w14:textId="77777777" w:rsidR="00BB2B23" w:rsidRDefault="00BB2B23" w:rsidP="00BB2B23">
      <w:pPr>
        <w:pStyle w:val="Text"/>
      </w:pPr>
      <w:r>
        <w:t>If the alternative allocation method was used, then strategies to protect against the risks to competition and distributional impacts must be considered within the review mechanism. Specifically, a review should be conducted at five year intervals and will include consideration of the quota allocation, including whether scarcity rents are being observed and appropriately managed</w:t>
      </w:r>
    </w:p>
    <w:p w14:paraId="564694EB" w14:textId="77777777" w:rsidR="00BB2B23" w:rsidRDefault="00BB2B23" w:rsidP="00BB2B23">
      <w:pPr>
        <w:pStyle w:val="Subhead3"/>
      </w:pPr>
      <w:r>
        <w:t xml:space="preserve">Cost-Benefit Analysis </w:t>
      </w:r>
    </w:p>
    <w:p w14:paraId="564694EC" w14:textId="77777777" w:rsidR="00BB2B23" w:rsidRDefault="00BB2B23" w:rsidP="00BB2B23">
      <w:pPr>
        <w:pStyle w:val="Text"/>
      </w:pPr>
      <w:r>
        <w:t xml:space="preserve">The cost-benefit analysis is provided in Table 3. The table shows that the HFC phase-down would provide a positive net benefit under each proposal between 2016 and 2030. </w:t>
      </w:r>
    </w:p>
    <w:p w14:paraId="564694ED" w14:textId="77777777" w:rsidR="00BB2B23" w:rsidRDefault="00BB2B23" w:rsidP="00BB2B23">
      <w:pPr>
        <w:pStyle w:val="Text"/>
      </w:pPr>
      <w:r>
        <w:t xml:space="preserve">The differences arise from a greater modelled level of end of life equipment replacement under the Accelerated alternative, particularly small mobile air conditioning requiring higher expenditure on refrigerant gases. However, if other parts of the industry choose to increase maintenance, the pressure to reduce imports in the automotive industry may reduce, and it could be cost effective to undertake the Accelerated alternative in this circumstance. </w:t>
      </w:r>
    </w:p>
    <w:p w14:paraId="564694EE" w14:textId="77777777" w:rsidR="00BB2B23" w:rsidRDefault="00BB2B23" w:rsidP="00BB2B23">
      <w:pPr>
        <w:pStyle w:val="Text"/>
      </w:pPr>
      <w:r>
        <w:t>See summary Table 3 and additional detail in Jacobs report page 34–39.</w:t>
      </w:r>
    </w:p>
    <w:p w14:paraId="564694EF" w14:textId="77777777" w:rsidR="00BB2B23" w:rsidRDefault="00BB2B23" w:rsidP="00BB2B23">
      <w:pPr>
        <w:pStyle w:val="Tabletitle"/>
      </w:pPr>
      <w:r>
        <w:t>Table 3: Cost-benefit analysis of HFC phase-down scenario, $000s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6"/>
        <w:gridCol w:w="2164"/>
        <w:gridCol w:w="850"/>
        <w:gridCol w:w="1276"/>
        <w:gridCol w:w="1134"/>
        <w:gridCol w:w="1134"/>
        <w:gridCol w:w="1087"/>
      </w:tblGrid>
      <w:tr w:rsidR="00BB2B23" w:rsidRPr="002C06E4" w14:paraId="564694F4" w14:textId="77777777" w:rsidTr="002C06E4">
        <w:trPr>
          <w:trHeight w:val="308"/>
          <w:tblHeader/>
        </w:trPr>
        <w:tc>
          <w:tcPr>
            <w:tcW w:w="3770" w:type="dxa"/>
            <w:gridSpan w:val="2"/>
            <w:vMerge w:val="restart"/>
            <w:shd w:val="clear" w:color="auto" w:fill="auto"/>
            <w:tcMar>
              <w:top w:w="113" w:type="dxa"/>
              <w:left w:w="113" w:type="dxa"/>
              <w:bottom w:w="113" w:type="dxa"/>
              <w:right w:w="113" w:type="dxa"/>
            </w:tcMar>
          </w:tcPr>
          <w:p w14:paraId="564694F0"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850" w:type="dxa"/>
            <w:vMerge w:val="restart"/>
            <w:shd w:val="clear" w:color="auto" w:fill="auto"/>
            <w:tcMar>
              <w:top w:w="113" w:type="dxa"/>
              <w:left w:w="113" w:type="dxa"/>
              <w:bottom w:w="113" w:type="dxa"/>
              <w:right w:w="113" w:type="dxa"/>
            </w:tcMar>
          </w:tcPr>
          <w:p w14:paraId="564694F1" w14:textId="77777777" w:rsidR="00BB2B23" w:rsidRPr="002C06E4" w:rsidRDefault="00BB2B23" w:rsidP="00F5693B">
            <w:pPr>
              <w:pStyle w:val="Tablesmallheading"/>
              <w:jc w:val="center"/>
              <w:rPr>
                <w:color w:val="auto"/>
              </w:rPr>
            </w:pPr>
            <w:r w:rsidRPr="002C06E4">
              <w:rPr>
                <w:color w:val="auto"/>
              </w:rPr>
              <w:t>Unit</w:t>
            </w:r>
          </w:p>
        </w:tc>
        <w:tc>
          <w:tcPr>
            <w:tcW w:w="2410" w:type="dxa"/>
            <w:gridSpan w:val="2"/>
            <w:shd w:val="clear" w:color="auto" w:fill="auto"/>
            <w:tcMar>
              <w:top w:w="113" w:type="dxa"/>
              <w:left w:w="113" w:type="dxa"/>
              <w:bottom w:w="113" w:type="dxa"/>
              <w:right w:w="113" w:type="dxa"/>
            </w:tcMar>
          </w:tcPr>
          <w:p w14:paraId="564694F2" w14:textId="77777777" w:rsidR="00BB2B23" w:rsidRPr="002C06E4" w:rsidRDefault="00BB2B23" w:rsidP="00F5693B">
            <w:pPr>
              <w:pStyle w:val="Tablesmallheading"/>
              <w:jc w:val="center"/>
              <w:rPr>
                <w:color w:val="auto"/>
              </w:rPr>
            </w:pPr>
            <w:r w:rsidRPr="002C06E4">
              <w:rPr>
                <w:color w:val="auto"/>
              </w:rPr>
              <w:t>Accelerated alternative phase-down</w:t>
            </w:r>
          </w:p>
        </w:tc>
        <w:tc>
          <w:tcPr>
            <w:tcW w:w="2221" w:type="dxa"/>
            <w:gridSpan w:val="2"/>
            <w:shd w:val="clear" w:color="auto" w:fill="auto"/>
            <w:tcMar>
              <w:top w:w="113" w:type="dxa"/>
              <w:left w:w="113" w:type="dxa"/>
              <w:bottom w:w="113" w:type="dxa"/>
              <w:right w:w="113" w:type="dxa"/>
            </w:tcMar>
          </w:tcPr>
          <w:p w14:paraId="564694F3" w14:textId="77777777" w:rsidR="00BB2B23" w:rsidRPr="002C06E4" w:rsidRDefault="00BB2B23" w:rsidP="00F5693B">
            <w:pPr>
              <w:pStyle w:val="Tablesmallheading"/>
              <w:jc w:val="center"/>
              <w:rPr>
                <w:color w:val="auto"/>
              </w:rPr>
            </w:pPr>
            <w:r w:rsidRPr="002C06E4">
              <w:rPr>
                <w:color w:val="auto"/>
              </w:rPr>
              <w:t>North American amendment phase-down</w:t>
            </w:r>
          </w:p>
        </w:tc>
      </w:tr>
      <w:tr w:rsidR="00BB2B23" w:rsidRPr="002C06E4" w14:paraId="564694FB" w14:textId="77777777" w:rsidTr="002C06E4">
        <w:trPr>
          <w:trHeight w:val="630"/>
          <w:tblHeader/>
        </w:trPr>
        <w:tc>
          <w:tcPr>
            <w:tcW w:w="3770" w:type="dxa"/>
            <w:gridSpan w:val="2"/>
            <w:vMerge/>
            <w:shd w:val="clear" w:color="auto" w:fill="auto"/>
          </w:tcPr>
          <w:p w14:paraId="564694F5"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850" w:type="dxa"/>
            <w:vMerge/>
            <w:shd w:val="clear" w:color="auto" w:fill="auto"/>
          </w:tcPr>
          <w:p w14:paraId="564694F6"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1276" w:type="dxa"/>
            <w:shd w:val="clear" w:color="auto" w:fill="auto"/>
            <w:tcMar>
              <w:top w:w="113" w:type="dxa"/>
              <w:left w:w="113" w:type="dxa"/>
              <w:bottom w:w="113" w:type="dxa"/>
              <w:right w:w="113" w:type="dxa"/>
            </w:tcMar>
          </w:tcPr>
          <w:p w14:paraId="564694F7" w14:textId="77777777" w:rsidR="00BB2B23" w:rsidRPr="002C06E4" w:rsidRDefault="00BB2B23" w:rsidP="00F5693B">
            <w:pPr>
              <w:pStyle w:val="Tablesmallheading"/>
              <w:jc w:val="center"/>
              <w:rPr>
                <w:color w:val="auto"/>
              </w:rPr>
            </w:pPr>
            <w:r w:rsidRPr="002C06E4">
              <w:rPr>
                <w:color w:val="auto"/>
              </w:rPr>
              <w:t>NPV, 2016–2020</w:t>
            </w:r>
          </w:p>
        </w:tc>
        <w:tc>
          <w:tcPr>
            <w:tcW w:w="1134" w:type="dxa"/>
            <w:shd w:val="clear" w:color="auto" w:fill="auto"/>
            <w:tcMar>
              <w:top w:w="113" w:type="dxa"/>
              <w:left w:w="113" w:type="dxa"/>
              <w:bottom w:w="113" w:type="dxa"/>
              <w:right w:w="113" w:type="dxa"/>
            </w:tcMar>
          </w:tcPr>
          <w:p w14:paraId="564694F8" w14:textId="77777777" w:rsidR="00BB2B23" w:rsidRPr="002C06E4" w:rsidRDefault="00BB2B23" w:rsidP="00F5693B">
            <w:pPr>
              <w:pStyle w:val="Tablesmallheading"/>
              <w:jc w:val="center"/>
              <w:rPr>
                <w:color w:val="auto"/>
              </w:rPr>
            </w:pPr>
            <w:r w:rsidRPr="002C06E4">
              <w:rPr>
                <w:color w:val="auto"/>
              </w:rPr>
              <w:t>NPV, 2016–2030</w:t>
            </w:r>
          </w:p>
        </w:tc>
        <w:tc>
          <w:tcPr>
            <w:tcW w:w="1134" w:type="dxa"/>
            <w:shd w:val="clear" w:color="auto" w:fill="auto"/>
            <w:tcMar>
              <w:top w:w="113" w:type="dxa"/>
              <w:left w:w="113" w:type="dxa"/>
              <w:bottom w:w="113" w:type="dxa"/>
              <w:right w:w="113" w:type="dxa"/>
            </w:tcMar>
          </w:tcPr>
          <w:p w14:paraId="564694F9" w14:textId="77777777" w:rsidR="00BB2B23" w:rsidRPr="002C06E4" w:rsidRDefault="00BB2B23" w:rsidP="00F5693B">
            <w:pPr>
              <w:pStyle w:val="Tablesmallheading"/>
              <w:jc w:val="center"/>
              <w:rPr>
                <w:color w:val="auto"/>
              </w:rPr>
            </w:pPr>
            <w:r w:rsidRPr="002C06E4">
              <w:rPr>
                <w:color w:val="auto"/>
              </w:rPr>
              <w:t>NPV, 2016–2020</w:t>
            </w:r>
          </w:p>
        </w:tc>
        <w:tc>
          <w:tcPr>
            <w:tcW w:w="1087" w:type="dxa"/>
            <w:shd w:val="clear" w:color="auto" w:fill="auto"/>
            <w:tcMar>
              <w:top w:w="113" w:type="dxa"/>
              <w:left w:w="113" w:type="dxa"/>
              <w:bottom w:w="113" w:type="dxa"/>
              <w:right w:w="113" w:type="dxa"/>
            </w:tcMar>
          </w:tcPr>
          <w:p w14:paraId="564694FA" w14:textId="77777777" w:rsidR="00BB2B23" w:rsidRPr="002C06E4" w:rsidRDefault="00BB2B23" w:rsidP="00F5693B">
            <w:pPr>
              <w:pStyle w:val="Tablesmallheading"/>
              <w:jc w:val="center"/>
              <w:rPr>
                <w:color w:val="auto"/>
              </w:rPr>
            </w:pPr>
            <w:r w:rsidRPr="002C06E4">
              <w:rPr>
                <w:color w:val="auto"/>
              </w:rPr>
              <w:t>NPV, 2016–2030</w:t>
            </w:r>
          </w:p>
        </w:tc>
      </w:tr>
      <w:tr w:rsidR="00BB2B23" w:rsidRPr="002C06E4" w14:paraId="56469502" w14:textId="77777777" w:rsidTr="002C06E4">
        <w:trPr>
          <w:trHeight w:val="210"/>
        </w:trPr>
        <w:tc>
          <w:tcPr>
            <w:tcW w:w="3770" w:type="dxa"/>
            <w:gridSpan w:val="2"/>
            <w:shd w:val="clear" w:color="auto" w:fill="auto"/>
            <w:tcMar>
              <w:top w:w="113" w:type="dxa"/>
              <w:left w:w="113" w:type="dxa"/>
              <w:bottom w:w="113" w:type="dxa"/>
              <w:right w:w="113" w:type="dxa"/>
            </w:tcMar>
          </w:tcPr>
          <w:p w14:paraId="564694FC" w14:textId="77777777" w:rsidR="00BB2B23" w:rsidRPr="002C06E4" w:rsidRDefault="00BB2B23" w:rsidP="00F5693B">
            <w:pPr>
              <w:pStyle w:val="Tablesmalltext"/>
              <w:rPr>
                <w:color w:val="auto"/>
              </w:rPr>
            </w:pPr>
            <w:r w:rsidRPr="002C06E4">
              <w:rPr>
                <w:rStyle w:val="TextBold"/>
                <w:color w:val="auto"/>
              </w:rPr>
              <w:t>Net Benefits</w:t>
            </w:r>
          </w:p>
        </w:tc>
        <w:tc>
          <w:tcPr>
            <w:tcW w:w="850" w:type="dxa"/>
            <w:shd w:val="clear" w:color="auto" w:fill="auto"/>
            <w:tcMar>
              <w:top w:w="113" w:type="dxa"/>
              <w:left w:w="113" w:type="dxa"/>
              <w:bottom w:w="113" w:type="dxa"/>
              <w:right w:w="113" w:type="dxa"/>
            </w:tcMar>
          </w:tcPr>
          <w:p w14:paraId="564694FD" w14:textId="77777777" w:rsidR="00BB2B23" w:rsidRPr="002C06E4" w:rsidRDefault="00BB2B23" w:rsidP="00F5693B">
            <w:pPr>
              <w:pStyle w:val="Tablesmalltext"/>
              <w:jc w:val="center"/>
              <w:rPr>
                <w:color w:val="auto"/>
              </w:rPr>
            </w:pPr>
            <w:r w:rsidRPr="002C06E4">
              <w:rPr>
                <w:rStyle w:val="TextBold"/>
                <w:color w:val="auto"/>
              </w:rPr>
              <w:t>$000s</w:t>
            </w:r>
          </w:p>
        </w:tc>
        <w:tc>
          <w:tcPr>
            <w:tcW w:w="1276" w:type="dxa"/>
            <w:shd w:val="clear" w:color="auto" w:fill="auto"/>
            <w:tcMar>
              <w:top w:w="113" w:type="dxa"/>
              <w:left w:w="113" w:type="dxa"/>
              <w:bottom w:w="113" w:type="dxa"/>
              <w:right w:w="113" w:type="dxa"/>
            </w:tcMar>
          </w:tcPr>
          <w:p w14:paraId="564694FE" w14:textId="77777777" w:rsidR="00BB2B23" w:rsidRPr="002C06E4" w:rsidRDefault="00BB2B23" w:rsidP="00F5693B">
            <w:pPr>
              <w:pStyle w:val="Tablesmalltext"/>
              <w:jc w:val="center"/>
              <w:rPr>
                <w:color w:val="auto"/>
              </w:rPr>
            </w:pPr>
            <w:r w:rsidRPr="002C06E4">
              <w:rPr>
                <w:rStyle w:val="TextBold"/>
                <w:color w:val="auto"/>
              </w:rPr>
              <w:t>-3652</w:t>
            </w:r>
          </w:p>
        </w:tc>
        <w:tc>
          <w:tcPr>
            <w:tcW w:w="1134" w:type="dxa"/>
            <w:shd w:val="clear" w:color="auto" w:fill="auto"/>
            <w:tcMar>
              <w:top w:w="113" w:type="dxa"/>
              <w:left w:w="113" w:type="dxa"/>
              <w:bottom w:w="113" w:type="dxa"/>
              <w:right w:w="113" w:type="dxa"/>
            </w:tcMar>
          </w:tcPr>
          <w:p w14:paraId="564694FF" w14:textId="77777777" w:rsidR="00BB2B23" w:rsidRPr="002C06E4" w:rsidRDefault="00BB2B23" w:rsidP="00F5693B">
            <w:pPr>
              <w:pStyle w:val="Tablesmalltext"/>
              <w:jc w:val="center"/>
              <w:rPr>
                <w:color w:val="auto"/>
              </w:rPr>
            </w:pPr>
            <w:r w:rsidRPr="002C06E4">
              <w:rPr>
                <w:rStyle w:val="TextBold"/>
                <w:color w:val="auto"/>
              </w:rPr>
              <w:t>10,491</w:t>
            </w:r>
          </w:p>
        </w:tc>
        <w:tc>
          <w:tcPr>
            <w:tcW w:w="1134" w:type="dxa"/>
            <w:shd w:val="clear" w:color="auto" w:fill="auto"/>
            <w:tcMar>
              <w:top w:w="113" w:type="dxa"/>
              <w:left w:w="113" w:type="dxa"/>
              <w:bottom w:w="113" w:type="dxa"/>
              <w:right w:w="113" w:type="dxa"/>
            </w:tcMar>
          </w:tcPr>
          <w:p w14:paraId="56469500" w14:textId="77777777" w:rsidR="00BB2B23" w:rsidRPr="002C06E4" w:rsidRDefault="00BB2B23" w:rsidP="00F5693B">
            <w:pPr>
              <w:pStyle w:val="Tablesmalltext"/>
              <w:jc w:val="center"/>
              <w:rPr>
                <w:color w:val="auto"/>
              </w:rPr>
            </w:pPr>
            <w:r w:rsidRPr="002C06E4">
              <w:rPr>
                <w:rStyle w:val="TextBold"/>
                <w:color w:val="auto"/>
              </w:rPr>
              <w:t>5712</w:t>
            </w:r>
          </w:p>
        </w:tc>
        <w:tc>
          <w:tcPr>
            <w:tcW w:w="1087" w:type="dxa"/>
            <w:shd w:val="clear" w:color="auto" w:fill="auto"/>
            <w:tcMar>
              <w:top w:w="113" w:type="dxa"/>
              <w:left w:w="113" w:type="dxa"/>
              <w:bottom w:w="113" w:type="dxa"/>
              <w:right w:w="113" w:type="dxa"/>
            </w:tcMar>
          </w:tcPr>
          <w:p w14:paraId="56469501" w14:textId="77777777" w:rsidR="00BB2B23" w:rsidRPr="002C06E4" w:rsidRDefault="00BB2B23" w:rsidP="00F5693B">
            <w:pPr>
              <w:pStyle w:val="Tablesmalltext"/>
              <w:jc w:val="center"/>
              <w:rPr>
                <w:color w:val="auto"/>
              </w:rPr>
            </w:pPr>
            <w:r w:rsidRPr="002C06E4">
              <w:rPr>
                <w:rStyle w:val="TextBold"/>
                <w:color w:val="auto"/>
              </w:rPr>
              <w:t>39,667</w:t>
            </w:r>
          </w:p>
        </w:tc>
      </w:tr>
      <w:tr w:rsidR="00BB2B23" w:rsidRPr="002C06E4" w14:paraId="56469504" w14:textId="77777777" w:rsidTr="002C06E4">
        <w:trPr>
          <w:trHeight w:val="210"/>
        </w:trPr>
        <w:tc>
          <w:tcPr>
            <w:tcW w:w="9251" w:type="dxa"/>
            <w:gridSpan w:val="7"/>
            <w:shd w:val="clear" w:color="auto" w:fill="auto"/>
            <w:tcMar>
              <w:top w:w="113" w:type="dxa"/>
              <w:left w:w="113" w:type="dxa"/>
              <w:bottom w:w="113" w:type="dxa"/>
              <w:right w:w="113" w:type="dxa"/>
            </w:tcMar>
          </w:tcPr>
          <w:p w14:paraId="56469503" w14:textId="77777777" w:rsidR="00BB2B23" w:rsidRPr="002C06E4" w:rsidRDefault="00BB2B23" w:rsidP="00F5693B">
            <w:pPr>
              <w:pStyle w:val="Tablesmalltext"/>
              <w:rPr>
                <w:color w:val="auto"/>
              </w:rPr>
            </w:pPr>
            <w:r w:rsidRPr="002C06E4">
              <w:rPr>
                <w:rStyle w:val="TextBold"/>
                <w:color w:val="auto"/>
              </w:rPr>
              <w:lastRenderedPageBreak/>
              <w:t>Benefits</w:t>
            </w:r>
          </w:p>
        </w:tc>
      </w:tr>
      <w:tr w:rsidR="00BB2B23" w:rsidRPr="002C06E4" w14:paraId="5646950C" w14:textId="77777777" w:rsidTr="002C06E4">
        <w:trPr>
          <w:trHeight w:val="210"/>
        </w:trPr>
        <w:tc>
          <w:tcPr>
            <w:tcW w:w="1606" w:type="dxa"/>
            <w:vMerge w:val="restart"/>
            <w:shd w:val="clear" w:color="auto" w:fill="auto"/>
            <w:tcMar>
              <w:top w:w="113" w:type="dxa"/>
              <w:left w:w="113" w:type="dxa"/>
              <w:bottom w:w="113" w:type="dxa"/>
              <w:right w:w="113" w:type="dxa"/>
            </w:tcMar>
          </w:tcPr>
          <w:p w14:paraId="56469505" w14:textId="77777777" w:rsidR="00BB2B23" w:rsidRPr="002C06E4" w:rsidRDefault="00BB2B23" w:rsidP="00F5693B">
            <w:pPr>
              <w:pStyle w:val="Tablesmalltext"/>
              <w:rPr>
                <w:color w:val="auto"/>
              </w:rPr>
            </w:pPr>
            <w:r w:rsidRPr="002C06E4">
              <w:rPr>
                <w:rStyle w:val="TextBold"/>
                <w:color w:val="auto"/>
              </w:rPr>
              <w:t>Carbon saving</w:t>
            </w:r>
          </w:p>
        </w:tc>
        <w:tc>
          <w:tcPr>
            <w:tcW w:w="2164" w:type="dxa"/>
            <w:shd w:val="clear" w:color="auto" w:fill="auto"/>
            <w:tcMar>
              <w:top w:w="113" w:type="dxa"/>
              <w:left w:w="113" w:type="dxa"/>
              <w:bottom w:w="113" w:type="dxa"/>
              <w:right w:w="113" w:type="dxa"/>
            </w:tcMar>
          </w:tcPr>
          <w:p w14:paraId="56469506" w14:textId="77777777" w:rsidR="00BB2B23" w:rsidRPr="002C06E4" w:rsidRDefault="00BB2B23" w:rsidP="00F5693B">
            <w:pPr>
              <w:pStyle w:val="Tablesmalltext"/>
              <w:rPr>
                <w:color w:val="auto"/>
              </w:rPr>
            </w:pPr>
            <w:r w:rsidRPr="002C06E4">
              <w:rPr>
                <w:color w:val="auto"/>
              </w:rPr>
              <w:t>Direct (leakage)</w:t>
            </w:r>
          </w:p>
        </w:tc>
        <w:tc>
          <w:tcPr>
            <w:tcW w:w="850" w:type="dxa"/>
            <w:shd w:val="clear" w:color="auto" w:fill="auto"/>
            <w:tcMar>
              <w:top w:w="113" w:type="dxa"/>
              <w:left w:w="113" w:type="dxa"/>
              <w:bottom w:w="113" w:type="dxa"/>
              <w:right w:w="113" w:type="dxa"/>
            </w:tcMar>
          </w:tcPr>
          <w:p w14:paraId="56469507" w14:textId="77777777" w:rsidR="00BB2B23" w:rsidRPr="002C06E4" w:rsidRDefault="00BB2B23" w:rsidP="00F5693B">
            <w:pPr>
              <w:pStyle w:val="Tablesmalltext"/>
              <w:jc w:val="center"/>
              <w:rPr>
                <w:color w:val="auto"/>
              </w:rPr>
            </w:pPr>
            <w:r w:rsidRPr="002C06E4">
              <w:rPr>
                <w:color w:val="auto"/>
              </w:rPr>
              <w:t>$000s</w:t>
            </w:r>
          </w:p>
        </w:tc>
        <w:tc>
          <w:tcPr>
            <w:tcW w:w="1276" w:type="dxa"/>
            <w:shd w:val="clear" w:color="auto" w:fill="auto"/>
            <w:tcMar>
              <w:top w:w="113" w:type="dxa"/>
              <w:left w:w="113" w:type="dxa"/>
              <w:bottom w:w="113" w:type="dxa"/>
              <w:right w:w="113" w:type="dxa"/>
            </w:tcMar>
          </w:tcPr>
          <w:p w14:paraId="56469508" w14:textId="77777777" w:rsidR="00BB2B23" w:rsidRPr="002C06E4" w:rsidRDefault="00BB2B23" w:rsidP="00F5693B">
            <w:pPr>
              <w:pStyle w:val="Tablesmalltext"/>
              <w:jc w:val="center"/>
              <w:rPr>
                <w:color w:val="auto"/>
              </w:rPr>
            </w:pPr>
            <w:r w:rsidRPr="002C06E4">
              <w:rPr>
                <w:color w:val="auto"/>
              </w:rPr>
              <w:t>6528</w:t>
            </w:r>
          </w:p>
        </w:tc>
        <w:tc>
          <w:tcPr>
            <w:tcW w:w="1134" w:type="dxa"/>
            <w:shd w:val="clear" w:color="auto" w:fill="auto"/>
            <w:tcMar>
              <w:top w:w="113" w:type="dxa"/>
              <w:left w:w="113" w:type="dxa"/>
              <w:bottom w:w="113" w:type="dxa"/>
              <w:right w:w="113" w:type="dxa"/>
            </w:tcMar>
          </w:tcPr>
          <w:p w14:paraId="56469509" w14:textId="77777777" w:rsidR="00BB2B23" w:rsidRPr="002C06E4" w:rsidRDefault="00BB2B23" w:rsidP="00F5693B">
            <w:pPr>
              <w:pStyle w:val="Tablesmalltext"/>
              <w:jc w:val="center"/>
              <w:rPr>
                <w:color w:val="auto"/>
              </w:rPr>
            </w:pPr>
            <w:r w:rsidRPr="002C06E4">
              <w:rPr>
                <w:color w:val="auto"/>
              </w:rPr>
              <w:t>44,155</w:t>
            </w:r>
          </w:p>
        </w:tc>
        <w:tc>
          <w:tcPr>
            <w:tcW w:w="1134" w:type="dxa"/>
            <w:shd w:val="clear" w:color="auto" w:fill="auto"/>
            <w:tcMar>
              <w:top w:w="113" w:type="dxa"/>
              <w:left w:w="113" w:type="dxa"/>
              <w:bottom w:w="113" w:type="dxa"/>
              <w:right w:w="113" w:type="dxa"/>
            </w:tcMar>
          </w:tcPr>
          <w:p w14:paraId="5646950A" w14:textId="77777777" w:rsidR="00BB2B23" w:rsidRPr="002C06E4" w:rsidRDefault="00BB2B23" w:rsidP="00F5693B">
            <w:pPr>
              <w:pStyle w:val="Tablesmalltext"/>
              <w:jc w:val="center"/>
              <w:rPr>
                <w:color w:val="auto"/>
              </w:rPr>
            </w:pPr>
            <w:r w:rsidRPr="002C06E4">
              <w:rPr>
                <w:color w:val="auto"/>
              </w:rPr>
              <w:t>3671</w:t>
            </w:r>
          </w:p>
        </w:tc>
        <w:tc>
          <w:tcPr>
            <w:tcW w:w="1087" w:type="dxa"/>
            <w:shd w:val="clear" w:color="auto" w:fill="auto"/>
            <w:tcMar>
              <w:top w:w="113" w:type="dxa"/>
              <w:left w:w="113" w:type="dxa"/>
              <w:bottom w:w="113" w:type="dxa"/>
              <w:right w:w="113" w:type="dxa"/>
            </w:tcMar>
          </w:tcPr>
          <w:p w14:paraId="5646950B" w14:textId="77777777" w:rsidR="00BB2B23" w:rsidRPr="002C06E4" w:rsidRDefault="00BB2B23" w:rsidP="00F5693B">
            <w:pPr>
              <w:pStyle w:val="Tablesmalltext"/>
              <w:jc w:val="center"/>
              <w:rPr>
                <w:color w:val="auto"/>
              </w:rPr>
            </w:pPr>
            <w:r w:rsidRPr="002C06E4">
              <w:rPr>
                <w:color w:val="auto"/>
              </w:rPr>
              <w:t>17,711</w:t>
            </w:r>
          </w:p>
        </w:tc>
      </w:tr>
      <w:tr w:rsidR="00BB2B23" w:rsidRPr="002C06E4" w14:paraId="56469514" w14:textId="77777777" w:rsidTr="002C06E4">
        <w:trPr>
          <w:trHeight w:val="210"/>
        </w:trPr>
        <w:tc>
          <w:tcPr>
            <w:tcW w:w="1606" w:type="dxa"/>
            <w:vMerge/>
            <w:shd w:val="clear" w:color="auto" w:fill="auto"/>
          </w:tcPr>
          <w:p w14:paraId="5646950D"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2164" w:type="dxa"/>
            <w:shd w:val="clear" w:color="auto" w:fill="auto"/>
            <w:tcMar>
              <w:top w:w="113" w:type="dxa"/>
              <w:left w:w="113" w:type="dxa"/>
              <w:bottom w:w="113" w:type="dxa"/>
              <w:right w:w="113" w:type="dxa"/>
            </w:tcMar>
          </w:tcPr>
          <w:p w14:paraId="5646950E" w14:textId="77777777" w:rsidR="00BB2B23" w:rsidRPr="002C06E4" w:rsidRDefault="00BB2B23" w:rsidP="00F5693B">
            <w:pPr>
              <w:pStyle w:val="Tablesmalltext"/>
              <w:rPr>
                <w:color w:val="auto"/>
              </w:rPr>
            </w:pPr>
            <w:r w:rsidRPr="002C06E4">
              <w:rPr>
                <w:color w:val="auto"/>
              </w:rPr>
              <w:t>Direct (reclaim and re-use)</w:t>
            </w:r>
          </w:p>
        </w:tc>
        <w:tc>
          <w:tcPr>
            <w:tcW w:w="850" w:type="dxa"/>
            <w:shd w:val="clear" w:color="auto" w:fill="auto"/>
            <w:tcMar>
              <w:top w:w="113" w:type="dxa"/>
              <w:left w:w="113" w:type="dxa"/>
              <w:bottom w:w="113" w:type="dxa"/>
              <w:right w:w="113" w:type="dxa"/>
            </w:tcMar>
          </w:tcPr>
          <w:p w14:paraId="5646950F" w14:textId="77777777" w:rsidR="00BB2B23" w:rsidRPr="002C06E4" w:rsidRDefault="00BB2B23" w:rsidP="00F5693B">
            <w:pPr>
              <w:pStyle w:val="Tablesmalltext"/>
              <w:jc w:val="center"/>
              <w:rPr>
                <w:color w:val="auto"/>
              </w:rPr>
            </w:pPr>
            <w:r w:rsidRPr="002C06E4">
              <w:rPr>
                <w:color w:val="auto"/>
              </w:rPr>
              <w:t>$000s</w:t>
            </w:r>
          </w:p>
        </w:tc>
        <w:tc>
          <w:tcPr>
            <w:tcW w:w="1276" w:type="dxa"/>
            <w:shd w:val="clear" w:color="auto" w:fill="auto"/>
            <w:tcMar>
              <w:top w:w="113" w:type="dxa"/>
              <w:left w:w="113" w:type="dxa"/>
              <w:bottom w:w="113" w:type="dxa"/>
              <w:right w:w="113" w:type="dxa"/>
            </w:tcMar>
          </w:tcPr>
          <w:p w14:paraId="56469510" w14:textId="77777777" w:rsidR="00BB2B23" w:rsidRPr="002C06E4" w:rsidRDefault="00BB2B23" w:rsidP="00F5693B">
            <w:pPr>
              <w:pStyle w:val="Tablesmalltext"/>
              <w:jc w:val="center"/>
              <w:rPr>
                <w:color w:val="auto"/>
              </w:rPr>
            </w:pPr>
            <w:r w:rsidRPr="002C06E4">
              <w:rPr>
                <w:color w:val="auto"/>
              </w:rPr>
              <w:t>8351</w:t>
            </w:r>
          </w:p>
        </w:tc>
        <w:tc>
          <w:tcPr>
            <w:tcW w:w="1134" w:type="dxa"/>
            <w:shd w:val="clear" w:color="auto" w:fill="auto"/>
            <w:tcMar>
              <w:top w:w="113" w:type="dxa"/>
              <w:left w:w="113" w:type="dxa"/>
              <w:bottom w:w="113" w:type="dxa"/>
              <w:right w:w="113" w:type="dxa"/>
            </w:tcMar>
          </w:tcPr>
          <w:p w14:paraId="56469511" w14:textId="77777777" w:rsidR="00BB2B23" w:rsidRPr="002C06E4" w:rsidRDefault="00BB2B23" w:rsidP="00F5693B">
            <w:pPr>
              <w:pStyle w:val="Tablesmalltext"/>
              <w:jc w:val="center"/>
              <w:rPr>
                <w:color w:val="auto"/>
              </w:rPr>
            </w:pPr>
            <w:r w:rsidRPr="002C06E4">
              <w:rPr>
                <w:color w:val="auto"/>
              </w:rPr>
              <w:t>19,358</w:t>
            </w:r>
          </w:p>
        </w:tc>
        <w:tc>
          <w:tcPr>
            <w:tcW w:w="1134" w:type="dxa"/>
            <w:shd w:val="clear" w:color="auto" w:fill="auto"/>
            <w:tcMar>
              <w:top w:w="113" w:type="dxa"/>
              <w:left w:w="113" w:type="dxa"/>
              <w:bottom w:w="113" w:type="dxa"/>
              <w:right w:w="113" w:type="dxa"/>
            </w:tcMar>
          </w:tcPr>
          <w:p w14:paraId="56469512" w14:textId="77777777" w:rsidR="00BB2B23" w:rsidRPr="002C06E4" w:rsidRDefault="00BB2B23" w:rsidP="00F5693B">
            <w:pPr>
              <w:pStyle w:val="Tablesmalltext"/>
              <w:jc w:val="center"/>
              <w:rPr>
                <w:color w:val="auto"/>
              </w:rPr>
            </w:pPr>
            <w:r w:rsidRPr="002C06E4">
              <w:rPr>
                <w:color w:val="auto"/>
              </w:rPr>
              <w:t>8455</w:t>
            </w:r>
          </w:p>
        </w:tc>
        <w:tc>
          <w:tcPr>
            <w:tcW w:w="1087" w:type="dxa"/>
            <w:shd w:val="clear" w:color="auto" w:fill="auto"/>
            <w:tcMar>
              <w:top w:w="113" w:type="dxa"/>
              <w:left w:w="113" w:type="dxa"/>
              <w:bottom w:w="113" w:type="dxa"/>
              <w:right w:w="113" w:type="dxa"/>
            </w:tcMar>
          </w:tcPr>
          <w:p w14:paraId="56469513" w14:textId="77777777" w:rsidR="00BB2B23" w:rsidRPr="002C06E4" w:rsidRDefault="00BB2B23" w:rsidP="00F5693B">
            <w:pPr>
              <w:pStyle w:val="Tablesmalltext"/>
              <w:jc w:val="center"/>
              <w:rPr>
                <w:color w:val="auto"/>
              </w:rPr>
            </w:pPr>
            <w:r w:rsidRPr="002C06E4">
              <w:rPr>
                <w:color w:val="auto"/>
              </w:rPr>
              <w:t>20,044</w:t>
            </w:r>
          </w:p>
        </w:tc>
      </w:tr>
      <w:tr w:rsidR="00BB2B23" w:rsidRPr="002C06E4" w14:paraId="5646951C" w14:textId="77777777" w:rsidTr="002C06E4">
        <w:trPr>
          <w:trHeight w:val="210"/>
        </w:trPr>
        <w:tc>
          <w:tcPr>
            <w:tcW w:w="1606" w:type="dxa"/>
            <w:vMerge/>
            <w:shd w:val="clear" w:color="auto" w:fill="auto"/>
          </w:tcPr>
          <w:p w14:paraId="56469515"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2164" w:type="dxa"/>
            <w:shd w:val="clear" w:color="auto" w:fill="auto"/>
            <w:tcMar>
              <w:top w:w="113" w:type="dxa"/>
              <w:left w:w="113" w:type="dxa"/>
              <w:bottom w:w="113" w:type="dxa"/>
              <w:right w:w="113" w:type="dxa"/>
            </w:tcMar>
          </w:tcPr>
          <w:p w14:paraId="56469516" w14:textId="77777777" w:rsidR="00BB2B23" w:rsidRPr="002C06E4" w:rsidRDefault="00BB2B23" w:rsidP="00F5693B">
            <w:pPr>
              <w:pStyle w:val="Tablesmalltext"/>
              <w:rPr>
                <w:color w:val="auto"/>
              </w:rPr>
            </w:pPr>
            <w:r w:rsidRPr="002C06E4">
              <w:rPr>
                <w:color w:val="auto"/>
              </w:rPr>
              <w:t>Indirect</w:t>
            </w:r>
          </w:p>
        </w:tc>
        <w:tc>
          <w:tcPr>
            <w:tcW w:w="850" w:type="dxa"/>
            <w:shd w:val="clear" w:color="auto" w:fill="auto"/>
            <w:tcMar>
              <w:top w:w="113" w:type="dxa"/>
              <w:left w:w="113" w:type="dxa"/>
              <w:bottom w:w="113" w:type="dxa"/>
              <w:right w:w="113" w:type="dxa"/>
            </w:tcMar>
          </w:tcPr>
          <w:p w14:paraId="56469517" w14:textId="77777777" w:rsidR="00BB2B23" w:rsidRPr="002C06E4" w:rsidRDefault="00BB2B23" w:rsidP="00F5693B">
            <w:pPr>
              <w:pStyle w:val="Tablesmalltext"/>
              <w:jc w:val="center"/>
              <w:rPr>
                <w:color w:val="auto"/>
              </w:rPr>
            </w:pPr>
            <w:r w:rsidRPr="002C06E4">
              <w:rPr>
                <w:color w:val="auto"/>
              </w:rPr>
              <w:t>$000s</w:t>
            </w:r>
          </w:p>
        </w:tc>
        <w:tc>
          <w:tcPr>
            <w:tcW w:w="1276" w:type="dxa"/>
            <w:shd w:val="clear" w:color="auto" w:fill="auto"/>
            <w:tcMar>
              <w:top w:w="113" w:type="dxa"/>
              <w:left w:w="113" w:type="dxa"/>
              <w:bottom w:w="113" w:type="dxa"/>
              <w:right w:w="113" w:type="dxa"/>
            </w:tcMar>
          </w:tcPr>
          <w:p w14:paraId="56469518" w14:textId="77777777" w:rsidR="00BB2B23" w:rsidRPr="002C06E4" w:rsidRDefault="00BB2B23" w:rsidP="00F5693B">
            <w:pPr>
              <w:pStyle w:val="Tablesmalltext"/>
              <w:jc w:val="center"/>
              <w:rPr>
                <w:color w:val="auto"/>
              </w:rPr>
            </w:pPr>
            <w:r w:rsidRPr="002C06E4">
              <w:rPr>
                <w:color w:val="auto"/>
              </w:rPr>
              <w:t>725</w:t>
            </w:r>
          </w:p>
        </w:tc>
        <w:tc>
          <w:tcPr>
            <w:tcW w:w="1134" w:type="dxa"/>
            <w:shd w:val="clear" w:color="auto" w:fill="auto"/>
            <w:tcMar>
              <w:top w:w="113" w:type="dxa"/>
              <w:left w:w="113" w:type="dxa"/>
              <w:bottom w:w="113" w:type="dxa"/>
              <w:right w:w="113" w:type="dxa"/>
            </w:tcMar>
          </w:tcPr>
          <w:p w14:paraId="56469519" w14:textId="77777777" w:rsidR="00BB2B23" w:rsidRPr="002C06E4" w:rsidRDefault="00BB2B23" w:rsidP="00F5693B">
            <w:pPr>
              <w:pStyle w:val="Tablesmalltext"/>
              <w:jc w:val="center"/>
              <w:rPr>
                <w:color w:val="auto"/>
              </w:rPr>
            </w:pPr>
            <w:r w:rsidRPr="002C06E4">
              <w:rPr>
                <w:color w:val="auto"/>
              </w:rPr>
              <w:t>2930</w:t>
            </w:r>
          </w:p>
        </w:tc>
        <w:tc>
          <w:tcPr>
            <w:tcW w:w="1134" w:type="dxa"/>
            <w:shd w:val="clear" w:color="auto" w:fill="auto"/>
            <w:tcMar>
              <w:top w:w="113" w:type="dxa"/>
              <w:left w:w="113" w:type="dxa"/>
              <w:bottom w:w="113" w:type="dxa"/>
              <w:right w:w="113" w:type="dxa"/>
            </w:tcMar>
          </w:tcPr>
          <w:p w14:paraId="5646951A" w14:textId="77777777" w:rsidR="00BB2B23" w:rsidRPr="002C06E4" w:rsidRDefault="00BB2B23" w:rsidP="00F5693B">
            <w:pPr>
              <w:pStyle w:val="Tablesmalltext"/>
              <w:jc w:val="center"/>
              <w:rPr>
                <w:color w:val="auto"/>
              </w:rPr>
            </w:pPr>
            <w:r w:rsidRPr="002C06E4">
              <w:rPr>
                <w:color w:val="auto"/>
              </w:rPr>
              <w:t>725</w:t>
            </w:r>
          </w:p>
        </w:tc>
        <w:tc>
          <w:tcPr>
            <w:tcW w:w="1087" w:type="dxa"/>
            <w:shd w:val="clear" w:color="auto" w:fill="auto"/>
            <w:tcMar>
              <w:top w:w="113" w:type="dxa"/>
              <w:left w:w="113" w:type="dxa"/>
              <w:bottom w:w="113" w:type="dxa"/>
              <w:right w:w="113" w:type="dxa"/>
            </w:tcMar>
          </w:tcPr>
          <w:p w14:paraId="5646951B" w14:textId="77777777" w:rsidR="00BB2B23" w:rsidRPr="002C06E4" w:rsidRDefault="00BB2B23" w:rsidP="00F5693B">
            <w:pPr>
              <w:pStyle w:val="Tablesmalltext"/>
              <w:jc w:val="center"/>
              <w:rPr>
                <w:color w:val="auto"/>
              </w:rPr>
            </w:pPr>
            <w:r w:rsidRPr="002C06E4">
              <w:rPr>
                <w:color w:val="auto"/>
              </w:rPr>
              <w:t>2930</w:t>
            </w:r>
          </w:p>
        </w:tc>
      </w:tr>
      <w:tr w:rsidR="00BB2B23" w:rsidRPr="002C06E4" w14:paraId="56469524" w14:textId="77777777" w:rsidTr="002C06E4">
        <w:trPr>
          <w:trHeight w:val="210"/>
        </w:trPr>
        <w:tc>
          <w:tcPr>
            <w:tcW w:w="1606" w:type="dxa"/>
            <w:vMerge w:val="restart"/>
            <w:shd w:val="clear" w:color="auto" w:fill="auto"/>
            <w:tcMar>
              <w:top w:w="113" w:type="dxa"/>
              <w:left w:w="113" w:type="dxa"/>
              <w:bottom w:w="113" w:type="dxa"/>
              <w:right w:w="113" w:type="dxa"/>
            </w:tcMar>
          </w:tcPr>
          <w:p w14:paraId="5646951D" w14:textId="77777777" w:rsidR="00BB2B23" w:rsidRPr="002C06E4" w:rsidRDefault="00BB2B23" w:rsidP="00F5693B">
            <w:pPr>
              <w:pStyle w:val="Tablesmalltext"/>
              <w:rPr>
                <w:color w:val="auto"/>
              </w:rPr>
            </w:pPr>
            <w:r w:rsidRPr="002C06E4">
              <w:rPr>
                <w:rStyle w:val="TextBold"/>
                <w:color w:val="auto"/>
              </w:rPr>
              <w:t>Energy saving</w:t>
            </w:r>
          </w:p>
        </w:tc>
        <w:tc>
          <w:tcPr>
            <w:tcW w:w="2164" w:type="dxa"/>
            <w:shd w:val="clear" w:color="auto" w:fill="auto"/>
            <w:tcMar>
              <w:top w:w="113" w:type="dxa"/>
              <w:left w:w="113" w:type="dxa"/>
              <w:bottom w:w="113" w:type="dxa"/>
              <w:right w:w="113" w:type="dxa"/>
            </w:tcMar>
          </w:tcPr>
          <w:p w14:paraId="5646951E" w14:textId="77777777" w:rsidR="00BB2B23" w:rsidRPr="002C06E4" w:rsidRDefault="00BB2B23" w:rsidP="00F5693B">
            <w:pPr>
              <w:pStyle w:val="Tablesmalltext"/>
              <w:rPr>
                <w:color w:val="auto"/>
              </w:rPr>
            </w:pPr>
            <w:r w:rsidRPr="002C06E4">
              <w:rPr>
                <w:color w:val="auto"/>
              </w:rPr>
              <w:t>Residential</w:t>
            </w:r>
          </w:p>
        </w:tc>
        <w:tc>
          <w:tcPr>
            <w:tcW w:w="850" w:type="dxa"/>
            <w:shd w:val="clear" w:color="auto" w:fill="auto"/>
            <w:tcMar>
              <w:top w:w="113" w:type="dxa"/>
              <w:left w:w="113" w:type="dxa"/>
              <w:bottom w:w="113" w:type="dxa"/>
              <w:right w:w="113" w:type="dxa"/>
            </w:tcMar>
          </w:tcPr>
          <w:p w14:paraId="5646951F" w14:textId="77777777" w:rsidR="00BB2B23" w:rsidRPr="002C06E4" w:rsidRDefault="00BB2B23" w:rsidP="00F5693B">
            <w:pPr>
              <w:pStyle w:val="Tablesmalltext"/>
              <w:jc w:val="center"/>
              <w:rPr>
                <w:color w:val="auto"/>
              </w:rPr>
            </w:pPr>
            <w:r w:rsidRPr="002C06E4">
              <w:rPr>
                <w:color w:val="auto"/>
              </w:rPr>
              <w:t>$000s</w:t>
            </w:r>
          </w:p>
        </w:tc>
        <w:tc>
          <w:tcPr>
            <w:tcW w:w="1276" w:type="dxa"/>
            <w:shd w:val="clear" w:color="auto" w:fill="auto"/>
            <w:tcMar>
              <w:top w:w="113" w:type="dxa"/>
              <w:left w:w="113" w:type="dxa"/>
              <w:bottom w:w="113" w:type="dxa"/>
              <w:right w:w="113" w:type="dxa"/>
            </w:tcMar>
          </w:tcPr>
          <w:p w14:paraId="56469520" w14:textId="77777777" w:rsidR="00BB2B23" w:rsidRPr="002C06E4" w:rsidRDefault="00BB2B23" w:rsidP="00F5693B">
            <w:pPr>
              <w:pStyle w:val="Tablesmalltext"/>
              <w:jc w:val="center"/>
              <w:rPr>
                <w:color w:val="auto"/>
              </w:rPr>
            </w:pPr>
            <w:r w:rsidRPr="002C06E4">
              <w:rPr>
                <w:color w:val="auto"/>
              </w:rPr>
              <w:t>5974</w:t>
            </w:r>
          </w:p>
        </w:tc>
        <w:tc>
          <w:tcPr>
            <w:tcW w:w="1134" w:type="dxa"/>
            <w:shd w:val="clear" w:color="auto" w:fill="auto"/>
            <w:tcMar>
              <w:top w:w="113" w:type="dxa"/>
              <w:left w:w="113" w:type="dxa"/>
              <w:bottom w:w="113" w:type="dxa"/>
              <w:right w:w="113" w:type="dxa"/>
            </w:tcMar>
          </w:tcPr>
          <w:p w14:paraId="56469521" w14:textId="77777777" w:rsidR="00BB2B23" w:rsidRPr="002C06E4" w:rsidRDefault="00BB2B23" w:rsidP="00F5693B">
            <w:pPr>
              <w:pStyle w:val="Tablesmalltext"/>
              <w:jc w:val="center"/>
              <w:rPr>
                <w:color w:val="auto"/>
              </w:rPr>
            </w:pPr>
            <w:r w:rsidRPr="002C06E4">
              <w:rPr>
                <w:color w:val="auto"/>
              </w:rPr>
              <w:t>19,243</w:t>
            </w:r>
          </w:p>
        </w:tc>
        <w:tc>
          <w:tcPr>
            <w:tcW w:w="1134" w:type="dxa"/>
            <w:shd w:val="clear" w:color="auto" w:fill="auto"/>
            <w:tcMar>
              <w:top w:w="113" w:type="dxa"/>
              <w:left w:w="113" w:type="dxa"/>
              <w:bottom w:w="113" w:type="dxa"/>
              <w:right w:w="113" w:type="dxa"/>
            </w:tcMar>
          </w:tcPr>
          <w:p w14:paraId="56469522" w14:textId="77777777" w:rsidR="00BB2B23" w:rsidRPr="002C06E4" w:rsidRDefault="00BB2B23" w:rsidP="00F5693B">
            <w:pPr>
              <w:pStyle w:val="Tablesmalltext"/>
              <w:jc w:val="center"/>
              <w:rPr>
                <w:color w:val="auto"/>
              </w:rPr>
            </w:pPr>
            <w:r w:rsidRPr="002C06E4">
              <w:rPr>
                <w:color w:val="auto"/>
              </w:rPr>
              <w:t>5974</w:t>
            </w:r>
          </w:p>
        </w:tc>
        <w:tc>
          <w:tcPr>
            <w:tcW w:w="1087" w:type="dxa"/>
            <w:shd w:val="clear" w:color="auto" w:fill="auto"/>
            <w:tcMar>
              <w:top w:w="113" w:type="dxa"/>
              <w:left w:w="113" w:type="dxa"/>
              <w:bottom w:w="113" w:type="dxa"/>
              <w:right w:w="113" w:type="dxa"/>
            </w:tcMar>
          </w:tcPr>
          <w:p w14:paraId="56469523" w14:textId="77777777" w:rsidR="00BB2B23" w:rsidRPr="002C06E4" w:rsidRDefault="00BB2B23" w:rsidP="00F5693B">
            <w:pPr>
              <w:pStyle w:val="Tablesmalltext"/>
              <w:jc w:val="center"/>
              <w:rPr>
                <w:color w:val="auto"/>
              </w:rPr>
            </w:pPr>
            <w:r w:rsidRPr="002C06E4">
              <w:rPr>
                <w:color w:val="auto"/>
              </w:rPr>
              <w:t>19,243</w:t>
            </w:r>
          </w:p>
        </w:tc>
      </w:tr>
      <w:tr w:rsidR="00BB2B23" w:rsidRPr="002C06E4" w14:paraId="5646952C" w14:textId="77777777" w:rsidTr="002C06E4">
        <w:trPr>
          <w:trHeight w:val="210"/>
        </w:trPr>
        <w:tc>
          <w:tcPr>
            <w:tcW w:w="1606" w:type="dxa"/>
            <w:vMerge/>
            <w:shd w:val="clear" w:color="auto" w:fill="auto"/>
          </w:tcPr>
          <w:p w14:paraId="56469525"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2164" w:type="dxa"/>
            <w:shd w:val="clear" w:color="auto" w:fill="auto"/>
            <w:tcMar>
              <w:top w:w="113" w:type="dxa"/>
              <w:left w:w="113" w:type="dxa"/>
              <w:bottom w:w="113" w:type="dxa"/>
              <w:right w:w="113" w:type="dxa"/>
            </w:tcMar>
          </w:tcPr>
          <w:p w14:paraId="56469526" w14:textId="77777777" w:rsidR="00BB2B23" w:rsidRPr="002C06E4" w:rsidRDefault="00BB2B23" w:rsidP="00F5693B">
            <w:pPr>
              <w:pStyle w:val="Tablesmalltext"/>
              <w:rPr>
                <w:color w:val="auto"/>
              </w:rPr>
            </w:pPr>
            <w:r w:rsidRPr="002C06E4">
              <w:rPr>
                <w:color w:val="auto"/>
              </w:rPr>
              <w:t>Business</w:t>
            </w:r>
          </w:p>
        </w:tc>
        <w:tc>
          <w:tcPr>
            <w:tcW w:w="850" w:type="dxa"/>
            <w:shd w:val="clear" w:color="auto" w:fill="auto"/>
            <w:tcMar>
              <w:top w:w="113" w:type="dxa"/>
              <w:left w:w="113" w:type="dxa"/>
              <w:bottom w:w="113" w:type="dxa"/>
              <w:right w:w="113" w:type="dxa"/>
            </w:tcMar>
          </w:tcPr>
          <w:p w14:paraId="56469527" w14:textId="77777777" w:rsidR="00BB2B23" w:rsidRPr="002C06E4" w:rsidRDefault="00BB2B23" w:rsidP="00F5693B">
            <w:pPr>
              <w:pStyle w:val="Tablesmalltext"/>
              <w:jc w:val="center"/>
              <w:rPr>
                <w:color w:val="auto"/>
              </w:rPr>
            </w:pPr>
            <w:r w:rsidRPr="002C06E4">
              <w:rPr>
                <w:color w:val="auto"/>
              </w:rPr>
              <w:t>$000s</w:t>
            </w:r>
          </w:p>
        </w:tc>
        <w:tc>
          <w:tcPr>
            <w:tcW w:w="1276" w:type="dxa"/>
            <w:shd w:val="clear" w:color="auto" w:fill="auto"/>
            <w:tcMar>
              <w:top w:w="113" w:type="dxa"/>
              <w:left w:w="113" w:type="dxa"/>
              <w:bottom w:w="113" w:type="dxa"/>
              <w:right w:w="113" w:type="dxa"/>
            </w:tcMar>
          </w:tcPr>
          <w:p w14:paraId="56469528" w14:textId="77777777" w:rsidR="00BB2B23" w:rsidRPr="002C06E4" w:rsidRDefault="00BB2B23" w:rsidP="00F5693B">
            <w:pPr>
              <w:pStyle w:val="Tablesmalltext"/>
              <w:jc w:val="center"/>
              <w:rPr>
                <w:color w:val="auto"/>
              </w:rPr>
            </w:pPr>
            <w:r w:rsidRPr="002C06E4">
              <w:rPr>
                <w:color w:val="auto"/>
              </w:rPr>
              <w:t>2855</w:t>
            </w:r>
          </w:p>
        </w:tc>
        <w:tc>
          <w:tcPr>
            <w:tcW w:w="1134" w:type="dxa"/>
            <w:shd w:val="clear" w:color="auto" w:fill="auto"/>
            <w:tcMar>
              <w:top w:w="113" w:type="dxa"/>
              <w:left w:w="113" w:type="dxa"/>
              <w:bottom w:w="113" w:type="dxa"/>
              <w:right w:w="113" w:type="dxa"/>
            </w:tcMar>
          </w:tcPr>
          <w:p w14:paraId="56469529" w14:textId="77777777" w:rsidR="00BB2B23" w:rsidRPr="002C06E4" w:rsidRDefault="00BB2B23" w:rsidP="00F5693B">
            <w:pPr>
              <w:pStyle w:val="Tablesmalltext"/>
              <w:jc w:val="center"/>
              <w:rPr>
                <w:color w:val="auto"/>
              </w:rPr>
            </w:pPr>
            <w:r w:rsidRPr="002C06E4">
              <w:rPr>
                <w:color w:val="auto"/>
              </w:rPr>
              <w:t>12,541</w:t>
            </w:r>
          </w:p>
        </w:tc>
        <w:tc>
          <w:tcPr>
            <w:tcW w:w="1134" w:type="dxa"/>
            <w:shd w:val="clear" w:color="auto" w:fill="auto"/>
            <w:tcMar>
              <w:top w:w="113" w:type="dxa"/>
              <w:left w:w="113" w:type="dxa"/>
              <w:bottom w:w="113" w:type="dxa"/>
              <w:right w:w="113" w:type="dxa"/>
            </w:tcMar>
          </w:tcPr>
          <w:p w14:paraId="5646952A" w14:textId="77777777" w:rsidR="00BB2B23" w:rsidRPr="002C06E4" w:rsidRDefault="00BB2B23" w:rsidP="00F5693B">
            <w:pPr>
              <w:pStyle w:val="Tablesmalltext"/>
              <w:jc w:val="center"/>
              <w:rPr>
                <w:color w:val="auto"/>
              </w:rPr>
            </w:pPr>
            <w:r w:rsidRPr="002C06E4">
              <w:rPr>
                <w:color w:val="auto"/>
              </w:rPr>
              <w:t>2855</w:t>
            </w:r>
          </w:p>
        </w:tc>
        <w:tc>
          <w:tcPr>
            <w:tcW w:w="1087" w:type="dxa"/>
            <w:shd w:val="clear" w:color="auto" w:fill="auto"/>
            <w:tcMar>
              <w:top w:w="113" w:type="dxa"/>
              <w:left w:w="113" w:type="dxa"/>
              <w:bottom w:w="113" w:type="dxa"/>
              <w:right w:w="113" w:type="dxa"/>
            </w:tcMar>
          </w:tcPr>
          <w:p w14:paraId="5646952B" w14:textId="77777777" w:rsidR="00BB2B23" w:rsidRPr="002C06E4" w:rsidRDefault="00BB2B23" w:rsidP="00F5693B">
            <w:pPr>
              <w:pStyle w:val="Tablesmalltext"/>
              <w:jc w:val="center"/>
              <w:rPr>
                <w:color w:val="auto"/>
              </w:rPr>
            </w:pPr>
            <w:r w:rsidRPr="002C06E4">
              <w:rPr>
                <w:color w:val="auto"/>
              </w:rPr>
              <w:t>12,541</w:t>
            </w:r>
          </w:p>
        </w:tc>
      </w:tr>
      <w:tr w:rsidR="00BB2B23" w:rsidRPr="002C06E4" w14:paraId="56469533" w14:textId="77777777" w:rsidTr="002C06E4">
        <w:trPr>
          <w:trHeight w:val="321"/>
        </w:trPr>
        <w:tc>
          <w:tcPr>
            <w:tcW w:w="3770" w:type="dxa"/>
            <w:gridSpan w:val="2"/>
            <w:shd w:val="clear" w:color="auto" w:fill="auto"/>
            <w:tcMar>
              <w:top w:w="113" w:type="dxa"/>
              <w:left w:w="113" w:type="dxa"/>
              <w:bottom w:w="113" w:type="dxa"/>
              <w:right w:w="113" w:type="dxa"/>
            </w:tcMar>
          </w:tcPr>
          <w:p w14:paraId="5646952D" w14:textId="77777777" w:rsidR="00BB2B23" w:rsidRPr="002C06E4" w:rsidRDefault="00BB2B23" w:rsidP="00F5693B">
            <w:pPr>
              <w:pStyle w:val="Tablesmalltext"/>
              <w:rPr>
                <w:color w:val="auto"/>
              </w:rPr>
            </w:pPr>
            <w:r w:rsidRPr="002C06E4">
              <w:rPr>
                <w:rStyle w:val="TextBold"/>
                <w:color w:val="auto"/>
              </w:rPr>
              <w:t>Total Benefits</w:t>
            </w:r>
          </w:p>
        </w:tc>
        <w:tc>
          <w:tcPr>
            <w:tcW w:w="850" w:type="dxa"/>
            <w:shd w:val="clear" w:color="auto" w:fill="auto"/>
            <w:tcMar>
              <w:top w:w="113" w:type="dxa"/>
              <w:left w:w="113" w:type="dxa"/>
              <w:bottom w:w="113" w:type="dxa"/>
              <w:right w:w="113" w:type="dxa"/>
            </w:tcMar>
          </w:tcPr>
          <w:p w14:paraId="5646952E" w14:textId="77777777" w:rsidR="00BB2B23" w:rsidRPr="002C06E4" w:rsidRDefault="00BB2B23" w:rsidP="00F5693B">
            <w:pPr>
              <w:pStyle w:val="Tablesmalltext"/>
              <w:jc w:val="center"/>
              <w:rPr>
                <w:color w:val="auto"/>
              </w:rPr>
            </w:pPr>
            <w:r w:rsidRPr="002C06E4">
              <w:rPr>
                <w:rStyle w:val="TextBold"/>
                <w:color w:val="auto"/>
              </w:rPr>
              <w:t>$000s</w:t>
            </w:r>
          </w:p>
        </w:tc>
        <w:tc>
          <w:tcPr>
            <w:tcW w:w="1276" w:type="dxa"/>
            <w:shd w:val="clear" w:color="auto" w:fill="auto"/>
            <w:tcMar>
              <w:top w:w="113" w:type="dxa"/>
              <w:left w:w="113" w:type="dxa"/>
              <w:bottom w:w="113" w:type="dxa"/>
              <w:right w:w="113" w:type="dxa"/>
            </w:tcMar>
          </w:tcPr>
          <w:p w14:paraId="5646952F" w14:textId="77777777" w:rsidR="00BB2B23" w:rsidRPr="002C06E4" w:rsidRDefault="00BB2B23" w:rsidP="00F5693B">
            <w:pPr>
              <w:pStyle w:val="Tablesmalltext"/>
              <w:jc w:val="center"/>
              <w:rPr>
                <w:color w:val="auto"/>
              </w:rPr>
            </w:pPr>
            <w:r w:rsidRPr="002C06E4">
              <w:rPr>
                <w:rStyle w:val="TextBold"/>
                <w:color w:val="auto"/>
              </w:rPr>
              <w:t>24,473</w:t>
            </w:r>
          </w:p>
        </w:tc>
        <w:tc>
          <w:tcPr>
            <w:tcW w:w="1134" w:type="dxa"/>
            <w:shd w:val="clear" w:color="auto" w:fill="auto"/>
            <w:tcMar>
              <w:top w:w="113" w:type="dxa"/>
              <w:left w:w="113" w:type="dxa"/>
              <w:bottom w:w="113" w:type="dxa"/>
              <w:right w:w="113" w:type="dxa"/>
            </w:tcMar>
          </w:tcPr>
          <w:p w14:paraId="56469530" w14:textId="77777777" w:rsidR="00BB2B23" w:rsidRPr="002C06E4" w:rsidRDefault="00BB2B23" w:rsidP="00F5693B">
            <w:pPr>
              <w:pStyle w:val="Tablesmalltext"/>
              <w:jc w:val="center"/>
              <w:rPr>
                <w:color w:val="auto"/>
              </w:rPr>
            </w:pPr>
            <w:r w:rsidRPr="002C06E4">
              <w:rPr>
                <w:rStyle w:val="TextBold"/>
                <w:color w:val="auto"/>
              </w:rPr>
              <w:t>98,228</w:t>
            </w:r>
          </w:p>
        </w:tc>
        <w:tc>
          <w:tcPr>
            <w:tcW w:w="1134" w:type="dxa"/>
            <w:shd w:val="clear" w:color="auto" w:fill="auto"/>
            <w:tcMar>
              <w:top w:w="113" w:type="dxa"/>
              <w:left w:w="113" w:type="dxa"/>
              <w:bottom w:w="113" w:type="dxa"/>
              <w:right w:w="113" w:type="dxa"/>
            </w:tcMar>
          </w:tcPr>
          <w:p w14:paraId="56469531" w14:textId="77777777" w:rsidR="00BB2B23" w:rsidRPr="002C06E4" w:rsidRDefault="00BB2B23" w:rsidP="00F5693B">
            <w:pPr>
              <w:pStyle w:val="Tablesmalltext"/>
              <w:jc w:val="center"/>
              <w:rPr>
                <w:color w:val="auto"/>
              </w:rPr>
            </w:pPr>
            <w:r w:rsidRPr="002C06E4">
              <w:rPr>
                <w:rStyle w:val="TextBold"/>
                <w:color w:val="auto"/>
              </w:rPr>
              <w:t>21,680</w:t>
            </w:r>
          </w:p>
        </w:tc>
        <w:tc>
          <w:tcPr>
            <w:tcW w:w="1087" w:type="dxa"/>
            <w:shd w:val="clear" w:color="auto" w:fill="auto"/>
            <w:tcMar>
              <w:top w:w="113" w:type="dxa"/>
              <w:left w:w="113" w:type="dxa"/>
              <w:bottom w:w="113" w:type="dxa"/>
              <w:right w:w="113" w:type="dxa"/>
            </w:tcMar>
          </w:tcPr>
          <w:p w14:paraId="56469532" w14:textId="77777777" w:rsidR="00BB2B23" w:rsidRPr="002C06E4" w:rsidRDefault="00BB2B23" w:rsidP="00F5693B">
            <w:pPr>
              <w:pStyle w:val="Tablesmalltext"/>
              <w:jc w:val="center"/>
              <w:rPr>
                <w:color w:val="auto"/>
              </w:rPr>
            </w:pPr>
            <w:r w:rsidRPr="002C06E4">
              <w:rPr>
                <w:rStyle w:val="TextBold"/>
                <w:color w:val="auto"/>
              </w:rPr>
              <w:t>72,470</w:t>
            </w:r>
          </w:p>
        </w:tc>
      </w:tr>
      <w:tr w:rsidR="00BB2B23" w:rsidRPr="002C06E4" w14:paraId="56469535" w14:textId="77777777" w:rsidTr="002C06E4">
        <w:trPr>
          <w:trHeight w:val="312"/>
        </w:trPr>
        <w:tc>
          <w:tcPr>
            <w:tcW w:w="9251" w:type="dxa"/>
            <w:gridSpan w:val="7"/>
            <w:shd w:val="clear" w:color="auto" w:fill="auto"/>
            <w:tcMar>
              <w:top w:w="113" w:type="dxa"/>
              <w:left w:w="113" w:type="dxa"/>
              <w:bottom w:w="113" w:type="dxa"/>
              <w:right w:w="113" w:type="dxa"/>
            </w:tcMar>
          </w:tcPr>
          <w:p w14:paraId="56469534" w14:textId="77777777" w:rsidR="00BB2B23" w:rsidRPr="002C06E4" w:rsidRDefault="00BB2B23" w:rsidP="00F5693B">
            <w:pPr>
              <w:pStyle w:val="Tablesmalltext"/>
              <w:rPr>
                <w:color w:val="auto"/>
              </w:rPr>
            </w:pPr>
            <w:r w:rsidRPr="002C06E4">
              <w:rPr>
                <w:rStyle w:val="TextBold"/>
                <w:color w:val="auto"/>
              </w:rPr>
              <w:t>Costs</w:t>
            </w:r>
          </w:p>
        </w:tc>
      </w:tr>
      <w:tr w:rsidR="00BB2B23" w:rsidRPr="002C06E4" w14:paraId="5646953D" w14:textId="77777777" w:rsidTr="002C06E4">
        <w:trPr>
          <w:trHeight w:val="210"/>
        </w:trPr>
        <w:tc>
          <w:tcPr>
            <w:tcW w:w="1606" w:type="dxa"/>
            <w:shd w:val="clear" w:color="auto" w:fill="auto"/>
            <w:tcMar>
              <w:top w:w="113" w:type="dxa"/>
              <w:left w:w="113" w:type="dxa"/>
              <w:bottom w:w="113" w:type="dxa"/>
              <w:right w:w="113" w:type="dxa"/>
            </w:tcMar>
          </w:tcPr>
          <w:p w14:paraId="56469536" w14:textId="77777777" w:rsidR="00BB2B23" w:rsidRPr="002C06E4" w:rsidRDefault="00BB2B23" w:rsidP="00F5693B">
            <w:pPr>
              <w:pStyle w:val="Tablesmalltext"/>
              <w:rPr>
                <w:color w:val="auto"/>
              </w:rPr>
            </w:pPr>
            <w:r w:rsidRPr="002C06E4">
              <w:rPr>
                <w:rStyle w:val="TextBold"/>
                <w:color w:val="auto"/>
              </w:rPr>
              <w:t>Refrigerant gas costs</w:t>
            </w:r>
          </w:p>
        </w:tc>
        <w:tc>
          <w:tcPr>
            <w:tcW w:w="2164" w:type="dxa"/>
            <w:shd w:val="clear" w:color="auto" w:fill="auto"/>
            <w:tcMar>
              <w:top w:w="113" w:type="dxa"/>
              <w:left w:w="113" w:type="dxa"/>
              <w:bottom w:w="113" w:type="dxa"/>
              <w:right w:w="113" w:type="dxa"/>
            </w:tcMar>
          </w:tcPr>
          <w:p w14:paraId="56469537" w14:textId="77777777" w:rsidR="00BB2B23" w:rsidRPr="002C06E4" w:rsidRDefault="00BB2B23" w:rsidP="00F5693B">
            <w:pPr>
              <w:pStyle w:val="Tablesmalltext"/>
              <w:rPr>
                <w:color w:val="auto"/>
              </w:rPr>
            </w:pPr>
            <w:r w:rsidRPr="002C06E4">
              <w:rPr>
                <w:color w:val="auto"/>
              </w:rPr>
              <w:t>RAC industry—leakage replacement</w:t>
            </w:r>
          </w:p>
        </w:tc>
        <w:tc>
          <w:tcPr>
            <w:tcW w:w="850" w:type="dxa"/>
            <w:shd w:val="clear" w:color="auto" w:fill="auto"/>
            <w:tcMar>
              <w:top w:w="113" w:type="dxa"/>
              <w:left w:w="113" w:type="dxa"/>
              <w:bottom w:w="113" w:type="dxa"/>
              <w:right w:w="113" w:type="dxa"/>
            </w:tcMar>
          </w:tcPr>
          <w:p w14:paraId="56469538" w14:textId="77777777" w:rsidR="00BB2B23" w:rsidRPr="002C06E4" w:rsidRDefault="00BB2B23" w:rsidP="00F5693B">
            <w:pPr>
              <w:pStyle w:val="Tablesmalltext"/>
              <w:jc w:val="center"/>
              <w:rPr>
                <w:color w:val="auto"/>
              </w:rPr>
            </w:pPr>
            <w:r w:rsidRPr="002C06E4">
              <w:rPr>
                <w:color w:val="auto"/>
              </w:rPr>
              <w:t>$000s</w:t>
            </w:r>
          </w:p>
        </w:tc>
        <w:tc>
          <w:tcPr>
            <w:tcW w:w="1276" w:type="dxa"/>
            <w:shd w:val="clear" w:color="auto" w:fill="auto"/>
            <w:tcMar>
              <w:top w:w="113" w:type="dxa"/>
              <w:left w:w="113" w:type="dxa"/>
              <w:bottom w:w="113" w:type="dxa"/>
              <w:right w:w="113" w:type="dxa"/>
            </w:tcMar>
          </w:tcPr>
          <w:p w14:paraId="56469539" w14:textId="77777777" w:rsidR="00BB2B23" w:rsidRPr="002C06E4" w:rsidRDefault="00BB2B23" w:rsidP="00F5693B">
            <w:pPr>
              <w:pStyle w:val="Tablesmalltext"/>
              <w:jc w:val="center"/>
              <w:rPr>
                <w:color w:val="auto"/>
              </w:rPr>
            </w:pPr>
            <w:r w:rsidRPr="002C06E4">
              <w:rPr>
                <w:color w:val="auto"/>
              </w:rPr>
              <w:t>7682</w:t>
            </w:r>
          </w:p>
        </w:tc>
        <w:tc>
          <w:tcPr>
            <w:tcW w:w="1134" w:type="dxa"/>
            <w:shd w:val="clear" w:color="auto" w:fill="auto"/>
            <w:tcMar>
              <w:top w:w="113" w:type="dxa"/>
              <w:left w:w="113" w:type="dxa"/>
              <w:bottom w:w="113" w:type="dxa"/>
              <w:right w:w="113" w:type="dxa"/>
            </w:tcMar>
          </w:tcPr>
          <w:p w14:paraId="5646953A" w14:textId="77777777" w:rsidR="00BB2B23" w:rsidRPr="002C06E4" w:rsidRDefault="00BB2B23" w:rsidP="00F5693B">
            <w:pPr>
              <w:pStyle w:val="Tablesmalltext"/>
              <w:jc w:val="center"/>
              <w:rPr>
                <w:color w:val="auto"/>
              </w:rPr>
            </w:pPr>
            <w:r w:rsidRPr="002C06E4">
              <w:rPr>
                <w:color w:val="auto"/>
              </w:rPr>
              <w:t>27,940</w:t>
            </w:r>
          </w:p>
        </w:tc>
        <w:tc>
          <w:tcPr>
            <w:tcW w:w="1134" w:type="dxa"/>
            <w:shd w:val="clear" w:color="auto" w:fill="auto"/>
            <w:tcMar>
              <w:top w:w="113" w:type="dxa"/>
              <w:left w:w="113" w:type="dxa"/>
              <w:bottom w:w="113" w:type="dxa"/>
              <w:right w:w="113" w:type="dxa"/>
            </w:tcMar>
          </w:tcPr>
          <w:p w14:paraId="5646953B" w14:textId="77777777" w:rsidR="00BB2B23" w:rsidRPr="002C06E4" w:rsidRDefault="00BB2B23" w:rsidP="00F5693B">
            <w:pPr>
              <w:pStyle w:val="Tablesmalltext"/>
              <w:jc w:val="center"/>
              <w:rPr>
                <w:color w:val="auto"/>
              </w:rPr>
            </w:pPr>
            <w:r w:rsidRPr="002C06E4">
              <w:rPr>
                <w:color w:val="auto"/>
              </w:rPr>
              <w:t>1284</w:t>
            </w:r>
          </w:p>
        </w:tc>
        <w:tc>
          <w:tcPr>
            <w:tcW w:w="1087" w:type="dxa"/>
            <w:shd w:val="clear" w:color="auto" w:fill="auto"/>
            <w:tcMar>
              <w:top w:w="113" w:type="dxa"/>
              <w:left w:w="113" w:type="dxa"/>
              <w:bottom w:w="113" w:type="dxa"/>
              <w:right w:w="113" w:type="dxa"/>
            </w:tcMar>
          </w:tcPr>
          <w:p w14:paraId="5646953C" w14:textId="77777777" w:rsidR="00BB2B23" w:rsidRPr="002C06E4" w:rsidRDefault="00BB2B23" w:rsidP="00F5693B">
            <w:pPr>
              <w:pStyle w:val="Tablesmalltext"/>
              <w:jc w:val="center"/>
              <w:rPr>
                <w:color w:val="auto"/>
              </w:rPr>
            </w:pPr>
            <w:r w:rsidRPr="002C06E4">
              <w:rPr>
                <w:color w:val="auto"/>
              </w:rPr>
              <w:t>3780</w:t>
            </w:r>
          </w:p>
        </w:tc>
      </w:tr>
      <w:tr w:rsidR="00BB2B23" w:rsidRPr="002C06E4" w14:paraId="56469545" w14:textId="77777777" w:rsidTr="002C06E4">
        <w:trPr>
          <w:trHeight w:val="210"/>
        </w:trPr>
        <w:tc>
          <w:tcPr>
            <w:tcW w:w="1606" w:type="dxa"/>
            <w:vMerge w:val="restart"/>
            <w:shd w:val="clear" w:color="auto" w:fill="auto"/>
            <w:tcMar>
              <w:top w:w="113" w:type="dxa"/>
              <w:left w:w="113" w:type="dxa"/>
              <w:bottom w:w="113" w:type="dxa"/>
              <w:right w:w="113" w:type="dxa"/>
            </w:tcMar>
          </w:tcPr>
          <w:p w14:paraId="5646953E" w14:textId="77777777" w:rsidR="00BB2B23" w:rsidRPr="002C06E4" w:rsidRDefault="00BB2B23" w:rsidP="00F5693B">
            <w:pPr>
              <w:pStyle w:val="Tablesmalltext"/>
              <w:rPr>
                <w:color w:val="auto"/>
              </w:rPr>
            </w:pPr>
            <w:r w:rsidRPr="002C06E4">
              <w:rPr>
                <w:rStyle w:val="TextBold"/>
                <w:color w:val="auto"/>
              </w:rPr>
              <w:t>Incremental capital cost</w:t>
            </w:r>
          </w:p>
        </w:tc>
        <w:tc>
          <w:tcPr>
            <w:tcW w:w="2164" w:type="dxa"/>
            <w:shd w:val="clear" w:color="auto" w:fill="auto"/>
            <w:tcMar>
              <w:top w:w="113" w:type="dxa"/>
              <w:left w:w="113" w:type="dxa"/>
              <w:bottom w:w="113" w:type="dxa"/>
              <w:right w:w="113" w:type="dxa"/>
            </w:tcMar>
          </w:tcPr>
          <w:p w14:paraId="5646953F" w14:textId="77777777" w:rsidR="00BB2B23" w:rsidRPr="002C06E4" w:rsidRDefault="00BB2B23" w:rsidP="00F5693B">
            <w:pPr>
              <w:pStyle w:val="Tablesmalltext"/>
              <w:rPr>
                <w:color w:val="auto"/>
              </w:rPr>
            </w:pPr>
            <w:r w:rsidRPr="002C06E4">
              <w:rPr>
                <w:color w:val="auto"/>
              </w:rPr>
              <w:t>Residential households</w:t>
            </w:r>
          </w:p>
        </w:tc>
        <w:tc>
          <w:tcPr>
            <w:tcW w:w="850" w:type="dxa"/>
            <w:shd w:val="clear" w:color="auto" w:fill="auto"/>
            <w:tcMar>
              <w:top w:w="113" w:type="dxa"/>
              <w:left w:w="113" w:type="dxa"/>
              <w:bottom w:w="113" w:type="dxa"/>
              <w:right w:w="113" w:type="dxa"/>
            </w:tcMar>
          </w:tcPr>
          <w:p w14:paraId="56469540" w14:textId="77777777" w:rsidR="00BB2B23" w:rsidRPr="002C06E4" w:rsidRDefault="00BB2B23" w:rsidP="00F5693B">
            <w:pPr>
              <w:pStyle w:val="Tablesmalltext"/>
              <w:jc w:val="center"/>
              <w:rPr>
                <w:color w:val="auto"/>
              </w:rPr>
            </w:pPr>
            <w:r w:rsidRPr="002C06E4">
              <w:rPr>
                <w:color w:val="auto"/>
              </w:rPr>
              <w:t>$000s</w:t>
            </w:r>
          </w:p>
        </w:tc>
        <w:tc>
          <w:tcPr>
            <w:tcW w:w="1276" w:type="dxa"/>
            <w:shd w:val="clear" w:color="auto" w:fill="auto"/>
            <w:tcMar>
              <w:top w:w="113" w:type="dxa"/>
              <w:left w:w="113" w:type="dxa"/>
              <w:bottom w:w="113" w:type="dxa"/>
              <w:right w:w="113" w:type="dxa"/>
            </w:tcMar>
          </w:tcPr>
          <w:p w14:paraId="56469541" w14:textId="77777777" w:rsidR="00BB2B23" w:rsidRPr="002C06E4" w:rsidRDefault="00BB2B23" w:rsidP="00F5693B">
            <w:pPr>
              <w:pStyle w:val="Tablesmalltext"/>
              <w:jc w:val="center"/>
              <w:rPr>
                <w:color w:val="auto"/>
              </w:rPr>
            </w:pPr>
            <w:r w:rsidRPr="002C06E4">
              <w:rPr>
                <w:color w:val="auto"/>
              </w:rPr>
              <w:t>7291</w:t>
            </w:r>
          </w:p>
        </w:tc>
        <w:tc>
          <w:tcPr>
            <w:tcW w:w="1134" w:type="dxa"/>
            <w:shd w:val="clear" w:color="auto" w:fill="auto"/>
            <w:tcMar>
              <w:top w:w="113" w:type="dxa"/>
              <w:left w:w="113" w:type="dxa"/>
              <w:bottom w:w="113" w:type="dxa"/>
              <w:right w:w="113" w:type="dxa"/>
            </w:tcMar>
          </w:tcPr>
          <w:p w14:paraId="56469542" w14:textId="77777777" w:rsidR="00BB2B23" w:rsidRPr="002C06E4" w:rsidRDefault="00BB2B23" w:rsidP="00F5693B">
            <w:pPr>
              <w:pStyle w:val="Tablesmalltext"/>
              <w:jc w:val="center"/>
              <w:rPr>
                <w:color w:val="auto"/>
              </w:rPr>
            </w:pPr>
            <w:r w:rsidRPr="002C06E4">
              <w:rPr>
                <w:color w:val="auto"/>
              </w:rPr>
              <w:t>7291</w:t>
            </w:r>
          </w:p>
        </w:tc>
        <w:tc>
          <w:tcPr>
            <w:tcW w:w="1134" w:type="dxa"/>
            <w:shd w:val="clear" w:color="auto" w:fill="auto"/>
            <w:tcMar>
              <w:top w:w="113" w:type="dxa"/>
              <w:left w:w="113" w:type="dxa"/>
              <w:bottom w:w="113" w:type="dxa"/>
              <w:right w:w="113" w:type="dxa"/>
            </w:tcMar>
          </w:tcPr>
          <w:p w14:paraId="56469543" w14:textId="77777777" w:rsidR="00BB2B23" w:rsidRPr="002C06E4" w:rsidRDefault="00BB2B23" w:rsidP="00F5693B">
            <w:pPr>
              <w:pStyle w:val="Tablesmalltext"/>
              <w:jc w:val="center"/>
              <w:rPr>
                <w:color w:val="auto"/>
              </w:rPr>
            </w:pPr>
            <w:r w:rsidRPr="002C06E4">
              <w:rPr>
                <w:color w:val="auto"/>
              </w:rPr>
              <w:t>4745</w:t>
            </w:r>
          </w:p>
        </w:tc>
        <w:tc>
          <w:tcPr>
            <w:tcW w:w="1087" w:type="dxa"/>
            <w:shd w:val="clear" w:color="auto" w:fill="auto"/>
            <w:tcMar>
              <w:top w:w="113" w:type="dxa"/>
              <w:left w:w="113" w:type="dxa"/>
              <w:bottom w:w="113" w:type="dxa"/>
              <w:right w:w="113" w:type="dxa"/>
            </w:tcMar>
          </w:tcPr>
          <w:p w14:paraId="56469544" w14:textId="77777777" w:rsidR="00BB2B23" w:rsidRPr="002C06E4" w:rsidRDefault="00BB2B23" w:rsidP="00F5693B">
            <w:pPr>
              <w:pStyle w:val="Tablesmalltext"/>
              <w:jc w:val="center"/>
              <w:rPr>
                <w:color w:val="auto"/>
              </w:rPr>
            </w:pPr>
            <w:r w:rsidRPr="002C06E4">
              <w:rPr>
                <w:color w:val="auto"/>
              </w:rPr>
              <w:t>4745</w:t>
            </w:r>
          </w:p>
        </w:tc>
      </w:tr>
      <w:tr w:rsidR="00BB2B23" w:rsidRPr="002C06E4" w14:paraId="5646954D" w14:textId="77777777" w:rsidTr="002C06E4">
        <w:trPr>
          <w:trHeight w:val="210"/>
        </w:trPr>
        <w:tc>
          <w:tcPr>
            <w:tcW w:w="1606" w:type="dxa"/>
            <w:vMerge/>
            <w:shd w:val="clear" w:color="auto" w:fill="auto"/>
          </w:tcPr>
          <w:p w14:paraId="56469546"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2164" w:type="dxa"/>
            <w:shd w:val="clear" w:color="auto" w:fill="auto"/>
            <w:tcMar>
              <w:top w:w="113" w:type="dxa"/>
              <w:left w:w="113" w:type="dxa"/>
              <w:bottom w:w="113" w:type="dxa"/>
              <w:right w:w="113" w:type="dxa"/>
            </w:tcMar>
          </w:tcPr>
          <w:p w14:paraId="56469547" w14:textId="77777777" w:rsidR="00BB2B23" w:rsidRPr="002C06E4" w:rsidRDefault="00BB2B23" w:rsidP="00F5693B">
            <w:pPr>
              <w:pStyle w:val="Tablesmalltext"/>
              <w:rPr>
                <w:color w:val="auto"/>
              </w:rPr>
            </w:pPr>
            <w:r w:rsidRPr="002C06E4">
              <w:rPr>
                <w:color w:val="auto"/>
              </w:rPr>
              <w:t>Business</w:t>
            </w:r>
          </w:p>
        </w:tc>
        <w:tc>
          <w:tcPr>
            <w:tcW w:w="850" w:type="dxa"/>
            <w:shd w:val="clear" w:color="auto" w:fill="auto"/>
            <w:tcMar>
              <w:top w:w="113" w:type="dxa"/>
              <w:left w:w="113" w:type="dxa"/>
              <w:bottom w:w="113" w:type="dxa"/>
              <w:right w:w="113" w:type="dxa"/>
            </w:tcMar>
          </w:tcPr>
          <w:p w14:paraId="56469548" w14:textId="77777777" w:rsidR="00BB2B23" w:rsidRPr="002C06E4" w:rsidRDefault="00BB2B23" w:rsidP="00F5693B">
            <w:pPr>
              <w:pStyle w:val="Tablesmalltext"/>
              <w:jc w:val="center"/>
              <w:rPr>
                <w:color w:val="auto"/>
              </w:rPr>
            </w:pPr>
            <w:r w:rsidRPr="002C06E4">
              <w:rPr>
                <w:color w:val="auto"/>
              </w:rPr>
              <w:t>$000s</w:t>
            </w:r>
          </w:p>
        </w:tc>
        <w:tc>
          <w:tcPr>
            <w:tcW w:w="1276" w:type="dxa"/>
            <w:shd w:val="clear" w:color="auto" w:fill="auto"/>
            <w:tcMar>
              <w:top w:w="113" w:type="dxa"/>
              <w:left w:w="113" w:type="dxa"/>
              <w:bottom w:w="113" w:type="dxa"/>
              <w:right w:w="113" w:type="dxa"/>
            </w:tcMar>
          </w:tcPr>
          <w:p w14:paraId="56469549" w14:textId="77777777" w:rsidR="00BB2B23" w:rsidRPr="002C06E4" w:rsidRDefault="00BB2B23" w:rsidP="00F5693B">
            <w:pPr>
              <w:pStyle w:val="Tablesmalltext"/>
              <w:jc w:val="center"/>
              <w:rPr>
                <w:color w:val="auto"/>
              </w:rPr>
            </w:pPr>
            <w:r w:rsidRPr="002C06E4">
              <w:rPr>
                <w:color w:val="auto"/>
              </w:rPr>
              <w:t>2889</w:t>
            </w:r>
          </w:p>
        </w:tc>
        <w:tc>
          <w:tcPr>
            <w:tcW w:w="1134" w:type="dxa"/>
            <w:shd w:val="clear" w:color="auto" w:fill="auto"/>
            <w:tcMar>
              <w:top w:w="113" w:type="dxa"/>
              <w:left w:w="113" w:type="dxa"/>
              <w:bottom w:w="113" w:type="dxa"/>
              <w:right w:w="113" w:type="dxa"/>
            </w:tcMar>
          </w:tcPr>
          <w:p w14:paraId="5646954A" w14:textId="77777777" w:rsidR="00BB2B23" w:rsidRPr="002C06E4" w:rsidRDefault="00BB2B23" w:rsidP="00F5693B">
            <w:pPr>
              <w:pStyle w:val="Tablesmalltext"/>
              <w:jc w:val="center"/>
              <w:rPr>
                <w:color w:val="auto"/>
              </w:rPr>
            </w:pPr>
            <w:r w:rsidRPr="002C06E4">
              <w:rPr>
                <w:color w:val="auto"/>
              </w:rPr>
              <w:t>2889</w:t>
            </w:r>
          </w:p>
        </w:tc>
        <w:tc>
          <w:tcPr>
            <w:tcW w:w="1134" w:type="dxa"/>
            <w:shd w:val="clear" w:color="auto" w:fill="auto"/>
            <w:tcMar>
              <w:top w:w="113" w:type="dxa"/>
              <w:left w:w="113" w:type="dxa"/>
              <w:bottom w:w="113" w:type="dxa"/>
              <w:right w:w="113" w:type="dxa"/>
            </w:tcMar>
          </w:tcPr>
          <w:p w14:paraId="5646954B" w14:textId="77777777" w:rsidR="00BB2B23" w:rsidRPr="002C06E4" w:rsidRDefault="00BB2B23" w:rsidP="00F5693B">
            <w:pPr>
              <w:pStyle w:val="Tablesmalltext"/>
              <w:jc w:val="center"/>
              <w:rPr>
                <w:color w:val="auto"/>
              </w:rPr>
            </w:pPr>
            <w:r w:rsidRPr="002C06E4">
              <w:rPr>
                <w:color w:val="auto"/>
              </w:rPr>
              <w:t>2889</w:t>
            </w:r>
          </w:p>
        </w:tc>
        <w:tc>
          <w:tcPr>
            <w:tcW w:w="1087" w:type="dxa"/>
            <w:shd w:val="clear" w:color="auto" w:fill="auto"/>
            <w:tcMar>
              <w:top w:w="113" w:type="dxa"/>
              <w:left w:w="113" w:type="dxa"/>
              <w:bottom w:w="113" w:type="dxa"/>
              <w:right w:w="113" w:type="dxa"/>
            </w:tcMar>
          </w:tcPr>
          <w:p w14:paraId="5646954C" w14:textId="77777777" w:rsidR="00BB2B23" w:rsidRPr="002C06E4" w:rsidRDefault="00BB2B23" w:rsidP="00F5693B">
            <w:pPr>
              <w:pStyle w:val="Tablesmalltext"/>
              <w:jc w:val="center"/>
              <w:rPr>
                <w:color w:val="auto"/>
              </w:rPr>
            </w:pPr>
            <w:r w:rsidRPr="002C06E4">
              <w:rPr>
                <w:color w:val="auto"/>
              </w:rPr>
              <w:t>2889</w:t>
            </w:r>
          </w:p>
        </w:tc>
      </w:tr>
      <w:tr w:rsidR="00BB2B23" w:rsidRPr="002C06E4" w14:paraId="56469555" w14:textId="77777777" w:rsidTr="002C06E4">
        <w:trPr>
          <w:trHeight w:val="210"/>
        </w:trPr>
        <w:tc>
          <w:tcPr>
            <w:tcW w:w="1606" w:type="dxa"/>
            <w:shd w:val="clear" w:color="auto" w:fill="auto"/>
            <w:tcMar>
              <w:top w:w="113" w:type="dxa"/>
              <w:left w:w="113" w:type="dxa"/>
              <w:bottom w:w="113" w:type="dxa"/>
              <w:right w:w="113" w:type="dxa"/>
            </w:tcMar>
          </w:tcPr>
          <w:p w14:paraId="5646954E" w14:textId="77777777" w:rsidR="00BB2B23" w:rsidRPr="002C06E4" w:rsidRDefault="00BB2B23" w:rsidP="00F5693B">
            <w:pPr>
              <w:pStyle w:val="Tablesmalltext"/>
              <w:rPr>
                <w:color w:val="auto"/>
              </w:rPr>
            </w:pPr>
            <w:r w:rsidRPr="002C06E4">
              <w:rPr>
                <w:rStyle w:val="TextBold"/>
                <w:color w:val="auto"/>
              </w:rPr>
              <w:t>Maintenance cost</w:t>
            </w:r>
          </w:p>
        </w:tc>
        <w:tc>
          <w:tcPr>
            <w:tcW w:w="2164" w:type="dxa"/>
            <w:shd w:val="clear" w:color="auto" w:fill="auto"/>
            <w:tcMar>
              <w:top w:w="113" w:type="dxa"/>
              <w:left w:w="113" w:type="dxa"/>
              <w:bottom w:w="113" w:type="dxa"/>
              <w:right w:w="113" w:type="dxa"/>
            </w:tcMar>
          </w:tcPr>
          <w:p w14:paraId="5646954F" w14:textId="77777777" w:rsidR="00BB2B23" w:rsidRPr="002C06E4" w:rsidRDefault="00BB2B23" w:rsidP="00F5693B">
            <w:pPr>
              <w:pStyle w:val="Tablesmalltext"/>
              <w:rPr>
                <w:color w:val="auto"/>
              </w:rPr>
            </w:pPr>
            <w:r w:rsidRPr="002C06E4">
              <w:rPr>
                <w:color w:val="auto"/>
              </w:rPr>
              <w:t>Equipment owners</w:t>
            </w:r>
          </w:p>
        </w:tc>
        <w:tc>
          <w:tcPr>
            <w:tcW w:w="850" w:type="dxa"/>
            <w:shd w:val="clear" w:color="auto" w:fill="auto"/>
            <w:tcMar>
              <w:top w:w="113" w:type="dxa"/>
              <w:left w:w="113" w:type="dxa"/>
              <w:bottom w:w="113" w:type="dxa"/>
              <w:right w:w="113" w:type="dxa"/>
            </w:tcMar>
          </w:tcPr>
          <w:p w14:paraId="56469550" w14:textId="77777777" w:rsidR="00BB2B23" w:rsidRPr="002C06E4" w:rsidRDefault="00BB2B23" w:rsidP="00F5693B">
            <w:pPr>
              <w:pStyle w:val="Tablesmalltext"/>
              <w:jc w:val="center"/>
              <w:rPr>
                <w:color w:val="auto"/>
              </w:rPr>
            </w:pPr>
            <w:r w:rsidRPr="002C06E4">
              <w:rPr>
                <w:color w:val="auto"/>
              </w:rPr>
              <w:t>$000s</w:t>
            </w:r>
          </w:p>
        </w:tc>
        <w:tc>
          <w:tcPr>
            <w:tcW w:w="1276" w:type="dxa"/>
            <w:shd w:val="clear" w:color="auto" w:fill="auto"/>
            <w:tcMar>
              <w:top w:w="113" w:type="dxa"/>
              <w:left w:w="113" w:type="dxa"/>
              <w:bottom w:w="113" w:type="dxa"/>
              <w:right w:w="113" w:type="dxa"/>
            </w:tcMar>
          </w:tcPr>
          <w:p w14:paraId="56469551" w14:textId="77777777" w:rsidR="00BB2B23" w:rsidRPr="002C06E4" w:rsidRDefault="00BB2B23" w:rsidP="00F5693B">
            <w:pPr>
              <w:pStyle w:val="Tablesmalltext"/>
              <w:jc w:val="center"/>
              <w:rPr>
                <w:color w:val="auto"/>
              </w:rPr>
            </w:pPr>
            <w:r w:rsidRPr="002C06E4">
              <w:rPr>
                <w:color w:val="auto"/>
              </w:rPr>
              <w:t>7458</w:t>
            </w:r>
          </w:p>
        </w:tc>
        <w:tc>
          <w:tcPr>
            <w:tcW w:w="1134" w:type="dxa"/>
            <w:shd w:val="clear" w:color="auto" w:fill="auto"/>
            <w:tcMar>
              <w:top w:w="113" w:type="dxa"/>
              <w:left w:w="113" w:type="dxa"/>
              <w:bottom w:w="113" w:type="dxa"/>
              <w:right w:w="113" w:type="dxa"/>
            </w:tcMar>
          </w:tcPr>
          <w:p w14:paraId="56469552" w14:textId="77777777" w:rsidR="00BB2B23" w:rsidRPr="002C06E4" w:rsidRDefault="00BB2B23" w:rsidP="00F5693B">
            <w:pPr>
              <w:pStyle w:val="Tablesmalltext"/>
              <w:jc w:val="center"/>
              <w:rPr>
                <w:color w:val="auto"/>
              </w:rPr>
            </w:pPr>
            <w:r w:rsidRPr="002C06E4">
              <w:rPr>
                <w:color w:val="auto"/>
              </w:rPr>
              <w:t>46,188</w:t>
            </w:r>
          </w:p>
        </w:tc>
        <w:tc>
          <w:tcPr>
            <w:tcW w:w="1134" w:type="dxa"/>
            <w:shd w:val="clear" w:color="auto" w:fill="auto"/>
            <w:tcMar>
              <w:top w:w="113" w:type="dxa"/>
              <w:left w:w="113" w:type="dxa"/>
              <w:bottom w:w="113" w:type="dxa"/>
              <w:right w:w="113" w:type="dxa"/>
            </w:tcMar>
          </w:tcPr>
          <w:p w14:paraId="56469553" w14:textId="77777777" w:rsidR="00BB2B23" w:rsidRPr="002C06E4" w:rsidRDefault="00BB2B23" w:rsidP="00F5693B">
            <w:pPr>
              <w:pStyle w:val="Tablesmalltext"/>
              <w:jc w:val="center"/>
              <w:rPr>
                <w:color w:val="auto"/>
              </w:rPr>
            </w:pPr>
            <w:r w:rsidRPr="002C06E4">
              <w:rPr>
                <w:color w:val="auto"/>
              </w:rPr>
              <w:t>4244</w:t>
            </w:r>
          </w:p>
        </w:tc>
        <w:tc>
          <w:tcPr>
            <w:tcW w:w="1087" w:type="dxa"/>
            <w:shd w:val="clear" w:color="auto" w:fill="auto"/>
            <w:tcMar>
              <w:top w:w="113" w:type="dxa"/>
              <w:left w:w="113" w:type="dxa"/>
              <w:bottom w:w="113" w:type="dxa"/>
              <w:right w:w="113" w:type="dxa"/>
            </w:tcMar>
          </w:tcPr>
          <w:p w14:paraId="56469554" w14:textId="77777777" w:rsidR="00BB2B23" w:rsidRPr="002C06E4" w:rsidRDefault="00BB2B23" w:rsidP="00F5693B">
            <w:pPr>
              <w:pStyle w:val="Tablesmalltext"/>
              <w:jc w:val="center"/>
              <w:rPr>
                <w:color w:val="auto"/>
              </w:rPr>
            </w:pPr>
            <w:r w:rsidRPr="002C06E4">
              <w:rPr>
                <w:color w:val="auto"/>
              </w:rPr>
              <w:t>17,958</w:t>
            </w:r>
          </w:p>
        </w:tc>
      </w:tr>
      <w:tr w:rsidR="00BB2B23" w:rsidRPr="002C06E4" w14:paraId="5646955D" w14:textId="77777777" w:rsidTr="002C06E4">
        <w:trPr>
          <w:trHeight w:val="210"/>
        </w:trPr>
        <w:tc>
          <w:tcPr>
            <w:tcW w:w="1606" w:type="dxa"/>
            <w:vMerge w:val="restart"/>
            <w:shd w:val="clear" w:color="auto" w:fill="auto"/>
            <w:tcMar>
              <w:top w:w="113" w:type="dxa"/>
              <w:left w:w="113" w:type="dxa"/>
              <w:bottom w:w="113" w:type="dxa"/>
              <w:right w:w="113" w:type="dxa"/>
            </w:tcMar>
          </w:tcPr>
          <w:p w14:paraId="56469556" w14:textId="77777777" w:rsidR="00BB2B23" w:rsidRPr="002C06E4" w:rsidRDefault="00BB2B23" w:rsidP="00F5693B">
            <w:pPr>
              <w:pStyle w:val="Tablesmalltext"/>
              <w:rPr>
                <w:color w:val="auto"/>
              </w:rPr>
            </w:pPr>
            <w:r w:rsidRPr="002C06E4">
              <w:rPr>
                <w:rStyle w:val="TextBold"/>
                <w:color w:val="auto"/>
              </w:rPr>
              <w:t>Transitional cost</w:t>
            </w:r>
          </w:p>
        </w:tc>
        <w:tc>
          <w:tcPr>
            <w:tcW w:w="2164" w:type="dxa"/>
            <w:shd w:val="clear" w:color="auto" w:fill="auto"/>
            <w:tcMar>
              <w:top w:w="113" w:type="dxa"/>
              <w:left w:w="113" w:type="dxa"/>
              <w:bottom w:w="113" w:type="dxa"/>
              <w:right w:w="113" w:type="dxa"/>
            </w:tcMar>
          </w:tcPr>
          <w:p w14:paraId="56469557" w14:textId="77777777" w:rsidR="00BB2B23" w:rsidRPr="002C06E4" w:rsidRDefault="00BB2B23" w:rsidP="00F5693B">
            <w:pPr>
              <w:pStyle w:val="Tablesmalltext"/>
              <w:rPr>
                <w:color w:val="auto"/>
              </w:rPr>
            </w:pPr>
            <w:r w:rsidRPr="002C06E4">
              <w:rPr>
                <w:color w:val="auto"/>
              </w:rPr>
              <w:t>Industry</w:t>
            </w:r>
          </w:p>
        </w:tc>
        <w:tc>
          <w:tcPr>
            <w:tcW w:w="850" w:type="dxa"/>
            <w:shd w:val="clear" w:color="auto" w:fill="auto"/>
            <w:tcMar>
              <w:top w:w="113" w:type="dxa"/>
              <w:left w:w="113" w:type="dxa"/>
              <w:bottom w:w="113" w:type="dxa"/>
              <w:right w:w="113" w:type="dxa"/>
            </w:tcMar>
          </w:tcPr>
          <w:p w14:paraId="56469558" w14:textId="77777777" w:rsidR="00BB2B23" w:rsidRPr="002C06E4" w:rsidRDefault="00BB2B23" w:rsidP="00F5693B">
            <w:pPr>
              <w:pStyle w:val="Tablesmalltext"/>
              <w:jc w:val="center"/>
              <w:rPr>
                <w:color w:val="auto"/>
              </w:rPr>
            </w:pPr>
            <w:r w:rsidRPr="002C06E4">
              <w:rPr>
                <w:color w:val="auto"/>
              </w:rPr>
              <w:t>$000s</w:t>
            </w:r>
          </w:p>
        </w:tc>
        <w:tc>
          <w:tcPr>
            <w:tcW w:w="1276" w:type="dxa"/>
            <w:shd w:val="clear" w:color="auto" w:fill="auto"/>
            <w:tcMar>
              <w:top w:w="113" w:type="dxa"/>
              <w:left w:w="113" w:type="dxa"/>
              <w:bottom w:w="113" w:type="dxa"/>
              <w:right w:w="113" w:type="dxa"/>
            </w:tcMar>
          </w:tcPr>
          <w:p w14:paraId="56469559" w14:textId="77777777" w:rsidR="00BB2B23" w:rsidRPr="002C06E4" w:rsidRDefault="00BB2B23" w:rsidP="00F5693B">
            <w:pPr>
              <w:pStyle w:val="Tablesmalltext"/>
              <w:jc w:val="center"/>
              <w:rPr>
                <w:color w:val="auto"/>
              </w:rPr>
            </w:pPr>
            <w:r w:rsidRPr="002C06E4">
              <w:rPr>
                <w:color w:val="auto"/>
              </w:rPr>
              <w:t>831</w:t>
            </w:r>
          </w:p>
        </w:tc>
        <w:tc>
          <w:tcPr>
            <w:tcW w:w="1134" w:type="dxa"/>
            <w:shd w:val="clear" w:color="auto" w:fill="auto"/>
            <w:tcMar>
              <w:top w:w="113" w:type="dxa"/>
              <w:left w:w="113" w:type="dxa"/>
              <w:bottom w:w="113" w:type="dxa"/>
              <w:right w:w="113" w:type="dxa"/>
            </w:tcMar>
          </w:tcPr>
          <w:p w14:paraId="5646955A" w14:textId="77777777" w:rsidR="00BB2B23" w:rsidRPr="002C06E4" w:rsidRDefault="00BB2B23" w:rsidP="00F5693B">
            <w:pPr>
              <w:pStyle w:val="Tablesmalltext"/>
              <w:jc w:val="center"/>
              <w:rPr>
                <w:color w:val="auto"/>
              </w:rPr>
            </w:pPr>
            <w:r w:rsidRPr="002C06E4">
              <w:rPr>
                <w:color w:val="auto"/>
              </w:rPr>
              <w:t>831</w:t>
            </w:r>
          </w:p>
        </w:tc>
        <w:tc>
          <w:tcPr>
            <w:tcW w:w="1134" w:type="dxa"/>
            <w:shd w:val="clear" w:color="auto" w:fill="auto"/>
            <w:tcMar>
              <w:top w:w="113" w:type="dxa"/>
              <w:left w:w="113" w:type="dxa"/>
              <w:bottom w:w="113" w:type="dxa"/>
              <w:right w:w="113" w:type="dxa"/>
            </w:tcMar>
          </w:tcPr>
          <w:p w14:paraId="5646955B" w14:textId="77777777" w:rsidR="00BB2B23" w:rsidRPr="002C06E4" w:rsidRDefault="00BB2B23" w:rsidP="00F5693B">
            <w:pPr>
              <w:pStyle w:val="Tablesmalltext"/>
              <w:jc w:val="center"/>
              <w:rPr>
                <w:color w:val="auto"/>
              </w:rPr>
            </w:pPr>
            <w:r w:rsidRPr="002C06E4">
              <w:rPr>
                <w:color w:val="auto"/>
              </w:rPr>
              <w:t>831</w:t>
            </w:r>
          </w:p>
        </w:tc>
        <w:tc>
          <w:tcPr>
            <w:tcW w:w="1087" w:type="dxa"/>
            <w:shd w:val="clear" w:color="auto" w:fill="auto"/>
            <w:tcMar>
              <w:top w:w="113" w:type="dxa"/>
              <w:left w:w="113" w:type="dxa"/>
              <w:bottom w:w="113" w:type="dxa"/>
              <w:right w:w="113" w:type="dxa"/>
            </w:tcMar>
          </w:tcPr>
          <w:p w14:paraId="5646955C" w14:textId="77777777" w:rsidR="00BB2B23" w:rsidRPr="002C06E4" w:rsidRDefault="00BB2B23" w:rsidP="00F5693B">
            <w:pPr>
              <w:pStyle w:val="Tablesmalltext"/>
              <w:jc w:val="center"/>
              <w:rPr>
                <w:color w:val="auto"/>
              </w:rPr>
            </w:pPr>
            <w:r w:rsidRPr="002C06E4">
              <w:rPr>
                <w:color w:val="auto"/>
              </w:rPr>
              <w:t>831</w:t>
            </w:r>
          </w:p>
        </w:tc>
      </w:tr>
      <w:tr w:rsidR="00BB2B23" w:rsidRPr="002C06E4" w14:paraId="56469565" w14:textId="77777777" w:rsidTr="002C06E4">
        <w:trPr>
          <w:trHeight w:val="210"/>
        </w:trPr>
        <w:tc>
          <w:tcPr>
            <w:tcW w:w="1606" w:type="dxa"/>
            <w:vMerge/>
            <w:shd w:val="clear" w:color="auto" w:fill="auto"/>
          </w:tcPr>
          <w:p w14:paraId="5646955E"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2164" w:type="dxa"/>
            <w:shd w:val="clear" w:color="auto" w:fill="auto"/>
            <w:tcMar>
              <w:top w:w="113" w:type="dxa"/>
              <w:left w:w="113" w:type="dxa"/>
              <w:bottom w:w="113" w:type="dxa"/>
              <w:right w:w="113" w:type="dxa"/>
            </w:tcMar>
          </w:tcPr>
          <w:p w14:paraId="5646955F" w14:textId="77777777" w:rsidR="00BB2B23" w:rsidRPr="002C06E4" w:rsidRDefault="00BB2B23" w:rsidP="00F5693B">
            <w:pPr>
              <w:pStyle w:val="Tablesmalltext"/>
              <w:rPr>
                <w:color w:val="auto"/>
              </w:rPr>
            </w:pPr>
            <w:r w:rsidRPr="002C06E4">
              <w:rPr>
                <w:color w:val="auto"/>
              </w:rPr>
              <w:t>Australian Government</w:t>
            </w:r>
          </w:p>
        </w:tc>
        <w:tc>
          <w:tcPr>
            <w:tcW w:w="850" w:type="dxa"/>
            <w:shd w:val="clear" w:color="auto" w:fill="auto"/>
            <w:tcMar>
              <w:top w:w="113" w:type="dxa"/>
              <w:left w:w="113" w:type="dxa"/>
              <w:bottom w:w="113" w:type="dxa"/>
              <w:right w:w="113" w:type="dxa"/>
            </w:tcMar>
          </w:tcPr>
          <w:p w14:paraId="56469560" w14:textId="77777777" w:rsidR="00BB2B23" w:rsidRPr="002C06E4" w:rsidRDefault="00BB2B23" w:rsidP="00F5693B">
            <w:pPr>
              <w:pStyle w:val="Tablesmalltext"/>
              <w:jc w:val="center"/>
              <w:rPr>
                <w:color w:val="auto"/>
              </w:rPr>
            </w:pPr>
            <w:r w:rsidRPr="002C06E4">
              <w:rPr>
                <w:color w:val="auto"/>
              </w:rPr>
              <w:t>$000s</w:t>
            </w:r>
          </w:p>
        </w:tc>
        <w:tc>
          <w:tcPr>
            <w:tcW w:w="1276" w:type="dxa"/>
            <w:shd w:val="clear" w:color="auto" w:fill="auto"/>
            <w:tcMar>
              <w:top w:w="113" w:type="dxa"/>
              <w:left w:w="113" w:type="dxa"/>
              <w:bottom w:w="113" w:type="dxa"/>
              <w:right w:w="113" w:type="dxa"/>
            </w:tcMar>
          </w:tcPr>
          <w:p w14:paraId="56469561" w14:textId="77777777" w:rsidR="00BB2B23" w:rsidRPr="002C06E4" w:rsidRDefault="00BB2B23" w:rsidP="00F5693B">
            <w:pPr>
              <w:pStyle w:val="Tablesmalltext"/>
              <w:jc w:val="center"/>
              <w:rPr>
                <w:color w:val="auto"/>
              </w:rPr>
            </w:pPr>
            <w:r w:rsidRPr="002C06E4">
              <w:rPr>
                <w:color w:val="auto"/>
              </w:rPr>
              <w:t>1662</w:t>
            </w:r>
          </w:p>
        </w:tc>
        <w:tc>
          <w:tcPr>
            <w:tcW w:w="1134" w:type="dxa"/>
            <w:shd w:val="clear" w:color="auto" w:fill="auto"/>
            <w:tcMar>
              <w:top w:w="113" w:type="dxa"/>
              <w:left w:w="113" w:type="dxa"/>
              <w:bottom w:w="113" w:type="dxa"/>
              <w:right w:w="113" w:type="dxa"/>
            </w:tcMar>
          </w:tcPr>
          <w:p w14:paraId="56469562" w14:textId="77777777" w:rsidR="00BB2B23" w:rsidRPr="002C06E4" w:rsidRDefault="00BB2B23" w:rsidP="00F5693B">
            <w:pPr>
              <w:pStyle w:val="Tablesmalltext"/>
              <w:jc w:val="center"/>
              <w:rPr>
                <w:color w:val="auto"/>
              </w:rPr>
            </w:pPr>
            <w:r w:rsidRPr="002C06E4">
              <w:rPr>
                <w:color w:val="auto"/>
              </w:rPr>
              <w:t>1662</w:t>
            </w:r>
          </w:p>
        </w:tc>
        <w:tc>
          <w:tcPr>
            <w:tcW w:w="1134" w:type="dxa"/>
            <w:shd w:val="clear" w:color="auto" w:fill="auto"/>
            <w:tcMar>
              <w:top w:w="113" w:type="dxa"/>
              <w:left w:w="113" w:type="dxa"/>
              <w:bottom w:w="113" w:type="dxa"/>
              <w:right w:w="113" w:type="dxa"/>
            </w:tcMar>
          </w:tcPr>
          <w:p w14:paraId="56469563" w14:textId="77777777" w:rsidR="00BB2B23" w:rsidRPr="002C06E4" w:rsidRDefault="00BB2B23" w:rsidP="00F5693B">
            <w:pPr>
              <w:pStyle w:val="Tablesmalltext"/>
              <w:jc w:val="center"/>
              <w:rPr>
                <w:color w:val="auto"/>
              </w:rPr>
            </w:pPr>
            <w:r w:rsidRPr="002C06E4">
              <w:rPr>
                <w:color w:val="auto"/>
              </w:rPr>
              <w:t>1662</w:t>
            </w:r>
          </w:p>
        </w:tc>
        <w:tc>
          <w:tcPr>
            <w:tcW w:w="1087" w:type="dxa"/>
            <w:shd w:val="clear" w:color="auto" w:fill="auto"/>
            <w:tcMar>
              <w:top w:w="113" w:type="dxa"/>
              <w:left w:w="113" w:type="dxa"/>
              <w:bottom w:w="113" w:type="dxa"/>
              <w:right w:w="113" w:type="dxa"/>
            </w:tcMar>
          </w:tcPr>
          <w:p w14:paraId="56469564" w14:textId="77777777" w:rsidR="00BB2B23" w:rsidRPr="002C06E4" w:rsidRDefault="00BB2B23" w:rsidP="00F5693B">
            <w:pPr>
              <w:pStyle w:val="Tablesmalltext"/>
              <w:jc w:val="center"/>
              <w:rPr>
                <w:color w:val="auto"/>
              </w:rPr>
            </w:pPr>
            <w:r w:rsidRPr="002C06E4">
              <w:rPr>
                <w:color w:val="auto"/>
              </w:rPr>
              <w:t>1662</w:t>
            </w:r>
          </w:p>
        </w:tc>
      </w:tr>
      <w:tr w:rsidR="00BB2B23" w:rsidRPr="002C06E4" w14:paraId="5646956D" w14:textId="77777777" w:rsidTr="002C06E4">
        <w:trPr>
          <w:trHeight w:val="210"/>
        </w:trPr>
        <w:tc>
          <w:tcPr>
            <w:tcW w:w="1606" w:type="dxa"/>
            <w:vMerge w:val="restart"/>
            <w:shd w:val="clear" w:color="auto" w:fill="auto"/>
            <w:tcMar>
              <w:top w:w="113" w:type="dxa"/>
              <w:left w:w="113" w:type="dxa"/>
              <w:bottom w:w="113" w:type="dxa"/>
              <w:right w:w="113" w:type="dxa"/>
            </w:tcMar>
          </w:tcPr>
          <w:p w14:paraId="56469566" w14:textId="77777777" w:rsidR="00BB2B23" w:rsidRPr="002C06E4" w:rsidRDefault="00BB2B23" w:rsidP="00F5693B">
            <w:pPr>
              <w:pStyle w:val="Tablesmalltext"/>
              <w:rPr>
                <w:color w:val="auto"/>
              </w:rPr>
            </w:pPr>
            <w:r w:rsidRPr="002C06E4">
              <w:rPr>
                <w:rStyle w:val="TextBold"/>
                <w:color w:val="auto"/>
              </w:rPr>
              <w:t>Administrative cost</w:t>
            </w:r>
          </w:p>
        </w:tc>
        <w:tc>
          <w:tcPr>
            <w:tcW w:w="2164" w:type="dxa"/>
            <w:shd w:val="clear" w:color="auto" w:fill="auto"/>
            <w:tcMar>
              <w:top w:w="113" w:type="dxa"/>
              <w:left w:w="113" w:type="dxa"/>
              <w:bottom w:w="113" w:type="dxa"/>
              <w:right w:w="113" w:type="dxa"/>
            </w:tcMar>
          </w:tcPr>
          <w:p w14:paraId="56469567" w14:textId="77777777" w:rsidR="00BB2B23" w:rsidRPr="002C06E4" w:rsidRDefault="00BB2B23" w:rsidP="00F5693B">
            <w:pPr>
              <w:pStyle w:val="Tablesmalltext"/>
              <w:rPr>
                <w:color w:val="auto"/>
              </w:rPr>
            </w:pPr>
            <w:r w:rsidRPr="002C06E4">
              <w:rPr>
                <w:color w:val="auto"/>
              </w:rPr>
              <w:t>Industry</w:t>
            </w:r>
          </w:p>
        </w:tc>
        <w:tc>
          <w:tcPr>
            <w:tcW w:w="850" w:type="dxa"/>
            <w:shd w:val="clear" w:color="auto" w:fill="auto"/>
            <w:tcMar>
              <w:top w:w="113" w:type="dxa"/>
              <w:left w:w="113" w:type="dxa"/>
              <w:bottom w:w="113" w:type="dxa"/>
              <w:right w:w="113" w:type="dxa"/>
            </w:tcMar>
          </w:tcPr>
          <w:p w14:paraId="56469568" w14:textId="77777777" w:rsidR="00BB2B23" w:rsidRPr="002C06E4" w:rsidRDefault="00BB2B23" w:rsidP="00F5693B">
            <w:pPr>
              <w:pStyle w:val="Tablesmalltext"/>
              <w:jc w:val="center"/>
              <w:rPr>
                <w:color w:val="auto"/>
              </w:rPr>
            </w:pPr>
            <w:r w:rsidRPr="002C06E4">
              <w:rPr>
                <w:color w:val="auto"/>
              </w:rPr>
              <w:t>$000s</w:t>
            </w:r>
          </w:p>
        </w:tc>
        <w:tc>
          <w:tcPr>
            <w:tcW w:w="1276" w:type="dxa"/>
            <w:shd w:val="clear" w:color="auto" w:fill="auto"/>
            <w:tcMar>
              <w:top w:w="113" w:type="dxa"/>
              <w:left w:w="113" w:type="dxa"/>
              <w:bottom w:w="113" w:type="dxa"/>
              <w:right w:w="113" w:type="dxa"/>
            </w:tcMar>
          </w:tcPr>
          <w:p w14:paraId="56469569" w14:textId="77777777" w:rsidR="00BB2B23" w:rsidRPr="002C06E4" w:rsidRDefault="00BB2B23" w:rsidP="00F5693B">
            <w:pPr>
              <w:pStyle w:val="Tablesmalltext"/>
              <w:jc w:val="center"/>
              <w:rPr>
                <w:color w:val="auto"/>
              </w:rPr>
            </w:pPr>
            <w:r w:rsidRPr="002C06E4">
              <w:rPr>
                <w:color w:val="auto"/>
              </w:rPr>
              <w:t>31</w:t>
            </w:r>
          </w:p>
        </w:tc>
        <w:tc>
          <w:tcPr>
            <w:tcW w:w="1134" w:type="dxa"/>
            <w:shd w:val="clear" w:color="auto" w:fill="auto"/>
            <w:tcMar>
              <w:top w:w="113" w:type="dxa"/>
              <w:left w:w="113" w:type="dxa"/>
              <w:bottom w:w="113" w:type="dxa"/>
              <w:right w:w="113" w:type="dxa"/>
            </w:tcMar>
          </w:tcPr>
          <w:p w14:paraId="5646956A" w14:textId="77777777" w:rsidR="00BB2B23" w:rsidRPr="002C06E4" w:rsidRDefault="00BB2B23" w:rsidP="00F5693B">
            <w:pPr>
              <w:pStyle w:val="Tablesmalltext"/>
              <w:jc w:val="center"/>
              <w:rPr>
                <w:color w:val="auto"/>
              </w:rPr>
            </w:pPr>
            <w:r w:rsidRPr="002C06E4">
              <w:rPr>
                <w:color w:val="auto"/>
              </w:rPr>
              <w:t>40</w:t>
            </w:r>
          </w:p>
        </w:tc>
        <w:tc>
          <w:tcPr>
            <w:tcW w:w="1134" w:type="dxa"/>
            <w:shd w:val="clear" w:color="auto" w:fill="auto"/>
            <w:tcMar>
              <w:top w:w="113" w:type="dxa"/>
              <w:left w:w="113" w:type="dxa"/>
              <w:bottom w:w="113" w:type="dxa"/>
              <w:right w:w="113" w:type="dxa"/>
            </w:tcMar>
          </w:tcPr>
          <w:p w14:paraId="5646956B" w14:textId="77777777" w:rsidR="00BB2B23" w:rsidRPr="002C06E4" w:rsidRDefault="00BB2B23" w:rsidP="00F5693B">
            <w:pPr>
              <w:pStyle w:val="Tablesmalltext"/>
              <w:jc w:val="center"/>
              <w:rPr>
                <w:color w:val="auto"/>
              </w:rPr>
            </w:pPr>
            <w:r w:rsidRPr="002C06E4">
              <w:rPr>
                <w:color w:val="auto"/>
              </w:rPr>
              <w:t>31</w:t>
            </w:r>
          </w:p>
        </w:tc>
        <w:tc>
          <w:tcPr>
            <w:tcW w:w="1087" w:type="dxa"/>
            <w:shd w:val="clear" w:color="auto" w:fill="auto"/>
            <w:tcMar>
              <w:top w:w="113" w:type="dxa"/>
              <w:left w:w="113" w:type="dxa"/>
              <w:bottom w:w="113" w:type="dxa"/>
              <w:right w:w="113" w:type="dxa"/>
            </w:tcMar>
          </w:tcPr>
          <w:p w14:paraId="5646956C" w14:textId="77777777" w:rsidR="00BB2B23" w:rsidRPr="002C06E4" w:rsidRDefault="00BB2B23" w:rsidP="00F5693B">
            <w:pPr>
              <w:pStyle w:val="Tablesmalltext"/>
              <w:jc w:val="center"/>
              <w:rPr>
                <w:color w:val="auto"/>
              </w:rPr>
            </w:pPr>
            <w:r w:rsidRPr="002C06E4">
              <w:rPr>
                <w:color w:val="auto"/>
              </w:rPr>
              <w:t>40</w:t>
            </w:r>
          </w:p>
        </w:tc>
      </w:tr>
      <w:tr w:rsidR="00BB2B23" w:rsidRPr="002C06E4" w14:paraId="56469575" w14:textId="77777777" w:rsidTr="002C06E4">
        <w:trPr>
          <w:trHeight w:val="210"/>
        </w:trPr>
        <w:tc>
          <w:tcPr>
            <w:tcW w:w="1606" w:type="dxa"/>
            <w:vMerge/>
            <w:shd w:val="clear" w:color="auto" w:fill="auto"/>
          </w:tcPr>
          <w:p w14:paraId="5646956E"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2164" w:type="dxa"/>
            <w:shd w:val="clear" w:color="auto" w:fill="auto"/>
            <w:tcMar>
              <w:top w:w="113" w:type="dxa"/>
              <w:left w:w="113" w:type="dxa"/>
              <w:bottom w:w="113" w:type="dxa"/>
              <w:right w:w="113" w:type="dxa"/>
            </w:tcMar>
          </w:tcPr>
          <w:p w14:paraId="5646956F" w14:textId="77777777" w:rsidR="00BB2B23" w:rsidRPr="002C06E4" w:rsidRDefault="00BB2B23" w:rsidP="00F5693B">
            <w:pPr>
              <w:pStyle w:val="Tablesmalltext"/>
              <w:rPr>
                <w:color w:val="auto"/>
              </w:rPr>
            </w:pPr>
            <w:r w:rsidRPr="002C06E4">
              <w:rPr>
                <w:color w:val="auto"/>
              </w:rPr>
              <w:t>Australian Government</w:t>
            </w:r>
          </w:p>
        </w:tc>
        <w:tc>
          <w:tcPr>
            <w:tcW w:w="850" w:type="dxa"/>
            <w:shd w:val="clear" w:color="auto" w:fill="auto"/>
            <w:tcMar>
              <w:top w:w="113" w:type="dxa"/>
              <w:left w:w="113" w:type="dxa"/>
              <w:bottom w:w="113" w:type="dxa"/>
              <w:right w:w="113" w:type="dxa"/>
            </w:tcMar>
          </w:tcPr>
          <w:p w14:paraId="56469570" w14:textId="77777777" w:rsidR="00BB2B23" w:rsidRPr="002C06E4" w:rsidRDefault="00BB2B23" w:rsidP="00F5693B">
            <w:pPr>
              <w:pStyle w:val="Tablesmalltext"/>
              <w:jc w:val="center"/>
              <w:rPr>
                <w:color w:val="auto"/>
              </w:rPr>
            </w:pPr>
            <w:r w:rsidRPr="002C06E4">
              <w:rPr>
                <w:color w:val="auto"/>
              </w:rPr>
              <w:t>$000s</w:t>
            </w:r>
          </w:p>
        </w:tc>
        <w:tc>
          <w:tcPr>
            <w:tcW w:w="1276" w:type="dxa"/>
            <w:shd w:val="clear" w:color="auto" w:fill="auto"/>
            <w:tcMar>
              <w:top w:w="113" w:type="dxa"/>
              <w:left w:w="113" w:type="dxa"/>
              <w:bottom w:w="113" w:type="dxa"/>
              <w:right w:w="113" w:type="dxa"/>
            </w:tcMar>
          </w:tcPr>
          <w:p w14:paraId="56469571" w14:textId="77777777" w:rsidR="00BB2B23" w:rsidRPr="002C06E4" w:rsidRDefault="00BB2B23" w:rsidP="00F5693B">
            <w:pPr>
              <w:pStyle w:val="Tablesmalltext"/>
              <w:jc w:val="center"/>
              <w:rPr>
                <w:color w:val="auto"/>
              </w:rPr>
            </w:pPr>
            <w:r w:rsidRPr="002C06E4">
              <w:rPr>
                <w:color w:val="auto"/>
              </w:rPr>
              <w:t>282</w:t>
            </w:r>
          </w:p>
        </w:tc>
        <w:tc>
          <w:tcPr>
            <w:tcW w:w="1134" w:type="dxa"/>
            <w:shd w:val="clear" w:color="auto" w:fill="auto"/>
            <w:tcMar>
              <w:top w:w="113" w:type="dxa"/>
              <w:left w:w="113" w:type="dxa"/>
              <w:bottom w:w="113" w:type="dxa"/>
              <w:right w:w="113" w:type="dxa"/>
            </w:tcMar>
          </w:tcPr>
          <w:p w14:paraId="56469572" w14:textId="77777777" w:rsidR="00BB2B23" w:rsidRPr="002C06E4" w:rsidRDefault="00BB2B23" w:rsidP="00F5693B">
            <w:pPr>
              <w:pStyle w:val="Tablesmalltext"/>
              <w:jc w:val="center"/>
              <w:rPr>
                <w:color w:val="auto"/>
              </w:rPr>
            </w:pPr>
            <w:r w:rsidRPr="002C06E4">
              <w:rPr>
                <w:color w:val="auto"/>
              </w:rPr>
              <w:t>897</w:t>
            </w:r>
          </w:p>
        </w:tc>
        <w:tc>
          <w:tcPr>
            <w:tcW w:w="1134" w:type="dxa"/>
            <w:shd w:val="clear" w:color="auto" w:fill="auto"/>
            <w:tcMar>
              <w:top w:w="113" w:type="dxa"/>
              <w:left w:w="113" w:type="dxa"/>
              <w:bottom w:w="113" w:type="dxa"/>
              <w:right w:w="113" w:type="dxa"/>
            </w:tcMar>
          </w:tcPr>
          <w:p w14:paraId="56469573" w14:textId="77777777" w:rsidR="00BB2B23" w:rsidRPr="002C06E4" w:rsidRDefault="00BB2B23" w:rsidP="00F5693B">
            <w:pPr>
              <w:pStyle w:val="Tablesmalltext"/>
              <w:jc w:val="center"/>
              <w:rPr>
                <w:color w:val="auto"/>
              </w:rPr>
            </w:pPr>
            <w:r w:rsidRPr="002C06E4">
              <w:rPr>
                <w:color w:val="auto"/>
              </w:rPr>
              <w:t>282</w:t>
            </w:r>
          </w:p>
        </w:tc>
        <w:tc>
          <w:tcPr>
            <w:tcW w:w="1087" w:type="dxa"/>
            <w:shd w:val="clear" w:color="auto" w:fill="auto"/>
            <w:tcMar>
              <w:top w:w="113" w:type="dxa"/>
              <w:left w:w="113" w:type="dxa"/>
              <w:bottom w:w="113" w:type="dxa"/>
              <w:right w:w="113" w:type="dxa"/>
            </w:tcMar>
          </w:tcPr>
          <w:p w14:paraId="56469574" w14:textId="77777777" w:rsidR="00BB2B23" w:rsidRPr="002C06E4" w:rsidRDefault="00BB2B23" w:rsidP="00F5693B">
            <w:pPr>
              <w:pStyle w:val="Tablesmalltext"/>
              <w:jc w:val="center"/>
              <w:rPr>
                <w:color w:val="auto"/>
              </w:rPr>
            </w:pPr>
            <w:r w:rsidRPr="002C06E4">
              <w:rPr>
                <w:color w:val="auto"/>
              </w:rPr>
              <w:t>897</w:t>
            </w:r>
          </w:p>
        </w:tc>
      </w:tr>
      <w:tr w:rsidR="00BB2B23" w:rsidRPr="002C06E4" w14:paraId="5646957C" w14:textId="77777777" w:rsidTr="002C06E4">
        <w:trPr>
          <w:trHeight w:val="283"/>
        </w:trPr>
        <w:tc>
          <w:tcPr>
            <w:tcW w:w="3770" w:type="dxa"/>
            <w:gridSpan w:val="2"/>
            <w:shd w:val="clear" w:color="auto" w:fill="auto"/>
            <w:tcMar>
              <w:top w:w="113" w:type="dxa"/>
              <w:left w:w="113" w:type="dxa"/>
              <w:bottom w:w="113" w:type="dxa"/>
              <w:right w:w="113" w:type="dxa"/>
            </w:tcMar>
          </w:tcPr>
          <w:p w14:paraId="56469576" w14:textId="77777777" w:rsidR="00BB2B23" w:rsidRPr="002C06E4" w:rsidRDefault="00BB2B23" w:rsidP="00F5693B">
            <w:pPr>
              <w:pStyle w:val="Tablesmalltext"/>
              <w:rPr>
                <w:color w:val="auto"/>
              </w:rPr>
            </w:pPr>
            <w:r w:rsidRPr="002C06E4">
              <w:rPr>
                <w:rStyle w:val="TextBold"/>
                <w:color w:val="auto"/>
              </w:rPr>
              <w:t>Total costs</w:t>
            </w:r>
          </w:p>
        </w:tc>
        <w:tc>
          <w:tcPr>
            <w:tcW w:w="850" w:type="dxa"/>
            <w:shd w:val="clear" w:color="auto" w:fill="auto"/>
            <w:tcMar>
              <w:top w:w="113" w:type="dxa"/>
              <w:left w:w="113" w:type="dxa"/>
              <w:bottom w:w="113" w:type="dxa"/>
              <w:right w:w="113" w:type="dxa"/>
            </w:tcMar>
          </w:tcPr>
          <w:p w14:paraId="56469577" w14:textId="77777777" w:rsidR="00BB2B23" w:rsidRPr="002C06E4" w:rsidRDefault="00BB2B23" w:rsidP="00F5693B">
            <w:pPr>
              <w:pStyle w:val="Tablesmalltext"/>
              <w:jc w:val="center"/>
              <w:rPr>
                <w:color w:val="auto"/>
              </w:rPr>
            </w:pPr>
            <w:r w:rsidRPr="002C06E4">
              <w:rPr>
                <w:rStyle w:val="TextBold"/>
                <w:color w:val="auto"/>
              </w:rPr>
              <w:t>$000s</w:t>
            </w:r>
          </w:p>
        </w:tc>
        <w:tc>
          <w:tcPr>
            <w:tcW w:w="1276" w:type="dxa"/>
            <w:shd w:val="clear" w:color="auto" w:fill="auto"/>
            <w:tcMar>
              <w:top w:w="113" w:type="dxa"/>
              <w:left w:w="113" w:type="dxa"/>
              <w:bottom w:w="113" w:type="dxa"/>
              <w:right w:w="113" w:type="dxa"/>
            </w:tcMar>
          </w:tcPr>
          <w:p w14:paraId="56469578" w14:textId="77777777" w:rsidR="00BB2B23" w:rsidRPr="002C06E4" w:rsidRDefault="00BB2B23" w:rsidP="00F5693B">
            <w:pPr>
              <w:pStyle w:val="Tablesmalltext"/>
              <w:jc w:val="center"/>
              <w:rPr>
                <w:color w:val="auto"/>
              </w:rPr>
            </w:pPr>
            <w:r w:rsidRPr="002C06E4">
              <w:rPr>
                <w:rStyle w:val="TextBold"/>
                <w:color w:val="auto"/>
              </w:rPr>
              <w:t>28,125</w:t>
            </w:r>
          </w:p>
        </w:tc>
        <w:tc>
          <w:tcPr>
            <w:tcW w:w="1134" w:type="dxa"/>
            <w:shd w:val="clear" w:color="auto" w:fill="auto"/>
            <w:tcMar>
              <w:top w:w="113" w:type="dxa"/>
              <w:left w:w="113" w:type="dxa"/>
              <w:bottom w:w="113" w:type="dxa"/>
              <w:right w:w="113" w:type="dxa"/>
            </w:tcMar>
          </w:tcPr>
          <w:p w14:paraId="56469579" w14:textId="77777777" w:rsidR="00BB2B23" w:rsidRPr="002C06E4" w:rsidRDefault="00BB2B23" w:rsidP="00F5693B">
            <w:pPr>
              <w:pStyle w:val="Tablesmalltext"/>
              <w:jc w:val="center"/>
              <w:rPr>
                <w:color w:val="auto"/>
              </w:rPr>
            </w:pPr>
            <w:r w:rsidRPr="002C06E4">
              <w:rPr>
                <w:rStyle w:val="TextBold"/>
                <w:color w:val="auto"/>
              </w:rPr>
              <w:t>87,738</w:t>
            </w:r>
          </w:p>
        </w:tc>
        <w:tc>
          <w:tcPr>
            <w:tcW w:w="1134" w:type="dxa"/>
            <w:shd w:val="clear" w:color="auto" w:fill="auto"/>
            <w:tcMar>
              <w:top w:w="113" w:type="dxa"/>
              <w:left w:w="113" w:type="dxa"/>
              <w:bottom w:w="113" w:type="dxa"/>
              <w:right w:w="113" w:type="dxa"/>
            </w:tcMar>
          </w:tcPr>
          <w:p w14:paraId="5646957A" w14:textId="77777777" w:rsidR="00BB2B23" w:rsidRPr="002C06E4" w:rsidRDefault="00BB2B23" w:rsidP="00F5693B">
            <w:pPr>
              <w:pStyle w:val="Tablesmalltext"/>
              <w:jc w:val="center"/>
              <w:rPr>
                <w:color w:val="auto"/>
              </w:rPr>
            </w:pPr>
            <w:r w:rsidRPr="002C06E4">
              <w:rPr>
                <w:rStyle w:val="TextBold"/>
                <w:color w:val="auto"/>
              </w:rPr>
              <w:t>15,968</w:t>
            </w:r>
          </w:p>
        </w:tc>
        <w:tc>
          <w:tcPr>
            <w:tcW w:w="1087" w:type="dxa"/>
            <w:shd w:val="clear" w:color="auto" w:fill="auto"/>
            <w:tcMar>
              <w:top w:w="113" w:type="dxa"/>
              <w:left w:w="113" w:type="dxa"/>
              <w:bottom w:w="113" w:type="dxa"/>
              <w:right w:w="113" w:type="dxa"/>
            </w:tcMar>
          </w:tcPr>
          <w:p w14:paraId="5646957B" w14:textId="77777777" w:rsidR="00BB2B23" w:rsidRPr="002C06E4" w:rsidRDefault="00BB2B23" w:rsidP="00F5693B">
            <w:pPr>
              <w:pStyle w:val="Tablesmalltext"/>
              <w:jc w:val="center"/>
              <w:rPr>
                <w:color w:val="auto"/>
              </w:rPr>
            </w:pPr>
            <w:r w:rsidRPr="002C06E4">
              <w:rPr>
                <w:rStyle w:val="TextBold"/>
                <w:color w:val="auto"/>
              </w:rPr>
              <w:t>32,802</w:t>
            </w:r>
          </w:p>
        </w:tc>
      </w:tr>
      <w:tr w:rsidR="00BB2B23" w:rsidRPr="002C06E4" w14:paraId="56469583" w14:textId="77777777" w:rsidTr="002C06E4">
        <w:trPr>
          <w:trHeight w:val="210"/>
        </w:trPr>
        <w:tc>
          <w:tcPr>
            <w:tcW w:w="3770" w:type="dxa"/>
            <w:gridSpan w:val="2"/>
            <w:shd w:val="clear" w:color="auto" w:fill="auto"/>
            <w:tcMar>
              <w:top w:w="113" w:type="dxa"/>
              <w:left w:w="113" w:type="dxa"/>
              <w:bottom w:w="113" w:type="dxa"/>
              <w:right w:w="113" w:type="dxa"/>
            </w:tcMar>
          </w:tcPr>
          <w:p w14:paraId="5646957D" w14:textId="77777777" w:rsidR="00BB2B23" w:rsidRPr="002C06E4" w:rsidRDefault="00BB2B23" w:rsidP="00F5693B">
            <w:pPr>
              <w:pStyle w:val="Tablesmalltext"/>
              <w:rPr>
                <w:color w:val="auto"/>
              </w:rPr>
            </w:pPr>
            <w:r w:rsidRPr="002C06E4">
              <w:rPr>
                <w:rStyle w:val="TextBold"/>
                <w:color w:val="auto"/>
              </w:rPr>
              <w:t>Benefit to cost ratio</w:t>
            </w:r>
          </w:p>
        </w:tc>
        <w:tc>
          <w:tcPr>
            <w:tcW w:w="850" w:type="dxa"/>
            <w:shd w:val="clear" w:color="auto" w:fill="auto"/>
            <w:tcMar>
              <w:top w:w="113" w:type="dxa"/>
              <w:left w:w="113" w:type="dxa"/>
              <w:bottom w:w="113" w:type="dxa"/>
              <w:right w:w="113" w:type="dxa"/>
            </w:tcMar>
          </w:tcPr>
          <w:p w14:paraId="5646957E" w14:textId="77777777" w:rsidR="00BB2B23" w:rsidRPr="002C06E4" w:rsidRDefault="00BB2B23" w:rsidP="00F5693B">
            <w:pPr>
              <w:pStyle w:val="Tablesmalltext"/>
              <w:jc w:val="center"/>
              <w:rPr>
                <w:color w:val="auto"/>
              </w:rPr>
            </w:pPr>
            <w:r w:rsidRPr="002C06E4">
              <w:rPr>
                <w:rStyle w:val="TextBold"/>
                <w:color w:val="auto"/>
              </w:rPr>
              <w:t>Ratio</w:t>
            </w:r>
          </w:p>
        </w:tc>
        <w:tc>
          <w:tcPr>
            <w:tcW w:w="1276" w:type="dxa"/>
            <w:shd w:val="clear" w:color="auto" w:fill="auto"/>
            <w:tcMar>
              <w:top w:w="113" w:type="dxa"/>
              <w:left w:w="113" w:type="dxa"/>
              <w:bottom w:w="113" w:type="dxa"/>
              <w:right w:w="113" w:type="dxa"/>
            </w:tcMar>
          </w:tcPr>
          <w:p w14:paraId="5646957F" w14:textId="77777777" w:rsidR="00BB2B23" w:rsidRPr="002C06E4" w:rsidRDefault="00BB2B23" w:rsidP="00F5693B">
            <w:pPr>
              <w:pStyle w:val="Tablesmalltext"/>
              <w:jc w:val="center"/>
              <w:rPr>
                <w:color w:val="auto"/>
              </w:rPr>
            </w:pPr>
            <w:r w:rsidRPr="002C06E4">
              <w:rPr>
                <w:rStyle w:val="TextBold"/>
                <w:color w:val="auto"/>
              </w:rPr>
              <w:t>0.9</w:t>
            </w:r>
          </w:p>
        </w:tc>
        <w:tc>
          <w:tcPr>
            <w:tcW w:w="1134" w:type="dxa"/>
            <w:shd w:val="clear" w:color="auto" w:fill="auto"/>
            <w:tcMar>
              <w:top w:w="113" w:type="dxa"/>
              <w:left w:w="113" w:type="dxa"/>
              <w:bottom w:w="113" w:type="dxa"/>
              <w:right w:w="113" w:type="dxa"/>
            </w:tcMar>
          </w:tcPr>
          <w:p w14:paraId="56469580" w14:textId="77777777" w:rsidR="00BB2B23" w:rsidRPr="002C06E4" w:rsidRDefault="00BB2B23" w:rsidP="00F5693B">
            <w:pPr>
              <w:pStyle w:val="Tablesmalltext"/>
              <w:jc w:val="center"/>
              <w:rPr>
                <w:color w:val="auto"/>
              </w:rPr>
            </w:pPr>
            <w:r w:rsidRPr="002C06E4">
              <w:rPr>
                <w:rStyle w:val="TextBold"/>
                <w:color w:val="auto"/>
              </w:rPr>
              <w:t>1.1</w:t>
            </w:r>
          </w:p>
        </w:tc>
        <w:tc>
          <w:tcPr>
            <w:tcW w:w="1134" w:type="dxa"/>
            <w:shd w:val="clear" w:color="auto" w:fill="auto"/>
            <w:tcMar>
              <w:top w:w="113" w:type="dxa"/>
              <w:left w:w="113" w:type="dxa"/>
              <w:bottom w:w="113" w:type="dxa"/>
              <w:right w:w="113" w:type="dxa"/>
            </w:tcMar>
          </w:tcPr>
          <w:p w14:paraId="56469581" w14:textId="77777777" w:rsidR="00BB2B23" w:rsidRPr="002C06E4" w:rsidRDefault="00BB2B23" w:rsidP="00F5693B">
            <w:pPr>
              <w:pStyle w:val="Tablesmalltext"/>
              <w:jc w:val="center"/>
              <w:rPr>
                <w:color w:val="auto"/>
              </w:rPr>
            </w:pPr>
            <w:r w:rsidRPr="002C06E4">
              <w:rPr>
                <w:rStyle w:val="TextBold"/>
                <w:color w:val="auto"/>
              </w:rPr>
              <w:t>1.4</w:t>
            </w:r>
          </w:p>
        </w:tc>
        <w:tc>
          <w:tcPr>
            <w:tcW w:w="1087" w:type="dxa"/>
            <w:shd w:val="clear" w:color="auto" w:fill="auto"/>
            <w:tcMar>
              <w:top w:w="113" w:type="dxa"/>
              <w:left w:w="113" w:type="dxa"/>
              <w:bottom w:w="113" w:type="dxa"/>
              <w:right w:w="113" w:type="dxa"/>
            </w:tcMar>
          </w:tcPr>
          <w:p w14:paraId="56469582" w14:textId="77777777" w:rsidR="00BB2B23" w:rsidRPr="002C06E4" w:rsidRDefault="00BB2B23" w:rsidP="00F5693B">
            <w:pPr>
              <w:pStyle w:val="Tablesmalltext"/>
              <w:jc w:val="center"/>
              <w:rPr>
                <w:color w:val="auto"/>
              </w:rPr>
            </w:pPr>
            <w:r w:rsidRPr="002C06E4">
              <w:rPr>
                <w:rStyle w:val="TextBold"/>
                <w:color w:val="auto"/>
              </w:rPr>
              <w:t>2.2</w:t>
            </w:r>
          </w:p>
        </w:tc>
      </w:tr>
    </w:tbl>
    <w:p w14:paraId="56469584" w14:textId="77777777" w:rsidR="00BB2B23" w:rsidRDefault="00BB2B23" w:rsidP="00BB2B23">
      <w:pPr>
        <w:pStyle w:val="Text"/>
        <w:rPr>
          <w:rStyle w:val="TextItalic"/>
        </w:rPr>
      </w:pPr>
    </w:p>
    <w:p w14:paraId="56469585" w14:textId="77777777" w:rsidR="00BB2B23" w:rsidRPr="00AC69B2" w:rsidRDefault="00BB2B23" w:rsidP="00AC69B2">
      <w:pPr>
        <w:pStyle w:val="FootnoteText1"/>
        <w:rPr>
          <w:rStyle w:val="FootnoteReference1"/>
          <w:vertAlign w:val="baseline"/>
        </w:rPr>
      </w:pPr>
      <w:r w:rsidRPr="00AC69B2">
        <w:rPr>
          <w:rStyle w:val="FootnoteReference1"/>
          <w:vertAlign w:val="baseline"/>
        </w:rPr>
        <w:t>Source: Jacobs’ analysis. Note that the net benefit may be much higher if the scenario was based on increased maintenance and leak reduction strategies</w:t>
      </w:r>
    </w:p>
    <w:p w14:paraId="56469586" w14:textId="77777777" w:rsidR="00BB2B23" w:rsidRDefault="00BB2B23" w:rsidP="00BB2B23">
      <w:pPr>
        <w:pStyle w:val="Text"/>
      </w:pPr>
    </w:p>
    <w:p w14:paraId="56469587" w14:textId="77777777" w:rsidR="00BB2B23" w:rsidRDefault="00BB2B23" w:rsidP="00BB2B23">
      <w:pPr>
        <w:pStyle w:val="Subhead2"/>
      </w:pPr>
      <w:r>
        <w:t>Impact analysis Option 3—Bans on pre-charged HFC Equipment</w:t>
      </w:r>
    </w:p>
    <w:p w14:paraId="56469588" w14:textId="77777777" w:rsidR="00BB2B23" w:rsidRDefault="00BB2B23" w:rsidP="00BB2B23">
      <w:pPr>
        <w:pStyle w:val="Subhead5"/>
      </w:pPr>
      <w:r>
        <w:t>Option 3a—Supermarket equipment bans</w:t>
      </w:r>
    </w:p>
    <w:p w14:paraId="56469589" w14:textId="77777777" w:rsidR="00BB2B23" w:rsidRDefault="00BB2B23" w:rsidP="00BB2B23">
      <w:pPr>
        <w:pStyle w:val="Subhead5"/>
      </w:pPr>
      <w:r>
        <w:t>Option 3b—Mobile air conditioning bans</w:t>
      </w:r>
    </w:p>
    <w:p w14:paraId="5646958A" w14:textId="77777777" w:rsidR="00BB2B23" w:rsidRDefault="00BB2B23" w:rsidP="00BB2B23">
      <w:pPr>
        <w:pStyle w:val="Text"/>
      </w:pPr>
      <w:r>
        <w:lastRenderedPageBreak/>
        <w:t xml:space="preserve">The key impact from implementation of Option 3 as a whole, whether through the specific mechanisms of Options 3a or 3b, is to reduce the amount of HFC in pre-charged equipment available to potential users in a predictable way. This scarcity effect may be felt in the form of higher prices, or the expectation of higher future prices for HFC. </w:t>
      </w:r>
    </w:p>
    <w:p w14:paraId="5646958B" w14:textId="77777777" w:rsidR="00BB2B23" w:rsidRDefault="00BB2B23" w:rsidP="00BB2B23">
      <w:pPr>
        <w:pStyle w:val="Text"/>
      </w:pPr>
      <w:r>
        <w:t xml:space="preserve">Either option is expected to lead to market adaptation through reducing supply of existing technology and exploration of alternative options. This includes importing equipment that uses lower GWP gases so that equipment could be serviced into the future. </w:t>
      </w:r>
    </w:p>
    <w:p w14:paraId="5646958C" w14:textId="77777777" w:rsidR="00BB2B23" w:rsidRDefault="00BB2B23" w:rsidP="00BB2B23">
      <w:pPr>
        <w:pStyle w:val="Subhead3"/>
      </w:pPr>
      <w:r>
        <w:t>Impact of Option 3a—Supermarket equipment bans</w:t>
      </w:r>
    </w:p>
    <w:p w14:paraId="5646958D" w14:textId="77777777" w:rsidR="00BB2B23" w:rsidRDefault="00BB2B23" w:rsidP="00BB2B23">
      <w:pPr>
        <w:pStyle w:val="Subhead5"/>
      </w:pPr>
      <w:r>
        <w:t xml:space="preserve">Bans of supermarket equipment containing gas with GWP &gt;2500 from 2020. </w:t>
      </w:r>
    </w:p>
    <w:p w14:paraId="5646958E" w14:textId="77777777" w:rsidR="00BB2B23" w:rsidRDefault="00BB2B23" w:rsidP="00BB2B23">
      <w:pPr>
        <w:pStyle w:val="Text"/>
      </w:pPr>
      <w:r>
        <w:t xml:space="preserve">The sales mix of new supermarket equipment in 2020 is diverse, with only ten per cent of all new equipment sold containing HFC-404A. By 2024, no new supermarket equipment is expected to be sold using HFC-404A, with a total of 92 pieces of equipment expected to be sold between 2020 and 2024 (6 per cent of total sales over the period). </w:t>
      </w:r>
    </w:p>
    <w:p w14:paraId="5646958F" w14:textId="77777777" w:rsidR="00BB2B23" w:rsidRDefault="00BB2B23" w:rsidP="00BB2B23">
      <w:pPr>
        <w:pStyle w:val="Text"/>
      </w:pPr>
      <w:r>
        <w:t xml:space="preserve">This suggests there are a range of cost-effective alternatives on the market. Systems based on alternative gases are likely to have similar capital and maintenance costs, and can reduce energy costs by up to 5.8 per cent, hence a strong incentive for supermarkets to consider other options already exists. </w:t>
      </w:r>
    </w:p>
    <w:p w14:paraId="56469590" w14:textId="77777777" w:rsidR="00BB2B23" w:rsidRDefault="00BB2B23" w:rsidP="00BB2B23">
      <w:pPr>
        <w:pStyle w:val="Text"/>
      </w:pPr>
      <w:r>
        <w:t>The CBA indicates a positive net benefit for the ban on supermarket equipment.</w:t>
      </w:r>
    </w:p>
    <w:p w14:paraId="56469591" w14:textId="77777777" w:rsidR="00BB2B23" w:rsidRDefault="00BB2B23" w:rsidP="00BB2B23">
      <w:pPr>
        <w:pStyle w:val="Subhead3"/>
      </w:pPr>
      <w:r>
        <w:t>Impacts of Option 3b—Mobile air conditioning bans</w:t>
      </w:r>
    </w:p>
    <w:p w14:paraId="56469592" w14:textId="77777777" w:rsidR="00BB2B23" w:rsidRDefault="00BB2B23" w:rsidP="00BB2B23">
      <w:pPr>
        <w:pStyle w:val="Subhead5"/>
      </w:pPr>
      <w:r>
        <w:t>Bans on imports of mobile air conditioning equipment containing gas with GWP &gt;150 and with a date of manufacture from 2017.</w:t>
      </w:r>
    </w:p>
    <w:p w14:paraId="56469593" w14:textId="77777777" w:rsidR="00BB2B23" w:rsidRDefault="00BB2B23" w:rsidP="00BB2B23">
      <w:pPr>
        <w:pStyle w:val="Text"/>
      </w:pPr>
      <w:r>
        <w:t xml:space="preserve">Preliminary modelling of potential future use trends indicates the most likely alternative gas for mobile air conditioning equipment is HFO-1234yf as a replacement for HFC-134a. </w:t>
      </w:r>
    </w:p>
    <w:p w14:paraId="56469594" w14:textId="77777777" w:rsidR="00BB2B23" w:rsidRDefault="00BB2B23" w:rsidP="00BB2B23">
      <w:pPr>
        <w:pStyle w:val="Text"/>
      </w:pPr>
      <w:r>
        <w:t xml:space="preserve">Under this assumption, the most significant costs include capital and maintenance costs, which outweigh benefits in avoided emissions. The increased capital and maintenance costs occur because mobile air conditioning systems using HFO-1234yf are more expensive to produce (thus potentially increasing the purchase price of a vehicle) and more expensive to maintain. </w:t>
      </w:r>
    </w:p>
    <w:p w14:paraId="56469595" w14:textId="77777777" w:rsidR="00BB2B23" w:rsidRDefault="00BB2B23" w:rsidP="00BB2B23">
      <w:pPr>
        <w:pStyle w:val="Subhead3"/>
      </w:pPr>
      <w:r>
        <w:t>Anticipated benefits (Options 3a and 3b)</w:t>
      </w:r>
    </w:p>
    <w:p w14:paraId="56469596" w14:textId="77777777" w:rsidR="00BB2B23" w:rsidRDefault="00BB2B23" w:rsidP="00BB2B23">
      <w:pPr>
        <w:pStyle w:val="Bullets1"/>
        <w:spacing w:before="170"/>
      </w:pPr>
      <w:r>
        <w:t>Option 3a is expected to result in emissions reduction of approximately 0.28 Mt CO</w:t>
      </w:r>
      <w:r>
        <w:rPr>
          <w:rStyle w:val="subscript"/>
        </w:rPr>
        <w:t>2</w:t>
      </w:r>
      <w:r>
        <w:t>-e over the period 2017–2036.</w:t>
      </w:r>
    </w:p>
    <w:p w14:paraId="56469597" w14:textId="77777777" w:rsidR="00BB2B23" w:rsidRDefault="00BB2B23" w:rsidP="00BB2B23">
      <w:pPr>
        <w:pStyle w:val="Bullets1"/>
      </w:pPr>
      <w:r>
        <w:t>Option 3b is expected to result in emissions reduction of approximately 6.14 Mt CO2-e over the period 2017–2036.</w:t>
      </w:r>
    </w:p>
    <w:p w14:paraId="56469598" w14:textId="77777777" w:rsidR="00BB2B23" w:rsidRDefault="00BB2B23" w:rsidP="00BB2B23">
      <w:pPr>
        <w:pStyle w:val="Bullets1"/>
      </w:pPr>
      <w:r>
        <w:t>Introduction of more energy efficient technology, which will reduce energy costs by up to 5.8 per cent.</w:t>
      </w:r>
    </w:p>
    <w:p w14:paraId="56469599" w14:textId="77777777" w:rsidR="00BB2B23" w:rsidRDefault="00BB2B23" w:rsidP="00BB2B23">
      <w:pPr>
        <w:pStyle w:val="Subhead3"/>
      </w:pPr>
      <w:r>
        <w:t>Anticipated costs (Options 3a and 3b)</w:t>
      </w:r>
    </w:p>
    <w:p w14:paraId="5646959A" w14:textId="77777777" w:rsidR="00BB2B23" w:rsidRDefault="00BB2B23" w:rsidP="00BB2B23">
      <w:pPr>
        <w:pStyle w:val="Bullets1"/>
        <w:spacing w:before="170"/>
      </w:pPr>
      <w:r>
        <w:lastRenderedPageBreak/>
        <w:t>Incremental capital costs for new equipment of $39.1 million for option 3b only. Under option 3a there are already a range of cost-effective alternatives for supermarket equipment on the market. In addition, only 10 per cent of supermarket equipment sold currently contains HFC404A. In contrast, small and large MAC</w:t>
      </w:r>
      <w:r>
        <w:rPr>
          <w:rStyle w:val="nobreak"/>
        </w:rPr>
        <w:t xml:space="preserve"> </w:t>
      </w:r>
      <w:r>
        <w:t xml:space="preserve">have a 5–10 per cent higher price for low GWP alternatives. </w:t>
      </w:r>
    </w:p>
    <w:p w14:paraId="5646959B" w14:textId="77777777" w:rsidR="00BB2B23" w:rsidRDefault="00BB2B23" w:rsidP="00BB2B23">
      <w:pPr>
        <w:pStyle w:val="Bullets1"/>
      </w:pPr>
      <w:r>
        <w:t xml:space="preserve">Refrigerant gas costs of $98.3M for 3b only. </w:t>
      </w:r>
    </w:p>
    <w:p w14:paraId="5646959C" w14:textId="77777777" w:rsidR="00BB2B23" w:rsidRDefault="00BB2B23" w:rsidP="00BB2B23">
      <w:pPr>
        <w:pStyle w:val="Bullets1"/>
      </w:pPr>
      <w:r>
        <w:t>Maintenance costs of $0.4M for 3a and $82.8M for 3b.</w:t>
      </w:r>
    </w:p>
    <w:p w14:paraId="5646959D" w14:textId="77777777" w:rsidR="00BB2B23" w:rsidRDefault="00BB2B23" w:rsidP="00BB2B23">
      <w:pPr>
        <w:pStyle w:val="Subhead3"/>
      </w:pPr>
      <w:r>
        <w:t>Impacts on affected stakeholders</w:t>
      </w:r>
    </w:p>
    <w:p w14:paraId="5646959E" w14:textId="77777777" w:rsidR="00BB2B23" w:rsidRDefault="00BB2B23" w:rsidP="00BB2B23">
      <w:pPr>
        <w:pStyle w:val="Text"/>
      </w:pPr>
      <w:r>
        <w:t>The ultimate incidence of costs associated with an HFC equipment ban are most likely to fall on importers (currently 265 importers of MAC equipment) and equipment owners, and likely to be passed onto consumers. The bans will be applied at point of import, and therefore do not cause regulatory burden for end users of equipment. However, there is expected to be additional capital and maintenance cost to equipment purchasers, as a direct result of no longer being able to purchase equipment containing certain gases.</w:t>
      </w:r>
    </w:p>
    <w:p w14:paraId="5646959F" w14:textId="77777777" w:rsidR="00BB2B23" w:rsidRDefault="00BB2B23" w:rsidP="00BB2B23">
      <w:pPr>
        <w:pStyle w:val="Text"/>
      </w:pPr>
      <w:r>
        <w:t xml:space="preserve">Under the Regulatory Burden Measurement framework, annual regulatory burden is estimated at $0.05 million (option 3a) for supermarket equipment and $31.57 million (option 3b) for mobile air conditioners. </w:t>
      </w:r>
    </w:p>
    <w:p w14:paraId="564695A0" w14:textId="77777777" w:rsidR="00BB2B23" w:rsidRDefault="00BB2B23" w:rsidP="00BB2B23">
      <w:pPr>
        <w:pStyle w:val="Text"/>
      </w:pPr>
      <w:r>
        <w:t xml:space="preserve">For example, as the most appropriate alternative for HFC134a in MAC is HFO1234y vehicle owners will likely move to equipment that uses this species. For Large MAC that contains HFO1234y, the projected 10 per cent increase in capital cost will move the price from $7000 to $7700. </w:t>
      </w:r>
    </w:p>
    <w:p w14:paraId="564695A1" w14:textId="77777777" w:rsidR="00BB2B23" w:rsidRDefault="00BB2B23" w:rsidP="00BB2B23">
      <w:pPr>
        <w:pStyle w:val="Text"/>
      </w:pPr>
      <w:r>
        <w:t>Table 4 for a summary of distributional impacts.</w:t>
      </w:r>
    </w:p>
    <w:p w14:paraId="564695A2" w14:textId="77777777" w:rsidR="00BB2B23" w:rsidRDefault="00BB2B23" w:rsidP="00BB2B23">
      <w:pPr>
        <w:pStyle w:val="Tabletitle"/>
      </w:pPr>
      <w:r>
        <w:t>Table 4: Stakeholder impacts (2016–30)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0"/>
        <w:gridCol w:w="2977"/>
        <w:gridCol w:w="2977"/>
      </w:tblGrid>
      <w:tr w:rsidR="00BB2B23" w:rsidRPr="002C06E4" w14:paraId="564695A5" w14:textId="77777777" w:rsidTr="002C06E4">
        <w:trPr>
          <w:trHeight w:val="60"/>
          <w:tblHeader/>
        </w:trPr>
        <w:tc>
          <w:tcPr>
            <w:tcW w:w="2820" w:type="dxa"/>
            <w:shd w:val="clear" w:color="auto" w:fill="auto"/>
            <w:tcMar>
              <w:top w:w="113" w:type="dxa"/>
              <w:left w:w="113" w:type="dxa"/>
              <w:bottom w:w="113" w:type="dxa"/>
              <w:right w:w="113" w:type="dxa"/>
            </w:tcMar>
          </w:tcPr>
          <w:p w14:paraId="564695A3" w14:textId="77777777" w:rsidR="00BB2B23" w:rsidRPr="002C06E4" w:rsidRDefault="00BB2B23" w:rsidP="00F5693B">
            <w:pPr>
              <w:pStyle w:val="Tablesmallheading"/>
              <w:jc w:val="center"/>
              <w:rPr>
                <w:color w:val="auto"/>
              </w:rPr>
            </w:pPr>
            <w:r w:rsidRPr="002C06E4">
              <w:rPr>
                <w:color w:val="auto"/>
              </w:rPr>
              <w:t>Stakeholder group</w:t>
            </w:r>
          </w:p>
        </w:tc>
        <w:tc>
          <w:tcPr>
            <w:tcW w:w="5954" w:type="dxa"/>
            <w:gridSpan w:val="2"/>
            <w:shd w:val="clear" w:color="auto" w:fill="auto"/>
            <w:tcMar>
              <w:top w:w="113" w:type="dxa"/>
              <w:left w:w="113" w:type="dxa"/>
              <w:bottom w:w="113" w:type="dxa"/>
              <w:right w:w="113" w:type="dxa"/>
            </w:tcMar>
          </w:tcPr>
          <w:p w14:paraId="564695A4" w14:textId="77777777" w:rsidR="00BB2B23" w:rsidRPr="002C06E4" w:rsidRDefault="00BB2B23" w:rsidP="00F5693B">
            <w:pPr>
              <w:pStyle w:val="Tablesmallheading"/>
              <w:jc w:val="center"/>
              <w:rPr>
                <w:color w:val="auto"/>
              </w:rPr>
            </w:pPr>
            <w:r w:rsidRPr="002C06E4">
              <w:rPr>
                <w:color w:val="auto"/>
              </w:rPr>
              <w:t>Substitution Costs ($ million, NPV)</w:t>
            </w:r>
          </w:p>
        </w:tc>
      </w:tr>
      <w:tr w:rsidR="00BB2B23" w:rsidRPr="002C06E4" w14:paraId="564695AB" w14:textId="77777777" w:rsidTr="002C06E4">
        <w:trPr>
          <w:trHeight w:val="594"/>
        </w:trPr>
        <w:tc>
          <w:tcPr>
            <w:tcW w:w="2820" w:type="dxa"/>
            <w:shd w:val="clear" w:color="auto" w:fill="auto"/>
            <w:tcMar>
              <w:top w:w="113" w:type="dxa"/>
              <w:left w:w="113" w:type="dxa"/>
              <w:bottom w:w="113" w:type="dxa"/>
              <w:right w:w="113" w:type="dxa"/>
            </w:tcMar>
          </w:tcPr>
          <w:p w14:paraId="564695A6"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2977" w:type="dxa"/>
            <w:shd w:val="clear" w:color="auto" w:fill="auto"/>
            <w:tcMar>
              <w:top w:w="113" w:type="dxa"/>
              <w:left w:w="113" w:type="dxa"/>
              <w:bottom w:w="113" w:type="dxa"/>
              <w:right w:w="113" w:type="dxa"/>
            </w:tcMar>
          </w:tcPr>
          <w:p w14:paraId="564695A7" w14:textId="77777777" w:rsidR="00BB2B23" w:rsidRPr="002C06E4" w:rsidRDefault="00BB2B23" w:rsidP="00F5693B">
            <w:pPr>
              <w:pStyle w:val="Tablesmalltext"/>
              <w:spacing w:before="0"/>
              <w:jc w:val="center"/>
              <w:rPr>
                <w:rStyle w:val="TextBold"/>
                <w:color w:val="auto"/>
              </w:rPr>
            </w:pPr>
            <w:r w:rsidRPr="002C06E4">
              <w:rPr>
                <w:rStyle w:val="TextBold"/>
                <w:color w:val="auto"/>
              </w:rPr>
              <w:t>Option 3a</w:t>
            </w:r>
          </w:p>
          <w:p w14:paraId="564695A8" w14:textId="77777777" w:rsidR="00BB2B23" w:rsidRPr="002C06E4" w:rsidRDefault="00BB2B23" w:rsidP="00F5693B">
            <w:pPr>
              <w:pStyle w:val="Tablesmalltext"/>
              <w:spacing w:before="0"/>
              <w:jc w:val="center"/>
              <w:rPr>
                <w:color w:val="auto"/>
              </w:rPr>
            </w:pPr>
            <w:r w:rsidRPr="002C06E4">
              <w:rPr>
                <w:rStyle w:val="TextBold"/>
                <w:color w:val="auto"/>
              </w:rPr>
              <w:t>Supermarket Equipment Bans</w:t>
            </w:r>
          </w:p>
        </w:tc>
        <w:tc>
          <w:tcPr>
            <w:tcW w:w="2977" w:type="dxa"/>
            <w:shd w:val="clear" w:color="auto" w:fill="auto"/>
            <w:tcMar>
              <w:top w:w="113" w:type="dxa"/>
              <w:left w:w="113" w:type="dxa"/>
              <w:bottom w:w="113" w:type="dxa"/>
              <w:right w:w="113" w:type="dxa"/>
            </w:tcMar>
          </w:tcPr>
          <w:p w14:paraId="564695A9" w14:textId="77777777" w:rsidR="00BB2B23" w:rsidRPr="002C06E4" w:rsidRDefault="00BB2B23" w:rsidP="00F5693B">
            <w:pPr>
              <w:pStyle w:val="Tablesmalltext"/>
              <w:spacing w:before="0"/>
              <w:jc w:val="center"/>
              <w:rPr>
                <w:rStyle w:val="TextBold"/>
                <w:color w:val="auto"/>
              </w:rPr>
            </w:pPr>
            <w:r w:rsidRPr="002C06E4">
              <w:rPr>
                <w:rStyle w:val="TextBold"/>
                <w:color w:val="auto"/>
              </w:rPr>
              <w:t>Option 3b</w:t>
            </w:r>
          </w:p>
          <w:p w14:paraId="564695AA" w14:textId="77777777" w:rsidR="00BB2B23" w:rsidRPr="002C06E4" w:rsidRDefault="00BB2B23" w:rsidP="00F5693B">
            <w:pPr>
              <w:pStyle w:val="Tablesmalltext"/>
              <w:spacing w:before="0"/>
              <w:jc w:val="center"/>
              <w:rPr>
                <w:color w:val="auto"/>
              </w:rPr>
            </w:pPr>
            <w:r w:rsidRPr="002C06E4">
              <w:rPr>
                <w:rStyle w:val="TextBold"/>
                <w:color w:val="auto"/>
              </w:rPr>
              <w:t>Mobile Air Conditioning Equipment</w:t>
            </w:r>
          </w:p>
        </w:tc>
      </w:tr>
      <w:tr w:rsidR="00BB2B23" w:rsidRPr="002C06E4" w14:paraId="564695AF" w14:textId="77777777" w:rsidTr="002C06E4">
        <w:trPr>
          <w:trHeight w:val="60"/>
        </w:trPr>
        <w:tc>
          <w:tcPr>
            <w:tcW w:w="2820" w:type="dxa"/>
            <w:shd w:val="clear" w:color="auto" w:fill="auto"/>
            <w:tcMar>
              <w:top w:w="113" w:type="dxa"/>
              <w:left w:w="113" w:type="dxa"/>
              <w:bottom w:w="113" w:type="dxa"/>
              <w:right w:w="113" w:type="dxa"/>
            </w:tcMar>
          </w:tcPr>
          <w:p w14:paraId="564695AC" w14:textId="77777777" w:rsidR="00BB2B23" w:rsidRPr="002C06E4" w:rsidRDefault="00BB2B23" w:rsidP="00F5693B">
            <w:pPr>
              <w:pStyle w:val="Tablesmalltext"/>
              <w:rPr>
                <w:color w:val="auto"/>
              </w:rPr>
            </w:pPr>
            <w:r w:rsidRPr="002C06E4">
              <w:rPr>
                <w:color w:val="auto"/>
              </w:rPr>
              <w:t>Equipment/vehicle owners</w:t>
            </w:r>
          </w:p>
        </w:tc>
        <w:tc>
          <w:tcPr>
            <w:tcW w:w="2977" w:type="dxa"/>
            <w:shd w:val="clear" w:color="auto" w:fill="auto"/>
            <w:tcMar>
              <w:top w:w="113" w:type="dxa"/>
              <w:left w:w="113" w:type="dxa"/>
              <w:bottom w:w="113" w:type="dxa"/>
              <w:right w:w="113" w:type="dxa"/>
            </w:tcMar>
          </w:tcPr>
          <w:p w14:paraId="564695AD" w14:textId="77777777" w:rsidR="00BB2B23" w:rsidRPr="002C06E4" w:rsidRDefault="00BB2B23" w:rsidP="00F5693B">
            <w:pPr>
              <w:pStyle w:val="Tablesmalltext"/>
              <w:jc w:val="center"/>
              <w:rPr>
                <w:color w:val="auto"/>
              </w:rPr>
            </w:pPr>
            <w:r w:rsidRPr="002C06E4">
              <w:rPr>
                <w:color w:val="auto"/>
              </w:rPr>
              <w:t>0.41</w:t>
            </w:r>
          </w:p>
        </w:tc>
        <w:tc>
          <w:tcPr>
            <w:tcW w:w="2977" w:type="dxa"/>
            <w:shd w:val="clear" w:color="auto" w:fill="auto"/>
            <w:tcMar>
              <w:top w:w="113" w:type="dxa"/>
              <w:left w:w="113" w:type="dxa"/>
              <w:bottom w:w="113" w:type="dxa"/>
              <w:right w:w="113" w:type="dxa"/>
            </w:tcMar>
          </w:tcPr>
          <w:p w14:paraId="564695AE" w14:textId="77777777" w:rsidR="00BB2B23" w:rsidRPr="002C06E4" w:rsidRDefault="00BB2B23" w:rsidP="00F5693B">
            <w:pPr>
              <w:pStyle w:val="Tablesmalltext"/>
              <w:jc w:val="center"/>
              <w:rPr>
                <w:color w:val="auto"/>
              </w:rPr>
            </w:pPr>
            <w:r w:rsidRPr="002C06E4">
              <w:rPr>
                <w:color w:val="auto"/>
              </w:rPr>
              <w:t>220.18</w:t>
            </w:r>
          </w:p>
        </w:tc>
      </w:tr>
      <w:tr w:rsidR="00BB2B23" w:rsidRPr="002C06E4" w14:paraId="564695B3" w14:textId="77777777" w:rsidTr="002C06E4">
        <w:trPr>
          <w:trHeight w:val="60"/>
        </w:trPr>
        <w:tc>
          <w:tcPr>
            <w:tcW w:w="2820" w:type="dxa"/>
            <w:shd w:val="clear" w:color="auto" w:fill="auto"/>
            <w:tcMar>
              <w:top w:w="113" w:type="dxa"/>
              <w:left w:w="113" w:type="dxa"/>
              <w:bottom w:w="113" w:type="dxa"/>
              <w:right w:w="113" w:type="dxa"/>
            </w:tcMar>
          </w:tcPr>
          <w:p w14:paraId="564695B0" w14:textId="77777777" w:rsidR="00BB2B23" w:rsidRPr="002C06E4" w:rsidRDefault="00BB2B23" w:rsidP="00F5693B">
            <w:pPr>
              <w:pStyle w:val="Tablesmalltext"/>
              <w:rPr>
                <w:color w:val="auto"/>
              </w:rPr>
            </w:pPr>
            <w:r w:rsidRPr="002C06E4">
              <w:rPr>
                <w:color w:val="auto"/>
              </w:rPr>
              <w:t>Federal Government</w:t>
            </w:r>
          </w:p>
        </w:tc>
        <w:tc>
          <w:tcPr>
            <w:tcW w:w="2977" w:type="dxa"/>
            <w:shd w:val="clear" w:color="auto" w:fill="auto"/>
            <w:tcMar>
              <w:top w:w="113" w:type="dxa"/>
              <w:left w:w="113" w:type="dxa"/>
              <w:bottom w:w="113" w:type="dxa"/>
              <w:right w:w="113" w:type="dxa"/>
            </w:tcMar>
          </w:tcPr>
          <w:p w14:paraId="564695B1" w14:textId="77777777" w:rsidR="00BB2B23" w:rsidRPr="002C06E4" w:rsidRDefault="00BB2B23" w:rsidP="00F5693B">
            <w:pPr>
              <w:pStyle w:val="Tablesmalltext"/>
              <w:jc w:val="center"/>
              <w:rPr>
                <w:color w:val="auto"/>
              </w:rPr>
            </w:pPr>
            <w:r w:rsidRPr="002C06E4">
              <w:rPr>
                <w:color w:val="auto"/>
              </w:rPr>
              <w:t>1.81</w:t>
            </w:r>
          </w:p>
        </w:tc>
        <w:tc>
          <w:tcPr>
            <w:tcW w:w="2977" w:type="dxa"/>
            <w:shd w:val="clear" w:color="auto" w:fill="auto"/>
            <w:tcMar>
              <w:top w:w="113" w:type="dxa"/>
              <w:left w:w="113" w:type="dxa"/>
              <w:bottom w:w="113" w:type="dxa"/>
              <w:right w:w="113" w:type="dxa"/>
            </w:tcMar>
          </w:tcPr>
          <w:p w14:paraId="564695B2" w14:textId="77777777" w:rsidR="00BB2B23" w:rsidRPr="002C06E4" w:rsidRDefault="00BB2B23" w:rsidP="00F5693B">
            <w:pPr>
              <w:pStyle w:val="Tablesmalltext"/>
              <w:jc w:val="center"/>
              <w:rPr>
                <w:color w:val="auto"/>
              </w:rPr>
            </w:pPr>
            <w:r w:rsidRPr="002C06E4">
              <w:rPr>
                <w:color w:val="auto"/>
              </w:rPr>
              <w:t>2.41</w:t>
            </w:r>
          </w:p>
        </w:tc>
      </w:tr>
      <w:tr w:rsidR="00BB2B23" w:rsidRPr="002C06E4" w14:paraId="564695B7" w14:textId="77777777" w:rsidTr="002C06E4">
        <w:trPr>
          <w:trHeight w:val="60"/>
        </w:trPr>
        <w:tc>
          <w:tcPr>
            <w:tcW w:w="2820" w:type="dxa"/>
            <w:shd w:val="clear" w:color="auto" w:fill="auto"/>
            <w:tcMar>
              <w:top w:w="113" w:type="dxa"/>
              <w:left w:w="113" w:type="dxa"/>
              <w:bottom w:w="113" w:type="dxa"/>
              <w:right w:w="113" w:type="dxa"/>
            </w:tcMar>
          </w:tcPr>
          <w:p w14:paraId="564695B4" w14:textId="77777777" w:rsidR="00BB2B23" w:rsidRPr="002C06E4" w:rsidRDefault="00BB2B23" w:rsidP="00F5693B">
            <w:pPr>
              <w:pStyle w:val="Tablesmalltext"/>
              <w:rPr>
                <w:color w:val="auto"/>
              </w:rPr>
            </w:pPr>
            <w:r w:rsidRPr="002C06E4">
              <w:rPr>
                <w:rStyle w:val="TextBold"/>
                <w:color w:val="auto"/>
              </w:rPr>
              <w:t>Total substitution costs</w:t>
            </w:r>
          </w:p>
        </w:tc>
        <w:tc>
          <w:tcPr>
            <w:tcW w:w="2977" w:type="dxa"/>
            <w:shd w:val="clear" w:color="auto" w:fill="auto"/>
            <w:tcMar>
              <w:top w:w="113" w:type="dxa"/>
              <w:left w:w="113" w:type="dxa"/>
              <w:bottom w:w="113" w:type="dxa"/>
              <w:right w:w="113" w:type="dxa"/>
            </w:tcMar>
          </w:tcPr>
          <w:p w14:paraId="564695B5" w14:textId="77777777" w:rsidR="00BB2B23" w:rsidRPr="002C06E4" w:rsidRDefault="00BB2B23" w:rsidP="00F5693B">
            <w:pPr>
              <w:pStyle w:val="Tablesmalltext"/>
              <w:jc w:val="center"/>
              <w:rPr>
                <w:color w:val="auto"/>
              </w:rPr>
            </w:pPr>
            <w:r w:rsidRPr="002C06E4">
              <w:rPr>
                <w:rStyle w:val="TextBold"/>
                <w:color w:val="auto"/>
              </w:rPr>
              <w:t>2.21</w:t>
            </w:r>
          </w:p>
        </w:tc>
        <w:tc>
          <w:tcPr>
            <w:tcW w:w="2977" w:type="dxa"/>
            <w:shd w:val="clear" w:color="auto" w:fill="auto"/>
            <w:tcMar>
              <w:top w:w="113" w:type="dxa"/>
              <w:left w:w="113" w:type="dxa"/>
              <w:bottom w:w="113" w:type="dxa"/>
              <w:right w:w="113" w:type="dxa"/>
            </w:tcMar>
          </w:tcPr>
          <w:p w14:paraId="564695B6" w14:textId="77777777" w:rsidR="00BB2B23" w:rsidRPr="002C06E4" w:rsidRDefault="00BB2B23" w:rsidP="00F5693B">
            <w:pPr>
              <w:pStyle w:val="Tablesmalltext"/>
              <w:jc w:val="center"/>
              <w:rPr>
                <w:color w:val="auto"/>
              </w:rPr>
            </w:pPr>
            <w:r w:rsidRPr="002C06E4">
              <w:rPr>
                <w:rStyle w:val="TextBold"/>
                <w:color w:val="auto"/>
              </w:rPr>
              <w:t>222.59</w:t>
            </w:r>
          </w:p>
        </w:tc>
      </w:tr>
    </w:tbl>
    <w:p w14:paraId="564695B8" w14:textId="77777777" w:rsidR="00BB2B23" w:rsidRDefault="00BB2B23" w:rsidP="00BB2B23">
      <w:pPr>
        <w:pStyle w:val="Text"/>
      </w:pPr>
    </w:p>
    <w:p w14:paraId="564695B9" w14:textId="77777777" w:rsidR="00BB2B23" w:rsidRDefault="00BB2B23" w:rsidP="00BB2B23">
      <w:pPr>
        <w:pStyle w:val="Subhead3"/>
      </w:pPr>
      <w:r>
        <w:t>Cost-Benefit Analysis results</w:t>
      </w:r>
    </w:p>
    <w:p w14:paraId="564695BA" w14:textId="77777777" w:rsidR="00BB2B23" w:rsidRDefault="00BB2B23" w:rsidP="00BB2B23">
      <w:pPr>
        <w:pStyle w:val="Text"/>
      </w:pPr>
      <w:r>
        <w:t xml:space="preserve">On balance, the costs of banning equipment containing HFC far outweigh the benefits, except in the case of supermarket equipment where the long term benefit is significant. </w:t>
      </w:r>
    </w:p>
    <w:p w14:paraId="564695BB" w14:textId="77777777" w:rsidR="00BB2B23" w:rsidRDefault="00BB2B23" w:rsidP="00BB2B23">
      <w:pPr>
        <w:pStyle w:val="Text"/>
      </w:pPr>
      <w:r>
        <w:t xml:space="preserve">See summary Table 5 and additional detail in Jacobs report. </w:t>
      </w:r>
    </w:p>
    <w:p w14:paraId="564695BC" w14:textId="77777777" w:rsidR="00BB2B23" w:rsidRDefault="00BB2B23" w:rsidP="00BB2B23">
      <w:pPr>
        <w:pStyle w:val="Tabletitle"/>
      </w:pPr>
      <w:r>
        <w:t>Table 5: Cost-benefit analysis for equipment bans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1"/>
        <w:gridCol w:w="1176"/>
        <w:gridCol w:w="694"/>
        <w:gridCol w:w="1021"/>
        <w:gridCol w:w="1020"/>
        <w:gridCol w:w="1021"/>
        <w:gridCol w:w="1020"/>
        <w:gridCol w:w="1021"/>
        <w:gridCol w:w="1020"/>
      </w:tblGrid>
      <w:tr w:rsidR="00BB2B23" w:rsidRPr="002C06E4" w14:paraId="564695C4" w14:textId="77777777" w:rsidTr="002C06E4">
        <w:trPr>
          <w:trHeight w:val="630"/>
          <w:tblHeader/>
        </w:trPr>
        <w:tc>
          <w:tcPr>
            <w:tcW w:w="2537" w:type="dxa"/>
            <w:gridSpan w:val="2"/>
            <w:vMerge w:val="restart"/>
            <w:shd w:val="clear" w:color="auto" w:fill="auto"/>
            <w:tcMar>
              <w:top w:w="113" w:type="dxa"/>
              <w:left w:w="113" w:type="dxa"/>
              <w:bottom w:w="113" w:type="dxa"/>
              <w:right w:w="113" w:type="dxa"/>
            </w:tcMar>
          </w:tcPr>
          <w:p w14:paraId="564695BD" w14:textId="77777777" w:rsidR="00BB2B23" w:rsidRPr="002C06E4" w:rsidRDefault="00BB2B23" w:rsidP="00F5693B">
            <w:pPr>
              <w:pStyle w:val="Tablesmallheading"/>
              <w:rPr>
                <w:color w:val="auto"/>
              </w:rPr>
            </w:pPr>
          </w:p>
          <w:p w14:paraId="564695BE" w14:textId="77777777" w:rsidR="00BB2B23" w:rsidRPr="002C06E4" w:rsidRDefault="00BB2B23" w:rsidP="00F5693B">
            <w:pPr>
              <w:pStyle w:val="Tablesmallheading"/>
              <w:rPr>
                <w:color w:val="auto"/>
              </w:rPr>
            </w:pPr>
          </w:p>
          <w:p w14:paraId="564695BF" w14:textId="77777777" w:rsidR="00BB2B23" w:rsidRPr="002C06E4" w:rsidRDefault="00BB2B23" w:rsidP="00F5693B">
            <w:pPr>
              <w:pStyle w:val="Tablesmallheading"/>
              <w:rPr>
                <w:color w:val="auto"/>
              </w:rPr>
            </w:pPr>
          </w:p>
        </w:tc>
        <w:tc>
          <w:tcPr>
            <w:tcW w:w="694" w:type="dxa"/>
            <w:vMerge w:val="restart"/>
            <w:shd w:val="clear" w:color="auto" w:fill="auto"/>
            <w:tcMar>
              <w:top w:w="113" w:type="dxa"/>
              <w:left w:w="113" w:type="dxa"/>
              <w:bottom w:w="113" w:type="dxa"/>
              <w:right w:w="113" w:type="dxa"/>
            </w:tcMar>
          </w:tcPr>
          <w:p w14:paraId="564695C0" w14:textId="77777777" w:rsidR="00BB2B23" w:rsidRPr="002C06E4" w:rsidRDefault="00BB2B23" w:rsidP="00F5693B">
            <w:pPr>
              <w:pStyle w:val="Tablesmallheading"/>
              <w:jc w:val="center"/>
              <w:rPr>
                <w:color w:val="auto"/>
              </w:rPr>
            </w:pPr>
            <w:r w:rsidRPr="002C06E4">
              <w:rPr>
                <w:color w:val="auto"/>
              </w:rPr>
              <w:t>Unit</w:t>
            </w:r>
          </w:p>
        </w:tc>
        <w:tc>
          <w:tcPr>
            <w:tcW w:w="2041" w:type="dxa"/>
            <w:gridSpan w:val="2"/>
            <w:shd w:val="clear" w:color="auto" w:fill="auto"/>
            <w:tcMar>
              <w:top w:w="113" w:type="dxa"/>
              <w:left w:w="113" w:type="dxa"/>
              <w:bottom w:w="113" w:type="dxa"/>
              <w:right w:w="113" w:type="dxa"/>
            </w:tcMar>
          </w:tcPr>
          <w:p w14:paraId="564695C1" w14:textId="77777777" w:rsidR="00BB2B23" w:rsidRPr="002C06E4" w:rsidRDefault="00BB2B23" w:rsidP="00F5693B">
            <w:pPr>
              <w:pStyle w:val="Tablesmallheading"/>
              <w:jc w:val="center"/>
              <w:rPr>
                <w:color w:val="auto"/>
              </w:rPr>
            </w:pPr>
            <w:r w:rsidRPr="002C06E4">
              <w:rPr>
                <w:color w:val="auto"/>
              </w:rPr>
              <w:t>Supermarket equipment from 2020</w:t>
            </w:r>
          </w:p>
        </w:tc>
        <w:tc>
          <w:tcPr>
            <w:tcW w:w="2041" w:type="dxa"/>
            <w:gridSpan w:val="2"/>
            <w:shd w:val="clear" w:color="auto" w:fill="auto"/>
            <w:tcMar>
              <w:top w:w="113" w:type="dxa"/>
              <w:left w:w="113" w:type="dxa"/>
              <w:bottom w:w="113" w:type="dxa"/>
              <w:right w:w="113" w:type="dxa"/>
            </w:tcMar>
          </w:tcPr>
          <w:p w14:paraId="564695C2" w14:textId="77777777" w:rsidR="00BB2B23" w:rsidRPr="002C06E4" w:rsidRDefault="00BB2B23" w:rsidP="00F5693B">
            <w:pPr>
              <w:pStyle w:val="Tablesmallheading"/>
              <w:jc w:val="center"/>
              <w:rPr>
                <w:color w:val="auto"/>
              </w:rPr>
            </w:pPr>
            <w:r w:rsidRPr="002C06E4">
              <w:rPr>
                <w:color w:val="auto"/>
              </w:rPr>
              <w:t>MAC equipment from</w:t>
            </w:r>
            <w:r w:rsidRPr="002C06E4">
              <w:rPr>
                <w:rStyle w:val="nobreak"/>
                <w:color w:val="auto"/>
              </w:rPr>
              <w:t xml:space="preserve"> </w:t>
            </w:r>
            <w:r w:rsidRPr="002C06E4">
              <w:rPr>
                <w:color w:val="auto"/>
              </w:rPr>
              <w:t>2017</w:t>
            </w:r>
          </w:p>
        </w:tc>
        <w:tc>
          <w:tcPr>
            <w:tcW w:w="2041" w:type="dxa"/>
            <w:gridSpan w:val="2"/>
            <w:shd w:val="clear" w:color="auto" w:fill="auto"/>
            <w:tcMar>
              <w:top w:w="113" w:type="dxa"/>
              <w:left w:w="113" w:type="dxa"/>
              <w:bottom w:w="113" w:type="dxa"/>
              <w:right w:w="113" w:type="dxa"/>
            </w:tcMar>
          </w:tcPr>
          <w:p w14:paraId="564695C3" w14:textId="77777777" w:rsidR="00BB2B23" w:rsidRPr="002C06E4" w:rsidRDefault="00BB2B23" w:rsidP="00F5693B">
            <w:pPr>
              <w:pStyle w:val="Tablesmallheading"/>
              <w:jc w:val="center"/>
              <w:rPr>
                <w:color w:val="auto"/>
              </w:rPr>
            </w:pPr>
            <w:r w:rsidRPr="002C06E4">
              <w:rPr>
                <w:color w:val="auto"/>
              </w:rPr>
              <w:t>Both categories</w:t>
            </w:r>
          </w:p>
        </w:tc>
      </w:tr>
      <w:tr w:rsidR="00BB2B23" w:rsidRPr="002C06E4" w14:paraId="564695CD" w14:textId="77777777" w:rsidTr="002C06E4">
        <w:trPr>
          <w:trHeight w:val="630"/>
          <w:tblHeader/>
        </w:trPr>
        <w:tc>
          <w:tcPr>
            <w:tcW w:w="2537" w:type="dxa"/>
            <w:gridSpan w:val="2"/>
            <w:vMerge/>
            <w:shd w:val="clear" w:color="auto" w:fill="auto"/>
          </w:tcPr>
          <w:p w14:paraId="564695C5"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694" w:type="dxa"/>
            <w:vMerge/>
            <w:shd w:val="clear" w:color="auto" w:fill="auto"/>
          </w:tcPr>
          <w:p w14:paraId="564695C6"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1021" w:type="dxa"/>
            <w:shd w:val="clear" w:color="auto" w:fill="auto"/>
            <w:tcMar>
              <w:top w:w="113" w:type="dxa"/>
              <w:left w:w="113" w:type="dxa"/>
              <w:bottom w:w="113" w:type="dxa"/>
              <w:right w:w="113" w:type="dxa"/>
            </w:tcMar>
          </w:tcPr>
          <w:p w14:paraId="564695C7" w14:textId="77777777" w:rsidR="00BB2B23" w:rsidRPr="002C06E4" w:rsidRDefault="00BB2B23" w:rsidP="00F5693B">
            <w:pPr>
              <w:pStyle w:val="Tablesmallheading"/>
              <w:jc w:val="center"/>
              <w:rPr>
                <w:color w:val="auto"/>
              </w:rPr>
            </w:pPr>
            <w:r w:rsidRPr="002C06E4">
              <w:rPr>
                <w:color w:val="auto"/>
              </w:rPr>
              <w:t>NPV, 2016–2020</w:t>
            </w:r>
          </w:p>
        </w:tc>
        <w:tc>
          <w:tcPr>
            <w:tcW w:w="1020" w:type="dxa"/>
            <w:shd w:val="clear" w:color="auto" w:fill="auto"/>
            <w:tcMar>
              <w:top w:w="113" w:type="dxa"/>
              <w:left w:w="113" w:type="dxa"/>
              <w:bottom w:w="113" w:type="dxa"/>
              <w:right w:w="113" w:type="dxa"/>
            </w:tcMar>
          </w:tcPr>
          <w:p w14:paraId="564695C8" w14:textId="77777777" w:rsidR="00BB2B23" w:rsidRPr="002C06E4" w:rsidRDefault="00BB2B23" w:rsidP="00F5693B">
            <w:pPr>
              <w:pStyle w:val="Tablesmallheading"/>
              <w:jc w:val="center"/>
              <w:rPr>
                <w:color w:val="auto"/>
              </w:rPr>
            </w:pPr>
            <w:r w:rsidRPr="002C06E4">
              <w:rPr>
                <w:color w:val="auto"/>
              </w:rPr>
              <w:t>NPV, 2016–2030</w:t>
            </w:r>
          </w:p>
        </w:tc>
        <w:tc>
          <w:tcPr>
            <w:tcW w:w="1021" w:type="dxa"/>
            <w:shd w:val="clear" w:color="auto" w:fill="auto"/>
            <w:tcMar>
              <w:top w:w="113" w:type="dxa"/>
              <w:left w:w="113" w:type="dxa"/>
              <w:bottom w:w="113" w:type="dxa"/>
              <w:right w:w="113" w:type="dxa"/>
            </w:tcMar>
          </w:tcPr>
          <w:p w14:paraId="564695C9" w14:textId="77777777" w:rsidR="00BB2B23" w:rsidRPr="002C06E4" w:rsidRDefault="00BB2B23" w:rsidP="00F5693B">
            <w:pPr>
              <w:pStyle w:val="Tablesmallheading"/>
              <w:jc w:val="center"/>
              <w:rPr>
                <w:color w:val="auto"/>
              </w:rPr>
            </w:pPr>
            <w:r w:rsidRPr="002C06E4">
              <w:rPr>
                <w:color w:val="auto"/>
              </w:rPr>
              <w:t>NPV, 2016–2020</w:t>
            </w:r>
          </w:p>
        </w:tc>
        <w:tc>
          <w:tcPr>
            <w:tcW w:w="1020" w:type="dxa"/>
            <w:shd w:val="clear" w:color="auto" w:fill="auto"/>
            <w:tcMar>
              <w:top w:w="113" w:type="dxa"/>
              <w:left w:w="113" w:type="dxa"/>
              <w:bottom w:w="113" w:type="dxa"/>
              <w:right w:w="113" w:type="dxa"/>
            </w:tcMar>
          </w:tcPr>
          <w:p w14:paraId="564695CA" w14:textId="77777777" w:rsidR="00BB2B23" w:rsidRPr="002C06E4" w:rsidRDefault="00BB2B23" w:rsidP="00F5693B">
            <w:pPr>
              <w:pStyle w:val="Tablesmallheading"/>
              <w:jc w:val="center"/>
              <w:rPr>
                <w:color w:val="auto"/>
              </w:rPr>
            </w:pPr>
            <w:r w:rsidRPr="002C06E4">
              <w:rPr>
                <w:color w:val="auto"/>
              </w:rPr>
              <w:t>NPV, 2016–2030</w:t>
            </w:r>
          </w:p>
        </w:tc>
        <w:tc>
          <w:tcPr>
            <w:tcW w:w="1021" w:type="dxa"/>
            <w:shd w:val="clear" w:color="auto" w:fill="auto"/>
            <w:tcMar>
              <w:top w:w="113" w:type="dxa"/>
              <w:left w:w="113" w:type="dxa"/>
              <w:bottom w:w="113" w:type="dxa"/>
              <w:right w:w="113" w:type="dxa"/>
            </w:tcMar>
          </w:tcPr>
          <w:p w14:paraId="564695CB" w14:textId="77777777" w:rsidR="00BB2B23" w:rsidRPr="002C06E4" w:rsidRDefault="00BB2B23" w:rsidP="00F5693B">
            <w:pPr>
              <w:pStyle w:val="Tablesmallheading"/>
              <w:jc w:val="center"/>
              <w:rPr>
                <w:color w:val="auto"/>
              </w:rPr>
            </w:pPr>
            <w:r w:rsidRPr="002C06E4">
              <w:rPr>
                <w:color w:val="auto"/>
              </w:rPr>
              <w:t>NPV, 2016–2020</w:t>
            </w:r>
          </w:p>
        </w:tc>
        <w:tc>
          <w:tcPr>
            <w:tcW w:w="1020" w:type="dxa"/>
            <w:shd w:val="clear" w:color="auto" w:fill="auto"/>
            <w:tcMar>
              <w:top w:w="113" w:type="dxa"/>
              <w:left w:w="113" w:type="dxa"/>
              <w:bottom w:w="113" w:type="dxa"/>
              <w:right w:w="113" w:type="dxa"/>
            </w:tcMar>
          </w:tcPr>
          <w:p w14:paraId="564695CC" w14:textId="77777777" w:rsidR="00BB2B23" w:rsidRPr="002C06E4" w:rsidRDefault="00BB2B23" w:rsidP="00F5693B">
            <w:pPr>
              <w:pStyle w:val="Tablesmallheading"/>
              <w:jc w:val="center"/>
              <w:rPr>
                <w:color w:val="auto"/>
              </w:rPr>
            </w:pPr>
            <w:r w:rsidRPr="002C06E4">
              <w:rPr>
                <w:color w:val="auto"/>
              </w:rPr>
              <w:t>NPV, 2016–2030</w:t>
            </w:r>
          </w:p>
        </w:tc>
      </w:tr>
      <w:tr w:rsidR="00BB2B23" w:rsidRPr="002C06E4" w14:paraId="564695D6" w14:textId="77777777" w:rsidTr="002C06E4">
        <w:trPr>
          <w:trHeight w:val="210"/>
        </w:trPr>
        <w:tc>
          <w:tcPr>
            <w:tcW w:w="2537" w:type="dxa"/>
            <w:gridSpan w:val="2"/>
            <w:shd w:val="clear" w:color="auto" w:fill="auto"/>
            <w:tcMar>
              <w:top w:w="113" w:type="dxa"/>
              <w:left w:w="113" w:type="dxa"/>
              <w:bottom w:w="113" w:type="dxa"/>
              <w:right w:w="113" w:type="dxa"/>
            </w:tcMar>
          </w:tcPr>
          <w:p w14:paraId="564695CE" w14:textId="77777777" w:rsidR="00BB2B23" w:rsidRPr="002C06E4" w:rsidRDefault="00BB2B23" w:rsidP="00F5693B">
            <w:pPr>
              <w:pStyle w:val="Tablesmalltext"/>
              <w:rPr>
                <w:color w:val="auto"/>
              </w:rPr>
            </w:pPr>
            <w:r w:rsidRPr="002C06E4">
              <w:rPr>
                <w:rStyle w:val="TextBold"/>
                <w:color w:val="auto"/>
              </w:rPr>
              <w:t>Net Benefits—Equipment</w:t>
            </w:r>
            <w:r w:rsidRPr="002C06E4">
              <w:rPr>
                <w:rStyle w:val="nobreak"/>
                <w:color w:val="auto"/>
              </w:rPr>
              <w:t xml:space="preserve"> </w:t>
            </w:r>
            <w:r w:rsidRPr="002C06E4">
              <w:rPr>
                <w:rStyle w:val="TextBold"/>
                <w:color w:val="auto"/>
              </w:rPr>
              <w:t>bans</w:t>
            </w:r>
          </w:p>
        </w:tc>
        <w:tc>
          <w:tcPr>
            <w:tcW w:w="694" w:type="dxa"/>
            <w:shd w:val="clear" w:color="auto" w:fill="auto"/>
            <w:tcMar>
              <w:top w:w="113" w:type="dxa"/>
              <w:left w:w="113" w:type="dxa"/>
              <w:bottom w:w="113" w:type="dxa"/>
              <w:right w:w="113" w:type="dxa"/>
            </w:tcMar>
            <w:vAlign w:val="center"/>
          </w:tcPr>
          <w:p w14:paraId="564695CF" w14:textId="77777777" w:rsidR="00BB2B23" w:rsidRPr="002C06E4" w:rsidRDefault="00BB2B23" w:rsidP="00F5693B">
            <w:pPr>
              <w:pStyle w:val="Tablesmalltext"/>
              <w:jc w:val="center"/>
              <w:rPr>
                <w:color w:val="auto"/>
              </w:rPr>
            </w:pPr>
            <w:r w:rsidRPr="002C06E4">
              <w:rPr>
                <w:rStyle w:val="TextBold"/>
                <w:color w:val="auto"/>
              </w:rPr>
              <w:t>$000s</w:t>
            </w:r>
          </w:p>
        </w:tc>
        <w:tc>
          <w:tcPr>
            <w:tcW w:w="1021" w:type="dxa"/>
            <w:shd w:val="clear" w:color="auto" w:fill="auto"/>
            <w:tcMar>
              <w:top w:w="113" w:type="dxa"/>
              <w:left w:w="113" w:type="dxa"/>
              <w:bottom w:w="113" w:type="dxa"/>
              <w:right w:w="113" w:type="dxa"/>
            </w:tcMar>
            <w:vAlign w:val="center"/>
          </w:tcPr>
          <w:p w14:paraId="564695D0" w14:textId="77777777" w:rsidR="00BB2B23" w:rsidRPr="002C06E4" w:rsidRDefault="00BB2B23" w:rsidP="00F5693B">
            <w:pPr>
              <w:pStyle w:val="Tablesmalltext"/>
              <w:jc w:val="center"/>
              <w:rPr>
                <w:color w:val="auto"/>
              </w:rPr>
            </w:pPr>
            <w:r w:rsidRPr="002C06E4">
              <w:rPr>
                <w:rStyle w:val="TextBold"/>
                <w:color w:val="auto"/>
              </w:rPr>
              <w:t>-296</w:t>
            </w:r>
          </w:p>
        </w:tc>
        <w:tc>
          <w:tcPr>
            <w:tcW w:w="1020" w:type="dxa"/>
            <w:shd w:val="clear" w:color="auto" w:fill="auto"/>
            <w:tcMar>
              <w:top w:w="113" w:type="dxa"/>
              <w:left w:w="113" w:type="dxa"/>
              <w:bottom w:w="113" w:type="dxa"/>
              <w:right w:w="113" w:type="dxa"/>
            </w:tcMar>
            <w:vAlign w:val="center"/>
          </w:tcPr>
          <w:p w14:paraId="564695D1" w14:textId="77777777" w:rsidR="00BB2B23" w:rsidRPr="002C06E4" w:rsidRDefault="00BB2B23" w:rsidP="00F5693B">
            <w:pPr>
              <w:pStyle w:val="Tablesmalltext"/>
              <w:jc w:val="center"/>
              <w:rPr>
                <w:color w:val="auto"/>
              </w:rPr>
            </w:pPr>
            <w:r w:rsidRPr="002C06E4">
              <w:rPr>
                <w:rStyle w:val="TextBold"/>
                <w:color w:val="auto"/>
              </w:rPr>
              <w:t>3834</w:t>
            </w:r>
          </w:p>
        </w:tc>
        <w:tc>
          <w:tcPr>
            <w:tcW w:w="1021" w:type="dxa"/>
            <w:shd w:val="clear" w:color="auto" w:fill="auto"/>
            <w:tcMar>
              <w:top w:w="113" w:type="dxa"/>
              <w:left w:w="113" w:type="dxa"/>
              <w:bottom w:w="113" w:type="dxa"/>
              <w:right w:w="113" w:type="dxa"/>
            </w:tcMar>
            <w:vAlign w:val="center"/>
          </w:tcPr>
          <w:p w14:paraId="564695D2" w14:textId="77777777" w:rsidR="00BB2B23" w:rsidRPr="002C06E4" w:rsidRDefault="00BB2B23" w:rsidP="00F5693B">
            <w:pPr>
              <w:pStyle w:val="Tablesmalltext"/>
              <w:jc w:val="center"/>
              <w:rPr>
                <w:color w:val="auto"/>
              </w:rPr>
            </w:pPr>
            <w:r w:rsidRPr="002C06E4">
              <w:rPr>
                <w:rStyle w:val="TextBold"/>
                <w:color w:val="auto"/>
              </w:rPr>
              <w:t>-103,353</w:t>
            </w:r>
          </w:p>
        </w:tc>
        <w:tc>
          <w:tcPr>
            <w:tcW w:w="1020" w:type="dxa"/>
            <w:shd w:val="clear" w:color="auto" w:fill="auto"/>
            <w:tcMar>
              <w:top w:w="113" w:type="dxa"/>
              <w:left w:w="113" w:type="dxa"/>
              <w:bottom w:w="113" w:type="dxa"/>
              <w:right w:w="113" w:type="dxa"/>
            </w:tcMar>
            <w:vAlign w:val="center"/>
          </w:tcPr>
          <w:p w14:paraId="564695D3" w14:textId="77777777" w:rsidR="00BB2B23" w:rsidRPr="002C06E4" w:rsidRDefault="00BB2B23" w:rsidP="00F5693B">
            <w:pPr>
              <w:pStyle w:val="Tablesmalltext"/>
              <w:jc w:val="center"/>
              <w:rPr>
                <w:color w:val="auto"/>
              </w:rPr>
            </w:pPr>
            <w:r w:rsidRPr="002C06E4">
              <w:rPr>
                <w:rStyle w:val="TextBold"/>
                <w:color w:val="auto"/>
              </w:rPr>
              <w:t>-181,704</w:t>
            </w:r>
          </w:p>
        </w:tc>
        <w:tc>
          <w:tcPr>
            <w:tcW w:w="1021" w:type="dxa"/>
            <w:shd w:val="clear" w:color="auto" w:fill="auto"/>
            <w:tcMar>
              <w:top w:w="113" w:type="dxa"/>
              <w:left w:w="113" w:type="dxa"/>
              <w:bottom w:w="113" w:type="dxa"/>
              <w:right w:w="113" w:type="dxa"/>
            </w:tcMar>
            <w:vAlign w:val="center"/>
          </w:tcPr>
          <w:p w14:paraId="564695D4" w14:textId="77777777" w:rsidR="00BB2B23" w:rsidRPr="002C06E4" w:rsidRDefault="00BB2B23" w:rsidP="00F5693B">
            <w:pPr>
              <w:pStyle w:val="Tablesmalltext"/>
              <w:jc w:val="center"/>
              <w:rPr>
                <w:color w:val="auto"/>
              </w:rPr>
            </w:pPr>
            <w:r w:rsidRPr="002C06E4">
              <w:rPr>
                <w:rStyle w:val="TextBold"/>
                <w:color w:val="auto"/>
              </w:rPr>
              <w:t>-103,649</w:t>
            </w:r>
          </w:p>
        </w:tc>
        <w:tc>
          <w:tcPr>
            <w:tcW w:w="1020" w:type="dxa"/>
            <w:shd w:val="clear" w:color="auto" w:fill="auto"/>
            <w:tcMar>
              <w:top w:w="113" w:type="dxa"/>
              <w:left w:w="113" w:type="dxa"/>
              <w:bottom w:w="113" w:type="dxa"/>
              <w:right w:w="113" w:type="dxa"/>
            </w:tcMar>
            <w:vAlign w:val="center"/>
          </w:tcPr>
          <w:p w14:paraId="564695D5" w14:textId="77777777" w:rsidR="00BB2B23" w:rsidRPr="002C06E4" w:rsidRDefault="00BB2B23" w:rsidP="00F5693B">
            <w:pPr>
              <w:pStyle w:val="Tablesmalltext"/>
              <w:jc w:val="center"/>
              <w:rPr>
                <w:color w:val="auto"/>
              </w:rPr>
            </w:pPr>
            <w:r w:rsidRPr="002C06E4">
              <w:rPr>
                <w:rStyle w:val="TextBold"/>
                <w:color w:val="auto"/>
              </w:rPr>
              <w:t>-177,870</w:t>
            </w:r>
          </w:p>
        </w:tc>
      </w:tr>
      <w:tr w:rsidR="00BB2B23" w:rsidRPr="002C06E4" w14:paraId="564695D8" w14:textId="77777777" w:rsidTr="002C06E4">
        <w:trPr>
          <w:trHeight w:val="210"/>
        </w:trPr>
        <w:tc>
          <w:tcPr>
            <w:tcW w:w="9354" w:type="dxa"/>
            <w:gridSpan w:val="9"/>
            <w:shd w:val="clear" w:color="auto" w:fill="auto"/>
            <w:tcMar>
              <w:top w:w="113" w:type="dxa"/>
              <w:left w:w="113" w:type="dxa"/>
              <w:bottom w:w="113" w:type="dxa"/>
              <w:right w:w="113" w:type="dxa"/>
            </w:tcMar>
          </w:tcPr>
          <w:p w14:paraId="564695D7" w14:textId="77777777" w:rsidR="00BB2B23" w:rsidRPr="002C06E4" w:rsidRDefault="00BB2B23" w:rsidP="00F5693B">
            <w:pPr>
              <w:pStyle w:val="Tablesmalltext"/>
              <w:rPr>
                <w:color w:val="auto"/>
              </w:rPr>
            </w:pPr>
            <w:r w:rsidRPr="002C06E4">
              <w:rPr>
                <w:rStyle w:val="TextBold"/>
                <w:color w:val="auto"/>
              </w:rPr>
              <w:t>Benefits</w:t>
            </w:r>
          </w:p>
        </w:tc>
      </w:tr>
      <w:tr w:rsidR="00BB2B23" w:rsidRPr="002C06E4" w14:paraId="564695E2" w14:textId="77777777" w:rsidTr="002C06E4">
        <w:trPr>
          <w:trHeight w:val="210"/>
        </w:trPr>
        <w:tc>
          <w:tcPr>
            <w:tcW w:w="1361" w:type="dxa"/>
            <w:vMerge w:val="restart"/>
            <w:shd w:val="clear" w:color="auto" w:fill="auto"/>
            <w:tcMar>
              <w:top w:w="113" w:type="dxa"/>
              <w:left w:w="113" w:type="dxa"/>
              <w:bottom w:w="113" w:type="dxa"/>
              <w:right w:w="113" w:type="dxa"/>
            </w:tcMar>
          </w:tcPr>
          <w:p w14:paraId="564695D9" w14:textId="77777777" w:rsidR="00BB2B23" w:rsidRPr="002C06E4" w:rsidRDefault="00BB2B23" w:rsidP="00F5693B">
            <w:pPr>
              <w:pStyle w:val="Tablesmalltext"/>
              <w:rPr>
                <w:color w:val="auto"/>
              </w:rPr>
            </w:pPr>
            <w:r w:rsidRPr="002C06E4">
              <w:rPr>
                <w:rStyle w:val="TextBold"/>
                <w:color w:val="auto"/>
              </w:rPr>
              <w:t>Carbon Costs</w:t>
            </w:r>
          </w:p>
        </w:tc>
        <w:tc>
          <w:tcPr>
            <w:tcW w:w="1176" w:type="dxa"/>
            <w:shd w:val="clear" w:color="auto" w:fill="auto"/>
            <w:tcMar>
              <w:top w:w="113" w:type="dxa"/>
              <w:left w:w="113" w:type="dxa"/>
              <w:bottom w:w="113" w:type="dxa"/>
              <w:right w:w="113" w:type="dxa"/>
            </w:tcMar>
          </w:tcPr>
          <w:p w14:paraId="564695DA" w14:textId="77777777" w:rsidR="00BB2B23" w:rsidRPr="002C06E4" w:rsidRDefault="00BB2B23" w:rsidP="00F5693B">
            <w:pPr>
              <w:pStyle w:val="Tablesmalltext"/>
              <w:rPr>
                <w:color w:val="auto"/>
              </w:rPr>
            </w:pPr>
            <w:r w:rsidRPr="002C06E4">
              <w:rPr>
                <w:color w:val="auto"/>
              </w:rPr>
              <w:t>Direct—leakage</w:t>
            </w:r>
          </w:p>
        </w:tc>
        <w:tc>
          <w:tcPr>
            <w:tcW w:w="694" w:type="dxa"/>
            <w:shd w:val="clear" w:color="auto" w:fill="auto"/>
            <w:tcMar>
              <w:top w:w="113" w:type="dxa"/>
              <w:left w:w="113" w:type="dxa"/>
              <w:bottom w:w="113" w:type="dxa"/>
              <w:right w:w="113" w:type="dxa"/>
            </w:tcMar>
          </w:tcPr>
          <w:p w14:paraId="564695DB" w14:textId="77777777" w:rsidR="00BB2B23" w:rsidRPr="002C06E4" w:rsidRDefault="00BB2B23" w:rsidP="00F5693B">
            <w:pPr>
              <w:pStyle w:val="Tablesmalltext"/>
              <w:jc w:val="center"/>
              <w:rPr>
                <w:color w:val="auto"/>
              </w:rPr>
            </w:pPr>
            <w:r w:rsidRPr="002C06E4">
              <w:rPr>
                <w:color w:val="auto"/>
              </w:rPr>
              <w:t>$000s</w:t>
            </w:r>
          </w:p>
        </w:tc>
        <w:tc>
          <w:tcPr>
            <w:tcW w:w="1021" w:type="dxa"/>
            <w:shd w:val="clear" w:color="auto" w:fill="auto"/>
            <w:tcMar>
              <w:top w:w="113" w:type="dxa"/>
              <w:left w:w="113" w:type="dxa"/>
              <w:bottom w:w="113" w:type="dxa"/>
              <w:right w:w="113" w:type="dxa"/>
            </w:tcMar>
          </w:tcPr>
          <w:p w14:paraId="564695DC" w14:textId="77777777" w:rsidR="00BB2B23" w:rsidRPr="002C06E4" w:rsidRDefault="00BB2B23" w:rsidP="00F5693B">
            <w:pPr>
              <w:pStyle w:val="Tablesmalltext"/>
              <w:jc w:val="center"/>
              <w:rPr>
                <w:color w:val="auto"/>
              </w:rPr>
            </w:pPr>
            <w:r w:rsidRPr="002C06E4">
              <w:rPr>
                <w:color w:val="auto"/>
              </w:rPr>
              <w:t>547</w:t>
            </w:r>
          </w:p>
        </w:tc>
        <w:tc>
          <w:tcPr>
            <w:tcW w:w="1020" w:type="dxa"/>
            <w:shd w:val="clear" w:color="auto" w:fill="auto"/>
            <w:tcMar>
              <w:top w:w="113" w:type="dxa"/>
              <w:left w:w="113" w:type="dxa"/>
              <w:bottom w:w="113" w:type="dxa"/>
              <w:right w:w="113" w:type="dxa"/>
            </w:tcMar>
          </w:tcPr>
          <w:p w14:paraId="564695DD" w14:textId="77777777" w:rsidR="00BB2B23" w:rsidRPr="002C06E4" w:rsidRDefault="00BB2B23" w:rsidP="00F5693B">
            <w:pPr>
              <w:pStyle w:val="Tablesmalltext"/>
              <w:jc w:val="center"/>
              <w:rPr>
                <w:color w:val="auto"/>
              </w:rPr>
            </w:pPr>
            <w:r w:rsidRPr="002C06E4">
              <w:rPr>
                <w:color w:val="auto"/>
              </w:rPr>
              <w:t>1645</w:t>
            </w:r>
          </w:p>
        </w:tc>
        <w:tc>
          <w:tcPr>
            <w:tcW w:w="1021" w:type="dxa"/>
            <w:shd w:val="clear" w:color="auto" w:fill="auto"/>
            <w:tcMar>
              <w:top w:w="113" w:type="dxa"/>
              <w:left w:w="113" w:type="dxa"/>
              <w:bottom w:w="113" w:type="dxa"/>
              <w:right w:w="113" w:type="dxa"/>
            </w:tcMar>
          </w:tcPr>
          <w:p w14:paraId="564695DE" w14:textId="77777777" w:rsidR="00BB2B23" w:rsidRPr="002C06E4" w:rsidRDefault="00BB2B23" w:rsidP="00F5693B">
            <w:pPr>
              <w:pStyle w:val="Tablesmalltext"/>
              <w:jc w:val="center"/>
              <w:rPr>
                <w:color w:val="auto"/>
              </w:rPr>
            </w:pPr>
            <w:r w:rsidRPr="002C06E4">
              <w:rPr>
                <w:color w:val="auto"/>
              </w:rPr>
              <w:t>8745</w:t>
            </w:r>
          </w:p>
        </w:tc>
        <w:tc>
          <w:tcPr>
            <w:tcW w:w="1020" w:type="dxa"/>
            <w:shd w:val="clear" w:color="auto" w:fill="auto"/>
            <w:tcMar>
              <w:top w:w="113" w:type="dxa"/>
              <w:left w:w="113" w:type="dxa"/>
              <w:bottom w:w="113" w:type="dxa"/>
              <w:right w:w="113" w:type="dxa"/>
            </w:tcMar>
          </w:tcPr>
          <w:p w14:paraId="564695DF" w14:textId="77777777" w:rsidR="00BB2B23" w:rsidRPr="002C06E4" w:rsidRDefault="00BB2B23" w:rsidP="00F5693B">
            <w:pPr>
              <w:pStyle w:val="Tablesmalltext"/>
              <w:jc w:val="center"/>
              <w:rPr>
                <w:color w:val="auto"/>
              </w:rPr>
            </w:pPr>
            <w:r w:rsidRPr="002C06E4">
              <w:rPr>
                <w:color w:val="auto"/>
              </w:rPr>
              <w:t>40,866</w:t>
            </w:r>
          </w:p>
        </w:tc>
        <w:tc>
          <w:tcPr>
            <w:tcW w:w="1021" w:type="dxa"/>
            <w:shd w:val="clear" w:color="auto" w:fill="auto"/>
            <w:tcMar>
              <w:top w:w="113" w:type="dxa"/>
              <w:left w:w="113" w:type="dxa"/>
              <w:bottom w:w="113" w:type="dxa"/>
              <w:right w:w="113" w:type="dxa"/>
            </w:tcMar>
          </w:tcPr>
          <w:p w14:paraId="564695E0" w14:textId="77777777" w:rsidR="00BB2B23" w:rsidRPr="002C06E4" w:rsidRDefault="00BB2B23" w:rsidP="00F5693B">
            <w:pPr>
              <w:pStyle w:val="Tablesmalltext"/>
              <w:jc w:val="center"/>
              <w:rPr>
                <w:color w:val="auto"/>
              </w:rPr>
            </w:pPr>
            <w:r w:rsidRPr="002C06E4">
              <w:rPr>
                <w:color w:val="auto"/>
              </w:rPr>
              <w:t>9292</w:t>
            </w:r>
          </w:p>
        </w:tc>
        <w:tc>
          <w:tcPr>
            <w:tcW w:w="1020" w:type="dxa"/>
            <w:shd w:val="clear" w:color="auto" w:fill="auto"/>
            <w:tcMar>
              <w:top w:w="113" w:type="dxa"/>
              <w:left w:w="113" w:type="dxa"/>
              <w:bottom w:w="113" w:type="dxa"/>
              <w:right w:w="113" w:type="dxa"/>
            </w:tcMar>
          </w:tcPr>
          <w:p w14:paraId="564695E1" w14:textId="77777777" w:rsidR="00BB2B23" w:rsidRPr="002C06E4" w:rsidRDefault="00BB2B23" w:rsidP="00F5693B">
            <w:pPr>
              <w:pStyle w:val="Tablesmalltext"/>
              <w:jc w:val="center"/>
              <w:rPr>
                <w:color w:val="auto"/>
              </w:rPr>
            </w:pPr>
            <w:r w:rsidRPr="002C06E4">
              <w:rPr>
                <w:color w:val="auto"/>
              </w:rPr>
              <w:t>42,531</w:t>
            </w:r>
          </w:p>
        </w:tc>
      </w:tr>
      <w:tr w:rsidR="00BB2B23" w:rsidRPr="002C06E4" w14:paraId="564695EC" w14:textId="77777777" w:rsidTr="002C06E4">
        <w:trPr>
          <w:trHeight w:val="70"/>
        </w:trPr>
        <w:tc>
          <w:tcPr>
            <w:tcW w:w="1361" w:type="dxa"/>
            <w:vMerge/>
            <w:shd w:val="clear" w:color="auto" w:fill="auto"/>
          </w:tcPr>
          <w:p w14:paraId="564695E3"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1176" w:type="dxa"/>
            <w:shd w:val="clear" w:color="auto" w:fill="auto"/>
            <w:tcMar>
              <w:top w:w="113" w:type="dxa"/>
              <w:left w:w="113" w:type="dxa"/>
              <w:bottom w:w="113" w:type="dxa"/>
              <w:right w:w="113" w:type="dxa"/>
            </w:tcMar>
          </w:tcPr>
          <w:p w14:paraId="564695E4" w14:textId="77777777" w:rsidR="00BB2B23" w:rsidRPr="002C06E4" w:rsidRDefault="00BB2B23" w:rsidP="00F5693B">
            <w:pPr>
              <w:pStyle w:val="Tablesmalltext"/>
              <w:rPr>
                <w:color w:val="auto"/>
              </w:rPr>
            </w:pPr>
            <w:r w:rsidRPr="002C06E4">
              <w:rPr>
                <w:color w:val="auto"/>
              </w:rPr>
              <w:t>Indirect</w:t>
            </w:r>
          </w:p>
        </w:tc>
        <w:tc>
          <w:tcPr>
            <w:tcW w:w="694" w:type="dxa"/>
            <w:shd w:val="clear" w:color="auto" w:fill="auto"/>
            <w:tcMar>
              <w:top w:w="113" w:type="dxa"/>
              <w:left w:w="113" w:type="dxa"/>
              <w:bottom w:w="113" w:type="dxa"/>
              <w:right w:w="113" w:type="dxa"/>
            </w:tcMar>
          </w:tcPr>
          <w:p w14:paraId="564695E5" w14:textId="77777777" w:rsidR="00BB2B23" w:rsidRPr="002C06E4" w:rsidRDefault="00BB2B23" w:rsidP="00F5693B">
            <w:pPr>
              <w:pStyle w:val="Tablesmalltext"/>
              <w:jc w:val="center"/>
              <w:rPr>
                <w:color w:val="auto"/>
              </w:rPr>
            </w:pPr>
            <w:r w:rsidRPr="002C06E4">
              <w:rPr>
                <w:color w:val="auto"/>
              </w:rPr>
              <w:t>$000s</w:t>
            </w:r>
          </w:p>
        </w:tc>
        <w:tc>
          <w:tcPr>
            <w:tcW w:w="1021" w:type="dxa"/>
            <w:shd w:val="clear" w:color="auto" w:fill="auto"/>
            <w:tcMar>
              <w:top w:w="113" w:type="dxa"/>
              <w:left w:w="113" w:type="dxa"/>
              <w:bottom w:w="113" w:type="dxa"/>
              <w:right w:w="113" w:type="dxa"/>
            </w:tcMar>
          </w:tcPr>
          <w:p w14:paraId="564695E6" w14:textId="77777777" w:rsidR="00BB2B23" w:rsidRPr="002C06E4" w:rsidRDefault="00BB2B23" w:rsidP="00F5693B">
            <w:pPr>
              <w:pStyle w:val="Tablesmalltext"/>
              <w:jc w:val="center"/>
              <w:rPr>
                <w:color w:val="auto"/>
              </w:rPr>
            </w:pPr>
            <w:r w:rsidRPr="002C06E4">
              <w:rPr>
                <w:color w:val="auto"/>
              </w:rPr>
              <w:t>10</w:t>
            </w:r>
          </w:p>
        </w:tc>
        <w:tc>
          <w:tcPr>
            <w:tcW w:w="1020" w:type="dxa"/>
            <w:shd w:val="clear" w:color="auto" w:fill="auto"/>
            <w:tcMar>
              <w:top w:w="113" w:type="dxa"/>
              <w:left w:w="113" w:type="dxa"/>
              <w:bottom w:w="113" w:type="dxa"/>
              <w:right w:w="113" w:type="dxa"/>
            </w:tcMar>
          </w:tcPr>
          <w:p w14:paraId="564695E7" w14:textId="77777777" w:rsidR="00BB2B23" w:rsidRPr="002C06E4" w:rsidRDefault="00BB2B23" w:rsidP="00F5693B">
            <w:pPr>
              <w:pStyle w:val="Tablesmalltext"/>
              <w:jc w:val="center"/>
              <w:rPr>
                <w:color w:val="auto"/>
              </w:rPr>
            </w:pPr>
            <w:r w:rsidRPr="002C06E4">
              <w:rPr>
                <w:color w:val="auto"/>
              </w:rPr>
              <w:t>490</w:t>
            </w:r>
          </w:p>
        </w:tc>
        <w:tc>
          <w:tcPr>
            <w:tcW w:w="1021" w:type="dxa"/>
            <w:shd w:val="clear" w:color="auto" w:fill="auto"/>
            <w:tcMar>
              <w:top w:w="113" w:type="dxa"/>
              <w:left w:w="113" w:type="dxa"/>
              <w:bottom w:w="113" w:type="dxa"/>
              <w:right w:w="113" w:type="dxa"/>
            </w:tcMar>
          </w:tcPr>
          <w:p w14:paraId="564695E8"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1020" w:type="dxa"/>
            <w:shd w:val="clear" w:color="auto" w:fill="auto"/>
            <w:tcMar>
              <w:top w:w="113" w:type="dxa"/>
              <w:left w:w="113" w:type="dxa"/>
              <w:bottom w:w="113" w:type="dxa"/>
              <w:right w:w="113" w:type="dxa"/>
            </w:tcMar>
          </w:tcPr>
          <w:p w14:paraId="564695E9"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1021" w:type="dxa"/>
            <w:shd w:val="clear" w:color="auto" w:fill="auto"/>
            <w:tcMar>
              <w:top w:w="113" w:type="dxa"/>
              <w:left w:w="113" w:type="dxa"/>
              <w:bottom w:w="113" w:type="dxa"/>
              <w:right w:w="113" w:type="dxa"/>
            </w:tcMar>
          </w:tcPr>
          <w:p w14:paraId="564695EA" w14:textId="77777777" w:rsidR="00BB2B23" w:rsidRPr="002C06E4" w:rsidRDefault="00BB2B23" w:rsidP="00F5693B">
            <w:pPr>
              <w:pStyle w:val="Tablesmalltext"/>
              <w:jc w:val="center"/>
              <w:rPr>
                <w:color w:val="auto"/>
              </w:rPr>
            </w:pPr>
            <w:r w:rsidRPr="002C06E4">
              <w:rPr>
                <w:color w:val="auto"/>
              </w:rPr>
              <w:t>10</w:t>
            </w:r>
          </w:p>
        </w:tc>
        <w:tc>
          <w:tcPr>
            <w:tcW w:w="1020" w:type="dxa"/>
            <w:shd w:val="clear" w:color="auto" w:fill="auto"/>
            <w:tcMar>
              <w:top w:w="113" w:type="dxa"/>
              <w:left w:w="113" w:type="dxa"/>
              <w:bottom w:w="113" w:type="dxa"/>
              <w:right w:w="113" w:type="dxa"/>
            </w:tcMar>
          </w:tcPr>
          <w:p w14:paraId="564695EB" w14:textId="77777777" w:rsidR="00BB2B23" w:rsidRPr="002C06E4" w:rsidRDefault="00BB2B23" w:rsidP="00F5693B">
            <w:pPr>
              <w:pStyle w:val="Tablesmalltext"/>
              <w:jc w:val="center"/>
              <w:rPr>
                <w:color w:val="auto"/>
              </w:rPr>
            </w:pPr>
            <w:r w:rsidRPr="002C06E4">
              <w:rPr>
                <w:color w:val="auto"/>
              </w:rPr>
              <w:t>490</w:t>
            </w:r>
          </w:p>
        </w:tc>
      </w:tr>
      <w:tr w:rsidR="00BB2B23" w:rsidRPr="002C06E4" w14:paraId="564695F6" w14:textId="77777777" w:rsidTr="002C06E4">
        <w:trPr>
          <w:trHeight w:val="210"/>
        </w:trPr>
        <w:tc>
          <w:tcPr>
            <w:tcW w:w="1361" w:type="dxa"/>
            <w:shd w:val="clear" w:color="auto" w:fill="auto"/>
            <w:tcMar>
              <w:top w:w="113" w:type="dxa"/>
              <w:left w:w="113" w:type="dxa"/>
              <w:bottom w:w="113" w:type="dxa"/>
              <w:right w:w="113" w:type="dxa"/>
            </w:tcMar>
          </w:tcPr>
          <w:p w14:paraId="564695ED" w14:textId="77777777" w:rsidR="00BB2B23" w:rsidRPr="002C06E4" w:rsidRDefault="00BB2B23" w:rsidP="00F5693B">
            <w:pPr>
              <w:pStyle w:val="Tablesmalltext"/>
              <w:rPr>
                <w:color w:val="auto"/>
              </w:rPr>
            </w:pPr>
            <w:r w:rsidRPr="002C06E4">
              <w:rPr>
                <w:rStyle w:val="TextBold"/>
                <w:color w:val="auto"/>
              </w:rPr>
              <w:t>Energy Costs</w:t>
            </w:r>
          </w:p>
        </w:tc>
        <w:tc>
          <w:tcPr>
            <w:tcW w:w="1176" w:type="dxa"/>
            <w:shd w:val="clear" w:color="auto" w:fill="auto"/>
            <w:tcMar>
              <w:top w:w="113" w:type="dxa"/>
              <w:left w:w="113" w:type="dxa"/>
              <w:bottom w:w="113" w:type="dxa"/>
              <w:right w:w="113" w:type="dxa"/>
            </w:tcMar>
          </w:tcPr>
          <w:p w14:paraId="564695EE" w14:textId="77777777" w:rsidR="00BB2B23" w:rsidRPr="002C06E4" w:rsidRDefault="00BB2B23" w:rsidP="00F5693B">
            <w:pPr>
              <w:pStyle w:val="Tablesmalltext"/>
              <w:rPr>
                <w:color w:val="auto"/>
              </w:rPr>
            </w:pPr>
            <w:r w:rsidRPr="002C06E4">
              <w:rPr>
                <w:color w:val="auto"/>
              </w:rPr>
              <w:t>All end users</w:t>
            </w:r>
          </w:p>
        </w:tc>
        <w:tc>
          <w:tcPr>
            <w:tcW w:w="694" w:type="dxa"/>
            <w:shd w:val="clear" w:color="auto" w:fill="auto"/>
            <w:tcMar>
              <w:top w:w="113" w:type="dxa"/>
              <w:left w:w="113" w:type="dxa"/>
              <w:bottom w:w="113" w:type="dxa"/>
              <w:right w:w="113" w:type="dxa"/>
            </w:tcMar>
          </w:tcPr>
          <w:p w14:paraId="564695EF" w14:textId="77777777" w:rsidR="00BB2B23" w:rsidRPr="002C06E4" w:rsidRDefault="00BB2B23" w:rsidP="00F5693B">
            <w:pPr>
              <w:pStyle w:val="Tablesmalltext"/>
              <w:jc w:val="center"/>
              <w:rPr>
                <w:color w:val="auto"/>
              </w:rPr>
            </w:pPr>
            <w:r w:rsidRPr="002C06E4">
              <w:rPr>
                <w:color w:val="auto"/>
              </w:rPr>
              <w:t>$000s</w:t>
            </w:r>
          </w:p>
        </w:tc>
        <w:tc>
          <w:tcPr>
            <w:tcW w:w="1021" w:type="dxa"/>
            <w:shd w:val="clear" w:color="auto" w:fill="auto"/>
            <w:tcMar>
              <w:top w:w="113" w:type="dxa"/>
              <w:left w:w="113" w:type="dxa"/>
              <w:bottom w:w="113" w:type="dxa"/>
              <w:right w:w="113" w:type="dxa"/>
            </w:tcMar>
          </w:tcPr>
          <w:p w14:paraId="564695F0" w14:textId="77777777" w:rsidR="00BB2B23" w:rsidRPr="002C06E4" w:rsidRDefault="00BB2B23" w:rsidP="00F5693B">
            <w:pPr>
              <w:pStyle w:val="Tablesmalltext"/>
              <w:jc w:val="center"/>
              <w:rPr>
                <w:color w:val="auto"/>
              </w:rPr>
            </w:pPr>
            <w:r w:rsidRPr="002C06E4">
              <w:rPr>
                <w:color w:val="auto"/>
              </w:rPr>
              <w:t>84</w:t>
            </w:r>
          </w:p>
        </w:tc>
        <w:tc>
          <w:tcPr>
            <w:tcW w:w="1020" w:type="dxa"/>
            <w:shd w:val="clear" w:color="auto" w:fill="auto"/>
            <w:tcMar>
              <w:top w:w="113" w:type="dxa"/>
              <w:left w:w="113" w:type="dxa"/>
              <w:bottom w:w="113" w:type="dxa"/>
              <w:right w:w="113" w:type="dxa"/>
            </w:tcMar>
          </w:tcPr>
          <w:p w14:paraId="564695F1" w14:textId="77777777" w:rsidR="00BB2B23" w:rsidRPr="002C06E4" w:rsidRDefault="00BB2B23" w:rsidP="00F5693B">
            <w:pPr>
              <w:pStyle w:val="Tablesmalltext"/>
              <w:jc w:val="center"/>
              <w:rPr>
                <w:color w:val="auto"/>
              </w:rPr>
            </w:pPr>
            <w:r w:rsidRPr="002C06E4">
              <w:rPr>
                <w:color w:val="auto"/>
              </w:rPr>
              <w:t>3788</w:t>
            </w:r>
          </w:p>
        </w:tc>
        <w:tc>
          <w:tcPr>
            <w:tcW w:w="1021" w:type="dxa"/>
            <w:shd w:val="clear" w:color="auto" w:fill="auto"/>
            <w:tcMar>
              <w:top w:w="113" w:type="dxa"/>
              <w:left w:w="113" w:type="dxa"/>
              <w:bottom w:w="113" w:type="dxa"/>
              <w:right w:w="113" w:type="dxa"/>
            </w:tcMar>
          </w:tcPr>
          <w:p w14:paraId="564695F2"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1020" w:type="dxa"/>
            <w:shd w:val="clear" w:color="auto" w:fill="auto"/>
            <w:tcMar>
              <w:top w:w="113" w:type="dxa"/>
              <w:left w:w="113" w:type="dxa"/>
              <w:bottom w:w="113" w:type="dxa"/>
              <w:right w:w="113" w:type="dxa"/>
            </w:tcMar>
          </w:tcPr>
          <w:p w14:paraId="564695F3"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1021" w:type="dxa"/>
            <w:shd w:val="clear" w:color="auto" w:fill="auto"/>
            <w:tcMar>
              <w:top w:w="113" w:type="dxa"/>
              <w:left w:w="113" w:type="dxa"/>
              <w:bottom w:w="113" w:type="dxa"/>
              <w:right w:w="113" w:type="dxa"/>
            </w:tcMar>
          </w:tcPr>
          <w:p w14:paraId="564695F4" w14:textId="77777777" w:rsidR="00BB2B23" w:rsidRPr="002C06E4" w:rsidRDefault="00BB2B23" w:rsidP="00F5693B">
            <w:pPr>
              <w:pStyle w:val="Tablesmalltext"/>
              <w:jc w:val="center"/>
              <w:rPr>
                <w:color w:val="auto"/>
              </w:rPr>
            </w:pPr>
            <w:r w:rsidRPr="002C06E4">
              <w:rPr>
                <w:color w:val="auto"/>
              </w:rPr>
              <w:t>84</w:t>
            </w:r>
          </w:p>
        </w:tc>
        <w:tc>
          <w:tcPr>
            <w:tcW w:w="1020" w:type="dxa"/>
            <w:shd w:val="clear" w:color="auto" w:fill="auto"/>
            <w:tcMar>
              <w:top w:w="113" w:type="dxa"/>
              <w:left w:w="113" w:type="dxa"/>
              <w:bottom w:w="113" w:type="dxa"/>
              <w:right w:w="113" w:type="dxa"/>
            </w:tcMar>
          </w:tcPr>
          <w:p w14:paraId="564695F5" w14:textId="77777777" w:rsidR="00BB2B23" w:rsidRPr="002C06E4" w:rsidRDefault="00BB2B23" w:rsidP="00F5693B">
            <w:pPr>
              <w:pStyle w:val="Tablesmalltext"/>
              <w:jc w:val="center"/>
              <w:rPr>
                <w:color w:val="auto"/>
              </w:rPr>
            </w:pPr>
            <w:r w:rsidRPr="002C06E4">
              <w:rPr>
                <w:color w:val="auto"/>
              </w:rPr>
              <w:t>3788</w:t>
            </w:r>
          </w:p>
        </w:tc>
      </w:tr>
      <w:tr w:rsidR="00BB2B23" w:rsidRPr="002C06E4" w14:paraId="56469600" w14:textId="77777777" w:rsidTr="002C06E4">
        <w:trPr>
          <w:trHeight w:val="210"/>
        </w:trPr>
        <w:tc>
          <w:tcPr>
            <w:tcW w:w="1361" w:type="dxa"/>
            <w:shd w:val="clear" w:color="auto" w:fill="auto"/>
            <w:tcMar>
              <w:top w:w="113" w:type="dxa"/>
              <w:left w:w="113" w:type="dxa"/>
              <w:bottom w:w="113" w:type="dxa"/>
              <w:right w:w="113" w:type="dxa"/>
            </w:tcMar>
          </w:tcPr>
          <w:p w14:paraId="564695F7" w14:textId="77777777" w:rsidR="00BB2B23" w:rsidRPr="002C06E4" w:rsidRDefault="00BB2B23" w:rsidP="00F5693B">
            <w:pPr>
              <w:pStyle w:val="Tablesmalltext"/>
              <w:rPr>
                <w:color w:val="auto"/>
              </w:rPr>
            </w:pPr>
            <w:r w:rsidRPr="002C06E4">
              <w:rPr>
                <w:rStyle w:val="TextBold"/>
                <w:color w:val="auto"/>
              </w:rPr>
              <w:t>Refrigerant gas cost</w:t>
            </w:r>
          </w:p>
        </w:tc>
        <w:tc>
          <w:tcPr>
            <w:tcW w:w="1176" w:type="dxa"/>
            <w:shd w:val="clear" w:color="auto" w:fill="auto"/>
            <w:tcMar>
              <w:top w:w="113" w:type="dxa"/>
              <w:left w:w="113" w:type="dxa"/>
              <w:bottom w:w="113" w:type="dxa"/>
              <w:right w:w="113" w:type="dxa"/>
            </w:tcMar>
          </w:tcPr>
          <w:p w14:paraId="564695F8" w14:textId="77777777" w:rsidR="00BB2B23" w:rsidRPr="002C06E4" w:rsidRDefault="00BB2B23" w:rsidP="00F5693B">
            <w:pPr>
              <w:pStyle w:val="Tablesmalltext"/>
              <w:rPr>
                <w:color w:val="auto"/>
              </w:rPr>
            </w:pPr>
            <w:r w:rsidRPr="002C06E4">
              <w:rPr>
                <w:color w:val="auto"/>
              </w:rPr>
              <w:t>RAC industry</w:t>
            </w:r>
          </w:p>
        </w:tc>
        <w:tc>
          <w:tcPr>
            <w:tcW w:w="694" w:type="dxa"/>
            <w:shd w:val="clear" w:color="auto" w:fill="auto"/>
            <w:tcMar>
              <w:top w:w="113" w:type="dxa"/>
              <w:left w:w="113" w:type="dxa"/>
              <w:bottom w:w="113" w:type="dxa"/>
              <w:right w:w="113" w:type="dxa"/>
            </w:tcMar>
          </w:tcPr>
          <w:p w14:paraId="564695F9" w14:textId="77777777" w:rsidR="00BB2B23" w:rsidRPr="002C06E4" w:rsidRDefault="00BB2B23" w:rsidP="00F5693B">
            <w:pPr>
              <w:pStyle w:val="Tablesmalltext"/>
              <w:jc w:val="center"/>
              <w:rPr>
                <w:color w:val="auto"/>
              </w:rPr>
            </w:pPr>
            <w:r w:rsidRPr="002C06E4">
              <w:rPr>
                <w:color w:val="auto"/>
              </w:rPr>
              <w:t>$000s</w:t>
            </w:r>
          </w:p>
        </w:tc>
        <w:tc>
          <w:tcPr>
            <w:tcW w:w="1021" w:type="dxa"/>
            <w:shd w:val="clear" w:color="auto" w:fill="auto"/>
            <w:tcMar>
              <w:top w:w="113" w:type="dxa"/>
              <w:left w:w="113" w:type="dxa"/>
              <w:bottom w:w="113" w:type="dxa"/>
              <w:right w:w="113" w:type="dxa"/>
            </w:tcMar>
          </w:tcPr>
          <w:p w14:paraId="564695FA" w14:textId="77777777" w:rsidR="00BB2B23" w:rsidRPr="002C06E4" w:rsidRDefault="00BB2B23" w:rsidP="00F5693B">
            <w:pPr>
              <w:pStyle w:val="Tablesmalltext"/>
              <w:jc w:val="center"/>
              <w:rPr>
                <w:color w:val="auto"/>
              </w:rPr>
            </w:pPr>
            <w:r w:rsidRPr="002C06E4">
              <w:rPr>
                <w:color w:val="auto"/>
              </w:rPr>
              <w:t>51</w:t>
            </w:r>
          </w:p>
        </w:tc>
        <w:tc>
          <w:tcPr>
            <w:tcW w:w="1020" w:type="dxa"/>
            <w:shd w:val="clear" w:color="auto" w:fill="auto"/>
            <w:tcMar>
              <w:top w:w="113" w:type="dxa"/>
              <w:left w:w="113" w:type="dxa"/>
              <w:bottom w:w="113" w:type="dxa"/>
              <w:right w:w="113" w:type="dxa"/>
            </w:tcMar>
          </w:tcPr>
          <w:p w14:paraId="564695FB" w14:textId="77777777" w:rsidR="00BB2B23" w:rsidRPr="002C06E4" w:rsidRDefault="00BB2B23" w:rsidP="00F5693B">
            <w:pPr>
              <w:pStyle w:val="Tablesmalltext"/>
              <w:jc w:val="center"/>
              <w:rPr>
                <w:color w:val="auto"/>
              </w:rPr>
            </w:pPr>
            <w:r w:rsidRPr="002C06E4">
              <w:rPr>
                <w:color w:val="auto"/>
              </w:rPr>
              <w:t>129</w:t>
            </w:r>
          </w:p>
        </w:tc>
        <w:tc>
          <w:tcPr>
            <w:tcW w:w="1021" w:type="dxa"/>
            <w:shd w:val="clear" w:color="auto" w:fill="auto"/>
            <w:tcMar>
              <w:top w:w="113" w:type="dxa"/>
              <w:left w:w="113" w:type="dxa"/>
              <w:bottom w:w="113" w:type="dxa"/>
              <w:right w:w="113" w:type="dxa"/>
            </w:tcMar>
          </w:tcPr>
          <w:p w14:paraId="564695FC"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1020" w:type="dxa"/>
            <w:shd w:val="clear" w:color="auto" w:fill="auto"/>
            <w:tcMar>
              <w:top w:w="113" w:type="dxa"/>
              <w:left w:w="113" w:type="dxa"/>
              <w:bottom w:w="113" w:type="dxa"/>
              <w:right w:w="113" w:type="dxa"/>
            </w:tcMar>
          </w:tcPr>
          <w:p w14:paraId="564695FD"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1021" w:type="dxa"/>
            <w:shd w:val="clear" w:color="auto" w:fill="auto"/>
            <w:tcMar>
              <w:top w:w="113" w:type="dxa"/>
              <w:left w:w="113" w:type="dxa"/>
              <w:bottom w:w="113" w:type="dxa"/>
              <w:right w:w="113" w:type="dxa"/>
            </w:tcMar>
          </w:tcPr>
          <w:p w14:paraId="564695FE" w14:textId="77777777" w:rsidR="00BB2B23" w:rsidRPr="002C06E4" w:rsidRDefault="00BB2B23" w:rsidP="00F5693B">
            <w:pPr>
              <w:pStyle w:val="Tablesmalltext"/>
              <w:jc w:val="center"/>
              <w:rPr>
                <w:color w:val="auto"/>
              </w:rPr>
            </w:pPr>
            <w:r w:rsidRPr="002C06E4">
              <w:rPr>
                <w:color w:val="auto"/>
              </w:rPr>
              <w:t>51</w:t>
            </w:r>
          </w:p>
        </w:tc>
        <w:tc>
          <w:tcPr>
            <w:tcW w:w="1020" w:type="dxa"/>
            <w:shd w:val="clear" w:color="auto" w:fill="auto"/>
            <w:tcMar>
              <w:top w:w="113" w:type="dxa"/>
              <w:left w:w="113" w:type="dxa"/>
              <w:bottom w:w="113" w:type="dxa"/>
              <w:right w:w="113" w:type="dxa"/>
            </w:tcMar>
          </w:tcPr>
          <w:p w14:paraId="564695FF" w14:textId="77777777" w:rsidR="00BB2B23" w:rsidRPr="002C06E4" w:rsidRDefault="00BB2B23" w:rsidP="00F5693B">
            <w:pPr>
              <w:pStyle w:val="Tablesmalltext"/>
              <w:jc w:val="center"/>
              <w:rPr>
                <w:color w:val="auto"/>
              </w:rPr>
            </w:pPr>
            <w:r w:rsidRPr="002C06E4">
              <w:rPr>
                <w:color w:val="auto"/>
              </w:rPr>
              <w:t>129</w:t>
            </w:r>
          </w:p>
        </w:tc>
      </w:tr>
      <w:tr w:rsidR="00BB2B23" w:rsidRPr="002C06E4" w14:paraId="56469609" w14:textId="77777777" w:rsidTr="002C06E4">
        <w:trPr>
          <w:trHeight w:val="321"/>
        </w:trPr>
        <w:tc>
          <w:tcPr>
            <w:tcW w:w="2537" w:type="dxa"/>
            <w:gridSpan w:val="2"/>
            <w:shd w:val="clear" w:color="auto" w:fill="auto"/>
            <w:tcMar>
              <w:top w:w="113" w:type="dxa"/>
              <w:left w:w="113" w:type="dxa"/>
              <w:bottom w:w="113" w:type="dxa"/>
              <w:right w:w="113" w:type="dxa"/>
            </w:tcMar>
          </w:tcPr>
          <w:p w14:paraId="56469601" w14:textId="77777777" w:rsidR="00BB2B23" w:rsidRPr="002C06E4" w:rsidRDefault="00BB2B23" w:rsidP="00F5693B">
            <w:pPr>
              <w:pStyle w:val="Tablesmalltext"/>
              <w:rPr>
                <w:color w:val="auto"/>
              </w:rPr>
            </w:pPr>
            <w:r w:rsidRPr="002C06E4">
              <w:rPr>
                <w:rStyle w:val="TextBold"/>
                <w:color w:val="auto"/>
              </w:rPr>
              <w:t>Total Benefits</w:t>
            </w:r>
          </w:p>
        </w:tc>
        <w:tc>
          <w:tcPr>
            <w:tcW w:w="694" w:type="dxa"/>
            <w:shd w:val="clear" w:color="auto" w:fill="auto"/>
            <w:tcMar>
              <w:top w:w="113" w:type="dxa"/>
              <w:left w:w="113" w:type="dxa"/>
              <w:bottom w:w="113" w:type="dxa"/>
              <w:right w:w="113" w:type="dxa"/>
            </w:tcMar>
          </w:tcPr>
          <w:p w14:paraId="56469602" w14:textId="77777777" w:rsidR="00BB2B23" w:rsidRPr="002C06E4" w:rsidRDefault="00BB2B23" w:rsidP="00F5693B">
            <w:pPr>
              <w:pStyle w:val="Tablesmalltext"/>
              <w:jc w:val="center"/>
              <w:rPr>
                <w:color w:val="auto"/>
              </w:rPr>
            </w:pPr>
            <w:r w:rsidRPr="002C06E4">
              <w:rPr>
                <w:rStyle w:val="TextBold"/>
                <w:color w:val="auto"/>
              </w:rPr>
              <w:t>$000s</w:t>
            </w:r>
          </w:p>
        </w:tc>
        <w:tc>
          <w:tcPr>
            <w:tcW w:w="1021" w:type="dxa"/>
            <w:shd w:val="clear" w:color="auto" w:fill="auto"/>
            <w:tcMar>
              <w:top w:w="113" w:type="dxa"/>
              <w:left w:w="113" w:type="dxa"/>
              <w:bottom w:w="113" w:type="dxa"/>
              <w:right w:w="113" w:type="dxa"/>
            </w:tcMar>
          </w:tcPr>
          <w:p w14:paraId="56469603" w14:textId="77777777" w:rsidR="00BB2B23" w:rsidRPr="002C06E4" w:rsidRDefault="00BB2B23" w:rsidP="00F5693B">
            <w:pPr>
              <w:pStyle w:val="Tablesmalltext"/>
              <w:jc w:val="center"/>
              <w:rPr>
                <w:color w:val="auto"/>
              </w:rPr>
            </w:pPr>
            <w:r w:rsidRPr="002C06E4">
              <w:rPr>
                <w:rStyle w:val="TextBold"/>
                <w:color w:val="auto"/>
              </w:rPr>
              <w:t>692</w:t>
            </w:r>
          </w:p>
        </w:tc>
        <w:tc>
          <w:tcPr>
            <w:tcW w:w="1020" w:type="dxa"/>
            <w:shd w:val="clear" w:color="auto" w:fill="auto"/>
            <w:tcMar>
              <w:top w:w="113" w:type="dxa"/>
              <w:left w:w="113" w:type="dxa"/>
              <w:bottom w:w="113" w:type="dxa"/>
              <w:right w:w="113" w:type="dxa"/>
            </w:tcMar>
          </w:tcPr>
          <w:p w14:paraId="56469604" w14:textId="77777777" w:rsidR="00BB2B23" w:rsidRPr="002C06E4" w:rsidRDefault="00BB2B23" w:rsidP="00F5693B">
            <w:pPr>
              <w:pStyle w:val="Tablesmalltext"/>
              <w:jc w:val="center"/>
              <w:rPr>
                <w:color w:val="auto"/>
              </w:rPr>
            </w:pPr>
            <w:r w:rsidRPr="002C06E4">
              <w:rPr>
                <w:rStyle w:val="TextBold"/>
                <w:color w:val="auto"/>
              </w:rPr>
              <w:t>6051</w:t>
            </w:r>
          </w:p>
        </w:tc>
        <w:tc>
          <w:tcPr>
            <w:tcW w:w="1021" w:type="dxa"/>
            <w:shd w:val="clear" w:color="auto" w:fill="auto"/>
            <w:tcMar>
              <w:top w:w="113" w:type="dxa"/>
              <w:left w:w="113" w:type="dxa"/>
              <w:bottom w:w="113" w:type="dxa"/>
              <w:right w:w="113" w:type="dxa"/>
            </w:tcMar>
          </w:tcPr>
          <w:p w14:paraId="56469605" w14:textId="77777777" w:rsidR="00BB2B23" w:rsidRPr="002C06E4" w:rsidRDefault="00BB2B23" w:rsidP="00F5693B">
            <w:pPr>
              <w:pStyle w:val="Tablesmalltext"/>
              <w:jc w:val="center"/>
              <w:rPr>
                <w:color w:val="auto"/>
              </w:rPr>
            </w:pPr>
            <w:r w:rsidRPr="002C06E4">
              <w:rPr>
                <w:rStyle w:val="TextBold"/>
                <w:color w:val="auto"/>
              </w:rPr>
              <w:t>8745</w:t>
            </w:r>
          </w:p>
        </w:tc>
        <w:tc>
          <w:tcPr>
            <w:tcW w:w="1020" w:type="dxa"/>
            <w:shd w:val="clear" w:color="auto" w:fill="auto"/>
            <w:tcMar>
              <w:top w:w="113" w:type="dxa"/>
              <w:left w:w="113" w:type="dxa"/>
              <w:bottom w:w="113" w:type="dxa"/>
              <w:right w:w="113" w:type="dxa"/>
            </w:tcMar>
          </w:tcPr>
          <w:p w14:paraId="56469606" w14:textId="77777777" w:rsidR="00BB2B23" w:rsidRPr="002C06E4" w:rsidRDefault="00BB2B23" w:rsidP="00F5693B">
            <w:pPr>
              <w:pStyle w:val="Tablesmalltext"/>
              <w:jc w:val="center"/>
              <w:rPr>
                <w:color w:val="auto"/>
              </w:rPr>
            </w:pPr>
            <w:r w:rsidRPr="002C06E4">
              <w:rPr>
                <w:rStyle w:val="TextBold"/>
                <w:color w:val="auto"/>
              </w:rPr>
              <w:t>40,866</w:t>
            </w:r>
          </w:p>
        </w:tc>
        <w:tc>
          <w:tcPr>
            <w:tcW w:w="1021" w:type="dxa"/>
            <w:shd w:val="clear" w:color="auto" w:fill="auto"/>
            <w:tcMar>
              <w:top w:w="113" w:type="dxa"/>
              <w:left w:w="113" w:type="dxa"/>
              <w:bottom w:w="113" w:type="dxa"/>
              <w:right w:w="113" w:type="dxa"/>
            </w:tcMar>
          </w:tcPr>
          <w:p w14:paraId="56469607" w14:textId="77777777" w:rsidR="00BB2B23" w:rsidRPr="002C06E4" w:rsidRDefault="00BB2B23" w:rsidP="00F5693B">
            <w:pPr>
              <w:pStyle w:val="Tablesmalltext"/>
              <w:jc w:val="center"/>
              <w:rPr>
                <w:color w:val="auto"/>
              </w:rPr>
            </w:pPr>
            <w:r w:rsidRPr="002C06E4">
              <w:rPr>
                <w:rStyle w:val="TextBold"/>
                <w:color w:val="auto"/>
              </w:rPr>
              <w:t>9437</w:t>
            </w:r>
          </w:p>
        </w:tc>
        <w:tc>
          <w:tcPr>
            <w:tcW w:w="1020" w:type="dxa"/>
            <w:shd w:val="clear" w:color="auto" w:fill="auto"/>
            <w:tcMar>
              <w:top w:w="113" w:type="dxa"/>
              <w:left w:w="113" w:type="dxa"/>
              <w:bottom w:w="113" w:type="dxa"/>
              <w:right w:w="113" w:type="dxa"/>
            </w:tcMar>
          </w:tcPr>
          <w:p w14:paraId="56469608" w14:textId="77777777" w:rsidR="00BB2B23" w:rsidRPr="002C06E4" w:rsidRDefault="00BB2B23" w:rsidP="00F5693B">
            <w:pPr>
              <w:pStyle w:val="Tablesmalltext"/>
              <w:jc w:val="center"/>
              <w:rPr>
                <w:color w:val="auto"/>
              </w:rPr>
            </w:pPr>
            <w:r w:rsidRPr="002C06E4">
              <w:rPr>
                <w:rStyle w:val="TextBold"/>
                <w:color w:val="auto"/>
              </w:rPr>
              <w:t>46,937</w:t>
            </w:r>
          </w:p>
        </w:tc>
      </w:tr>
      <w:tr w:rsidR="00BB2B23" w:rsidRPr="002C06E4" w14:paraId="5646960B" w14:textId="77777777" w:rsidTr="002C06E4">
        <w:trPr>
          <w:trHeight w:val="210"/>
        </w:trPr>
        <w:tc>
          <w:tcPr>
            <w:tcW w:w="9354" w:type="dxa"/>
            <w:gridSpan w:val="9"/>
            <w:shd w:val="clear" w:color="auto" w:fill="auto"/>
            <w:tcMar>
              <w:top w:w="113" w:type="dxa"/>
              <w:left w:w="113" w:type="dxa"/>
              <w:bottom w:w="113" w:type="dxa"/>
              <w:right w:w="113" w:type="dxa"/>
            </w:tcMar>
          </w:tcPr>
          <w:p w14:paraId="5646960A" w14:textId="77777777" w:rsidR="00BB2B23" w:rsidRPr="002C06E4" w:rsidRDefault="00BB2B23" w:rsidP="00F5693B">
            <w:pPr>
              <w:pStyle w:val="Tablesmalltext"/>
              <w:rPr>
                <w:color w:val="auto"/>
              </w:rPr>
            </w:pPr>
            <w:r w:rsidRPr="002C06E4">
              <w:rPr>
                <w:rStyle w:val="TextBold"/>
                <w:color w:val="auto"/>
              </w:rPr>
              <w:t>Costs</w:t>
            </w:r>
          </w:p>
        </w:tc>
      </w:tr>
      <w:tr w:rsidR="00BB2B23" w:rsidRPr="002C06E4" w14:paraId="56469615" w14:textId="77777777" w:rsidTr="002C06E4">
        <w:trPr>
          <w:trHeight w:val="210"/>
        </w:trPr>
        <w:tc>
          <w:tcPr>
            <w:tcW w:w="1361" w:type="dxa"/>
            <w:shd w:val="clear" w:color="auto" w:fill="auto"/>
            <w:tcMar>
              <w:top w:w="113" w:type="dxa"/>
              <w:left w:w="113" w:type="dxa"/>
              <w:bottom w:w="113" w:type="dxa"/>
              <w:right w:w="113" w:type="dxa"/>
            </w:tcMar>
          </w:tcPr>
          <w:p w14:paraId="5646960C" w14:textId="77777777" w:rsidR="00BB2B23" w:rsidRPr="002C06E4" w:rsidRDefault="00BB2B23" w:rsidP="00F5693B">
            <w:pPr>
              <w:pStyle w:val="Tablesmalltext"/>
              <w:rPr>
                <w:color w:val="auto"/>
              </w:rPr>
            </w:pPr>
            <w:r w:rsidRPr="002C06E4">
              <w:rPr>
                <w:rStyle w:val="TextBold"/>
                <w:color w:val="auto"/>
              </w:rPr>
              <w:t>Incremental capital cost</w:t>
            </w:r>
          </w:p>
        </w:tc>
        <w:tc>
          <w:tcPr>
            <w:tcW w:w="1176" w:type="dxa"/>
            <w:shd w:val="clear" w:color="auto" w:fill="auto"/>
            <w:tcMar>
              <w:top w:w="113" w:type="dxa"/>
              <w:left w:w="113" w:type="dxa"/>
              <w:bottom w:w="113" w:type="dxa"/>
              <w:right w:w="113" w:type="dxa"/>
            </w:tcMar>
          </w:tcPr>
          <w:p w14:paraId="5646960D" w14:textId="77777777" w:rsidR="00BB2B23" w:rsidRPr="002C06E4" w:rsidRDefault="00BB2B23" w:rsidP="00F5693B">
            <w:pPr>
              <w:pStyle w:val="Tablesmalltext"/>
              <w:rPr>
                <w:color w:val="auto"/>
              </w:rPr>
            </w:pPr>
            <w:r w:rsidRPr="002C06E4">
              <w:rPr>
                <w:color w:val="auto"/>
              </w:rPr>
              <w:t>Equipment owners</w:t>
            </w:r>
          </w:p>
        </w:tc>
        <w:tc>
          <w:tcPr>
            <w:tcW w:w="694" w:type="dxa"/>
            <w:shd w:val="clear" w:color="auto" w:fill="auto"/>
            <w:tcMar>
              <w:top w:w="113" w:type="dxa"/>
              <w:left w:w="113" w:type="dxa"/>
              <w:bottom w:w="113" w:type="dxa"/>
              <w:right w:w="113" w:type="dxa"/>
            </w:tcMar>
          </w:tcPr>
          <w:p w14:paraId="5646960E" w14:textId="77777777" w:rsidR="00BB2B23" w:rsidRPr="002C06E4" w:rsidRDefault="00BB2B23" w:rsidP="00F5693B">
            <w:pPr>
              <w:pStyle w:val="Tablesmalltext"/>
              <w:jc w:val="center"/>
              <w:rPr>
                <w:color w:val="auto"/>
              </w:rPr>
            </w:pPr>
            <w:r w:rsidRPr="002C06E4">
              <w:rPr>
                <w:color w:val="auto"/>
              </w:rPr>
              <w:t>$000s</w:t>
            </w:r>
          </w:p>
        </w:tc>
        <w:tc>
          <w:tcPr>
            <w:tcW w:w="1021" w:type="dxa"/>
            <w:shd w:val="clear" w:color="auto" w:fill="auto"/>
            <w:tcMar>
              <w:top w:w="113" w:type="dxa"/>
              <w:left w:w="113" w:type="dxa"/>
              <w:bottom w:w="113" w:type="dxa"/>
              <w:right w:w="113" w:type="dxa"/>
            </w:tcMar>
          </w:tcPr>
          <w:p w14:paraId="5646960F" w14:textId="77777777" w:rsidR="00BB2B23" w:rsidRPr="002C06E4" w:rsidRDefault="00BB2B23" w:rsidP="00F5693B">
            <w:pPr>
              <w:pStyle w:val="Tablesmalltext"/>
              <w:jc w:val="center"/>
              <w:rPr>
                <w:color w:val="auto"/>
              </w:rPr>
            </w:pPr>
            <w:r w:rsidRPr="002C06E4">
              <w:rPr>
                <w:color w:val="auto"/>
              </w:rPr>
              <w:t>0</w:t>
            </w:r>
          </w:p>
        </w:tc>
        <w:tc>
          <w:tcPr>
            <w:tcW w:w="1020" w:type="dxa"/>
            <w:shd w:val="clear" w:color="auto" w:fill="auto"/>
            <w:tcMar>
              <w:top w:w="113" w:type="dxa"/>
              <w:left w:w="113" w:type="dxa"/>
              <w:bottom w:w="113" w:type="dxa"/>
              <w:right w:w="113" w:type="dxa"/>
            </w:tcMar>
          </w:tcPr>
          <w:p w14:paraId="56469610" w14:textId="77777777" w:rsidR="00BB2B23" w:rsidRPr="002C06E4" w:rsidRDefault="00BB2B23" w:rsidP="00F5693B">
            <w:pPr>
              <w:pStyle w:val="Tablesmalltext"/>
              <w:jc w:val="center"/>
              <w:rPr>
                <w:color w:val="auto"/>
              </w:rPr>
            </w:pPr>
            <w:r w:rsidRPr="002C06E4">
              <w:rPr>
                <w:color w:val="auto"/>
              </w:rPr>
              <w:t>0</w:t>
            </w:r>
          </w:p>
        </w:tc>
        <w:tc>
          <w:tcPr>
            <w:tcW w:w="1021" w:type="dxa"/>
            <w:shd w:val="clear" w:color="auto" w:fill="auto"/>
            <w:tcMar>
              <w:top w:w="113" w:type="dxa"/>
              <w:left w:w="113" w:type="dxa"/>
              <w:bottom w:w="113" w:type="dxa"/>
              <w:right w:w="113" w:type="dxa"/>
            </w:tcMar>
          </w:tcPr>
          <w:p w14:paraId="56469611" w14:textId="77777777" w:rsidR="00BB2B23" w:rsidRPr="002C06E4" w:rsidRDefault="00BB2B23" w:rsidP="00F5693B">
            <w:pPr>
              <w:pStyle w:val="Tablesmalltext"/>
              <w:jc w:val="center"/>
              <w:rPr>
                <w:color w:val="auto"/>
              </w:rPr>
            </w:pPr>
            <w:r w:rsidRPr="002C06E4">
              <w:rPr>
                <w:color w:val="auto"/>
              </w:rPr>
              <w:t>39,089</w:t>
            </w:r>
          </w:p>
        </w:tc>
        <w:tc>
          <w:tcPr>
            <w:tcW w:w="1020" w:type="dxa"/>
            <w:shd w:val="clear" w:color="auto" w:fill="auto"/>
            <w:tcMar>
              <w:top w:w="113" w:type="dxa"/>
              <w:left w:w="113" w:type="dxa"/>
              <w:bottom w:w="113" w:type="dxa"/>
              <w:right w:w="113" w:type="dxa"/>
            </w:tcMar>
          </w:tcPr>
          <w:p w14:paraId="56469612" w14:textId="77777777" w:rsidR="00BB2B23" w:rsidRPr="002C06E4" w:rsidRDefault="00BB2B23" w:rsidP="00F5693B">
            <w:pPr>
              <w:pStyle w:val="Tablesmalltext"/>
              <w:jc w:val="center"/>
              <w:rPr>
                <w:color w:val="auto"/>
              </w:rPr>
            </w:pPr>
            <w:r w:rsidRPr="002C06E4">
              <w:rPr>
                <w:color w:val="auto"/>
              </w:rPr>
              <w:t>39,089</w:t>
            </w:r>
          </w:p>
        </w:tc>
        <w:tc>
          <w:tcPr>
            <w:tcW w:w="1021" w:type="dxa"/>
            <w:shd w:val="clear" w:color="auto" w:fill="auto"/>
            <w:tcMar>
              <w:top w:w="113" w:type="dxa"/>
              <w:left w:w="113" w:type="dxa"/>
              <w:bottom w:w="113" w:type="dxa"/>
              <w:right w:w="113" w:type="dxa"/>
            </w:tcMar>
          </w:tcPr>
          <w:p w14:paraId="56469613" w14:textId="77777777" w:rsidR="00BB2B23" w:rsidRPr="002C06E4" w:rsidRDefault="00BB2B23" w:rsidP="00F5693B">
            <w:pPr>
              <w:pStyle w:val="Tablesmalltext"/>
              <w:jc w:val="center"/>
              <w:rPr>
                <w:color w:val="auto"/>
              </w:rPr>
            </w:pPr>
            <w:r w:rsidRPr="002C06E4">
              <w:rPr>
                <w:color w:val="auto"/>
              </w:rPr>
              <w:t>39,089</w:t>
            </w:r>
          </w:p>
        </w:tc>
        <w:tc>
          <w:tcPr>
            <w:tcW w:w="1020" w:type="dxa"/>
            <w:shd w:val="clear" w:color="auto" w:fill="auto"/>
            <w:tcMar>
              <w:top w:w="113" w:type="dxa"/>
              <w:left w:w="113" w:type="dxa"/>
              <w:bottom w:w="113" w:type="dxa"/>
              <w:right w:w="113" w:type="dxa"/>
            </w:tcMar>
          </w:tcPr>
          <w:p w14:paraId="56469614" w14:textId="77777777" w:rsidR="00BB2B23" w:rsidRPr="002C06E4" w:rsidRDefault="00BB2B23" w:rsidP="00F5693B">
            <w:pPr>
              <w:pStyle w:val="Tablesmalltext"/>
              <w:jc w:val="center"/>
              <w:rPr>
                <w:color w:val="auto"/>
              </w:rPr>
            </w:pPr>
            <w:r w:rsidRPr="002C06E4">
              <w:rPr>
                <w:color w:val="auto"/>
              </w:rPr>
              <w:t>39,089</w:t>
            </w:r>
          </w:p>
        </w:tc>
      </w:tr>
      <w:tr w:rsidR="00BB2B23" w:rsidRPr="002C06E4" w14:paraId="5646961F" w14:textId="77777777" w:rsidTr="002C06E4">
        <w:trPr>
          <w:trHeight w:val="210"/>
        </w:trPr>
        <w:tc>
          <w:tcPr>
            <w:tcW w:w="1361" w:type="dxa"/>
            <w:shd w:val="clear" w:color="auto" w:fill="auto"/>
            <w:tcMar>
              <w:top w:w="113" w:type="dxa"/>
              <w:left w:w="113" w:type="dxa"/>
              <w:bottom w:w="113" w:type="dxa"/>
              <w:right w:w="113" w:type="dxa"/>
            </w:tcMar>
          </w:tcPr>
          <w:p w14:paraId="56469616" w14:textId="77777777" w:rsidR="00BB2B23" w:rsidRPr="002C06E4" w:rsidRDefault="00BB2B23" w:rsidP="00F5693B">
            <w:pPr>
              <w:pStyle w:val="Tablesmalltext"/>
              <w:rPr>
                <w:color w:val="auto"/>
              </w:rPr>
            </w:pPr>
            <w:r w:rsidRPr="002C06E4">
              <w:rPr>
                <w:rStyle w:val="TextBold"/>
                <w:color w:val="auto"/>
              </w:rPr>
              <w:t>Refrigerant gas cost</w:t>
            </w:r>
          </w:p>
        </w:tc>
        <w:tc>
          <w:tcPr>
            <w:tcW w:w="1176" w:type="dxa"/>
            <w:shd w:val="clear" w:color="auto" w:fill="auto"/>
            <w:tcMar>
              <w:top w:w="113" w:type="dxa"/>
              <w:left w:w="113" w:type="dxa"/>
              <w:bottom w:w="113" w:type="dxa"/>
              <w:right w:w="113" w:type="dxa"/>
            </w:tcMar>
          </w:tcPr>
          <w:p w14:paraId="56469617" w14:textId="77777777" w:rsidR="00BB2B23" w:rsidRPr="002C06E4" w:rsidRDefault="00BB2B23" w:rsidP="00F5693B">
            <w:pPr>
              <w:pStyle w:val="Tablesmalltext"/>
              <w:rPr>
                <w:color w:val="auto"/>
              </w:rPr>
            </w:pPr>
            <w:r w:rsidRPr="002C06E4">
              <w:rPr>
                <w:color w:val="auto"/>
              </w:rPr>
              <w:t>Equipment owners</w:t>
            </w:r>
          </w:p>
        </w:tc>
        <w:tc>
          <w:tcPr>
            <w:tcW w:w="694" w:type="dxa"/>
            <w:shd w:val="clear" w:color="auto" w:fill="auto"/>
            <w:tcMar>
              <w:top w:w="113" w:type="dxa"/>
              <w:left w:w="113" w:type="dxa"/>
              <w:bottom w:w="113" w:type="dxa"/>
              <w:right w:w="113" w:type="dxa"/>
            </w:tcMar>
          </w:tcPr>
          <w:p w14:paraId="56469618" w14:textId="77777777" w:rsidR="00BB2B23" w:rsidRPr="002C06E4" w:rsidRDefault="00BB2B23" w:rsidP="00F5693B">
            <w:pPr>
              <w:pStyle w:val="Tablesmalltext"/>
              <w:jc w:val="center"/>
              <w:rPr>
                <w:color w:val="auto"/>
              </w:rPr>
            </w:pPr>
            <w:r w:rsidRPr="002C06E4">
              <w:rPr>
                <w:color w:val="auto"/>
              </w:rPr>
              <w:t>$000s</w:t>
            </w:r>
          </w:p>
        </w:tc>
        <w:tc>
          <w:tcPr>
            <w:tcW w:w="1021" w:type="dxa"/>
            <w:shd w:val="clear" w:color="auto" w:fill="auto"/>
            <w:tcMar>
              <w:top w:w="113" w:type="dxa"/>
              <w:left w:w="113" w:type="dxa"/>
              <w:bottom w:w="113" w:type="dxa"/>
              <w:right w:w="113" w:type="dxa"/>
            </w:tcMar>
          </w:tcPr>
          <w:p w14:paraId="56469619"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1020" w:type="dxa"/>
            <w:shd w:val="clear" w:color="auto" w:fill="auto"/>
            <w:tcMar>
              <w:top w:w="113" w:type="dxa"/>
              <w:left w:w="113" w:type="dxa"/>
              <w:bottom w:w="113" w:type="dxa"/>
              <w:right w:w="113" w:type="dxa"/>
            </w:tcMar>
          </w:tcPr>
          <w:p w14:paraId="5646961A"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1021" w:type="dxa"/>
            <w:shd w:val="clear" w:color="auto" w:fill="auto"/>
            <w:tcMar>
              <w:top w:w="113" w:type="dxa"/>
              <w:left w:w="113" w:type="dxa"/>
              <w:bottom w:w="113" w:type="dxa"/>
              <w:right w:w="113" w:type="dxa"/>
            </w:tcMar>
          </w:tcPr>
          <w:p w14:paraId="5646961B" w14:textId="77777777" w:rsidR="00BB2B23" w:rsidRPr="002C06E4" w:rsidRDefault="00BB2B23" w:rsidP="00F5693B">
            <w:pPr>
              <w:pStyle w:val="Tablesmalltext"/>
              <w:jc w:val="center"/>
              <w:rPr>
                <w:color w:val="auto"/>
              </w:rPr>
            </w:pPr>
            <w:r w:rsidRPr="002C06E4">
              <w:rPr>
                <w:color w:val="auto"/>
              </w:rPr>
              <w:t>39,951</w:t>
            </w:r>
          </w:p>
        </w:tc>
        <w:tc>
          <w:tcPr>
            <w:tcW w:w="1020" w:type="dxa"/>
            <w:shd w:val="clear" w:color="auto" w:fill="auto"/>
            <w:tcMar>
              <w:top w:w="113" w:type="dxa"/>
              <w:left w:w="113" w:type="dxa"/>
              <w:bottom w:w="113" w:type="dxa"/>
              <w:right w:w="113" w:type="dxa"/>
            </w:tcMar>
          </w:tcPr>
          <w:p w14:paraId="5646961C" w14:textId="77777777" w:rsidR="00BB2B23" w:rsidRPr="002C06E4" w:rsidRDefault="00BB2B23" w:rsidP="00F5693B">
            <w:pPr>
              <w:pStyle w:val="Tablesmalltext"/>
              <w:jc w:val="center"/>
              <w:rPr>
                <w:color w:val="auto"/>
              </w:rPr>
            </w:pPr>
            <w:r w:rsidRPr="002C06E4">
              <w:rPr>
                <w:color w:val="auto"/>
              </w:rPr>
              <w:t>98,316</w:t>
            </w:r>
          </w:p>
        </w:tc>
        <w:tc>
          <w:tcPr>
            <w:tcW w:w="1021" w:type="dxa"/>
            <w:shd w:val="clear" w:color="auto" w:fill="auto"/>
            <w:tcMar>
              <w:top w:w="113" w:type="dxa"/>
              <w:left w:w="113" w:type="dxa"/>
              <w:bottom w:w="113" w:type="dxa"/>
              <w:right w:w="113" w:type="dxa"/>
            </w:tcMar>
          </w:tcPr>
          <w:p w14:paraId="5646961D" w14:textId="77777777" w:rsidR="00BB2B23" w:rsidRPr="002C06E4" w:rsidRDefault="00BB2B23" w:rsidP="00F5693B">
            <w:pPr>
              <w:pStyle w:val="Tablesmalltext"/>
              <w:jc w:val="center"/>
              <w:rPr>
                <w:color w:val="auto"/>
              </w:rPr>
            </w:pPr>
            <w:r w:rsidRPr="002C06E4">
              <w:rPr>
                <w:color w:val="auto"/>
              </w:rPr>
              <w:t>39,951</w:t>
            </w:r>
          </w:p>
        </w:tc>
        <w:tc>
          <w:tcPr>
            <w:tcW w:w="1020" w:type="dxa"/>
            <w:shd w:val="clear" w:color="auto" w:fill="auto"/>
            <w:tcMar>
              <w:top w:w="113" w:type="dxa"/>
              <w:left w:w="113" w:type="dxa"/>
              <w:bottom w:w="113" w:type="dxa"/>
              <w:right w:w="113" w:type="dxa"/>
            </w:tcMar>
          </w:tcPr>
          <w:p w14:paraId="5646961E" w14:textId="77777777" w:rsidR="00BB2B23" w:rsidRPr="002C06E4" w:rsidRDefault="00BB2B23" w:rsidP="00F5693B">
            <w:pPr>
              <w:pStyle w:val="Tablesmalltext"/>
              <w:jc w:val="center"/>
              <w:rPr>
                <w:color w:val="auto"/>
              </w:rPr>
            </w:pPr>
            <w:r w:rsidRPr="002C06E4">
              <w:rPr>
                <w:color w:val="auto"/>
              </w:rPr>
              <w:t>98,316</w:t>
            </w:r>
          </w:p>
        </w:tc>
      </w:tr>
      <w:tr w:rsidR="00BB2B23" w:rsidRPr="002C06E4" w14:paraId="56469629" w14:textId="77777777" w:rsidTr="002C06E4">
        <w:trPr>
          <w:trHeight w:val="210"/>
        </w:trPr>
        <w:tc>
          <w:tcPr>
            <w:tcW w:w="1361" w:type="dxa"/>
            <w:shd w:val="clear" w:color="auto" w:fill="auto"/>
            <w:tcMar>
              <w:top w:w="113" w:type="dxa"/>
              <w:left w:w="113" w:type="dxa"/>
              <w:bottom w:w="113" w:type="dxa"/>
              <w:right w:w="113" w:type="dxa"/>
            </w:tcMar>
          </w:tcPr>
          <w:p w14:paraId="56469620" w14:textId="77777777" w:rsidR="00BB2B23" w:rsidRPr="002C06E4" w:rsidRDefault="00BB2B23" w:rsidP="00F5693B">
            <w:pPr>
              <w:pStyle w:val="Tablesmalltext"/>
              <w:rPr>
                <w:color w:val="auto"/>
              </w:rPr>
            </w:pPr>
            <w:r w:rsidRPr="002C06E4">
              <w:rPr>
                <w:rStyle w:val="TextBold"/>
                <w:color w:val="auto"/>
              </w:rPr>
              <w:t>Maintenance cost</w:t>
            </w:r>
          </w:p>
        </w:tc>
        <w:tc>
          <w:tcPr>
            <w:tcW w:w="1176" w:type="dxa"/>
            <w:shd w:val="clear" w:color="auto" w:fill="auto"/>
            <w:tcMar>
              <w:top w:w="113" w:type="dxa"/>
              <w:left w:w="113" w:type="dxa"/>
              <w:bottom w:w="113" w:type="dxa"/>
              <w:right w:w="113" w:type="dxa"/>
            </w:tcMar>
          </w:tcPr>
          <w:p w14:paraId="56469621" w14:textId="77777777" w:rsidR="00BB2B23" w:rsidRPr="002C06E4" w:rsidRDefault="00BB2B23" w:rsidP="00F5693B">
            <w:pPr>
              <w:pStyle w:val="Tablesmalltext"/>
              <w:rPr>
                <w:color w:val="auto"/>
              </w:rPr>
            </w:pPr>
            <w:r w:rsidRPr="002C06E4">
              <w:rPr>
                <w:color w:val="auto"/>
              </w:rPr>
              <w:t>RAC industry</w:t>
            </w:r>
          </w:p>
        </w:tc>
        <w:tc>
          <w:tcPr>
            <w:tcW w:w="694" w:type="dxa"/>
            <w:shd w:val="clear" w:color="auto" w:fill="auto"/>
            <w:tcMar>
              <w:top w:w="113" w:type="dxa"/>
              <w:left w:w="113" w:type="dxa"/>
              <w:bottom w:w="113" w:type="dxa"/>
              <w:right w:w="113" w:type="dxa"/>
            </w:tcMar>
          </w:tcPr>
          <w:p w14:paraId="56469622" w14:textId="77777777" w:rsidR="00BB2B23" w:rsidRPr="002C06E4" w:rsidRDefault="00BB2B23" w:rsidP="00F5693B">
            <w:pPr>
              <w:pStyle w:val="Tablesmalltext"/>
              <w:jc w:val="center"/>
              <w:rPr>
                <w:color w:val="auto"/>
              </w:rPr>
            </w:pPr>
            <w:r w:rsidRPr="002C06E4">
              <w:rPr>
                <w:color w:val="auto"/>
              </w:rPr>
              <w:t>$000s</w:t>
            </w:r>
          </w:p>
        </w:tc>
        <w:tc>
          <w:tcPr>
            <w:tcW w:w="1021" w:type="dxa"/>
            <w:shd w:val="clear" w:color="auto" w:fill="auto"/>
            <w:tcMar>
              <w:top w:w="113" w:type="dxa"/>
              <w:left w:w="113" w:type="dxa"/>
              <w:bottom w:w="113" w:type="dxa"/>
              <w:right w:w="113" w:type="dxa"/>
            </w:tcMar>
          </w:tcPr>
          <w:p w14:paraId="56469623" w14:textId="77777777" w:rsidR="00BB2B23" w:rsidRPr="002C06E4" w:rsidRDefault="00BB2B23" w:rsidP="00F5693B">
            <w:pPr>
              <w:pStyle w:val="Tablesmalltext"/>
              <w:jc w:val="center"/>
              <w:rPr>
                <w:color w:val="auto"/>
              </w:rPr>
            </w:pPr>
            <w:r w:rsidRPr="002C06E4">
              <w:rPr>
                <w:color w:val="auto"/>
              </w:rPr>
              <w:t>10</w:t>
            </w:r>
          </w:p>
        </w:tc>
        <w:tc>
          <w:tcPr>
            <w:tcW w:w="1020" w:type="dxa"/>
            <w:shd w:val="clear" w:color="auto" w:fill="auto"/>
            <w:tcMar>
              <w:top w:w="113" w:type="dxa"/>
              <w:left w:w="113" w:type="dxa"/>
              <w:bottom w:w="113" w:type="dxa"/>
              <w:right w:w="113" w:type="dxa"/>
            </w:tcMar>
          </w:tcPr>
          <w:p w14:paraId="56469624" w14:textId="77777777" w:rsidR="00BB2B23" w:rsidRPr="002C06E4" w:rsidRDefault="00BB2B23" w:rsidP="00F5693B">
            <w:pPr>
              <w:pStyle w:val="Tablesmalltext"/>
              <w:jc w:val="center"/>
              <w:rPr>
                <w:color w:val="auto"/>
              </w:rPr>
            </w:pPr>
            <w:r w:rsidRPr="002C06E4">
              <w:rPr>
                <w:color w:val="auto"/>
              </w:rPr>
              <w:t>412</w:t>
            </w:r>
          </w:p>
        </w:tc>
        <w:tc>
          <w:tcPr>
            <w:tcW w:w="1021" w:type="dxa"/>
            <w:shd w:val="clear" w:color="auto" w:fill="auto"/>
            <w:tcMar>
              <w:top w:w="113" w:type="dxa"/>
              <w:left w:w="113" w:type="dxa"/>
              <w:bottom w:w="113" w:type="dxa"/>
              <w:right w:w="113" w:type="dxa"/>
            </w:tcMar>
          </w:tcPr>
          <w:p w14:paraId="56469625" w14:textId="77777777" w:rsidR="00BB2B23" w:rsidRPr="002C06E4" w:rsidRDefault="00BB2B23" w:rsidP="00F5693B">
            <w:pPr>
              <w:pStyle w:val="Tablesmalltext"/>
              <w:jc w:val="center"/>
              <w:rPr>
                <w:color w:val="auto"/>
              </w:rPr>
            </w:pPr>
            <w:r w:rsidRPr="002C06E4">
              <w:rPr>
                <w:color w:val="auto"/>
              </w:rPr>
              <w:t>31,472</w:t>
            </w:r>
          </w:p>
        </w:tc>
        <w:tc>
          <w:tcPr>
            <w:tcW w:w="1020" w:type="dxa"/>
            <w:shd w:val="clear" w:color="auto" w:fill="auto"/>
            <w:tcMar>
              <w:top w:w="113" w:type="dxa"/>
              <w:left w:w="113" w:type="dxa"/>
              <w:bottom w:w="113" w:type="dxa"/>
              <w:right w:w="113" w:type="dxa"/>
            </w:tcMar>
          </w:tcPr>
          <w:p w14:paraId="56469626" w14:textId="77777777" w:rsidR="00BB2B23" w:rsidRPr="002C06E4" w:rsidRDefault="00BB2B23" w:rsidP="00F5693B">
            <w:pPr>
              <w:pStyle w:val="Tablesmalltext"/>
              <w:jc w:val="center"/>
              <w:rPr>
                <w:color w:val="auto"/>
              </w:rPr>
            </w:pPr>
            <w:r w:rsidRPr="002C06E4">
              <w:rPr>
                <w:color w:val="auto"/>
              </w:rPr>
              <w:t>82,774</w:t>
            </w:r>
          </w:p>
        </w:tc>
        <w:tc>
          <w:tcPr>
            <w:tcW w:w="1021" w:type="dxa"/>
            <w:shd w:val="clear" w:color="auto" w:fill="auto"/>
            <w:tcMar>
              <w:top w:w="113" w:type="dxa"/>
              <w:left w:w="113" w:type="dxa"/>
              <w:bottom w:w="113" w:type="dxa"/>
              <w:right w:w="113" w:type="dxa"/>
            </w:tcMar>
          </w:tcPr>
          <w:p w14:paraId="56469627" w14:textId="77777777" w:rsidR="00BB2B23" w:rsidRPr="002C06E4" w:rsidRDefault="00BB2B23" w:rsidP="00F5693B">
            <w:pPr>
              <w:pStyle w:val="Tablesmalltext"/>
              <w:jc w:val="center"/>
              <w:rPr>
                <w:color w:val="auto"/>
              </w:rPr>
            </w:pPr>
            <w:r w:rsidRPr="002C06E4">
              <w:rPr>
                <w:color w:val="auto"/>
              </w:rPr>
              <w:t>31,482</w:t>
            </w:r>
          </w:p>
        </w:tc>
        <w:tc>
          <w:tcPr>
            <w:tcW w:w="1020" w:type="dxa"/>
            <w:shd w:val="clear" w:color="auto" w:fill="auto"/>
            <w:tcMar>
              <w:top w:w="113" w:type="dxa"/>
              <w:left w:w="113" w:type="dxa"/>
              <w:bottom w:w="113" w:type="dxa"/>
              <w:right w:w="113" w:type="dxa"/>
            </w:tcMar>
          </w:tcPr>
          <w:p w14:paraId="56469628" w14:textId="77777777" w:rsidR="00BB2B23" w:rsidRPr="002C06E4" w:rsidRDefault="00BB2B23" w:rsidP="00F5693B">
            <w:pPr>
              <w:pStyle w:val="Tablesmalltext"/>
              <w:jc w:val="center"/>
              <w:rPr>
                <w:color w:val="auto"/>
              </w:rPr>
            </w:pPr>
            <w:r w:rsidRPr="002C06E4">
              <w:rPr>
                <w:color w:val="auto"/>
              </w:rPr>
              <w:t>83,186</w:t>
            </w:r>
          </w:p>
        </w:tc>
      </w:tr>
      <w:tr w:rsidR="00BB2B23" w:rsidRPr="002C06E4" w14:paraId="56469633" w14:textId="77777777" w:rsidTr="002C06E4">
        <w:trPr>
          <w:trHeight w:val="210"/>
        </w:trPr>
        <w:tc>
          <w:tcPr>
            <w:tcW w:w="1361" w:type="dxa"/>
            <w:shd w:val="clear" w:color="auto" w:fill="auto"/>
            <w:tcMar>
              <w:top w:w="113" w:type="dxa"/>
              <w:left w:w="113" w:type="dxa"/>
              <w:bottom w:w="113" w:type="dxa"/>
              <w:right w:w="113" w:type="dxa"/>
            </w:tcMar>
          </w:tcPr>
          <w:p w14:paraId="5646962A" w14:textId="77777777" w:rsidR="00BB2B23" w:rsidRPr="002C06E4" w:rsidRDefault="00BB2B23" w:rsidP="00F5693B">
            <w:pPr>
              <w:pStyle w:val="Tablesmalltext"/>
              <w:rPr>
                <w:color w:val="auto"/>
              </w:rPr>
            </w:pPr>
            <w:r w:rsidRPr="002C06E4">
              <w:rPr>
                <w:rStyle w:val="TextBold"/>
                <w:color w:val="auto"/>
              </w:rPr>
              <w:t>Transitional cost</w:t>
            </w:r>
          </w:p>
        </w:tc>
        <w:tc>
          <w:tcPr>
            <w:tcW w:w="1176" w:type="dxa"/>
            <w:shd w:val="clear" w:color="auto" w:fill="auto"/>
            <w:tcMar>
              <w:top w:w="113" w:type="dxa"/>
              <w:left w:w="113" w:type="dxa"/>
              <w:bottom w:w="113" w:type="dxa"/>
              <w:right w:w="113" w:type="dxa"/>
            </w:tcMar>
          </w:tcPr>
          <w:p w14:paraId="5646962B" w14:textId="77777777" w:rsidR="00BB2B23" w:rsidRPr="002C06E4" w:rsidRDefault="00BB2B23" w:rsidP="00F5693B">
            <w:pPr>
              <w:pStyle w:val="Tablesmalltext"/>
              <w:rPr>
                <w:color w:val="auto"/>
              </w:rPr>
            </w:pPr>
            <w:r w:rsidRPr="002C06E4">
              <w:rPr>
                <w:color w:val="auto"/>
              </w:rPr>
              <w:t>Australian Government</w:t>
            </w:r>
          </w:p>
        </w:tc>
        <w:tc>
          <w:tcPr>
            <w:tcW w:w="694" w:type="dxa"/>
            <w:shd w:val="clear" w:color="auto" w:fill="auto"/>
            <w:tcMar>
              <w:top w:w="113" w:type="dxa"/>
              <w:left w:w="113" w:type="dxa"/>
              <w:bottom w:w="113" w:type="dxa"/>
              <w:right w:w="113" w:type="dxa"/>
            </w:tcMar>
          </w:tcPr>
          <w:p w14:paraId="5646962C" w14:textId="77777777" w:rsidR="00BB2B23" w:rsidRPr="002C06E4" w:rsidRDefault="00BB2B23" w:rsidP="00F5693B">
            <w:pPr>
              <w:pStyle w:val="Tablesmalltext"/>
              <w:jc w:val="center"/>
              <w:rPr>
                <w:color w:val="auto"/>
              </w:rPr>
            </w:pPr>
            <w:r w:rsidRPr="002C06E4">
              <w:rPr>
                <w:color w:val="auto"/>
              </w:rPr>
              <w:t>$000s</w:t>
            </w:r>
          </w:p>
        </w:tc>
        <w:tc>
          <w:tcPr>
            <w:tcW w:w="1021" w:type="dxa"/>
            <w:shd w:val="clear" w:color="auto" w:fill="auto"/>
            <w:tcMar>
              <w:top w:w="113" w:type="dxa"/>
              <w:left w:w="113" w:type="dxa"/>
              <w:bottom w:w="113" w:type="dxa"/>
              <w:right w:w="113" w:type="dxa"/>
            </w:tcMar>
          </w:tcPr>
          <w:p w14:paraId="5646962D" w14:textId="77777777" w:rsidR="00BB2B23" w:rsidRPr="002C06E4" w:rsidRDefault="00BB2B23" w:rsidP="00F5693B">
            <w:pPr>
              <w:pStyle w:val="Tablesmalltext"/>
              <w:jc w:val="center"/>
              <w:rPr>
                <w:color w:val="auto"/>
              </w:rPr>
            </w:pPr>
            <w:r w:rsidRPr="002C06E4">
              <w:rPr>
                <w:color w:val="auto"/>
              </w:rPr>
              <w:t>978</w:t>
            </w:r>
          </w:p>
        </w:tc>
        <w:tc>
          <w:tcPr>
            <w:tcW w:w="1020" w:type="dxa"/>
            <w:shd w:val="clear" w:color="auto" w:fill="auto"/>
            <w:tcMar>
              <w:top w:w="113" w:type="dxa"/>
              <w:left w:w="113" w:type="dxa"/>
              <w:bottom w:w="113" w:type="dxa"/>
              <w:right w:w="113" w:type="dxa"/>
            </w:tcMar>
          </w:tcPr>
          <w:p w14:paraId="5646962E" w14:textId="77777777" w:rsidR="00BB2B23" w:rsidRPr="002C06E4" w:rsidRDefault="00BB2B23" w:rsidP="00F5693B">
            <w:pPr>
              <w:pStyle w:val="Tablesmalltext"/>
              <w:jc w:val="center"/>
              <w:rPr>
                <w:color w:val="auto"/>
              </w:rPr>
            </w:pPr>
            <w:r w:rsidRPr="002C06E4">
              <w:rPr>
                <w:color w:val="auto"/>
              </w:rPr>
              <w:t>978</w:t>
            </w:r>
          </w:p>
        </w:tc>
        <w:tc>
          <w:tcPr>
            <w:tcW w:w="1021" w:type="dxa"/>
            <w:shd w:val="clear" w:color="auto" w:fill="auto"/>
            <w:tcMar>
              <w:top w:w="113" w:type="dxa"/>
              <w:left w:w="113" w:type="dxa"/>
              <w:bottom w:w="113" w:type="dxa"/>
              <w:right w:w="113" w:type="dxa"/>
            </w:tcMar>
          </w:tcPr>
          <w:p w14:paraId="5646962F" w14:textId="77777777" w:rsidR="00BB2B23" w:rsidRPr="002C06E4" w:rsidRDefault="00BB2B23" w:rsidP="00F5693B">
            <w:pPr>
              <w:pStyle w:val="Tablesmalltext"/>
              <w:jc w:val="center"/>
              <w:rPr>
                <w:color w:val="auto"/>
              </w:rPr>
            </w:pPr>
            <w:r w:rsidRPr="002C06E4">
              <w:rPr>
                <w:color w:val="auto"/>
              </w:rPr>
              <w:t>1207</w:t>
            </w:r>
          </w:p>
        </w:tc>
        <w:tc>
          <w:tcPr>
            <w:tcW w:w="1020" w:type="dxa"/>
            <w:shd w:val="clear" w:color="auto" w:fill="auto"/>
            <w:tcMar>
              <w:top w:w="113" w:type="dxa"/>
              <w:left w:w="113" w:type="dxa"/>
              <w:bottom w:w="113" w:type="dxa"/>
              <w:right w:w="113" w:type="dxa"/>
            </w:tcMar>
          </w:tcPr>
          <w:p w14:paraId="56469630" w14:textId="77777777" w:rsidR="00BB2B23" w:rsidRPr="002C06E4" w:rsidRDefault="00BB2B23" w:rsidP="00F5693B">
            <w:pPr>
              <w:pStyle w:val="Tablesmalltext"/>
              <w:jc w:val="center"/>
              <w:rPr>
                <w:color w:val="auto"/>
              </w:rPr>
            </w:pPr>
            <w:r w:rsidRPr="002C06E4">
              <w:rPr>
                <w:color w:val="auto"/>
              </w:rPr>
              <w:t>1207</w:t>
            </w:r>
          </w:p>
        </w:tc>
        <w:tc>
          <w:tcPr>
            <w:tcW w:w="1021" w:type="dxa"/>
            <w:shd w:val="clear" w:color="auto" w:fill="auto"/>
            <w:tcMar>
              <w:top w:w="113" w:type="dxa"/>
              <w:left w:w="113" w:type="dxa"/>
              <w:bottom w:w="113" w:type="dxa"/>
              <w:right w:w="113" w:type="dxa"/>
            </w:tcMar>
          </w:tcPr>
          <w:p w14:paraId="56469631" w14:textId="77777777" w:rsidR="00BB2B23" w:rsidRPr="002C06E4" w:rsidRDefault="00BB2B23" w:rsidP="00F5693B">
            <w:pPr>
              <w:pStyle w:val="Tablesmalltext"/>
              <w:jc w:val="center"/>
              <w:rPr>
                <w:color w:val="auto"/>
              </w:rPr>
            </w:pPr>
            <w:r w:rsidRPr="002C06E4">
              <w:rPr>
                <w:color w:val="auto"/>
              </w:rPr>
              <w:t>2185</w:t>
            </w:r>
          </w:p>
        </w:tc>
        <w:tc>
          <w:tcPr>
            <w:tcW w:w="1020" w:type="dxa"/>
            <w:shd w:val="clear" w:color="auto" w:fill="auto"/>
            <w:tcMar>
              <w:top w:w="113" w:type="dxa"/>
              <w:left w:w="113" w:type="dxa"/>
              <w:bottom w:w="113" w:type="dxa"/>
              <w:right w:w="113" w:type="dxa"/>
            </w:tcMar>
          </w:tcPr>
          <w:p w14:paraId="56469632" w14:textId="77777777" w:rsidR="00BB2B23" w:rsidRPr="002C06E4" w:rsidRDefault="00BB2B23" w:rsidP="00F5693B">
            <w:pPr>
              <w:pStyle w:val="Tablesmalltext"/>
              <w:jc w:val="center"/>
              <w:rPr>
                <w:color w:val="auto"/>
              </w:rPr>
            </w:pPr>
            <w:r w:rsidRPr="002C06E4">
              <w:rPr>
                <w:color w:val="auto"/>
              </w:rPr>
              <w:t>2185</w:t>
            </w:r>
          </w:p>
        </w:tc>
      </w:tr>
      <w:tr w:rsidR="00BB2B23" w:rsidRPr="002C06E4" w14:paraId="5646963D" w14:textId="77777777" w:rsidTr="002C06E4">
        <w:trPr>
          <w:trHeight w:val="210"/>
        </w:trPr>
        <w:tc>
          <w:tcPr>
            <w:tcW w:w="1361" w:type="dxa"/>
            <w:shd w:val="clear" w:color="auto" w:fill="auto"/>
            <w:tcMar>
              <w:top w:w="113" w:type="dxa"/>
              <w:left w:w="113" w:type="dxa"/>
              <w:bottom w:w="113" w:type="dxa"/>
              <w:right w:w="113" w:type="dxa"/>
            </w:tcMar>
          </w:tcPr>
          <w:p w14:paraId="56469634" w14:textId="77777777" w:rsidR="00BB2B23" w:rsidRPr="002C06E4" w:rsidRDefault="00BB2B23" w:rsidP="00F5693B">
            <w:pPr>
              <w:pStyle w:val="Tablesmalltext"/>
              <w:rPr>
                <w:color w:val="auto"/>
              </w:rPr>
            </w:pPr>
            <w:r w:rsidRPr="002C06E4">
              <w:rPr>
                <w:rStyle w:val="TextBold"/>
                <w:color w:val="auto"/>
              </w:rPr>
              <w:t>Administrative cost</w:t>
            </w:r>
          </w:p>
        </w:tc>
        <w:tc>
          <w:tcPr>
            <w:tcW w:w="1176" w:type="dxa"/>
            <w:shd w:val="clear" w:color="auto" w:fill="auto"/>
            <w:tcMar>
              <w:top w:w="113" w:type="dxa"/>
              <w:left w:w="113" w:type="dxa"/>
              <w:bottom w:w="113" w:type="dxa"/>
              <w:right w:w="113" w:type="dxa"/>
            </w:tcMar>
          </w:tcPr>
          <w:p w14:paraId="56469635" w14:textId="77777777" w:rsidR="00BB2B23" w:rsidRPr="002C06E4" w:rsidRDefault="00BB2B23" w:rsidP="00F5693B">
            <w:pPr>
              <w:pStyle w:val="Tablesmalltext"/>
              <w:rPr>
                <w:color w:val="auto"/>
              </w:rPr>
            </w:pPr>
            <w:r w:rsidRPr="002C06E4">
              <w:rPr>
                <w:color w:val="auto"/>
              </w:rPr>
              <w:t>Australian Government</w:t>
            </w:r>
          </w:p>
        </w:tc>
        <w:tc>
          <w:tcPr>
            <w:tcW w:w="694" w:type="dxa"/>
            <w:shd w:val="clear" w:color="auto" w:fill="auto"/>
            <w:tcMar>
              <w:top w:w="113" w:type="dxa"/>
              <w:left w:w="113" w:type="dxa"/>
              <w:bottom w:w="113" w:type="dxa"/>
              <w:right w:w="113" w:type="dxa"/>
            </w:tcMar>
          </w:tcPr>
          <w:p w14:paraId="56469636" w14:textId="77777777" w:rsidR="00BB2B23" w:rsidRPr="002C06E4" w:rsidRDefault="00BB2B23" w:rsidP="00F5693B">
            <w:pPr>
              <w:pStyle w:val="Tablesmalltext"/>
              <w:jc w:val="center"/>
              <w:rPr>
                <w:color w:val="auto"/>
              </w:rPr>
            </w:pPr>
            <w:r w:rsidRPr="002C06E4">
              <w:rPr>
                <w:color w:val="auto"/>
              </w:rPr>
              <w:t>$000s</w:t>
            </w:r>
          </w:p>
        </w:tc>
        <w:tc>
          <w:tcPr>
            <w:tcW w:w="1021" w:type="dxa"/>
            <w:shd w:val="clear" w:color="auto" w:fill="auto"/>
            <w:tcMar>
              <w:top w:w="113" w:type="dxa"/>
              <w:left w:w="113" w:type="dxa"/>
              <w:bottom w:w="113" w:type="dxa"/>
              <w:right w:w="113" w:type="dxa"/>
            </w:tcMar>
          </w:tcPr>
          <w:p w14:paraId="56469637" w14:textId="77777777" w:rsidR="00BB2B23" w:rsidRPr="002C06E4" w:rsidRDefault="00BB2B23" w:rsidP="00F5693B">
            <w:pPr>
              <w:pStyle w:val="Tablesmalltext"/>
              <w:jc w:val="center"/>
              <w:rPr>
                <w:color w:val="auto"/>
              </w:rPr>
            </w:pPr>
            <w:r w:rsidRPr="002C06E4">
              <w:rPr>
                <w:color w:val="auto"/>
              </w:rPr>
              <w:t>0</w:t>
            </w:r>
          </w:p>
        </w:tc>
        <w:tc>
          <w:tcPr>
            <w:tcW w:w="1020" w:type="dxa"/>
            <w:shd w:val="clear" w:color="auto" w:fill="auto"/>
            <w:tcMar>
              <w:top w:w="113" w:type="dxa"/>
              <w:left w:w="113" w:type="dxa"/>
              <w:bottom w:w="113" w:type="dxa"/>
              <w:right w:w="113" w:type="dxa"/>
            </w:tcMar>
          </w:tcPr>
          <w:p w14:paraId="56469638" w14:textId="77777777" w:rsidR="00BB2B23" w:rsidRPr="002C06E4" w:rsidRDefault="00BB2B23" w:rsidP="00F5693B">
            <w:pPr>
              <w:pStyle w:val="Tablesmalltext"/>
              <w:jc w:val="center"/>
              <w:rPr>
                <w:color w:val="auto"/>
              </w:rPr>
            </w:pPr>
            <w:r w:rsidRPr="002C06E4">
              <w:rPr>
                <w:color w:val="auto"/>
              </w:rPr>
              <w:t>826</w:t>
            </w:r>
          </w:p>
        </w:tc>
        <w:tc>
          <w:tcPr>
            <w:tcW w:w="1021" w:type="dxa"/>
            <w:shd w:val="clear" w:color="auto" w:fill="auto"/>
            <w:tcMar>
              <w:top w:w="113" w:type="dxa"/>
              <w:left w:w="113" w:type="dxa"/>
              <w:bottom w:w="113" w:type="dxa"/>
              <w:right w:w="113" w:type="dxa"/>
            </w:tcMar>
          </w:tcPr>
          <w:p w14:paraId="56469639" w14:textId="77777777" w:rsidR="00BB2B23" w:rsidRPr="002C06E4" w:rsidRDefault="00BB2B23" w:rsidP="00F5693B">
            <w:pPr>
              <w:pStyle w:val="Tablesmalltext"/>
              <w:jc w:val="center"/>
              <w:rPr>
                <w:color w:val="auto"/>
              </w:rPr>
            </w:pPr>
            <w:r w:rsidRPr="002C06E4">
              <w:rPr>
                <w:color w:val="auto"/>
              </w:rPr>
              <w:t>378</w:t>
            </w:r>
          </w:p>
        </w:tc>
        <w:tc>
          <w:tcPr>
            <w:tcW w:w="1020" w:type="dxa"/>
            <w:shd w:val="clear" w:color="auto" w:fill="auto"/>
            <w:tcMar>
              <w:top w:w="113" w:type="dxa"/>
              <w:left w:w="113" w:type="dxa"/>
              <w:bottom w:w="113" w:type="dxa"/>
              <w:right w:w="113" w:type="dxa"/>
            </w:tcMar>
          </w:tcPr>
          <w:p w14:paraId="5646963A" w14:textId="77777777" w:rsidR="00BB2B23" w:rsidRPr="002C06E4" w:rsidRDefault="00BB2B23" w:rsidP="00F5693B">
            <w:pPr>
              <w:pStyle w:val="Tablesmalltext"/>
              <w:jc w:val="center"/>
              <w:rPr>
                <w:color w:val="auto"/>
              </w:rPr>
            </w:pPr>
            <w:r w:rsidRPr="002C06E4">
              <w:rPr>
                <w:color w:val="auto"/>
              </w:rPr>
              <w:t>1204</w:t>
            </w:r>
          </w:p>
        </w:tc>
        <w:tc>
          <w:tcPr>
            <w:tcW w:w="1021" w:type="dxa"/>
            <w:shd w:val="clear" w:color="auto" w:fill="auto"/>
            <w:tcMar>
              <w:top w:w="113" w:type="dxa"/>
              <w:left w:w="113" w:type="dxa"/>
              <w:bottom w:w="113" w:type="dxa"/>
              <w:right w:w="113" w:type="dxa"/>
            </w:tcMar>
          </w:tcPr>
          <w:p w14:paraId="5646963B" w14:textId="77777777" w:rsidR="00BB2B23" w:rsidRPr="002C06E4" w:rsidRDefault="00BB2B23" w:rsidP="00F5693B">
            <w:pPr>
              <w:pStyle w:val="Tablesmalltext"/>
              <w:jc w:val="center"/>
              <w:rPr>
                <w:color w:val="auto"/>
              </w:rPr>
            </w:pPr>
            <w:r w:rsidRPr="002C06E4">
              <w:rPr>
                <w:color w:val="auto"/>
              </w:rPr>
              <w:t>378</w:t>
            </w:r>
          </w:p>
        </w:tc>
        <w:tc>
          <w:tcPr>
            <w:tcW w:w="1020" w:type="dxa"/>
            <w:shd w:val="clear" w:color="auto" w:fill="auto"/>
            <w:tcMar>
              <w:top w:w="113" w:type="dxa"/>
              <w:left w:w="113" w:type="dxa"/>
              <w:bottom w:w="113" w:type="dxa"/>
              <w:right w:w="113" w:type="dxa"/>
            </w:tcMar>
          </w:tcPr>
          <w:p w14:paraId="5646963C" w14:textId="77777777" w:rsidR="00BB2B23" w:rsidRPr="002C06E4" w:rsidRDefault="00BB2B23" w:rsidP="00F5693B">
            <w:pPr>
              <w:pStyle w:val="Tablesmalltext"/>
              <w:jc w:val="center"/>
              <w:rPr>
                <w:color w:val="auto"/>
              </w:rPr>
            </w:pPr>
            <w:r w:rsidRPr="002C06E4">
              <w:rPr>
                <w:color w:val="auto"/>
              </w:rPr>
              <w:t>2031</w:t>
            </w:r>
          </w:p>
        </w:tc>
      </w:tr>
      <w:tr w:rsidR="00BB2B23" w:rsidRPr="002C06E4" w14:paraId="56469646" w14:textId="77777777" w:rsidTr="002C06E4">
        <w:trPr>
          <w:trHeight w:val="313"/>
        </w:trPr>
        <w:tc>
          <w:tcPr>
            <w:tcW w:w="2537" w:type="dxa"/>
            <w:gridSpan w:val="2"/>
            <w:shd w:val="clear" w:color="auto" w:fill="auto"/>
            <w:tcMar>
              <w:top w:w="113" w:type="dxa"/>
              <w:left w:w="113" w:type="dxa"/>
              <w:bottom w:w="113" w:type="dxa"/>
              <w:right w:w="113" w:type="dxa"/>
            </w:tcMar>
          </w:tcPr>
          <w:p w14:paraId="5646963E" w14:textId="77777777" w:rsidR="00BB2B23" w:rsidRPr="002C06E4" w:rsidRDefault="00BB2B23" w:rsidP="00F5693B">
            <w:pPr>
              <w:pStyle w:val="Tablesmalltext"/>
              <w:rPr>
                <w:color w:val="auto"/>
              </w:rPr>
            </w:pPr>
            <w:r w:rsidRPr="002C06E4">
              <w:rPr>
                <w:rStyle w:val="TextBold"/>
                <w:color w:val="auto"/>
              </w:rPr>
              <w:t>Total costs</w:t>
            </w:r>
          </w:p>
        </w:tc>
        <w:tc>
          <w:tcPr>
            <w:tcW w:w="694" w:type="dxa"/>
            <w:shd w:val="clear" w:color="auto" w:fill="auto"/>
            <w:tcMar>
              <w:top w:w="113" w:type="dxa"/>
              <w:left w:w="113" w:type="dxa"/>
              <w:bottom w:w="113" w:type="dxa"/>
              <w:right w:w="113" w:type="dxa"/>
            </w:tcMar>
          </w:tcPr>
          <w:p w14:paraId="5646963F" w14:textId="77777777" w:rsidR="00BB2B23" w:rsidRPr="002C06E4" w:rsidRDefault="00BB2B23" w:rsidP="00F5693B">
            <w:pPr>
              <w:pStyle w:val="Tablesmalltext"/>
              <w:jc w:val="center"/>
              <w:rPr>
                <w:color w:val="auto"/>
              </w:rPr>
            </w:pPr>
            <w:r w:rsidRPr="002C06E4">
              <w:rPr>
                <w:rStyle w:val="TextBold"/>
                <w:color w:val="auto"/>
              </w:rPr>
              <w:t>$000s</w:t>
            </w:r>
          </w:p>
        </w:tc>
        <w:tc>
          <w:tcPr>
            <w:tcW w:w="1021" w:type="dxa"/>
            <w:shd w:val="clear" w:color="auto" w:fill="auto"/>
            <w:tcMar>
              <w:top w:w="113" w:type="dxa"/>
              <w:left w:w="113" w:type="dxa"/>
              <w:bottom w:w="113" w:type="dxa"/>
              <w:right w:w="113" w:type="dxa"/>
            </w:tcMar>
          </w:tcPr>
          <w:p w14:paraId="56469640" w14:textId="77777777" w:rsidR="00BB2B23" w:rsidRPr="002C06E4" w:rsidRDefault="00BB2B23" w:rsidP="00F5693B">
            <w:pPr>
              <w:pStyle w:val="Tablesmalltext"/>
              <w:jc w:val="center"/>
              <w:rPr>
                <w:color w:val="auto"/>
              </w:rPr>
            </w:pPr>
            <w:r w:rsidRPr="002C06E4">
              <w:rPr>
                <w:rStyle w:val="TextBold"/>
                <w:color w:val="auto"/>
              </w:rPr>
              <w:t>988</w:t>
            </w:r>
          </w:p>
        </w:tc>
        <w:tc>
          <w:tcPr>
            <w:tcW w:w="1020" w:type="dxa"/>
            <w:shd w:val="clear" w:color="auto" w:fill="auto"/>
            <w:tcMar>
              <w:top w:w="113" w:type="dxa"/>
              <w:left w:w="113" w:type="dxa"/>
              <w:bottom w:w="113" w:type="dxa"/>
              <w:right w:w="113" w:type="dxa"/>
            </w:tcMar>
          </w:tcPr>
          <w:p w14:paraId="56469641" w14:textId="77777777" w:rsidR="00BB2B23" w:rsidRPr="002C06E4" w:rsidRDefault="00BB2B23" w:rsidP="00F5693B">
            <w:pPr>
              <w:pStyle w:val="Tablesmalltext"/>
              <w:jc w:val="center"/>
              <w:rPr>
                <w:color w:val="auto"/>
              </w:rPr>
            </w:pPr>
            <w:r w:rsidRPr="002C06E4">
              <w:rPr>
                <w:rStyle w:val="TextBold"/>
                <w:color w:val="auto"/>
              </w:rPr>
              <w:t>2217</w:t>
            </w:r>
          </w:p>
        </w:tc>
        <w:tc>
          <w:tcPr>
            <w:tcW w:w="1021" w:type="dxa"/>
            <w:shd w:val="clear" w:color="auto" w:fill="auto"/>
            <w:tcMar>
              <w:top w:w="113" w:type="dxa"/>
              <w:left w:w="113" w:type="dxa"/>
              <w:bottom w:w="113" w:type="dxa"/>
              <w:right w:w="113" w:type="dxa"/>
            </w:tcMar>
          </w:tcPr>
          <w:p w14:paraId="56469642" w14:textId="77777777" w:rsidR="00BB2B23" w:rsidRPr="002C06E4" w:rsidRDefault="00BB2B23" w:rsidP="00F5693B">
            <w:pPr>
              <w:pStyle w:val="Tablesmalltext"/>
              <w:jc w:val="center"/>
              <w:rPr>
                <w:color w:val="auto"/>
              </w:rPr>
            </w:pPr>
            <w:r w:rsidRPr="002C06E4">
              <w:rPr>
                <w:rStyle w:val="TextBold"/>
                <w:color w:val="auto"/>
              </w:rPr>
              <w:t>112,098</w:t>
            </w:r>
          </w:p>
        </w:tc>
        <w:tc>
          <w:tcPr>
            <w:tcW w:w="1020" w:type="dxa"/>
            <w:shd w:val="clear" w:color="auto" w:fill="auto"/>
            <w:tcMar>
              <w:top w:w="113" w:type="dxa"/>
              <w:left w:w="113" w:type="dxa"/>
              <w:bottom w:w="113" w:type="dxa"/>
              <w:right w:w="113" w:type="dxa"/>
            </w:tcMar>
          </w:tcPr>
          <w:p w14:paraId="56469643" w14:textId="77777777" w:rsidR="00BB2B23" w:rsidRPr="002C06E4" w:rsidRDefault="00BB2B23" w:rsidP="00F5693B">
            <w:pPr>
              <w:pStyle w:val="Tablesmalltext"/>
              <w:jc w:val="center"/>
              <w:rPr>
                <w:color w:val="auto"/>
              </w:rPr>
            </w:pPr>
            <w:r w:rsidRPr="002C06E4">
              <w:rPr>
                <w:rStyle w:val="TextBold"/>
                <w:color w:val="auto"/>
              </w:rPr>
              <w:t>222,590</w:t>
            </w:r>
          </w:p>
        </w:tc>
        <w:tc>
          <w:tcPr>
            <w:tcW w:w="1021" w:type="dxa"/>
            <w:shd w:val="clear" w:color="auto" w:fill="auto"/>
            <w:tcMar>
              <w:top w:w="113" w:type="dxa"/>
              <w:left w:w="113" w:type="dxa"/>
              <w:bottom w:w="113" w:type="dxa"/>
              <w:right w:w="113" w:type="dxa"/>
            </w:tcMar>
          </w:tcPr>
          <w:p w14:paraId="56469644" w14:textId="77777777" w:rsidR="00BB2B23" w:rsidRPr="002C06E4" w:rsidRDefault="00BB2B23" w:rsidP="00F5693B">
            <w:pPr>
              <w:pStyle w:val="Tablesmalltext"/>
              <w:jc w:val="center"/>
              <w:rPr>
                <w:color w:val="auto"/>
              </w:rPr>
            </w:pPr>
            <w:r w:rsidRPr="002C06E4">
              <w:rPr>
                <w:rStyle w:val="TextBold"/>
                <w:color w:val="auto"/>
              </w:rPr>
              <w:t>113,086</w:t>
            </w:r>
          </w:p>
        </w:tc>
        <w:tc>
          <w:tcPr>
            <w:tcW w:w="1020" w:type="dxa"/>
            <w:shd w:val="clear" w:color="auto" w:fill="auto"/>
            <w:tcMar>
              <w:top w:w="113" w:type="dxa"/>
              <w:left w:w="113" w:type="dxa"/>
              <w:bottom w:w="113" w:type="dxa"/>
              <w:right w:w="113" w:type="dxa"/>
            </w:tcMar>
          </w:tcPr>
          <w:p w14:paraId="56469645" w14:textId="77777777" w:rsidR="00BB2B23" w:rsidRPr="002C06E4" w:rsidRDefault="00BB2B23" w:rsidP="00F5693B">
            <w:pPr>
              <w:pStyle w:val="Tablesmalltext"/>
              <w:jc w:val="center"/>
              <w:rPr>
                <w:color w:val="auto"/>
              </w:rPr>
            </w:pPr>
            <w:r w:rsidRPr="002C06E4">
              <w:rPr>
                <w:rStyle w:val="TextBold"/>
                <w:color w:val="auto"/>
              </w:rPr>
              <w:t>224,807</w:t>
            </w:r>
          </w:p>
        </w:tc>
      </w:tr>
      <w:tr w:rsidR="00BB2B23" w:rsidRPr="002C06E4" w14:paraId="5646964F" w14:textId="77777777" w:rsidTr="002C06E4">
        <w:trPr>
          <w:trHeight w:val="210"/>
        </w:trPr>
        <w:tc>
          <w:tcPr>
            <w:tcW w:w="2537" w:type="dxa"/>
            <w:gridSpan w:val="2"/>
            <w:shd w:val="clear" w:color="auto" w:fill="auto"/>
            <w:tcMar>
              <w:top w:w="113" w:type="dxa"/>
              <w:left w:w="113" w:type="dxa"/>
              <w:bottom w:w="113" w:type="dxa"/>
              <w:right w:w="113" w:type="dxa"/>
            </w:tcMar>
          </w:tcPr>
          <w:p w14:paraId="56469647" w14:textId="77777777" w:rsidR="00BB2B23" w:rsidRPr="002C06E4" w:rsidRDefault="00BB2B23" w:rsidP="00F5693B">
            <w:pPr>
              <w:pStyle w:val="Tablesmalltext"/>
              <w:rPr>
                <w:color w:val="auto"/>
              </w:rPr>
            </w:pPr>
            <w:r w:rsidRPr="002C06E4">
              <w:rPr>
                <w:rStyle w:val="TextBold"/>
                <w:color w:val="auto"/>
              </w:rPr>
              <w:t>Benefit to cost ratio</w:t>
            </w:r>
          </w:p>
        </w:tc>
        <w:tc>
          <w:tcPr>
            <w:tcW w:w="694" w:type="dxa"/>
            <w:shd w:val="clear" w:color="auto" w:fill="auto"/>
            <w:tcMar>
              <w:top w:w="113" w:type="dxa"/>
              <w:left w:w="113" w:type="dxa"/>
              <w:bottom w:w="113" w:type="dxa"/>
              <w:right w:w="113" w:type="dxa"/>
            </w:tcMar>
          </w:tcPr>
          <w:p w14:paraId="56469648" w14:textId="77777777" w:rsidR="00BB2B23" w:rsidRPr="002C06E4" w:rsidRDefault="00BB2B23" w:rsidP="00F5693B">
            <w:pPr>
              <w:pStyle w:val="Tablesmalltext"/>
              <w:jc w:val="center"/>
              <w:rPr>
                <w:color w:val="auto"/>
              </w:rPr>
            </w:pPr>
            <w:r w:rsidRPr="002C06E4">
              <w:rPr>
                <w:rStyle w:val="TextBold"/>
                <w:color w:val="auto"/>
              </w:rPr>
              <w:t>ratio</w:t>
            </w:r>
          </w:p>
        </w:tc>
        <w:tc>
          <w:tcPr>
            <w:tcW w:w="1021" w:type="dxa"/>
            <w:shd w:val="clear" w:color="auto" w:fill="auto"/>
            <w:tcMar>
              <w:top w:w="113" w:type="dxa"/>
              <w:left w:w="113" w:type="dxa"/>
              <w:bottom w:w="113" w:type="dxa"/>
              <w:right w:w="113" w:type="dxa"/>
            </w:tcMar>
          </w:tcPr>
          <w:p w14:paraId="56469649" w14:textId="77777777" w:rsidR="00BB2B23" w:rsidRPr="002C06E4" w:rsidRDefault="00BB2B23" w:rsidP="00F5693B">
            <w:pPr>
              <w:pStyle w:val="Tablesmalltext"/>
              <w:jc w:val="center"/>
              <w:rPr>
                <w:color w:val="auto"/>
              </w:rPr>
            </w:pPr>
            <w:r w:rsidRPr="002C06E4">
              <w:rPr>
                <w:rStyle w:val="TextBold"/>
                <w:color w:val="auto"/>
              </w:rPr>
              <w:t>0.7</w:t>
            </w:r>
          </w:p>
        </w:tc>
        <w:tc>
          <w:tcPr>
            <w:tcW w:w="1020" w:type="dxa"/>
            <w:shd w:val="clear" w:color="auto" w:fill="auto"/>
            <w:tcMar>
              <w:top w:w="113" w:type="dxa"/>
              <w:left w:w="113" w:type="dxa"/>
              <w:bottom w:w="113" w:type="dxa"/>
              <w:right w:w="113" w:type="dxa"/>
            </w:tcMar>
          </w:tcPr>
          <w:p w14:paraId="5646964A" w14:textId="77777777" w:rsidR="00BB2B23" w:rsidRPr="002C06E4" w:rsidRDefault="00BB2B23" w:rsidP="00F5693B">
            <w:pPr>
              <w:pStyle w:val="Tablesmalltext"/>
              <w:jc w:val="center"/>
              <w:rPr>
                <w:color w:val="auto"/>
              </w:rPr>
            </w:pPr>
            <w:r w:rsidRPr="002C06E4">
              <w:rPr>
                <w:rStyle w:val="TextBold"/>
                <w:color w:val="auto"/>
              </w:rPr>
              <w:t>2.7</w:t>
            </w:r>
          </w:p>
        </w:tc>
        <w:tc>
          <w:tcPr>
            <w:tcW w:w="1021" w:type="dxa"/>
            <w:shd w:val="clear" w:color="auto" w:fill="auto"/>
            <w:tcMar>
              <w:top w:w="113" w:type="dxa"/>
              <w:left w:w="113" w:type="dxa"/>
              <w:bottom w:w="113" w:type="dxa"/>
              <w:right w:w="113" w:type="dxa"/>
            </w:tcMar>
          </w:tcPr>
          <w:p w14:paraId="5646964B" w14:textId="77777777" w:rsidR="00BB2B23" w:rsidRPr="002C06E4" w:rsidRDefault="00BB2B23" w:rsidP="00F5693B">
            <w:pPr>
              <w:pStyle w:val="Tablesmalltext"/>
              <w:jc w:val="center"/>
              <w:rPr>
                <w:color w:val="auto"/>
              </w:rPr>
            </w:pPr>
            <w:r w:rsidRPr="002C06E4">
              <w:rPr>
                <w:rStyle w:val="TextBold"/>
                <w:color w:val="auto"/>
              </w:rPr>
              <w:t>0.1</w:t>
            </w:r>
          </w:p>
        </w:tc>
        <w:tc>
          <w:tcPr>
            <w:tcW w:w="1020" w:type="dxa"/>
            <w:shd w:val="clear" w:color="auto" w:fill="auto"/>
            <w:tcMar>
              <w:top w:w="113" w:type="dxa"/>
              <w:left w:w="113" w:type="dxa"/>
              <w:bottom w:w="113" w:type="dxa"/>
              <w:right w:w="113" w:type="dxa"/>
            </w:tcMar>
          </w:tcPr>
          <w:p w14:paraId="5646964C" w14:textId="77777777" w:rsidR="00BB2B23" w:rsidRPr="002C06E4" w:rsidRDefault="00BB2B23" w:rsidP="00F5693B">
            <w:pPr>
              <w:pStyle w:val="Tablesmalltext"/>
              <w:jc w:val="center"/>
              <w:rPr>
                <w:color w:val="auto"/>
              </w:rPr>
            </w:pPr>
            <w:r w:rsidRPr="002C06E4">
              <w:rPr>
                <w:rStyle w:val="TextBold"/>
                <w:color w:val="auto"/>
              </w:rPr>
              <w:t>0.2</w:t>
            </w:r>
          </w:p>
        </w:tc>
        <w:tc>
          <w:tcPr>
            <w:tcW w:w="1021" w:type="dxa"/>
            <w:shd w:val="clear" w:color="auto" w:fill="auto"/>
            <w:tcMar>
              <w:top w:w="113" w:type="dxa"/>
              <w:left w:w="113" w:type="dxa"/>
              <w:bottom w:w="113" w:type="dxa"/>
              <w:right w:w="113" w:type="dxa"/>
            </w:tcMar>
          </w:tcPr>
          <w:p w14:paraId="5646964D" w14:textId="77777777" w:rsidR="00BB2B23" w:rsidRPr="002C06E4" w:rsidRDefault="00BB2B23" w:rsidP="00F5693B">
            <w:pPr>
              <w:pStyle w:val="Tablesmalltext"/>
              <w:jc w:val="center"/>
              <w:rPr>
                <w:color w:val="auto"/>
              </w:rPr>
            </w:pPr>
            <w:r w:rsidRPr="002C06E4">
              <w:rPr>
                <w:rStyle w:val="TextBold"/>
                <w:color w:val="auto"/>
              </w:rPr>
              <w:t>0.1</w:t>
            </w:r>
          </w:p>
        </w:tc>
        <w:tc>
          <w:tcPr>
            <w:tcW w:w="1020" w:type="dxa"/>
            <w:shd w:val="clear" w:color="auto" w:fill="auto"/>
            <w:tcMar>
              <w:top w:w="113" w:type="dxa"/>
              <w:left w:w="113" w:type="dxa"/>
              <w:bottom w:w="113" w:type="dxa"/>
              <w:right w:w="113" w:type="dxa"/>
            </w:tcMar>
          </w:tcPr>
          <w:p w14:paraId="5646964E" w14:textId="77777777" w:rsidR="00BB2B23" w:rsidRPr="002C06E4" w:rsidRDefault="00BB2B23" w:rsidP="00F5693B">
            <w:pPr>
              <w:pStyle w:val="Tablesmalltext"/>
              <w:jc w:val="center"/>
              <w:rPr>
                <w:color w:val="auto"/>
              </w:rPr>
            </w:pPr>
            <w:r w:rsidRPr="002C06E4">
              <w:rPr>
                <w:rStyle w:val="TextBold"/>
                <w:color w:val="auto"/>
              </w:rPr>
              <w:t>0.2</w:t>
            </w:r>
          </w:p>
        </w:tc>
      </w:tr>
    </w:tbl>
    <w:p w14:paraId="56469650" w14:textId="77777777" w:rsidR="00BB2B23" w:rsidRDefault="00BB2B23" w:rsidP="00BB2B23">
      <w:pPr>
        <w:pStyle w:val="Subhead2"/>
      </w:pPr>
      <w:r>
        <w:t>Impact analysis—Option 4—Equipment controls</w:t>
      </w:r>
    </w:p>
    <w:p w14:paraId="56469651" w14:textId="77777777" w:rsidR="00BB2B23" w:rsidRDefault="00BB2B23" w:rsidP="00BB2B23">
      <w:pPr>
        <w:pStyle w:val="Subhead5"/>
      </w:pPr>
      <w:r>
        <w:t>Option 4a—Mandatory leak testing</w:t>
      </w:r>
    </w:p>
    <w:p w14:paraId="56469652" w14:textId="77777777" w:rsidR="00BB2B23" w:rsidRDefault="00BB2B23" w:rsidP="00BB2B23">
      <w:pPr>
        <w:pStyle w:val="Subhead5"/>
      </w:pPr>
      <w:r>
        <w:t>Option 4b—Mandatory maintenance</w:t>
      </w:r>
    </w:p>
    <w:p w14:paraId="56469653" w14:textId="77777777" w:rsidR="00BB2B23" w:rsidRDefault="00BB2B23" w:rsidP="00BB2B23">
      <w:pPr>
        <w:pStyle w:val="Text"/>
      </w:pPr>
      <w:r>
        <w:lastRenderedPageBreak/>
        <w:t xml:space="preserve">The key impact from implementation of Option 4 as a whole, whether through the specific mechanisms of Options 4a or 4b, is to reduce HFC emissions over the life of equipment through extending the life of equipment, and reducing leaks over that lifetime. </w:t>
      </w:r>
    </w:p>
    <w:p w14:paraId="56469654" w14:textId="77777777" w:rsidR="00BB2B23" w:rsidRDefault="00BB2B23" w:rsidP="00BB2B23">
      <w:pPr>
        <w:pStyle w:val="Subhead3"/>
      </w:pPr>
      <w:r>
        <w:t>Impacts of Option 4a—Mandatory leak testing</w:t>
      </w:r>
    </w:p>
    <w:p w14:paraId="56469655" w14:textId="77777777" w:rsidR="00BB2B23" w:rsidRDefault="00BB2B23" w:rsidP="00BB2B23">
      <w:pPr>
        <w:pStyle w:val="Text"/>
      </w:pPr>
      <w:r>
        <w:t>The leak testing reference scenario was developed based on an assumption of 50 per cent of required maintenance being undertaken in business as usual conditions. Evidence from the European Union suggests that most sectors in 2011 were compliant with the leak testing requirements of the previous F-Gas regulations. However compliance was less likely for smaller supermarkets and private commercial applications. For smaller companies leak testing tends to be done in response to identified equipment problems or as specified in the maintenance contract.</w:t>
      </w:r>
      <w:r>
        <w:rPr>
          <w:rFonts w:ascii="Myriad Pro" w:hAnsi="Myriad Pro" w:cstheme="minorBidi"/>
          <w:sz w:val="24"/>
          <w:szCs w:val="24"/>
        </w:rPr>
        <w:footnoteReference w:id="19"/>
      </w:r>
      <w:r>
        <w:t xml:space="preserve"> The analysis assumes that all equipment types are currently tested manually, not using automatic systems.</w:t>
      </w:r>
    </w:p>
    <w:p w14:paraId="56469656" w14:textId="77777777" w:rsidR="00BB2B23" w:rsidRDefault="00BB2B23" w:rsidP="00BB2B23">
      <w:pPr>
        <w:pStyle w:val="Text"/>
      </w:pPr>
      <w:r>
        <w:t>This approach may over estimate the cost to business if automatic leak testing is already being adopted by businesses. Similarly, the benefits may be overstated if the source database used for analysis assumes a lower level of reference leak testing than that specified in the CBA. Jacobs has recommended further work to verify leak testing levels and subsequent emissions impacts to strengthen the assumptions in the analysis.</w:t>
      </w:r>
    </w:p>
    <w:p w14:paraId="56469657" w14:textId="77777777" w:rsidR="00BB2B23" w:rsidRDefault="00BB2B23" w:rsidP="00BB2B23">
      <w:pPr>
        <w:pStyle w:val="Subhead3"/>
      </w:pPr>
      <w:r>
        <w:t>Impacts of Option 4b—Mandatory maintenance</w:t>
      </w:r>
    </w:p>
    <w:p w14:paraId="56469658" w14:textId="77777777" w:rsidR="00BB2B23" w:rsidRDefault="00BB2B23" w:rsidP="00BB2B23">
      <w:pPr>
        <w:pStyle w:val="Text"/>
      </w:pPr>
      <w:r>
        <w:t>The maintenance option is an extension to the leakage reduction option. Maintenance would be scheduled according to the same timetable as leak testing, occurring in the same technician call-out to maximise efficiency. Maintenance however, also includes activities such as regular inspection, cleaning and possible replacement of air filters, regular inspection and clearing of the surfaces of condensers, evaporators, fans, blades and fan guards, and improved containment practices on equipment connections, hoses, pipes and accessories, and such activities will improve energy efficiency and provide energy savings benefits to participants.</w:t>
      </w:r>
    </w:p>
    <w:p w14:paraId="56469659" w14:textId="77777777" w:rsidR="00BB2B23" w:rsidRDefault="00BB2B23" w:rsidP="00BB2B23">
      <w:pPr>
        <w:pStyle w:val="Text"/>
      </w:pPr>
      <w:r>
        <w:t xml:space="preserve">It is assumed that maintenance requirements would be implemented from 2017, and would apply to large pieces of equipment, specifically supermarket, medium and large air conditioners and large automotive systems. </w:t>
      </w:r>
    </w:p>
    <w:p w14:paraId="5646965A" w14:textId="77777777" w:rsidR="00BB2B23" w:rsidRDefault="00BB2B23" w:rsidP="00BB2B23">
      <w:pPr>
        <w:pStyle w:val="Subhead3"/>
      </w:pPr>
      <w:r>
        <w:t>Anticipated benefits (Options 4a and 4b)</w:t>
      </w:r>
    </w:p>
    <w:p w14:paraId="5646965B" w14:textId="77777777" w:rsidR="00BB2B23" w:rsidRDefault="00BB2B23" w:rsidP="00BB2B23">
      <w:pPr>
        <w:pStyle w:val="Bullets1"/>
        <w:spacing w:before="170"/>
      </w:pPr>
      <w:r>
        <w:t>Option 4a is expected to result in emissions reduction of approximately 70.19 Mt CO</w:t>
      </w:r>
      <w:r>
        <w:rPr>
          <w:rStyle w:val="subscript"/>
        </w:rPr>
        <w:t>2</w:t>
      </w:r>
      <w:r>
        <w:t>-e over the period 2017–2036.</w:t>
      </w:r>
    </w:p>
    <w:p w14:paraId="5646965C" w14:textId="77777777" w:rsidR="00BB2B23" w:rsidRDefault="00BB2B23" w:rsidP="00BB2B23">
      <w:pPr>
        <w:pStyle w:val="Bullets1"/>
      </w:pPr>
      <w:r>
        <w:t>Option 4b is expected to result in emissions reduction of approximately 21.63 Mt CO</w:t>
      </w:r>
      <w:r>
        <w:rPr>
          <w:rStyle w:val="subscript"/>
        </w:rPr>
        <w:t>2</w:t>
      </w:r>
      <w:r>
        <w:t>-e over the period 2017–2036.</w:t>
      </w:r>
    </w:p>
    <w:p w14:paraId="5646965D" w14:textId="77777777" w:rsidR="00BB2B23" w:rsidRDefault="00BB2B23" w:rsidP="00BB2B23">
      <w:pPr>
        <w:pStyle w:val="Bullets1"/>
      </w:pPr>
      <w:r>
        <w:t>Reduced energy consumption and therefore energy costs for equipment owner of up to 1 per cent reduction for 4a (representing a $384.7M saving) and 8.5 per cent on 4b for a $3128.0M saving between 2016–2030.</w:t>
      </w:r>
    </w:p>
    <w:p w14:paraId="5646965E" w14:textId="77777777" w:rsidR="00BB2B23" w:rsidRDefault="00BB2B23" w:rsidP="00BB2B23">
      <w:pPr>
        <w:pStyle w:val="Bullets1"/>
      </w:pPr>
      <w:r>
        <w:lastRenderedPageBreak/>
        <w:t>Reduced cost for equipment owners for bulk SGG as a result of lower leak rates resulting in $80.20M savings in gas costs between 2016–2030 for 4a and $80.29M savings in gas costs between 2016–2030 for 4b.</w:t>
      </w:r>
    </w:p>
    <w:p w14:paraId="5646965F" w14:textId="77777777" w:rsidR="00BB2B23" w:rsidRDefault="00BB2B23" w:rsidP="00BB2B23">
      <w:pPr>
        <w:pStyle w:val="Subhead3"/>
      </w:pPr>
      <w:r>
        <w:t>Anticipated costs (Options 4a and 4b)</w:t>
      </w:r>
    </w:p>
    <w:p w14:paraId="56469660" w14:textId="77777777" w:rsidR="00BB2B23" w:rsidRDefault="00BB2B23" w:rsidP="00BB2B23">
      <w:pPr>
        <w:pStyle w:val="Bullets1"/>
        <w:spacing w:before="170"/>
      </w:pPr>
      <w:r>
        <w:t xml:space="preserve">Increased maintenance costs, of $2636.9M for option 4b only, for implementation of extensive maintenance regime. Leak detection costs of $679.7M for both options, including for the purchase of automatic leak detection equipment. Administrative costs of $209.7M for both options, </w:t>
      </w:r>
    </w:p>
    <w:p w14:paraId="56469661" w14:textId="77777777" w:rsidR="00BB2B23" w:rsidRDefault="00BB2B23" w:rsidP="00BB2B23">
      <w:pPr>
        <w:pStyle w:val="Bullets1"/>
      </w:pPr>
      <w:r>
        <w:t>Transitional costs to equipment owners (including on education around compliance requirements for equipment owners) of $41.0M for both options.</w:t>
      </w:r>
    </w:p>
    <w:p w14:paraId="56469662" w14:textId="77777777" w:rsidR="00BB2B23" w:rsidRDefault="00BB2B23" w:rsidP="00BB2B23">
      <w:pPr>
        <w:pStyle w:val="Subhead3"/>
      </w:pPr>
      <w:r>
        <w:t>Impacts on affected stakeholders</w:t>
      </w:r>
    </w:p>
    <w:p w14:paraId="56469663" w14:textId="77777777" w:rsidR="00BB2B23" w:rsidRDefault="00BB2B23" w:rsidP="00BB2B23">
      <w:pPr>
        <w:pStyle w:val="Text"/>
      </w:pPr>
      <w:r>
        <w:t xml:space="preserve">The major cost burden associated with the maintenance and leak testing option fall with equipment owners, with a particular focus on maintenance costs. For example, under Option 4a, larger pieces of MAC equipment will be required to install an automatic leak detection system and conduct a check of the system every six months. This is anticipated to cost $1500 to purchase and install automatic leak detection, and the yearly system text is expected to be included within one of the six-monthly manual leak tests that are currently undertaken. This option also includes obligations for education in order for technicians to familiarise themselves with the new equipment, and for additional record-keeping requirements. </w:t>
      </w:r>
    </w:p>
    <w:p w14:paraId="56469664" w14:textId="77777777" w:rsidR="00BB2B23" w:rsidRDefault="00BB2B23" w:rsidP="00BB2B23">
      <w:pPr>
        <w:pStyle w:val="Text"/>
      </w:pPr>
      <w:r>
        <w:t xml:space="preserve">Option 4(b) places significant obligations for equipment/vehicle owners. Specifically, this will involve all of the leak testing obligations with the addition of the activities described above in (i.e. more regular inspections, cleaning and replacement of air filters, etc). The level of maintenance expected across the 10 different equipment types ranges from between 2.5 to 10 hours per item of equipment, per year. </w:t>
      </w:r>
    </w:p>
    <w:p w14:paraId="56469665" w14:textId="77777777" w:rsidR="00BB2B23" w:rsidRDefault="00BB2B23" w:rsidP="00BB2B23">
      <w:pPr>
        <w:pStyle w:val="Text"/>
      </w:pPr>
      <w:r>
        <w:t xml:space="preserve">Under the Regulatory Burden Measurement Framework, regulatory burden is estimated at $111.98 million (option 4a) for mandatory leak testing and $430.05 million (option 4b) for mandatory maintenance. </w:t>
      </w:r>
    </w:p>
    <w:p w14:paraId="56469666" w14:textId="77777777" w:rsidR="00BB2B23" w:rsidRDefault="00BB2B23" w:rsidP="00BB2B23">
      <w:pPr>
        <w:pStyle w:val="Text"/>
      </w:pPr>
      <w:r>
        <w:t>See Table 6 for a summary of distributional impacts.</w:t>
      </w:r>
    </w:p>
    <w:p w14:paraId="56469667" w14:textId="77777777" w:rsidR="00BB2B23" w:rsidRDefault="00BB2B23" w:rsidP="00BB2B23">
      <w:pPr>
        <w:pStyle w:val="Tabletitle"/>
      </w:pPr>
      <w:r>
        <w:t>Table 6: Stakeholder impacts (2016–30)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16"/>
        <w:gridCol w:w="2977"/>
        <w:gridCol w:w="2977"/>
      </w:tblGrid>
      <w:tr w:rsidR="00BB2B23" w:rsidRPr="002C06E4" w14:paraId="5646966A" w14:textId="77777777" w:rsidTr="002C06E4">
        <w:trPr>
          <w:trHeight w:val="60"/>
          <w:tblHeader/>
        </w:trPr>
        <w:tc>
          <w:tcPr>
            <w:tcW w:w="2816" w:type="dxa"/>
            <w:shd w:val="clear" w:color="auto" w:fill="auto"/>
            <w:tcMar>
              <w:top w:w="113" w:type="dxa"/>
              <w:left w:w="113" w:type="dxa"/>
              <w:bottom w:w="113" w:type="dxa"/>
              <w:right w:w="113" w:type="dxa"/>
            </w:tcMar>
          </w:tcPr>
          <w:p w14:paraId="56469668" w14:textId="77777777" w:rsidR="00BB2B23" w:rsidRPr="002C06E4" w:rsidRDefault="00BB2B23" w:rsidP="00F5693B">
            <w:pPr>
              <w:pStyle w:val="Tablesmallheading"/>
              <w:rPr>
                <w:color w:val="auto"/>
              </w:rPr>
            </w:pPr>
            <w:r w:rsidRPr="002C06E4">
              <w:rPr>
                <w:color w:val="auto"/>
              </w:rPr>
              <w:t>Stakeholder group</w:t>
            </w:r>
          </w:p>
        </w:tc>
        <w:tc>
          <w:tcPr>
            <w:tcW w:w="5954" w:type="dxa"/>
            <w:gridSpan w:val="2"/>
            <w:shd w:val="clear" w:color="auto" w:fill="auto"/>
            <w:tcMar>
              <w:top w:w="113" w:type="dxa"/>
              <w:left w:w="113" w:type="dxa"/>
              <w:bottom w:w="113" w:type="dxa"/>
              <w:right w:w="113" w:type="dxa"/>
            </w:tcMar>
          </w:tcPr>
          <w:p w14:paraId="56469669" w14:textId="77777777" w:rsidR="00BB2B23" w:rsidRPr="002C06E4" w:rsidRDefault="00BB2B23" w:rsidP="00F5693B">
            <w:pPr>
              <w:pStyle w:val="Tablesmallheading"/>
              <w:jc w:val="center"/>
              <w:rPr>
                <w:color w:val="auto"/>
              </w:rPr>
            </w:pPr>
            <w:r w:rsidRPr="002C06E4">
              <w:rPr>
                <w:color w:val="auto"/>
              </w:rPr>
              <w:t>Substitution Costs ($ million, NPV)</w:t>
            </w:r>
          </w:p>
        </w:tc>
      </w:tr>
      <w:tr w:rsidR="00BB2B23" w:rsidRPr="002C06E4" w14:paraId="56469670" w14:textId="77777777" w:rsidTr="002C06E4">
        <w:trPr>
          <w:trHeight w:val="60"/>
        </w:trPr>
        <w:tc>
          <w:tcPr>
            <w:tcW w:w="2816" w:type="dxa"/>
            <w:shd w:val="clear" w:color="auto" w:fill="auto"/>
            <w:tcMar>
              <w:top w:w="113" w:type="dxa"/>
              <w:left w:w="113" w:type="dxa"/>
              <w:bottom w:w="113" w:type="dxa"/>
              <w:right w:w="113" w:type="dxa"/>
            </w:tcMar>
          </w:tcPr>
          <w:p w14:paraId="5646966B"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2977" w:type="dxa"/>
            <w:shd w:val="clear" w:color="auto" w:fill="auto"/>
            <w:tcMar>
              <w:top w:w="113" w:type="dxa"/>
              <w:left w:w="113" w:type="dxa"/>
              <w:bottom w:w="113" w:type="dxa"/>
              <w:right w:w="113" w:type="dxa"/>
            </w:tcMar>
          </w:tcPr>
          <w:p w14:paraId="5646966C" w14:textId="77777777" w:rsidR="00BB2B23" w:rsidRPr="002C06E4" w:rsidRDefault="00BB2B23" w:rsidP="00F5693B">
            <w:pPr>
              <w:pStyle w:val="Tablesmalltext"/>
              <w:spacing w:before="0"/>
              <w:jc w:val="center"/>
              <w:rPr>
                <w:rStyle w:val="TextBold"/>
                <w:color w:val="auto"/>
              </w:rPr>
            </w:pPr>
            <w:r w:rsidRPr="002C06E4">
              <w:rPr>
                <w:rStyle w:val="TextBold"/>
                <w:color w:val="auto"/>
              </w:rPr>
              <w:t>Option 4a</w:t>
            </w:r>
          </w:p>
          <w:p w14:paraId="5646966D" w14:textId="77777777" w:rsidR="00BB2B23" w:rsidRPr="002C06E4" w:rsidRDefault="00BB2B23" w:rsidP="00F5693B">
            <w:pPr>
              <w:pStyle w:val="Tablesmalltext"/>
              <w:spacing w:before="0"/>
              <w:jc w:val="center"/>
              <w:rPr>
                <w:color w:val="auto"/>
              </w:rPr>
            </w:pPr>
            <w:r w:rsidRPr="002C06E4">
              <w:rPr>
                <w:rStyle w:val="TextBold"/>
                <w:color w:val="auto"/>
              </w:rPr>
              <w:t>Mandatory Leak Testing</w:t>
            </w:r>
          </w:p>
        </w:tc>
        <w:tc>
          <w:tcPr>
            <w:tcW w:w="2977" w:type="dxa"/>
            <w:shd w:val="clear" w:color="auto" w:fill="auto"/>
            <w:tcMar>
              <w:top w:w="113" w:type="dxa"/>
              <w:left w:w="113" w:type="dxa"/>
              <w:bottom w:w="113" w:type="dxa"/>
              <w:right w:w="113" w:type="dxa"/>
            </w:tcMar>
          </w:tcPr>
          <w:p w14:paraId="5646966E" w14:textId="77777777" w:rsidR="00BB2B23" w:rsidRPr="002C06E4" w:rsidRDefault="00BB2B23" w:rsidP="00F5693B">
            <w:pPr>
              <w:pStyle w:val="Tablesmalltext"/>
              <w:spacing w:before="0"/>
              <w:jc w:val="center"/>
              <w:rPr>
                <w:rStyle w:val="TextBold"/>
                <w:color w:val="auto"/>
              </w:rPr>
            </w:pPr>
            <w:r w:rsidRPr="002C06E4">
              <w:rPr>
                <w:rStyle w:val="TextBold"/>
                <w:color w:val="auto"/>
              </w:rPr>
              <w:t>Option 4b</w:t>
            </w:r>
          </w:p>
          <w:p w14:paraId="5646966F" w14:textId="77777777" w:rsidR="00BB2B23" w:rsidRPr="002C06E4" w:rsidRDefault="00BB2B23" w:rsidP="00F5693B">
            <w:pPr>
              <w:pStyle w:val="Tablesmalltext"/>
              <w:spacing w:before="0"/>
              <w:jc w:val="center"/>
              <w:rPr>
                <w:color w:val="auto"/>
              </w:rPr>
            </w:pPr>
            <w:r w:rsidRPr="002C06E4">
              <w:rPr>
                <w:rStyle w:val="TextBold"/>
                <w:color w:val="auto"/>
              </w:rPr>
              <w:t>Mandatory Maintenance</w:t>
            </w:r>
          </w:p>
        </w:tc>
      </w:tr>
      <w:tr w:rsidR="00BB2B23" w:rsidRPr="002C06E4" w14:paraId="56469674" w14:textId="77777777" w:rsidTr="002C06E4">
        <w:trPr>
          <w:trHeight w:val="60"/>
        </w:trPr>
        <w:tc>
          <w:tcPr>
            <w:tcW w:w="2816" w:type="dxa"/>
            <w:shd w:val="clear" w:color="auto" w:fill="auto"/>
            <w:tcMar>
              <w:top w:w="113" w:type="dxa"/>
              <w:left w:w="113" w:type="dxa"/>
              <w:bottom w:w="113" w:type="dxa"/>
              <w:right w:w="113" w:type="dxa"/>
            </w:tcMar>
          </w:tcPr>
          <w:p w14:paraId="56469671" w14:textId="77777777" w:rsidR="00BB2B23" w:rsidRPr="002C06E4" w:rsidRDefault="00BB2B23" w:rsidP="00F5693B">
            <w:pPr>
              <w:pStyle w:val="Tablesmalltext"/>
              <w:rPr>
                <w:color w:val="auto"/>
              </w:rPr>
            </w:pPr>
            <w:r w:rsidRPr="002C06E4">
              <w:rPr>
                <w:color w:val="auto"/>
              </w:rPr>
              <w:t>Equipment/vehicle owners</w:t>
            </w:r>
          </w:p>
        </w:tc>
        <w:tc>
          <w:tcPr>
            <w:tcW w:w="2977" w:type="dxa"/>
            <w:shd w:val="clear" w:color="auto" w:fill="auto"/>
            <w:tcMar>
              <w:top w:w="113" w:type="dxa"/>
              <w:left w:w="113" w:type="dxa"/>
              <w:bottom w:w="113" w:type="dxa"/>
              <w:right w:w="113" w:type="dxa"/>
            </w:tcMar>
          </w:tcPr>
          <w:p w14:paraId="56469672" w14:textId="77777777" w:rsidR="00BB2B23" w:rsidRPr="002C06E4" w:rsidRDefault="00BB2B23" w:rsidP="00F5693B">
            <w:pPr>
              <w:pStyle w:val="Tablesmalltext"/>
              <w:jc w:val="center"/>
              <w:rPr>
                <w:color w:val="auto"/>
              </w:rPr>
            </w:pPr>
            <w:r w:rsidRPr="002C06E4">
              <w:rPr>
                <w:color w:val="auto"/>
              </w:rPr>
              <w:t>930.49</w:t>
            </w:r>
          </w:p>
        </w:tc>
        <w:tc>
          <w:tcPr>
            <w:tcW w:w="2977" w:type="dxa"/>
            <w:shd w:val="clear" w:color="auto" w:fill="auto"/>
            <w:tcMar>
              <w:top w:w="113" w:type="dxa"/>
              <w:left w:w="113" w:type="dxa"/>
              <w:bottom w:w="113" w:type="dxa"/>
              <w:right w:w="113" w:type="dxa"/>
            </w:tcMar>
          </w:tcPr>
          <w:p w14:paraId="56469673" w14:textId="77777777" w:rsidR="00BB2B23" w:rsidRPr="002C06E4" w:rsidRDefault="00BB2B23" w:rsidP="00F5693B">
            <w:pPr>
              <w:pStyle w:val="Tablesmalltext"/>
              <w:jc w:val="center"/>
              <w:rPr>
                <w:color w:val="auto"/>
              </w:rPr>
            </w:pPr>
            <w:r w:rsidRPr="002C06E4">
              <w:rPr>
                <w:color w:val="auto"/>
              </w:rPr>
              <w:t>3567.46</w:t>
            </w:r>
          </w:p>
        </w:tc>
      </w:tr>
      <w:tr w:rsidR="00BB2B23" w:rsidRPr="002C06E4" w14:paraId="56469678" w14:textId="77777777" w:rsidTr="002C06E4">
        <w:trPr>
          <w:trHeight w:val="60"/>
        </w:trPr>
        <w:tc>
          <w:tcPr>
            <w:tcW w:w="2816" w:type="dxa"/>
            <w:shd w:val="clear" w:color="auto" w:fill="auto"/>
            <w:tcMar>
              <w:top w:w="113" w:type="dxa"/>
              <w:left w:w="113" w:type="dxa"/>
              <w:bottom w:w="113" w:type="dxa"/>
              <w:right w:w="113" w:type="dxa"/>
            </w:tcMar>
          </w:tcPr>
          <w:p w14:paraId="56469675" w14:textId="77777777" w:rsidR="00BB2B23" w:rsidRPr="002C06E4" w:rsidRDefault="00BB2B23" w:rsidP="00F5693B">
            <w:pPr>
              <w:pStyle w:val="Tablesmalltext"/>
              <w:rPr>
                <w:color w:val="auto"/>
              </w:rPr>
            </w:pPr>
            <w:r w:rsidRPr="002C06E4">
              <w:rPr>
                <w:color w:val="auto"/>
              </w:rPr>
              <w:t>Federal Government</w:t>
            </w:r>
          </w:p>
        </w:tc>
        <w:tc>
          <w:tcPr>
            <w:tcW w:w="2977" w:type="dxa"/>
            <w:shd w:val="clear" w:color="auto" w:fill="auto"/>
            <w:tcMar>
              <w:top w:w="113" w:type="dxa"/>
              <w:left w:w="113" w:type="dxa"/>
              <w:bottom w:w="113" w:type="dxa"/>
              <w:right w:w="113" w:type="dxa"/>
            </w:tcMar>
          </w:tcPr>
          <w:p w14:paraId="56469676" w14:textId="77777777" w:rsidR="00BB2B23" w:rsidRPr="002C06E4" w:rsidRDefault="00BB2B23" w:rsidP="00F5693B">
            <w:pPr>
              <w:pStyle w:val="Tablesmalltext"/>
              <w:jc w:val="center"/>
              <w:rPr>
                <w:color w:val="auto"/>
              </w:rPr>
            </w:pPr>
            <w:r w:rsidRPr="002C06E4">
              <w:rPr>
                <w:color w:val="auto"/>
              </w:rPr>
              <w:t>6.57</w:t>
            </w:r>
          </w:p>
        </w:tc>
        <w:tc>
          <w:tcPr>
            <w:tcW w:w="2977" w:type="dxa"/>
            <w:shd w:val="clear" w:color="auto" w:fill="auto"/>
            <w:tcMar>
              <w:top w:w="113" w:type="dxa"/>
              <w:left w:w="113" w:type="dxa"/>
              <w:bottom w:w="113" w:type="dxa"/>
              <w:right w:w="113" w:type="dxa"/>
            </w:tcMar>
          </w:tcPr>
          <w:p w14:paraId="56469677" w14:textId="77777777" w:rsidR="00BB2B23" w:rsidRPr="002C06E4" w:rsidRDefault="00BB2B23" w:rsidP="00F5693B">
            <w:pPr>
              <w:pStyle w:val="Tablesmalltext"/>
              <w:jc w:val="center"/>
              <w:rPr>
                <w:color w:val="auto"/>
              </w:rPr>
            </w:pPr>
            <w:r w:rsidRPr="002C06E4">
              <w:rPr>
                <w:color w:val="auto"/>
              </w:rPr>
              <w:t>6.57</w:t>
            </w:r>
          </w:p>
        </w:tc>
      </w:tr>
      <w:tr w:rsidR="00BB2B23" w:rsidRPr="002C06E4" w14:paraId="5646967C" w14:textId="77777777" w:rsidTr="002C06E4">
        <w:trPr>
          <w:trHeight w:val="60"/>
        </w:trPr>
        <w:tc>
          <w:tcPr>
            <w:tcW w:w="2816" w:type="dxa"/>
            <w:shd w:val="clear" w:color="auto" w:fill="auto"/>
            <w:tcMar>
              <w:top w:w="113" w:type="dxa"/>
              <w:left w:w="113" w:type="dxa"/>
              <w:bottom w:w="113" w:type="dxa"/>
              <w:right w:w="113" w:type="dxa"/>
            </w:tcMar>
          </w:tcPr>
          <w:p w14:paraId="56469679" w14:textId="77777777" w:rsidR="00BB2B23" w:rsidRPr="002C06E4" w:rsidRDefault="00BB2B23" w:rsidP="00F5693B">
            <w:pPr>
              <w:pStyle w:val="Tablesmalltext"/>
              <w:rPr>
                <w:color w:val="auto"/>
              </w:rPr>
            </w:pPr>
            <w:r w:rsidRPr="002C06E4">
              <w:rPr>
                <w:rStyle w:val="TextBold"/>
                <w:color w:val="auto"/>
              </w:rPr>
              <w:t>Total substitution costs</w:t>
            </w:r>
          </w:p>
        </w:tc>
        <w:tc>
          <w:tcPr>
            <w:tcW w:w="2977" w:type="dxa"/>
            <w:shd w:val="clear" w:color="auto" w:fill="auto"/>
            <w:tcMar>
              <w:top w:w="113" w:type="dxa"/>
              <w:left w:w="113" w:type="dxa"/>
              <w:bottom w:w="113" w:type="dxa"/>
              <w:right w:w="113" w:type="dxa"/>
            </w:tcMar>
          </w:tcPr>
          <w:p w14:paraId="5646967A" w14:textId="77777777" w:rsidR="00BB2B23" w:rsidRPr="002C06E4" w:rsidRDefault="00BB2B23" w:rsidP="00F5693B">
            <w:pPr>
              <w:pStyle w:val="Tablesmalltext"/>
              <w:jc w:val="center"/>
              <w:rPr>
                <w:color w:val="auto"/>
              </w:rPr>
            </w:pPr>
            <w:r w:rsidRPr="002C06E4">
              <w:rPr>
                <w:rStyle w:val="TextBold"/>
                <w:color w:val="auto"/>
              </w:rPr>
              <w:t>937.07</w:t>
            </w:r>
          </w:p>
        </w:tc>
        <w:tc>
          <w:tcPr>
            <w:tcW w:w="2977" w:type="dxa"/>
            <w:shd w:val="clear" w:color="auto" w:fill="auto"/>
            <w:tcMar>
              <w:top w:w="113" w:type="dxa"/>
              <w:left w:w="113" w:type="dxa"/>
              <w:bottom w:w="113" w:type="dxa"/>
              <w:right w:w="113" w:type="dxa"/>
            </w:tcMar>
          </w:tcPr>
          <w:p w14:paraId="5646967B" w14:textId="77777777" w:rsidR="00BB2B23" w:rsidRPr="002C06E4" w:rsidRDefault="00BB2B23" w:rsidP="00F5693B">
            <w:pPr>
              <w:pStyle w:val="Tablesmalltext"/>
              <w:jc w:val="center"/>
              <w:rPr>
                <w:color w:val="auto"/>
              </w:rPr>
            </w:pPr>
            <w:r w:rsidRPr="002C06E4">
              <w:rPr>
                <w:rStyle w:val="TextBold"/>
                <w:color w:val="auto"/>
              </w:rPr>
              <w:t>3574.03</w:t>
            </w:r>
          </w:p>
        </w:tc>
      </w:tr>
    </w:tbl>
    <w:p w14:paraId="5646967D" w14:textId="77777777" w:rsidR="00BB2B23" w:rsidRDefault="00BB2B23" w:rsidP="00BB2B23">
      <w:pPr>
        <w:pStyle w:val="Subhead3"/>
      </w:pPr>
      <w:r>
        <w:t>Cost-Benefit Analysis Results—Mandatory leak testing</w:t>
      </w:r>
    </w:p>
    <w:p w14:paraId="5646967E" w14:textId="77777777" w:rsidR="00BB2B23" w:rsidRDefault="00BB2B23" w:rsidP="00BB2B23">
      <w:pPr>
        <w:pStyle w:val="Text"/>
      </w:pPr>
      <w:r>
        <w:t xml:space="preserve">Table 7 summarises the CBA results. </w:t>
      </w:r>
    </w:p>
    <w:p w14:paraId="5646967F" w14:textId="77777777" w:rsidR="00BB2B23" w:rsidRDefault="00BB2B23" w:rsidP="00BB2B23">
      <w:pPr>
        <w:pStyle w:val="Text"/>
      </w:pPr>
      <w:r>
        <w:t>More information can be found in the Jacobs report on pages 40 to 43.</w:t>
      </w:r>
    </w:p>
    <w:p w14:paraId="56469680" w14:textId="77777777" w:rsidR="00BB2B23" w:rsidRDefault="00BB2B23" w:rsidP="00BB2B23">
      <w:pPr>
        <w:pStyle w:val="Tabletitle"/>
      </w:pPr>
      <w:r>
        <w:lastRenderedPageBreak/>
        <w:t xml:space="preserve">Table 7: Cost-benefit analysis for leak detection scenario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9"/>
        <w:gridCol w:w="2154"/>
        <w:gridCol w:w="761"/>
        <w:gridCol w:w="1701"/>
        <w:gridCol w:w="1752"/>
      </w:tblGrid>
      <w:tr w:rsidR="00BB2B23" w:rsidRPr="002C06E4" w14:paraId="56469685" w14:textId="77777777" w:rsidTr="002C06E4">
        <w:trPr>
          <w:trHeight w:val="346"/>
          <w:tblHeader/>
        </w:trPr>
        <w:tc>
          <w:tcPr>
            <w:tcW w:w="4573" w:type="dxa"/>
            <w:gridSpan w:val="2"/>
            <w:shd w:val="clear" w:color="auto" w:fill="auto"/>
            <w:tcMar>
              <w:top w:w="113" w:type="dxa"/>
              <w:left w:w="113" w:type="dxa"/>
              <w:bottom w:w="113" w:type="dxa"/>
              <w:right w:w="113" w:type="dxa"/>
            </w:tcMar>
          </w:tcPr>
          <w:p w14:paraId="56469681" w14:textId="77777777" w:rsidR="00BB2B23" w:rsidRPr="002C06E4" w:rsidRDefault="00BB2B23" w:rsidP="00F5693B">
            <w:pPr>
              <w:pStyle w:val="Tablesmallheading"/>
              <w:rPr>
                <w:color w:val="auto"/>
              </w:rPr>
            </w:pPr>
            <w:r w:rsidRPr="002C06E4">
              <w:rPr>
                <w:color w:val="auto"/>
              </w:rPr>
              <w:t> </w:t>
            </w:r>
          </w:p>
        </w:tc>
        <w:tc>
          <w:tcPr>
            <w:tcW w:w="761" w:type="dxa"/>
            <w:shd w:val="clear" w:color="auto" w:fill="auto"/>
            <w:tcMar>
              <w:top w:w="113" w:type="dxa"/>
              <w:left w:w="113" w:type="dxa"/>
              <w:bottom w:w="113" w:type="dxa"/>
              <w:right w:w="113" w:type="dxa"/>
            </w:tcMar>
          </w:tcPr>
          <w:p w14:paraId="56469682" w14:textId="77777777" w:rsidR="00BB2B23" w:rsidRPr="002C06E4" w:rsidRDefault="00BB2B23" w:rsidP="00F5693B">
            <w:pPr>
              <w:pStyle w:val="Tablesmallheading"/>
              <w:jc w:val="center"/>
              <w:rPr>
                <w:color w:val="auto"/>
              </w:rPr>
            </w:pPr>
            <w:r w:rsidRPr="002C06E4">
              <w:rPr>
                <w:color w:val="auto"/>
              </w:rPr>
              <w:t>Unit</w:t>
            </w:r>
          </w:p>
        </w:tc>
        <w:tc>
          <w:tcPr>
            <w:tcW w:w="1701" w:type="dxa"/>
            <w:shd w:val="clear" w:color="auto" w:fill="auto"/>
            <w:tcMar>
              <w:top w:w="113" w:type="dxa"/>
              <w:left w:w="113" w:type="dxa"/>
              <w:bottom w:w="113" w:type="dxa"/>
              <w:right w:w="113" w:type="dxa"/>
            </w:tcMar>
          </w:tcPr>
          <w:p w14:paraId="56469683" w14:textId="77777777" w:rsidR="00BB2B23" w:rsidRPr="002C06E4" w:rsidRDefault="00BB2B23" w:rsidP="00F5693B">
            <w:pPr>
              <w:pStyle w:val="Tablesmallheading"/>
              <w:jc w:val="center"/>
              <w:rPr>
                <w:color w:val="auto"/>
              </w:rPr>
            </w:pPr>
            <w:r w:rsidRPr="002C06E4">
              <w:rPr>
                <w:color w:val="auto"/>
              </w:rPr>
              <w:t xml:space="preserve">NPV, 2016–2020 </w:t>
            </w:r>
          </w:p>
        </w:tc>
        <w:tc>
          <w:tcPr>
            <w:tcW w:w="1752" w:type="dxa"/>
            <w:shd w:val="clear" w:color="auto" w:fill="auto"/>
            <w:tcMar>
              <w:top w:w="113" w:type="dxa"/>
              <w:left w:w="113" w:type="dxa"/>
              <w:bottom w:w="113" w:type="dxa"/>
              <w:right w:w="113" w:type="dxa"/>
            </w:tcMar>
          </w:tcPr>
          <w:p w14:paraId="56469684" w14:textId="77777777" w:rsidR="00BB2B23" w:rsidRPr="002C06E4" w:rsidRDefault="00BB2B23" w:rsidP="00F5693B">
            <w:pPr>
              <w:pStyle w:val="Tablesmallheading"/>
              <w:jc w:val="center"/>
              <w:rPr>
                <w:color w:val="auto"/>
              </w:rPr>
            </w:pPr>
            <w:r w:rsidRPr="002C06E4">
              <w:rPr>
                <w:color w:val="auto"/>
              </w:rPr>
              <w:t xml:space="preserve">NPV, 2016–2030 </w:t>
            </w:r>
          </w:p>
        </w:tc>
      </w:tr>
      <w:tr w:rsidR="00BB2B23" w:rsidRPr="002C06E4" w14:paraId="5646968A" w14:textId="77777777" w:rsidTr="002C06E4">
        <w:trPr>
          <w:trHeight w:val="210"/>
        </w:trPr>
        <w:tc>
          <w:tcPr>
            <w:tcW w:w="4573" w:type="dxa"/>
            <w:gridSpan w:val="2"/>
            <w:shd w:val="clear" w:color="auto" w:fill="auto"/>
            <w:tcMar>
              <w:top w:w="113" w:type="dxa"/>
              <w:left w:w="113" w:type="dxa"/>
              <w:bottom w:w="113" w:type="dxa"/>
              <w:right w:w="113" w:type="dxa"/>
            </w:tcMar>
          </w:tcPr>
          <w:p w14:paraId="56469686" w14:textId="77777777" w:rsidR="00BB2B23" w:rsidRPr="002C06E4" w:rsidRDefault="00BB2B23" w:rsidP="00F5693B">
            <w:pPr>
              <w:pStyle w:val="Tablesmalltext"/>
              <w:rPr>
                <w:color w:val="auto"/>
              </w:rPr>
            </w:pPr>
            <w:r w:rsidRPr="002C06E4">
              <w:rPr>
                <w:rStyle w:val="TextBold"/>
                <w:color w:val="auto"/>
              </w:rPr>
              <w:t>Net Benefits—Leak testing</w:t>
            </w:r>
          </w:p>
        </w:tc>
        <w:tc>
          <w:tcPr>
            <w:tcW w:w="761" w:type="dxa"/>
            <w:shd w:val="clear" w:color="auto" w:fill="auto"/>
            <w:tcMar>
              <w:top w:w="113" w:type="dxa"/>
              <w:left w:w="113" w:type="dxa"/>
              <w:bottom w:w="113" w:type="dxa"/>
              <w:right w:w="113" w:type="dxa"/>
            </w:tcMar>
          </w:tcPr>
          <w:p w14:paraId="56469687" w14:textId="77777777" w:rsidR="00BB2B23" w:rsidRPr="002C06E4" w:rsidRDefault="00BB2B23" w:rsidP="00F5693B">
            <w:pPr>
              <w:pStyle w:val="Tablesmalltext"/>
              <w:jc w:val="center"/>
              <w:rPr>
                <w:color w:val="auto"/>
              </w:rPr>
            </w:pPr>
            <w:r w:rsidRPr="002C06E4">
              <w:rPr>
                <w:rStyle w:val="TextBold"/>
                <w:color w:val="auto"/>
              </w:rPr>
              <w:t>$000s</w:t>
            </w:r>
          </w:p>
        </w:tc>
        <w:tc>
          <w:tcPr>
            <w:tcW w:w="1701" w:type="dxa"/>
            <w:shd w:val="clear" w:color="auto" w:fill="auto"/>
            <w:tcMar>
              <w:top w:w="113" w:type="dxa"/>
              <w:left w:w="113" w:type="dxa"/>
              <w:bottom w:w="113" w:type="dxa"/>
              <w:right w:w="113" w:type="dxa"/>
            </w:tcMar>
          </w:tcPr>
          <w:p w14:paraId="56469688" w14:textId="77777777" w:rsidR="00BB2B23" w:rsidRPr="002C06E4" w:rsidRDefault="00BB2B23" w:rsidP="00F5693B">
            <w:pPr>
              <w:pStyle w:val="Tablesmalltext"/>
              <w:jc w:val="center"/>
              <w:rPr>
                <w:color w:val="auto"/>
              </w:rPr>
            </w:pPr>
            <w:r w:rsidRPr="002C06E4">
              <w:rPr>
                <w:rStyle w:val="TextBold"/>
                <w:color w:val="auto"/>
              </w:rPr>
              <w:t>-188,183</w:t>
            </w:r>
          </w:p>
        </w:tc>
        <w:tc>
          <w:tcPr>
            <w:tcW w:w="1752" w:type="dxa"/>
            <w:shd w:val="clear" w:color="auto" w:fill="auto"/>
            <w:tcMar>
              <w:top w:w="113" w:type="dxa"/>
              <w:left w:w="113" w:type="dxa"/>
              <w:bottom w:w="113" w:type="dxa"/>
              <w:right w:w="113" w:type="dxa"/>
            </w:tcMar>
          </w:tcPr>
          <w:p w14:paraId="56469689" w14:textId="77777777" w:rsidR="00BB2B23" w:rsidRPr="002C06E4" w:rsidRDefault="00BB2B23" w:rsidP="00F5693B">
            <w:pPr>
              <w:pStyle w:val="Tablesmalltext"/>
              <w:jc w:val="center"/>
              <w:rPr>
                <w:color w:val="auto"/>
              </w:rPr>
            </w:pPr>
            <w:r w:rsidRPr="002C06E4">
              <w:rPr>
                <w:rStyle w:val="TextBold"/>
                <w:color w:val="auto"/>
              </w:rPr>
              <w:t>-341,937</w:t>
            </w:r>
          </w:p>
        </w:tc>
      </w:tr>
      <w:tr w:rsidR="00BB2B23" w:rsidRPr="002C06E4" w14:paraId="5646968F" w14:textId="77777777" w:rsidTr="002C06E4">
        <w:trPr>
          <w:trHeight w:val="210"/>
        </w:trPr>
        <w:tc>
          <w:tcPr>
            <w:tcW w:w="4573" w:type="dxa"/>
            <w:gridSpan w:val="2"/>
            <w:shd w:val="clear" w:color="auto" w:fill="auto"/>
            <w:tcMar>
              <w:top w:w="113" w:type="dxa"/>
              <w:left w:w="113" w:type="dxa"/>
              <w:bottom w:w="113" w:type="dxa"/>
              <w:right w:w="113" w:type="dxa"/>
            </w:tcMar>
          </w:tcPr>
          <w:p w14:paraId="5646968B" w14:textId="77777777" w:rsidR="00BB2B23" w:rsidRPr="002C06E4" w:rsidRDefault="00BB2B23" w:rsidP="00F5693B">
            <w:pPr>
              <w:pStyle w:val="Tablesmalltext"/>
              <w:rPr>
                <w:color w:val="auto"/>
              </w:rPr>
            </w:pPr>
            <w:r w:rsidRPr="002C06E4">
              <w:rPr>
                <w:rStyle w:val="TextBold"/>
                <w:color w:val="auto"/>
              </w:rPr>
              <w:t>Benefits</w:t>
            </w:r>
          </w:p>
        </w:tc>
        <w:tc>
          <w:tcPr>
            <w:tcW w:w="761" w:type="dxa"/>
            <w:shd w:val="clear" w:color="auto" w:fill="auto"/>
            <w:tcMar>
              <w:top w:w="113" w:type="dxa"/>
              <w:left w:w="113" w:type="dxa"/>
              <w:bottom w:w="113" w:type="dxa"/>
              <w:right w:w="113" w:type="dxa"/>
            </w:tcMar>
          </w:tcPr>
          <w:p w14:paraId="5646968C" w14:textId="77777777" w:rsidR="00BB2B23" w:rsidRPr="002C06E4" w:rsidRDefault="00BB2B23" w:rsidP="00F5693B">
            <w:pPr>
              <w:pStyle w:val="Tablesmalltext"/>
              <w:jc w:val="center"/>
              <w:rPr>
                <w:color w:val="auto"/>
              </w:rPr>
            </w:pPr>
            <w:r w:rsidRPr="002C06E4">
              <w:rPr>
                <w:color w:val="auto"/>
              </w:rPr>
              <w:t> </w:t>
            </w:r>
          </w:p>
        </w:tc>
        <w:tc>
          <w:tcPr>
            <w:tcW w:w="1701" w:type="dxa"/>
            <w:shd w:val="clear" w:color="auto" w:fill="auto"/>
            <w:tcMar>
              <w:top w:w="113" w:type="dxa"/>
              <w:left w:w="113" w:type="dxa"/>
              <w:bottom w:w="113" w:type="dxa"/>
              <w:right w:w="113" w:type="dxa"/>
            </w:tcMar>
          </w:tcPr>
          <w:p w14:paraId="5646968D"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1752" w:type="dxa"/>
            <w:shd w:val="clear" w:color="auto" w:fill="auto"/>
            <w:tcMar>
              <w:top w:w="113" w:type="dxa"/>
              <w:left w:w="113" w:type="dxa"/>
              <w:bottom w:w="113" w:type="dxa"/>
              <w:right w:w="113" w:type="dxa"/>
            </w:tcMar>
          </w:tcPr>
          <w:p w14:paraId="5646968E"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r>
      <w:tr w:rsidR="00BB2B23" w:rsidRPr="002C06E4" w14:paraId="56469695" w14:textId="77777777" w:rsidTr="002C06E4">
        <w:trPr>
          <w:trHeight w:val="210"/>
        </w:trPr>
        <w:tc>
          <w:tcPr>
            <w:tcW w:w="2419" w:type="dxa"/>
            <w:vMerge w:val="restart"/>
            <w:shd w:val="clear" w:color="auto" w:fill="auto"/>
            <w:tcMar>
              <w:top w:w="113" w:type="dxa"/>
              <w:left w:w="113" w:type="dxa"/>
              <w:bottom w:w="113" w:type="dxa"/>
              <w:right w:w="113" w:type="dxa"/>
            </w:tcMar>
          </w:tcPr>
          <w:p w14:paraId="56469690" w14:textId="77777777" w:rsidR="00BB2B23" w:rsidRPr="002C06E4" w:rsidRDefault="00BB2B23" w:rsidP="00F5693B">
            <w:pPr>
              <w:pStyle w:val="Tablesmalltext"/>
              <w:rPr>
                <w:color w:val="auto"/>
              </w:rPr>
            </w:pPr>
            <w:r w:rsidRPr="002C06E4">
              <w:rPr>
                <w:rStyle w:val="TextBold"/>
                <w:color w:val="auto"/>
              </w:rPr>
              <w:t>Carbon Costs</w:t>
            </w:r>
          </w:p>
        </w:tc>
        <w:tc>
          <w:tcPr>
            <w:tcW w:w="2154" w:type="dxa"/>
            <w:shd w:val="clear" w:color="auto" w:fill="auto"/>
            <w:tcMar>
              <w:top w:w="113" w:type="dxa"/>
              <w:left w:w="113" w:type="dxa"/>
              <w:bottom w:w="113" w:type="dxa"/>
              <w:right w:w="113" w:type="dxa"/>
            </w:tcMar>
          </w:tcPr>
          <w:p w14:paraId="56469691" w14:textId="77777777" w:rsidR="00BB2B23" w:rsidRPr="002C06E4" w:rsidRDefault="00BB2B23" w:rsidP="00F5693B">
            <w:pPr>
              <w:pStyle w:val="Tablesmalltext"/>
              <w:rPr>
                <w:color w:val="auto"/>
              </w:rPr>
            </w:pPr>
            <w:r w:rsidRPr="002C06E4">
              <w:rPr>
                <w:color w:val="auto"/>
              </w:rPr>
              <w:t>Direct</w:t>
            </w:r>
          </w:p>
        </w:tc>
        <w:tc>
          <w:tcPr>
            <w:tcW w:w="761" w:type="dxa"/>
            <w:shd w:val="clear" w:color="auto" w:fill="auto"/>
            <w:tcMar>
              <w:top w:w="113" w:type="dxa"/>
              <w:left w:w="113" w:type="dxa"/>
              <w:bottom w:w="113" w:type="dxa"/>
              <w:right w:w="113" w:type="dxa"/>
            </w:tcMar>
          </w:tcPr>
          <w:p w14:paraId="56469692" w14:textId="77777777" w:rsidR="00BB2B23" w:rsidRPr="002C06E4" w:rsidRDefault="00BB2B23" w:rsidP="00F5693B">
            <w:pPr>
              <w:pStyle w:val="Tablesmalltext"/>
              <w:jc w:val="center"/>
              <w:rPr>
                <w:color w:val="auto"/>
              </w:rPr>
            </w:pPr>
            <w:r w:rsidRPr="002C06E4">
              <w:rPr>
                <w:color w:val="auto"/>
              </w:rPr>
              <w:t>$000s</w:t>
            </w:r>
          </w:p>
        </w:tc>
        <w:tc>
          <w:tcPr>
            <w:tcW w:w="1701" w:type="dxa"/>
            <w:shd w:val="clear" w:color="auto" w:fill="auto"/>
            <w:tcMar>
              <w:top w:w="113" w:type="dxa"/>
              <w:left w:w="113" w:type="dxa"/>
              <w:bottom w:w="113" w:type="dxa"/>
              <w:right w:w="113" w:type="dxa"/>
            </w:tcMar>
          </w:tcPr>
          <w:p w14:paraId="56469693" w14:textId="77777777" w:rsidR="00BB2B23" w:rsidRPr="002C06E4" w:rsidRDefault="00BB2B23" w:rsidP="00F5693B">
            <w:pPr>
              <w:pStyle w:val="Tablesmalltext"/>
              <w:jc w:val="center"/>
              <w:rPr>
                <w:color w:val="auto"/>
              </w:rPr>
            </w:pPr>
            <w:r w:rsidRPr="002C06E4">
              <w:rPr>
                <w:color w:val="auto"/>
              </w:rPr>
              <w:t>14,928</w:t>
            </w:r>
          </w:p>
        </w:tc>
        <w:tc>
          <w:tcPr>
            <w:tcW w:w="1752" w:type="dxa"/>
            <w:shd w:val="clear" w:color="auto" w:fill="auto"/>
            <w:tcMar>
              <w:top w:w="113" w:type="dxa"/>
              <w:left w:w="113" w:type="dxa"/>
              <w:bottom w:w="113" w:type="dxa"/>
              <w:right w:w="113" w:type="dxa"/>
            </w:tcMar>
          </w:tcPr>
          <w:p w14:paraId="56469694" w14:textId="77777777" w:rsidR="00BB2B23" w:rsidRPr="002C06E4" w:rsidRDefault="00BB2B23" w:rsidP="00F5693B">
            <w:pPr>
              <w:pStyle w:val="Tablesmalltext"/>
              <w:jc w:val="center"/>
              <w:rPr>
                <w:color w:val="auto"/>
              </w:rPr>
            </w:pPr>
            <w:r w:rsidRPr="002C06E4">
              <w:rPr>
                <w:color w:val="auto"/>
              </w:rPr>
              <w:t>82,414</w:t>
            </w:r>
          </w:p>
        </w:tc>
      </w:tr>
      <w:tr w:rsidR="00BB2B23" w:rsidRPr="002C06E4" w14:paraId="5646969B" w14:textId="77777777" w:rsidTr="002C06E4">
        <w:trPr>
          <w:trHeight w:val="210"/>
        </w:trPr>
        <w:tc>
          <w:tcPr>
            <w:tcW w:w="2419" w:type="dxa"/>
            <w:vMerge/>
            <w:shd w:val="clear" w:color="auto" w:fill="auto"/>
          </w:tcPr>
          <w:p w14:paraId="56469696"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2154" w:type="dxa"/>
            <w:shd w:val="clear" w:color="auto" w:fill="auto"/>
            <w:tcMar>
              <w:top w:w="113" w:type="dxa"/>
              <w:left w:w="113" w:type="dxa"/>
              <w:bottom w:w="113" w:type="dxa"/>
              <w:right w:w="113" w:type="dxa"/>
            </w:tcMar>
          </w:tcPr>
          <w:p w14:paraId="56469697" w14:textId="77777777" w:rsidR="00BB2B23" w:rsidRPr="002C06E4" w:rsidRDefault="00BB2B23" w:rsidP="00F5693B">
            <w:pPr>
              <w:pStyle w:val="Tablesmalltext"/>
              <w:rPr>
                <w:color w:val="auto"/>
              </w:rPr>
            </w:pPr>
            <w:r w:rsidRPr="002C06E4">
              <w:rPr>
                <w:color w:val="auto"/>
              </w:rPr>
              <w:t>Indirect</w:t>
            </w:r>
          </w:p>
        </w:tc>
        <w:tc>
          <w:tcPr>
            <w:tcW w:w="761" w:type="dxa"/>
            <w:shd w:val="clear" w:color="auto" w:fill="auto"/>
            <w:tcMar>
              <w:top w:w="113" w:type="dxa"/>
              <w:left w:w="113" w:type="dxa"/>
              <w:bottom w:w="113" w:type="dxa"/>
              <w:right w:w="113" w:type="dxa"/>
            </w:tcMar>
          </w:tcPr>
          <w:p w14:paraId="56469698" w14:textId="77777777" w:rsidR="00BB2B23" w:rsidRPr="002C06E4" w:rsidRDefault="00BB2B23" w:rsidP="00F5693B">
            <w:pPr>
              <w:pStyle w:val="Tablesmalltext"/>
              <w:jc w:val="center"/>
              <w:rPr>
                <w:color w:val="auto"/>
              </w:rPr>
            </w:pPr>
            <w:r w:rsidRPr="002C06E4">
              <w:rPr>
                <w:color w:val="auto"/>
              </w:rPr>
              <w:t>$000s</w:t>
            </w:r>
          </w:p>
        </w:tc>
        <w:tc>
          <w:tcPr>
            <w:tcW w:w="1701" w:type="dxa"/>
            <w:shd w:val="clear" w:color="auto" w:fill="auto"/>
            <w:tcMar>
              <w:top w:w="113" w:type="dxa"/>
              <w:left w:w="113" w:type="dxa"/>
              <w:bottom w:w="113" w:type="dxa"/>
              <w:right w:w="113" w:type="dxa"/>
            </w:tcMar>
          </w:tcPr>
          <w:p w14:paraId="56469699" w14:textId="77777777" w:rsidR="00BB2B23" w:rsidRPr="002C06E4" w:rsidRDefault="00BB2B23" w:rsidP="00F5693B">
            <w:pPr>
              <w:pStyle w:val="Tablesmalltext"/>
              <w:jc w:val="center"/>
              <w:rPr>
                <w:color w:val="auto"/>
              </w:rPr>
            </w:pPr>
            <w:r w:rsidRPr="002C06E4">
              <w:rPr>
                <w:color w:val="auto"/>
              </w:rPr>
              <w:t>16,306</w:t>
            </w:r>
          </w:p>
        </w:tc>
        <w:tc>
          <w:tcPr>
            <w:tcW w:w="1752" w:type="dxa"/>
            <w:shd w:val="clear" w:color="auto" w:fill="auto"/>
            <w:tcMar>
              <w:top w:w="113" w:type="dxa"/>
              <w:left w:w="113" w:type="dxa"/>
              <w:bottom w:w="113" w:type="dxa"/>
              <w:right w:w="113" w:type="dxa"/>
            </w:tcMar>
          </w:tcPr>
          <w:p w14:paraId="5646969A" w14:textId="77777777" w:rsidR="00BB2B23" w:rsidRPr="002C06E4" w:rsidRDefault="00BB2B23" w:rsidP="00F5693B">
            <w:pPr>
              <w:pStyle w:val="Tablesmalltext"/>
              <w:jc w:val="center"/>
              <w:rPr>
                <w:color w:val="auto"/>
              </w:rPr>
            </w:pPr>
            <w:r w:rsidRPr="002C06E4">
              <w:rPr>
                <w:color w:val="auto"/>
              </w:rPr>
              <w:t>47,804</w:t>
            </w:r>
          </w:p>
        </w:tc>
      </w:tr>
      <w:tr w:rsidR="00BB2B23" w:rsidRPr="002C06E4" w14:paraId="564696A1" w14:textId="77777777" w:rsidTr="002C06E4">
        <w:trPr>
          <w:trHeight w:val="210"/>
        </w:trPr>
        <w:tc>
          <w:tcPr>
            <w:tcW w:w="2419" w:type="dxa"/>
            <w:shd w:val="clear" w:color="auto" w:fill="auto"/>
            <w:tcMar>
              <w:top w:w="113" w:type="dxa"/>
              <w:left w:w="113" w:type="dxa"/>
              <w:bottom w:w="113" w:type="dxa"/>
              <w:right w:w="113" w:type="dxa"/>
            </w:tcMar>
          </w:tcPr>
          <w:p w14:paraId="5646969C" w14:textId="77777777" w:rsidR="00BB2B23" w:rsidRPr="002C06E4" w:rsidRDefault="00BB2B23" w:rsidP="00F5693B">
            <w:pPr>
              <w:pStyle w:val="Tablesmalltext"/>
              <w:rPr>
                <w:color w:val="auto"/>
              </w:rPr>
            </w:pPr>
            <w:r w:rsidRPr="002C06E4">
              <w:rPr>
                <w:rStyle w:val="TextBold"/>
                <w:color w:val="auto"/>
              </w:rPr>
              <w:t>Energy Costs</w:t>
            </w:r>
          </w:p>
        </w:tc>
        <w:tc>
          <w:tcPr>
            <w:tcW w:w="2154" w:type="dxa"/>
            <w:shd w:val="clear" w:color="auto" w:fill="auto"/>
            <w:tcMar>
              <w:top w:w="113" w:type="dxa"/>
              <w:left w:w="113" w:type="dxa"/>
              <w:bottom w:w="113" w:type="dxa"/>
              <w:right w:w="113" w:type="dxa"/>
            </w:tcMar>
          </w:tcPr>
          <w:p w14:paraId="5646969D" w14:textId="77777777" w:rsidR="00BB2B23" w:rsidRPr="002C06E4" w:rsidRDefault="00BB2B23" w:rsidP="00F5693B">
            <w:pPr>
              <w:pStyle w:val="Tablesmalltext"/>
              <w:rPr>
                <w:color w:val="auto"/>
              </w:rPr>
            </w:pPr>
            <w:r w:rsidRPr="002C06E4">
              <w:rPr>
                <w:color w:val="auto"/>
              </w:rPr>
              <w:t>All end users</w:t>
            </w:r>
          </w:p>
        </w:tc>
        <w:tc>
          <w:tcPr>
            <w:tcW w:w="761" w:type="dxa"/>
            <w:shd w:val="clear" w:color="auto" w:fill="auto"/>
            <w:tcMar>
              <w:top w:w="113" w:type="dxa"/>
              <w:left w:w="113" w:type="dxa"/>
              <w:bottom w:w="113" w:type="dxa"/>
              <w:right w:w="113" w:type="dxa"/>
            </w:tcMar>
          </w:tcPr>
          <w:p w14:paraId="5646969E" w14:textId="77777777" w:rsidR="00BB2B23" w:rsidRPr="002C06E4" w:rsidRDefault="00BB2B23" w:rsidP="00F5693B">
            <w:pPr>
              <w:pStyle w:val="Tablesmalltext"/>
              <w:jc w:val="center"/>
              <w:rPr>
                <w:color w:val="auto"/>
              </w:rPr>
            </w:pPr>
            <w:r w:rsidRPr="002C06E4">
              <w:rPr>
                <w:color w:val="auto"/>
              </w:rPr>
              <w:t>$000s</w:t>
            </w:r>
          </w:p>
        </w:tc>
        <w:tc>
          <w:tcPr>
            <w:tcW w:w="1701" w:type="dxa"/>
            <w:shd w:val="clear" w:color="auto" w:fill="auto"/>
            <w:tcMar>
              <w:top w:w="113" w:type="dxa"/>
              <w:left w:w="113" w:type="dxa"/>
              <w:bottom w:w="113" w:type="dxa"/>
              <w:right w:w="113" w:type="dxa"/>
            </w:tcMar>
          </w:tcPr>
          <w:p w14:paraId="5646969F" w14:textId="77777777" w:rsidR="00BB2B23" w:rsidRPr="002C06E4" w:rsidRDefault="00BB2B23" w:rsidP="00F5693B">
            <w:pPr>
              <w:pStyle w:val="Tablesmalltext"/>
              <w:jc w:val="center"/>
              <w:rPr>
                <w:color w:val="auto"/>
              </w:rPr>
            </w:pPr>
            <w:r w:rsidRPr="002C06E4">
              <w:rPr>
                <w:color w:val="auto"/>
              </w:rPr>
              <w:t>139,987</w:t>
            </w:r>
          </w:p>
        </w:tc>
        <w:tc>
          <w:tcPr>
            <w:tcW w:w="1752" w:type="dxa"/>
            <w:shd w:val="clear" w:color="auto" w:fill="auto"/>
            <w:tcMar>
              <w:top w:w="113" w:type="dxa"/>
              <w:left w:w="113" w:type="dxa"/>
              <w:bottom w:w="113" w:type="dxa"/>
              <w:right w:w="113" w:type="dxa"/>
            </w:tcMar>
          </w:tcPr>
          <w:p w14:paraId="564696A0" w14:textId="77777777" w:rsidR="00BB2B23" w:rsidRPr="002C06E4" w:rsidRDefault="00BB2B23" w:rsidP="00F5693B">
            <w:pPr>
              <w:pStyle w:val="Tablesmalltext"/>
              <w:jc w:val="center"/>
              <w:rPr>
                <w:color w:val="auto"/>
              </w:rPr>
            </w:pPr>
            <w:r w:rsidRPr="002C06E4">
              <w:rPr>
                <w:color w:val="auto"/>
              </w:rPr>
              <w:t>384,712</w:t>
            </w:r>
          </w:p>
        </w:tc>
      </w:tr>
      <w:tr w:rsidR="00BB2B23" w:rsidRPr="002C06E4" w14:paraId="564696A7" w14:textId="77777777" w:rsidTr="002C06E4">
        <w:trPr>
          <w:trHeight w:val="210"/>
        </w:trPr>
        <w:tc>
          <w:tcPr>
            <w:tcW w:w="2419" w:type="dxa"/>
            <w:shd w:val="clear" w:color="auto" w:fill="auto"/>
            <w:tcMar>
              <w:top w:w="113" w:type="dxa"/>
              <w:left w:w="113" w:type="dxa"/>
              <w:bottom w:w="113" w:type="dxa"/>
              <w:right w:w="113" w:type="dxa"/>
            </w:tcMar>
          </w:tcPr>
          <w:p w14:paraId="564696A2" w14:textId="77777777" w:rsidR="00BB2B23" w:rsidRPr="002C06E4" w:rsidRDefault="00BB2B23" w:rsidP="00F5693B">
            <w:pPr>
              <w:pStyle w:val="Tablesmalltext"/>
              <w:rPr>
                <w:color w:val="auto"/>
              </w:rPr>
            </w:pPr>
            <w:r w:rsidRPr="002C06E4">
              <w:rPr>
                <w:rStyle w:val="TextBold"/>
                <w:color w:val="auto"/>
              </w:rPr>
              <w:t>Refrigerant Costs</w:t>
            </w:r>
          </w:p>
        </w:tc>
        <w:tc>
          <w:tcPr>
            <w:tcW w:w="2154" w:type="dxa"/>
            <w:shd w:val="clear" w:color="auto" w:fill="auto"/>
            <w:tcMar>
              <w:top w:w="113" w:type="dxa"/>
              <w:left w:w="113" w:type="dxa"/>
              <w:bottom w:w="113" w:type="dxa"/>
              <w:right w:w="113" w:type="dxa"/>
            </w:tcMar>
          </w:tcPr>
          <w:p w14:paraId="564696A3" w14:textId="77777777" w:rsidR="00BB2B23" w:rsidRPr="002C06E4" w:rsidRDefault="00BB2B23" w:rsidP="00F5693B">
            <w:pPr>
              <w:pStyle w:val="Tablesmalltext"/>
              <w:rPr>
                <w:color w:val="auto"/>
              </w:rPr>
            </w:pPr>
            <w:r w:rsidRPr="002C06E4">
              <w:rPr>
                <w:color w:val="auto"/>
              </w:rPr>
              <w:t>All end users</w:t>
            </w:r>
          </w:p>
        </w:tc>
        <w:tc>
          <w:tcPr>
            <w:tcW w:w="761" w:type="dxa"/>
            <w:shd w:val="clear" w:color="auto" w:fill="auto"/>
            <w:tcMar>
              <w:top w:w="113" w:type="dxa"/>
              <w:left w:w="113" w:type="dxa"/>
              <w:bottom w:w="113" w:type="dxa"/>
              <w:right w:w="113" w:type="dxa"/>
            </w:tcMar>
          </w:tcPr>
          <w:p w14:paraId="564696A4" w14:textId="77777777" w:rsidR="00BB2B23" w:rsidRPr="002C06E4" w:rsidRDefault="00BB2B23" w:rsidP="00F5693B">
            <w:pPr>
              <w:pStyle w:val="Tablesmalltext"/>
              <w:jc w:val="center"/>
              <w:rPr>
                <w:color w:val="auto"/>
              </w:rPr>
            </w:pPr>
            <w:r w:rsidRPr="002C06E4">
              <w:rPr>
                <w:color w:val="auto"/>
              </w:rPr>
              <w:t>$000s</w:t>
            </w:r>
          </w:p>
        </w:tc>
        <w:tc>
          <w:tcPr>
            <w:tcW w:w="1701" w:type="dxa"/>
            <w:shd w:val="clear" w:color="auto" w:fill="auto"/>
            <w:tcMar>
              <w:top w:w="113" w:type="dxa"/>
              <w:left w:w="113" w:type="dxa"/>
              <w:bottom w:w="113" w:type="dxa"/>
              <w:right w:w="113" w:type="dxa"/>
            </w:tcMar>
          </w:tcPr>
          <w:p w14:paraId="564696A5" w14:textId="77777777" w:rsidR="00BB2B23" w:rsidRPr="002C06E4" w:rsidRDefault="00BB2B23" w:rsidP="00F5693B">
            <w:pPr>
              <w:pStyle w:val="Tablesmalltext"/>
              <w:jc w:val="center"/>
              <w:rPr>
                <w:color w:val="auto"/>
              </w:rPr>
            </w:pPr>
            <w:r w:rsidRPr="002C06E4">
              <w:rPr>
                <w:color w:val="auto"/>
              </w:rPr>
              <w:t>13,536</w:t>
            </w:r>
          </w:p>
        </w:tc>
        <w:tc>
          <w:tcPr>
            <w:tcW w:w="1752" w:type="dxa"/>
            <w:shd w:val="clear" w:color="auto" w:fill="auto"/>
            <w:tcMar>
              <w:top w:w="113" w:type="dxa"/>
              <w:left w:w="113" w:type="dxa"/>
              <w:bottom w:w="113" w:type="dxa"/>
              <w:right w:w="113" w:type="dxa"/>
            </w:tcMar>
          </w:tcPr>
          <w:p w14:paraId="564696A6" w14:textId="77777777" w:rsidR="00BB2B23" w:rsidRPr="002C06E4" w:rsidRDefault="00BB2B23" w:rsidP="00F5693B">
            <w:pPr>
              <w:pStyle w:val="Tablesmalltext"/>
              <w:jc w:val="center"/>
              <w:rPr>
                <w:color w:val="auto"/>
              </w:rPr>
            </w:pPr>
            <w:r w:rsidRPr="002C06E4">
              <w:rPr>
                <w:color w:val="auto"/>
              </w:rPr>
              <w:t>80,202</w:t>
            </w:r>
          </w:p>
        </w:tc>
      </w:tr>
      <w:tr w:rsidR="00BB2B23" w:rsidRPr="002C06E4" w14:paraId="564696AC" w14:textId="77777777" w:rsidTr="002C06E4">
        <w:trPr>
          <w:trHeight w:val="321"/>
        </w:trPr>
        <w:tc>
          <w:tcPr>
            <w:tcW w:w="4573" w:type="dxa"/>
            <w:gridSpan w:val="2"/>
            <w:shd w:val="clear" w:color="auto" w:fill="auto"/>
            <w:tcMar>
              <w:top w:w="113" w:type="dxa"/>
              <w:left w:w="113" w:type="dxa"/>
              <w:bottom w:w="113" w:type="dxa"/>
              <w:right w:w="113" w:type="dxa"/>
            </w:tcMar>
          </w:tcPr>
          <w:p w14:paraId="564696A8" w14:textId="77777777" w:rsidR="00BB2B23" w:rsidRPr="002C06E4" w:rsidRDefault="00BB2B23" w:rsidP="00F5693B">
            <w:pPr>
              <w:pStyle w:val="Tablesmalltext"/>
              <w:rPr>
                <w:color w:val="auto"/>
              </w:rPr>
            </w:pPr>
            <w:r w:rsidRPr="002C06E4">
              <w:rPr>
                <w:rStyle w:val="TextBold"/>
                <w:color w:val="auto"/>
              </w:rPr>
              <w:t>Total Benefits</w:t>
            </w:r>
          </w:p>
        </w:tc>
        <w:tc>
          <w:tcPr>
            <w:tcW w:w="761" w:type="dxa"/>
            <w:shd w:val="clear" w:color="auto" w:fill="auto"/>
            <w:tcMar>
              <w:top w:w="113" w:type="dxa"/>
              <w:left w:w="113" w:type="dxa"/>
              <w:bottom w:w="113" w:type="dxa"/>
              <w:right w:w="113" w:type="dxa"/>
            </w:tcMar>
          </w:tcPr>
          <w:p w14:paraId="564696A9" w14:textId="77777777" w:rsidR="00BB2B23" w:rsidRPr="002C06E4" w:rsidRDefault="00BB2B23" w:rsidP="00F5693B">
            <w:pPr>
              <w:pStyle w:val="Tablesmalltext"/>
              <w:jc w:val="center"/>
              <w:rPr>
                <w:color w:val="auto"/>
              </w:rPr>
            </w:pPr>
            <w:r w:rsidRPr="002C06E4">
              <w:rPr>
                <w:rStyle w:val="TextBold"/>
                <w:color w:val="auto"/>
              </w:rPr>
              <w:t>$000s</w:t>
            </w:r>
          </w:p>
        </w:tc>
        <w:tc>
          <w:tcPr>
            <w:tcW w:w="1701" w:type="dxa"/>
            <w:shd w:val="clear" w:color="auto" w:fill="auto"/>
            <w:tcMar>
              <w:top w:w="113" w:type="dxa"/>
              <w:left w:w="113" w:type="dxa"/>
              <w:bottom w:w="113" w:type="dxa"/>
              <w:right w:w="113" w:type="dxa"/>
            </w:tcMar>
          </w:tcPr>
          <w:p w14:paraId="564696AA" w14:textId="77777777" w:rsidR="00BB2B23" w:rsidRPr="002C06E4" w:rsidRDefault="00BB2B23" w:rsidP="00F5693B">
            <w:pPr>
              <w:pStyle w:val="Tablesmalltext"/>
              <w:jc w:val="center"/>
              <w:rPr>
                <w:color w:val="auto"/>
              </w:rPr>
            </w:pPr>
            <w:r w:rsidRPr="002C06E4">
              <w:rPr>
                <w:rStyle w:val="TextBold"/>
                <w:color w:val="auto"/>
              </w:rPr>
              <w:t>184,756</w:t>
            </w:r>
          </w:p>
        </w:tc>
        <w:tc>
          <w:tcPr>
            <w:tcW w:w="1752" w:type="dxa"/>
            <w:shd w:val="clear" w:color="auto" w:fill="auto"/>
            <w:tcMar>
              <w:top w:w="113" w:type="dxa"/>
              <w:left w:w="113" w:type="dxa"/>
              <w:bottom w:w="113" w:type="dxa"/>
              <w:right w:w="113" w:type="dxa"/>
            </w:tcMar>
          </w:tcPr>
          <w:p w14:paraId="564696AB" w14:textId="77777777" w:rsidR="00BB2B23" w:rsidRPr="002C06E4" w:rsidRDefault="00BB2B23" w:rsidP="00F5693B">
            <w:pPr>
              <w:pStyle w:val="Tablesmalltext"/>
              <w:jc w:val="center"/>
              <w:rPr>
                <w:color w:val="auto"/>
              </w:rPr>
            </w:pPr>
            <w:r w:rsidRPr="002C06E4">
              <w:rPr>
                <w:rStyle w:val="TextBold"/>
                <w:color w:val="auto"/>
              </w:rPr>
              <w:t>595,132</w:t>
            </w:r>
          </w:p>
        </w:tc>
      </w:tr>
      <w:tr w:rsidR="00BB2B23" w:rsidRPr="002C06E4" w14:paraId="564696B1" w14:textId="77777777" w:rsidTr="002C06E4">
        <w:trPr>
          <w:trHeight w:val="210"/>
        </w:trPr>
        <w:tc>
          <w:tcPr>
            <w:tcW w:w="4573" w:type="dxa"/>
            <w:gridSpan w:val="2"/>
            <w:shd w:val="clear" w:color="auto" w:fill="auto"/>
            <w:tcMar>
              <w:top w:w="113" w:type="dxa"/>
              <w:left w:w="113" w:type="dxa"/>
              <w:bottom w:w="113" w:type="dxa"/>
              <w:right w:w="113" w:type="dxa"/>
            </w:tcMar>
          </w:tcPr>
          <w:p w14:paraId="564696AD" w14:textId="77777777" w:rsidR="00BB2B23" w:rsidRPr="002C06E4" w:rsidRDefault="00BB2B23" w:rsidP="00F5693B">
            <w:pPr>
              <w:pStyle w:val="Tablesmalltext"/>
              <w:rPr>
                <w:color w:val="auto"/>
              </w:rPr>
            </w:pPr>
            <w:r w:rsidRPr="002C06E4">
              <w:rPr>
                <w:rStyle w:val="TextBold"/>
                <w:color w:val="auto"/>
              </w:rPr>
              <w:t>Costs</w:t>
            </w:r>
            <w:r w:rsidRPr="002C06E4">
              <w:rPr>
                <w:color w:val="auto"/>
              </w:rPr>
              <w:t xml:space="preserve"> </w:t>
            </w:r>
          </w:p>
        </w:tc>
        <w:tc>
          <w:tcPr>
            <w:tcW w:w="761" w:type="dxa"/>
            <w:shd w:val="clear" w:color="auto" w:fill="auto"/>
            <w:tcMar>
              <w:top w:w="113" w:type="dxa"/>
              <w:left w:w="113" w:type="dxa"/>
              <w:bottom w:w="113" w:type="dxa"/>
              <w:right w:w="113" w:type="dxa"/>
            </w:tcMar>
          </w:tcPr>
          <w:p w14:paraId="564696AE" w14:textId="77777777" w:rsidR="00BB2B23" w:rsidRPr="002C06E4" w:rsidRDefault="00BB2B23" w:rsidP="00F5693B">
            <w:pPr>
              <w:pStyle w:val="Tablesmalltext"/>
              <w:jc w:val="center"/>
              <w:rPr>
                <w:color w:val="auto"/>
              </w:rPr>
            </w:pPr>
            <w:r w:rsidRPr="002C06E4">
              <w:rPr>
                <w:color w:val="auto"/>
              </w:rPr>
              <w:t> </w:t>
            </w:r>
          </w:p>
        </w:tc>
        <w:tc>
          <w:tcPr>
            <w:tcW w:w="1701" w:type="dxa"/>
            <w:shd w:val="clear" w:color="auto" w:fill="auto"/>
            <w:tcMar>
              <w:top w:w="113" w:type="dxa"/>
              <w:left w:w="113" w:type="dxa"/>
              <w:bottom w:w="113" w:type="dxa"/>
              <w:right w:w="113" w:type="dxa"/>
            </w:tcMar>
          </w:tcPr>
          <w:p w14:paraId="564696AF"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1752" w:type="dxa"/>
            <w:shd w:val="clear" w:color="auto" w:fill="auto"/>
            <w:tcMar>
              <w:top w:w="113" w:type="dxa"/>
              <w:left w:w="113" w:type="dxa"/>
              <w:bottom w:w="113" w:type="dxa"/>
              <w:right w:w="113" w:type="dxa"/>
            </w:tcMar>
          </w:tcPr>
          <w:p w14:paraId="564696B0"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r>
      <w:tr w:rsidR="00BB2B23" w:rsidRPr="002C06E4" w14:paraId="564696B7" w14:textId="77777777" w:rsidTr="002C06E4">
        <w:trPr>
          <w:trHeight w:val="210"/>
        </w:trPr>
        <w:tc>
          <w:tcPr>
            <w:tcW w:w="2419" w:type="dxa"/>
            <w:shd w:val="clear" w:color="auto" w:fill="auto"/>
            <w:tcMar>
              <w:top w:w="113" w:type="dxa"/>
              <w:left w:w="113" w:type="dxa"/>
              <w:bottom w:w="113" w:type="dxa"/>
              <w:right w:w="113" w:type="dxa"/>
            </w:tcMar>
          </w:tcPr>
          <w:p w14:paraId="564696B2" w14:textId="77777777" w:rsidR="00BB2B23" w:rsidRPr="002C06E4" w:rsidRDefault="00BB2B23" w:rsidP="00F5693B">
            <w:pPr>
              <w:pStyle w:val="Tablesmalltext"/>
              <w:rPr>
                <w:color w:val="auto"/>
              </w:rPr>
            </w:pPr>
            <w:r w:rsidRPr="002C06E4">
              <w:rPr>
                <w:rStyle w:val="TextBold"/>
                <w:color w:val="auto"/>
              </w:rPr>
              <w:t>Leak testing cost</w:t>
            </w:r>
          </w:p>
        </w:tc>
        <w:tc>
          <w:tcPr>
            <w:tcW w:w="2154" w:type="dxa"/>
            <w:shd w:val="clear" w:color="auto" w:fill="auto"/>
            <w:tcMar>
              <w:top w:w="113" w:type="dxa"/>
              <w:left w:w="113" w:type="dxa"/>
              <w:bottom w:w="113" w:type="dxa"/>
              <w:right w:w="113" w:type="dxa"/>
            </w:tcMar>
          </w:tcPr>
          <w:p w14:paraId="564696B3" w14:textId="77777777" w:rsidR="00BB2B23" w:rsidRPr="002C06E4" w:rsidRDefault="00BB2B23" w:rsidP="00F5693B">
            <w:pPr>
              <w:pStyle w:val="Tablesmalltext"/>
              <w:rPr>
                <w:color w:val="auto"/>
              </w:rPr>
            </w:pPr>
            <w:r w:rsidRPr="002C06E4">
              <w:rPr>
                <w:color w:val="auto"/>
              </w:rPr>
              <w:t>Equipment owners</w:t>
            </w:r>
          </w:p>
        </w:tc>
        <w:tc>
          <w:tcPr>
            <w:tcW w:w="761" w:type="dxa"/>
            <w:shd w:val="clear" w:color="auto" w:fill="auto"/>
            <w:tcMar>
              <w:top w:w="113" w:type="dxa"/>
              <w:left w:w="113" w:type="dxa"/>
              <w:bottom w:w="113" w:type="dxa"/>
              <w:right w:w="113" w:type="dxa"/>
            </w:tcMar>
          </w:tcPr>
          <w:p w14:paraId="564696B4" w14:textId="77777777" w:rsidR="00BB2B23" w:rsidRPr="002C06E4" w:rsidRDefault="00BB2B23" w:rsidP="00F5693B">
            <w:pPr>
              <w:pStyle w:val="Tablesmalltext"/>
              <w:jc w:val="center"/>
              <w:rPr>
                <w:color w:val="auto"/>
              </w:rPr>
            </w:pPr>
            <w:r w:rsidRPr="002C06E4">
              <w:rPr>
                <w:color w:val="auto"/>
              </w:rPr>
              <w:t>$000s</w:t>
            </w:r>
          </w:p>
        </w:tc>
        <w:tc>
          <w:tcPr>
            <w:tcW w:w="1701" w:type="dxa"/>
            <w:shd w:val="clear" w:color="auto" w:fill="auto"/>
            <w:tcMar>
              <w:top w:w="113" w:type="dxa"/>
              <w:left w:w="113" w:type="dxa"/>
              <w:bottom w:w="113" w:type="dxa"/>
              <w:right w:w="113" w:type="dxa"/>
            </w:tcMar>
          </w:tcPr>
          <w:p w14:paraId="564696B5" w14:textId="77777777" w:rsidR="00BB2B23" w:rsidRPr="002C06E4" w:rsidRDefault="00BB2B23" w:rsidP="00F5693B">
            <w:pPr>
              <w:pStyle w:val="Tablesmalltext"/>
              <w:jc w:val="center"/>
              <w:rPr>
                <w:color w:val="auto"/>
              </w:rPr>
            </w:pPr>
            <w:r w:rsidRPr="002C06E4">
              <w:rPr>
                <w:color w:val="auto"/>
              </w:rPr>
              <w:t>251,978</w:t>
            </w:r>
          </w:p>
        </w:tc>
        <w:tc>
          <w:tcPr>
            <w:tcW w:w="1752" w:type="dxa"/>
            <w:shd w:val="clear" w:color="auto" w:fill="auto"/>
            <w:tcMar>
              <w:top w:w="113" w:type="dxa"/>
              <w:left w:w="113" w:type="dxa"/>
              <w:bottom w:w="113" w:type="dxa"/>
              <w:right w:w="113" w:type="dxa"/>
            </w:tcMar>
          </w:tcPr>
          <w:p w14:paraId="564696B6" w14:textId="77777777" w:rsidR="00BB2B23" w:rsidRPr="002C06E4" w:rsidRDefault="00BB2B23" w:rsidP="00F5693B">
            <w:pPr>
              <w:pStyle w:val="Tablesmalltext"/>
              <w:jc w:val="center"/>
              <w:rPr>
                <w:color w:val="auto"/>
              </w:rPr>
            </w:pPr>
            <w:r w:rsidRPr="002C06E4">
              <w:rPr>
                <w:color w:val="auto"/>
              </w:rPr>
              <w:t>679,727</w:t>
            </w:r>
          </w:p>
        </w:tc>
      </w:tr>
      <w:tr w:rsidR="00BB2B23" w:rsidRPr="002C06E4" w14:paraId="564696BE" w14:textId="77777777" w:rsidTr="002C06E4">
        <w:trPr>
          <w:trHeight w:val="210"/>
        </w:trPr>
        <w:tc>
          <w:tcPr>
            <w:tcW w:w="2419" w:type="dxa"/>
            <w:vMerge w:val="restart"/>
            <w:shd w:val="clear" w:color="auto" w:fill="auto"/>
            <w:tcMar>
              <w:top w:w="113" w:type="dxa"/>
              <w:left w:w="113" w:type="dxa"/>
              <w:bottom w:w="113" w:type="dxa"/>
              <w:right w:w="113" w:type="dxa"/>
            </w:tcMar>
          </w:tcPr>
          <w:p w14:paraId="564696B8" w14:textId="77777777" w:rsidR="00BB2B23" w:rsidRPr="002C06E4" w:rsidRDefault="00BB2B23" w:rsidP="00F5693B">
            <w:pPr>
              <w:pStyle w:val="Tablesmalltext"/>
              <w:rPr>
                <w:rStyle w:val="TextBold"/>
                <w:color w:val="auto"/>
              </w:rPr>
            </w:pPr>
            <w:r w:rsidRPr="002C06E4">
              <w:rPr>
                <w:rStyle w:val="TextBold"/>
                <w:color w:val="auto"/>
              </w:rPr>
              <w:t>Transitional cost</w:t>
            </w:r>
          </w:p>
          <w:p w14:paraId="564696B9" w14:textId="77777777" w:rsidR="00BB2B23" w:rsidRPr="002C06E4" w:rsidRDefault="00BB2B23" w:rsidP="00F5693B">
            <w:pPr>
              <w:pStyle w:val="Tablesmalltext"/>
              <w:rPr>
                <w:color w:val="auto"/>
              </w:rPr>
            </w:pPr>
            <w:r w:rsidRPr="002C06E4">
              <w:rPr>
                <w:rStyle w:val="TextBold"/>
                <w:color w:val="auto"/>
              </w:rPr>
              <w:t> </w:t>
            </w:r>
          </w:p>
        </w:tc>
        <w:tc>
          <w:tcPr>
            <w:tcW w:w="2154" w:type="dxa"/>
            <w:shd w:val="clear" w:color="auto" w:fill="auto"/>
            <w:tcMar>
              <w:top w:w="113" w:type="dxa"/>
              <w:left w:w="113" w:type="dxa"/>
              <w:bottom w:w="113" w:type="dxa"/>
              <w:right w:w="113" w:type="dxa"/>
            </w:tcMar>
          </w:tcPr>
          <w:p w14:paraId="564696BA" w14:textId="77777777" w:rsidR="00BB2B23" w:rsidRPr="002C06E4" w:rsidRDefault="00BB2B23" w:rsidP="00F5693B">
            <w:pPr>
              <w:pStyle w:val="Tablesmalltext"/>
              <w:rPr>
                <w:color w:val="auto"/>
              </w:rPr>
            </w:pPr>
            <w:r w:rsidRPr="002C06E4">
              <w:rPr>
                <w:color w:val="auto"/>
              </w:rPr>
              <w:t>Equipment owners</w:t>
            </w:r>
          </w:p>
        </w:tc>
        <w:tc>
          <w:tcPr>
            <w:tcW w:w="761" w:type="dxa"/>
            <w:shd w:val="clear" w:color="auto" w:fill="auto"/>
            <w:tcMar>
              <w:top w:w="113" w:type="dxa"/>
              <w:left w:w="113" w:type="dxa"/>
              <w:bottom w:w="113" w:type="dxa"/>
              <w:right w:w="113" w:type="dxa"/>
            </w:tcMar>
          </w:tcPr>
          <w:p w14:paraId="564696BB" w14:textId="77777777" w:rsidR="00BB2B23" w:rsidRPr="002C06E4" w:rsidRDefault="00BB2B23" w:rsidP="00F5693B">
            <w:pPr>
              <w:pStyle w:val="Tablesmalltext"/>
              <w:jc w:val="center"/>
              <w:rPr>
                <w:color w:val="auto"/>
              </w:rPr>
            </w:pPr>
            <w:r w:rsidRPr="002C06E4">
              <w:rPr>
                <w:color w:val="auto"/>
              </w:rPr>
              <w:t>$000s</w:t>
            </w:r>
          </w:p>
        </w:tc>
        <w:tc>
          <w:tcPr>
            <w:tcW w:w="1701" w:type="dxa"/>
            <w:shd w:val="clear" w:color="auto" w:fill="auto"/>
            <w:tcMar>
              <w:top w:w="113" w:type="dxa"/>
              <w:left w:w="113" w:type="dxa"/>
              <w:bottom w:w="113" w:type="dxa"/>
              <w:right w:w="113" w:type="dxa"/>
            </w:tcMar>
          </w:tcPr>
          <w:p w14:paraId="564696BC" w14:textId="77777777" w:rsidR="00BB2B23" w:rsidRPr="002C06E4" w:rsidRDefault="00BB2B23" w:rsidP="00F5693B">
            <w:pPr>
              <w:pStyle w:val="Tablesmalltext"/>
              <w:jc w:val="center"/>
              <w:rPr>
                <w:color w:val="auto"/>
              </w:rPr>
            </w:pPr>
            <w:r w:rsidRPr="002C06E4">
              <w:rPr>
                <w:color w:val="auto"/>
              </w:rPr>
              <w:t>41,039</w:t>
            </w:r>
          </w:p>
        </w:tc>
        <w:tc>
          <w:tcPr>
            <w:tcW w:w="1752" w:type="dxa"/>
            <w:shd w:val="clear" w:color="auto" w:fill="auto"/>
            <w:tcMar>
              <w:top w:w="113" w:type="dxa"/>
              <w:left w:w="113" w:type="dxa"/>
              <w:bottom w:w="113" w:type="dxa"/>
              <w:right w:w="113" w:type="dxa"/>
            </w:tcMar>
          </w:tcPr>
          <w:p w14:paraId="564696BD" w14:textId="77777777" w:rsidR="00BB2B23" w:rsidRPr="002C06E4" w:rsidRDefault="00BB2B23" w:rsidP="00F5693B">
            <w:pPr>
              <w:pStyle w:val="Tablesmalltext"/>
              <w:jc w:val="center"/>
              <w:rPr>
                <w:color w:val="auto"/>
              </w:rPr>
            </w:pPr>
            <w:r w:rsidRPr="002C06E4">
              <w:rPr>
                <w:color w:val="auto"/>
              </w:rPr>
              <w:t>41,039</w:t>
            </w:r>
          </w:p>
        </w:tc>
      </w:tr>
      <w:tr w:rsidR="00BB2B23" w:rsidRPr="002C06E4" w14:paraId="564696C4" w14:textId="77777777" w:rsidTr="002C06E4">
        <w:trPr>
          <w:trHeight w:val="210"/>
        </w:trPr>
        <w:tc>
          <w:tcPr>
            <w:tcW w:w="2419" w:type="dxa"/>
            <w:vMerge/>
            <w:shd w:val="clear" w:color="auto" w:fill="auto"/>
          </w:tcPr>
          <w:p w14:paraId="564696BF"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2154" w:type="dxa"/>
            <w:shd w:val="clear" w:color="auto" w:fill="auto"/>
            <w:tcMar>
              <w:top w:w="113" w:type="dxa"/>
              <w:left w:w="113" w:type="dxa"/>
              <w:bottom w:w="113" w:type="dxa"/>
              <w:right w:w="113" w:type="dxa"/>
            </w:tcMar>
          </w:tcPr>
          <w:p w14:paraId="564696C0" w14:textId="77777777" w:rsidR="00BB2B23" w:rsidRPr="002C06E4" w:rsidRDefault="00BB2B23" w:rsidP="00F5693B">
            <w:pPr>
              <w:pStyle w:val="Tablesmalltext"/>
              <w:rPr>
                <w:color w:val="auto"/>
              </w:rPr>
            </w:pPr>
            <w:r w:rsidRPr="002C06E4">
              <w:rPr>
                <w:color w:val="auto"/>
              </w:rPr>
              <w:t>Australian Government</w:t>
            </w:r>
          </w:p>
        </w:tc>
        <w:tc>
          <w:tcPr>
            <w:tcW w:w="761" w:type="dxa"/>
            <w:shd w:val="clear" w:color="auto" w:fill="auto"/>
            <w:tcMar>
              <w:top w:w="113" w:type="dxa"/>
              <w:left w:w="113" w:type="dxa"/>
              <w:bottom w:w="113" w:type="dxa"/>
              <w:right w:w="113" w:type="dxa"/>
            </w:tcMar>
          </w:tcPr>
          <w:p w14:paraId="564696C1" w14:textId="77777777" w:rsidR="00BB2B23" w:rsidRPr="002C06E4" w:rsidRDefault="00BB2B23" w:rsidP="00F5693B">
            <w:pPr>
              <w:pStyle w:val="Tablesmalltext"/>
              <w:jc w:val="center"/>
              <w:rPr>
                <w:color w:val="auto"/>
              </w:rPr>
            </w:pPr>
            <w:r w:rsidRPr="002C06E4">
              <w:rPr>
                <w:color w:val="auto"/>
              </w:rPr>
              <w:t>$000s</w:t>
            </w:r>
          </w:p>
        </w:tc>
        <w:tc>
          <w:tcPr>
            <w:tcW w:w="1701" w:type="dxa"/>
            <w:shd w:val="clear" w:color="auto" w:fill="auto"/>
            <w:tcMar>
              <w:top w:w="113" w:type="dxa"/>
              <w:left w:w="113" w:type="dxa"/>
              <w:bottom w:w="113" w:type="dxa"/>
              <w:right w:w="113" w:type="dxa"/>
            </w:tcMar>
          </w:tcPr>
          <w:p w14:paraId="564696C2" w14:textId="77777777" w:rsidR="00BB2B23" w:rsidRPr="002C06E4" w:rsidRDefault="00BB2B23" w:rsidP="00F5693B">
            <w:pPr>
              <w:pStyle w:val="Tablesmalltext"/>
              <w:jc w:val="center"/>
              <w:rPr>
                <w:color w:val="auto"/>
              </w:rPr>
            </w:pPr>
            <w:r w:rsidRPr="002C06E4">
              <w:rPr>
                <w:color w:val="auto"/>
              </w:rPr>
              <w:t>2830</w:t>
            </w:r>
          </w:p>
        </w:tc>
        <w:tc>
          <w:tcPr>
            <w:tcW w:w="1752" w:type="dxa"/>
            <w:shd w:val="clear" w:color="auto" w:fill="auto"/>
            <w:tcMar>
              <w:top w:w="113" w:type="dxa"/>
              <w:left w:w="113" w:type="dxa"/>
              <w:bottom w:w="113" w:type="dxa"/>
              <w:right w:w="113" w:type="dxa"/>
            </w:tcMar>
          </w:tcPr>
          <w:p w14:paraId="564696C3" w14:textId="77777777" w:rsidR="00BB2B23" w:rsidRPr="002C06E4" w:rsidRDefault="00BB2B23" w:rsidP="00F5693B">
            <w:pPr>
              <w:pStyle w:val="Tablesmalltext"/>
              <w:jc w:val="center"/>
              <w:rPr>
                <w:color w:val="auto"/>
              </w:rPr>
            </w:pPr>
            <w:r w:rsidRPr="002C06E4">
              <w:rPr>
                <w:color w:val="auto"/>
              </w:rPr>
              <w:t>2830</w:t>
            </w:r>
          </w:p>
        </w:tc>
      </w:tr>
      <w:tr w:rsidR="00BB2B23" w:rsidRPr="002C06E4" w14:paraId="564696CB" w14:textId="77777777" w:rsidTr="002C06E4">
        <w:trPr>
          <w:trHeight w:val="210"/>
        </w:trPr>
        <w:tc>
          <w:tcPr>
            <w:tcW w:w="2419" w:type="dxa"/>
            <w:vMerge w:val="restart"/>
            <w:shd w:val="clear" w:color="auto" w:fill="auto"/>
            <w:tcMar>
              <w:top w:w="113" w:type="dxa"/>
              <w:left w:w="113" w:type="dxa"/>
              <w:bottom w:w="113" w:type="dxa"/>
              <w:right w:w="113" w:type="dxa"/>
            </w:tcMar>
          </w:tcPr>
          <w:p w14:paraId="564696C5" w14:textId="77777777" w:rsidR="00BB2B23" w:rsidRPr="002C06E4" w:rsidRDefault="00BB2B23" w:rsidP="00F5693B">
            <w:pPr>
              <w:pStyle w:val="Tablesmalltext"/>
              <w:rPr>
                <w:rStyle w:val="TextBold"/>
                <w:color w:val="auto"/>
              </w:rPr>
            </w:pPr>
            <w:r w:rsidRPr="002C06E4">
              <w:rPr>
                <w:rStyle w:val="TextBold"/>
                <w:color w:val="auto"/>
              </w:rPr>
              <w:t>Administrative cost</w:t>
            </w:r>
          </w:p>
          <w:p w14:paraId="564696C6" w14:textId="77777777" w:rsidR="00BB2B23" w:rsidRPr="002C06E4" w:rsidRDefault="00BB2B23" w:rsidP="00F5693B">
            <w:pPr>
              <w:pStyle w:val="Tablesmalltext"/>
              <w:rPr>
                <w:color w:val="auto"/>
              </w:rPr>
            </w:pPr>
            <w:r w:rsidRPr="002C06E4">
              <w:rPr>
                <w:rStyle w:val="TextBold"/>
                <w:color w:val="auto"/>
              </w:rPr>
              <w:t> </w:t>
            </w:r>
          </w:p>
        </w:tc>
        <w:tc>
          <w:tcPr>
            <w:tcW w:w="2154" w:type="dxa"/>
            <w:shd w:val="clear" w:color="auto" w:fill="auto"/>
            <w:tcMar>
              <w:top w:w="113" w:type="dxa"/>
              <w:left w:w="113" w:type="dxa"/>
              <w:bottom w:w="113" w:type="dxa"/>
              <w:right w:w="113" w:type="dxa"/>
            </w:tcMar>
          </w:tcPr>
          <w:p w14:paraId="564696C7" w14:textId="77777777" w:rsidR="00BB2B23" w:rsidRPr="002C06E4" w:rsidRDefault="00BB2B23" w:rsidP="00F5693B">
            <w:pPr>
              <w:pStyle w:val="Tablesmalltext"/>
              <w:rPr>
                <w:color w:val="auto"/>
              </w:rPr>
            </w:pPr>
            <w:r w:rsidRPr="002C06E4">
              <w:rPr>
                <w:color w:val="auto"/>
              </w:rPr>
              <w:t>Equipment owners</w:t>
            </w:r>
          </w:p>
        </w:tc>
        <w:tc>
          <w:tcPr>
            <w:tcW w:w="761" w:type="dxa"/>
            <w:shd w:val="clear" w:color="auto" w:fill="auto"/>
            <w:tcMar>
              <w:top w:w="113" w:type="dxa"/>
              <w:left w:w="113" w:type="dxa"/>
              <w:bottom w:w="113" w:type="dxa"/>
              <w:right w:w="113" w:type="dxa"/>
            </w:tcMar>
          </w:tcPr>
          <w:p w14:paraId="564696C8" w14:textId="77777777" w:rsidR="00BB2B23" w:rsidRPr="002C06E4" w:rsidRDefault="00BB2B23" w:rsidP="00F5693B">
            <w:pPr>
              <w:pStyle w:val="Tablesmalltext"/>
              <w:jc w:val="center"/>
              <w:rPr>
                <w:color w:val="auto"/>
              </w:rPr>
            </w:pPr>
            <w:r w:rsidRPr="002C06E4">
              <w:rPr>
                <w:color w:val="auto"/>
              </w:rPr>
              <w:t>$000s</w:t>
            </w:r>
          </w:p>
        </w:tc>
        <w:tc>
          <w:tcPr>
            <w:tcW w:w="1701" w:type="dxa"/>
            <w:shd w:val="clear" w:color="auto" w:fill="auto"/>
            <w:tcMar>
              <w:top w:w="113" w:type="dxa"/>
              <w:left w:w="113" w:type="dxa"/>
              <w:bottom w:w="113" w:type="dxa"/>
              <w:right w:w="113" w:type="dxa"/>
            </w:tcMar>
          </w:tcPr>
          <w:p w14:paraId="564696C9" w14:textId="77777777" w:rsidR="00BB2B23" w:rsidRPr="002C06E4" w:rsidRDefault="00BB2B23" w:rsidP="00F5693B">
            <w:pPr>
              <w:pStyle w:val="Tablesmalltext"/>
              <w:jc w:val="center"/>
              <w:rPr>
                <w:color w:val="auto"/>
              </w:rPr>
            </w:pPr>
            <w:r w:rsidRPr="002C06E4">
              <w:rPr>
                <w:color w:val="auto"/>
              </w:rPr>
              <w:t>76,234</w:t>
            </w:r>
          </w:p>
        </w:tc>
        <w:tc>
          <w:tcPr>
            <w:tcW w:w="1752" w:type="dxa"/>
            <w:shd w:val="clear" w:color="auto" w:fill="auto"/>
            <w:tcMar>
              <w:top w:w="113" w:type="dxa"/>
              <w:left w:w="113" w:type="dxa"/>
              <w:bottom w:w="113" w:type="dxa"/>
              <w:right w:w="113" w:type="dxa"/>
            </w:tcMar>
          </w:tcPr>
          <w:p w14:paraId="564696CA" w14:textId="77777777" w:rsidR="00BB2B23" w:rsidRPr="002C06E4" w:rsidRDefault="00BB2B23" w:rsidP="00F5693B">
            <w:pPr>
              <w:pStyle w:val="Tablesmalltext"/>
              <w:jc w:val="center"/>
              <w:rPr>
                <w:color w:val="auto"/>
              </w:rPr>
            </w:pPr>
            <w:r w:rsidRPr="002C06E4">
              <w:rPr>
                <w:color w:val="auto"/>
              </w:rPr>
              <w:t>209,731</w:t>
            </w:r>
          </w:p>
        </w:tc>
      </w:tr>
      <w:tr w:rsidR="00BB2B23" w:rsidRPr="002C06E4" w14:paraId="564696D1" w14:textId="77777777" w:rsidTr="002C06E4">
        <w:trPr>
          <w:trHeight w:val="210"/>
        </w:trPr>
        <w:tc>
          <w:tcPr>
            <w:tcW w:w="2419" w:type="dxa"/>
            <w:vMerge/>
            <w:shd w:val="clear" w:color="auto" w:fill="auto"/>
          </w:tcPr>
          <w:p w14:paraId="564696CC" w14:textId="77777777" w:rsidR="00BB2B23" w:rsidRPr="002C06E4" w:rsidRDefault="00BB2B23" w:rsidP="00F5693B">
            <w:pPr>
              <w:pStyle w:val="NoParagraphStyle"/>
              <w:spacing w:line="240" w:lineRule="auto"/>
              <w:textAlignment w:val="auto"/>
              <w:rPr>
                <w:rFonts w:ascii="Myriad Pro" w:hAnsi="Myriad Pro" w:cstheme="minorBidi"/>
                <w:color w:val="auto"/>
                <w:lang w:val="en-AU"/>
              </w:rPr>
            </w:pPr>
          </w:p>
        </w:tc>
        <w:tc>
          <w:tcPr>
            <w:tcW w:w="2154" w:type="dxa"/>
            <w:shd w:val="clear" w:color="auto" w:fill="auto"/>
            <w:tcMar>
              <w:top w:w="113" w:type="dxa"/>
              <w:left w:w="113" w:type="dxa"/>
              <w:bottom w:w="113" w:type="dxa"/>
              <w:right w:w="113" w:type="dxa"/>
            </w:tcMar>
          </w:tcPr>
          <w:p w14:paraId="564696CD" w14:textId="77777777" w:rsidR="00BB2B23" w:rsidRPr="002C06E4" w:rsidRDefault="00BB2B23" w:rsidP="00F5693B">
            <w:pPr>
              <w:pStyle w:val="Tablesmalltext"/>
              <w:rPr>
                <w:color w:val="auto"/>
              </w:rPr>
            </w:pPr>
            <w:r w:rsidRPr="002C06E4">
              <w:rPr>
                <w:color w:val="auto"/>
              </w:rPr>
              <w:t>Australian Government</w:t>
            </w:r>
          </w:p>
        </w:tc>
        <w:tc>
          <w:tcPr>
            <w:tcW w:w="761" w:type="dxa"/>
            <w:shd w:val="clear" w:color="auto" w:fill="auto"/>
            <w:tcMar>
              <w:top w:w="113" w:type="dxa"/>
              <w:left w:w="113" w:type="dxa"/>
              <w:bottom w:w="113" w:type="dxa"/>
              <w:right w:w="113" w:type="dxa"/>
            </w:tcMar>
          </w:tcPr>
          <w:p w14:paraId="564696CE" w14:textId="77777777" w:rsidR="00BB2B23" w:rsidRPr="002C06E4" w:rsidRDefault="00BB2B23" w:rsidP="00F5693B">
            <w:pPr>
              <w:pStyle w:val="Tablesmalltext"/>
              <w:jc w:val="center"/>
              <w:rPr>
                <w:color w:val="auto"/>
              </w:rPr>
            </w:pPr>
            <w:r w:rsidRPr="002C06E4">
              <w:rPr>
                <w:color w:val="auto"/>
              </w:rPr>
              <w:t>$000s</w:t>
            </w:r>
          </w:p>
        </w:tc>
        <w:tc>
          <w:tcPr>
            <w:tcW w:w="1701" w:type="dxa"/>
            <w:shd w:val="clear" w:color="auto" w:fill="auto"/>
            <w:tcMar>
              <w:top w:w="113" w:type="dxa"/>
              <w:left w:w="113" w:type="dxa"/>
              <w:bottom w:w="113" w:type="dxa"/>
              <w:right w:w="113" w:type="dxa"/>
            </w:tcMar>
          </w:tcPr>
          <w:p w14:paraId="564696CF" w14:textId="77777777" w:rsidR="00BB2B23" w:rsidRPr="002C06E4" w:rsidRDefault="00BB2B23" w:rsidP="00F5693B">
            <w:pPr>
              <w:pStyle w:val="Tablesmalltext"/>
              <w:jc w:val="center"/>
              <w:rPr>
                <w:color w:val="auto"/>
              </w:rPr>
            </w:pPr>
            <w:r w:rsidRPr="002C06E4">
              <w:rPr>
                <w:color w:val="auto"/>
              </w:rPr>
              <w:t>858</w:t>
            </w:r>
          </w:p>
        </w:tc>
        <w:tc>
          <w:tcPr>
            <w:tcW w:w="1752" w:type="dxa"/>
            <w:shd w:val="clear" w:color="auto" w:fill="auto"/>
            <w:tcMar>
              <w:top w:w="113" w:type="dxa"/>
              <w:left w:w="113" w:type="dxa"/>
              <w:bottom w:w="113" w:type="dxa"/>
              <w:right w:w="113" w:type="dxa"/>
            </w:tcMar>
          </w:tcPr>
          <w:p w14:paraId="564696D0" w14:textId="77777777" w:rsidR="00BB2B23" w:rsidRPr="002C06E4" w:rsidRDefault="00BB2B23" w:rsidP="00F5693B">
            <w:pPr>
              <w:pStyle w:val="Tablesmalltext"/>
              <w:jc w:val="center"/>
              <w:rPr>
                <w:color w:val="auto"/>
              </w:rPr>
            </w:pPr>
            <w:r w:rsidRPr="002C06E4">
              <w:rPr>
                <w:color w:val="auto"/>
              </w:rPr>
              <w:t>3742</w:t>
            </w:r>
          </w:p>
        </w:tc>
      </w:tr>
      <w:tr w:rsidR="00BB2B23" w:rsidRPr="002C06E4" w14:paraId="564696D6" w14:textId="77777777" w:rsidTr="002C06E4">
        <w:trPr>
          <w:trHeight w:val="210"/>
        </w:trPr>
        <w:tc>
          <w:tcPr>
            <w:tcW w:w="4573" w:type="dxa"/>
            <w:gridSpan w:val="2"/>
            <w:shd w:val="clear" w:color="auto" w:fill="auto"/>
            <w:tcMar>
              <w:top w:w="113" w:type="dxa"/>
              <w:left w:w="113" w:type="dxa"/>
              <w:bottom w:w="113" w:type="dxa"/>
              <w:right w:w="113" w:type="dxa"/>
            </w:tcMar>
          </w:tcPr>
          <w:p w14:paraId="564696D2" w14:textId="77777777" w:rsidR="00BB2B23" w:rsidRPr="002C06E4" w:rsidRDefault="00BB2B23" w:rsidP="00F5693B">
            <w:pPr>
              <w:pStyle w:val="Tablesmalltext"/>
              <w:rPr>
                <w:color w:val="auto"/>
              </w:rPr>
            </w:pPr>
            <w:r w:rsidRPr="002C06E4">
              <w:rPr>
                <w:rStyle w:val="TextBold"/>
                <w:color w:val="auto"/>
              </w:rPr>
              <w:t>Total costs </w:t>
            </w:r>
          </w:p>
        </w:tc>
        <w:tc>
          <w:tcPr>
            <w:tcW w:w="761" w:type="dxa"/>
            <w:shd w:val="clear" w:color="auto" w:fill="auto"/>
            <w:tcMar>
              <w:top w:w="113" w:type="dxa"/>
              <w:left w:w="113" w:type="dxa"/>
              <w:bottom w:w="113" w:type="dxa"/>
              <w:right w:w="113" w:type="dxa"/>
            </w:tcMar>
          </w:tcPr>
          <w:p w14:paraId="564696D3" w14:textId="77777777" w:rsidR="00BB2B23" w:rsidRPr="002C06E4" w:rsidRDefault="00BB2B23" w:rsidP="00F5693B">
            <w:pPr>
              <w:pStyle w:val="Tablesmalltext"/>
              <w:jc w:val="center"/>
              <w:rPr>
                <w:color w:val="auto"/>
              </w:rPr>
            </w:pPr>
            <w:r w:rsidRPr="002C06E4">
              <w:rPr>
                <w:rStyle w:val="TextBold"/>
                <w:color w:val="auto"/>
              </w:rPr>
              <w:t>$000s</w:t>
            </w:r>
          </w:p>
        </w:tc>
        <w:tc>
          <w:tcPr>
            <w:tcW w:w="1701" w:type="dxa"/>
            <w:shd w:val="clear" w:color="auto" w:fill="auto"/>
            <w:tcMar>
              <w:top w:w="113" w:type="dxa"/>
              <w:left w:w="113" w:type="dxa"/>
              <w:bottom w:w="113" w:type="dxa"/>
              <w:right w:w="113" w:type="dxa"/>
            </w:tcMar>
          </w:tcPr>
          <w:p w14:paraId="564696D4" w14:textId="77777777" w:rsidR="00BB2B23" w:rsidRPr="002C06E4" w:rsidRDefault="00BB2B23" w:rsidP="00F5693B">
            <w:pPr>
              <w:pStyle w:val="Tablesmalltext"/>
              <w:jc w:val="center"/>
              <w:rPr>
                <w:color w:val="auto"/>
              </w:rPr>
            </w:pPr>
            <w:r w:rsidRPr="002C06E4">
              <w:rPr>
                <w:rStyle w:val="TextBold"/>
                <w:color w:val="auto"/>
              </w:rPr>
              <w:t>372,939</w:t>
            </w:r>
          </w:p>
        </w:tc>
        <w:tc>
          <w:tcPr>
            <w:tcW w:w="1752" w:type="dxa"/>
            <w:shd w:val="clear" w:color="auto" w:fill="auto"/>
            <w:tcMar>
              <w:top w:w="113" w:type="dxa"/>
              <w:left w:w="113" w:type="dxa"/>
              <w:bottom w:w="113" w:type="dxa"/>
              <w:right w:w="113" w:type="dxa"/>
            </w:tcMar>
          </w:tcPr>
          <w:p w14:paraId="564696D5" w14:textId="77777777" w:rsidR="00BB2B23" w:rsidRPr="002C06E4" w:rsidRDefault="00BB2B23" w:rsidP="00F5693B">
            <w:pPr>
              <w:pStyle w:val="Tablesmalltext"/>
              <w:jc w:val="center"/>
              <w:rPr>
                <w:color w:val="auto"/>
              </w:rPr>
            </w:pPr>
            <w:r w:rsidRPr="002C06E4">
              <w:rPr>
                <w:rStyle w:val="TextBold"/>
                <w:color w:val="auto"/>
              </w:rPr>
              <w:t>937,070</w:t>
            </w:r>
          </w:p>
        </w:tc>
      </w:tr>
      <w:tr w:rsidR="00BB2B23" w:rsidRPr="002C06E4" w14:paraId="564696DB" w14:textId="77777777" w:rsidTr="002C06E4">
        <w:trPr>
          <w:trHeight w:val="210"/>
        </w:trPr>
        <w:tc>
          <w:tcPr>
            <w:tcW w:w="4573" w:type="dxa"/>
            <w:gridSpan w:val="2"/>
            <w:shd w:val="clear" w:color="auto" w:fill="auto"/>
            <w:tcMar>
              <w:top w:w="113" w:type="dxa"/>
              <w:left w:w="113" w:type="dxa"/>
              <w:bottom w:w="113" w:type="dxa"/>
              <w:right w:w="113" w:type="dxa"/>
            </w:tcMar>
          </w:tcPr>
          <w:p w14:paraId="564696D7" w14:textId="77777777" w:rsidR="00BB2B23" w:rsidRPr="002C06E4" w:rsidRDefault="00BB2B23" w:rsidP="00F5693B">
            <w:pPr>
              <w:pStyle w:val="Tablesmalltext"/>
              <w:rPr>
                <w:color w:val="auto"/>
              </w:rPr>
            </w:pPr>
            <w:r w:rsidRPr="002C06E4">
              <w:rPr>
                <w:rStyle w:val="TextBold"/>
                <w:color w:val="auto"/>
              </w:rPr>
              <w:t>Benefit to cost ratio</w:t>
            </w:r>
          </w:p>
        </w:tc>
        <w:tc>
          <w:tcPr>
            <w:tcW w:w="761" w:type="dxa"/>
            <w:shd w:val="clear" w:color="auto" w:fill="auto"/>
            <w:tcMar>
              <w:top w:w="113" w:type="dxa"/>
              <w:left w:w="113" w:type="dxa"/>
              <w:bottom w:w="113" w:type="dxa"/>
              <w:right w:w="113" w:type="dxa"/>
            </w:tcMar>
          </w:tcPr>
          <w:p w14:paraId="564696D8" w14:textId="77777777" w:rsidR="00BB2B23" w:rsidRPr="002C06E4" w:rsidRDefault="00BB2B23" w:rsidP="00F5693B">
            <w:pPr>
              <w:pStyle w:val="Tablesmalltext"/>
              <w:jc w:val="center"/>
              <w:rPr>
                <w:color w:val="auto"/>
              </w:rPr>
            </w:pPr>
            <w:r w:rsidRPr="002C06E4">
              <w:rPr>
                <w:rStyle w:val="TextBold"/>
                <w:color w:val="auto"/>
              </w:rPr>
              <w:t>ratio</w:t>
            </w:r>
          </w:p>
        </w:tc>
        <w:tc>
          <w:tcPr>
            <w:tcW w:w="1701" w:type="dxa"/>
            <w:shd w:val="clear" w:color="auto" w:fill="auto"/>
            <w:tcMar>
              <w:top w:w="113" w:type="dxa"/>
              <w:left w:w="113" w:type="dxa"/>
              <w:bottom w:w="113" w:type="dxa"/>
              <w:right w:w="113" w:type="dxa"/>
            </w:tcMar>
          </w:tcPr>
          <w:p w14:paraId="564696D9" w14:textId="77777777" w:rsidR="00BB2B23" w:rsidRPr="002C06E4" w:rsidRDefault="00BB2B23" w:rsidP="00F5693B">
            <w:pPr>
              <w:pStyle w:val="Tablesmalltext"/>
              <w:jc w:val="center"/>
              <w:rPr>
                <w:color w:val="auto"/>
              </w:rPr>
            </w:pPr>
            <w:r w:rsidRPr="002C06E4">
              <w:rPr>
                <w:rStyle w:val="TextBold"/>
                <w:color w:val="auto"/>
              </w:rPr>
              <w:t>0.5</w:t>
            </w:r>
          </w:p>
        </w:tc>
        <w:tc>
          <w:tcPr>
            <w:tcW w:w="1752" w:type="dxa"/>
            <w:shd w:val="clear" w:color="auto" w:fill="auto"/>
            <w:tcMar>
              <w:top w:w="113" w:type="dxa"/>
              <w:left w:w="113" w:type="dxa"/>
              <w:bottom w:w="113" w:type="dxa"/>
              <w:right w:w="113" w:type="dxa"/>
            </w:tcMar>
          </w:tcPr>
          <w:p w14:paraId="564696DA" w14:textId="77777777" w:rsidR="00BB2B23" w:rsidRPr="002C06E4" w:rsidRDefault="00BB2B23" w:rsidP="00F5693B">
            <w:pPr>
              <w:pStyle w:val="Tablesmalltext"/>
              <w:jc w:val="center"/>
              <w:rPr>
                <w:color w:val="auto"/>
              </w:rPr>
            </w:pPr>
            <w:r w:rsidRPr="002C06E4">
              <w:rPr>
                <w:rStyle w:val="TextBold"/>
                <w:color w:val="auto"/>
              </w:rPr>
              <w:t>0.6</w:t>
            </w:r>
          </w:p>
        </w:tc>
      </w:tr>
    </w:tbl>
    <w:p w14:paraId="564696DC" w14:textId="77777777" w:rsidR="00BB2B23" w:rsidRPr="00AC69B2" w:rsidRDefault="00BB2B23" w:rsidP="00AC69B2">
      <w:pPr>
        <w:pStyle w:val="FootnoteText1"/>
        <w:rPr>
          <w:rStyle w:val="FootnoteReference1"/>
          <w:vertAlign w:val="baseline"/>
        </w:rPr>
      </w:pPr>
      <w:r w:rsidRPr="00AC69B2">
        <w:rPr>
          <w:rStyle w:val="FootnoteReference1"/>
          <w:vertAlign w:val="baseline"/>
        </w:rPr>
        <w:t>Source: Jacobs’ analysis</w:t>
      </w:r>
    </w:p>
    <w:p w14:paraId="564696DD" w14:textId="77777777" w:rsidR="00BB2B23" w:rsidRDefault="00BB2B23" w:rsidP="00BB2B23">
      <w:pPr>
        <w:pStyle w:val="Text"/>
      </w:pPr>
    </w:p>
    <w:p w14:paraId="564696DE" w14:textId="77777777" w:rsidR="00BB2B23" w:rsidRDefault="00BB2B23" w:rsidP="00BB2B23">
      <w:pPr>
        <w:pStyle w:val="Subhead3"/>
      </w:pPr>
      <w:r>
        <w:t>Cost-Benefit Analysis Results—Mandatory maintenance</w:t>
      </w:r>
    </w:p>
    <w:p w14:paraId="564696DF" w14:textId="77777777" w:rsidR="00BB2B23" w:rsidRDefault="00BB2B23" w:rsidP="00BB2B23">
      <w:pPr>
        <w:pStyle w:val="Text"/>
      </w:pPr>
      <w:r>
        <w:t xml:space="preserve">Table 8 summarises the CBA results. </w:t>
      </w:r>
    </w:p>
    <w:p w14:paraId="564696E0" w14:textId="77777777" w:rsidR="00BB2B23" w:rsidRDefault="00BB2B23" w:rsidP="00BB2B23">
      <w:pPr>
        <w:pStyle w:val="Text"/>
      </w:pPr>
      <w:r>
        <w:t>More information can be found in the Jacobs report on pages 43 to 45.</w:t>
      </w:r>
    </w:p>
    <w:p w14:paraId="564696E1" w14:textId="77777777" w:rsidR="00BB2B23" w:rsidRDefault="00BB2B23" w:rsidP="00BB2B23">
      <w:pPr>
        <w:pStyle w:val="Tabletitle"/>
      </w:pPr>
      <w:r>
        <w:t xml:space="preserve">Table 8: Cost-benefit analysis for maintenance scenario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9"/>
        <w:gridCol w:w="2154"/>
        <w:gridCol w:w="799"/>
        <w:gridCol w:w="1701"/>
        <w:gridCol w:w="1701"/>
      </w:tblGrid>
      <w:tr w:rsidR="00BB2B23" w:rsidRPr="00325963" w14:paraId="564696E6" w14:textId="77777777" w:rsidTr="00325963">
        <w:trPr>
          <w:trHeight w:val="346"/>
          <w:tblHeader/>
        </w:trPr>
        <w:tc>
          <w:tcPr>
            <w:tcW w:w="4573" w:type="dxa"/>
            <w:gridSpan w:val="2"/>
            <w:shd w:val="clear" w:color="auto" w:fill="auto"/>
            <w:tcMar>
              <w:top w:w="113" w:type="dxa"/>
              <w:left w:w="113" w:type="dxa"/>
              <w:bottom w:w="113" w:type="dxa"/>
              <w:right w:w="113" w:type="dxa"/>
            </w:tcMar>
          </w:tcPr>
          <w:p w14:paraId="564696E2" w14:textId="77777777" w:rsidR="00BB2B23" w:rsidRPr="00325963" w:rsidRDefault="00BB2B23" w:rsidP="00F5693B">
            <w:pPr>
              <w:pStyle w:val="Tablesmallheading"/>
              <w:rPr>
                <w:color w:val="auto"/>
              </w:rPr>
            </w:pPr>
            <w:r w:rsidRPr="00325963">
              <w:rPr>
                <w:color w:val="auto"/>
              </w:rPr>
              <w:t> </w:t>
            </w:r>
          </w:p>
        </w:tc>
        <w:tc>
          <w:tcPr>
            <w:tcW w:w="799" w:type="dxa"/>
            <w:shd w:val="clear" w:color="auto" w:fill="auto"/>
            <w:tcMar>
              <w:top w:w="113" w:type="dxa"/>
              <w:left w:w="113" w:type="dxa"/>
              <w:bottom w:w="113" w:type="dxa"/>
              <w:right w:w="113" w:type="dxa"/>
            </w:tcMar>
          </w:tcPr>
          <w:p w14:paraId="564696E3" w14:textId="77777777" w:rsidR="00BB2B23" w:rsidRPr="00325963" w:rsidRDefault="00BB2B23" w:rsidP="00F5693B">
            <w:pPr>
              <w:pStyle w:val="Tablesmallheading"/>
              <w:jc w:val="center"/>
              <w:rPr>
                <w:color w:val="auto"/>
              </w:rPr>
            </w:pPr>
            <w:r w:rsidRPr="00325963">
              <w:rPr>
                <w:color w:val="auto"/>
              </w:rPr>
              <w:t>Unit</w:t>
            </w:r>
          </w:p>
        </w:tc>
        <w:tc>
          <w:tcPr>
            <w:tcW w:w="1701" w:type="dxa"/>
            <w:shd w:val="clear" w:color="auto" w:fill="auto"/>
            <w:tcMar>
              <w:top w:w="113" w:type="dxa"/>
              <w:left w:w="113" w:type="dxa"/>
              <w:bottom w:w="113" w:type="dxa"/>
              <w:right w:w="113" w:type="dxa"/>
            </w:tcMar>
          </w:tcPr>
          <w:p w14:paraId="564696E4" w14:textId="77777777" w:rsidR="00BB2B23" w:rsidRPr="00325963" w:rsidRDefault="00BB2B23" w:rsidP="00F5693B">
            <w:pPr>
              <w:pStyle w:val="Tablesmallheading"/>
              <w:jc w:val="center"/>
              <w:rPr>
                <w:color w:val="auto"/>
              </w:rPr>
            </w:pPr>
            <w:r w:rsidRPr="00325963">
              <w:rPr>
                <w:color w:val="auto"/>
              </w:rPr>
              <w:t xml:space="preserve">NPV, 2016–2020 </w:t>
            </w:r>
          </w:p>
        </w:tc>
        <w:tc>
          <w:tcPr>
            <w:tcW w:w="1701" w:type="dxa"/>
            <w:shd w:val="clear" w:color="auto" w:fill="auto"/>
            <w:tcMar>
              <w:top w:w="113" w:type="dxa"/>
              <w:left w:w="113" w:type="dxa"/>
              <w:bottom w:w="113" w:type="dxa"/>
              <w:right w:w="113" w:type="dxa"/>
            </w:tcMar>
          </w:tcPr>
          <w:p w14:paraId="564696E5" w14:textId="77777777" w:rsidR="00BB2B23" w:rsidRPr="00325963" w:rsidRDefault="00BB2B23" w:rsidP="00F5693B">
            <w:pPr>
              <w:pStyle w:val="Tablesmallheading"/>
              <w:jc w:val="center"/>
              <w:rPr>
                <w:color w:val="auto"/>
              </w:rPr>
            </w:pPr>
            <w:r w:rsidRPr="00325963">
              <w:rPr>
                <w:color w:val="auto"/>
              </w:rPr>
              <w:t xml:space="preserve">NPV, 2016–2030 </w:t>
            </w:r>
          </w:p>
        </w:tc>
      </w:tr>
      <w:tr w:rsidR="00BB2B23" w:rsidRPr="00325963" w14:paraId="564696EB" w14:textId="77777777" w:rsidTr="00325963">
        <w:trPr>
          <w:trHeight w:val="210"/>
        </w:trPr>
        <w:tc>
          <w:tcPr>
            <w:tcW w:w="4573" w:type="dxa"/>
            <w:gridSpan w:val="2"/>
            <w:shd w:val="clear" w:color="auto" w:fill="auto"/>
            <w:tcMar>
              <w:top w:w="113" w:type="dxa"/>
              <w:left w:w="113" w:type="dxa"/>
              <w:bottom w:w="113" w:type="dxa"/>
              <w:right w:w="113" w:type="dxa"/>
            </w:tcMar>
          </w:tcPr>
          <w:p w14:paraId="564696E7" w14:textId="77777777" w:rsidR="00BB2B23" w:rsidRPr="00325963" w:rsidRDefault="00BB2B23" w:rsidP="00F5693B">
            <w:pPr>
              <w:pStyle w:val="Tablesmalltext"/>
              <w:rPr>
                <w:color w:val="auto"/>
              </w:rPr>
            </w:pPr>
            <w:r w:rsidRPr="00325963">
              <w:rPr>
                <w:rStyle w:val="TextBold"/>
                <w:color w:val="auto"/>
              </w:rPr>
              <w:t>Net Benefits—Maintenance</w:t>
            </w:r>
          </w:p>
        </w:tc>
        <w:tc>
          <w:tcPr>
            <w:tcW w:w="799" w:type="dxa"/>
            <w:shd w:val="clear" w:color="auto" w:fill="auto"/>
            <w:tcMar>
              <w:top w:w="113" w:type="dxa"/>
              <w:left w:w="113" w:type="dxa"/>
              <w:bottom w:w="113" w:type="dxa"/>
              <w:right w:w="113" w:type="dxa"/>
            </w:tcMar>
          </w:tcPr>
          <w:p w14:paraId="564696E8" w14:textId="77777777" w:rsidR="00BB2B23" w:rsidRPr="00325963" w:rsidRDefault="00BB2B23" w:rsidP="00F5693B">
            <w:pPr>
              <w:pStyle w:val="Tablesmalltext"/>
              <w:jc w:val="center"/>
              <w:rPr>
                <w:color w:val="auto"/>
              </w:rPr>
            </w:pPr>
            <w:r w:rsidRPr="00325963">
              <w:rPr>
                <w:rStyle w:val="TextBold"/>
                <w:color w:val="auto"/>
              </w:rPr>
              <w:t>$000s</w:t>
            </w:r>
          </w:p>
        </w:tc>
        <w:tc>
          <w:tcPr>
            <w:tcW w:w="1701" w:type="dxa"/>
            <w:shd w:val="clear" w:color="auto" w:fill="auto"/>
            <w:tcMar>
              <w:top w:w="113" w:type="dxa"/>
              <w:left w:w="113" w:type="dxa"/>
              <w:bottom w:w="113" w:type="dxa"/>
              <w:right w:w="113" w:type="dxa"/>
            </w:tcMar>
          </w:tcPr>
          <w:p w14:paraId="564696E9" w14:textId="77777777" w:rsidR="00BB2B23" w:rsidRPr="00325963" w:rsidRDefault="00BB2B23" w:rsidP="00F5693B">
            <w:pPr>
              <w:pStyle w:val="Tablesmalltext"/>
              <w:jc w:val="center"/>
              <w:rPr>
                <w:color w:val="auto"/>
              </w:rPr>
            </w:pPr>
            <w:r w:rsidRPr="00325963">
              <w:rPr>
                <w:rStyle w:val="TextBold"/>
                <w:color w:val="auto"/>
              </w:rPr>
              <w:t>-36,528</w:t>
            </w:r>
          </w:p>
        </w:tc>
        <w:tc>
          <w:tcPr>
            <w:tcW w:w="1701" w:type="dxa"/>
            <w:shd w:val="clear" w:color="auto" w:fill="auto"/>
            <w:tcMar>
              <w:top w:w="113" w:type="dxa"/>
              <w:left w:w="113" w:type="dxa"/>
              <w:bottom w:w="113" w:type="dxa"/>
              <w:right w:w="113" w:type="dxa"/>
            </w:tcMar>
          </w:tcPr>
          <w:p w14:paraId="564696EA" w14:textId="77777777" w:rsidR="00BB2B23" w:rsidRPr="00325963" w:rsidRDefault="00BB2B23" w:rsidP="00F5693B">
            <w:pPr>
              <w:pStyle w:val="Tablesmalltext"/>
              <w:jc w:val="center"/>
              <w:rPr>
                <w:color w:val="auto"/>
              </w:rPr>
            </w:pPr>
            <w:r w:rsidRPr="00325963">
              <w:rPr>
                <w:rStyle w:val="TextBold"/>
                <w:color w:val="auto"/>
              </w:rPr>
              <w:t>105,506</w:t>
            </w:r>
          </w:p>
        </w:tc>
      </w:tr>
      <w:tr w:rsidR="00BB2B23" w:rsidRPr="00325963" w14:paraId="564696ED" w14:textId="77777777" w:rsidTr="00325963">
        <w:trPr>
          <w:trHeight w:val="210"/>
        </w:trPr>
        <w:tc>
          <w:tcPr>
            <w:tcW w:w="8774" w:type="dxa"/>
            <w:gridSpan w:val="5"/>
            <w:shd w:val="clear" w:color="auto" w:fill="auto"/>
            <w:tcMar>
              <w:top w:w="113" w:type="dxa"/>
              <w:left w:w="113" w:type="dxa"/>
              <w:bottom w:w="113" w:type="dxa"/>
              <w:right w:w="113" w:type="dxa"/>
            </w:tcMar>
          </w:tcPr>
          <w:p w14:paraId="564696EC" w14:textId="77777777" w:rsidR="00BB2B23" w:rsidRPr="00325963" w:rsidRDefault="00BB2B23" w:rsidP="00F5693B">
            <w:pPr>
              <w:pStyle w:val="Tablesmalltext"/>
              <w:rPr>
                <w:color w:val="auto"/>
              </w:rPr>
            </w:pPr>
            <w:r w:rsidRPr="00325963">
              <w:rPr>
                <w:rStyle w:val="TextBold"/>
                <w:color w:val="auto"/>
              </w:rPr>
              <w:t>Benefits </w:t>
            </w:r>
          </w:p>
        </w:tc>
      </w:tr>
      <w:tr w:rsidR="00BB2B23" w:rsidRPr="00325963" w14:paraId="564696F3" w14:textId="77777777" w:rsidTr="00325963">
        <w:trPr>
          <w:trHeight w:val="60"/>
        </w:trPr>
        <w:tc>
          <w:tcPr>
            <w:tcW w:w="2419" w:type="dxa"/>
            <w:vMerge w:val="restart"/>
            <w:shd w:val="clear" w:color="auto" w:fill="auto"/>
            <w:tcMar>
              <w:top w:w="113" w:type="dxa"/>
              <w:left w:w="113" w:type="dxa"/>
              <w:bottom w:w="113" w:type="dxa"/>
              <w:right w:w="113" w:type="dxa"/>
            </w:tcMar>
          </w:tcPr>
          <w:p w14:paraId="564696EE" w14:textId="77777777" w:rsidR="00BB2B23" w:rsidRPr="00325963" w:rsidRDefault="00BB2B23" w:rsidP="00F5693B">
            <w:pPr>
              <w:pStyle w:val="Tablesmalltext"/>
              <w:rPr>
                <w:color w:val="auto"/>
              </w:rPr>
            </w:pPr>
            <w:r w:rsidRPr="00325963">
              <w:rPr>
                <w:rStyle w:val="TextBold"/>
                <w:color w:val="auto"/>
              </w:rPr>
              <w:t>Carbon Costs</w:t>
            </w:r>
          </w:p>
        </w:tc>
        <w:tc>
          <w:tcPr>
            <w:tcW w:w="2154" w:type="dxa"/>
            <w:shd w:val="clear" w:color="auto" w:fill="auto"/>
            <w:tcMar>
              <w:top w:w="113" w:type="dxa"/>
              <w:left w:w="113" w:type="dxa"/>
              <w:bottom w:w="113" w:type="dxa"/>
              <w:right w:w="113" w:type="dxa"/>
            </w:tcMar>
          </w:tcPr>
          <w:p w14:paraId="564696EF" w14:textId="77777777" w:rsidR="00BB2B23" w:rsidRPr="00325963" w:rsidRDefault="00BB2B23" w:rsidP="00F5693B">
            <w:pPr>
              <w:pStyle w:val="Tablesmalltext"/>
              <w:rPr>
                <w:color w:val="auto"/>
              </w:rPr>
            </w:pPr>
            <w:r w:rsidRPr="00325963">
              <w:rPr>
                <w:color w:val="auto"/>
              </w:rPr>
              <w:t xml:space="preserve">Direct </w:t>
            </w:r>
          </w:p>
        </w:tc>
        <w:tc>
          <w:tcPr>
            <w:tcW w:w="799" w:type="dxa"/>
            <w:shd w:val="clear" w:color="auto" w:fill="auto"/>
            <w:tcMar>
              <w:top w:w="113" w:type="dxa"/>
              <w:left w:w="113" w:type="dxa"/>
              <w:bottom w:w="113" w:type="dxa"/>
              <w:right w:w="113" w:type="dxa"/>
            </w:tcMar>
          </w:tcPr>
          <w:p w14:paraId="564696F0" w14:textId="77777777" w:rsidR="00BB2B23" w:rsidRPr="00325963" w:rsidRDefault="00BB2B23" w:rsidP="00F5693B">
            <w:pPr>
              <w:pStyle w:val="Tablesmalltext"/>
              <w:jc w:val="center"/>
              <w:rPr>
                <w:color w:val="auto"/>
              </w:rPr>
            </w:pPr>
            <w:r w:rsidRPr="00325963">
              <w:rPr>
                <w:color w:val="auto"/>
              </w:rPr>
              <w:t>$000s</w:t>
            </w:r>
          </w:p>
        </w:tc>
        <w:tc>
          <w:tcPr>
            <w:tcW w:w="1701" w:type="dxa"/>
            <w:shd w:val="clear" w:color="auto" w:fill="auto"/>
            <w:tcMar>
              <w:top w:w="113" w:type="dxa"/>
              <w:left w:w="113" w:type="dxa"/>
              <w:bottom w:w="113" w:type="dxa"/>
              <w:right w:w="113" w:type="dxa"/>
            </w:tcMar>
          </w:tcPr>
          <w:p w14:paraId="564696F1" w14:textId="77777777" w:rsidR="00BB2B23" w:rsidRPr="00325963" w:rsidRDefault="00BB2B23" w:rsidP="00F5693B">
            <w:pPr>
              <w:pStyle w:val="Tablesmalltext"/>
              <w:jc w:val="center"/>
              <w:rPr>
                <w:color w:val="auto"/>
              </w:rPr>
            </w:pPr>
            <w:r w:rsidRPr="00325963">
              <w:rPr>
                <w:color w:val="auto"/>
              </w:rPr>
              <w:t>14,977</w:t>
            </w:r>
          </w:p>
        </w:tc>
        <w:tc>
          <w:tcPr>
            <w:tcW w:w="1701" w:type="dxa"/>
            <w:shd w:val="clear" w:color="auto" w:fill="auto"/>
            <w:tcMar>
              <w:top w:w="113" w:type="dxa"/>
              <w:left w:w="113" w:type="dxa"/>
              <w:bottom w:w="113" w:type="dxa"/>
              <w:right w:w="113" w:type="dxa"/>
            </w:tcMar>
          </w:tcPr>
          <w:p w14:paraId="564696F2" w14:textId="77777777" w:rsidR="00BB2B23" w:rsidRPr="00325963" w:rsidRDefault="00BB2B23" w:rsidP="00F5693B">
            <w:pPr>
              <w:pStyle w:val="Tablesmalltext"/>
              <w:jc w:val="center"/>
              <w:rPr>
                <w:color w:val="auto"/>
              </w:rPr>
            </w:pPr>
            <w:r w:rsidRPr="00325963">
              <w:rPr>
                <w:color w:val="auto"/>
              </w:rPr>
              <w:t>82,505</w:t>
            </w:r>
          </w:p>
        </w:tc>
      </w:tr>
      <w:tr w:rsidR="00BB2B23" w:rsidRPr="00325963" w14:paraId="564696F9" w14:textId="77777777" w:rsidTr="00325963">
        <w:trPr>
          <w:trHeight w:val="60"/>
        </w:trPr>
        <w:tc>
          <w:tcPr>
            <w:tcW w:w="2419" w:type="dxa"/>
            <w:vMerge/>
            <w:shd w:val="clear" w:color="auto" w:fill="auto"/>
          </w:tcPr>
          <w:p w14:paraId="564696F4" w14:textId="77777777" w:rsidR="00BB2B23" w:rsidRPr="00325963" w:rsidRDefault="00BB2B23" w:rsidP="00F5693B">
            <w:pPr>
              <w:pStyle w:val="NoParagraphStyle"/>
              <w:spacing w:line="240" w:lineRule="auto"/>
              <w:textAlignment w:val="auto"/>
              <w:rPr>
                <w:rFonts w:ascii="Myriad Pro" w:hAnsi="Myriad Pro" w:cstheme="minorBidi"/>
                <w:color w:val="auto"/>
                <w:lang w:val="en-AU"/>
              </w:rPr>
            </w:pPr>
          </w:p>
        </w:tc>
        <w:tc>
          <w:tcPr>
            <w:tcW w:w="2154" w:type="dxa"/>
            <w:shd w:val="clear" w:color="auto" w:fill="auto"/>
            <w:tcMar>
              <w:top w:w="113" w:type="dxa"/>
              <w:left w:w="113" w:type="dxa"/>
              <w:bottom w:w="113" w:type="dxa"/>
              <w:right w:w="113" w:type="dxa"/>
            </w:tcMar>
          </w:tcPr>
          <w:p w14:paraId="564696F5" w14:textId="77777777" w:rsidR="00BB2B23" w:rsidRPr="00325963" w:rsidRDefault="00BB2B23" w:rsidP="00F5693B">
            <w:pPr>
              <w:pStyle w:val="Tablesmalltext"/>
              <w:rPr>
                <w:color w:val="auto"/>
              </w:rPr>
            </w:pPr>
            <w:r w:rsidRPr="00325963">
              <w:rPr>
                <w:color w:val="auto"/>
              </w:rPr>
              <w:t>Indirect</w:t>
            </w:r>
          </w:p>
        </w:tc>
        <w:tc>
          <w:tcPr>
            <w:tcW w:w="799" w:type="dxa"/>
            <w:shd w:val="clear" w:color="auto" w:fill="auto"/>
            <w:tcMar>
              <w:top w:w="113" w:type="dxa"/>
              <w:left w:w="113" w:type="dxa"/>
              <w:bottom w:w="113" w:type="dxa"/>
              <w:right w:w="113" w:type="dxa"/>
            </w:tcMar>
          </w:tcPr>
          <w:p w14:paraId="564696F6" w14:textId="77777777" w:rsidR="00BB2B23" w:rsidRPr="00325963" w:rsidRDefault="00BB2B23" w:rsidP="00F5693B">
            <w:pPr>
              <w:pStyle w:val="NoParagraphStyle"/>
              <w:spacing w:line="240" w:lineRule="auto"/>
              <w:textAlignment w:val="auto"/>
              <w:rPr>
                <w:rFonts w:ascii="Myriad Pro" w:hAnsi="Myriad Pro" w:cstheme="minorBidi"/>
                <w:color w:val="auto"/>
                <w:lang w:val="en-AU"/>
              </w:rPr>
            </w:pPr>
          </w:p>
        </w:tc>
        <w:tc>
          <w:tcPr>
            <w:tcW w:w="1701" w:type="dxa"/>
            <w:shd w:val="clear" w:color="auto" w:fill="auto"/>
            <w:tcMar>
              <w:top w:w="113" w:type="dxa"/>
              <w:left w:w="113" w:type="dxa"/>
              <w:bottom w:w="113" w:type="dxa"/>
              <w:right w:w="113" w:type="dxa"/>
            </w:tcMar>
          </w:tcPr>
          <w:p w14:paraId="564696F7" w14:textId="77777777" w:rsidR="00BB2B23" w:rsidRPr="00325963" w:rsidRDefault="00BB2B23" w:rsidP="00F5693B">
            <w:pPr>
              <w:pStyle w:val="Tablesmalltext"/>
              <w:jc w:val="center"/>
              <w:rPr>
                <w:color w:val="auto"/>
              </w:rPr>
            </w:pPr>
            <w:r w:rsidRPr="00325963">
              <w:rPr>
                <w:color w:val="auto"/>
              </w:rPr>
              <w:t>132,237</w:t>
            </w:r>
          </w:p>
        </w:tc>
        <w:tc>
          <w:tcPr>
            <w:tcW w:w="1701" w:type="dxa"/>
            <w:shd w:val="clear" w:color="auto" w:fill="auto"/>
            <w:tcMar>
              <w:top w:w="113" w:type="dxa"/>
              <w:left w:w="113" w:type="dxa"/>
              <w:bottom w:w="113" w:type="dxa"/>
              <w:right w:w="113" w:type="dxa"/>
            </w:tcMar>
          </w:tcPr>
          <w:p w14:paraId="564696F8" w14:textId="77777777" w:rsidR="00BB2B23" w:rsidRPr="00325963" w:rsidRDefault="00BB2B23" w:rsidP="00F5693B">
            <w:pPr>
              <w:pStyle w:val="Tablesmalltext"/>
              <w:jc w:val="center"/>
              <w:rPr>
                <w:color w:val="auto"/>
              </w:rPr>
            </w:pPr>
            <w:r w:rsidRPr="00325963">
              <w:rPr>
                <w:color w:val="auto"/>
              </w:rPr>
              <w:t>388,737</w:t>
            </w:r>
          </w:p>
        </w:tc>
      </w:tr>
      <w:tr w:rsidR="00BB2B23" w:rsidRPr="00325963" w14:paraId="564696FF" w14:textId="77777777" w:rsidTr="00325963">
        <w:trPr>
          <w:trHeight w:val="60"/>
        </w:trPr>
        <w:tc>
          <w:tcPr>
            <w:tcW w:w="2419" w:type="dxa"/>
            <w:shd w:val="clear" w:color="auto" w:fill="auto"/>
            <w:tcMar>
              <w:top w:w="113" w:type="dxa"/>
              <w:left w:w="113" w:type="dxa"/>
              <w:bottom w:w="113" w:type="dxa"/>
              <w:right w:w="113" w:type="dxa"/>
            </w:tcMar>
          </w:tcPr>
          <w:p w14:paraId="564696FA" w14:textId="77777777" w:rsidR="00BB2B23" w:rsidRPr="00325963" w:rsidRDefault="00BB2B23" w:rsidP="00F5693B">
            <w:pPr>
              <w:pStyle w:val="Tablesmalltext"/>
              <w:rPr>
                <w:color w:val="auto"/>
              </w:rPr>
            </w:pPr>
            <w:r w:rsidRPr="00325963">
              <w:rPr>
                <w:rStyle w:val="TextBold"/>
                <w:color w:val="auto"/>
              </w:rPr>
              <w:t>Energy Costs</w:t>
            </w:r>
          </w:p>
        </w:tc>
        <w:tc>
          <w:tcPr>
            <w:tcW w:w="2154" w:type="dxa"/>
            <w:shd w:val="clear" w:color="auto" w:fill="auto"/>
            <w:tcMar>
              <w:top w:w="113" w:type="dxa"/>
              <w:left w:w="113" w:type="dxa"/>
              <w:bottom w:w="113" w:type="dxa"/>
              <w:right w:w="113" w:type="dxa"/>
            </w:tcMar>
          </w:tcPr>
          <w:p w14:paraId="564696FB" w14:textId="77777777" w:rsidR="00BB2B23" w:rsidRPr="00325963" w:rsidRDefault="00BB2B23" w:rsidP="00F5693B">
            <w:pPr>
              <w:pStyle w:val="Tablesmalltext"/>
              <w:rPr>
                <w:color w:val="auto"/>
              </w:rPr>
            </w:pPr>
            <w:r w:rsidRPr="00325963">
              <w:rPr>
                <w:color w:val="auto"/>
              </w:rPr>
              <w:t>All end users</w:t>
            </w:r>
          </w:p>
        </w:tc>
        <w:tc>
          <w:tcPr>
            <w:tcW w:w="799" w:type="dxa"/>
            <w:shd w:val="clear" w:color="auto" w:fill="auto"/>
            <w:tcMar>
              <w:top w:w="113" w:type="dxa"/>
              <w:left w:w="113" w:type="dxa"/>
              <w:bottom w:w="113" w:type="dxa"/>
              <w:right w:w="113" w:type="dxa"/>
            </w:tcMar>
          </w:tcPr>
          <w:p w14:paraId="564696FC" w14:textId="77777777" w:rsidR="00BB2B23" w:rsidRPr="00325963" w:rsidRDefault="00BB2B23" w:rsidP="00F5693B">
            <w:pPr>
              <w:pStyle w:val="Tablesmalltext"/>
              <w:jc w:val="center"/>
              <w:rPr>
                <w:color w:val="auto"/>
              </w:rPr>
            </w:pPr>
            <w:r w:rsidRPr="00325963">
              <w:rPr>
                <w:color w:val="auto"/>
              </w:rPr>
              <w:t>$000s</w:t>
            </w:r>
          </w:p>
        </w:tc>
        <w:tc>
          <w:tcPr>
            <w:tcW w:w="1701" w:type="dxa"/>
            <w:shd w:val="clear" w:color="auto" w:fill="auto"/>
            <w:tcMar>
              <w:top w:w="113" w:type="dxa"/>
              <w:left w:w="113" w:type="dxa"/>
              <w:bottom w:w="113" w:type="dxa"/>
              <w:right w:w="113" w:type="dxa"/>
            </w:tcMar>
          </w:tcPr>
          <w:p w14:paraId="564696FD" w14:textId="77777777" w:rsidR="00BB2B23" w:rsidRPr="00325963" w:rsidRDefault="00BB2B23" w:rsidP="00F5693B">
            <w:pPr>
              <w:pStyle w:val="Tablesmalltext"/>
              <w:jc w:val="center"/>
              <w:rPr>
                <w:color w:val="auto"/>
              </w:rPr>
            </w:pPr>
            <w:r w:rsidRPr="00325963">
              <w:rPr>
                <w:color w:val="auto"/>
              </w:rPr>
              <w:t>1,135,262</w:t>
            </w:r>
          </w:p>
        </w:tc>
        <w:tc>
          <w:tcPr>
            <w:tcW w:w="1701" w:type="dxa"/>
            <w:shd w:val="clear" w:color="auto" w:fill="auto"/>
            <w:tcMar>
              <w:top w:w="113" w:type="dxa"/>
              <w:left w:w="113" w:type="dxa"/>
              <w:bottom w:w="113" w:type="dxa"/>
              <w:right w:w="113" w:type="dxa"/>
            </w:tcMar>
          </w:tcPr>
          <w:p w14:paraId="564696FE" w14:textId="77777777" w:rsidR="00BB2B23" w:rsidRPr="00325963" w:rsidRDefault="00BB2B23" w:rsidP="00F5693B">
            <w:pPr>
              <w:pStyle w:val="Tablesmalltext"/>
              <w:jc w:val="center"/>
              <w:rPr>
                <w:color w:val="auto"/>
              </w:rPr>
            </w:pPr>
            <w:r w:rsidRPr="00325963">
              <w:rPr>
                <w:color w:val="auto"/>
              </w:rPr>
              <w:t>3,128,005</w:t>
            </w:r>
          </w:p>
        </w:tc>
      </w:tr>
      <w:tr w:rsidR="00BB2B23" w:rsidRPr="00325963" w14:paraId="56469705" w14:textId="77777777" w:rsidTr="00325963">
        <w:trPr>
          <w:trHeight w:val="60"/>
        </w:trPr>
        <w:tc>
          <w:tcPr>
            <w:tcW w:w="2419" w:type="dxa"/>
            <w:shd w:val="clear" w:color="auto" w:fill="auto"/>
            <w:tcMar>
              <w:top w:w="113" w:type="dxa"/>
              <w:left w:w="113" w:type="dxa"/>
              <w:bottom w:w="113" w:type="dxa"/>
              <w:right w:w="113" w:type="dxa"/>
            </w:tcMar>
          </w:tcPr>
          <w:p w14:paraId="56469700" w14:textId="77777777" w:rsidR="00BB2B23" w:rsidRPr="00325963" w:rsidRDefault="00BB2B23" w:rsidP="00F5693B">
            <w:pPr>
              <w:pStyle w:val="Tablesmalltext"/>
              <w:rPr>
                <w:color w:val="auto"/>
              </w:rPr>
            </w:pPr>
            <w:r w:rsidRPr="00325963">
              <w:rPr>
                <w:rStyle w:val="TextBold"/>
                <w:color w:val="auto"/>
              </w:rPr>
              <w:lastRenderedPageBreak/>
              <w:t>Refrigerant Costs</w:t>
            </w:r>
          </w:p>
        </w:tc>
        <w:tc>
          <w:tcPr>
            <w:tcW w:w="2154" w:type="dxa"/>
            <w:shd w:val="clear" w:color="auto" w:fill="auto"/>
            <w:tcMar>
              <w:top w:w="113" w:type="dxa"/>
              <w:left w:w="113" w:type="dxa"/>
              <w:bottom w:w="113" w:type="dxa"/>
              <w:right w:w="113" w:type="dxa"/>
            </w:tcMar>
          </w:tcPr>
          <w:p w14:paraId="56469701" w14:textId="77777777" w:rsidR="00BB2B23" w:rsidRPr="00325963" w:rsidRDefault="00BB2B23" w:rsidP="00F5693B">
            <w:pPr>
              <w:pStyle w:val="Tablesmalltext"/>
              <w:rPr>
                <w:color w:val="auto"/>
              </w:rPr>
            </w:pPr>
            <w:r w:rsidRPr="00325963">
              <w:rPr>
                <w:color w:val="auto"/>
              </w:rPr>
              <w:t>All end users</w:t>
            </w:r>
          </w:p>
        </w:tc>
        <w:tc>
          <w:tcPr>
            <w:tcW w:w="799" w:type="dxa"/>
            <w:shd w:val="clear" w:color="auto" w:fill="auto"/>
            <w:tcMar>
              <w:top w:w="113" w:type="dxa"/>
              <w:left w:w="113" w:type="dxa"/>
              <w:bottom w:w="113" w:type="dxa"/>
              <w:right w:w="113" w:type="dxa"/>
            </w:tcMar>
          </w:tcPr>
          <w:p w14:paraId="56469702" w14:textId="77777777" w:rsidR="00BB2B23" w:rsidRPr="00325963" w:rsidRDefault="00BB2B23" w:rsidP="00F5693B">
            <w:pPr>
              <w:pStyle w:val="Tablesmalltext"/>
              <w:jc w:val="center"/>
              <w:rPr>
                <w:color w:val="auto"/>
              </w:rPr>
            </w:pPr>
            <w:r w:rsidRPr="00325963">
              <w:rPr>
                <w:color w:val="auto"/>
              </w:rPr>
              <w:t>$000s</w:t>
            </w:r>
          </w:p>
        </w:tc>
        <w:tc>
          <w:tcPr>
            <w:tcW w:w="1701" w:type="dxa"/>
            <w:shd w:val="clear" w:color="auto" w:fill="auto"/>
            <w:tcMar>
              <w:top w:w="113" w:type="dxa"/>
              <w:left w:w="113" w:type="dxa"/>
              <w:bottom w:w="113" w:type="dxa"/>
              <w:right w:w="113" w:type="dxa"/>
            </w:tcMar>
          </w:tcPr>
          <w:p w14:paraId="56469703" w14:textId="77777777" w:rsidR="00BB2B23" w:rsidRPr="00325963" w:rsidRDefault="00BB2B23" w:rsidP="00F5693B">
            <w:pPr>
              <w:pStyle w:val="Tablesmalltext"/>
              <w:jc w:val="center"/>
              <w:rPr>
                <w:color w:val="auto"/>
              </w:rPr>
            </w:pPr>
            <w:r w:rsidRPr="00325963">
              <w:rPr>
                <w:color w:val="auto"/>
              </w:rPr>
              <w:t>13,577</w:t>
            </w:r>
          </w:p>
        </w:tc>
        <w:tc>
          <w:tcPr>
            <w:tcW w:w="1701" w:type="dxa"/>
            <w:shd w:val="clear" w:color="auto" w:fill="auto"/>
            <w:tcMar>
              <w:top w:w="113" w:type="dxa"/>
              <w:left w:w="113" w:type="dxa"/>
              <w:bottom w:w="113" w:type="dxa"/>
              <w:right w:w="113" w:type="dxa"/>
            </w:tcMar>
          </w:tcPr>
          <w:p w14:paraId="56469704" w14:textId="77777777" w:rsidR="00BB2B23" w:rsidRPr="00325963" w:rsidRDefault="00BB2B23" w:rsidP="00F5693B">
            <w:pPr>
              <w:pStyle w:val="Tablesmalltext"/>
              <w:jc w:val="center"/>
              <w:rPr>
                <w:color w:val="auto"/>
              </w:rPr>
            </w:pPr>
            <w:r w:rsidRPr="00325963">
              <w:rPr>
                <w:color w:val="auto"/>
              </w:rPr>
              <w:t>80,291</w:t>
            </w:r>
          </w:p>
        </w:tc>
      </w:tr>
      <w:tr w:rsidR="00BB2B23" w:rsidRPr="00325963" w14:paraId="5646970A" w14:textId="77777777" w:rsidTr="00325963">
        <w:trPr>
          <w:trHeight w:val="321"/>
        </w:trPr>
        <w:tc>
          <w:tcPr>
            <w:tcW w:w="4573" w:type="dxa"/>
            <w:gridSpan w:val="2"/>
            <w:shd w:val="clear" w:color="auto" w:fill="auto"/>
            <w:tcMar>
              <w:top w:w="113" w:type="dxa"/>
              <w:left w:w="113" w:type="dxa"/>
              <w:bottom w:w="113" w:type="dxa"/>
              <w:right w:w="113" w:type="dxa"/>
            </w:tcMar>
          </w:tcPr>
          <w:p w14:paraId="56469706" w14:textId="77777777" w:rsidR="00BB2B23" w:rsidRPr="00325963" w:rsidRDefault="00BB2B23" w:rsidP="00F5693B">
            <w:pPr>
              <w:pStyle w:val="Tablesmalltext"/>
              <w:rPr>
                <w:color w:val="auto"/>
              </w:rPr>
            </w:pPr>
            <w:r w:rsidRPr="00325963">
              <w:rPr>
                <w:rStyle w:val="TextBold"/>
                <w:color w:val="auto"/>
              </w:rPr>
              <w:t>Total Benefits</w:t>
            </w:r>
          </w:p>
        </w:tc>
        <w:tc>
          <w:tcPr>
            <w:tcW w:w="799" w:type="dxa"/>
            <w:shd w:val="clear" w:color="auto" w:fill="auto"/>
            <w:tcMar>
              <w:top w:w="113" w:type="dxa"/>
              <w:left w:w="113" w:type="dxa"/>
              <w:bottom w:w="113" w:type="dxa"/>
              <w:right w:w="113" w:type="dxa"/>
            </w:tcMar>
          </w:tcPr>
          <w:p w14:paraId="56469707" w14:textId="77777777" w:rsidR="00BB2B23" w:rsidRPr="00325963" w:rsidRDefault="00BB2B23" w:rsidP="00F5693B">
            <w:pPr>
              <w:pStyle w:val="Tablesmalltext"/>
              <w:jc w:val="center"/>
              <w:rPr>
                <w:color w:val="auto"/>
              </w:rPr>
            </w:pPr>
            <w:r w:rsidRPr="00325963">
              <w:rPr>
                <w:rStyle w:val="TextBold"/>
                <w:color w:val="auto"/>
              </w:rPr>
              <w:t>$000s</w:t>
            </w:r>
          </w:p>
        </w:tc>
        <w:tc>
          <w:tcPr>
            <w:tcW w:w="1701" w:type="dxa"/>
            <w:shd w:val="clear" w:color="auto" w:fill="auto"/>
            <w:tcMar>
              <w:top w:w="113" w:type="dxa"/>
              <w:left w:w="113" w:type="dxa"/>
              <w:bottom w:w="113" w:type="dxa"/>
              <w:right w:w="113" w:type="dxa"/>
            </w:tcMar>
          </w:tcPr>
          <w:p w14:paraId="56469708" w14:textId="77777777" w:rsidR="00BB2B23" w:rsidRPr="00325963" w:rsidRDefault="00BB2B23" w:rsidP="00F5693B">
            <w:pPr>
              <w:pStyle w:val="Tablesmalltext"/>
              <w:jc w:val="center"/>
              <w:rPr>
                <w:color w:val="auto"/>
              </w:rPr>
            </w:pPr>
            <w:r w:rsidRPr="00325963">
              <w:rPr>
                <w:rStyle w:val="TextBold"/>
                <w:color w:val="auto"/>
              </w:rPr>
              <w:t>1,296,053</w:t>
            </w:r>
          </w:p>
        </w:tc>
        <w:tc>
          <w:tcPr>
            <w:tcW w:w="1701" w:type="dxa"/>
            <w:shd w:val="clear" w:color="auto" w:fill="auto"/>
            <w:tcMar>
              <w:top w:w="113" w:type="dxa"/>
              <w:left w:w="113" w:type="dxa"/>
              <w:bottom w:w="113" w:type="dxa"/>
              <w:right w:w="113" w:type="dxa"/>
            </w:tcMar>
          </w:tcPr>
          <w:p w14:paraId="56469709" w14:textId="77777777" w:rsidR="00BB2B23" w:rsidRPr="00325963" w:rsidRDefault="00BB2B23" w:rsidP="00F5693B">
            <w:pPr>
              <w:pStyle w:val="Tablesmalltext"/>
              <w:jc w:val="center"/>
              <w:rPr>
                <w:color w:val="auto"/>
              </w:rPr>
            </w:pPr>
            <w:r w:rsidRPr="00325963">
              <w:rPr>
                <w:rStyle w:val="TextBold"/>
                <w:color w:val="auto"/>
              </w:rPr>
              <w:t>3,679,537</w:t>
            </w:r>
          </w:p>
        </w:tc>
      </w:tr>
      <w:tr w:rsidR="00BB2B23" w:rsidRPr="00325963" w14:paraId="5646970C" w14:textId="77777777" w:rsidTr="00325963">
        <w:trPr>
          <w:trHeight w:val="210"/>
        </w:trPr>
        <w:tc>
          <w:tcPr>
            <w:tcW w:w="8774" w:type="dxa"/>
            <w:gridSpan w:val="5"/>
            <w:shd w:val="clear" w:color="auto" w:fill="auto"/>
            <w:tcMar>
              <w:top w:w="113" w:type="dxa"/>
              <w:left w:w="113" w:type="dxa"/>
              <w:bottom w:w="113" w:type="dxa"/>
              <w:right w:w="113" w:type="dxa"/>
            </w:tcMar>
          </w:tcPr>
          <w:p w14:paraId="5646970B" w14:textId="77777777" w:rsidR="00BB2B23" w:rsidRPr="00325963" w:rsidRDefault="00BB2B23" w:rsidP="00F5693B">
            <w:pPr>
              <w:pStyle w:val="NoParagraphStyle"/>
              <w:spacing w:line="240" w:lineRule="auto"/>
              <w:textAlignment w:val="auto"/>
              <w:rPr>
                <w:rFonts w:ascii="Myriad Pro" w:hAnsi="Myriad Pro" w:cstheme="minorBidi"/>
                <w:color w:val="auto"/>
                <w:lang w:val="en-AU"/>
              </w:rPr>
            </w:pPr>
          </w:p>
        </w:tc>
      </w:tr>
      <w:tr w:rsidR="00BB2B23" w:rsidRPr="00325963" w14:paraId="56469712" w14:textId="77777777" w:rsidTr="00325963">
        <w:trPr>
          <w:trHeight w:val="210"/>
        </w:trPr>
        <w:tc>
          <w:tcPr>
            <w:tcW w:w="2419" w:type="dxa"/>
            <w:shd w:val="clear" w:color="auto" w:fill="auto"/>
            <w:tcMar>
              <w:top w:w="113" w:type="dxa"/>
              <w:left w:w="113" w:type="dxa"/>
              <w:bottom w:w="113" w:type="dxa"/>
              <w:right w:w="113" w:type="dxa"/>
            </w:tcMar>
          </w:tcPr>
          <w:p w14:paraId="5646970D" w14:textId="77777777" w:rsidR="00BB2B23" w:rsidRPr="00325963" w:rsidRDefault="00BB2B23" w:rsidP="00F5693B">
            <w:pPr>
              <w:pStyle w:val="Tablesmalltext"/>
              <w:rPr>
                <w:color w:val="auto"/>
              </w:rPr>
            </w:pPr>
            <w:r w:rsidRPr="00325963">
              <w:rPr>
                <w:rStyle w:val="TextBold"/>
                <w:color w:val="auto"/>
              </w:rPr>
              <w:t>Maintenance cost</w:t>
            </w:r>
          </w:p>
        </w:tc>
        <w:tc>
          <w:tcPr>
            <w:tcW w:w="2154" w:type="dxa"/>
            <w:shd w:val="clear" w:color="auto" w:fill="auto"/>
            <w:tcMar>
              <w:top w:w="113" w:type="dxa"/>
              <w:left w:w="113" w:type="dxa"/>
              <w:bottom w:w="113" w:type="dxa"/>
              <w:right w:w="113" w:type="dxa"/>
            </w:tcMar>
          </w:tcPr>
          <w:p w14:paraId="5646970E" w14:textId="77777777" w:rsidR="00BB2B23" w:rsidRPr="00325963" w:rsidRDefault="00BB2B23" w:rsidP="00F5693B">
            <w:pPr>
              <w:pStyle w:val="Tablesmalltext"/>
              <w:rPr>
                <w:color w:val="auto"/>
              </w:rPr>
            </w:pPr>
            <w:r w:rsidRPr="00325963">
              <w:rPr>
                <w:color w:val="auto"/>
              </w:rPr>
              <w:t>Equipment owners</w:t>
            </w:r>
          </w:p>
        </w:tc>
        <w:tc>
          <w:tcPr>
            <w:tcW w:w="799" w:type="dxa"/>
            <w:shd w:val="clear" w:color="auto" w:fill="auto"/>
            <w:tcMar>
              <w:top w:w="113" w:type="dxa"/>
              <w:left w:w="113" w:type="dxa"/>
              <w:bottom w:w="113" w:type="dxa"/>
              <w:right w:w="113" w:type="dxa"/>
            </w:tcMar>
          </w:tcPr>
          <w:p w14:paraId="5646970F" w14:textId="77777777" w:rsidR="00BB2B23" w:rsidRPr="00325963" w:rsidRDefault="00BB2B23" w:rsidP="00F5693B">
            <w:pPr>
              <w:pStyle w:val="Tablesmalltext"/>
              <w:jc w:val="center"/>
              <w:rPr>
                <w:color w:val="auto"/>
              </w:rPr>
            </w:pPr>
            <w:r w:rsidRPr="00325963">
              <w:rPr>
                <w:color w:val="auto"/>
              </w:rPr>
              <w:t>$000s</w:t>
            </w:r>
          </w:p>
        </w:tc>
        <w:tc>
          <w:tcPr>
            <w:tcW w:w="1701" w:type="dxa"/>
            <w:shd w:val="clear" w:color="auto" w:fill="auto"/>
            <w:tcMar>
              <w:top w:w="113" w:type="dxa"/>
              <w:left w:w="113" w:type="dxa"/>
              <w:bottom w:w="113" w:type="dxa"/>
              <w:right w:w="113" w:type="dxa"/>
            </w:tcMar>
          </w:tcPr>
          <w:p w14:paraId="56469710" w14:textId="77777777" w:rsidR="00BB2B23" w:rsidRPr="00325963" w:rsidRDefault="00BB2B23" w:rsidP="00F5693B">
            <w:pPr>
              <w:pStyle w:val="Tablesmalltext"/>
              <w:jc w:val="center"/>
              <w:rPr>
                <w:color w:val="auto"/>
              </w:rPr>
            </w:pPr>
            <w:r w:rsidRPr="00325963">
              <w:rPr>
                <w:color w:val="auto"/>
              </w:rPr>
              <w:t>959,642</w:t>
            </w:r>
          </w:p>
        </w:tc>
        <w:tc>
          <w:tcPr>
            <w:tcW w:w="1701" w:type="dxa"/>
            <w:shd w:val="clear" w:color="auto" w:fill="auto"/>
            <w:tcMar>
              <w:top w:w="113" w:type="dxa"/>
              <w:left w:w="113" w:type="dxa"/>
              <w:bottom w:w="113" w:type="dxa"/>
              <w:right w:w="113" w:type="dxa"/>
            </w:tcMar>
          </w:tcPr>
          <w:p w14:paraId="56469711" w14:textId="77777777" w:rsidR="00BB2B23" w:rsidRPr="00325963" w:rsidRDefault="00BB2B23" w:rsidP="00F5693B">
            <w:pPr>
              <w:pStyle w:val="Tablesmalltext"/>
              <w:jc w:val="center"/>
              <w:rPr>
                <w:color w:val="auto"/>
              </w:rPr>
            </w:pPr>
            <w:r w:rsidRPr="00325963">
              <w:rPr>
                <w:color w:val="auto"/>
              </w:rPr>
              <w:t>2,636,961</w:t>
            </w:r>
          </w:p>
        </w:tc>
      </w:tr>
      <w:tr w:rsidR="00BB2B23" w:rsidRPr="00325963" w14:paraId="56469718" w14:textId="77777777" w:rsidTr="00325963">
        <w:trPr>
          <w:trHeight w:val="210"/>
        </w:trPr>
        <w:tc>
          <w:tcPr>
            <w:tcW w:w="2419" w:type="dxa"/>
            <w:shd w:val="clear" w:color="auto" w:fill="auto"/>
            <w:tcMar>
              <w:top w:w="113" w:type="dxa"/>
              <w:left w:w="113" w:type="dxa"/>
              <w:bottom w:w="113" w:type="dxa"/>
              <w:right w:w="113" w:type="dxa"/>
            </w:tcMar>
          </w:tcPr>
          <w:p w14:paraId="56469713" w14:textId="77777777" w:rsidR="00BB2B23" w:rsidRPr="00325963" w:rsidRDefault="00BB2B23" w:rsidP="00F5693B">
            <w:pPr>
              <w:pStyle w:val="Tablesmalltext"/>
              <w:rPr>
                <w:color w:val="auto"/>
              </w:rPr>
            </w:pPr>
            <w:r w:rsidRPr="00325963">
              <w:rPr>
                <w:rStyle w:val="TextBold"/>
                <w:color w:val="auto"/>
              </w:rPr>
              <w:t>Leak detection cost</w:t>
            </w:r>
          </w:p>
        </w:tc>
        <w:tc>
          <w:tcPr>
            <w:tcW w:w="2154" w:type="dxa"/>
            <w:shd w:val="clear" w:color="auto" w:fill="auto"/>
            <w:tcMar>
              <w:top w:w="113" w:type="dxa"/>
              <w:left w:w="113" w:type="dxa"/>
              <w:bottom w:w="113" w:type="dxa"/>
              <w:right w:w="113" w:type="dxa"/>
            </w:tcMar>
          </w:tcPr>
          <w:p w14:paraId="56469714" w14:textId="77777777" w:rsidR="00BB2B23" w:rsidRPr="00325963" w:rsidRDefault="00BB2B23" w:rsidP="00F5693B">
            <w:pPr>
              <w:pStyle w:val="Tablesmalltext"/>
              <w:rPr>
                <w:color w:val="auto"/>
              </w:rPr>
            </w:pPr>
            <w:r w:rsidRPr="00325963">
              <w:rPr>
                <w:color w:val="auto"/>
              </w:rPr>
              <w:t>Equipment owners</w:t>
            </w:r>
          </w:p>
        </w:tc>
        <w:tc>
          <w:tcPr>
            <w:tcW w:w="799" w:type="dxa"/>
            <w:shd w:val="clear" w:color="auto" w:fill="auto"/>
            <w:tcMar>
              <w:top w:w="113" w:type="dxa"/>
              <w:left w:w="113" w:type="dxa"/>
              <w:bottom w:w="113" w:type="dxa"/>
              <w:right w:w="113" w:type="dxa"/>
            </w:tcMar>
          </w:tcPr>
          <w:p w14:paraId="56469715" w14:textId="77777777" w:rsidR="00BB2B23" w:rsidRPr="00325963" w:rsidRDefault="00BB2B23" w:rsidP="00F5693B">
            <w:pPr>
              <w:pStyle w:val="Tablesmalltext"/>
              <w:jc w:val="center"/>
              <w:rPr>
                <w:color w:val="auto"/>
              </w:rPr>
            </w:pPr>
            <w:r w:rsidRPr="00325963">
              <w:rPr>
                <w:color w:val="auto"/>
              </w:rPr>
              <w:t>$000s</w:t>
            </w:r>
          </w:p>
        </w:tc>
        <w:tc>
          <w:tcPr>
            <w:tcW w:w="1701" w:type="dxa"/>
            <w:shd w:val="clear" w:color="auto" w:fill="auto"/>
            <w:tcMar>
              <w:top w:w="113" w:type="dxa"/>
              <w:left w:w="113" w:type="dxa"/>
              <w:bottom w:w="113" w:type="dxa"/>
              <w:right w:w="113" w:type="dxa"/>
            </w:tcMar>
          </w:tcPr>
          <w:p w14:paraId="56469716" w14:textId="77777777" w:rsidR="00BB2B23" w:rsidRPr="00325963" w:rsidRDefault="00BB2B23" w:rsidP="00F5693B">
            <w:pPr>
              <w:pStyle w:val="Tablesmalltext"/>
              <w:jc w:val="center"/>
              <w:rPr>
                <w:color w:val="auto"/>
              </w:rPr>
            </w:pPr>
            <w:r w:rsidRPr="00325963">
              <w:rPr>
                <w:color w:val="auto"/>
              </w:rPr>
              <w:t>251,978</w:t>
            </w:r>
          </w:p>
        </w:tc>
        <w:tc>
          <w:tcPr>
            <w:tcW w:w="1701" w:type="dxa"/>
            <w:shd w:val="clear" w:color="auto" w:fill="auto"/>
            <w:tcMar>
              <w:top w:w="113" w:type="dxa"/>
              <w:left w:w="113" w:type="dxa"/>
              <w:bottom w:w="113" w:type="dxa"/>
              <w:right w:w="113" w:type="dxa"/>
            </w:tcMar>
          </w:tcPr>
          <w:p w14:paraId="56469717" w14:textId="77777777" w:rsidR="00BB2B23" w:rsidRPr="00325963" w:rsidRDefault="00BB2B23" w:rsidP="00F5693B">
            <w:pPr>
              <w:pStyle w:val="Tablesmalltext"/>
              <w:jc w:val="center"/>
              <w:rPr>
                <w:color w:val="auto"/>
              </w:rPr>
            </w:pPr>
            <w:r w:rsidRPr="00325963">
              <w:rPr>
                <w:color w:val="auto"/>
              </w:rPr>
              <w:t>679,727</w:t>
            </w:r>
          </w:p>
        </w:tc>
      </w:tr>
      <w:tr w:rsidR="00BB2B23" w:rsidRPr="00325963" w14:paraId="5646971E" w14:textId="77777777" w:rsidTr="00325963">
        <w:trPr>
          <w:trHeight w:val="210"/>
        </w:trPr>
        <w:tc>
          <w:tcPr>
            <w:tcW w:w="2419" w:type="dxa"/>
            <w:vMerge w:val="restart"/>
            <w:shd w:val="clear" w:color="auto" w:fill="auto"/>
            <w:tcMar>
              <w:top w:w="113" w:type="dxa"/>
              <w:left w:w="113" w:type="dxa"/>
              <w:bottom w:w="113" w:type="dxa"/>
              <w:right w:w="113" w:type="dxa"/>
            </w:tcMar>
          </w:tcPr>
          <w:p w14:paraId="56469719" w14:textId="77777777" w:rsidR="00BB2B23" w:rsidRPr="00325963" w:rsidRDefault="00BB2B23" w:rsidP="00F5693B">
            <w:pPr>
              <w:pStyle w:val="Tablesmalltext"/>
              <w:rPr>
                <w:color w:val="auto"/>
              </w:rPr>
            </w:pPr>
            <w:r w:rsidRPr="00325963">
              <w:rPr>
                <w:rStyle w:val="TextBold"/>
                <w:color w:val="auto"/>
              </w:rPr>
              <w:t>Transitional cost </w:t>
            </w:r>
          </w:p>
        </w:tc>
        <w:tc>
          <w:tcPr>
            <w:tcW w:w="2154" w:type="dxa"/>
            <w:shd w:val="clear" w:color="auto" w:fill="auto"/>
            <w:tcMar>
              <w:top w:w="113" w:type="dxa"/>
              <w:left w:w="113" w:type="dxa"/>
              <w:bottom w:w="113" w:type="dxa"/>
              <w:right w:w="113" w:type="dxa"/>
            </w:tcMar>
          </w:tcPr>
          <w:p w14:paraId="5646971A" w14:textId="77777777" w:rsidR="00BB2B23" w:rsidRPr="00325963" w:rsidRDefault="00BB2B23" w:rsidP="00F5693B">
            <w:pPr>
              <w:pStyle w:val="Tablesmalltext"/>
              <w:rPr>
                <w:color w:val="auto"/>
              </w:rPr>
            </w:pPr>
            <w:r w:rsidRPr="00325963">
              <w:rPr>
                <w:color w:val="auto"/>
              </w:rPr>
              <w:t>Equipment owners</w:t>
            </w:r>
          </w:p>
        </w:tc>
        <w:tc>
          <w:tcPr>
            <w:tcW w:w="799" w:type="dxa"/>
            <w:shd w:val="clear" w:color="auto" w:fill="auto"/>
            <w:tcMar>
              <w:top w:w="113" w:type="dxa"/>
              <w:left w:w="113" w:type="dxa"/>
              <w:bottom w:w="113" w:type="dxa"/>
              <w:right w:w="113" w:type="dxa"/>
            </w:tcMar>
          </w:tcPr>
          <w:p w14:paraId="5646971B" w14:textId="77777777" w:rsidR="00BB2B23" w:rsidRPr="00325963" w:rsidRDefault="00BB2B23" w:rsidP="00F5693B">
            <w:pPr>
              <w:pStyle w:val="Tablesmalltext"/>
              <w:jc w:val="center"/>
              <w:rPr>
                <w:color w:val="auto"/>
              </w:rPr>
            </w:pPr>
            <w:r w:rsidRPr="00325963">
              <w:rPr>
                <w:color w:val="auto"/>
              </w:rPr>
              <w:t>$000s</w:t>
            </w:r>
          </w:p>
        </w:tc>
        <w:tc>
          <w:tcPr>
            <w:tcW w:w="1701" w:type="dxa"/>
            <w:shd w:val="clear" w:color="auto" w:fill="auto"/>
            <w:tcMar>
              <w:top w:w="113" w:type="dxa"/>
              <w:left w:w="113" w:type="dxa"/>
              <w:bottom w:w="113" w:type="dxa"/>
              <w:right w:w="113" w:type="dxa"/>
            </w:tcMar>
          </w:tcPr>
          <w:p w14:paraId="5646971C" w14:textId="77777777" w:rsidR="00BB2B23" w:rsidRPr="00325963" w:rsidRDefault="00BB2B23" w:rsidP="00F5693B">
            <w:pPr>
              <w:pStyle w:val="Tablesmalltext"/>
              <w:jc w:val="center"/>
              <w:rPr>
                <w:color w:val="auto"/>
              </w:rPr>
            </w:pPr>
            <w:r w:rsidRPr="00325963">
              <w:rPr>
                <w:color w:val="auto"/>
              </w:rPr>
              <w:t>41,039</w:t>
            </w:r>
          </w:p>
        </w:tc>
        <w:tc>
          <w:tcPr>
            <w:tcW w:w="1701" w:type="dxa"/>
            <w:shd w:val="clear" w:color="auto" w:fill="auto"/>
            <w:tcMar>
              <w:top w:w="113" w:type="dxa"/>
              <w:left w:w="113" w:type="dxa"/>
              <w:bottom w:w="113" w:type="dxa"/>
              <w:right w:w="113" w:type="dxa"/>
            </w:tcMar>
          </w:tcPr>
          <w:p w14:paraId="5646971D" w14:textId="77777777" w:rsidR="00BB2B23" w:rsidRPr="00325963" w:rsidRDefault="00BB2B23" w:rsidP="00F5693B">
            <w:pPr>
              <w:pStyle w:val="Tablesmalltext"/>
              <w:jc w:val="center"/>
              <w:rPr>
                <w:color w:val="auto"/>
              </w:rPr>
            </w:pPr>
            <w:r w:rsidRPr="00325963">
              <w:rPr>
                <w:color w:val="auto"/>
              </w:rPr>
              <w:t>41,039</w:t>
            </w:r>
          </w:p>
        </w:tc>
      </w:tr>
      <w:tr w:rsidR="00BB2B23" w:rsidRPr="00325963" w14:paraId="56469724" w14:textId="77777777" w:rsidTr="00325963">
        <w:trPr>
          <w:trHeight w:val="210"/>
        </w:trPr>
        <w:tc>
          <w:tcPr>
            <w:tcW w:w="2419" w:type="dxa"/>
            <w:vMerge/>
            <w:shd w:val="clear" w:color="auto" w:fill="auto"/>
          </w:tcPr>
          <w:p w14:paraId="5646971F" w14:textId="77777777" w:rsidR="00BB2B23" w:rsidRPr="00325963" w:rsidRDefault="00BB2B23" w:rsidP="00F5693B">
            <w:pPr>
              <w:pStyle w:val="NoParagraphStyle"/>
              <w:spacing w:line="240" w:lineRule="auto"/>
              <w:textAlignment w:val="auto"/>
              <w:rPr>
                <w:rFonts w:ascii="Myriad Pro" w:hAnsi="Myriad Pro" w:cstheme="minorBidi"/>
                <w:color w:val="auto"/>
                <w:lang w:val="en-AU"/>
              </w:rPr>
            </w:pPr>
          </w:p>
        </w:tc>
        <w:tc>
          <w:tcPr>
            <w:tcW w:w="2154" w:type="dxa"/>
            <w:shd w:val="clear" w:color="auto" w:fill="auto"/>
            <w:tcMar>
              <w:top w:w="113" w:type="dxa"/>
              <w:left w:w="113" w:type="dxa"/>
              <w:bottom w:w="113" w:type="dxa"/>
              <w:right w:w="113" w:type="dxa"/>
            </w:tcMar>
          </w:tcPr>
          <w:p w14:paraId="56469720" w14:textId="77777777" w:rsidR="00BB2B23" w:rsidRPr="00325963" w:rsidRDefault="00BB2B23" w:rsidP="00F5693B">
            <w:pPr>
              <w:pStyle w:val="Tablesmalltext"/>
              <w:rPr>
                <w:color w:val="auto"/>
              </w:rPr>
            </w:pPr>
            <w:r w:rsidRPr="00325963">
              <w:rPr>
                <w:color w:val="auto"/>
              </w:rPr>
              <w:t>Australian Government</w:t>
            </w:r>
          </w:p>
        </w:tc>
        <w:tc>
          <w:tcPr>
            <w:tcW w:w="799" w:type="dxa"/>
            <w:shd w:val="clear" w:color="auto" w:fill="auto"/>
            <w:tcMar>
              <w:top w:w="113" w:type="dxa"/>
              <w:left w:w="113" w:type="dxa"/>
              <w:bottom w:w="113" w:type="dxa"/>
              <w:right w:w="113" w:type="dxa"/>
            </w:tcMar>
          </w:tcPr>
          <w:p w14:paraId="56469721" w14:textId="77777777" w:rsidR="00BB2B23" w:rsidRPr="00325963" w:rsidRDefault="00BB2B23" w:rsidP="00F5693B">
            <w:pPr>
              <w:pStyle w:val="Tablesmalltext"/>
              <w:jc w:val="center"/>
              <w:rPr>
                <w:color w:val="auto"/>
              </w:rPr>
            </w:pPr>
            <w:r w:rsidRPr="00325963">
              <w:rPr>
                <w:color w:val="auto"/>
              </w:rPr>
              <w:t>$000s</w:t>
            </w:r>
          </w:p>
        </w:tc>
        <w:tc>
          <w:tcPr>
            <w:tcW w:w="1701" w:type="dxa"/>
            <w:shd w:val="clear" w:color="auto" w:fill="auto"/>
            <w:tcMar>
              <w:top w:w="113" w:type="dxa"/>
              <w:left w:w="113" w:type="dxa"/>
              <w:bottom w:w="113" w:type="dxa"/>
              <w:right w:w="113" w:type="dxa"/>
            </w:tcMar>
          </w:tcPr>
          <w:p w14:paraId="56469722" w14:textId="77777777" w:rsidR="00BB2B23" w:rsidRPr="00325963" w:rsidRDefault="00BB2B23" w:rsidP="00F5693B">
            <w:pPr>
              <w:pStyle w:val="Tablesmalltext"/>
              <w:jc w:val="center"/>
              <w:rPr>
                <w:color w:val="auto"/>
              </w:rPr>
            </w:pPr>
            <w:r w:rsidRPr="00325963">
              <w:rPr>
                <w:color w:val="auto"/>
              </w:rPr>
              <w:t>2830</w:t>
            </w:r>
          </w:p>
        </w:tc>
        <w:tc>
          <w:tcPr>
            <w:tcW w:w="1701" w:type="dxa"/>
            <w:shd w:val="clear" w:color="auto" w:fill="auto"/>
            <w:tcMar>
              <w:top w:w="113" w:type="dxa"/>
              <w:left w:w="113" w:type="dxa"/>
              <w:bottom w:w="113" w:type="dxa"/>
              <w:right w:w="113" w:type="dxa"/>
            </w:tcMar>
          </w:tcPr>
          <w:p w14:paraId="56469723" w14:textId="77777777" w:rsidR="00BB2B23" w:rsidRPr="00325963" w:rsidRDefault="00BB2B23" w:rsidP="00F5693B">
            <w:pPr>
              <w:pStyle w:val="Tablesmalltext"/>
              <w:jc w:val="center"/>
              <w:rPr>
                <w:color w:val="auto"/>
              </w:rPr>
            </w:pPr>
            <w:r w:rsidRPr="00325963">
              <w:rPr>
                <w:color w:val="auto"/>
              </w:rPr>
              <w:t>2830</w:t>
            </w:r>
          </w:p>
        </w:tc>
      </w:tr>
      <w:tr w:rsidR="00BB2B23" w:rsidRPr="00325963" w14:paraId="5646972A" w14:textId="77777777" w:rsidTr="00325963">
        <w:trPr>
          <w:trHeight w:val="210"/>
        </w:trPr>
        <w:tc>
          <w:tcPr>
            <w:tcW w:w="2419" w:type="dxa"/>
            <w:vMerge w:val="restart"/>
            <w:shd w:val="clear" w:color="auto" w:fill="auto"/>
            <w:tcMar>
              <w:top w:w="113" w:type="dxa"/>
              <w:left w:w="113" w:type="dxa"/>
              <w:bottom w:w="113" w:type="dxa"/>
              <w:right w:w="113" w:type="dxa"/>
            </w:tcMar>
          </w:tcPr>
          <w:p w14:paraId="56469725" w14:textId="77777777" w:rsidR="00BB2B23" w:rsidRPr="00325963" w:rsidRDefault="00BB2B23" w:rsidP="00F5693B">
            <w:pPr>
              <w:pStyle w:val="Tablesmalltext"/>
              <w:rPr>
                <w:color w:val="auto"/>
              </w:rPr>
            </w:pPr>
            <w:r w:rsidRPr="00325963">
              <w:rPr>
                <w:rStyle w:val="TextBold"/>
                <w:color w:val="auto"/>
              </w:rPr>
              <w:t>Administrative cost </w:t>
            </w:r>
          </w:p>
        </w:tc>
        <w:tc>
          <w:tcPr>
            <w:tcW w:w="2154" w:type="dxa"/>
            <w:shd w:val="clear" w:color="auto" w:fill="auto"/>
            <w:tcMar>
              <w:top w:w="113" w:type="dxa"/>
              <w:left w:w="113" w:type="dxa"/>
              <w:bottom w:w="113" w:type="dxa"/>
              <w:right w:w="113" w:type="dxa"/>
            </w:tcMar>
          </w:tcPr>
          <w:p w14:paraId="56469726" w14:textId="77777777" w:rsidR="00BB2B23" w:rsidRPr="00325963" w:rsidRDefault="00BB2B23" w:rsidP="00F5693B">
            <w:pPr>
              <w:pStyle w:val="Tablesmalltext"/>
              <w:rPr>
                <w:color w:val="auto"/>
              </w:rPr>
            </w:pPr>
            <w:r w:rsidRPr="00325963">
              <w:rPr>
                <w:color w:val="auto"/>
              </w:rPr>
              <w:t>Equipment owners</w:t>
            </w:r>
          </w:p>
        </w:tc>
        <w:tc>
          <w:tcPr>
            <w:tcW w:w="799" w:type="dxa"/>
            <w:shd w:val="clear" w:color="auto" w:fill="auto"/>
            <w:tcMar>
              <w:top w:w="113" w:type="dxa"/>
              <w:left w:w="113" w:type="dxa"/>
              <w:bottom w:w="113" w:type="dxa"/>
              <w:right w:w="113" w:type="dxa"/>
            </w:tcMar>
          </w:tcPr>
          <w:p w14:paraId="56469727" w14:textId="77777777" w:rsidR="00BB2B23" w:rsidRPr="00325963" w:rsidRDefault="00BB2B23" w:rsidP="00F5693B">
            <w:pPr>
              <w:pStyle w:val="Tablesmalltext"/>
              <w:jc w:val="center"/>
              <w:rPr>
                <w:color w:val="auto"/>
              </w:rPr>
            </w:pPr>
            <w:r w:rsidRPr="00325963">
              <w:rPr>
                <w:color w:val="auto"/>
              </w:rPr>
              <w:t>$000s</w:t>
            </w:r>
          </w:p>
        </w:tc>
        <w:tc>
          <w:tcPr>
            <w:tcW w:w="1701" w:type="dxa"/>
            <w:shd w:val="clear" w:color="auto" w:fill="auto"/>
            <w:tcMar>
              <w:top w:w="113" w:type="dxa"/>
              <w:left w:w="113" w:type="dxa"/>
              <w:bottom w:w="113" w:type="dxa"/>
              <w:right w:w="113" w:type="dxa"/>
            </w:tcMar>
          </w:tcPr>
          <w:p w14:paraId="56469728" w14:textId="77777777" w:rsidR="00BB2B23" w:rsidRPr="00325963" w:rsidRDefault="00BB2B23" w:rsidP="00F5693B">
            <w:pPr>
              <w:pStyle w:val="Tablesmalltext"/>
              <w:jc w:val="center"/>
              <w:rPr>
                <w:color w:val="auto"/>
              </w:rPr>
            </w:pPr>
            <w:r w:rsidRPr="00325963">
              <w:rPr>
                <w:color w:val="auto"/>
              </w:rPr>
              <w:t>76,234</w:t>
            </w:r>
          </w:p>
        </w:tc>
        <w:tc>
          <w:tcPr>
            <w:tcW w:w="1701" w:type="dxa"/>
            <w:shd w:val="clear" w:color="auto" w:fill="auto"/>
            <w:tcMar>
              <w:top w:w="113" w:type="dxa"/>
              <w:left w:w="113" w:type="dxa"/>
              <w:bottom w:w="113" w:type="dxa"/>
              <w:right w:w="113" w:type="dxa"/>
            </w:tcMar>
          </w:tcPr>
          <w:p w14:paraId="56469729" w14:textId="77777777" w:rsidR="00BB2B23" w:rsidRPr="00325963" w:rsidRDefault="00BB2B23" w:rsidP="00F5693B">
            <w:pPr>
              <w:pStyle w:val="Tablesmalltext"/>
              <w:jc w:val="center"/>
              <w:rPr>
                <w:color w:val="auto"/>
              </w:rPr>
            </w:pPr>
            <w:r w:rsidRPr="00325963">
              <w:rPr>
                <w:color w:val="auto"/>
              </w:rPr>
              <w:t>209,731</w:t>
            </w:r>
          </w:p>
        </w:tc>
      </w:tr>
      <w:tr w:rsidR="00BB2B23" w:rsidRPr="00325963" w14:paraId="56469730" w14:textId="77777777" w:rsidTr="00325963">
        <w:trPr>
          <w:trHeight w:val="210"/>
        </w:trPr>
        <w:tc>
          <w:tcPr>
            <w:tcW w:w="2419" w:type="dxa"/>
            <w:vMerge/>
            <w:shd w:val="clear" w:color="auto" w:fill="auto"/>
          </w:tcPr>
          <w:p w14:paraId="5646972B" w14:textId="77777777" w:rsidR="00BB2B23" w:rsidRPr="00325963" w:rsidRDefault="00BB2B23" w:rsidP="00F5693B">
            <w:pPr>
              <w:pStyle w:val="NoParagraphStyle"/>
              <w:spacing w:line="240" w:lineRule="auto"/>
              <w:textAlignment w:val="auto"/>
              <w:rPr>
                <w:rFonts w:ascii="Myriad Pro" w:hAnsi="Myriad Pro" w:cstheme="minorBidi"/>
                <w:color w:val="auto"/>
                <w:lang w:val="en-AU"/>
              </w:rPr>
            </w:pPr>
          </w:p>
        </w:tc>
        <w:tc>
          <w:tcPr>
            <w:tcW w:w="2154" w:type="dxa"/>
            <w:shd w:val="clear" w:color="auto" w:fill="auto"/>
            <w:tcMar>
              <w:top w:w="113" w:type="dxa"/>
              <w:left w:w="113" w:type="dxa"/>
              <w:bottom w:w="113" w:type="dxa"/>
              <w:right w:w="113" w:type="dxa"/>
            </w:tcMar>
          </w:tcPr>
          <w:p w14:paraId="5646972C" w14:textId="77777777" w:rsidR="00BB2B23" w:rsidRPr="00325963" w:rsidRDefault="00BB2B23" w:rsidP="00F5693B">
            <w:pPr>
              <w:pStyle w:val="Tablesmalltext"/>
              <w:rPr>
                <w:color w:val="auto"/>
              </w:rPr>
            </w:pPr>
            <w:r w:rsidRPr="00325963">
              <w:rPr>
                <w:color w:val="auto"/>
              </w:rPr>
              <w:t>Australian Government</w:t>
            </w:r>
          </w:p>
        </w:tc>
        <w:tc>
          <w:tcPr>
            <w:tcW w:w="799" w:type="dxa"/>
            <w:shd w:val="clear" w:color="auto" w:fill="auto"/>
            <w:tcMar>
              <w:top w:w="113" w:type="dxa"/>
              <w:left w:w="113" w:type="dxa"/>
              <w:bottom w:w="113" w:type="dxa"/>
              <w:right w:w="113" w:type="dxa"/>
            </w:tcMar>
          </w:tcPr>
          <w:p w14:paraId="5646972D" w14:textId="77777777" w:rsidR="00BB2B23" w:rsidRPr="00325963" w:rsidRDefault="00BB2B23" w:rsidP="00F5693B">
            <w:pPr>
              <w:pStyle w:val="Tablesmalltext"/>
              <w:jc w:val="center"/>
              <w:rPr>
                <w:color w:val="auto"/>
              </w:rPr>
            </w:pPr>
            <w:r w:rsidRPr="00325963">
              <w:rPr>
                <w:color w:val="auto"/>
              </w:rPr>
              <w:t>$000s</w:t>
            </w:r>
          </w:p>
        </w:tc>
        <w:tc>
          <w:tcPr>
            <w:tcW w:w="1701" w:type="dxa"/>
            <w:shd w:val="clear" w:color="auto" w:fill="auto"/>
            <w:tcMar>
              <w:top w:w="113" w:type="dxa"/>
              <w:left w:w="113" w:type="dxa"/>
              <w:bottom w:w="113" w:type="dxa"/>
              <w:right w:w="113" w:type="dxa"/>
            </w:tcMar>
          </w:tcPr>
          <w:p w14:paraId="5646972E" w14:textId="77777777" w:rsidR="00BB2B23" w:rsidRPr="00325963" w:rsidRDefault="00BB2B23" w:rsidP="00F5693B">
            <w:pPr>
              <w:pStyle w:val="Tablesmalltext"/>
              <w:jc w:val="center"/>
              <w:rPr>
                <w:color w:val="auto"/>
              </w:rPr>
            </w:pPr>
            <w:r w:rsidRPr="00325963">
              <w:rPr>
                <w:color w:val="auto"/>
              </w:rPr>
              <w:t>858</w:t>
            </w:r>
          </w:p>
        </w:tc>
        <w:tc>
          <w:tcPr>
            <w:tcW w:w="1701" w:type="dxa"/>
            <w:shd w:val="clear" w:color="auto" w:fill="auto"/>
            <w:tcMar>
              <w:top w:w="113" w:type="dxa"/>
              <w:left w:w="113" w:type="dxa"/>
              <w:bottom w:w="113" w:type="dxa"/>
              <w:right w:w="113" w:type="dxa"/>
            </w:tcMar>
          </w:tcPr>
          <w:p w14:paraId="5646972F" w14:textId="77777777" w:rsidR="00BB2B23" w:rsidRPr="00325963" w:rsidRDefault="00BB2B23" w:rsidP="00F5693B">
            <w:pPr>
              <w:pStyle w:val="Tablesmalltext"/>
              <w:jc w:val="center"/>
              <w:rPr>
                <w:color w:val="auto"/>
              </w:rPr>
            </w:pPr>
            <w:r w:rsidRPr="00325963">
              <w:rPr>
                <w:color w:val="auto"/>
              </w:rPr>
              <w:t>3742</w:t>
            </w:r>
          </w:p>
        </w:tc>
      </w:tr>
      <w:tr w:rsidR="00BB2B23" w:rsidRPr="00325963" w14:paraId="56469735" w14:textId="77777777" w:rsidTr="00325963">
        <w:trPr>
          <w:trHeight w:val="210"/>
        </w:trPr>
        <w:tc>
          <w:tcPr>
            <w:tcW w:w="4573" w:type="dxa"/>
            <w:gridSpan w:val="2"/>
            <w:shd w:val="clear" w:color="auto" w:fill="auto"/>
            <w:tcMar>
              <w:top w:w="113" w:type="dxa"/>
              <w:left w:w="113" w:type="dxa"/>
              <w:bottom w:w="113" w:type="dxa"/>
              <w:right w:w="113" w:type="dxa"/>
            </w:tcMar>
          </w:tcPr>
          <w:p w14:paraId="56469731" w14:textId="77777777" w:rsidR="00BB2B23" w:rsidRPr="00325963" w:rsidRDefault="00BB2B23" w:rsidP="00F5693B">
            <w:pPr>
              <w:pStyle w:val="Tablesmalltext"/>
              <w:rPr>
                <w:color w:val="auto"/>
              </w:rPr>
            </w:pPr>
            <w:r w:rsidRPr="00325963">
              <w:rPr>
                <w:rStyle w:val="TextBold"/>
                <w:color w:val="auto"/>
              </w:rPr>
              <w:t>Total costs</w:t>
            </w:r>
          </w:p>
        </w:tc>
        <w:tc>
          <w:tcPr>
            <w:tcW w:w="799" w:type="dxa"/>
            <w:shd w:val="clear" w:color="auto" w:fill="auto"/>
            <w:tcMar>
              <w:top w:w="113" w:type="dxa"/>
              <w:left w:w="113" w:type="dxa"/>
              <w:bottom w:w="113" w:type="dxa"/>
              <w:right w:w="113" w:type="dxa"/>
            </w:tcMar>
          </w:tcPr>
          <w:p w14:paraId="56469732" w14:textId="77777777" w:rsidR="00BB2B23" w:rsidRPr="00325963" w:rsidRDefault="00BB2B23" w:rsidP="00F5693B">
            <w:pPr>
              <w:pStyle w:val="Tablesmalltext"/>
              <w:jc w:val="center"/>
              <w:rPr>
                <w:color w:val="auto"/>
              </w:rPr>
            </w:pPr>
            <w:r w:rsidRPr="00325963">
              <w:rPr>
                <w:rStyle w:val="TextBold"/>
                <w:color w:val="auto"/>
              </w:rPr>
              <w:t>$000s</w:t>
            </w:r>
          </w:p>
        </w:tc>
        <w:tc>
          <w:tcPr>
            <w:tcW w:w="1701" w:type="dxa"/>
            <w:shd w:val="clear" w:color="auto" w:fill="auto"/>
            <w:tcMar>
              <w:top w:w="113" w:type="dxa"/>
              <w:left w:w="113" w:type="dxa"/>
              <w:bottom w:w="113" w:type="dxa"/>
              <w:right w:w="113" w:type="dxa"/>
            </w:tcMar>
          </w:tcPr>
          <w:p w14:paraId="56469733" w14:textId="77777777" w:rsidR="00BB2B23" w:rsidRPr="00325963" w:rsidRDefault="00BB2B23" w:rsidP="00F5693B">
            <w:pPr>
              <w:pStyle w:val="Tablesmalltext"/>
              <w:jc w:val="center"/>
              <w:rPr>
                <w:color w:val="auto"/>
              </w:rPr>
            </w:pPr>
            <w:r w:rsidRPr="00325963">
              <w:rPr>
                <w:rStyle w:val="TextBold"/>
                <w:color w:val="auto"/>
              </w:rPr>
              <w:t>1,332,582</w:t>
            </w:r>
          </w:p>
        </w:tc>
        <w:tc>
          <w:tcPr>
            <w:tcW w:w="1701" w:type="dxa"/>
            <w:shd w:val="clear" w:color="auto" w:fill="auto"/>
            <w:tcMar>
              <w:top w:w="113" w:type="dxa"/>
              <w:left w:w="113" w:type="dxa"/>
              <w:bottom w:w="113" w:type="dxa"/>
              <w:right w:w="113" w:type="dxa"/>
            </w:tcMar>
          </w:tcPr>
          <w:p w14:paraId="56469734" w14:textId="77777777" w:rsidR="00BB2B23" w:rsidRPr="00325963" w:rsidRDefault="00BB2B23" w:rsidP="00F5693B">
            <w:pPr>
              <w:pStyle w:val="Tablesmalltext"/>
              <w:jc w:val="center"/>
              <w:rPr>
                <w:color w:val="auto"/>
              </w:rPr>
            </w:pPr>
            <w:r w:rsidRPr="00325963">
              <w:rPr>
                <w:rStyle w:val="TextBold"/>
                <w:color w:val="auto"/>
              </w:rPr>
              <w:t>3,574,031</w:t>
            </w:r>
          </w:p>
        </w:tc>
      </w:tr>
      <w:tr w:rsidR="00BB2B23" w:rsidRPr="00325963" w14:paraId="5646973A" w14:textId="77777777" w:rsidTr="00325963">
        <w:trPr>
          <w:trHeight w:val="210"/>
        </w:trPr>
        <w:tc>
          <w:tcPr>
            <w:tcW w:w="4573" w:type="dxa"/>
            <w:gridSpan w:val="2"/>
            <w:shd w:val="clear" w:color="auto" w:fill="auto"/>
            <w:tcMar>
              <w:top w:w="113" w:type="dxa"/>
              <w:left w:w="113" w:type="dxa"/>
              <w:bottom w:w="113" w:type="dxa"/>
              <w:right w:w="113" w:type="dxa"/>
            </w:tcMar>
          </w:tcPr>
          <w:p w14:paraId="56469736" w14:textId="77777777" w:rsidR="00BB2B23" w:rsidRPr="00325963" w:rsidRDefault="00BB2B23" w:rsidP="00F5693B">
            <w:pPr>
              <w:pStyle w:val="Tablesmalltext"/>
              <w:rPr>
                <w:color w:val="auto"/>
              </w:rPr>
            </w:pPr>
            <w:r w:rsidRPr="00325963">
              <w:rPr>
                <w:rStyle w:val="TextBold"/>
                <w:color w:val="auto"/>
              </w:rPr>
              <w:t>Benefit to cost ratio</w:t>
            </w:r>
          </w:p>
        </w:tc>
        <w:tc>
          <w:tcPr>
            <w:tcW w:w="799" w:type="dxa"/>
            <w:shd w:val="clear" w:color="auto" w:fill="auto"/>
            <w:tcMar>
              <w:top w:w="113" w:type="dxa"/>
              <w:left w:w="113" w:type="dxa"/>
              <w:bottom w:w="113" w:type="dxa"/>
              <w:right w:w="113" w:type="dxa"/>
            </w:tcMar>
          </w:tcPr>
          <w:p w14:paraId="56469737" w14:textId="77777777" w:rsidR="00BB2B23" w:rsidRPr="00325963" w:rsidRDefault="00BB2B23" w:rsidP="00F5693B">
            <w:pPr>
              <w:pStyle w:val="Tablesmalltext"/>
              <w:jc w:val="center"/>
              <w:rPr>
                <w:color w:val="auto"/>
              </w:rPr>
            </w:pPr>
            <w:r w:rsidRPr="00325963">
              <w:rPr>
                <w:rStyle w:val="TextBold"/>
                <w:color w:val="auto"/>
              </w:rPr>
              <w:t>ratio</w:t>
            </w:r>
          </w:p>
        </w:tc>
        <w:tc>
          <w:tcPr>
            <w:tcW w:w="1701" w:type="dxa"/>
            <w:shd w:val="clear" w:color="auto" w:fill="auto"/>
            <w:tcMar>
              <w:top w:w="113" w:type="dxa"/>
              <w:left w:w="113" w:type="dxa"/>
              <w:bottom w:w="113" w:type="dxa"/>
              <w:right w:w="113" w:type="dxa"/>
            </w:tcMar>
          </w:tcPr>
          <w:p w14:paraId="56469738" w14:textId="77777777" w:rsidR="00BB2B23" w:rsidRPr="00325963" w:rsidRDefault="00BB2B23" w:rsidP="00F5693B">
            <w:pPr>
              <w:pStyle w:val="Tablesmalltext"/>
              <w:jc w:val="center"/>
              <w:rPr>
                <w:color w:val="auto"/>
              </w:rPr>
            </w:pPr>
            <w:r w:rsidRPr="00325963">
              <w:rPr>
                <w:rStyle w:val="TextBold"/>
                <w:color w:val="auto"/>
              </w:rPr>
              <w:t>0.97</w:t>
            </w:r>
          </w:p>
        </w:tc>
        <w:tc>
          <w:tcPr>
            <w:tcW w:w="1701" w:type="dxa"/>
            <w:shd w:val="clear" w:color="auto" w:fill="auto"/>
            <w:tcMar>
              <w:top w:w="113" w:type="dxa"/>
              <w:left w:w="113" w:type="dxa"/>
              <w:bottom w:w="113" w:type="dxa"/>
              <w:right w:w="113" w:type="dxa"/>
            </w:tcMar>
          </w:tcPr>
          <w:p w14:paraId="56469739" w14:textId="77777777" w:rsidR="00BB2B23" w:rsidRPr="00325963" w:rsidRDefault="00BB2B23" w:rsidP="00F5693B">
            <w:pPr>
              <w:pStyle w:val="Tablesmalltext"/>
              <w:jc w:val="center"/>
              <w:rPr>
                <w:color w:val="auto"/>
              </w:rPr>
            </w:pPr>
            <w:r w:rsidRPr="00325963">
              <w:rPr>
                <w:rStyle w:val="TextBold"/>
                <w:color w:val="auto"/>
              </w:rPr>
              <w:t>1.03</w:t>
            </w:r>
          </w:p>
        </w:tc>
      </w:tr>
    </w:tbl>
    <w:p w14:paraId="5646973B" w14:textId="77777777" w:rsidR="00BB2B23" w:rsidRDefault="00BB2B23" w:rsidP="00BB2B23">
      <w:pPr>
        <w:pStyle w:val="Text"/>
        <w:rPr>
          <w:rStyle w:val="TextItalic"/>
        </w:rPr>
      </w:pPr>
    </w:p>
    <w:p w14:paraId="5646973C" w14:textId="77777777" w:rsidR="00BB2B23" w:rsidRPr="00AC69B2" w:rsidRDefault="00BB2B23" w:rsidP="00AC69B2">
      <w:pPr>
        <w:pStyle w:val="FootnoteText1"/>
        <w:rPr>
          <w:rStyle w:val="FootnoteReference1"/>
          <w:vertAlign w:val="baseline"/>
        </w:rPr>
      </w:pPr>
      <w:r w:rsidRPr="00AC69B2">
        <w:rPr>
          <w:rStyle w:val="FootnoteReference1"/>
          <w:vertAlign w:val="baseline"/>
        </w:rPr>
        <w:t>Source: Jacobs’ analysis</w:t>
      </w:r>
    </w:p>
    <w:p w14:paraId="5646973D" w14:textId="77777777" w:rsidR="00BB2B23" w:rsidRDefault="00BB2B23" w:rsidP="00BB2B23">
      <w:pPr>
        <w:pStyle w:val="Text"/>
      </w:pPr>
    </w:p>
    <w:p w14:paraId="5646973E" w14:textId="77777777" w:rsidR="00BB2B23" w:rsidRDefault="00BB2B23" w:rsidP="00BB2B23">
      <w:pPr>
        <w:pStyle w:val="Subhead1"/>
      </w:pPr>
      <w:r>
        <w:t>Regulatory burden of each option</w:t>
      </w:r>
    </w:p>
    <w:p w14:paraId="5646973F" w14:textId="77777777" w:rsidR="00BB2B23" w:rsidRDefault="00BB2B23" w:rsidP="00BB2B23">
      <w:pPr>
        <w:pStyle w:val="Text"/>
        <w:ind w:right="113"/>
      </w:pPr>
      <w:r>
        <w:t>The Regulatory Burden Measurement (RBM) framework</w:t>
      </w:r>
      <w:r>
        <w:rPr>
          <w:rFonts w:ascii="Myriad Pro" w:hAnsi="Myriad Pro" w:cstheme="minorBidi"/>
          <w:sz w:val="24"/>
          <w:szCs w:val="24"/>
        </w:rPr>
        <w:footnoteReference w:id="20"/>
      </w:r>
      <w:r>
        <w:t xml:space="preserve"> provides an estimate of the regulatory impacts (costs or savings) for business, community organisations and individuals (BCI) using an activity-based costing methodology. RBM values are calculated as a simple average of costs to BCI over the first 10-year period (2017 to 2026 inclusive) of the regulations being proposed in the options set out in Section 4.</w:t>
      </w:r>
    </w:p>
    <w:p w14:paraId="56469740" w14:textId="77777777" w:rsidR="00BB2B23" w:rsidRDefault="00BB2B23" w:rsidP="00BB2B23">
      <w:pPr>
        <w:pStyle w:val="Text"/>
      </w:pPr>
      <w:r>
        <w:t>Of relevance to the options in this RIS, the RBM framework identifies 2 major categories of costs that should be included in calculating regulatory burden:</w:t>
      </w:r>
    </w:p>
    <w:p w14:paraId="56469741" w14:textId="77777777" w:rsidR="00BB2B23" w:rsidRDefault="00BB2B23" w:rsidP="00BB2B23">
      <w:pPr>
        <w:pStyle w:val="Bullets1"/>
      </w:pPr>
      <w:r>
        <w:t xml:space="preserve">Administrative compliance costs—costs that are primarily driven by the need to demonstrate compliance with the regulation, such as learning about the regulation, seeking permission from government, filling in forms or providing certain information to government. </w:t>
      </w:r>
    </w:p>
    <w:p w14:paraId="56469742" w14:textId="77777777" w:rsidR="00BB2B23" w:rsidRDefault="00BB2B23" w:rsidP="00BB2B23">
      <w:pPr>
        <w:pStyle w:val="Bullets1"/>
      </w:pPr>
      <w:r>
        <w:t>Substantive compliance costs—costs incurred to deliver the regulated outcomes being sought. These costs may include the capital costs of equipment/technology upgrades as well as operational costs from process changes or additional staff training.</w:t>
      </w:r>
    </w:p>
    <w:p w14:paraId="56469743" w14:textId="77777777" w:rsidR="00BB2B23" w:rsidRDefault="00BB2B23" w:rsidP="00BB2B23">
      <w:pPr>
        <w:pStyle w:val="Text"/>
      </w:pPr>
      <w:r>
        <w:t xml:space="preserve">The RBM focuses on the costs to industry that would not otherwise be incurred. Business as usual costs—being those arising from existing legislation or actions that industry would undertake regardless of government intervention—are excluded from the calculation. </w:t>
      </w:r>
    </w:p>
    <w:p w14:paraId="56469744" w14:textId="77777777" w:rsidR="00BB2B23" w:rsidRDefault="00BB2B23" w:rsidP="00BB2B23">
      <w:pPr>
        <w:pStyle w:val="Subhead2"/>
      </w:pPr>
      <w:r>
        <w:lastRenderedPageBreak/>
        <w:t>General characteristics of the options in this RIS</w:t>
      </w:r>
    </w:p>
    <w:p w14:paraId="56469745" w14:textId="77777777" w:rsidR="00BB2B23" w:rsidRDefault="00BB2B23" w:rsidP="00BB2B23">
      <w:pPr>
        <w:pStyle w:val="Text"/>
      </w:pPr>
      <w:r>
        <w:t xml:space="preserve">All options costed have modest amounts of </w:t>
      </w:r>
      <w:r>
        <w:rPr>
          <w:rStyle w:val="TextItalic"/>
        </w:rPr>
        <w:t>administrative</w:t>
      </w:r>
      <w:r>
        <w:t xml:space="preserve"> costs including the need for stakeholders to learn about their new obligations and manage their transition (all options) to register for HFC import quota auctions and pay auction amounts (option 2), and to keep records about their use of technicians for maintenance and leak testing (option 4). </w:t>
      </w:r>
    </w:p>
    <w:p w14:paraId="56469746" w14:textId="77777777" w:rsidR="00BB2B23" w:rsidRDefault="00BB2B23" w:rsidP="00BB2B23">
      <w:pPr>
        <w:pStyle w:val="Text"/>
      </w:pPr>
      <w:r>
        <w:t xml:space="preserve">The major source of regulatory burden for all options is the </w:t>
      </w:r>
      <w:r>
        <w:rPr>
          <w:rStyle w:val="TextItalic"/>
        </w:rPr>
        <w:t>substantive</w:t>
      </w:r>
      <w:r>
        <w:t xml:space="preserve"> cost of reducing HFC use. Substantive costs includes:</w:t>
      </w:r>
    </w:p>
    <w:p w14:paraId="56469747" w14:textId="77777777" w:rsidR="00BB2B23" w:rsidRDefault="00BB2B23" w:rsidP="00BB2B23">
      <w:pPr>
        <w:pStyle w:val="Bullets1"/>
      </w:pPr>
      <w:r>
        <w:t>paying higher prices for non-HFC refrigerant gases (“</w:t>
      </w:r>
      <w:r>
        <w:rPr>
          <w:rStyle w:val="TextItalic"/>
        </w:rPr>
        <w:t>Refrigerant gas cost</w:t>
      </w:r>
      <w:r>
        <w:t xml:space="preserve">” in the CBA results tables in Section 5). </w:t>
      </w:r>
    </w:p>
    <w:p w14:paraId="56469748" w14:textId="77777777" w:rsidR="00BB2B23" w:rsidRDefault="00BB2B23" w:rsidP="00BB2B23">
      <w:pPr>
        <w:pStyle w:val="Bullets2"/>
      </w:pPr>
      <w:r>
        <w:t>Relevant to Option 2.</w:t>
      </w:r>
    </w:p>
    <w:p w14:paraId="56469749" w14:textId="77777777" w:rsidR="00BB2B23" w:rsidRDefault="00BB2B23" w:rsidP="00BB2B23">
      <w:pPr>
        <w:pStyle w:val="Bullets2"/>
      </w:pPr>
      <w:r>
        <w:t>paying higher prices for the purchase of equipment that does not use HFC (“</w:t>
      </w:r>
      <w:r>
        <w:rPr>
          <w:rStyle w:val="TextItalic"/>
        </w:rPr>
        <w:t>Incremental capital cost</w:t>
      </w:r>
      <w:r>
        <w:t>” in the CBA results tables in Section 5).</w:t>
      </w:r>
      <w:r>
        <w:rPr>
          <w:rFonts w:ascii="MS Mincho" w:eastAsia="MS Mincho" w:hAnsi="MS Mincho" w:cs="MS Mincho" w:hint="eastAsia"/>
        </w:rPr>
        <w:t> </w:t>
      </w:r>
      <w:r>
        <w:t>Relevant to Option 2 and 3.</w:t>
      </w:r>
    </w:p>
    <w:p w14:paraId="5646974A" w14:textId="77777777" w:rsidR="00BB2B23" w:rsidRDefault="00BB2B23" w:rsidP="00BB2B23">
      <w:pPr>
        <w:pStyle w:val="Bullets1"/>
      </w:pPr>
      <w:r>
        <w:t>any difference in the cost of maintaining non-HFC equipment which people choose to use compared with HFC equipment (“</w:t>
      </w:r>
      <w:r>
        <w:rPr>
          <w:rStyle w:val="TextItalic"/>
        </w:rPr>
        <w:t>Maintenance cost</w:t>
      </w:r>
      <w:r>
        <w:t>” in the CBA results tables in Section 5).</w:t>
      </w:r>
    </w:p>
    <w:p w14:paraId="5646974B" w14:textId="77777777" w:rsidR="00BB2B23" w:rsidRDefault="00BB2B23" w:rsidP="00BB2B23">
      <w:pPr>
        <w:pStyle w:val="Bullets2"/>
      </w:pPr>
      <w:r>
        <w:t>Relevant to Option 2, 3 and 4.</w:t>
      </w:r>
    </w:p>
    <w:p w14:paraId="5646974C" w14:textId="77777777" w:rsidR="00BB2B23" w:rsidRDefault="00BB2B23" w:rsidP="00BB2B23">
      <w:pPr>
        <w:pStyle w:val="Bullets1"/>
      </w:pPr>
      <w:r>
        <w:t>the cost of purchasing additional equipment, such as automatic leak detection modules (“</w:t>
      </w:r>
      <w:r>
        <w:rPr>
          <w:rStyle w:val="TextItalic"/>
        </w:rPr>
        <w:t>Leak testing cost</w:t>
      </w:r>
      <w:r>
        <w:t>” in the CBA results tables in Section 5).</w:t>
      </w:r>
    </w:p>
    <w:p w14:paraId="5646974D" w14:textId="77777777" w:rsidR="00BB2B23" w:rsidRDefault="00BB2B23" w:rsidP="00BB2B23">
      <w:pPr>
        <w:pStyle w:val="Bullets2"/>
      </w:pPr>
      <w:r>
        <w:t>Relevant to Option 4.</w:t>
      </w:r>
    </w:p>
    <w:p w14:paraId="5646974E" w14:textId="77777777" w:rsidR="00BB2B23" w:rsidRDefault="00BB2B23" w:rsidP="00BB2B23">
      <w:pPr>
        <w:pStyle w:val="Text"/>
      </w:pPr>
    </w:p>
    <w:p w14:paraId="5646974F" w14:textId="77777777" w:rsidR="00BB2B23" w:rsidRDefault="00BB2B23" w:rsidP="00BB2B23">
      <w:pPr>
        <w:pStyle w:val="Bullets1"/>
      </w:pPr>
      <w:r>
        <w:t>The cost of engaging technicians to perform maintenance and tests required by the policy (“</w:t>
      </w:r>
      <w:r>
        <w:rPr>
          <w:rStyle w:val="TextItalic"/>
        </w:rPr>
        <w:t>Maintenance cost</w:t>
      </w:r>
      <w:r>
        <w:t>” and part of “</w:t>
      </w:r>
      <w:r>
        <w:rPr>
          <w:rStyle w:val="TextItalic"/>
        </w:rPr>
        <w:t>Leak testing cost</w:t>
      </w:r>
      <w:r>
        <w:t>” in the CBA results tables in Section 5).</w:t>
      </w:r>
    </w:p>
    <w:p w14:paraId="56469750" w14:textId="77777777" w:rsidR="00BB2B23" w:rsidRDefault="00BB2B23" w:rsidP="00BB2B23">
      <w:pPr>
        <w:pStyle w:val="Bullets2"/>
      </w:pPr>
      <w:r>
        <w:t>Relevant to Option 4.</w:t>
      </w:r>
    </w:p>
    <w:p w14:paraId="56469751" w14:textId="77777777" w:rsidR="00BB2B23" w:rsidRDefault="00BB2B23" w:rsidP="00BB2B23">
      <w:pPr>
        <w:pStyle w:val="Text"/>
      </w:pPr>
      <w:r>
        <w:t>Costs that are excluded, under the RBM framework, include:</w:t>
      </w:r>
    </w:p>
    <w:p w14:paraId="56469752" w14:textId="77777777" w:rsidR="00BB2B23" w:rsidRDefault="00BB2B23" w:rsidP="00BB2B23">
      <w:pPr>
        <w:pStyle w:val="Bullets1"/>
      </w:pPr>
      <w:r>
        <w:t>Financial transfers to the Australian Government, such as any amounts paid in an auction for HFC import quota.</w:t>
      </w:r>
    </w:p>
    <w:p w14:paraId="56469753" w14:textId="77777777" w:rsidR="0005026F" w:rsidRDefault="0005026F" w:rsidP="00BB2B23">
      <w:pPr>
        <w:pStyle w:val="Subhead2"/>
        <w:sectPr w:rsidR="0005026F" w:rsidSect="00B8204E">
          <w:pgSz w:w="11906" w:h="16838"/>
          <w:pgMar w:top="720" w:right="720" w:bottom="720" w:left="720" w:header="425" w:footer="425" w:gutter="0"/>
          <w:pgNumType w:start="1"/>
          <w:cols w:space="708"/>
          <w:titlePg/>
          <w:docGrid w:linePitch="360"/>
        </w:sectPr>
      </w:pPr>
    </w:p>
    <w:p w14:paraId="56469754" w14:textId="77777777" w:rsidR="00BB2B23" w:rsidRDefault="00BB2B23" w:rsidP="00BB2B23">
      <w:pPr>
        <w:pStyle w:val="Subhead2"/>
      </w:pPr>
      <w:r>
        <w:lastRenderedPageBreak/>
        <w:t>RBM framework—Results</w:t>
      </w:r>
    </w:p>
    <w:p w14:paraId="56469755" w14:textId="77777777" w:rsidR="00BB2B23" w:rsidRDefault="00BB2B23" w:rsidP="00BB2B23">
      <w:pPr>
        <w:pStyle w:val="Subhead4"/>
      </w:pPr>
      <w:r>
        <w:t xml:space="preserve">Option 2—HFC phase-down (bulk gases) </w:t>
      </w:r>
    </w:p>
    <w:p w14:paraId="56469756" w14:textId="77777777" w:rsidR="00BB2B23" w:rsidRDefault="00BB2B23" w:rsidP="00BB2B23">
      <w:pPr>
        <w:pStyle w:val="Subhead5"/>
      </w:pPr>
      <w:r>
        <w:t xml:space="preserve">2a—North American Montreal Protocol Amendment Proposal </w:t>
      </w:r>
    </w:p>
    <w:p w14:paraId="56469757" w14:textId="77777777" w:rsidR="00BB2B23" w:rsidRDefault="00BB2B23" w:rsidP="00BB2B23">
      <w:pPr>
        <w:pStyle w:val="Text"/>
      </w:pPr>
      <w:r>
        <w:t xml:space="preserve">Regulatory burden estimated to be </w:t>
      </w:r>
      <w:r>
        <w:rPr>
          <w:rStyle w:val="TextBold"/>
        </w:rPr>
        <w:t>$4.19 million</w:t>
      </w:r>
      <w:r>
        <w:t xml:space="preserve"> per annum.</w:t>
      </w:r>
    </w:p>
    <w:p w14:paraId="56469758" w14:textId="77777777" w:rsidR="00BB2B23" w:rsidRDefault="00BB2B23" w:rsidP="00BB2B23">
      <w:pPr>
        <w:pStyle w:val="Subhead5"/>
      </w:pPr>
      <w:r>
        <w:t>2b –Accelerated Alternative</w:t>
      </w:r>
    </w:p>
    <w:p w14:paraId="56469759" w14:textId="77777777" w:rsidR="00BB2B23" w:rsidRDefault="00BB2B23" w:rsidP="00BB2B23">
      <w:pPr>
        <w:pStyle w:val="Text"/>
      </w:pPr>
      <w:r>
        <w:t xml:space="preserve">Regulatory burden estimated to be </w:t>
      </w:r>
      <w:r>
        <w:rPr>
          <w:rStyle w:val="TextBold"/>
        </w:rPr>
        <w:t>$11.72 million</w:t>
      </w:r>
      <w:r>
        <w:t xml:space="preserve"> per annum.</w:t>
      </w:r>
    </w:p>
    <w:p w14:paraId="5646975A" w14:textId="77777777" w:rsidR="00BB2B23" w:rsidRDefault="00BB2B23" w:rsidP="00BB2B23">
      <w:pPr>
        <w:pStyle w:val="Subhead4"/>
      </w:pPr>
      <w:r>
        <w:t>Option 3—HFC pre-charged equipment ban</w:t>
      </w:r>
    </w:p>
    <w:p w14:paraId="5646975B" w14:textId="77777777" w:rsidR="00BB2B23" w:rsidRDefault="00BB2B23" w:rsidP="00BB2B23">
      <w:pPr>
        <w:pStyle w:val="Subhead5"/>
      </w:pPr>
      <w:r>
        <w:t>3a—Supermarket equipment bans</w:t>
      </w:r>
    </w:p>
    <w:p w14:paraId="5646975C" w14:textId="77777777" w:rsidR="00BB2B23" w:rsidRDefault="00BB2B23" w:rsidP="00BB2B23">
      <w:pPr>
        <w:pStyle w:val="Text"/>
      </w:pPr>
      <w:r>
        <w:t xml:space="preserve">Regulatory burden estimated to be </w:t>
      </w:r>
      <w:r>
        <w:rPr>
          <w:rStyle w:val="TextBold"/>
        </w:rPr>
        <w:t>$0.05 million</w:t>
      </w:r>
      <w:r>
        <w:t xml:space="preserve"> per annum. </w:t>
      </w:r>
    </w:p>
    <w:p w14:paraId="5646975D" w14:textId="77777777" w:rsidR="00BB2B23" w:rsidRDefault="00BB2B23" w:rsidP="00BB2B23">
      <w:pPr>
        <w:pStyle w:val="Subhead5"/>
      </w:pPr>
      <w:r>
        <w:t xml:space="preserve">3b—Mobile air conditioning bans </w:t>
      </w:r>
    </w:p>
    <w:p w14:paraId="5646975E" w14:textId="77777777" w:rsidR="00BB2B23" w:rsidRDefault="00BB2B23" w:rsidP="00BB2B23">
      <w:pPr>
        <w:pStyle w:val="Text"/>
      </w:pPr>
      <w:r>
        <w:t xml:space="preserve">Regulatory burden estimated to be </w:t>
      </w:r>
      <w:r>
        <w:rPr>
          <w:rStyle w:val="TextBold"/>
        </w:rPr>
        <w:t>$31.57 million</w:t>
      </w:r>
      <w:r>
        <w:t xml:space="preserve"> per annum. </w:t>
      </w:r>
    </w:p>
    <w:p w14:paraId="5646975F" w14:textId="77777777" w:rsidR="00BB2B23" w:rsidRDefault="00BB2B23" w:rsidP="00BB2B23">
      <w:pPr>
        <w:pStyle w:val="Subhead4"/>
      </w:pPr>
      <w:r>
        <w:t xml:space="preserve">Option 4—Equipment controls </w:t>
      </w:r>
    </w:p>
    <w:p w14:paraId="56469760" w14:textId="77777777" w:rsidR="00BB2B23" w:rsidRDefault="00BB2B23" w:rsidP="00BB2B23">
      <w:pPr>
        <w:pStyle w:val="Subhead5"/>
      </w:pPr>
      <w:r>
        <w:t xml:space="preserve">4a—Mandatory leak testing </w:t>
      </w:r>
    </w:p>
    <w:p w14:paraId="56469761" w14:textId="77777777" w:rsidR="00BB2B23" w:rsidRDefault="00BB2B23" w:rsidP="00BB2B23">
      <w:pPr>
        <w:pStyle w:val="Text"/>
      </w:pPr>
      <w:r>
        <w:t xml:space="preserve">Regulatory burden estimated to be </w:t>
      </w:r>
      <w:r>
        <w:rPr>
          <w:rStyle w:val="TextBold"/>
        </w:rPr>
        <w:t>$111.98 million</w:t>
      </w:r>
      <w:r>
        <w:t xml:space="preserve"> per annum</w:t>
      </w:r>
    </w:p>
    <w:p w14:paraId="56469762" w14:textId="77777777" w:rsidR="00BB2B23" w:rsidRDefault="00BB2B23" w:rsidP="00BB2B23">
      <w:pPr>
        <w:pStyle w:val="Subhead5"/>
      </w:pPr>
      <w:r>
        <w:t>4b—Mandatory maintenance</w:t>
      </w:r>
    </w:p>
    <w:p w14:paraId="56469763" w14:textId="77777777" w:rsidR="00BB2B23" w:rsidRDefault="00BB2B23" w:rsidP="00BB2B23">
      <w:pPr>
        <w:pStyle w:val="Text"/>
      </w:pPr>
      <w:r>
        <w:t xml:space="preserve">Regulatory burden estimated to be </w:t>
      </w:r>
      <w:r>
        <w:rPr>
          <w:rStyle w:val="TextBold"/>
        </w:rPr>
        <w:t>$430.0 million</w:t>
      </w:r>
      <w:r>
        <w:t xml:space="preserve"> per annum </w:t>
      </w:r>
    </w:p>
    <w:p w14:paraId="56469764" w14:textId="77777777" w:rsidR="00BB2B23" w:rsidRDefault="00BB2B23" w:rsidP="00BB2B23">
      <w:pPr>
        <w:pStyle w:val="Text"/>
      </w:pPr>
    </w:p>
    <w:p w14:paraId="56469765" w14:textId="77777777" w:rsidR="0005026F" w:rsidRDefault="0005026F" w:rsidP="00BB2B23">
      <w:pPr>
        <w:pStyle w:val="Subhead2"/>
        <w:sectPr w:rsidR="0005026F" w:rsidSect="00B8204E">
          <w:pgSz w:w="11906" w:h="16838"/>
          <w:pgMar w:top="720" w:right="720" w:bottom="720" w:left="720" w:header="425" w:footer="425" w:gutter="0"/>
          <w:pgNumType w:start="1"/>
          <w:cols w:space="708"/>
          <w:titlePg/>
          <w:docGrid w:linePitch="360"/>
        </w:sectPr>
      </w:pPr>
    </w:p>
    <w:p w14:paraId="56469766" w14:textId="77777777" w:rsidR="00BB2B23" w:rsidRDefault="00BB2B23" w:rsidP="00BB2B23">
      <w:pPr>
        <w:pStyle w:val="Subhead2"/>
      </w:pPr>
      <w:r>
        <w:lastRenderedPageBreak/>
        <w:t>Summary of impact analysis</w:t>
      </w:r>
    </w:p>
    <w:p w14:paraId="56469767" w14:textId="77777777" w:rsidR="00BB2B23" w:rsidRDefault="00BB2B23" w:rsidP="00BB2B23">
      <w:pPr>
        <w:pStyle w:val="Tabletitle"/>
      </w:pPr>
      <w:r>
        <w:t>Table 9: Summary of impact analysis of emission reduction options over period 2016</w:t>
      </w:r>
      <w:r>
        <w:noBreakHyphen/>
        <w:t>2030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30"/>
        <w:gridCol w:w="1053"/>
        <w:gridCol w:w="1053"/>
        <w:gridCol w:w="939"/>
        <w:gridCol w:w="896"/>
        <w:gridCol w:w="1384"/>
        <w:gridCol w:w="1424"/>
      </w:tblGrid>
      <w:tr w:rsidR="00BB2B23" w:rsidRPr="00325963" w14:paraId="5646976C" w14:textId="77777777" w:rsidTr="00325963">
        <w:trPr>
          <w:trHeight w:val="60"/>
          <w:tblHeader/>
        </w:trPr>
        <w:tc>
          <w:tcPr>
            <w:tcW w:w="5971" w:type="dxa"/>
            <w:gridSpan w:val="5"/>
            <w:shd w:val="clear" w:color="auto" w:fill="auto"/>
            <w:tcMar>
              <w:top w:w="113" w:type="dxa"/>
              <w:left w:w="113" w:type="dxa"/>
              <w:bottom w:w="113" w:type="dxa"/>
              <w:right w:w="113" w:type="dxa"/>
            </w:tcMar>
          </w:tcPr>
          <w:p w14:paraId="56469768" w14:textId="77777777" w:rsidR="00BB2B23" w:rsidRPr="00325963" w:rsidRDefault="00BB2B23" w:rsidP="00F5693B">
            <w:pPr>
              <w:pStyle w:val="Tablesmallheading"/>
              <w:spacing w:before="0"/>
              <w:rPr>
                <w:color w:val="auto"/>
              </w:rPr>
            </w:pPr>
            <w:r w:rsidRPr="00325963">
              <w:rPr>
                <w:color w:val="auto"/>
              </w:rPr>
              <w:t>Summary of Impact Analysis*</w:t>
            </w:r>
          </w:p>
          <w:p w14:paraId="56469769" w14:textId="77777777" w:rsidR="00BB2B23" w:rsidRPr="00325963" w:rsidRDefault="00BB2B23" w:rsidP="00F5693B">
            <w:pPr>
              <w:pStyle w:val="Tablesmallheading"/>
              <w:spacing w:before="0"/>
              <w:rPr>
                <w:color w:val="auto"/>
              </w:rPr>
            </w:pPr>
            <w:r w:rsidRPr="00325963">
              <w:rPr>
                <w:color w:val="auto"/>
              </w:rPr>
              <w:t>2016–2030</w:t>
            </w:r>
          </w:p>
        </w:tc>
        <w:tc>
          <w:tcPr>
            <w:tcW w:w="2808" w:type="dxa"/>
            <w:gridSpan w:val="2"/>
            <w:shd w:val="clear" w:color="auto" w:fill="auto"/>
            <w:tcMar>
              <w:top w:w="113" w:type="dxa"/>
              <w:left w:w="113" w:type="dxa"/>
              <w:bottom w:w="113" w:type="dxa"/>
              <w:right w:w="113" w:type="dxa"/>
            </w:tcMar>
          </w:tcPr>
          <w:p w14:paraId="5646976A" w14:textId="77777777" w:rsidR="00BB2B23" w:rsidRPr="00325963" w:rsidRDefault="00BB2B23" w:rsidP="00F5693B">
            <w:pPr>
              <w:pStyle w:val="Tablesmallheading"/>
              <w:spacing w:before="0"/>
              <w:rPr>
                <w:color w:val="auto"/>
              </w:rPr>
            </w:pPr>
            <w:r w:rsidRPr="00325963">
              <w:rPr>
                <w:color w:val="auto"/>
              </w:rPr>
              <w:t>Summary of regulatory burden</w:t>
            </w:r>
          </w:p>
          <w:p w14:paraId="5646976B" w14:textId="77777777" w:rsidR="00BB2B23" w:rsidRPr="00325963" w:rsidRDefault="00BB2B23" w:rsidP="00F5693B">
            <w:pPr>
              <w:pStyle w:val="Tablesmallheading"/>
              <w:spacing w:before="0"/>
              <w:rPr>
                <w:color w:val="auto"/>
              </w:rPr>
            </w:pPr>
            <w:r w:rsidRPr="00325963">
              <w:rPr>
                <w:color w:val="auto"/>
              </w:rPr>
              <w:t>2017–26</w:t>
            </w:r>
          </w:p>
        </w:tc>
      </w:tr>
      <w:tr w:rsidR="00BB2B23" w:rsidRPr="00325963" w14:paraId="56469774" w14:textId="77777777" w:rsidTr="00325963">
        <w:trPr>
          <w:trHeight w:val="60"/>
        </w:trPr>
        <w:tc>
          <w:tcPr>
            <w:tcW w:w="2030" w:type="dxa"/>
            <w:shd w:val="clear" w:color="auto" w:fill="auto"/>
            <w:tcMar>
              <w:top w:w="113" w:type="dxa"/>
              <w:left w:w="113" w:type="dxa"/>
              <w:bottom w:w="113" w:type="dxa"/>
              <w:right w:w="113" w:type="dxa"/>
            </w:tcMar>
          </w:tcPr>
          <w:p w14:paraId="5646976D" w14:textId="77777777" w:rsidR="00BB2B23" w:rsidRPr="00325963" w:rsidRDefault="00BB2B23" w:rsidP="00F5693B">
            <w:pPr>
              <w:pStyle w:val="NoParagraphStyle"/>
              <w:spacing w:line="240" w:lineRule="auto"/>
              <w:textAlignment w:val="auto"/>
              <w:rPr>
                <w:rFonts w:ascii="Myriad Pro" w:hAnsi="Myriad Pro" w:cstheme="minorBidi"/>
                <w:color w:val="auto"/>
                <w:lang w:val="en-AU"/>
              </w:rPr>
            </w:pPr>
          </w:p>
        </w:tc>
        <w:tc>
          <w:tcPr>
            <w:tcW w:w="1053" w:type="dxa"/>
            <w:shd w:val="clear" w:color="auto" w:fill="auto"/>
            <w:tcMar>
              <w:top w:w="113" w:type="dxa"/>
              <w:left w:w="113" w:type="dxa"/>
              <w:bottom w:w="113" w:type="dxa"/>
              <w:right w:w="113" w:type="dxa"/>
            </w:tcMar>
          </w:tcPr>
          <w:p w14:paraId="5646976E" w14:textId="77777777" w:rsidR="00BB2B23" w:rsidRPr="00325963" w:rsidRDefault="00BB2B23" w:rsidP="00F5693B">
            <w:pPr>
              <w:pStyle w:val="Tablesmalltext"/>
              <w:rPr>
                <w:color w:val="auto"/>
              </w:rPr>
            </w:pPr>
            <w:r w:rsidRPr="00325963">
              <w:rPr>
                <w:rStyle w:val="TextBold"/>
                <w:color w:val="auto"/>
              </w:rPr>
              <w:t>Costs NPV</w:t>
            </w:r>
          </w:p>
        </w:tc>
        <w:tc>
          <w:tcPr>
            <w:tcW w:w="1053" w:type="dxa"/>
            <w:shd w:val="clear" w:color="auto" w:fill="auto"/>
            <w:tcMar>
              <w:top w:w="113" w:type="dxa"/>
              <w:left w:w="113" w:type="dxa"/>
              <w:bottom w:w="113" w:type="dxa"/>
              <w:right w:w="113" w:type="dxa"/>
            </w:tcMar>
          </w:tcPr>
          <w:p w14:paraId="5646976F" w14:textId="77777777" w:rsidR="00BB2B23" w:rsidRPr="00325963" w:rsidRDefault="00BB2B23" w:rsidP="00F5693B">
            <w:pPr>
              <w:pStyle w:val="Tablesmalltext"/>
              <w:rPr>
                <w:color w:val="auto"/>
              </w:rPr>
            </w:pPr>
            <w:r w:rsidRPr="00325963">
              <w:rPr>
                <w:rStyle w:val="TextBold"/>
                <w:color w:val="auto"/>
              </w:rPr>
              <w:t>Benefits NPV</w:t>
            </w:r>
          </w:p>
        </w:tc>
        <w:tc>
          <w:tcPr>
            <w:tcW w:w="939" w:type="dxa"/>
            <w:shd w:val="clear" w:color="auto" w:fill="auto"/>
            <w:tcMar>
              <w:top w:w="113" w:type="dxa"/>
              <w:left w:w="113" w:type="dxa"/>
              <w:bottom w:w="113" w:type="dxa"/>
              <w:right w:w="113" w:type="dxa"/>
            </w:tcMar>
          </w:tcPr>
          <w:p w14:paraId="56469770" w14:textId="77777777" w:rsidR="00BB2B23" w:rsidRPr="00325963" w:rsidRDefault="00BB2B23" w:rsidP="00F5693B">
            <w:pPr>
              <w:pStyle w:val="Tablesmalltext"/>
              <w:rPr>
                <w:color w:val="auto"/>
              </w:rPr>
            </w:pPr>
            <w:r w:rsidRPr="00325963">
              <w:rPr>
                <w:rStyle w:val="TextBold"/>
                <w:color w:val="auto"/>
              </w:rPr>
              <w:t>Net benefit NPV</w:t>
            </w:r>
          </w:p>
        </w:tc>
        <w:tc>
          <w:tcPr>
            <w:tcW w:w="896" w:type="dxa"/>
            <w:shd w:val="clear" w:color="auto" w:fill="auto"/>
            <w:tcMar>
              <w:top w:w="113" w:type="dxa"/>
              <w:left w:w="113" w:type="dxa"/>
              <w:bottom w:w="113" w:type="dxa"/>
              <w:right w:w="113" w:type="dxa"/>
            </w:tcMar>
          </w:tcPr>
          <w:p w14:paraId="56469771" w14:textId="77777777" w:rsidR="00BB2B23" w:rsidRPr="00325963" w:rsidRDefault="00BB2B23" w:rsidP="00F5693B">
            <w:pPr>
              <w:pStyle w:val="Tablesmalltext"/>
              <w:rPr>
                <w:color w:val="auto"/>
              </w:rPr>
            </w:pPr>
            <w:r w:rsidRPr="00325963">
              <w:rPr>
                <w:rStyle w:val="TextBold"/>
                <w:color w:val="auto"/>
              </w:rPr>
              <w:t xml:space="preserve">Benefit to cost ratio </w:t>
            </w:r>
          </w:p>
        </w:tc>
        <w:tc>
          <w:tcPr>
            <w:tcW w:w="1384" w:type="dxa"/>
            <w:shd w:val="clear" w:color="auto" w:fill="auto"/>
            <w:tcMar>
              <w:top w:w="113" w:type="dxa"/>
              <w:left w:w="113" w:type="dxa"/>
              <w:bottom w:w="113" w:type="dxa"/>
              <w:right w:w="113" w:type="dxa"/>
            </w:tcMar>
          </w:tcPr>
          <w:p w14:paraId="56469772" w14:textId="77777777" w:rsidR="00BB2B23" w:rsidRPr="00325963" w:rsidRDefault="00BB2B23" w:rsidP="00F5693B">
            <w:pPr>
              <w:pStyle w:val="Tablesmalltext"/>
              <w:rPr>
                <w:color w:val="auto"/>
              </w:rPr>
            </w:pPr>
            <w:r w:rsidRPr="00325963">
              <w:rPr>
                <w:rStyle w:val="TextBold"/>
                <w:color w:val="auto"/>
              </w:rPr>
              <w:t>Regulatory burden estimate (Rb)</w:t>
            </w:r>
          </w:p>
        </w:tc>
        <w:tc>
          <w:tcPr>
            <w:tcW w:w="1424" w:type="dxa"/>
            <w:shd w:val="clear" w:color="auto" w:fill="auto"/>
            <w:tcMar>
              <w:top w:w="113" w:type="dxa"/>
              <w:left w:w="113" w:type="dxa"/>
              <w:bottom w:w="113" w:type="dxa"/>
              <w:right w:w="113" w:type="dxa"/>
            </w:tcMar>
          </w:tcPr>
          <w:p w14:paraId="56469773" w14:textId="77777777" w:rsidR="00BB2B23" w:rsidRPr="00325963" w:rsidRDefault="00BB2B23" w:rsidP="00F5693B">
            <w:pPr>
              <w:pStyle w:val="Tablesmalltext"/>
              <w:rPr>
                <w:color w:val="auto"/>
              </w:rPr>
            </w:pPr>
            <w:r w:rsidRPr="00325963">
              <w:rPr>
                <w:rStyle w:val="TextBold"/>
                <w:color w:val="auto"/>
              </w:rPr>
              <w:t>Direct CO</w:t>
            </w:r>
            <w:r w:rsidRPr="00325963">
              <w:rPr>
                <w:rStyle w:val="TextBold"/>
                <w:color w:val="auto"/>
                <w:vertAlign w:val="subscript"/>
              </w:rPr>
              <w:t>2</w:t>
            </w:r>
            <w:r w:rsidRPr="00325963">
              <w:rPr>
                <w:rStyle w:val="TextBold"/>
                <w:color w:val="auto"/>
              </w:rPr>
              <w:t>-e abatement projected (cumulative over 10 years)</w:t>
            </w:r>
          </w:p>
        </w:tc>
      </w:tr>
      <w:tr w:rsidR="00BB2B23" w:rsidRPr="00325963" w14:paraId="5646977C" w14:textId="77777777" w:rsidTr="00325963">
        <w:trPr>
          <w:trHeight w:val="60"/>
        </w:trPr>
        <w:tc>
          <w:tcPr>
            <w:tcW w:w="2030" w:type="dxa"/>
            <w:shd w:val="clear" w:color="auto" w:fill="auto"/>
            <w:tcMar>
              <w:top w:w="113" w:type="dxa"/>
              <w:left w:w="113" w:type="dxa"/>
              <w:bottom w:w="113" w:type="dxa"/>
              <w:right w:w="113" w:type="dxa"/>
            </w:tcMar>
          </w:tcPr>
          <w:p w14:paraId="56469775" w14:textId="77777777" w:rsidR="00BB2B23" w:rsidRPr="00325963" w:rsidRDefault="00BB2B23" w:rsidP="00F5693B">
            <w:pPr>
              <w:pStyle w:val="NoParagraphStyle"/>
              <w:spacing w:line="240" w:lineRule="auto"/>
              <w:textAlignment w:val="auto"/>
              <w:rPr>
                <w:rFonts w:ascii="Myriad Pro" w:hAnsi="Myriad Pro" w:cstheme="minorBidi"/>
                <w:color w:val="auto"/>
                <w:lang w:val="en-AU"/>
              </w:rPr>
            </w:pPr>
          </w:p>
        </w:tc>
        <w:tc>
          <w:tcPr>
            <w:tcW w:w="1053" w:type="dxa"/>
            <w:shd w:val="clear" w:color="auto" w:fill="auto"/>
            <w:tcMar>
              <w:top w:w="113" w:type="dxa"/>
              <w:left w:w="113" w:type="dxa"/>
              <w:bottom w:w="113" w:type="dxa"/>
              <w:right w:w="113" w:type="dxa"/>
            </w:tcMar>
          </w:tcPr>
          <w:p w14:paraId="56469776" w14:textId="77777777" w:rsidR="00BB2B23" w:rsidRPr="00325963" w:rsidRDefault="00BB2B23" w:rsidP="00F5693B">
            <w:pPr>
              <w:pStyle w:val="Tablesmalltext"/>
              <w:rPr>
                <w:color w:val="auto"/>
              </w:rPr>
            </w:pPr>
            <w:r w:rsidRPr="00325963">
              <w:rPr>
                <w:rStyle w:val="TextBold"/>
                <w:color w:val="auto"/>
              </w:rPr>
              <w:t>$m</w:t>
            </w:r>
          </w:p>
        </w:tc>
        <w:tc>
          <w:tcPr>
            <w:tcW w:w="1053" w:type="dxa"/>
            <w:shd w:val="clear" w:color="auto" w:fill="auto"/>
            <w:tcMar>
              <w:top w:w="113" w:type="dxa"/>
              <w:left w:w="113" w:type="dxa"/>
              <w:bottom w:w="113" w:type="dxa"/>
              <w:right w:w="113" w:type="dxa"/>
            </w:tcMar>
          </w:tcPr>
          <w:p w14:paraId="56469777" w14:textId="77777777" w:rsidR="00BB2B23" w:rsidRPr="00325963" w:rsidRDefault="00BB2B23" w:rsidP="00F5693B">
            <w:pPr>
              <w:pStyle w:val="Tablesmalltext"/>
              <w:rPr>
                <w:color w:val="auto"/>
              </w:rPr>
            </w:pPr>
            <w:r w:rsidRPr="00325963">
              <w:rPr>
                <w:rStyle w:val="TextBold"/>
                <w:color w:val="auto"/>
              </w:rPr>
              <w:t>$m</w:t>
            </w:r>
          </w:p>
        </w:tc>
        <w:tc>
          <w:tcPr>
            <w:tcW w:w="939" w:type="dxa"/>
            <w:shd w:val="clear" w:color="auto" w:fill="auto"/>
            <w:tcMar>
              <w:top w:w="113" w:type="dxa"/>
              <w:left w:w="113" w:type="dxa"/>
              <w:bottom w:w="113" w:type="dxa"/>
              <w:right w:w="113" w:type="dxa"/>
            </w:tcMar>
          </w:tcPr>
          <w:p w14:paraId="56469778" w14:textId="77777777" w:rsidR="00BB2B23" w:rsidRPr="00325963" w:rsidRDefault="00BB2B23" w:rsidP="00F5693B">
            <w:pPr>
              <w:pStyle w:val="Tablesmalltext"/>
              <w:rPr>
                <w:color w:val="auto"/>
              </w:rPr>
            </w:pPr>
            <w:r w:rsidRPr="00325963">
              <w:rPr>
                <w:rStyle w:val="TextBold"/>
                <w:color w:val="auto"/>
              </w:rPr>
              <w:t>$m</w:t>
            </w:r>
          </w:p>
        </w:tc>
        <w:tc>
          <w:tcPr>
            <w:tcW w:w="896" w:type="dxa"/>
            <w:shd w:val="clear" w:color="auto" w:fill="auto"/>
            <w:tcMar>
              <w:top w:w="113" w:type="dxa"/>
              <w:left w:w="113" w:type="dxa"/>
              <w:bottom w:w="113" w:type="dxa"/>
              <w:right w:w="113" w:type="dxa"/>
            </w:tcMar>
          </w:tcPr>
          <w:p w14:paraId="56469779" w14:textId="77777777" w:rsidR="00BB2B23" w:rsidRPr="00325963" w:rsidRDefault="00BB2B23" w:rsidP="00F5693B">
            <w:pPr>
              <w:pStyle w:val="Tablesmalltext"/>
              <w:rPr>
                <w:color w:val="auto"/>
              </w:rPr>
            </w:pPr>
            <w:r w:rsidRPr="00325963">
              <w:rPr>
                <w:rStyle w:val="TextBold"/>
                <w:color w:val="auto"/>
              </w:rPr>
              <w:t>(B/C)</w:t>
            </w:r>
          </w:p>
        </w:tc>
        <w:tc>
          <w:tcPr>
            <w:tcW w:w="1384" w:type="dxa"/>
            <w:shd w:val="clear" w:color="auto" w:fill="auto"/>
            <w:tcMar>
              <w:top w:w="113" w:type="dxa"/>
              <w:left w:w="113" w:type="dxa"/>
              <w:bottom w:w="113" w:type="dxa"/>
              <w:right w:w="113" w:type="dxa"/>
            </w:tcMar>
          </w:tcPr>
          <w:p w14:paraId="5646977A" w14:textId="77777777" w:rsidR="00BB2B23" w:rsidRPr="00325963" w:rsidRDefault="00BB2B23" w:rsidP="00F5693B">
            <w:pPr>
              <w:pStyle w:val="Tablesmalltext"/>
              <w:rPr>
                <w:color w:val="auto"/>
              </w:rPr>
            </w:pPr>
            <w:r w:rsidRPr="00325963">
              <w:rPr>
                <w:rStyle w:val="TextBold"/>
                <w:color w:val="auto"/>
              </w:rPr>
              <w:t>$m (annual average)</w:t>
            </w:r>
          </w:p>
        </w:tc>
        <w:tc>
          <w:tcPr>
            <w:tcW w:w="1424" w:type="dxa"/>
            <w:shd w:val="clear" w:color="auto" w:fill="auto"/>
            <w:tcMar>
              <w:top w:w="113" w:type="dxa"/>
              <w:left w:w="113" w:type="dxa"/>
              <w:bottom w:w="113" w:type="dxa"/>
              <w:right w:w="113" w:type="dxa"/>
            </w:tcMar>
          </w:tcPr>
          <w:p w14:paraId="5646977B" w14:textId="77777777" w:rsidR="00BB2B23" w:rsidRPr="00325963" w:rsidRDefault="00BB2B23" w:rsidP="00F5693B">
            <w:pPr>
              <w:pStyle w:val="Tablesmalltext"/>
              <w:rPr>
                <w:color w:val="auto"/>
              </w:rPr>
            </w:pPr>
            <w:r w:rsidRPr="00325963">
              <w:rPr>
                <w:rStyle w:val="TextBold"/>
                <w:color w:val="auto"/>
              </w:rPr>
              <w:t>million tonnes</w:t>
            </w:r>
          </w:p>
        </w:tc>
      </w:tr>
      <w:tr w:rsidR="00BB2B23" w:rsidRPr="00325963" w14:paraId="56469784" w14:textId="77777777" w:rsidTr="00325963">
        <w:trPr>
          <w:trHeight w:val="60"/>
        </w:trPr>
        <w:tc>
          <w:tcPr>
            <w:tcW w:w="2030" w:type="dxa"/>
            <w:shd w:val="clear" w:color="auto" w:fill="auto"/>
            <w:tcMar>
              <w:top w:w="113" w:type="dxa"/>
              <w:left w:w="113" w:type="dxa"/>
              <w:bottom w:w="113" w:type="dxa"/>
              <w:right w:w="113" w:type="dxa"/>
            </w:tcMar>
          </w:tcPr>
          <w:p w14:paraId="5646977D" w14:textId="77777777" w:rsidR="00BB2B23" w:rsidRPr="00325963" w:rsidRDefault="00BB2B23" w:rsidP="00F5693B">
            <w:pPr>
              <w:pStyle w:val="Tablesmalltext"/>
              <w:rPr>
                <w:color w:val="auto"/>
              </w:rPr>
            </w:pPr>
            <w:r w:rsidRPr="00325963">
              <w:rPr>
                <w:color w:val="auto"/>
              </w:rPr>
              <w:t>Option 2a—HFC Phase-down of bulk gas import (North American proposal)</w:t>
            </w:r>
          </w:p>
        </w:tc>
        <w:tc>
          <w:tcPr>
            <w:tcW w:w="1053" w:type="dxa"/>
            <w:shd w:val="clear" w:color="auto" w:fill="auto"/>
            <w:tcMar>
              <w:top w:w="113" w:type="dxa"/>
              <w:left w:w="113" w:type="dxa"/>
              <w:bottom w:w="113" w:type="dxa"/>
              <w:right w:w="113" w:type="dxa"/>
            </w:tcMar>
          </w:tcPr>
          <w:p w14:paraId="5646977E" w14:textId="77777777" w:rsidR="00BB2B23" w:rsidRPr="00325963" w:rsidRDefault="00BB2B23" w:rsidP="00F5693B">
            <w:pPr>
              <w:pStyle w:val="Tablesmalltext"/>
              <w:rPr>
                <w:color w:val="auto"/>
              </w:rPr>
            </w:pPr>
            <w:r w:rsidRPr="00325963">
              <w:rPr>
                <w:color w:val="auto"/>
              </w:rPr>
              <w:t>32.80</w:t>
            </w:r>
          </w:p>
        </w:tc>
        <w:tc>
          <w:tcPr>
            <w:tcW w:w="1053" w:type="dxa"/>
            <w:shd w:val="clear" w:color="auto" w:fill="auto"/>
            <w:tcMar>
              <w:top w:w="113" w:type="dxa"/>
              <w:left w:w="113" w:type="dxa"/>
              <w:bottom w:w="113" w:type="dxa"/>
              <w:right w:w="113" w:type="dxa"/>
            </w:tcMar>
          </w:tcPr>
          <w:p w14:paraId="5646977F" w14:textId="77777777" w:rsidR="00BB2B23" w:rsidRPr="00325963" w:rsidRDefault="00BB2B23" w:rsidP="00F5693B">
            <w:pPr>
              <w:pStyle w:val="Tablesmalltext"/>
              <w:rPr>
                <w:color w:val="auto"/>
              </w:rPr>
            </w:pPr>
            <w:r w:rsidRPr="00325963">
              <w:rPr>
                <w:color w:val="auto"/>
              </w:rPr>
              <w:t>72.47</w:t>
            </w:r>
          </w:p>
        </w:tc>
        <w:tc>
          <w:tcPr>
            <w:tcW w:w="939" w:type="dxa"/>
            <w:shd w:val="clear" w:color="auto" w:fill="auto"/>
            <w:tcMar>
              <w:top w:w="113" w:type="dxa"/>
              <w:left w:w="113" w:type="dxa"/>
              <w:bottom w:w="113" w:type="dxa"/>
              <w:right w:w="113" w:type="dxa"/>
            </w:tcMar>
          </w:tcPr>
          <w:p w14:paraId="56469780" w14:textId="77777777" w:rsidR="00BB2B23" w:rsidRPr="00325963" w:rsidRDefault="00BB2B23" w:rsidP="00F5693B">
            <w:pPr>
              <w:pStyle w:val="Tablesmalltext"/>
              <w:rPr>
                <w:color w:val="auto"/>
              </w:rPr>
            </w:pPr>
            <w:r w:rsidRPr="00325963">
              <w:rPr>
                <w:color w:val="auto"/>
              </w:rPr>
              <w:t>39.67</w:t>
            </w:r>
          </w:p>
        </w:tc>
        <w:tc>
          <w:tcPr>
            <w:tcW w:w="896" w:type="dxa"/>
            <w:shd w:val="clear" w:color="auto" w:fill="auto"/>
            <w:tcMar>
              <w:top w:w="113" w:type="dxa"/>
              <w:left w:w="113" w:type="dxa"/>
              <w:bottom w:w="113" w:type="dxa"/>
              <w:right w:w="113" w:type="dxa"/>
            </w:tcMar>
          </w:tcPr>
          <w:p w14:paraId="56469781" w14:textId="77777777" w:rsidR="00BB2B23" w:rsidRPr="00325963" w:rsidRDefault="00BB2B23" w:rsidP="00F5693B">
            <w:pPr>
              <w:pStyle w:val="Tablesmalltext"/>
              <w:rPr>
                <w:color w:val="auto"/>
              </w:rPr>
            </w:pPr>
            <w:r w:rsidRPr="00325963">
              <w:rPr>
                <w:color w:val="auto"/>
              </w:rPr>
              <w:t>2.2</w:t>
            </w:r>
          </w:p>
        </w:tc>
        <w:tc>
          <w:tcPr>
            <w:tcW w:w="1384" w:type="dxa"/>
            <w:shd w:val="clear" w:color="auto" w:fill="auto"/>
            <w:tcMar>
              <w:top w:w="113" w:type="dxa"/>
              <w:left w:w="113" w:type="dxa"/>
              <w:bottom w:w="113" w:type="dxa"/>
              <w:right w:w="113" w:type="dxa"/>
            </w:tcMar>
          </w:tcPr>
          <w:p w14:paraId="56469782" w14:textId="77777777" w:rsidR="00BB2B23" w:rsidRPr="00325963" w:rsidRDefault="00BB2B23" w:rsidP="00F5693B">
            <w:pPr>
              <w:pStyle w:val="Tablesmalltext"/>
              <w:rPr>
                <w:color w:val="auto"/>
              </w:rPr>
            </w:pPr>
            <w:r w:rsidRPr="00325963">
              <w:rPr>
                <w:color w:val="auto"/>
              </w:rPr>
              <w:t>4.19</w:t>
            </w:r>
          </w:p>
        </w:tc>
        <w:tc>
          <w:tcPr>
            <w:tcW w:w="1424" w:type="dxa"/>
            <w:shd w:val="clear" w:color="auto" w:fill="auto"/>
            <w:tcMar>
              <w:top w:w="113" w:type="dxa"/>
              <w:left w:w="113" w:type="dxa"/>
              <w:bottom w:w="113" w:type="dxa"/>
              <w:right w:w="113" w:type="dxa"/>
            </w:tcMar>
          </w:tcPr>
          <w:p w14:paraId="56469783" w14:textId="77777777" w:rsidR="00BB2B23" w:rsidRPr="00325963" w:rsidRDefault="00BB2B23" w:rsidP="00F5693B">
            <w:pPr>
              <w:pStyle w:val="Tablesmalltext"/>
              <w:rPr>
                <w:color w:val="auto"/>
              </w:rPr>
            </w:pPr>
            <w:r w:rsidRPr="00325963">
              <w:rPr>
                <w:color w:val="auto"/>
              </w:rPr>
              <w:t>2.94</w:t>
            </w:r>
          </w:p>
        </w:tc>
      </w:tr>
      <w:tr w:rsidR="00BB2B23" w:rsidRPr="00325963" w14:paraId="5646978C" w14:textId="77777777" w:rsidTr="00325963">
        <w:trPr>
          <w:trHeight w:val="60"/>
        </w:trPr>
        <w:tc>
          <w:tcPr>
            <w:tcW w:w="2030" w:type="dxa"/>
            <w:shd w:val="clear" w:color="auto" w:fill="auto"/>
            <w:tcMar>
              <w:top w:w="113" w:type="dxa"/>
              <w:left w:w="113" w:type="dxa"/>
              <w:bottom w:w="113" w:type="dxa"/>
              <w:right w:w="113" w:type="dxa"/>
            </w:tcMar>
          </w:tcPr>
          <w:p w14:paraId="56469785" w14:textId="77777777" w:rsidR="00BB2B23" w:rsidRPr="00325963" w:rsidRDefault="00BB2B23" w:rsidP="00F5693B">
            <w:pPr>
              <w:pStyle w:val="Tablesmalltext"/>
              <w:rPr>
                <w:color w:val="auto"/>
              </w:rPr>
            </w:pPr>
            <w:r w:rsidRPr="00325963">
              <w:rPr>
                <w:color w:val="auto"/>
              </w:rPr>
              <w:t>Option 2b—HFC Phase-down of bulk gas import (Accelerated)</w:t>
            </w:r>
          </w:p>
        </w:tc>
        <w:tc>
          <w:tcPr>
            <w:tcW w:w="1053" w:type="dxa"/>
            <w:shd w:val="clear" w:color="auto" w:fill="auto"/>
            <w:tcMar>
              <w:top w:w="113" w:type="dxa"/>
              <w:left w:w="113" w:type="dxa"/>
              <w:bottom w:w="113" w:type="dxa"/>
              <w:right w:w="113" w:type="dxa"/>
            </w:tcMar>
          </w:tcPr>
          <w:p w14:paraId="56469786" w14:textId="77777777" w:rsidR="00BB2B23" w:rsidRPr="00325963" w:rsidRDefault="00BB2B23" w:rsidP="00F5693B">
            <w:pPr>
              <w:pStyle w:val="Tablesmalltext"/>
              <w:rPr>
                <w:color w:val="auto"/>
              </w:rPr>
            </w:pPr>
            <w:r w:rsidRPr="00325963">
              <w:rPr>
                <w:color w:val="auto"/>
              </w:rPr>
              <w:t>87.74</w:t>
            </w:r>
          </w:p>
        </w:tc>
        <w:tc>
          <w:tcPr>
            <w:tcW w:w="1053" w:type="dxa"/>
            <w:shd w:val="clear" w:color="auto" w:fill="auto"/>
            <w:tcMar>
              <w:top w:w="113" w:type="dxa"/>
              <w:left w:w="113" w:type="dxa"/>
              <w:bottom w:w="113" w:type="dxa"/>
              <w:right w:w="113" w:type="dxa"/>
            </w:tcMar>
          </w:tcPr>
          <w:p w14:paraId="56469787" w14:textId="77777777" w:rsidR="00BB2B23" w:rsidRPr="00325963" w:rsidRDefault="00BB2B23" w:rsidP="00F5693B">
            <w:pPr>
              <w:pStyle w:val="Tablesmalltext"/>
              <w:rPr>
                <w:color w:val="auto"/>
              </w:rPr>
            </w:pPr>
            <w:r w:rsidRPr="00325963">
              <w:rPr>
                <w:color w:val="auto"/>
              </w:rPr>
              <w:t>98.23</w:t>
            </w:r>
          </w:p>
        </w:tc>
        <w:tc>
          <w:tcPr>
            <w:tcW w:w="939" w:type="dxa"/>
            <w:shd w:val="clear" w:color="auto" w:fill="auto"/>
            <w:tcMar>
              <w:top w:w="113" w:type="dxa"/>
              <w:left w:w="113" w:type="dxa"/>
              <w:bottom w:w="113" w:type="dxa"/>
              <w:right w:w="113" w:type="dxa"/>
            </w:tcMar>
          </w:tcPr>
          <w:p w14:paraId="56469788" w14:textId="77777777" w:rsidR="00BB2B23" w:rsidRPr="00325963" w:rsidRDefault="00BB2B23" w:rsidP="00F5693B">
            <w:pPr>
              <w:pStyle w:val="Tablesmalltext"/>
              <w:rPr>
                <w:color w:val="auto"/>
              </w:rPr>
            </w:pPr>
            <w:r w:rsidRPr="00325963">
              <w:rPr>
                <w:color w:val="auto"/>
              </w:rPr>
              <w:t>10.49</w:t>
            </w:r>
          </w:p>
        </w:tc>
        <w:tc>
          <w:tcPr>
            <w:tcW w:w="896" w:type="dxa"/>
            <w:shd w:val="clear" w:color="auto" w:fill="auto"/>
            <w:tcMar>
              <w:top w:w="113" w:type="dxa"/>
              <w:left w:w="113" w:type="dxa"/>
              <w:bottom w:w="113" w:type="dxa"/>
              <w:right w:w="113" w:type="dxa"/>
            </w:tcMar>
          </w:tcPr>
          <w:p w14:paraId="56469789" w14:textId="77777777" w:rsidR="00BB2B23" w:rsidRPr="00325963" w:rsidRDefault="00BB2B23" w:rsidP="00F5693B">
            <w:pPr>
              <w:pStyle w:val="Tablesmalltext"/>
              <w:rPr>
                <w:color w:val="auto"/>
              </w:rPr>
            </w:pPr>
            <w:r w:rsidRPr="00325963">
              <w:rPr>
                <w:color w:val="auto"/>
              </w:rPr>
              <w:t>1.1</w:t>
            </w:r>
          </w:p>
        </w:tc>
        <w:tc>
          <w:tcPr>
            <w:tcW w:w="1384" w:type="dxa"/>
            <w:shd w:val="clear" w:color="auto" w:fill="auto"/>
            <w:tcMar>
              <w:top w:w="113" w:type="dxa"/>
              <w:left w:w="113" w:type="dxa"/>
              <w:bottom w:w="113" w:type="dxa"/>
              <w:right w:w="113" w:type="dxa"/>
            </w:tcMar>
          </w:tcPr>
          <w:p w14:paraId="5646978A" w14:textId="77777777" w:rsidR="00BB2B23" w:rsidRPr="00325963" w:rsidRDefault="00BB2B23" w:rsidP="00F5693B">
            <w:pPr>
              <w:pStyle w:val="Tablesmalltext"/>
              <w:rPr>
                <w:color w:val="auto"/>
              </w:rPr>
            </w:pPr>
            <w:r w:rsidRPr="00325963">
              <w:rPr>
                <w:color w:val="auto"/>
              </w:rPr>
              <w:t>11.72</w:t>
            </w:r>
          </w:p>
        </w:tc>
        <w:tc>
          <w:tcPr>
            <w:tcW w:w="1424" w:type="dxa"/>
            <w:shd w:val="clear" w:color="auto" w:fill="auto"/>
            <w:tcMar>
              <w:top w:w="113" w:type="dxa"/>
              <w:left w:w="113" w:type="dxa"/>
              <w:bottom w:w="113" w:type="dxa"/>
              <w:right w:w="113" w:type="dxa"/>
            </w:tcMar>
          </w:tcPr>
          <w:p w14:paraId="5646978B" w14:textId="77777777" w:rsidR="00BB2B23" w:rsidRPr="00325963" w:rsidRDefault="00BB2B23" w:rsidP="00F5693B">
            <w:pPr>
              <w:pStyle w:val="Tablesmalltext"/>
              <w:rPr>
                <w:color w:val="auto"/>
              </w:rPr>
            </w:pPr>
            <w:r w:rsidRPr="00325963">
              <w:rPr>
                <w:color w:val="auto"/>
              </w:rPr>
              <w:t>4.65</w:t>
            </w:r>
          </w:p>
        </w:tc>
      </w:tr>
      <w:tr w:rsidR="00BB2B23" w:rsidRPr="00325963" w14:paraId="56469794" w14:textId="77777777" w:rsidTr="00325963">
        <w:trPr>
          <w:trHeight w:val="60"/>
        </w:trPr>
        <w:tc>
          <w:tcPr>
            <w:tcW w:w="2030" w:type="dxa"/>
            <w:shd w:val="clear" w:color="auto" w:fill="auto"/>
            <w:tcMar>
              <w:top w:w="113" w:type="dxa"/>
              <w:left w:w="113" w:type="dxa"/>
              <w:bottom w:w="113" w:type="dxa"/>
              <w:right w:w="113" w:type="dxa"/>
            </w:tcMar>
          </w:tcPr>
          <w:p w14:paraId="5646978D" w14:textId="77777777" w:rsidR="00BB2B23" w:rsidRPr="00325963" w:rsidRDefault="00BB2B23" w:rsidP="00F5693B">
            <w:pPr>
              <w:pStyle w:val="Tablesmalltext"/>
              <w:rPr>
                <w:color w:val="auto"/>
              </w:rPr>
            </w:pPr>
            <w:r w:rsidRPr="00325963">
              <w:rPr>
                <w:color w:val="auto"/>
              </w:rPr>
              <w:t>Option 3a—HFC-charged equipment ban (Supermarket equipment)</w:t>
            </w:r>
          </w:p>
        </w:tc>
        <w:tc>
          <w:tcPr>
            <w:tcW w:w="1053" w:type="dxa"/>
            <w:shd w:val="clear" w:color="auto" w:fill="auto"/>
            <w:tcMar>
              <w:top w:w="113" w:type="dxa"/>
              <w:left w:w="113" w:type="dxa"/>
              <w:bottom w:w="113" w:type="dxa"/>
              <w:right w:w="113" w:type="dxa"/>
            </w:tcMar>
          </w:tcPr>
          <w:p w14:paraId="5646978E" w14:textId="77777777" w:rsidR="00BB2B23" w:rsidRPr="00325963" w:rsidRDefault="00BB2B23" w:rsidP="00F5693B">
            <w:pPr>
              <w:pStyle w:val="Tablesmalltext"/>
              <w:rPr>
                <w:color w:val="auto"/>
              </w:rPr>
            </w:pPr>
            <w:r w:rsidRPr="00325963">
              <w:rPr>
                <w:color w:val="auto"/>
              </w:rPr>
              <w:t>2.23</w:t>
            </w:r>
          </w:p>
        </w:tc>
        <w:tc>
          <w:tcPr>
            <w:tcW w:w="1053" w:type="dxa"/>
            <w:shd w:val="clear" w:color="auto" w:fill="auto"/>
            <w:tcMar>
              <w:top w:w="113" w:type="dxa"/>
              <w:left w:w="113" w:type="dxa"/>
              <w:bottom w:w="113" w:type="dxa"/>
              <w:right w:w="113" w:type="dxa"/>
            </w:tcMar>
          </w:tcPr>
          <w:p w14:paraId="5646978F" w14:textId="77777777" w:rsidR="00BB2B23" w:rsidRPr="00325963" w:rsidRDefault="00BB2B23" w:rsidP="00F5693B">
            <w:pPr>
              <w:pStyle w:val="Tablesmalltext"/>
              <w:rPr>
                <w:color w:val="auto"/>
              </w:rPr>
            </w:pPr>
            <w:r w:rsidRPr="00325963">
              <w:rPr>
                <w:color w:val="auto"/>
              </w:rPr>
              <w:t>6.05</w:t>
            </w:r>
          </w:p>
        </w:tc>
        <w:tc>
          <w:tcPr>
            <w:tcW w:w="939" w:type="dxa"/>
            <w:shd w:val="clear" w:color="auto" w:fill="auto"/>
            <w:tcMar>
              <w:top w:w="113" w:type="dxa"/>
              <w:left w:w="113" w:type="dxa"/>
              <w:bottom w:w="113" w:type="dxa"/>
              <w:right w:w="113" w:type="dxa"/>
            </w:tcMar>
          </w:tcPr>
          <w:p w14:paraId="56469790" w14:textId="77777777" w:rsidR="00BB2B23" w:rsidRPr="00325963" w:rsidRDefault="00BB2B23" w:rsidP="00F5693B">
            <w:pPr>
              <w:pStyle w:val="Tablesmalltext"/>
              <w:rPr>
                <w:color w:val="auto"/>
              </w:rPr>
            </w:pPr>
            <w:r w:rsidRPr="00325963">
              <w:rPr>
                <w:color w:val="auto"/>
              </w:rPr>
              <w:t>3.83</w:t>
            </w:r>
          </w:p>
        </w:tc>
        <w:tc>
          <w:tcPr>
            <w:tcW w:w="896" w:type="dxa"/>
            <w:shd w:val="clear" w:color="auto" w:fill="auto"/>
            <w:tcMar>
              <w:top w:w="113" w:type="dxa"/>
              <w:left w:w="113" w:type="dxa"/>
              <w:bottom w:w="113" w:type="dxa"/>
              <w:right w:w="113" w:type="dxa"/>
            </w:tcMar>
          </w:tcPr>
          <w:p w14:paraId="56469791" w14:textId="77777777" w:rsidR="00BB2B23" w:rsidRPr="00325963" w:rsidRDefault="00BB2B23" w:rsidP="00F5693B">
            <w:pPr>
              <w:pStyle w:val="Tablesmalltext"/>
              <w:rPr>
                <w:color w:val="auto"/>
              </w:rPr>
            </w:pPr>
            <w:r w:rsidRPr="00325963">
              <w:rPr>
                <w:color w:val="auto"/>
              </w:rPr>
              <w:t>2.7</w:t>
            </w:r>
          </w:p>
        </w:tc>
        <w:tc>
          <w:tcPr>
            <w:tcW w:w="1384" w:type="dxa"/>
            <w:shd w:val="clear" w:color="auto" w:fill="auto"/>
            <w:tcMar>
              <w:top w:w="113" w:type="dxa"/>
              <w:left w:w="113" w:type="dxa"/>
              <w:bottom w:w="113" w:type="dxa"/>
              <w:right w:w="113" w:type="dxa"/>
            </w:tcMar>
          </w:tcPr>
          <w:p w14:paraId="56469792" w14:textId="77777777" w:rsidR="00BB2B23" w:rsidRPr="00325963" w:rsidRDefault="00BB2B23" w:rsidP="00F5693B">
            <w:pPr>
              <w:pStyle w:val="Tablesmalltext"/>
              <w:rPr>
                <w:color w:val="auto"/>
              </w:rPr>
            </w:pPr>
            <w:r w:rsidRPr="00325963">
              <w:rPr>
                <w:color w:val="auto"/>
              </w:rPr>
              <w:t>0.05</w:t>
            </w:r>
          </w:p>
        </w:tc>
        <w:tc>
          <w:tcPr>
            <w:tcW w:w="1424" w:type="dxa"/>
            <w:shd w:val="clear" w:color="auto" w:fill="auto"/>
            <w:tcMar>
              <w:top w:w="113" w:type="dxa"/>
              <w:left w:w="113" w:type="dxa"/>
              <w:bottom w:w="113" w:type="dxa"/>
              <w:right w:w="113" w:type="dxa"/>
            </w:tcMar>
          </w:tcPr>
          <w:p w14:paraId="56469793" w14:textId="77777777" w:rsidR="00BB2B23" w:rsidRPr="00325963" w:rsidRDefault="00BB2B23" w:rsidP="00F5693B">
            <w:pPr>
              <w:pStyle w:val="Tablesmalltext"/>
              <w:rPr>
                <w:color w:val="auto"/>
              </w:rPr>
            </w:pPr>
            <w:r w:rsidRPr="00325963">
              <w:rPr>
                <w:color w:val="auto"/>
              </w:rPr>
              <w:t>0.16</w:t>
            </w:r>
          </w:p>
        </w:tc>
      </w:tr>
      <w:tr w:rsidR="00BB2B23" w:rsidRPr="00325963" w14:paraId="5646979C" w14:textId="77777777" w:rsidTr="00325963">
        <w:trPr>
          <w:trHeight w:val="60"/>
        </w:trPr>
        <w:tc>
          <w:tcPr>
            <w:tcW w:w="2030" w:type="dxa"/>
            <w:shd w:val="clear" w:color="auto" w:fill="auto"/>
            <w:tcMar>
              <w:top w:w="113" w:type="dxa"/>
              <w:left w:w="113" w:type="dxa"/>
              <w:bottom w:w="113" w:type="dxa"/>
              <w:right w:w="113" w:type="dxa"/>
            </w:tcMar>
          </w:tcPr>
          <w:p w14:paraId="56469795" w14:textId="77777777" w:rsidR="00BB2B23" w:rsidRPr="00325963" w:rsidRDefault="00BB2B23" w:rsidP="00F5693B">
            <w:pPr>
              <w:pStyle w:val="Tablesmalltext"/>
              <w:rPr>
                <w:color w:val="auto"/>
              </w:rPr>
            </w:pPr>
            <w:r w:rsidRPr="00325963">
              <w:rPr>
                <w:color w:val="auto"/>
              </w:rPr>
              <w:t>Option 3b—HFC-charged equipment ban (Mobile air conditioning)</w:t>
            </w:r>
          </w:p>
        </w:tc>
        <w:tc>
          <w:tcPr>
            <w:tcW w:w="1053" w:type="dxa"/>
            <w:shd w:val="clear" w:color="auto" w:fill="auto"/>
            <w:tcMar>
              <w:top w:w="113" w:type="dxa"/>
              <w:left w:w="113" w:type="dxa"/>
              <w:bottom w:w="113" w:type="dxa"/>
              <w:right w:w="113" w:type="dxa"/>
            </w:tcMar>
          </w:tcPr>
          <w:p w14:paraId="56469796" w14:textId="77777777" w:rsidR="00BB2B23" w:rsidRPr="00325963" w:rsidRDefault="00BB2B23" w:rsidP="00F5693B">
            <w:pPr>
              <w:pStyle w:val="Tablesmalltext"/>
              <w:rPr>
                <w:color w:val="auto"/>
              </w:rPr>
            </w:pPr>
            <w:r w:rsidRPr="00325963">
              <w:rPr>
                <w:color w:val="auto"/>
              </w:rPr>
              <w:t>222.59</w:t>
            </w:r>
          </w:p>
        </w:tc>
        <w:tc>
          <w:tcPr>
            <w:tcW w:w="1053" w:type="dxa"/>
            <w:shd w:val="clear" w:color="auto" w:fill="auto"/>
            <w:tcMar>
              <w:top w:w="113" w:type="dxa"/>
              <w:left w:w="113" w:type="dxa"/>
              <w:bottom w:w="113" w:type="dxa"/>
              <w:right w:w="113" w:type="dxa"/>
            </w:tcMar>
          </w:tcPr>
          <w:p w14:paraId="56469797" w14:textId="77777777" w:rsidR="00BB2B23" w:rsidRPr="00325963" w:rsidRDefault="00BB2B23" w:rsidP="00F5693B">
            <w:pPr>
              <w:pStyle w:val="Tablesmalltext"/>
              <w:rPr>
                <w:color w:val="auto"/>
              </w:rPr>
            </w:pPr>
            <w:r w:rsidRPr="00325963">
              <w:rPr>
                <w:color w:val="auto"/>
              </w:rPr>
              <w:t>40.87</w:t>
            </w:r>
          </w:p>
        </w:tc>
        <w:tc>
          <w:tcPr>
            <w:tcW w:w="939" w:type="dxa"/>
            <w:shd w:val="clear" w:color="auto" w:fill="auto"/>
            <w:tcMar>
              <w:top w:w="113" w:type="dxa"/>
              <w:left w:w="113" w:type="dxa"/>
              <w:bottom w:w="113" w:type="dxa"/>
              <w:right w:w="113" w:type="dxa"/>
            </w:tcMar>
          </w:tcPr>
          <w:p w14:paraId="56469798" w14:textId="77777777" w:rsidR="00BB2B23" w:rsidRPr="00325963" w:rsidRDefault="00BB2B23" w:rsidP="00F5693B">
            <w:pPr>
              <w:pStyle w:val="Tablesmalltext"/>
              <w:rPr>
                <w:color w:val="auto"/>
              </w:rPr>
            </w:pPr>
            <w:r w:rsidRPr="00325963">
              <w:rPr>
                <w:color w:val="auto"/>
              </w:rPr>
              <w:t>-181.70</w:t>
            </w:r>
          </w:p>
        </w:tc>
        <w:tc>
          <w:tcPr>
            <w:tcW w:w="896" w:type="dxa"/>
            <w:shd w:val="clear" w:color="auto" w:fill="auto"/>
            <w:tcMar>
              <w:top w:w="113" w:type="dxa"/>
              <w:left w:w="113" w:type="dxa"/>
              <w:bottom w:w="113" w:type="dxa"/>
              <w:right w:w="113" w:type="dxa"/>
            </w:tcMar>
          </w:tcPr>
          <w:p w14:paraId="56469799" w14:textId="77777777" w:rsidR="00BB2B23" w:rsidRPr="00325963" w:rsidRDefault="00BB2B23" w:rsidP="00F5693B">
            <w:pPr>
              <w:pStyle w:val="Tablesmalltext"/>
              <w:rPr>
                <w:color w:val="auto"/>
              </w:rPr>
            </w:pPr>
            <w:r w:rsidRPr="00325963">
              <w:rPr>
                <w:color w:val="auto"/>
              </w:rPr>
              <w:t>0.2</w:t>
            </w:r>
          </w:p>
        </w:tc>
        <w:tc>
          <w:tcPr>
            <w:tcW w:w="1384" w:type="dxa"/>
            <w:shd w:val="clear" w:color="auto" w:fill="auto"/>
            <w:tcMar>
              <w:top w:w="113" w:type="dxa"/>
              <w:left w:w="113" w:type="dxa"/>
              <w:bottom w:w="113" w:type="dxa"/>
              <w:right w:w="113" w:type="dxa"/>
            </w:tcMar>
          </w:tcPr>
          <w:p w14:paraId="5646979A" w14:textId="77777777" w:rsidR="00BB2B23" w:rsidRPr="00325963" w:rsidRDefault="00BB2B23" w:rsidP="00F5693B">
            <w:pPr>
              <w:pStyle w:val="Tablesmalltext"/>
              <w:rPr>
                <w:color w:val="auto"/>
              </w:rPr>
            </w:pPr>
            <w:r w:rsidRPr="00325963">
              <w:rPr>
                <w:color w:val="auto"/>
              </w:rPr>
              <w:t>31.57</w:t>
            </w:r>
          </w:p>
        </w:tc>
        <w:tc>
          <w:tcPr>
            <w:tcW w:w="1424" w:type="dxa"/>
            <w:shd w:val="clear" w:color="auto" w:fill="auto"/>
            <w:tcMar>
              <w:top w:w="113" w:type="dxa"/>
              <w:left w:w="113" w:type="dxa"/>
              <w:bottom w:w="113" w:type="dxa"/>
              <w:right w:w="113" w:type="dxa"/>
            </w:tcMar>
          </w:tcPr>
          <w:p w14:paraId="5646979B" w14:textId="77777777" w:rsidR="00BB2B23" w:rsidRPr="00325963" w:rsidRDefault="00BB2B23" w:rsidP="00F5693B">
            <w:pPr>
              <w:pStyle w:val="Tablesmalltext"/>
              <w:rPr>
                <w:color w:val="auto"/>
              </w:rPr>
            </w:pPr>
            <w:r w:rsidRPr="00325963">
              <w:rPr>
                <w:color w:val="auto"/>
              </w:rPr>
              <w:t>2.86</w:t>
            </w:r>
          </w:p>
        </w:tc>
      </w:tr>
      <w:tr w:rsidR="00BB2B23" w:rsidRPr="00325963" w14:paraId="564697A4" w14:textId="77777777" w:rsidTr="00325963">
        <w:trPr>
          <w:trHeight w:val="60"/>
        </w:trPr>
        <w:tc>
          <w:tcPr>
            <w:tcW w:w="2030" w:type="dxa"/>
            <w:shd w:val="clear" w:color="auto" w:fill="auto"/>
            <w:tcMar>
              <w:top w:w="113" w:type="dxa"/>
              <w:left w:w="113" w:type="dxa"/>
              <w:bottom w:w="113" w:type="dxa"/>
              <w:right w:w="113" w:type="dxa"/>
            </w:tcMar>
          </w:tcPr>
          <w:p w14:paraId="5646979D" w14:textId="77777777" w:rsidR="00BB2B23" w:rsidRPr="00325963" w:rsidRDefault="00BB2B23" w:rsidP="00F5693B">
            <w:pPr>
              <w:pStyle w:val="Tablesmalltext"/>
              <w:rPr>
                <w:color w:val="auto"/>
              </w:rPr>
            </w:pPr>
            <w:r w:rsidRPr="00325963">
              <w:rPr>
                <w:color w:val="auto"/>
              </w:rPr>
              <w:t>Option 4a—Mandatory leak testing</w:t>
            </w:r>
          </w:p>
        </w:tc>
        <w:tc>
          <w:tcPr>
            <w:tcW w:w="1053" w:type="dxa"/>
            <w:shd w:val="clear" w:color="auto" w:fill="auto"/>
            <w:tcMar>
              <w:top w:w="113" w:type="dxa"/>
              <w:left w:w="113" w:type="dxa"/>
              <w:bottom w:w="113" w:type="dxa"/>
              <w:right w:w="113" w:type="dxa"/>
            </w:tcMar>
          </w:tcPr>
          <w:p w14:paraId="5646979E" w14:textId="77777777" w:rsidR="00BB2B23" w:rsidRPr="00325963" w:rsidRDefault="00BB2B23" w:rsidP="00F5693B">
            <w:pPr>
              <w:pStyle w:val="Tablesmalltext"/>
              <w:rPr>
                <w:color w:val="auto"/>
              </w:rPr>
            </w:pPr>
            <w:r w:rsidRPr="00325963">
              <w:rPr>
                <w:color w:val="auto"/>
              </w:rPr>
              <w:t>937.07</w:t>
            </w:r>
          </w:p>
        </w:tc>
        <w:tc>
          <w:tcPr>
            <w:tcW w:w="1053" w:type="dxa"/>
            <w:shd w:val="clear" w:color="auto" w:fill="auto"/>
            <w:tcMar>
              <w:top w:w="113" w:type="dxa"/>
              <w:left w:w="113" w:type="dxa"/>
              <w:bottom w:w="113" w:type="dxa"/>
              <w:right w:w="113" w:type="dxa"/>
            </w:tcMar>
          </w:tcPr>
          <w:p w14:paraId="5646979F" w14:textId="77777777" w:rsidR="00BB2B23" w:rsidRPr="00325963" w:rsidRDefault="00BB2B23" w:rsidP="00F5693B">
            <w:pPr>
              <w:pStyle w:val="Tablesmalltext"/>
              <w:rPr>
                <w:color w:val="auto"/>
              </w:rPr>
            </w:pPr>
            <w:r w:rsidRPr="00325963">
              <w:rPr>
                <w:color w:val="auto"/>
              </w:rPr>
              <w:t>595.13</w:t>
            </w:r>
          </w:p>
        </w:tc>
        <w:tc>
          <w:tcPr>
            <w:tcW w:w="939" w:type="dxa"/>
            <w:shd w:val="clear" w:color="auto" w:fill="auto"/>
            <w:tcMar>
              <w:top w:w="113" w:type="dxa"/>
              <w:left w:w="113" w:type="dxa"/>
              <w:bottom w:w="113" w:type="dxa"/>
              <w:right w:w="113" w:type="dxa"/>
            </w:tcMar>
          </w:tcPr>
          <w:p w14:paraId="564697A0" w14:textId="77777777" w:rsidR="00BB2B23" w:rsidRPr="00325963" w:rsidRDefault="00BB2B23" w:rsidP="00F5693B">
            <w:pPr>
              <w:pStyle w:val="Tablesmalltext"/>
              <w:rPr>
                <w:color w:val="auto"/>
              </w:rPr>
            </w:pPr>
            <w:r w:rsidRPr="00325963">
              <w:rPr>
                <w:color w:val="auto"/>
              </w:rPr>
              <w:t>-341.94</w:t>
            </w:r>
          </w:p>
        </w:tc>
        <w:tc>
          <w:tcPr>
            <w:tcW w:w="896" w:type="dxa"/>
            <w:shd w:val="clear" w:color="auto" w:fill="auto"/>
            <w:tcMar>
              <w:top w:w="113" w:type="dxa"/>
              <w:left w:w="113" w:type="dxa"/>
              <w:bottom w:w="113" w:type="dxa"/>
              <w:right w:w="113" w:type="dxa"/>
            </w:tcMar>
          </w:tcPr>
          <w:p w14:paraId="564697A1" w14:textId="77777777" w:rsidR="00BB2B23" w:rsidRPr="00325963" w:rsidRDefault="00BB2B23" w:rsidP="00F5693B">
            <w:pPr>
              <w:pStyle w:val="Tablesmalltext"/>
              <w:rPr>
                <w:color w:val="auto"/>
              </w:rPr>
            </w:pPr>
            <w:r w:rsidRPr="00325963">
              <w:rPr>
                <w:color w:val="auto"/>
              </w:rPr>
              <w:t>0.6</w:t>
            </w:r>
          </w:p>
        </w:tc>
        <w:tc>
          <w:tcPr>
            <w:tcW w:w="1384" w:type="dxa"/>
            <w:shd w:val="clear" w:color="auto" w:fill="auto"/>
            <w:tcMar>
              <w:top w:w="113" w:type="dxa"/>
              <w:left w:w="113" w:type="dxa"/>
              <w:bottom w:w="113" w:type="dxa"/>
              <w:right w:w="113" w:type="dxa"/>
            </w:tcMar>
          </w:tcPr>
          <w:p w14:paraId="564697A2" w14:textId="77777777" w:rsidR="00BB2B23" w:rsidRPr="00325963" w:rsidRDefault="00BB2B23" w:rsidP="00F5693B">
            <w:pPr>
              <w:pStyle w:val="Tablesmalltext"/>
              <w:rPr>
                <w:color w:val="auto"/>
              </w:rPr>
            </w:pPr>
            <w:r w:rsidRPr="00325963">
              <w:rPr>
                <w:color w:val="auto"/>
              </w:rPr>
              <w:t>111.98</w:t>
            </w:r>
          </w:p>
        </w:tc>
        <w:tc>
          <w:tcPr>
            <w:tcW w:w="1424" w:type="dxa"/>
            <w:shd w:val="clear" w:color="auto" w:fill="auto"/>
            <w:tcMar>
              <w:top w:w="113" w:type="dxa"/>
              <w:left w:w="113" w:type="dxa"/>
              <w:bottom w:w="113" w:type="dxa"/>
              <w:right w:w="113" w:type="dxa"/>
            </w:tcMar>
          </w:tcPr>
          <w:p w14:paraId="564697A3" w14:textId="77777777" w:rsidR="00BB2B23" w:rsidRPr="00325963" w:rsidRDefault="00BB2B23" w:rsidP="00F5693B">
            <w:pPr>
              <w:pStyle w:val="Tablesmalltext"/>
              <w:rPr>
                <w:color w:val="auto"/>
              </w:rPr>
            </w:pPr>
            <w:r w:rsidRPr="00325963">
              <w:rPr>
                <w:color w:val="auto"/>
              </w:rPr>
              <w:t>8.78</w:t>
            </w:r>
          </w:p>
        </w:tc>
      </w:tr>
      <w:tr w:rsidR="00BB2B23" w:rsidRPr="00325963" w14:paraId="564697AC" w14:textId="77777777" w:rsidTr="00325963">
        <w:trPr>
          <w:trHeight w:val="60"/>
        </w:trPr>
        <w:tc>
          <w:tcPr>
            <w:tcW w:w="2030" w:type="dxa"/>
            <w:shd w:val="clear" w:color="auto" w:fill="auto"/>
            <w:tcMar>
              <w:top w:w="113" w:type="dxa"/>
              <w:left w:w="113" w:type="dxa"/>
              <w:bottom w:w="113" w:type="dxa"/>
              <w:right w:w="113" w:type="dxa"/>
            </w:tcMar>
          </w:tcPr>
          <w:p w14:paraId="564697A5" w14:textId="77777777" w:rsidR="00BB2B23" w:rsidRPr="00325963" w:rsidRDefault="00BB2B23" w:rsidP="00F5693B">
            <w:pPr>
              <w:pStyle w:val="Tablesmalltext"/>
              <w:rPr>
                <w:color w:val="auto"/>
              </w:rPr>
            </w:pPr>
            <w:r w:rsidRPr="00325963">
              <w:rPr>
                <w:color w:val="auto"/>
              </w:rPr>
              <w:t>Option 4b—Mandatory maintenance</w:t>
            </w:r>
          </w:p>
        </w:tc>
        <w:tc>
          <w:tcPr>
            <w:tcW w:w="1053" w:type="dxa"/>
            <w:shd w:val="clear" w:color="auto" w:fill="auto"/>
            <w:tcMar>
              <w:top w:w="113" w:type="dxa"/>
              <w:left w:w="113" w:type="dxa"/>
              <w:bottom w:w="113" w:type="dxa"/>
              <w:right w:w="113" w:type="dxa"/>
            </w:tcMar>
          </w:tcPr>
          <w:p w14:paraId="564697A6" w14:textId="77777777" w:rsidR="00BB2B23" w:rsidRPr="00325963" w:rsidRDefault="00BB2B23" w:rsidP="00F5693B">
            <w:pPr>
              <w:pStyle w:val="Tablesmalltext"/>
              <w:rPr>
                <w:color w:val="auto"/>
              </w:rPr>
            </w:pPr>
            <w:r w:rsidRPr="00325963">
              <w:rPr>
                <w:color w:val="auto"/>
              </w:rPr>
              <w:t>3574.03</w:t>
            </w:r>
          </w:p>
        </w:tc>
        <w:tc>
          <w:tcPr>
            <w:tcW w:w="1053" w:type="dxa"/>
            <w:shd w:val="clear" w:color="auto" w:fill="auto"/>
            <w:tcMar>
              <w:top w:w="113" w:type="dxa"/>
              <w:left w:w="113" w:type="dxa"/>
              <w:bottom w:w="113" w:type="dxa"/>
              <w:right w:w="113" w:type="dxa"/>
            </w:tcMar>
          </w:tcPr>
          <w:p w14:paraId="564697A7" w14:textId="77777777" w:rsidR="00BB2B23" w:rsidRPr="00325963" w:rsidRDefault="00BB2B23" w:rsidP="00F5693B">
            <w:pPr>
              <w:pStyle w:val="Tablesmalltext"/>
              <w:rPr>
                <w:color w:val="auto"/>
              </w:rPr>
            </w:pPr>
            <w:r w:rsidRPr="00325963">
              <w:rPr>
                <w:color w:val="auto"/>
              </w:rPr>
              <w:t>3679.54</w:t>
            </w:r>
          </w:p>
        </w:tc>
        <w:tc>
          <w:tcPr>
            <w:tcW w:w="939" w:type="dxa"/>
            <w:shd w:val="clear" w:color="auto" w:fill="auto"/>
            <w:tcMar>
              <w:top w:w="113" w:type="dxa"/>
              <w:left w:w="113" w:type="dxa"/>
              <w:bottom w:w="113" w:type="dxa"/>
              <w:right w:w="113" w:type="dxa"/>
            </w:tcMar>
          </w:tcPr>
          <w:p w14:paraId="564697A8" w14:textId="77777777" w:rsidR="00BB2B23" w:rsidRPr="00325963" w:rsidRDefault="00BB2B23" w:rsidP="00F5693B">
            <w:pPr>
              <w:pStyle w:val="Tablesmalltext"/>
              <w:rPr>
                <w:color w:val="auto"/>
              </w:rPr>
            </w:pPr>
            <w:r w:rsidRPr="00325963">
              <w:rPr>
                <w:color w:val="auto"/>
              </w:rPr>
              <w:t>105.51</w:t>
            </w:r>
          </w:p>
        </w:tc>
        <w:tc>
          <w:tcPr>
            <w:tcW w:w="896" w:type="dxa"/>
            <w:shd w:val="clear" w:color="auto" w:fill="auto"/>
            <w:tcMar>
              <w:top w:w="113" w:type="dxa"/>
              <w:left w:w="113" w:type="dxa"/>
              <w:bottom w:w="113" w:type="dxa"/>
              <w:right w:w="113" w:type="dxa"/>
            </w:tcMar>
          </w:tcPr>
          <w:p w14:paraId="564697A9" w14:textId="77777777" w:rsidR="00BB2B23" w:rsidRPr="00325963" w:rsidRDefault="00BB2B23" w:rsidP="00F5693B">
            <w:pPr>
              <w:pStyle w:val="Tablesmalltext"/>
              <w:rPr>
                <w:color w:val="auto"/>
              </w:rPr>
            </w:pPr>
            <w:r w:rsidRPr="00325963">
              <w:rPr>
                <w:color w:val="auto"/>
              </w:rPr>
              <w:t>1.0</w:t>
            </w:r>
          </w:p>
        </w:tc>
        <w:tc>
          <w:tcPr>
            <w:tcW w:w="1384" w:type="dxa"/>
            <w:shd w:val="clear" w:color="auto" w:fill="auto"/>
            <w:tcMar>
              <w:top w:w="113" w:type="dxa"/>
              <w:left w:w="113" w:type="dxa"/>
              <w:bottom w:w="113" w:type="dxa"/>
              <w:right w:w="113" w:type="dxa"/>
            </w:tcMar>
          </w:tcPr>
          <w:p w14:paraId="564697AA" w14:textId="77777777" w:rsidR="00BB2B23" w:rsidRPr="00325963" w:rsidRDefault="00BB2B23" w:rsidP="00F5693B">
            <w:pPr>
              <w:pStyle w:val="Tablesmalltext"/>
              <w:rPr>
                <w:color w:val="auto"/>
              </w:rPr>
            </w:pPr>
            <w:r w:rsidRPr="00325963">
              <w:rPr>
                <w:color w:val="auto"/>
              </w:rPr>
              <w:t>430.05</w:t>
            </w:r>
          </w:p>
        </w:tc>
        <w:tc>
          <w:tcPr>
            <w:tcW w:w="1424" w:type="dxa"/>
            <w:shd w:val="clear" w:color="auto" w:fill="auto"/>
            <w:tcMar>
              <w:top w:w="113" w:type="dxa"/>
              <w:left w:w="113" w:type="dxa"/>
              <w:bottom w:w="113" w:type="dxa"/>
              <w:right w:w="113" w:type="dxa"/>
            </w:tcMar>
          </w:tcPr>
          <w:p w14:paraId="564697AB" w14:textId="77777777" w:rsidR="00BB2B23" w:rsidRPr="00325963" w:rsidRDefault="00BB2B23" w:rsidP="00F5693B">
            <w:pPr>
              <w:pStyle w:val="Tablesmalltext"/>
              <w:rPr>
                <w:color w:val="auto"/>
              </w:rPr>
            </w:pPr>
            <w:r w:rsidRPr="00325963">
              <w:rPr>
                <w:color w:val="auto"/>
              </w:rPr>
              <w:t>32.47</w:t>
            </w:r>
          </w:p>
        </w:tc>
      </w:tr>
      <w:tr w:rsidR="00BB2B23" w:rsidRPr="00325963" w14:paraId="564697AE" w14:textId="77777777" w:rsidTr="00325963">
        <w:trPr>
          <w:trHeight w:val="60"/>
        </w:trPr>
        <w:tc>
          <w:tcPr>
            <w:tcW w:w="8779" w:type="dxa"/>
            <w:gridSpan w:val="7"/>
            <w:shd w:val="clear" w:color="auto" w:fill="auto"/>
            <w:tcMar>
              <w:top w:w="113" w:type="dxa"/>
              <w:left w:w="113" w:type="dxa"/>
              <w:bottom w:w="113" w:type="dxa"/>
              <w:right w:w="113" w:type="dxa"/>
            </w:tcMar>
          </w:tcPr>
          <w:p w14:paraId="564697AD" w14:textId="77777777" w:rsidR="00BB2B23" w:rsidRPr="00325963" w:rsidRDefault="00BB2B23" w:rsidP="00F5693B">
            <w:pPr>
              <w:pStyle w:val="Tablesmalltext"/>
              <w:rPr>
                <w:color w:val="auto"/>
              </w:rPr>
            </w:pPr>
            <w:r w:rsidRPr="00325963">
              <w:rPr>
                <w:color w:val="auto"/>
              </w:rPr>
              <w:t xml:space="preserve">*Benefits were determined using recently observed carbon abatement prices, rather than a measure of the social cost of carbon emissions. In the model, this gives a conservative (low) value of avoided emissions. </w:t>
            </w:r>
          </w:p>
        </w:tc>
      </w:tr>
    </w:tbl>
    <w:p w14:paraId="564697AF" w14:textId="77777777" w:rsidR="00BB2B23" w:rsidRDefault="00BB2B23" w:rsidP="00BB2B23">
      <w:pPr>
        <w:pStyle w:val="Text"/>
      </w:pPr>
    </w:p>
    <w:p w14:paraId="564697B0" w14:textId="77777777" w:rsidR="00BB2B23" w:rsidRDefault="00BB2B23" w:rsidP="00BB2B23">
      <w:pPr>
        <w:pStyle w:val="Subhead3"/>
      </w:pPr>
      <w:r>
        <w:t xml:space="preserve">Summary of Emissions Reduction Pathways of Options 1, 2, 3 &amp; 4 </w:t>
      </w:r>
    </w:p>
    <w:p w14:paraId="564697B1" w14:textId="77777777" w:rsidR="00BB2B23" w:rsidRDefault="00BB2B23" w:rsidP="00BB2B23">
      <w:pPr>
        <w:pStyle w:val="Text"/>
      </w:pPr>
      <w:r>
        <w:t>Figure 3 and Figure 4 depict the emissions reduction pathways of each option compared to Option 1. Figure</w:t>
      </w:r>
      <w:r>
        <w:rPr>
          <w:rStyle w:val="nobreak"/>
        </w:rPr>
        <w:t xml:space="preserve"> </w:t>
      </w:r>
      <w:r>
        <w:t>4 depicts the final years of projections to clearly show the difference between options. Option 3a is not shown as it overlaps with BAU such that they are not discernable for the purpose of this graph.</w:t>
      </w:r>
    </w:p>
    <w:p w14:paraId="564697B2" w14:textId="77777777" w:rsidR="00BB2B23" w:rsidRDefault="00BB2B23" w:rsidP="00BB2B23">
      <w:pPr>
        <w:pStyle w:val="Figuretitle"/>
      </w:pPr>
      <w:r>
        <w:t>Figure 3: Direct (leakage) emissions against BAU 2017–2030</w:t>
      </w:r>
    </w:p>
    <w:p w14:paraId="564697B3" w14:textId="77777777" w:rsidR="00BB2B23" w:rsidRDefault="00BB2B23" w:rsidP="00BB2B23">
      <w:pPr>
        <w:pStyle w:val="Figuretitle"/>
      </w:pPr>
      <w:r>
        <w:rPr>
          <w:noProof/>
          <w:lang w:val="en-AU"/>
        </w:rPr>
        <w:lastRenderedPageBreak/>
        <w:drawing>
          <wp:inline distT="0" distB="0" distL="0" distR="0" wp14:anchorId="56469B44" wp14:editId="0DE490FA">
            <wp:extent cx="4429125" cy="2671445"/>
            <wp:effectExtent l="0" t="0" r="9525" b="0"/>
            <wp:docPr id="9" name="Picture 9" descr="Figure 8: Projected emissions, base case, excluding HCFCs, Mt CO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4429125" cy="2671445"/>
                    </a:xfrm>
                    <a:prstGeom prst="rect">
                      <a:avLst/>
                    </a:prstGeom>
                    <a:noFill/>
                    <a:ln w="9525">
                      <a:noFill/>
                      <a:miter lim="800000"/>
                      <a:headEnd/>
                      <a:tailEnd/>
                    </a:ln>
                  </pic:spPr>
                </pic:pic>
              </a:graphicData>
            </a:graphic>
          </wp:inline>
        </w:drawing>
      </w:r>
    </w:p>
    <w:p w14:paraId="564697B4" w14:textId="77777777" w:rsidR="00BB2B23" w:rsidRDefault="00BB2B23" w:rsidP="00BB2B23">
      <w:pPr>
        <w:pStyle w:val="Figuretitle"/>
      </w:pPr>
    </w:p>
    <w:p w14:paraId="564697B5" w14:textId="77777777" w:rsidR="00BB2B23" w:rsidRDefault="00BB2B23" w:rsidP="00BB2B23">
      <w:pPr>
        <w:pStyle w:val="Figuretitle"/>
      </w:pPr>
      <w:r>
        <w:t>Figure 4: Direct (leakage) emissions against BAU 2026–2030</w:t>
      </w:r>
      <w:r>
        <w:rPr>
          <w:noProof/>
          <w:lang w:val="en-AU"/>
        </w:rPr>
        <w:drawing>
          <wp:inline distT="0" distB="0" distL="0" distR="0" wp14:anchorId="56469B46" wp14:editId="149A914D">
            <wp:extent cx="8255" cy="8255"/>
            <wp:effectExtent l="0" t="0" r="0" b="0"/>
            <wp:docPr id="10" name="Picture 10" descr="Figure 8: Projected emissions, base case, excluding HCFCs, Mt CO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564697B6" w14:textId="77777777" w:rsidR="00BB2B23" w:rsidRDefault="00BB2B23" w:rsidP="00BB2B23">
      <w:pPr>
        <w:pStyle w:val="Figuretitle"/>
      </w:pPr>
      <w:r>
        <w:rPr>
          <w:noProof/>
          <w:lang w:val="en-AU"/>
        </w:rPr>
        <w:drawing>
          <wp:inline distT="0" distB="0" distL="0" distR="0" wp14:anchorId="56469B48" wp14:editId="207939A5">
            <wp:extent cx="4429125" cy="2671445"/>
            <wp:effectExtent l="0" t="0" r="9525" b="0"/>
            <wp:docPr id="11" name="Picture 11" descr="Figure 4: Direct (leakage) emissions against BAU 2026–203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4429125" cy="2671445"/>
                    </a:xfrm>
                    <a:prstGeom prst="rect">
                      <a:avLst/>
                    </a:prstGeom>
                    <a:noFill/>
                    <a:ln w="9525">
                      <a:noFill/>
                      <a:miter lim="800000"/>
                      <a:headEnd/>
                      <a:tailEnd/>
                    </a:ln>
                  </pic:spPr>
                </pic:pic>
              </a:graphicData>
            </a:graphic>
          </wp:inline>
        </w:drawing>
      </w:r>
    </w:p>
    <w:p w14:paraId="564697B7" w14:textId="77777777" w:rsidR="00BB2B23" w:rsidRDefault="00BB2B23" w:rsidP="00BB2B23">
      <w:pPr>
        <w:pStyle w:val="Figuretitle"/>
      </w:pPr>
    </w:p>
    <w:p w14:paraId="564697B8" w14:textId="77777777" w:rsidR="00BB2B23" w:rsidRDefault="00BB2B23" w:rsidP="00BB2B23">
      <w:pPr>
        <w:pStyle w:val="Subhead2"/>
      </w:pPr>
      <w:r>
        <w:t>Cost-Benefit Analysis—Sensitivity analysis</w:t>
      </w:r>
    </w:p>
    <w:p w14:paraId="564697B9" w14:textId="77777777" w:rsidR="00BB2B23" w:rsidRDefault="00BB2B23" w:rsidP="00BB2B23">
      <w:pPr>
        <w:pStyle w:val="Text"/>
      </w:pPr>
      <w:r>
        <w:t>A number of parameters were found to be material to the outcome of the various cost benefit analyses. This section outlines each parameter considered and forming the sensitivity analysis. The NPV has only been calculated for scenarios in which the parameter is material.</w:t>
      </w:r>
    </w:p>
    <w:p w14:paraId="564697BA" w14:textId="77777777" w:rsidR="00BB2B23" w:rsidRDefault="00BB2B23" w:rsidP="00BB2B23">
      <w:pPr>
        <w:pStyle w:val="Subhead3"/>
      </w:pPr>
      <w:r>
        <w:t xml:space="preserve">Discount Rate </w:t>
      </w:r>
    </w:p>
    <w:p w14:paraId="564697BB" w14:textId="77777777" w:rsidR="00BB2B23" w:rsidRDefault="00BB2B23" w:rsidP="00BB2B23">
      <w:pPr>
        <w:pStyle w:val="Text"/>
      </w:pPr>
      <w:r>
        <w:t>Table 10 and Figure 9: Benefit cost ratio under a selection of discount rates display the net benefit and benefit cost ratios under discount rates of 3 per cent, 7 per cent and 10 per cent respectively. In all cases the sign of the net benefit is not affected by the discount rate, leaving overall conclusions around the analysis unaffected.</w:t>
      </w:r>
    </w:p>
    <w:p w14:paraId="564697BC" w14:textId="77777777" w:rsidR="00BB2B23" w:rsidRDefault="00BB2B23" w:rsidP="00BB2B23">
      <w:pPr>
        <w:pStyle w:val="Tabletitle"/>
      </w:pPr>
      <w:r>
        <w:t>Table 10: Net present value under a selection of discount rates, $M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4"/>
        <w:gridCol w:w="928"/>
        <w:gridCol w:w="928"/>
        <w:gridCol w:w="928"/>
      </w:tblGrid>
      <w:tr w:rsidR="00BB2B23" w:rsidRPr="00325963" w14:paraId="564697C1" w14:textId="77777777" w:rsidTr="00325963">
        <w:trPr>
          <w:trHeight w:val="354"/>
        </w:trPr>
        <w:tc>
          <w:tcPr>
            <w:tcW w:w="5524" w:type="dxa"/>
            <w:shd w:val="clear" w:color="auto" w:fill="auto"/>
            <w:tcMar>
              <w:top w:w="113" w:type="dxa"/>
              <w:left w:w="113" w:type="dxa"/>
              <w:bottom w:w="113" w:type="dxa"/>
              <w:right w:w="113" w:type="dxa"/>
            </w:tcMar>
          </w:tcPr>
          <w:p w14:paraId="564697BD" w14:textId="77777777" w:rsidR="00BB2B23" w:rsidRPr="00325963" w:rsidRDefault="00BB2B23" w:rsidP="00F5693B">
            <w:pPr>
              <w:pStyle w:val="Tablesmallheading"/>
              <w:rPr>
                <w:color w:val="auto"/>
              </w:rPr>
            </w:pPr>
            <w:r w:rsidRPr="00325963">
              <w:rPr>
                <w:color w:val="auto"/>
              </w:rPr>
              <w:lastRenderedPageBreak/>
              <w:t>Discount rate</w:t>
            </w:r>
          </w:p>
        </w:tc>
        <w:tc>
          <w:tcPr>
            <w:tcW w:w="928" w:type="dxa"/>
            <w:vMerge w:val="restart"/>
            <w:shd w:val="clear" w:color="auto" w:fill="auto"/>
            <w:tcMar>
              <w:top w:w="113" w:type="dxa"/>
              <w:left w:w="113" w:type="dxa"/>
              <w:bottom w:w="113" w:type="dxa"/>
              <w:right w:w="113" w:type="dxa"/>
            </w:tcMar>
          </w:tcPr>
          <w:p w14:paraId="564697BE" w14:textId="77777777" w:rsidR="00BB2B23" w:rsidRPr="00325963" w:rsidRDefault="00BB2B23" w:rsidP="00F5693B">
            <w:pPr>
              <w:pStyle w:val="Tablesmallheading"/>
              <w:jc w:val="center"/>
              <w:rPr>
                <w:color w:val="auto"/>
              </w:rPr>
            </w:pPr>
            <w:r w:rsidRPr="00325963">
              <w:rPr>
                <w:color w:val="auto"/>
              </w:rPr>
              <w:t>3%</w:t>
            </w:r>
          </w:p>
        </w:tc>
        <w:tc>
          <w:tcPr>
            <w:tcW w:w="928" w:type="dxa"/>
            <w:vMerge w:val="restart"/>
            <w:shd w:val="clear" w:color="auto" w:fill="auto"/>
            <w:tcMar>
              <w:top w:w="113" w:type="dxa"/>
              <w:left w:w="113" w:type="dxa"/>
              <w:bottom w:w="113" w:type="dxa"/>
              <w:right w:w="113" w:type="dxa"/>
            </w:tcMar>
          </w:tcPr>
          <w:p w14:paraId="564697BF" w14:textId="77777777" w:rsidR="00BB2B23" w:rsidRPr="00325963" w:rsidRDefault="00BB2B23" w:rsidP="00F5693B">
            <w:pPr>
              <w:pStyle w:val="Tablesmallheading"/>
              <w:jc w:val="center"/>
              <w:rPr>
                <w:color w:val="auto"/>
              </w:rPr>
            </w:pPr>
            <w:r w:rsidRPr="00325963">
              <w:rPr>
                <w:color w:val="auto"/>
              </w:rPr>
              <w:t>7%</w:t>
            </w:r>
          </w:p>
        </w:tc>
        <w:tc>
          <w:tcPr>
            <w:tcW w:w="928" w:type="dxa"/>
            <w:vMerge w:val="restart"/>
            <w:shd w:val="clear" w:color="auto" w:fill="auto"/>
            <w:tcMar>
              <w:top w:w="113" w:type="dxa"/>
              <w:left w:w="113" w:type="dxa"/>
              <w:bottom w:w="113" w:type="dxa"/>
              <w:right w:w="113" w:type="dxa"/>
            </w:tcMar>
          </w:tcPr>
          <w:p w14:paraId="564697C0" w14:textId="77777777" w:rsidR="00BB2B23" w:rsidRPr="00325963" w:rsidRDefault="00BB2B23" w:rsidP="00F5693B">
            <w:pPr>
              <w:pStyle w:val="Tablesmallheading"/>
              <w:jc w:val="center"/>
              <w:rPr>
                <w:color w:val="auto"/>
              </w:rPr>
            </w:pPr>
            <w:r w:rsidRPr="00325963">
              <w:rPr>
                <w:color w:val="auto"/>
              </w:rPr>
              <w:t>10%</w:t>
            </w:r>
          </w:p>
        </w:tc>
      </w:tr>
      <w:tr w:rsidR="00BB2B23" w:rsidRPr="00325963" w14:paraId="564697C6" w14:textId="77777777" w:rsidTr="00325963">
        <w:trPr>
          <w:trHeight w:val="354"/>
        </w:trPr>
        <w:tc>
          <w:tcPr>
            <w:tcW w:w="5524" w:type="dxa"/>
            <w:shd w:val="clear" w:color="auto" w:fill="auto"/>
            <w:tcMar>
              <w:top w:w="113" w:type="dxa"/>
              <w:left w:w="113" w:type="dxa"/>
              <w:bottom w:w="113" w:type="dxa"/>
              <w:right w:w="113" w:type="dxa"/>
            </w:tcMar>
          </w:tcPr>
          <w:p w14:paraId="564697C2" w14:textId="77777777" w:rsidR="00BB2B23" w:rsidRPr="00325963" w:rsidRDefault="00BB2B23" w:rsidP="00F5693B">
            <w:pPr>
              <w:pStyle w:val="Tablesmalltext"/>
              <w:rPr>
                <w:color w:val="auto"/>
              </w:rPr>
            </w:pPr>
            <w:r w:rsidRPr="00325963">
              <w:rPr>
                <w:rStyle w:val="TextBold"/>
                <w:color w:val="auto"/>
              </w:rPr>
              <w:t>Scenario</w:t>
            </w:r>
          </w:p>
        </w:tc>
        <w:tc>
          <w:tcPr>
            <w:tcW w:w="928" w:type="dxa"/>
            <w:vMerge/>
            <w:shd w:val="clear" w:color="auto" w:fill="auto"/>
          </w:tcPr>
          <w:p w14:paraId="564697C3" w14:textId="77777777" w:rsidR="00BB2B23" w:rsidRPr="00325963" w:rsidRDefault="00BB2B23" w:rsidP="00F5693B">
            <w:pPr>
              <w:pStyle w:val="NoParagraphStyle"/>
              <w:spacing w:line="240" w:lineRule="auto"/>
              <w:textAlignment w:val="auto"/>
              <w:rPr>
                <w:rFonts w:ascii="Myriad Pro" w:hAnsi="Myriad Pro" w:cstheme="minorBidi"/>
                <w:color w:val="auto"/>
                <w:lang w:val="en-AU"/>
              </w:rPr>
            </w:pPr>
          </w:p>
        </w:tc>
        <w:tc>
          <w:tcPr>
            <w:tcW w:w="928" w:type="dxa"/>
            <w:vMerge/>
            <w:shd w:val="clear" w:color="auto" w:fill="auto"/>
          </w:tcPr>
          <w:p w14:paraId="564697C4" w14:textId="77777777" w:rsidR="00BB2B23" w:rsidRPr="00325963" w:rsidRDefault="00BB2B23" w:rsidP="00F5693B">
            <w:pPr>
              <w:pStyle w:val="NoParagraphStyle"/>
              <w:spacing w:line="240" w:lineRule="auto"/>
              <w:textAlignment w:val="auto"/>
              <w:rPr>
                <w:rFonts w:ascii="Myriad Pro" w:hAnsi="Myriad Pro" w:cstheme="minorBidi"/>
                <w:color w:val="auto"/>
                <w:lang w:val="en-AU"/>
              </w:rPr>
            </w:pPr>
          </w:p>
        </w:tc>
        <w:tc>
          <w:tcPr>
            <w:tcW w:w="928" w:type="dxa"/>
            <w:vMerge/>
            <w:shd w:val="clear" w:color="auto" w:fill="auto"/>
          </w:tcPr>
          <w:p w14:paraId="564697C5" w14:textId="77777777" w:rsidR="00BB2B23" w:rsidRPr="00325963" w:rsidRDefault="00BB2B23" w:rsidP="00F5693B">
            <w:pPr>
              <w:pStyle w:val="NoParagraphStyle"/>
              <w:spacing w:line="240" w:lineRule="auto"/>
              <w:textAlignment w:val="auto"/>
              <w:rPr>
                <w:rFonts w:ascii="Myriad Pro" w:hAnsi="Myriad Pro" w:cstheme="minorBidi"/>
                <w:color w:val="auto"/>
                <w:lang w:val="en-AU"/>
              </w:rPr>
            </w:pPr>
          </w:p>
        </w:tc>
      </w:tr>
      <w:tr w:rsidR="00BB2B23" w:rsidRPr="00325963" w14:paraId="564697CB" w14:textId="77777777" w:rsidTr="00325963">
        <w:trPr>
          <w:trHeight w:val="210"/>
        </w:trPr>
        <w:tc>
          <w:tcPr>
            <w:tcW w:w="5524" w:type="dxa"/>
            <w:shd w:val="clear" w:color="auto" w:fill="auto"/>
            <w:tcMar>
              <w:top w:w="113" w:type="dxa"/>
              <w:left w:w="113" w:type="dxa"/>
              <w:bottom w:w="113" w:type="dxa"/>
              <w:right w:w="113" w:type="dxa"/>
            </w:tcMar>
          </w:tcPr>
          <w:p w14:paraId="564697C7" w14:textId="77777777" w:rsidR="00BB2B23" w:rsidRPr="00325963" w:rsidRDefault="00BB2B23" w:rsidP="00F5693B">
            <w:pPr>
              <w:pStyle w:val="Tablesmalltext"/>
              <w:rPr>
                <w:color w:val="auto"/>
              </w:rPr>
            </w:pPr>
            <w:r w:rsidRPr="00325963">
              <w:rPr>
                <w:color w:val="auto"/>
              </w:rPr>
              <w:t>HFC Phase-down North American amendment</w:t>
            </w:r>
          </w:p>
        </w:tc>
        <w:tc>
          <w:tcPr>
            <w:tcW w:w="928" w:type="dxa"/>
            <w:shd w:val="clear" w:color="auto" w:fill="auto"/>
            <w:tcMar>
              <w:top w:w="113" w:type="dxa"/>
              <w:left w:w="113" w:type="dxa"/>
              <w:bottom w:w="113" w:type="dxa"/>
              <w:right w:w="113" w:type="dxa"/>
            </w:tcMar>
          </w:tcPr>
          <w:p w14:paraId="564697C8" w14:textId="77777777" w:rsidR="00BB2B23" w:rsidRPr="00325963" w:rsidRDefault="00BB2B23" w:rsidP="00F5693B">
            <w:pPr>
              <w:pStyle w:val="Tablesmalltext"/>
              <w:jc w:val="center"/>
              <w:rPr>
                <w:color w:val="auto"/>
              </w:rPr>
            </w:pPr>
            <w:r w:rsidRPr="00325963">
              <w:rPr>
                <w:color w:val="auto"/>
              </w:rPr>
              <w:t>57</w:t>
            </w:r>
          </w:p>
        </w:tc>
        <w:tc>
          <w:tcPr>
            <w:tcW w:w="928" w:type="dxa"/>
            <w:shd w:val="clear" w:color="auto" w:fill="auto"/>
            <w:tcMar>
              <w:top w:w="113" w:type="dxa"/>
              <w:left w:w="113" w:type="dxa"/>
              <w:bottom w:w="113" w:type="dxa"/>
              <w:right w:w="113" w:type="dxa"/>
            </w:tcMar>
          </w:tcPr>
          <w:p w14:paraId="564697C9" w14:textId="77777777" w:rsidR="00BB2B23" w:rsidRPr="00325963" w:rsidRDefault="00BB2B23" w:rsidP="00F5693B">
            <w:pPr>
              <w:pStyle w:val="Tablesmalltext"/>
              <w:jc w:val="center"/>
              <w:rPr>
                <w:color w:val="auto"/>
              </w:rPr>
            </w:pPr>
            <w:r w:rsidRPr="00325963">
              <w:rPr>
                <w:color w:val="auto"/>
              </w:rPr>
              <w:t>40</w:t>
            </w:r>
          </w:p>
        </w:tc>
        <w:tc>
          <w:tcPr>
            <w:tcW w:w="928" w:type="dxa"/>
            <w:shd w:val="clear" w:color="auto" w:fill="auto"/>
            <w:tcMar>
              <w:top w:w="113" w:type="dxa"/>
              <w:left w:w="113" w:type="dxa"/>
              <w:bottom w:w="113" w:type="dxa"/>
              <w:right w:w="113" w:type="dxa"/>
            </w:tcMar>
          </w:tcPr>
          <w:p w14:paraId="564697CA" w14:textId="77777777" w:rsidR="00BB2B23" w:rsidRPr="00325963" w:rsidRDefault="00BB2B23" w:rsidP="00F5693B">
            <w:pPr>
              <w:pStyle w:val="Tablesmalltext"/>
              <w:jc w:val="center"/>
              <w:rPr>
                <w:color w:val="auto"/>
              </w:rPr>
            </w:pPr>
            <w:r w:rsidRPr="00325963">
              <w:rPr>
                <w:color w:val="auto"/>
              </w:rPr>
              <w:t>31</w:t>
            </w:r>
          </w:p>
        </w:tc>
      </w:tr>
      <w:tr w:rsidR="00BB2B23" w:rsidRPr="00325963" w14:paraId="564697D0" w14:textId="77777777" w:rsidTr="00325963">
        <w:trPr>
          <w:trHeight w:val="210"/>
        </w:trPr>
        <w:tc>
          <w:tcPr>
            <w:tcW w:w="5524" w:type="dxa"/>
            <w:shd w:val="clear" w:color="auto" w:fill="auto"/>
            <w:tcMar>
              <w:top w:w="113" w:type="dxa"/>
              <w:left w:w="113" w:type="dxa"/>
              <w:bottom w:w="113" w:type="dxa"/>
              <w:right w:w="113" w:type="dxa"/>
            </w:tcMar>
          </w:tcPr>
          <w:p w14:paraId="564697CC" w14:textId="77777777" w:rsidR="00BB2B23" w:rsidRPr="00325963" w:rsidRDefault="00BB2B23" w:rsidP="00F5693B">
            <w:pPr>
              <w:pStyle w:val="Tablesmalltext"/>
              <w:rPr>
                <w:color w:val="auto"/>
              </w:rPr>
            </w:pPr>
            <w:r w:rsidRPr="00325963">
              <w:rPr>
                <w:color w:val="auto"/>
              </w:rPr>
              <w:t>HFC Phase-down Accelerated Alternative</w:t>
            </w:r>
          </w:p>
        </w:tc>
        <w:tc>
          <w:tcPr>
            <w:tcW w:w="928" w:type="dxa"/>
            <w:shd w:val="clear" w:color="auto" w:fill="auto"/>
            <w:tcMar>
              <w:top w:w="113" w:type="dxa"/>
              <w:left w:w="113" w:type="dxa"/>
              <w:bottom w:w="113" w:type="dxa"/>
              <w:right w:w="113" w:type="dxa"/>
            </w:tcMar>
          </w:tcPr>
          <w:p w14:paraId="564697CD" w14:textId="77777777" w:rsidR="00BB2B23" w:rsidRPr="00325963" w:rsidRDefault="00BB2B23" w:rsidP="00F5693B">
            <w:pPr>
              <w:pStyle w:val="Tablesmalltext"/>
              <w:jc w:val="center"/>
              <w:rPr>
                <w:color w:val="auto"/>
              </w:rPr>
            </w:pPr>
            <w:r w:rsidRPr="00325963">
              <w:rPr>
                <w:color w:val="auto"/>
              </w:rPr>
              <w:t>19</w:t>
            </w:r>
          </w:p>
        </w:tc>
        <w:tc>
          <w:tcPr>
            <w:tcW w:w="928" w:type="dxa"/>
            <w:shd w:val="clear" w:color="auto" w:fill="auto"/>
            <w:tcMar>
              <w:top w:w="113" w:type="dxa"/>
              <w:left w:w="113" w:type="dxa"/>
              <w:bottom w:w="113" w:type="dxa"/>
              <w:right w:w="113" w:type="dxa"/>
            </w:tcMar>
          </w:tcPr>
          <w:p w14:paraId="564697CE" w14:textId="77777777" w:rsidR="00BB2B23" w:rsidRPr="00325963" w:rsidRDefault="00BB2B23" w:rsidP="00F5693B">
            <w:pPr>
              <w:pStyle w:val="Tablesmalltext"/>
              <w:jc w:val="center"/>
              <w:rPr>
                <w:color w:val="auto"/>
              </w:rPr>
            </w:pPr>
            <w:r w:rsidRPr="00325963">
              <w:rPr>
                <w:color w:val="auto"/>
              </w:rPr>
              <w:t>10</w:t>
            </w:r>
          </w:p>
        </w:tc>
        <w:tc>
          <w:tcPr>
            <w:tcW w:w="928" w:type="dxa"/>
            <w:shd w:val="clear" w:color="auto" w:fill="auto"/>
            <w:tcMar>
              <w:top w:w="113" w:type="dxa"/>
              <w:left w:w="113" w:type="dxa"/>
              <w:bottom w:w="113" w:type="dxa"/>
              <w:right w:w="113" w:type="dxa"/>
            </w:tcMar>
          </w:tcPr>
          <w:p w14:paraId="564697CF" w14:textId="77777777" w:rsidR="00BB2B23" w:rsidRPr="00325963" w:rsidRDefault="00BB2B23" w:rsidP="00F5693B">
            <w:pPr>
              <w:pStyle w:val="Tablesmalltext"/>
              <w:jc w:val="center"/>
              <w:rPr>
                <w:color w:val="auto"/>
              </w:rPr>
            </w:pPr>
            <w:r w:rsidRPr="00325963">
              <w:rPr>
                <w:color w:val="auto"/>
              </w:rPr>
              <w:t>6</w:t>
            </w:r>
          </w:p>
        </w:tc>
      </w:tr>
      <w:tr w:rsidR="00BB2B23" w:rsidRPr="00325963" w14:paraId="564697D5" w14:textId="77777777" w:rsidTr="00325963">
        <w:trPr>
          <w:trHeight w:val="210"/>
        </w:trPr>
        <w:tc>
          <w:tcPr>
            <w:tcW w:w="5524" w:type="dxa"/>
            <w:shd w:val="clear" w:color="auto" w:fill="auto"/>
            <w:tcMar>
              <w:top w:w="113" w:type="dxa"/>
              <w:left w:w="113" w:type="dxa"/>
              <w:bottom w:w="113" w:type="dxa"/>
              <w:right w:w="113" w:type="dxa"/>
            </w:tcMar>
          </w:tcPr>
          <w:p w14:paraId="564697D1" w14:textId="77777777" w:rsidR="00BB2B23" w:rsidRPr="00325963" w:rsidRDefault="00BB2B23" w:rsidP="00F5693B">
            <w:pPr>
              <w:pStyle w:val="Tablesmalltext"/>
              <w:rPr>
                <w:color w:val="auto"/>
              </w:rPr>
            </w:pPr>
            <w:r w:rsidRPr="00325963">
              <w:rPr>
                <w:color w:val="auto"/>
              </w:rPr>
              <w:t>High GWP Equipment Bans—supermarket equipment</w:t>
            </w:r>
          </w:p>
        </w:tc>
        <w:tc>
          <w:tcPr>
            <w:tcW w:w="928" w:type="dxa"/>
            <w:shd w:val="clear" w:color="auto" w:fill="auto"/>
            <w:tcMar>
              <w:top w:w="113" w:type="dxa"/>
              <w:left w:w="113" w:type="dxa"/>
              <w:bottom w:w="113" w:type="dxa"/>
              <w:right w:w="113" w:type="dxa"/>
            </w:tcMar>
          </w:tcPr>
          <w:p w14:paraId="564697D2" w14:textId="77777777" w:rsidR="00BB2B23" w:rsidRPr="00325963" w:rsidRDefault="00BB2B23" w:rsidP="00F5693B">
            <w:pPr>
              <w:pStyle w:val="Tablesmalltext"/>
              <w:jc w:val="center"/>
              <w:rPr>
                <w:color w:val="auto"/>
              </w:rPr>
            </w:pPr>
            <w:r w:rsidRPr="00325963">
              <w:rPr>
                <w:color w:val="auto"/>
              </w:rPr>
              <w:t>6</w:t>
            </w:r>
          </w:p>
        </w:tc>
        <w:tc>
          <w:tcPr>
            <w:tcW w:w="928" w:type="dxa"/>
            <w:shd w:val="clear" w:color="auto" w:fill="auto"/>
            <w:tcMar>
              <w:top w:w="113" w:type="dxa"/>
              <w:left w:w="113" w:type="dxa"/>
              <w:bottom w:w="113" w:type="dxa"/>
              <w:right w:w="113" w:type="dxa"/>
            </w:tcMar>
          </w:tcPr>
          <w:p w14:paraId="564697D3" w14:textId="77777777" w:rsidR="00BB2B23" w:rsidRPr="00325963" w:rsidRDefault="00BB2B23" w:rsidP="00F5693B">
            <w:pPr>
              <w:pStyle w:val="Tablesmalltext"/>
              <w:jc w:val="center"/>
              <w:rPr>
                <w:color w:val="auto"/>
              </w:rPr>
            </w:pPr>
            <w:r w:rsidRPr="00325963">
              <w:rPr>
                <w:color w:val="auto"/>
              </w:rPr>
              <w:t>4</w:t>
            </w:r>
          </w:p>
        </w:tc>
        <w:tc>
          <w:tcPr>
            <w:tcW w:w="928" w:type="dxa"/>
            <w:shd w:val="clear" w:color="auto" w:fill="auto"/>
            <w:tcMar>
              <w:top w:w="113" w:type="dxa"/>
              <w:left w:w="113" w:type="dxa"/>
              <w:bottom w:w="113" w:type="dxa"/>
              <w:right w:w="113" w:type="dxa"/>
            </w:tcMar>
          </w:tcPr>
          <w:p w14:paraId="564697D4" w14:textId="77777777" w:rsidR="00BB2B23" w:rsidRPr="00325963" w:rsidRDefault="00BB2B23" w:rsidP="00F5693B">
            <w:pPr>
              <w:pStyle w:val="Tablesmalltext"/>
              <w:jc w:val="center"/>
              <w:rPr>
                <w:color w:val="auto"/>
              </w:rPr>
            </w:pPr>
            <w:r w:rsidRPr="00325963">
              <w:rPr>
                <w:color w:val="auto"/>
              </w:rPr>
              <w:t>3</w:t>
            </w:r>
          </w:p>
        </w:tc>
      </w:tr>
      <w:tr w:rsidR="00BB2B23" w:rsidRPr="00325963" w14:paraId="564697DA" w14:textId="77777777" w:rsidTr="00325963">
        <w:trPr>
          <w:trHeight w:val="256"/>
        </w:trPr>
        <w:tc>
          <w:tcPr>
            <w:tcW w:w="5524" w:type="dxa"/>
            <w:shd w:val="clear" w:color="auto" w:fill="auto"/>
            <w:tcMar>
              <w:top w:w="113" w:type="dxa"/>
              <w:left w:w="113" w:type="dxa"/>
              <w:bottom w:w="113" w:type="dxa"/>
              <w:right w:w="113" w:type="dxa"/>
            </w:tcMar>
          </w:tcPr>
          <w:p w14:paraId="564697D6" w14:textId="77777777" w:rsidR="00BB2B23" w:rsidRPr="00325963" w:rsidRDefault="00BB2B23" w:rsidP="00F5693B">
            <w:pPr>
              <w:pStyle w:val="Tablesmalltext"/>
              <w:rPr>
                <w:color w:val="auto"/>
              </w:rPr>
            </w:pPr>
            <w:r w:rsidRPr="00325963">
              <w:rPr>
                <w:color w:val="auto"/>
              </w:rPr>
              <w:t>High GWP Equipment Bans—mobile air conditioning</w:t>
            </w:r>
          </w:p>
        </w:tc>
        <w:tc>
          <w:tcPr>
            <w:tcW w:w="928" w:type="dxa"/>
            <w:shd w:val="clear" w:color="auto" w:fill="auto"/>
            <w:tcMar>
              <w:top w:w="113" w:type="dxa"/>
              <w:left w:w="113" w:type="dxa"/>
              <w:bottom w:w="113" w:type="dxa"/>
              <w:right w:w="113" w:type="dxa"/>
            </w:tcMar>
          </w:tcPr>
          <w:p w14:paraId="564697D7" w14:textId="77777777" w:rsidR="00BB2B23" w:rsidRPr="00325963" w:rsidRDefault="00BB2B23" w:rsidP="00F5693B">
            <w:pPr>
              <w:pStyle w:val="Tablesmalltext"/>
              <w:jc w:val="center"/>
              <w:rPr>
                <w:color w:val="auto"/>
              </w:rPr>
            </w:pPr>
            <w:r w:rsidRPr="00325963">
              <w:rPr>
                <w:color w:val="auto"/>
              </w:rPr>
              <w:t>-220</w:t>
            </w:r>
          </w:p>
        </w:tc>
        <w:tc>
          <w:tcPr>
            <w:tcW w:w="928" w:type="dxa"/>
            <w:shd w:val="clear" w:color="auto" w:fill="auto"/>
            <w:tcMar>
              <w:top w:w="113" w:type="dxa"/>
              <w:left w:w="113" w:type="dxa"/>
              <w:bottom w:w="113" w:type="dxa"/>
              <w:right w:w="113" w:type="dxa"/>
            </w:tcMar>
          </w:tcPr>
          <w:p w14:paraId="564697D8" w14:textId="77777777" w:rsidR="00BB2B23" w:rsidRPr="00325963" w:rsidRDefault="00BB2B23" w:rsidP="00F5693B">
            <w:pPr>
              <w:pStyle w:val="Tablesmalltext"/>
              <w:jc w:val="center"/>
              <w:rPr>
                <w:color w:val="auto"/>
              </w:rPr>
            </w:pPr>
            <w:r w:rsidRPr="00325963">
              <w:rPr>
                <w:color w:val="auto"/>
              </w:rPr>
              <w:t>-182</w:t>
            </w:r>
          </w:p>
        </w:tc>
        <w:tc>
          <w:tcPr>
            <w:tcW w:w="928" w:type="dxa"/>
            <w:shd w:val="clear" w:color="auto" w:fill="auto"/>
            <w:tcMar>
              <w:top w:w="113" w:type="dxa"/>
              <w:left w:w="113" w:type="dxa"/>
              <w:bottom w:w="113" w:type="dxa"/>
              <w:right w:w="113" w:type="dxa"/>
            </w:tcMar>
          </w:tcPr>
          <w:p w14:paraId="564697D9" w14:textId="77777777" w:rsidR="00BB2B23" w:rsidRPr="00325963" w:rsidRDefault="00BB2B23" w:rsidP="00F5693B">
            <w:pPr>
              <w:pStyle w:val="Tablesmalltext"/>
              <w:jc w:val="center"/>
              <w:rPr>
                <w:color w:val="auto"/>
              </w:rPr>
            </w:pPr>
            <w:r w:rsidRPr="00325963">
              <w:rPr>
                <w:color w:val="auto"/>
              </w:rPr>
              <w:t>-159</w:t>
            </w:r>
          </w:p>
        </w:tc>
      </w:tr>
      <w:tr w:rsidR="00BB2B23" w:rsidRPr="00325963" w14:paraId="564697DF" w14:textId="77777777" w:rsidTr="00325963">
        <w:trPr>
          <w:trHeight w:val="210"/>
        </w:trPr>
        <w:tc>
          <w:tcPr>
            <w:tcW w:w="5524" w:type="dxa"/>
            <w:shd w:val="clear" w:color="auto" w:fill="auto"/>
            <w:tcMar>
              <w:top w:w="113" w:type="dxa"/>
              <w:left w:w="113" w:type="dxa"/>
              <w:bottom w:w="113" w:type="dxa"/>
              <w:right w:w="113" w:type="dxa"/>
            </w:tcMar>
          </w:tcPr>
          <w:p w14:paraId="564697DB" w14:textId="77777777" w:rsidR="00BB2B23" w:rsidRPr="00325963" w:rsidRDefault="00BB2B23" w:rsidP="00F5693B">
            <w:pPr>
              <w:pStyle w:val="Tablesmalltext"/>
              <w:rPr>
                <w:color w:val="auto"/>
              </w:rPr>
            </w:pPr>
            <w:r w:rsidRPr="00325963">
              <w:rPr>
                <w:color w:val="auto"/>
              </w:rPr>
              <w:t>Maintenance</w:t>
            </w:r>
          </w:p>
        </w:tc>
        <w:tc>
          <w:tcPr>
            <w:tcW w:w="928" w:type="dxa"/>
            <w:shd w:val="clear" w:color="auto" w:fill="auto"/>
            <w:tcMar>
              <w:top w:w="113" w:type="dxa"/>
              <w:left w:w="113" w:type="dxa"/>
              <w:bottom w:w="113" w:type="dxa"/>
              <w:right w:w="113" w:type="dxa"/>
            </w:tcMar>
          </w:tcPr>
          <w:p w14:paraId="564697DC" w14:textId="77777777" w:rsidR="00BB2B23" w:rsidRPr="00325963" w:rsidRDefault="00BB2B23" w:rsidP="00F5693B">
            <w:pPr>
              <w:pStyle w:val="Tablesmalltext"/>
              <w:jc w:val="center"/>
              <w:rPr>
                <w:color w:val="auto"/>
              </w:rPr>
            </w:pPr>
            <w:r w:rsidRPr="00325963">
              <w:rPr>
                <w:color w:val="auto"/>
              </w:rPr>
              <w:t>186</w:t>
            </w:r>
          </w:p>
        </w:tc>
        <w:tc>
          <w:tcPr>
            <w:tcW w:w="928" w:type="dxa"/>
            <w:shd w:val="clear" w:color="auto" w:fill="auto"/>
            <w:tcMar>
              <w:top w:w="113" w:type="dxa"/>
              <w:left w:w="113" w:type="dxa"/>
              <w:bottom w:w="113" w:type="dxa"/>
              <w:right w:w="113" w:type="dxa"/>
            </w:tcMar>
          </w:tcPr>
          <w:p w14:paraId="564697DD" w14:textId="77777777" w:rsidR="00BB2B23" w:rsidRPr="00325963" w:rsidRDefault="00BB2B23" w:rsidP="00F5693B">
            <w:pPr>
              <w:pStyle w:val="Tablesmalltext"/>
              <w:jc w:val="center"/>
              <w:rPr>
                <w:color w:val="auto"/>
              </w:rPr>
            </w:pPr>
            <w:r w:rsidRPr="00325963">
              <w:rPr>
                <w:color w:val="auto"/>
              </w:rPr>
              <w:t>106</w:t>
            </w:r>
          </w:p>
        </w:tc>
        <w:tc>
          <w:tcPr>
            <w:tcW w:w="928" w:type="dxa"/>
            <w:shd w:val="clear" w:color="auto" w:fill="auto"/>
            <w:tcMar>
              <w:top w:w="113" w:type="dxa"/>
              <w:left w:w="113" w:type="dxa"/>
              <w:bottom w:w="113" w:type="dxa"/>
              <w:right w:w="113" w:type="dxa"/>
            </w:tcMar>
          </w:tcPr>
          <w:p w14:paraId="564697DE" w14:textId="77777777" w:rsidR="00BB2B23" w:rsidRPr="00325963" w:rsidRDefault="00BB2B23" w:rsidP="00F5693B">
            <w:pPr>
              <w:pStyle w:val="Tablesmalltext"/>
              <w:jc w:val="center"/>
              <w:rPr>
                <w:color w:val="auto"/>
              </w:rPr>
            </w:pPr>
            <w:r w:rsidRPr="00325963">
              <w:rPr>
                <w:color w:val="auto"/>
              </w:rPr>
              <w:t>67</w:t>
            </w:r>
          </w:p>
        </w:tc>
      </w:tr>
      <w:tr w:rsidR="00BB2B23" w:rsidRPr="00325963" w14:paraId="564697E4" w14:textId="77777777" w:rsidTr="00325963">
        <w:trPr>
          <w:trHeight w:val="210"/>
        </w:trPr>
        <w:tc>
          <w:tcPr>
            <w:tcW w:w="5524" w:type="dxa"/>
            <w:shd w:val="clear" w:color="auto" w:fill="auto"/>
            <w:tcMar>
              <w:top w:w="113" w:type="dxa"/>
              <w:left w:w="113" w:type="dxa"/>
              <w:bottom w:w="113" w:type="dxa"/>
              <w:right w:w="113" w:type="dxa"/>
            </w:tcMar>
          </w:tcPr>
          <w:p w14:paraId="564697E0" w14:textId="77777777" w:rsidR="00BB2B23" w:rsidRPr="00325963" w:rsidRDefault="00BB2B23" w:rsidP="00F5693B">
            <w:pPr>
              <w:pStyle w:val="Tablesmalltext"/>
              <w:rPr>
                <w:color w:val="auto"/>
              </w:rPr>
            </w:pPr>
            <w:r w:rsidRPr="00325963">
              <w:rPr>
                <w:color w:val="auto"/>
              </w:rPr>
              <w:t>Leak testing</w:t>
            </w:r>
          </w:p>
        </w:tc>
        <w:tc>
          <w:tcPr>
            <w:tcW w:w="928" w:type="dxa"/>
            <w:shd w:val="clear" w:color="auto" w:fill="auto"/>
            <w:tcMar>
              <w:top w:w="113" w:type="dxa"/>
              <w:left w:w="113" w:type="dxa"/>
              <w:bottom w:w="113" w:type="dxa"/>
              <w:right w:w="113" w:type="dxa"/>
            </w:tcMar>
          </w:tcPr>
          <w:p w14:paraId="564697E1" w14:textId="77777777" w:rsidR="00BB2B23" w:rsidRPr="00325963" w:rsidRDefault="00BB2B23" w:rsidP="00F5693B">
            <w:pPr>
              <w:pStyle w:val="Tablesmalltext"/>
              <w:jc w:val="center"/>
              <w:rPr>
                <w:color w:val="auto"/>
              </w:rPr>
            </w:pPr>
            <w:r w:rsidRPr="00325963">
              <w:rPr>
                <w:color w:val="auto"/>
              </w:rPr>
              <w:t>-433</w:t>
            </w:r>
          </w:p>
        </w:tc>
        <w:tc>
          <w:tcPr>
            <w:tcW w:w="928" w:type="dxa"/>
            <w:shd w:val="clear" w:color="auto" w:fill="auto"/>
            <w:tcMar>
              <w:top w:w="113" w:type="dxa"/>
              <w:left w:w="113" w:type="dxa"/>
              <w:bottom w:w="113" w:type="dxa"/>
              <w:right w:w="113" w:type="dxa"/>
            </w:tcMar>
          </w:tcPr>
          <w:p w14:paraId="564697E2" w14:textId="77777777" w:rsidR="00BB2B23" w:rsidRPr="00325963" w:rsidRDefault="00BB2B23" w:rsidP="00F5693B">
            <w:pPr>
              <w:pStyle w:val="Tablesmalltext"/>
              <w:jc w:val="center"/>
              <w:rPr>
                <w:color w:val="auto"/>
              </w:rPr>
            </w:pPr>
            <w:r w:rsidRPr="00325963">
              <w:rPr>
                <w:color w:val="auto"/>
              </w:rPr>
              <w:t>-342</w:t>
            </w:r>
          </w:p>
        </w:tc>
        <w:tc>
          <w:tcPr>
            <w:tcW w:w="928" w:type="dxa"/>
            <w:shd w:val="clear" w:color="auto" w:fill="auto"/>
            <w:tcMar>
              <w:top w:w="113" w:type="dxa"/>
              <w:left w:w="113" w:type="dxa"/>
              <w:bottom w:w="113" w:type="dxa"/>
              <w:right w:w="113" w:type="dxa"/>
            </w:tcMar>
          </w:tcPr>
          <w:p w14:paraId="564697E3" w14:textId="77777777" w:rsidR="00BB2B23" w:rsidRPr="00325963" w:rsidRDefault="00BB2B23" w:rsidP="00F5693B">
            <w:pPr>
              <w:pStyle w:val="Tablesmalltext"/>
              <w:jc w:val="center"/>
              <w:rPr>
                <w:color w:val="auto"/>
              </w:rPr>
            </w:pPr>
            <w:r w:rsidRPr="00325963">
              <w:rPr>
                <w:color w:val="auto"/>
              </w:rPr>
              <w:t>-292</w:t>
            </w:r>
          </w:p>
        </w:tc>
      </w:tr>
    </w:tbl>
    <w:p w14:paraId="564697E5" w14:textId="77777777" w:rsidR="00BB2B23" w:rsidRDefault="00BB2B23" w:rsidP="00BB2B23">
      <w:pPr>
        <w:pStyle w:val="Text"/>
        <w:rPr>
          <w:rStyle w:val="TextItalic"/>
        </w:rPr>
      </w:pPr>
    </w:p>
    <w:p w14:paraId="564697E6" w14:textId="77777777" w:rsidR="00BB2B23" w:rsidRPr="00AC69B2" w:rsidRDefault="00BB2B23" w:rsidP="00AC69B2">
      <w:pPr>
        <w:pStyle w:val="FootnoteText1"/>
        <w:rPr>
          <w:rStyle w:val="FootnoteReference1"/>
          <w:vertAlign w:val="baseline"/>
        </w:rPr>
      </w:pPr>
      <w:r w:rsidRPr="00AC69B2">
        <w:rPr>
          <w:rStyle w:val="FootnoteReference1"/>
          <w:vertAlign w:val="baseline"/>
        </w:rPr>
        <w:t>Source: Jacobs’ analysis</w:t>
      </w:r>
    </w:p>
    <w:p w14:paraId="564697E7" w14:textId="77777777" w:rsidR="00BB2B23" w:rsidRDefault="00BB2B23" w:rsidP="00BB2B23">
      <w:pPr>
        <w:pStyle w:val="Text"/>
      </w:pPr>
    </w:p>
    <w:p w14:paraId="564697E8" w14:textId="77777777" w:rsidR="00BB2B23" w:rsidRDefault="00BB2B23" w:rsidP="00BB2B23">
      <w:pPr>
        <w:pStyle w:val="Figuretitle"/>
      </w:pPr>
      <w:r>
        <w:t>Figure 9: Benefit cost ratio under a selection of discount rates</w:t>
      </w:r>
    </w:p>
    <w:p w14:paraId="564697E9" w14:textId="77777777" w:rsidR="00BB2B23" w:rsidRDefault="00BB2B23" w:rsidP="00BB2B23">
      <w:pPr>
        <w:pStyle w:val="Figuretitle"/>
      </w:pPr>
      <w:r>
        <w:rPr>
          <w:noProof/>
          <w:lang w:val="en-AU"/>
        </w:rPr>
        <w:drawing>
          <wp:inline distT="0" distB="0" distL="0" distR="0" wp14:anchorId="56469B4A" wp14:editId="2A356228">
            <wp:extent cx="4563745" cy="2751455"/>
            <wp:effectExtent l="0" t="0" r="8255" b="0"/>
            <wp:docPr id="12" name="Picture 12" descr="Figure 9: Benefit cost ratio under a selection of discoun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4563745" cy="2751455"/>
                    </a:xfrm>
                    <a:prstGeom prst="rect">
                      <a:avLst/>
                    </a:prstGeom>
                    <a:noFill/>
                    <a:ln w="9525">
                      <a:noFill/>
                      <a:miter lim="800000"/>
                      <a:headEnd/>
                      <a:tailEnd/>
                    </a:ln>
                  </pic:spPr>
                </pic:pic>
              </a:graphicData>
            </a:graphic>
          </wp:inline>
        </w:drawing>
      </w:r>
    </w:p>
    <w:p w14:paraId="564697EA" w14:textId="77777777" w:rsidR="00BB2B23" w:rsidRPr="00AC69B2" w:rsidRDefault="00BB2B23" w:rsidP="00AC69B2">
      <w:pPr>
        <w:pStyle w:val="FootnoteText1"/>
        <w:rPr>
          <w:rStyle w:val="FootnoteReference1"/>
          <w:vertAlign w:val="baseline"/>
        </w:rPr>
      </w:pPr>
      <w:r w:rsidRPr="00AC69B2">
        <w:rPr>
          <w:rStyle w:val="FootnoteReference1"/>
          <w:vertAlign w:val="baseline"/>
        </w:rPr>
        <w:t>Source: Jacobs’ analysis</w:t>
      </w:r>
    </w:p>
    <w:p w14:paraId="564697EB" w14:textId="77777777" w:rsidR="00BB2B23" w:rsidRDefault="00BB2B23" w:rsidP="00BB2B23">
      <w:pPr>
        <w:pStyle w:val="Subhead3"/>
      </w:pPr>
      <w:r>
        <w:t>Carbon price</w:t>
      </w:r>
    </w:p>
    <w:p w14:paraId="564697EC" w14:textId="77777777" w:rsidR="00BB2B23" w:rsidRDefault="00BB2B23" w:rsidP="00BB2B23">
      <w:pPr>
        <w:pStyle w:val="Text"/>
      </w:pPr>
      <w:r>
        <w:t>As noted above, the central analysis assumes that the carbon price starts at $13.95, and gradually rises annually to a maximum of $22 in 2030, Table 11 and Figure 10 display the net benefit and benefit cost ratios under starting carbon prices of $9.50, $13.95 and $30 respectively. In most cases the sign of the net benefit is not affected by the carbon price, leaving overall conclusions around the analysis unaffected. Though there is some potential for a negative net benefit with very low carbon price values under the accelerated alternative HFC phase-down and the maintenance option.</w:t>
      </w:r>
    </w:p>
    <w:p w14:paraId="564697ED" w14:textId="77777777" w:rsidR="00BB2B23" w:rsidRDefault="00BB2B23" w:rsidP="00BB2B23">
      <w:pPr>
        <w:pStyle w:val="Tabletitle"/>
      </w:pPr>
      <w:r>
        <w:t>Table 11: Net present value under a selection of starting carbon prices, $M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4"/>
        <w:gridCol w:w="928"/>
        <w:gridCol w:w="928"/>
        <w:gridCol w:w="928"/>
      </w:tblGrid>
      <w:tr w:rsidR="00BB2B23" w:rsidRPr="00325963" w14:paraId="564697F2" w14:textId="77777777" w:rsidTr="00325963">
        <w:trPr>
          <w:trHeight w:val="354"/>
        </w:trPr>
        <w:tc>
          <w:tcPr>
            <w:tcW w:w="5524" w:type="dxa"/>
            <w:shd w:val="clear" w:color="auto" w:fill="auto"/>
            <w:tcMar>
              <w:top w:w="113" w:type="dxa"/>
              <w:left w:w="113" w:type="dxa"/>
              <w:bottom w:w="113" w:type="dxa"/>
              <w:right w:w="113" w:type="dxa"/>
            </w:tcMar>
          </w:tcPr>
          <w:p w14:paraId="564697EE" w14:textId="77777777" w:rsidR="00BB2B23" w:rsidRPr="00325963" w:rsidRDefault="00BB2B23" w:rsidP="00F5693B">
            <w:pPr>
              <w:pStyle w:val="Tablesmallheading"/>
              <w:rPr>
                <w:color w:val="auto"/>
              </w:rPr>
            </w:pPr>
            <w:r w:rsidRPr="00325963">
              <w:rPr>
                <w:color w:val="auto"/>
              </w:rPr>
              <w:lastRenderedPageBreak/>
              <w:t>Carbon price</w:t>
            </w:r>
          </w:p>
        </w:tc>
        <w:tc>
          <w:tcPr>
            <w:tcW w:w="928" w:type="dxa"/>
            <w:vMerge w:val="restart"/>
            <w:shd w:val="clear" w:color="auto" w:fill="auto"/>
            <w:tcMar>
              <w:top w:w="113" w:type="dxa"/>
              <w:left w:w="113" w:type="dxa"/>
              <w:bottom w:w="113" w:type="dxa"/>
              <w:right w:w="113" w:type="dxa"/>
            </w:tcMar>
          </w:tcPr>
          <w:p w14:paraId="564697EF" w14:textId="77777777" w:rsidR="00BB2B23" w:rsidRPr="00325963" w:rsidRDefault="00BB2B23" w:rsidP="00F5693B">
            <w:pPr>
              <w:pStyle w:val="Tablesmallheading"/>
              <w:jc w:val="center"/>
              <w:rPr>
                <w:color w:val="auto"/>
              </w:rPr>
            </w:pPr>
            <w:r w:rsidRPr="00325963">
              <w:rPr>
                <w:color w:val="auto"/>
              </w:rPr>
              <w:t>$9.50</w:t>
            </w:r>
          </w:p>
        </w:tc>
        <w:tc>
          <w:tcPr>
            <w:tcW w:w="928" w:type="dxa"/>
            <w:vMerge w:val="restart"/>
            <w:shd w:val="clear" w:color="auto" w:fill="auto"/>
            <w:tcMar>
              <w:top w:w="113" w:type="dxa"/>
              <w:left w:w="113" w:type="dxa"/>
              <w:bottom w:w="113" w:type="dxa"/>
              <w:right w:w="113" w:type="dxa"/>
            </w:tcMar>
          </w:tcPr>
          <w:p w14:paraId="564697F0" w14:textId="77777777" w:rsidR="00BB2B23" w:rsidRPr="00325963" w:rsidRDefault="00BB2B23" w:rsidP="00F5693B">
            <w:pPr>
              <w:pStyle w:val="Tablesmallheading"/>
              <w:jc w:val="center"/>
              <w:rPr>
                <w:color w:val="auto"/>
              </w:rPr>
            </w:pPr>
            <w:r w:rsidRPr="00325963">
              <w:rPr>
                <w:color w:val="auto"/>
              </w:rPr>
              <w:t>$13.95</w:t>
            </w:r>
          </w:p>
        </w:tc>
        <w:tc>
          <w:tcPr>
            <w:tcW w:w="928" w:type="dxa"/>
            <w:vMerge w:val="restart"/>
            <w:shd w:val="clear" w:color="auto" w:fill="auto"/>
            <w:tcMar>
              <w:top w:w="113" w:type="dxa"/>
              <w:left w:w="113" w:type="dxa"/>
              <w:bottom w:w="113" w:type="dxa"/>
              <w:right w:w="113" w:type="dxa"/>
            </w:tcMar>
          </w:tcPr>
          <w:p w14:paraId="564697F1" w14:textId="77777777" w:rsidR="00BB2B23" w:rsidRPr="00325963" w:rsidRDefault="00BB2B23" w:rsidP="00F5693B">
            <w:pPr>
              <w:pStyle w:val="Tablesmallheading"/>
              <w:jc w:val="center"/>
              <w:rPr>
                <w:color w:val="auto"/>
              </w:rPr>
            </w:pPr>
            <w:r w:rsidRPr="00325963">
              <w:rPr>
                <w:color w:val="auto"/>
              </w:rPr>
              <w:t>$30</w:t>
            </w:r>
          </w:p>
        </w:tc>
      </w:tr>
      <w:tr w:rsidR="00BB2B23" w:rsidRPr="00325963" w14:paraId="564697F7" w14:textId="77777777" w:rsidTr="00325963">
        <w:trPr>
          <w:trHeight w:val="354"/>
        </w:trPr>
        <w:tc>
          <w:tcPr>
            <w:tcW w:w="5524" w:type="dxa"/>
            <w:shd w:val="clear" w:color="auto" w:fill="auto"/>
            <w:tcMar>
              <w:top w:w="113" w:type="dxa"/>
              <w:left w:w="113" w:type="dxa"/>
              <w:bottom w:w="113" w:type="dxa"/>
              <w:right w:w="113" w:type="dxa"/>
            </w:tcMar>
          </w:tcPr>
          <w:p w14:paraId="564697F3" w14:textId="77777777" w:rsidR="00BB2B23" w:rsidRPr="00325963" w:rsidRDefault="00BB2B23" w:rsidP="00F5693B">
            <w:pPr>
              <w:pStyle w:val="Tablesmalltext"/>
              <w:rPr>
                <w:color w:val="auto"/>
              </w:rPr>
            </w:pPr>
            <w:r w:rsidRPr="00325963">
              <w:rPr>
                <w:rStyle w:val="TextBold"/>
                <w:color w:val="auto"/>
              </w:rPr>
              <w:t>Scenario</w:t>
            </w:r>
          </w:p>
        </w:tc>
        <w:tc>
          <w:tcPr>
            <w:tcW w:w="928" w:type="dxa"/>
            <w:vMerge/>
            <w:shd w:val="clear" w:color="auto" w:fill="auto"/>
          </w:tcPr>
          <w:p w14:paraId="564697F4" w14:textId="77777777" w:rsidR="00BB2B23" w:rsidRPr="00325963" w:rsidRDefault="00BB2B23" w:rsidP="00F5693B">
            <w:pPr>
              <w:pStyle w:val="NoParagraphStyle"/>
              <w:spacing w:line="240" w:lineRule="auto"/>
              <w:textAlignment w:val="auto"/>
              <w:rPr>
                <w:rFonts w:ascii="Myriad Pro" w:hAnsi="Myriad Pro" w:cstheme="minorBidi"/>
                <w:color w:val="auto"/>
                <w:lang w:val="en-AU"/>
              </w:rPr>
            </w:pPr>
          </w:p>
        </w:tc>
        <w:tc>
          <w:tcPr>
            <w:tcW w:w="928" w:type="dxa"/>
            <w:vMerge/>
            <w:shd w:val="clear" w:color="auto" w:fill="auto"/>
          </w:tcPr>
          <w:p w14:paraId="564697F5" w14:textId="77777777" w:rsidR="00BB2B23" w:rsidRPr="00325963" w:rsidRDefault="00BB2B23" w:rsidP="00F5693B">
            <w:pPr>
              <w:pStyle w:val="NoParagraphStyle"/>
              <w:spacing w:line="240" w:lineRule="auto"/>
              <w:textAlignment w:val="auto"/>
              <w:rPr>
                <w:rFonts w:ascii="Myriad Pro" w:hAnsi="Myriad Pro" w:cstheme="minorBidi"/>
                <w:color w:val="auto"/>
                <w:lang w:val="en-AU"/>
              </w:rPr>
            </w:pPr>
          </w:p>
        </w:tc>
        <w:tc>
          <w:tcPr>
            <w:tcW w:w="928" w:type="dxa"/>
            <w:vMerge/>
            <w:shd w:val="clear" w:color="auto" w:fill="auto"/>
          </w:tcPr>
          <w:p w14:paraId="564697F6" w14:textId="77777777" w:rsidR="00BB2B23" w:rsidRPr="00325963" w:rsidRDefault="00BB2B23" w:rsidP="00F5693B">
            <w:pPr>
              <w:pStyle w:val="NoParagraphStyle"/>
              <w:spacing w:line="240" w:lineRule="auto"/>
              <w:textAlignment w:val="auto"/>
              <w:rPr>
                <w:rFonts w:ascii="Myriad Pro" w:hAnsi="Myriad Pro" w:cstheme="minorBidi"/>
                <w:color w:val="auto"/>
                <w:lang w:val="en-AU"/>
              </w:rPr>
            </w:pPr>
          </w:p>
        </w:tc>
      </w:tr>
      <w:tr w:rsidR="00BB2B23" w:rsidRPr="00325963" w14:paraId="564697FC" w14:textId="77777777" w:rsidTr="00325963">
        <w:trPr>
          <w:trHeight w:val="354"/>
        </w:trPr>
        <w:tc>
          <w:tcPr>
            <w:tcW w:w="5524" w:type="dxa"/>
            <w:shd w:val="clear" w:color="auto" w:fill="auto"/>
            <w:tcMar>
              <w:top w:w="113" w:type="dxa"/>
              <w:left w:w="113" w:type="dxa"/>
              <w:bottom w:w="113" w:type="dxa"/>
              <w:right w:w="113" w:type="dxa"/>
            </w:tcMar>
          </w:tcPr>
          <w:p w14:paraId="564697F8" w14:textId="77777777" w:rsidR="00BB2B23" w:rsidRPr="00325963" w:rsidRDefault="00BB2B23" w:rsidP="00F5693B">
            <w:pPr>
              <w:pStyle w:val="Tablesmalltext"/>
              <w:rPr>
                <w:color w:val="auto"/>
              </w:rPr>
            </w:pPr>
            <w:r w:rsidRPr="00325963">
              <w:rPr>
                <w:color w:val="auto"/>
              </w:rPr>
              <w:t>HFC Phase-down North American amendment</w:t>
            </w:r>
          </w:p>
        </w:tc>
        <w:tc>
          <w:tcPr>
            <w:tcW w:w="928" w:type="dxa"/>
            <w:shd w:val="clear" w:color="auto" w:fill="auto"/>
            <w:tcMar>
              <w:top w:w="113" w:type="dxa"/>
              <w:left w:w="113" w:type="dxa"/>
              <w:bottom w:w="113" w:type="dxa"/>
              <w:right w:w="113" w:type="dxa"/>
            </w:tcMar>
          </w:tcPr>
          <w:p w14:paraId="564697F9" w14:textId="77777777" w:rsidR="00BB2B23" w:rsidRPr="00325963" w:rsidRDefault="00BB2B23" w:rsidP="00F5693B">
            <w:pPr>
              <w:pStyle w:val="Tablesmalltext"/>
              <w:jc w:val="center"/>
              <w:rPr>
                <w:color w:val="auto"/>
              </w:rPr>
            </w:pPr>
            <w:r w:rsidRPr="00325963">
              <w:rPr>
                <w:color w:val="auto"/>
              </w:rPr>
              <w:t>27</w:t>
            </w:r>
          </w:p>
        </w:tc>
        <w:tc>
          <w:tcPr>
            <w:tcW w:w="928" w:type="dxa"/>
            <w:shd w:val="clear" w:color="auto" w:fill="auto"/>
            <w:tcMar>
              <w:top w:w="113" w:type="dxa"/>
              <w:left w:w="113" w:type="dxa"/>
              <w:bottom w:w="113" w:type="dxa"/>
              <w:right w:w="113" w:type="dxa"/>
            </w:tcMar>
          </w:tcPr>
          <w:p w14:paraId="564697FA" w14:textId="77777777" w:rsidR="00BB2B23" w:rsidRPr="00325963" w:rsidRDefault="00BB2B23" w:rsidP="00F5693B">
            <w:pPr>
              <w:pStyle w:val="Tablesmalltext"/>
              <w:jc w:val="center"/>
              <w:rPr>
                <w:color w:val="auto"/>
              </w:rPr>
            </w:pPr>
            <w:r w:rsidRPr="00325963">
              <w:rPr>
                <w:color w:val="auto"/>
              </w:rPr>
              <w:t>40</w:t>
            </w:r>
          </w:p>
        </w:tc>
        <w:tc>
          <w:tcPr>
            <w:tcW w:w="928" w:type="dxa"/>
            <w:shd w:val="clear" w:color="auto" w:fill="auto"/>
            <w:tcMar>
              <w:top w:w="113" w:type="dxa"/>
              <w:left w:w="113" w:type="dxa"/>
              <w:bottom w:w="113" w:type="dxa"/>
              <w:right w:w="113" w:type="dxa"/>
            </w:tcMar>
          </w:tcPr>
          <w:p w14:paraId="564697FB" w14:textId="77777777" w:rsidR="00BB2B23" w:rsidRPr="00325963" w:rsidRDefault="00BB2B23" w:rsidP="00F5693B">
            <w:pPr>
              <w:pStyle w:val="Tablesmalltext"/>
              <w:jc w:val="center"/>
              <w:rPr>
                <w:color w:val="auto"/>
              </w:rPr>
            </w:pPr>
            <w:r w:rsidRPr="00325963">
              <w:rPr>
                <w:color w:val="auto"/>
              </w:rPr>
              <w:t>86</w:t>
            </w:r>
          </w:p>
        </w:tc>
      </w:tr>
      <w:tr w:rsidR="00BB2B23" w:rsidRPr="00325963" w14:paraId="56469801" w14:textId="77777777" w:rsidTr="00325963">
        <w:trPr>
          <w:trHeight w:val="210"/>
        </w:trPr>
        <w:tc>
          <w:tcPr>
            <w:tcW w:w="5524" w:type="dxa"/>
            <w:shd w:val="clear" w:color="auto" w:fill="auto"/>
            <w:tcMar>
              <w:top w:w="113" w:type="dxa"/>
              <w:left w:w="113" w:type="dxa"/>
              <w:bottom w:w="113" w:type="dxa"/>
              <w:right w:w="113" w:type="dxa"/>
            </w:tcMar>
          </w:tcPr>
          <w:p w14:paraId="564697FD" w14:textId="77777777" w:rsidR="00BB2B23" w:rsidRPr="00325963" w:rsidRDefault="00BB2B23" w:rsidP="00F5693B">
            <w:pPr>
              <w:pStyle w:val="Tablesmalltext"/>
              <w:rPr>
                <w:color w:val="auto"/>
              </w:rPr>
            </w:pPr>
            <w:r w:rsidRPr="00325963">
              <w:rPr>
                <w:color w:val="auto"/>
              </w:rPr>
              <w:t>HFC Phase-down Accelerated Alternative</w:t>
            </w:r>
          </w:p>
        </w:tc>
        <w:tc>
          <w:tcPr>
            <w:tcW w:w="928" w:type="dxa"/>
            <w:shd w:val="clear" w:color="auto" w:fill="auto"/>
            <w:tcMar>
              <w:top w:w="113" w:type="dxa"/>
              <w:left w:w="113" w:type="dxa"/>
              <w:bottom w:w="113" w:type="dxa"/>
              <w:right w:w="113" w:type="dxa"/>
            </w:tcMar>
          </w:tcPr>
          <w:p w14:paraId="564697FE" w14:textId="77777777" w:rsidR="00BB2B23" w:rsidRPr="00325963" w:rsidRDefault="00BB2B23" w:rsidP="00F5693B">
            <w:pPr>
              <w:pStyle w:val="Tablesmalltext"/>
              <w:jc w:val="center"/>
              <w:rPr>
                <w:color w:val="auto"/>
              </w:rPr>
            </w:pPr>
            <w:r w:rsidRPr="00325963">
              <w:rPr>
                <w:color w:val="auto"/>
              </w:rPr>
              <w:t>-11</w:t>
            </w:r>
          </w:p>
        </w:tc>
        <w:tc>
          <w:tcPr>
            <w:tcW w:w="928" w:type="dxa"/>
            <w:shd w:val="clear" w:color="auto" w:fill="auto"/>
            <w:tcMar>
              <w:top w:w="113" w:type="dxa"/>
              <w:left w:w="113" w:type="dxa"/>
              <w:bottom w:w="113" w:type="dxa"/>
              <w:right w:w="113" w:type="dxa"/>
            </w:tcMar>
          </w:tcPr>
          <w:p w14:paraId="564697FF" w14:textId="77777777" w:rsidR="00BB2B23" w:rsidRPr="00325963" w:rsidRDefault="00BB2B23" w:rsidP="00F5693B">
            <w:pPr>
              <w:pStyle w:val="Tablesmalltext"/>
              <w:jc w:val="center"/>
              <w:rPr>
                <w:color w:val="auto"/>
              </w:rPr>
            </w:pPr>
            <w:r w:rsidRPr="00325963">
              <w:rPr>
                <w:color w:val="auto"/>
              </w:rPr>
              <w:t>10</w:t>
            </w:r>
          </w:p>
        </w:tc>
        <w:tc>
          <w:tcPr>
            <w:tcW w:w="928" w:type="dxa"/>
            <w:shd w:val="clear" w:color="auto" w:fill="auto"/>
            <w:tcMar>
              <w:top w:w="113" w:type="dxa"/>
              <w:left w:w="113" w:type="dxa"/>
              <w:bottom w:w="113" w:type="dxa"/>
              <w:right w:w="113" w:type="dxa"/>
            </w:tcMar>
          </w:tcPr>
          <w:p w14:paraId="56469800" w14:textId="77777777" w:rsidR="00BB2B23" w:rsidRPr="00325963" w:rsidRDefault="00BB2B23" w:rsidP="00F5693B">
            <w:pPr>
              <w:pStyle w:val="Tablesmalltext"/>
              <w:jc w:val="center"/>
              <w:rPr>
                <w:color w:val="auto"/>
              </w:rPr>
            </w:pPr>
            <w:r w:rsidRPr="00325963">
              <w:rPr>
                <w:color w:val="auto"/>
              </w:rPr>
              <w:t>87</w:t>
            </w:r>
          </w:p>
        </w:tc>
      </w:tr>
      <w:tr w:rsidR="00BB2B23" w:rsidRPr="00325963" w14:paraId="56469806" w14:textId="77777777" w:rsidTr="00325963">
        <w:trPr>
          <w:trHeight w:val="210"/>
        </w:trPr>
        <w:tc>
          <w:tcPr>
            <w:tcW w:w="5524" w:type="dxa"/>
            <w:shd w:val="clear" w:color="auto" w:fill="auto"/>
            <w:tcMar>
              <w:top w:w="113" w:type="dxa"/>
              <w:left w:w="113" w:type="dxa"/>
              <w:bottom w:w="113" w:type="dxa"/>
              <w:right w:w="113" w:type="dxa"/>
            </w:tcMar>
          </w:tcPr>
          <w:p w14:paraId="56469802" w14:textId="77777777" w:rsidR="00BB2B23" w:rsidRPr="00325963" w:rsidRDefault="00BB2B23" w:rsidP="00F5693B">
            <w:pPr>
              <w:pStyle w:val="Tablesmalltext"/>
              <w:rPr>
                <w:color w:val="auto"/>
              </w:rPr>
            </w:pPr>
            <w:r w:rsidRPr="00325963">
              <w:rPr>
                <w:color w:val="auto"/>
              </w:rPr>
              <w:t>High GWP Equipment Bans—supermarket equipment</w:t>
            </w:r>
          </w:p>
        </w:tc>
        <w:tc>
          <w:tcPr>
            <w:tcW w:w="928" w:type="dxa"/>
            <w:shd w:val="clear" w:color="auto" w:fill="auto"/>
            <w:tcMar>
              <w:top w:w="113" w:type="dxa"/>
              <w:left w:w="113" w:type="dxa"/>
              <w:bottom w:w="113" w:type="dxa"/>
              <w:right w:w="113" w:type="dxa"/>
            </w:tcMar>
          </w:tcPr>
          <w:p w14:paraId="56469803" w14:textId="77777777" w:rsidR="00BB2B23" w:rsidRPr="00325963" w:rsidRDefault="00BB2B23" w:rsidP="00F5693B">
            <w:pPr>
              <w:pStyle w:val="Tablesmalltext"/>
              <w:jc w:val="center"/>
              <w:rPr>
                <w:color w:val="auto"/>
              </w:rPr>
            </w:pPr>
            <w:r w:rsidRPr="00325963">
              <w:rPr>
                <w:color w:val="auto"/>
              </w:rPr>
              <w:t>3</w:t>
            </w:r>
          </w:p>
        </w:tc>
        <w:tc>
          <w:tcPr>
            <w:tcW w:w="928" w:type="dxa"/>
            <w:shd w:val="clear" w:color="auto" w:fill="auto"/>
            <w:tcMar>
              <w:top w:w="113" w:type="dxa"/>
              <w:left w:w="113" w:type="dxa"/>
              <w:bottom w:w="113" w:type="dxa"/>
              <w:right w:w="113" w:type="dxa"/>
            </w:tcMar>
          </w:tcPr>
          <w:p w14:paraId="56469804" w14:textId="77777777" w:rsidR="00BB2B23" w:rsidRPr="00325963" w:rsidRDefault="00BB2B23" w:rsidP="00F5693B">
            <w:pPr>
              <w:pStyle w:val="Tablesmalltext"/>
              <w:jc w:val="center"/>
              <w:rPr>
                <w:color w:val="auto"/>
              </w:rPr>
            </w:pPr>
            <w:r w:rsidRPr="00325963">
              <w:rPr>
                <w:color w:val="auto"/>
              </w:rPr>
              <w:t>4</w:t>
            </w:r>
          </w:p>
        </w:tc>
        <w:tc>
          <w:tcPr>
            <w:tcW w:w="928" w:type="dxa"/>
            <w:shd w:val="clear" w:color="auto" w:fill="auto"/>
            <w:tcMar>
              <w:top w:w="113" w:type="dxa"/>
              <w:left w:w="113" w:type="dxa"/>
              <w:bottom w:w="113" w:type="dxa"/>
              <w:right w:w="113" w:type="dxa"/>
            </w:tcMar>
          </w:tcPr>
          <w:p w14:paraId="56469805" w14:textId="77777777" w:rsidR="00BB2B23" w:rsidRPr="00325963" w:rsidRDefault="00BB2B23" w:rsidP="00F5693B">
            <w:pPr>
              <w:pStyle w:val="Tablesmalltext"/>
              <w:jc w:val="center"/>
              <w:rPr>
                <w:color w:val="auto"/>
              </w:rPr>
            </w:pPr>
            <w:r w:rsidRPr="00325963">
              <w:rPr>
                <w:color w:val="auto"/>
              </w:rPr>
              <w:t>6</w:t>
            </w:r>
          </w:p>
        </w:tc>
      </w:tr>
      <w:tr w:rsidR="00BB2B23" w:rsidRPr="00325963" w14:paraId="5646980B" w14:textId="77777777" w:rsidTr="00325963">
        <w:trPr>
          <w:trHeight w:val="256"/>
        </w:trPr>
        <w:tc>
          <w:tcPr>
            <w:tcW w:w="5524" w:type="dxa"/>
            <w:shd w:val="clear" w:color="auto" w:fill="auto"/>
            <w:tcMar>
              <w:top w:w="113" w:type="dxa"/>
              <w:left w:w="113" w:type="dxa"/>
              <w:bottom w:w="113" w:type="dxa"/>
              <w:right w:w="113" w:type="dxa"/>
            </w:tcMar>
          </w:tcPr>
          <w:p w14:paraId="56469807" w14:textId="77777777" w:rsidR="00BB2B23" w:rsidRPr="00325963" w:rsidRDefault="00BB2B23" w:rsidP="00F5693B">
            <w:pPr>
              <w:pStyle w:val="Tablesmalltext"/>
              <w:rPr>
                <w:color w:val="auto"/>
              </w:rPr>
            </w:pPr>
            <w:r w:rsidRPr="00325963">
              <w:rPr>
                <w:color w:val="auto"/>
              </w:rPr>
              <w:t>High GWP Equipment Bans—mobile air conditioning</w:t>
            </w:r>
          </w:p>
        </w:tc>
        <w:tc>
          <w:tcPr>
            <w:tcW w:w="928" w:type="dxa"/>
            <w:shd w:val="clear" w:color="auto" w:fill="auto"/>
            <w:tcMar>
              <w:top w:w="113" w:type="dxa"/>
              <w:left w:w="113" w:type="dxa"/>
              <w:bottom w:w="113" w:type="dxa"/>
              <w:right w:w="113" w:type="dxa"/>
            </w:tcMar>
          </w:tcPr>
          <w:p w14:paraId="56469808" w14:textId="77777777" w:rsidR="00BB2B23" w:rsidRPr="00325963" w:rsidRDefault="00BB2B23" w:rsidP="00F5693B">
            <w:pPr>
              <w:pStyle w:val="Tablesmalltext"/>
              <w:jc w:val="center"/>
              <w:rPr>
                <w:color w:val="auto"/>
              </w:rPr>
            </w:pPr>
            <w:r w:rsidRPr="00325963">
              <w:rPr>
                <w:color w:val="auto"/>
              </w:rPr>
              <w:t>-195</w:t>
            </w:r>
          </w:p>
        </w:tc>
        <w:tc>
          <w:tcPr>
            <w:tcW w:w="928" w:type="dxa"/>
            <w:shd w:val="clear" w:color="auto" w:fill="auto"/>
            <w:tcMar>
              <w:top w:w="113" w:type="dxa"/>
              <w:left w:w="113" w:type="dxa"/>
              <w:bottom w:w="113" w:type="dxa"/>
              <w:right w:w="113" w:type="dxa"/>
            </w:tcMar>
          </w:tcPr>
          <w:p w14:paraId="56469809" w14:textId="77777777" w:rsidR="00BB2B23" w:rsidRPr="00325963" w:rsidRDefault="00BB2B23" w:rsidP="00F5693B">
            <w:pPr>
              <w:pStyle w:val="Tablesmalltext"/>
              <w:jc w:val="center"/>
              <w:rPr>
                <w:color w:val="auto"/>
              </w:rPr>
            </w:pPr>
            <w:r w:rsidRPr="00325963">
              <w:rPr>
                <w:color w:val="auto"/>
              </w:rPr>
              <w:t>-182</w:t>
            </w:r>
          </w:p>
        </w:tc>
        <w:tc>
          <w:tcPr>
            <w:tcW w:w="928" w:type="dxa"/>
            <w:shd w:val="clear" w:color="auto" w:fill="auto"/>
            <w:tcMar>
              <w:top w:w="113" w:type="dxa"/>
              <w:left w:w="113" w:type="dxa"/>
              <w:bottom w:w="113" w:type="dxa"/>
              <w:right w:w="113" w:type="dxa"/>
            </w:tcMar>
          </w:tcPr>
          <w:p w14:paraId="5646980A" w14:textId="77777777" w:rsidR="00BB2B23" w:rsidRPr="00325963" w:rsidRDefault="00BB2B23" w:rsidP="00F5693B">
            <w:pPr>
              <w:pStyle w:val="Tablesmalltext"/>
              <w:jc w:val="center"/>
              <w:rPr>
                <w:color w:val="auto"/>
              </w:rPr>
            </w:pPr>
            <w:r w:rsidRPr="00325963">
              <w:rPr>
                <w:color w:val="auto"/>
              </w:rPr>
              <w:t>-135</w:t>
            </w:r>
          </w:p>
        </w:tc>
      </w:tr>
      <w:tr w:rsidR="00BB2B23" w:rsidRPr="00325963" w14:paraId="56469810" w14:textId="77777777" w:rsidTr="00325963">
        <w:trPr>
          <w:trHeight w:val="210"/>
        </w:trPr>
        <w:tc>
          <w:tcPr>
            <w:tcW w:w="5524" w:type="dxa"/>
            <w:shd w:val="clear" w:color="auto" w:fill="auto"/>
            <w:tcMar>
              <w:top w:w="113" w:type="dxa"/>
              <w:left w:w="113" w:type="dxa"/>
              <w:bottom w:w="113" w:type="dxa"/>
              <w:right w:w="113" w:type="dxa"/>
            </w:tcMar>
          </w:tcPr>
          <w:p w14:paraId="5646980C" w14:textId="77777777" w:rsidR="00BB2B23" w:rsidRPr="00325963" w:rsidRDefault="00BB2B23" w:rsidP="00F5693B">
            <w:pPr>
              <w:pStyle w:val="Tablesmalltext"/>
              <w:rPr>
                <w:color w:val="auto"/>
              </w:rPr>
            </w:pPr>
            <w:r w:rsidRPr="00325963">
              <w:rPr>
                <w:color w:val="auto"/>
              </w:rPr>
              <w:t>Maintenance</w:t>
            </w:r>
          </w:p>
        </w:tc>
        <w:tc>
          <w:tcPr>
            <w:tcW w:w="928" w:type="dxa"/>
            <w:shd w:val="clear" w:color="auto" w:fill="auto"/>
            <w:tcMar>
              <w:top w:w="113" w:type="dxa"/>
              <w:left w:w="113" w:type="dxa"/>
              <w:bottom w:w="113" w:type="dxa"/>
              <w:right w:w="113" w:type="dxa"/>
            </w:tcMar>
          </w:tcPr>
          <w:p w14:paraId="5646980D" w14:textId="77777777" w:rsidR="00BB2B23" w:rsidRPr="00325963" w:rsidRDefault="00BB2B23" w:rsidP="00F5693B">
            <w:pPr>
              <w:pStyle w:val="Tablesmalltext"/>
              <w:jc w:val="center"/>
              <w:rPr>
                <w:color w:val="auto"/>
              </w:rPr>
            </w:pPr>
            <w:r w:rsidRPr="00325963">
              <w:rPr>
                <w:color w:val="auto"/>
              </w:rPr>
              <w:t>-45</w:t>
            </w:r>
          </w:p>
        </w:tc>
        <w:tc>
          <w:tcPr>
            <w:tcW w:w="928" w:type="dxa"/>
            <w:shd w:val="clear" w:color="auto" w:fill="auto"/>
            <w:tcMar>
              <w:top w:w="113" w:type="dxa"/>
              <w:left w:w="113" w:type="dxa"/>
              <w:bottom w:w="113" w:type="dxa"/>
              <w:right w:w="113" w:type="dxa"/>
            </w:tcMar>
          </w:tcPr>
          <w:p w14:paraId="5646980E" w14:textId="77777777" w:rsidR="00BB2B23" w:rsidRPr="00325963" w:rsidRDefault="00BB2B23" w:rsidP="00F5693B">
            <w:pPr>
              <w:pStyle w:val="Tablesmalltext"/>
              <w:jc w:val="center"/>
              <w:rPr>
                <w:color w:val="auto"/>
              </w:rPr>
            </w:pPr>
            <w:r w:rsidRPr="00325963">
              <w:rPr>
                <w:color w:val="auto"/>
              </w:rPr>
              <w:t>106</w:t>
            </w:r>
          </w:p>
        </w:tc>
        <w:tc>
          <w:tcPr>
            <w:tcW w:w="928" w:type="dxa"/>
            <w:shd w:val="clear" w:color="auto" w:fill="auto"/>
            <w:tcMar>
              <w:top w:w="113" w:type="dxa"/>
              <w:left w:w="113" w:type="dxa"/>
              <w:bottom w:w="113" w:type="dxa"/>
              <w:right w:w="113" w:type="dxa"/>
            </w:tcMar>
          </w:tcPr>
          <w:p w14:paraId="5646980F" w14:textId="77777777" w:rsidR="00BB2B23" w:rsidRPr="00325963" w:rsidRDefault="00BB2B23" w:rsidP="00F5693B">
            <w:pPr>
              <w:pStyle w:val="Tablesmalltext"/>
              <w:jc w:val="center"/>
              <w:rPr>
                <w:color w:val="auto"/>
              </w:rPr>
            </w:pPr>
            <w:r w:rsidRPr="00325963">
              <w:rPr>
                <w:color w:val="auto"/>
              </w:rPr>
              <w:t>648</w:t>
            </w:r>
          </w:p>
        </w:tc>
      </w:tr>
      <w:tr w:rsidR="00BB2B23" w:rsidRPr="00325963" w14:paraId="56469815" w14:textId="77777777" w:rsidTr="00325963">
        <w:trPr>
          <w:trHeight w:val="210"/>
        </w:trPr>
        <w:tc>
          <w:tcPr>
            <w:tcW w:w="5524" w:type="dxa"/>
            <w:shd w:val="clear" w:color="auto" w:fill="auto"/>
            <w:tcMar>
              <w:top w:w="113" w:type="dxa"/>
              <w:left w:w="113" w:type="dxa"/>
              <w:bottom w:w="113" w:type="dxa"/>
              <w:right w:w="113" w:type="dxa"/>
            </w:tcMar>
          </w:tcPr>
          <w:p w14:paraId="56469811" w14:textId="77777777" w:rsidR="00BB2B23" w:rsidRPr="00325963" w:rsidRDefault="00BB2B23" w:rsidP="00F5693B">
            <w:pPr>
              <w:pStyle w:val="Tablesmalltext"/>
              <w:rPr>
                <w:color w:val="auto"/>
              </w:rPr>
            </w:pPr>
            <w:r w:rsidRPr="00325963">
              <w:rPr>
                <w:color w:val="auto"/>
              </w:rPr>
              <w:t>Leak testing</w:t>
            </w:r>
          </w:p>
        </w:tc>
        <w:tc>
          <w:tcPr>
            <w:tcW w:w="928" w:type="dxa"/>
            <w:shd w:val="clear" w:color="auto" w:fill="auto"/>
            <w:tcMar>
              <w:top w:w="113" w:type="dxa"/>
              <w:left w:w="113" w:type="dxa"/>
              <w:bottom w:w="113" w:type="dxa"/>
              <w:right w:w="113" w:type="dxa"/>
            </w:tcMar>
          </w:tcPr>
          <w:p w14:paraId="56469812" w14:textId="77777777" w:rsidR="00BB2B23" w:rsidRPr="00325963" w:rsidRDefault="00BB2B23" w:rsidP="00F5693B">
            <w:pPr>
              <w:pStyle w:val="Tablesmalltext"/>
              <w:jc w:val="center"/>
              <w:rPr>
                <w:color w:val="auto"/>
              </w:rPr>
            </w:pPr>
            <w:r w:rsidRPr="00325963">
              <w:rPr>
                <w:color w:val="auto"/>
              </w:rPr>
              <w:t>-383</w:t>
            </w:r>
          </w:p>
        </w:tc>
        <w:tc>
          <w:tcPr>
            <w:tcW w:w="928" w:type="dxa"/>
            <w:shd w:val="clear" w:color="auto" w:fill="auto"/>
            <w:tcMar>
              <w:top w:w="113" w:type="dxa"/>
              <w:left w:w="113" w:type="dxa"/>
              <w:bottom w:w="113" w:type="dxa"/>
              <w:right w:w="113" w:type="dxa"/>
            </w:tcMar>
          </w:tcPr>
          <w:p w14:paraId="56469813" w14:textId="77777777" w:rsidR="00BB2B23" w:rsidRPr="00325963" w:rsidRDefault="00BB2B23" w:rsidP="00F5693B">
            <w:pPr>
              <w:pStyle w:val="Tablesmalltext"/>
              <w:jc w:val="center"/>
              <w:rPr>
                <w:color w:val="auto"/>
              </w:rPr>
            </w:pPr>
            <w:r w:rsidRPr="00325963">
              <w:rPr>
                <w:color w:val="auto"/>
              </w:rPr>
              <w:t>-342</w:t>
            </w:r>
          </w:p>
        </w:tc>
        <w:tc>
          <w:tcPr>
            <w:tcW w:w="928" w:type="dxa"/>
            <w:shd w:val="clear" w:color="auto" w:fill="auto"/>
            <w:tcMar>
              <w:top w:w="113" w:type="dxa"/>
              <w:left w:w="113" w:type="dxa"/>
              <w:bottom w:w="113" w:type="dxa"/>
              <w:right w:w="113" w:type="dxa"/>
            </w:tcMar>
          </w:tcPr>
          <w:p w14:paraId="56469814" w14:textId="77777777" w:rsidR="00BB2B23" w:rsidRPr="00325963" w:rsidRDefault="00BB2B23" w:rsidP="00F5693B">
            <w:pPr>
              <w:pStyle w:val="Tablesmalltext"/>
              <w:jc w:val="center"/>
              <w:rPr>
                <w:color w:val="auto"/>
              </w:rPr>
            </w:pPr>
            <w:r w:rsidRPr="00325963">
              <w:rPr>
                <w:color w:val="auto"/>
              </w:rPr>
              <w:t>-192</w:t>
            </w:r>
          </w:p>
        </w:tc>
      </w:tr>
    </w:tbl>
    <w:p w14:paraId="56469816" w14:textId="77777777" w:rsidR="00BB2B23" w:rsidRDefault="00BB2B23" w:rsidP="00BB2B23">
      <w:pPr>
        <w:pStyle w:val="Text"/>
        <w:rPr>
          <w:rStyle w:val="TextItalic"/>
        </w:rPr>
      </w:pPr>
    </w:p>
    <w:p w14:paraId="56469817" w14:textId="77777777" w:rsidR="00BB2B23" w:rsidRPr="00AC69B2" w:rsidRDefault="00BB2B23" w:rsidP="00AC69B2">
      <w:pPr>
        <w:pStyle w:val="FootnoteText1"/>
        <w:rPr>
          <w:rStyle w:val="FootnoteReference1"/>
          <w:vertAlign w:val="baseline"/>
        </w:rPr>
      </w:pPr>
      <w:r w:rsidRPr="00AC69B2">
        <w:rPr>
          <w:rStyle w:val="FootnoteReference1"/>
          <w:vertAlign w:val="baseline"/>
        </w:rPr>
        <w:t>Source: Jacobs’ analysis</w:t>
      </w:r>
    </w:p>
    <w:p w14:paraId="56469818" w14:textId="77777777" w:rsidR="00BB2B23" w:rsidRDefault="00BB2B23" w:rsidP="00BB2B23">
      <w:pPr>
        <w:pStyle w:val="Text"/>
      </w:pPr>
    </w:p>
    <w:p w14:paraId="56469819" w14:textId="77777777" w:rsidR="00BB2B23" w:rsidRDefault="00BB2B23" w:rsidP="00BB2B23">
      <w:pPr>
        <w:pStyle w:val="Figuretitle"/>
      </w:pPr>
      <w:r>
        <w:t>Figure 10: Benefit cost ratio under a selection of carbon prices</w:t>
      </w:r>
    </w:p>
    <w:p w14:paraId="5646981A" w14:textId="77777777" w:rsidR="00BB2B23" w:rsidRDefault="00BB2B23" w:rsidP="00BB2B23">
      <w:pPr>
        <w:pStyle w:val="Figuretitle"/>
      </w:pPr>
      <w:r>
        <w:rPr>
          <w:noProof/>
          <w:lang w:val="en-AU"/>
        </w:rPr>
        <w:drawing>
          <wp:inline distT="0" distB="0" distL="0" distR="0" wp14:anchorId="56469B4C" wp14:editId="77CAA8BC">
            <wp:extent cx="4182110" cy="3093085"/>
            <wp:effectExtent l="0" t="0" r="8890" b="0"/>
            <wp:docPr id="13" name="Picture 13" descr="Figure 10: Benefit cost ratio under a selection of carbon pr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4182110" cy="3093085"/>
                    </a:xfrm>
                    <a:prstGeom prst="rect">
                      <a:avLst/>
                    </a:prstGeom>
                    <a:noFill/>
                    <a:ln w="9525">
                      <a:noFill/>
                      <a:miter lim="800000"/>
                      <a:headEnd/>
                      <a:tailEnd/>
                    </a:ln>
                  </pic:spPr>
                </pic:pic>
              </a:graphicData>
            </a:graphic>
          </wp:inline>
        </w:drawing>
      </w:r>
    </w:p>
    <w:p w14:paraId="5646981B" w14:textId="77777777" w:rsidR="00BB2B23" w:rsidRPr="00AC69B2" w:rsidRDefault="00BB2B23" w:rsidP="00AC69B2">
      <w:pPr>
        <w:pStyle w:val="FootnoteText1"/>
        <w:rPr>
          <w:rStyle w:val="FootnoteReference1"/>
          <w:vertAlign w:val="baseline"/>
        </w:rPr>
      </w:pPr>
      <w:r w:rsidRPr="00AC69B2">
        <w:rPr>
          <w:rStyle w:val="FootnoteReference1"/>
          <w:vertAlign w:val="baseline"/>
        </w:rPr>
        <w:t>Source: Jacobs’ analysis</w:t>
      </w:r>
    </w:p>
    <w:p w14:paraId="5646981C" w14:textId="77777777" w:rsidR="00BB2B23" w:rsidRDefault="00BB2B23" w:rsidP="00BB2B23">
      <w:pPr>
        <w:pStyle w:val="Text"/>
      </w:pPr>
    </w:p>
    <w:p w14:paraId="5646981D" w14:textId="77777777" w:rsidR="00BB2B23" w:rsidRDefault="00BB2B23" w:rsidP="00BB2B23">
      <w:pPr>
        <w:pStyle w:val="Subhead3"/>
      </w:pPr>
      <w:r>
        <w:t>Maintenance costs</w:t>
      </w:r>
    </w:p>
    <w:p w14:paraId="5646981E" w14:textId="77777777" w:rsidR="00BB2B23" w:rsidRDefault="00BB2B23" w:rsidP="00BB2B23">
      <w:pPr>
        <w:pStyle w:val="Text"/>
      </w:pPr>
      <w:r>
        <w:t>Table 12 displays the net benefit and benefit cost ratios with and without adjustments for increased maintenance cost when end of life equipment is replaced with a low GWP alternative, for those scenarios where this is relevant. The results show that, while maintenance costs are material to the analysis, their level does not significantly affect the outcome.</w:t>
      </w:r>
    </w:p>
    <w:p w14:paraId="5646981F" w14:textId="77777777" w:rsidR="00BB2B23" w:rsidRDefault="00BB2B23" w:rsidP="00BB2B23">
      <w:pPr>
        <w:pStyle w:val="Tabletitle"/>
      </w:pPr>
      <w:r>
        <w:t>Table 12: Net present value under a selection of maintenance cost assumptions, $M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44"/>
        <w:gridCol w:w="1738"/>
        <w:gridCol w:w="1613"/>
        <w:gridCol w:w="1613"/>
      </w:tblGrid>
      <w:tr w:rsidR="00BB2B23" w:rsidRPr="00325963" w14:paraId="56469824" w14:textId="77777777" w:rsidTr="00325963">
        <w:trPr>
          <w:trHeight w:val="630"/>
        </w:trPr>
        <w:tc>
          <w:tcPr>
            <w:tcW w:w="4044" w:type="dxa"/>
            <w:shd w:val="clear" w:color="auto" w:fill="auto"/>
            <w:tcMar>
              <w:top w:w="113" w:type="dxa"/>
              <w:left w:w="113" w:type="dxa"/>
              <w:bottom w:w="113" w:type="dxa"/>
              <w:right w:w="113" w:type="dxa"/>
            </w:tcMar>
          </w:tcPr>
          <w:p w14:paraId="56469820" w14:textId="77777777" w:rsidR="00BB2B23" w:rsidRPr="00325963" w:rsidRDefault="00BB2B23" w:rsidP="00F5693B">
            <w:pPr>
              <w:pStyle w:val="Tablesmallheading"/>
              <w:rPr>
                <w:color w:val="auto"/>
              </w:rPr>
            </w:pPr>
            <w:r w:rsidRPr="00325963">
              <w:rPr>
                <w:color w:val="auto"/>
              </w:rPr>
              <w:lastRenderedPageBreak/>
              <w:t>Maintenance assumption</w:t>
            </w:r>
          </w:p>
        </w:tc>
        <w:tc>
          <w:tcPr>
            <w:tcW w:w="1738" w:type="dxa"/>
            <w:vMerge w:val="restart"/>
            <w:shd w:val="clear" w:color="auto" w:fill="auto"/>
            <w:tcMar>
              <w:top w:w="113" w:type="dxa"/>
              <w:left w:w="113" w:type="dxa"/>
              <w:bottom w:w="113" w:type="dxa"/>
              <w:right w:w="113" w:type="dxa"/>
            </w:tcMar>
          </w:tcPr>
          <w:p w14:paraId="56469821" w14:textId="77777777" w:rsidR="00BB2B23" w:rsidRPr="00325963" w:rsidRDefault="00BB2B23" w:rsidP="00F5693B">
            <w:pPr>
              <w:pStyle w:val="Tablesmallheading"/>
              <w:jc w:val="center"/>
              <w:rPr>
                <w:color w:val="auto"/>
              </w:rPr>
            </w:pPr>
            <w:r w:rsidRPr="00325963">
              <w:rPr>
                <w:color w:val="auto"/>
              </w:rPr>
              <w:t>No increase to equipment maintenance cost under alternative</w:t>
            </w:r>
            <w:r w:rsidRPr="00325963">
              <w:rPr>
                <w:rStyle w:val="nobreak"/>
                <w:color w:val="auto"/>
              </w:rPr>
              <w:t xml:space="preserve"> </w:t>
            </w:r>
            <w:r w:rsidRPr="00325963">
              <w:rPr>
                <w:color w:val="auto"/>
              </w:rPr>
              <w:t>gas</w:t>
            </w:r>
          </w:p>
        </w:tc>
        <w:tc>
          <w:tcPr>
            <w:tcW w:w="1613" w:type="dxa"/>
            <w:vMerge w:val="restart"/>
            <w:shd w:val="clear" w:color="auto" w:fill="auto"/>
            <w:tcMar>
              <w:top w:w="113" w:type="dxa"/>
              <w:left w:w="113" w:type="dxa"/>
              <w:bottom w:w="113" w:type="dxa"/>
              <w:right w:w="113" w:type="dxa"/>
            </w:tcMar>
          </w:tcPr>
          <w:p w14:paraId="56469822" w14:textId="77777777" w:rsidR="00BB2B23" w:rsidRPr="00325963" w:rsidRDefault="00BB2B23" w:rsidP="00F5693B">
            <w:pPr>
              <w:pStyle w:val="Tablesmallheading"/>
              <w:jc w:val="center"/>
              <w:rPr>
                <w:color w:val="auto"/>
              </w:rPr>
            </w:pPr>
            <w:r w:rsidRPr="00325963">
              <w:rPr>
                <w:color w:val="auto"/>
              </w:rPr>
              <w:t>Current assumptions</w:t>
            </w:r>
          </w:p>
        </w:tc>
        <w:tc>
          <w:tcPr>
            <w:tcW w:w="1613" w:type="dxa"/>
            <w:vMerge w:val="restart"/>
            <w:shd w:val="clear" w:color="auto" w:fill="auto"/>
            <w:tcMar>
              <w:top w:w="113" w:type="dxa"/>
              <w:left w:w="113" w:type="dxa"/>
              <w:bottom w:w="113" w:type="dxa"/>
              <w:right w:w="113" w:type="dxa"/>
            </w:tcMar>
          </w:tcPr>
          <w:p w14:paraId="56469823" w14:textId="77777777" w:rsidR="00BB2B23" w:rsidRPr="00325963" w:rsidRDefault="00BB2B23" w:rsidP="00F5693B">
            <w:pPr>
              <w:pStyle w:val="Tablesmallheading"/>
              <w:jc w:val="center"/>
              <w:rPr>
                <w:color w:val="auto"/>
              </w:rPr>
            </w:pPr>
            <w:r w:rsidRPr="00325963">
              <w:rPr>
                <w:color w:val="auto"/>
              </w:rPr>
              <w:t>Double current maintenance assumptions</w:t>
            </w:r>
          </w:p>
        </w:tc>
      </w:tr>
      <w:tr w:rsidR="00BB2B23" w:rsidRPr="00325963" w14:paraId="56469829" w14:textId="77777777" w:rsidTr="00325963">
        <w:trPr>
          <w:trHeight w:val="444"/>
        </w:trPr>
        <w:tc>
          <w:tcPr>
            <w:tcW w:w="4044" w:type="dxa"/>
            <w:shd w:val="clear" w:color="auto" w:fill="auto"/>
            <w:tcMar>
              <w:top w:w="113" w:type="dxa"/>
              <w:left w:w="113" w:type="dxa"/>
              <w:bottom w:w="113" w:type="dxa"/>
              <w:right w:w="113" w:type="dxa"/>
            </w:tcMar>
          </w:tcPr>
          <w:p w14:paraId="56469825" w14:textId="77777777" w:rsidR="00BB2B23" w:rsidRPr="00325963" w:rsidRDefault="00BB2B23" w:rsidP="00F5693B">
            <w:pPr>
              <w:pStyle w:val="Tablesmalltext"/>
              <w:rPr>
                <w:color w:val="auto"/>
              </w:rPr>
            </w:pPr>
            <w:r w:rsidRPr="00325963">
              <w:rPr>
                <w:rStyle w:val="TextBold"/>
                <w:color w:val="auto"/>
              </w:rPr>
              <w:t>Scenario</w:t>
            </w:r>
          </w:p>
        </w:tc>
        <w:tc>
          <w:tcPr>
            <w:tcW w:w="1738" w:type="dxa"/>
            <w:vMerge/>
            <w:shd w:val="clear" w:color="auto" w:fill="auto"/>
          </w:tcPr>
          <w:p w14:paraId="56469826" w14:textId="77777777" w:rsidR="00BB2B23" w:rsidRPr="00325963" w:rsidRDefault="00BB2B23" w:rsidP="00F5693B">
            <w:pPr>
              <w:pStyle w:val="NoParagraphStyle"/>
              <w:spacing w:line="240" w:lineRule="auto"/>
              <w:textAlignment w:val="auto"/>
              <w:rPr>
                <w:rFonts w:ascii="Myriad Pro" w:hAnsi="Myriad Pro" w:cstheme="minorBidi"/>
                <w:color w:val="auto"/>
                <w:lang w:val="en-AU"/>
              </w:rPr>
            </w:pPr>
          </w:p>
        </w:tc>
        <w:tc>
          <w:tcPr>
            <w:tcW w:w="1613" w:type="dxa"/>
            <w:vMerge/>
            <w:shd w:val="clear" w:color="auto" w:fill="auto"/>
          </w:tcPr>
          <w:p w14:paraId="56469827" w14:textId="77777777" w:rsidR="00BB2B23" w:rsidRPr="00325963" w:rsidRDefault="00BB2B23" w:rsidP="00F5693B">
            <w:pPr>
              <w:pStyle w:val="NoParagraphStyle"/>
              <w:spacing w:line="240" w:lineRule="auto"/>
              <w:textAlignment w:val="auto"/>
              <w:rPr>
                <w:rFonts w:ascii="Myriad Pro" w:hAnsi="Myriad Pro" w:cstheme="minorBidi"/>
                <w:color w:val="auto"/>
                <w:lang w:val="en-AU"/>
              </w:rPr>
            </w:pPr>
          </w:p>
        </w:tc>
        <w:tc>
          <w:tcPr>
            <w:tcW w:w="1613" w:type="dxa"/>
            <w:vMerge/>
            <w:shd w:val="clear" w:color="auto" w:fill="auto"/>
          </w:tcPr>
          <w:p w14:paraId="56469828" w14:textId="77777777" w:rsidR="00BB2B23" w:rsidRPr="00325963" w:rsidRDefault="00BB2B23" w:rsidP="00F5693B">
            <w:pPr>
              <w:pStyle w:val="NoParagraphStyle"/>
              <w:spacing w:line="240" w:lineRule="auto"/>
              <w:textAlignment w:val="auto"/>
              <w:rPr>
                <w:rFonts w:ascii="Myriad Pro" w:hAnsi="Myriad Pro" w:cstheme="minorBidi"/>
                <w:color w:val="auto"/>
                <w:lang w:val="en-AU"/>
              </w:rPr>
            </w:pPr>
          </w:p>
        </w:tc>
      </w:tr>
      <w:tr w:rsidR="00BB2B23" w:rsidRPr="00325963" w14:paraId="5646982E" w14:textId="77777777" w:rsidTr="00325963">
        <w:trPr>
          <w:trHeight w:val="210"/>
        </w:trPr>
        <w:tc>
          <w:tcPr>
            <w:tcW w:w="4044" w:type="dxa"/>
            <w:shd w:val="clear" w:color="auto" w:fill="auto"/>
            <w:tcMar>
              <w:top w:w="113" w:type="dxa"/>
              <w:left w:w="113" w:type="dxa"/>
              <w:bottom w:w="113" w:type="dxa"/>
              <w:right w:w="113" w:type="dxa"/>
            </w:tcMar>
          </w:tcPr>
          <w:p w14:paraId="5646982A" w14:textId="77777777" w:rsidR="00BB2B23" w:rsidRPr="00325963" w:rsidRDefault="00BB2B23" w:rsidP="00F5693B">
            <w:pPr>
              <w:pStyle w:val="Tablesmalltext"/>
              <w:rPr>
                <w:color w:val="auto"/>
              </w:rPr>
            </w:pPr>
            <w:r w:rsidRPr="00325963">
              <w:rPr>
                <w:color w:val="auto"/>
              </w:rPr>
              <w:t>Accelerated phase-down</w:t>
            </w:r>
          </w:p>
        </w:tc>
        <w:tc>
          <w:tcPr>
            <w:tcW w:w="1738" w:type="dxa"/>
            <w:shd w:val="clear" w:color="auto" w:fill="auto"/>
            <w:tcMar>
              <w:top w:w="113" w:type="dxa"/>
              <w:left w:w="113" w:type="dxa"/>
              <w:bottom w:w="113" w:type="dxa"/>
              <w:right w:w="113" w:type="dxa"/>
            </w:tcMar>
          </w:tcPr>
          <w:p w14:paraId="5646982B" w14:textId="77777777" w:rsidR="00BB2B23" w:rsidRPr="00325963" w:rsidRDefault="00BB2B23" w:rsidP="00F5693B">
            <w:pPr>
              <w:pStyle w:val="Tablesmalltext"/>
              <w:jc w:val="center"/>
              <w:rPr>
                <w:color w:val="auto"/>
              </w:rPr>
            </w:pPr>
            <w:r w:rsidRPr="00325963">
              <w:rPr>
                <w:color w:val="auto"/>
              </w:rPr>
              <w:t>57</w:t>
            </w:r>
          </w:p>
        </w:tc>
        <w:tc>
          <w:tcPr>
            <w:tcW w:w="1613" w:type="dxa"/>
            <w:shd w:val="clear" w:color="auto" w:fill="auto"/>
            <w:tcMar>
              <w:top w:w="113" w:type="dxa"/>
              <w:left w:w="113" w:type="dxa"/>
              <w:bottom w:w="113" w:type="dxa"/>
              <w:right w:w="113" w:type="dxa"/>
            </w:tcMar>
          </w:tcPr>
          <w:p w14:paraId="5646982C" w14:textId="77777777" w:rsidR="00BB2B23" w:rsidRPr="00325963" w:rsidRDefault="00BB2B23" w:rsidP="00F5693B">
            <w:pPr>
              <w:pStyle w:val="Tablesmalltext"/>
              <w:jc w:val="center"/>
              <w:rPr>
                <w:color w:val="auto"/>
              </w:rPr>
            </w:pPr>
            <w:r w:rsidRPr="00325963">
              <w:rPr>
                <w:color w:val="auto"/>
              </w:rPr>
              <w:t>10</w:t>
            </w:r>
          </w:p>
        </w:tc>
        <w:tc>
          <w:tcPr>
            <w:tcW w:w="1613" w:type="dxa"/>
            <w:shd w:val="clear" w:color="auto" w:fill="auto"/>
            <w:tcMar>
              <w:top w:w="113" w:type="dxa"/>
              <w:left w:w="113" w:type="dxa"/>
              <w:bottom w:w="113" w:type="dxa"/>
              <w:right w:w="113" w:type="dxa"/>
            </w:tcMar>
          </w:tcPr>
          <w:p w14:paraId="5646982D" w14:textId="77777777" w:rsidR="00BB2B23" w:rsidRPr="00325963" w:rsidRDefault="00BB2B23" w:rsidP="00F5693B">
            <w:pPr>
              <w:pStyle w:val="Tablesmalltext"/>
              <w:jc w:val="center"/>
              <w:rPr>
                <w:color w:val="auto"/>
              </w:rPr>
            </w:pPr>
            <w:r w:rsidRPr="00325963">
              <w:rPr>
                <w:color w:val="auto"/>
              </w:rPr>
              <w:t>-36</w:t>
            </w:r>
          </w:p>
        </w:tc>
      </w:tr>
      <w:tr w:rsidR="00BB2B23" w:rsidRPr="00325963" w14:paraId="56469833" w14:textId="77777777" w:rsidTr="00325963">
        <w:trPr>
          <w:trHeight w:val="210"/>
        </w:trPr>
        <w:tc>
          <w:tcPr>
            <w:tcW w:w="4044" w:type="dxa"/>
            <w:shd w:val="clear" w:color="auto" w:fill="auto"/>
            <w:tcMar>
              <w:top w:w="113" w:type="dxa"/>
              <w:left w:w="113" w:type="dxa"/>
              <w:bottom w:w="113" w:type="dxa"/>
              <w:right w:w="113" w:type="dxa"/>
            </w:tcMar>
          </w:tcPr>
          <w:p w14:paraId="5646982F" w14:textId="77777777" w:rsidR="00BB2B23" w:rsidRPr="00325963" w:rsidRDefault="00BB2B23" w:rsidP="00F5693B">
            <w:pPr>
              <w:pStyle w:val="Tablesmalltext"/>
              <w:rPr>
                <w:color w:val="auto"/>
              </w:rPr>
            </w:pPr>
            <w:r w:rsidRPr="00325963">
              <w:rPr>
                <w:color w:val="auto"/>
              </w:rPr>
              <w:t>North American amendment phase-down</w:t>
            </w:r>
          </w:p>
        </w:tc>
        <w:tc>
          <w:tcPr>
            <w:tcW w:w="1738" w:type="dxa"/>
            <w:shd w:val="clear" w:color="auto" w:fill="auto"/>
            <w:tcMar>
              <w:top w:w="113" w:type="dxa"/>
              <w:left w:w="113" w:type="dxa"/>
              <w:bottom w:w="113" w:type="dxa"/>
              <w:right w:w="113" w:type="dxa"/>
            </w:tcMar>
          </w:tcPr>
          <w:p w14:paraId="56469830" w14:textId="77777777" w:rsidR="00BB2B23" w:rsidRPr="00325963" w:rsidRDefault="00BB2B23" w:rsidP="00F5693B">
            <w:pPr>
              <w:pStyle w:val="Tablesmalltext"/>
              <w:jc w:val="center"/>
              <w:rPr>
                <w:color w:val="auto"/>
              </w:rPr>
            </w:pPr>
            <w:r w:rsidRPr="00325963">
              <w:rPr>
                <w:color w:val="auto"/>
              </w:rPr>
              <w:t>58</w:t>
            </w:r>
          </w:p>
        </w:tc>
        <w:tc>
          <w:tcPr>
            <w:tcW w:w="1613" w:type="dxa"/>
            <w:shd w:val="clear" w:color="auto" w:fill="auto"/>
            <w:tcMar>
              <w:top w:w="113" w:type="dxa"/>
              <w:left w:w="113" w:type="dxa"/>
              <w:bottom w:w="113" w:type="dxa"/>
              <w:right w:w="113" w:type="dxa"/>
            </w:tcMar>
          </w:tcPr>
          <w:p w14:paraId="56469831" w14:textId="77777777" w:rsidR="00BB2B23" w:rsidRPr="00325963" w:rsidRDefault="00BB2B23" w:rsidP="00F5693B">
            <w:pPr>
              <w:pStyle w:val="Tablesmalltext"/>
              <w:jc w:val="center"/>
              <w:rPr>
                <w:color w:val="auto"/>
              </w:rPr>
            </w:pPr>
            <w:r w:rsidRPr="00325963">
              <w:rPr>
                <w:color w:val="auto"/>
              </w:rPr>
              <w:t>40</w:t>
            </w:r>
          </w:p>
        </w:tc>
        <w:tc>
          <w:tcPr>
            <w:tcW w:w="1613" w:type="dxa"/>
            <w:shd w:val="clear" w:color="auto" w:fill="auto"/>
            <w:tcMar>
              <w:top w:w="113" w:type="dxa"/>
              <w:left w:w="113" w:type="dxa"/>
              <w:bottom w:w="113" w:type="dxa"/>
              <w:right w:w="113" w:type="dxa"/>
            </w:tcMar>
          </w:tcPr>
          <w:p w14:paraId="56469832" w14:textId="77777777" w:rsidR="00BB2B23" w:rsidRPr="00325963" w:rsidRDefault="00BB2B23" w:rsidP="00F5693B">
            <w:pPr>
              <w:pStyle w:val="Tablesmalltext"/>
              <w:jc w:val="center"/>
              <w:rPr>
                <w:color w:val="auto"/>
              </w:rPr>
            </w:pPr>
            <w:r w:rsidRPr="00325963">
              <w:rPr>
                <w:color w:val="auto"/>
              </w:rPr>
              <w:t>22</w:t>
            </w:r>
          </w:p>
        </w:tc>
      </w:tr>
      <w:tr w:rsidR="00BB2B23" w:rsidRPr="00325963" w14:paraId="56469838" w14:textId="77777777" w:rsidTr="00325963">
        <w:trPr>
          <w:trHeight w:val="256"/>
        </w:trPr>
        <w:tc>
          <w:tcPr>
            <w:tcW w:w="4044" w:type="dxa"/>
            <w:shd w:val="clear" w:color="auto" w:fill="auto"/>
            <w:tcMar>
              <w:top w:w="113" w:type="dxa"/>
              <w:left w:w="113" w:type="dxa"/>
              <w:bottom w:w="113" w:type="dxa"/>
              <w:right w:w="113" w:type="dxa"/>
            </w:tcMar>
          </w:tcPr>
          <w:p w14:paraId="56469834" w14:textId="77777777" w:rsidR="00BB2B23" w:rsidRPr="00325963" w:rsidRDefault="00BB2B23" w:rsidP="00F5693B">
            <w:pPr>
              <w:pStyle w:val="Tablesmalltext"/>
              <w:rPr>
                <w:color w:val="auto"/>
              </w:rPr>
            </w:pPr>
            <w:r w:rsidRPr="00325963">
              <w:rPr>
                <w:color w:val="auto"/>
              </w:rPr>
              <w:t>High GWP Equipment Bans—mobile air conditioning</w:t>
            </w:r>
          </w:p>
        </w:tc>
        <w:tc>
          <w:tcPr>
            <w:tcW w:w="1738" w:type="dxa"/>
            <w:shd w:val="clear" w:color="auto" w:fill="auto"/>
            <w:tcMar>
              <w:top w:w="113" w:type="dxa"/>
              <w:left w:w="113" w:type="dxa"/>
              <w:bottom w:w="113" w:type="dxa"/>
              <w:right w:w="113" w:type="dxa"/>
            </w:tcMar>
          </w:tcPr>
          <w:p w14:paraId="56469835" w14:textId="77777777" w:rsidR="00BB2B23" w:rsidRPr="00325963" w:rsidRDefault="00BB2B23" w:rsidP="00F5693B">
            <w:pPr>
              <w:pStyle w:val="Tablesmalltext"/>
              <w:jc w:val="center"/>
              <w:rPr>
                <w:color w:val="auto"/>
              </w:rPr>
            </w:pPr>
            <w:r w:rsidRPr="00325963">
              <w:rPr>
                <w:color w:val="auto"/>
              </w:rPr>
              <w:t>-99</w:t>
            </w:r>
          </w:p>
        </w:tc>
        <w:tc>
          <w:tcPr>
            <w:tcW w:w="1613" w:type="dxa"/>
            <w:shd w:val="clear" w:color="auto" w:fill="auto"/>
            <w:tcMar>
              <w:top w:w="113" w:type="dxa"/>
              <w:left w:w="113" w:type="dxa"/>
              <w:bottom w:w="113" w:type="dxa"/>
              <w:right w:w="113" w:type="dxa"/>
            </w:tcMar>
          </w:tcPr>
          <w:p w14:paraId="56469836" w14:textId="77777777" w:rsidR="00BB2B23" w:rsidRPr="00325963" w:rsidRDefault="00BB2B23" w:rsidP="00F5693B">
            <w:pPr>
              <w:pStyle w:val="Tablesmalltext"/>
              <w:jc w:val="center"/>
              <w:rPr>
                <w:color w:val="auto"/>
              </w:rPr>
            </w:pPr>
            <w:r w:rsidRPr="00325963">
              <w:rPr>
                <w:color w:val="auto"/>
              </w:rPr>
              <w:t>-182</w:t>
            </w:r>
          </w:p>
        </w:tc>
        <w:tc>
          <w:tcPr>
            <w:tcW w:w="1613" w:type="dxa"/>
            <w:shd w:val="clear" w:color="auto" w:fill="auto"/>
            <w:tcMar>
              <w:top w:w="113" w:type="dxa"/>
              <w:left w:w="113" w:type="dxa"/>
              <w:bottom w:w="113" w:type="dxa"/>
              <w:right w:w="113" w:type="dxa"/>
            </w:tcMar>
          </w:tcPr>
          <w:p w14:paraId="56469837" w14:textId="77777777" w:rsidR="00BB2B23" w:rsidRPr="00325963" w:rsidRDefault="00BB2B23" w:rsidP="00F5693B">
            <w:pPr>
              <w:pStyle w:val="Tablesmalltext"/>
              <w:jc w:val="center"/>
              <w:rPr>
                <w:color w:val="auto"/>
              </w:rPr>
            </w:pPr>
            <w:r w:rsidRPr="00325963">
              <w:rPr>
                <w:color w:val="auto"/>
              </w:rPr>
              <w:t>-264</w:t>
            </w:r>
          </w:p>
        </w:tc>
      </w:tr>
    </w:tbl>
    <w:p w14:paraId="56469839" w14:textId="77777777" w:rsidR="00BB2B23" w:rsidRDefault="00BB2B23" w:rsidP="00BB2B23">
      <w:pPr>
        <w:pStyle w:val="Text"/>
        <w:rPr>
          <w:rStyle w:val="TextItalic"/>
        </w:rPr>
      </w:pPr>
    </w:p>
    <w:p w14:paraId="5646983A" w14:textId="77777777" w:rsidR="00BB2B23" w:rsidRPr="00AC69B2" w:rsidRDefault="00BB2B23" w:rsidP="00AC69B2">
      <w:pPr>
        <w:pStyle w:val="FootnoteText1"/>
        <w:rPr>
          <w:rStyle w:val="FootnoteReference1"/>
          <w:vertAlign w:val="baseline"/>
        </w:rPr>
      </w:pPr>
      <w:r w:rsidRPr="00AC69B2">
        <w:rPr>
          <w:rStyle w:val="FootnoteReference1"/>
          <w:vertAlign w:val="baseline"/>
        </w:rPr>
        <w:t>Source: Jacobs’ analysis</w:t>
      </w:r>
    </w:p>
    <w:p w14:paraId="5646983B" w14:textId="77777777" w:rsidR="00BB2B23" w:rsidRDefault="00BB2B23" w:rsidP="00BB2B23">
      <w:pPr>
        <w:pStyle w:val="Subhead3"/>
      </w:pPr>
      <w:r>
        <w:t>Capital costs</w:t>
      </w:r>
    </w:p>
    <w:p w14:paraId="5646983C" w14:textId="77777777" w:rsidR="00BB2B23" w:rsidRDefault="00BB2B23" w:rsidP="00BB2B23">
      <w:pPr>
        <w:pStyle w:val="Text"/>
      </w:pPr>
      <w:r>
        <w:t>Table 13 displays the net benefit and benefit cost ratios with and without adjustments for increased capital cost when end of life equipment is replaced with a low GWP alternative, for those scenarios where this is relevant. The results show that capital costs are material to the analysis, but the outcome is not materially affected.</w:t>
      </w:r>
    </w:p>
    <w:p w14:paraId="5646983D" w14:textId="77777777" w:rsidR="00BB2B23" w:rsidRDefault="00BB2B23" w:rsidP="00BB2B23">
      <w:pPr>
        <w:pStyle w:val="Tabletitle"/>
      </w:pPr>
      <w:r>
        <w:t>Table 13: Net present value under a selection of capital cost assumptions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1"/>
        <w:gridCol w:w="1643"/>
        <w:gridCol w:w="1643"/>
        <w:gridCol w:w="1643"/>
      </w:tblGrid>
      <w:tr w:rsidR="00BB2B23" w:rsidRPr="00325963" w14:paraId="56469842" w14:textId="77777777" w:rsidTr="00325963">
        <w:trPr>
          <w:trHeight w:val="1314"/>
        </w:trPr>
        <w:tc>
          <w:tcPr>
            <w:tcW w:w="4101" w:type="dxa"/>
            <w:shd w:val="clear" w:color="auto" w:fill="auto"/>
            <w:tcMar>
              <w:top w:w="113" w:type="dxa"/>
              <w:left w:w="113" w:type="dxa"/>
              <w:bottom w:w="113" w:type="dxa"/>
              <w:right w:w="113" w:type="dxa"/>
            </w:tcMar>
          </w:tcPr>
          <w:p w14:paraId="5646983E" w14:textId="77777777" w:rsidR="00BB2B23" w:rsidRPr="00325963" w:rsidRDefault="00BB2B23" w:rsidP="00F5693B">
            <w:pPr>
              <w:pStyle w:val="Tablesmallheading"/>
              <w:rPr>
                <w:color w:val="auto"/>
              </w:rPr>
            </w:pPr>
            <w:r w:rsidRPr="00325963">
              <w:rPr>
                <w:rStyle w:val="TextBold"/>
                <w:b/>
                <w:bCs/>
                <w:color w:val="auto"/>
              </w:rPr>
              <w:t>Scenario</w:t>
            </w:r>
          </w:p>
        </w:tc>
        <w:tc>
          <w:tcPr>
            <w:tcW w:w="1643" w:type="dxa"/>
            <w:shd w:val="clear" w:color="auto" w:fill="auto"/>
            <w:tcMar>
              <w:top w:w="113" w:type="dxa"/>
              <w:left w:w="113" w:type="dxa"/>
              <w:bottom w:w="113" w:type="dxa"/>
              <w:right w:w="113" w:type="dxa"/>
            </w:tcMar>
          </w:tcPr>
          <w:p w14:paraId="5646983F" w14:textId="77777777" w:rsidR="00BB2B23" w:rsidRPr="00325963" w:rsidRDefault="00BB2B23" w:rsidP="00F5693B">
            <w:pPr>
              <w:pStyle w:val="Tablesmallheading"/>
              <w:jc w:val="center"/>
              <w:rPr>
                <w:color w:val="auto"/>
              </w:rPr>
            </w:pPr>
            <w:r w:rsidRPr="00325963">
              <w:rPr>
                <w:color w:val="auto"/>
              </w:rPr>
              <w:t>No increase to capital costs assumed for Equipment using alternative gases</w:t>
            </w:r>
          </w:p>
        </w:tc>
        <w:tc>
          <w:tcPr>
            <w:tcW w:w="1643" w:type="dxa"/>
            <w:shd w:val="clear" w:color="auto" w:fill="auto"/>
            <w:tcMar>
              <w:top w:w="113" w:type="dxa"/>
              <w:left w:w="113" w:type="dxa"/>
              <w:bottom w:w="113" w:type="dxa"/>
              <w:right w:w="113" w:type="dxa"/>
            </w:tcMar>
          </w:tcPr>
          <w:p w14:paraId="56469840" w14:textId="77777777" w:rsidR="00BB2B23" w:rsidRPr="00325963" w:rsidRDefault="00BB2B23" w:rsidP="00F5693B">
            <w:pPr>
              <w:pStyle w:val="Tablesmallheading"/>
              <w:jc w:val="center"/>
              <w:rPr>
                <w:color w:val="auto"/>
              </w:rPr>
            </w:pPr>
            <w:r w:rsidRPr="00325963">
              <w:rPr>
                <w:color w:val="auto"/>
              </w:rPr>
              <w:t>Current assumptions</w:t>
            </w:r>
          </w:p>
        </w:tc>
        <w:tc>
          <w:tcPr>
            <w:tcW w:w="1643" w:type="dxa"/>
            <w:shd w:val="clear" w:color="auto" w:fill="auto"/>
            <w:tcMar>
              <w:top w:w="113" w:type="dxa"/>
              <w:left w:w="113" w:type="dxa"/>
              <w:bottom w:w="113" w:type="dxa"/>
              <w:right w:w="113" w:type="dxa"/>
            </w:tcMar>
          </w:tcPr>
          <w:p w14:paraId="56469841" w14:textId="77777777" w:rsidR="00BB2B23" w:rsidRPr="00325963" w:rsidRDefault="00BB2B23" w:rsidP="00F5693B">
            <w:pPr>
              <w:pStyle w:val="Tablesmallheading"/>
              <w:jc w:val="center"/>
              <w:rPr>
                <w:color w:val="auto"/>
              </w:rPr>
            </w:pPr>
            <w:r w:rsidRPr="00325963">
              <w:rPr>
                <w:color w:val="auto"/>
              </w:rPr>
              <w:t>Double the increase to capital costs assumed for alternative gases</w:t>
            </w:r>
          </w:p>
        </w:tc>
      </w:tr>
      <w:tr w:rsidR="00BB2B23" w:rsidRPr="00325963" w14:paraId="56469847" w14:textId="77777777" w:rsidTr="00325963">
        <w:trPr>
          <w:trHeight w:val="210"/>
        </w:trPr>
        <w:tc>
          <w:tcPr>
            <w:tcW w:w="4101" w:type="dxa"/>
            <w:shd w:val="clear" w:color="auto" w:fill="auto"/>
            <w:tcMar>
              <w:top w:w="113" w:type="dxa"/>
              <w:left w:w="113" w:type="dxa"/>
              <w:bottom w:w="113" w:type="dxa"/>
              <w:right w:w="113" w:type="dxa"/>
            </w:tcMar>
          </w:tcPr>
          <w:p w14:paraId="56469843" w14:textId="77777777" w:rsidR="00BB2B23" w:rsidRPr="00325963" w:rsidRDefault="00BB2B23" w:rsidP="00F5693B">
            <w:pPr>
              <w:pStyle w:val="Tablesmalltext"/>
              <w:rPr>
                <w:color w:val="auto"/>
              </w:rPr>
            </w:pPr>
            <w:r w:rsidRPr="00325963">
              <w:rPr>
                <w:color w:val="auto"/>
              </w:rPr>
              <w:t>North American amendment phase-down</w:t>
            </w:r>
          </w:p>
        </w:tc>
        <w:tc>
          <w:tcPr>
            <w:tcW w:w="1643" w:type="dxa"/>
            <w:shd w:val="clear" w:color="auto" w:fill="auto"/>
            <w:tcMar>
              <w:top w:w="113" w:type="dxa"/>
              <w:left w:w="113" w:type="dxa"/>
              <w:bottom w:w="113" w:type="dxa"/>
              <w:right w:w="113" w:type="dxa"/>
            </w:tcMar>
          </w:tcPr>
          <w:p w14:paraId="56469844" w14:textId="77777777" w:rsidR="00BB2B23" w:rsidRPr="00325963" w:rsidRDefault="00BB2B23" w:rsidP="00F5693B">
            <w:pPr>
              <w:pStyle w:val="Tablesmalltext"/>
              <w:jc w:val="center"/>
              <w:rPr>
                <w:color w:val="auto"/>
              </w:rPr>
            </w:pPr>
            <w:r w:rsidRPr="00325963">
              <w:rPr>
                <w:color w:val="auto"/>
              </w:rPr>
              <w:t>47</w:t>
            </w:r>
          </w:p>
        </w:tc>
        <w:tc>
          <w:tcPr>
            <w:tcW w:w="1643" w:type="dxa"/>
            <w:shd w:val="clear" w:color="auto" w:fill="auto"/>
            <w:tcMar>
              <w:top w:w="113" w:type="dxa"/>
              <w:left w:w="113" w:type="dxa"/>
              <w:bottom w:w="113" w:type="dxa"/>
              <w:right w:w="113" w:type="dxa"/>
            </w:tcMar>
          </w:tcPr>
          <w:p w14:paraId="56469845" w14:textId="77777777" w:rsidR="00BB2B23" w:rsidRPr="00325963" w:rsidRDefault="00BB2B23" w:rsidP="00F5693B">
            <w:pPr>
              <w:pStyle w:val="Tablesmalltext"/>
              <w:jc w:val="center"/>
              <w:rPr>
                <w:color w:val="auto"/>
              </w:rPr>
            </w:pPr>
            <w:r w:rsidRPr="00325963">
              <w:rPr>
                <w:color w:val="auto"/>
              </w:rPr>
              <w:t>40</w:t>
            </w:r>
          </w:p>
        </w:tc>
        <w:tc>
          <w:tcPr>
            <w:tcW w:w="1643" w:type="dxa"/>
            <w:shd w:val="clear" w:color="auto" w:fill="auto"/>
            <w:tcMar>
              <w:top w:w="113" w:type="dxa"/>
              <w:left w:w="113" w:type="dxa"/>
              <w:bottom w:w="113" w:type="dxa"/>
              <w:right w:w="113" w:type="dxa"/>
            </w:tcMar>
          </w:tcPr>
          <w:p w14:paraId="56469846" w14:textId="77777777" w:rsidR="00BB2B23" w:rsidRPr="00325963" w:rsidRDefault="00BB2B23" w:rsidP="00F5693B">
            <w:pPr>
              <w:pStyle w:val="Tablesmalltext"/>
              <w:jc w:val="center"/>
              <w:rPr>
                <w:color w:val="auto"/>
              </w:rPr>
            </w:pPr>
            <w:r w:rsidRPr="00325963">
              <w:rPr>
                <w:color w:val="auto"/>
              </w:rPr>
              <w:t>32</w:t>
            </w:r>
          </w:p>
        </w:tc>
      </w:tr>
      <w:tr w:rsidR="00BB2B23" w:rsidRPr="00325963" w14:paraId="5646984C" w14:textId="77777777" w:rsidTr="00325963">
        <w:trPr>
          <w:trHeight w:val="210"/>
        </w:trPr>
        <w:tc>
          <w:tcPr>
            <w:tcW w:w="4101" w:type="dxa"/>
            <w:shd w:val="clear" w:color="auto" w:fill="auto"/>
            <w:tcMar>
              <w:top w:w="113" w:type="dxa"/>
              <w:left w:w="113" w:type="dxa"/>
              <w:bottom w:w="113" w:type="dxa"/>
              <w:right w:w="113" w:type="dxa"/>
            </w:tcMar>
          </w:tcPr>
          <w:p w14:paraId="56469848" w14:textId="77777777" w:rsidR="00BB2B23" w:rsidRPr="00325963" w:rsidRDefault="00BB2B23" w:rsidP="00F5693B">
            <w:pPr>
              <w:pStyle w:val="Tablesmalltext"/>
              <w:rPr>
                <w:color w:val="auto"/>
              </w:rPr>
            </w:pPr>
            <w:r w:rsidRPr="00325963">
              <w:rPr>
                <w:color w:val="auto"/>
              </w:rPr>
              <w:t>Accelerated phase-down</w:t>
            </w:r>
          </w:p>
        </w:tc>
        <w:tc>
          <w:tcPr>
            <w:tcW w:w="1643" w:type="dxa"/>
            <w:shd w:val="clear" w:color="auto" w:fill="auto"/>
            <w:tcMar>
              <w:top w:w="113" w:type="dxa"/>
              <w:left w:w="113" w:type="dxa"/>
              <w:bottom w:w="113" w:type="dxa"/>
              <w:right w:w="113" w:type="dxa"/>
            </w:tcMar>
          </w:tcPr>
          <w:p w14:paraId="56469849" w14:textId="77777777" w:rsidR="00BB2B23" w:rsidRPr="00325963" w:rsidRDefault="00BB2B23" w:rsidP="00F5693B">
            <w:pPr>
              <w:pStyle w:val="Tablesmalltext"/>
              <w:jc w:val="center"/>
              <w:rPr>
                <w:color w:val="auto"/>
              </w:rPr>
            </w:pPr>
            <w:r w:rsidRPr="00325963">
              <w:rPr>
                <w:color w:val="auto"/>
              </w:rPr>
              <w:t>21</w:t>
            </w:r>
          </w:p>
        </w:tc>
        <w:tc>
          <w:tcPr>
            <w:tcW w:w="1643" w:type="dxa"/>
            <w:shd w:val="clear" w:color="auto" w:fill="auto"/>
            <w:tcMar>
              <w:top w:w="113" w:type="dxa"/>
              <w:left w:w="113" w:type="dxa"/>
              <w:bottom w:w="113" w:type="dxa"/>
              <w:right w:w="113" w:type="dxa"/>
            </w:tcMar>
          </w:tcPr>
          <w:p w14:paraId="5646984A" w14:textId="77777777" w:rsidR="00BB2B23" w:rsidRPr="00325963" w:rsidRDefault="00BB2B23" w:rsidP="00F5693B">
            <w:pPr>
              <w:pStyle w:val="Tablesmalltext"/>
              <w:jc w:val="center"/>
              <w:rPr>
                <w:color w:val="auto"/>
              </w:rPr>
            </w:pPr>
            <w:r w:rsidRPr="00325963">
              <w:rPr>
                <w:color w:val="auto"/>
              </w:rPr>
              <w:t>10</w:t>
            </w:r>
          </w:p>
        </w:tc>
        <w:tc>
          <w:tcPr>
            <w:tcW w:w="1643" w:type="dxa"/>
            <w:shd w:val="clear" w:color="auto" w:fill="auto"/>
            <w:tcMar>
              <w:top w:w="113" w:type="dxa"/>
              <w:left w:w="113" w:type="dxa"/>
              <w:bottom w:w="113" w:type="dxa"/>
              <w:right w:w="113" w:type="dxa"/>
            </w:tcMar>
          </w:tcPr>
          <w:p w14:paraId="5646984B" w14:textId="77777777" w:rsidR="00BB2B23" w:rsidRPr="00325963" w:rsidRDefault="00BB2B23" w:rsidP="00F5693B">
            <w:pPr>
              <w:pStyle w:val="Tablesmalltext"/>
              <w:jc w:val="center"/>
              <w:rPr>
                <w:color w:val="auto"/>
              </w:rPr>
            </w:pPr>
            <w:r w:rsidRPr="00325963">
              <w:rPr>
                <w:color w:val="auto"/>
              </w:rPr>
              <w:t>0.3</w:t>
            </w:r>
          </w:p>
        </w:tc>
      </w:tr>
      <w:tr w:rsidR="00BB2B23" w:rsidRPr="00325963" w14:paraId="56469851" w14:textId="77777777" w:rsidTr="00325963">
        <w:trPr>
          <w:trHeight w:val="256"/>
        </w:trPr>
        <w:tc>
          <w:tcPr>
            <w:tcW w:w="4101" w:type="dxa"/>
            <w:shd w:val="clear" w:color="auto" w:fill="auto"/>
            <w:tcMar>
              <w:top w:w="113" w:type="dxa"/>
              <w:left w:w="113" w:type="dxa"/>
              <w:bottom w:w="113" w:type="dxa"/>
              <w:right w:w="113" w:type="dxa"/>
            </w:tcMar>
          </w:tcPr>
          <w:p w14:paraId="5646984D" w14:textId="77777777" w:rsidR="00BB2B23" w:rsidRPr="00325963" w:rsidRDefault="00BB2B23" w:rsidP="00F5693B">
            <w:pPr>
              <w:pStyle w:val="Tablesmalltext"/>
              <w:rPr>
                <w:color w:val="auto"/>
              </w:rPr>
            </w:pPr>
            <w:r w:rsidRPr="00325963">
              <w:rPr>
                <w:color w:val="auto"/>
              </w:rPr>
              <w:t xml:space="preserve">High GWP Equipment Bans—mobile air conditioning </w:t>
            </w:r>
          </w:p>
        </w:tc>
        <w:tc>
          <w:tcPr>
            <w:tcW w:w="1643" w:type="dxa"/>
            <w:shd w:val="clear" w:color="auto" w:fill="auto"/>
            <w:tcMar>
              <w:top w:w="113" w:type="dxa"/>
              <w:left w:w="113" w:type="dxa"/>
              <w:bottom w:w="113" w:type="dxa"/>
              <w:right w:w="113" w:type="dxa"/>
            </w:tcMar>
          </w:tcPr>
          <w:p w14:paraId="5646984E" w14:textId="77777777" w:rsidR="00BB2B23" w:rsidRPr="00325963" w:rsidRDefault="00BB2B23" w:rsidP="00F5693B">
            <w:pPr>
              <w:pStyle w:val="Tablesmalltext"/>
              <w:jc w:val="center"/>
              <w:rPr>
                <w:color w:val="auto"/>
              </w:rPr>
            </w:pPr>
            <w:r w:rsidRPr="00325963">
              <w:rPr>
                <w:color w:val="auto"/>
              </w:rPr>
              <w:t>-143</w:t>
            </w:r>
          </w:p>
        </w:tc>
        <w:tc>
          <w:tcPr>
            <w:tcW w:w="1643" w:type="dxa"/>
            <w:shd w:val="clear" w:color="auto" w:fill="auto"/>
            <w:tcMar>
              <w:top w:w="113" w:type="dxa"/>
              <w:left w:w="113" w:type="dxa"/>
              <w:bottom w:w="113" w:type="dxa"/>
              <w:right w:w="113" w:type="dxa"/>
            </w:tcMar>
          </w:tcPr>
          <w:p w14:paraId="5646984F" w14:textId="77777777" w:rsidR="00BB2B23" w:rsidRPr="00325963" w:rsidRDefault="00BB2B23" w:rsidP="00F5693B">
            <w:pPr>
              <w:pStyle w:val="Tablesmalltext"/>
              <w:jc w:val="center"/>
              <w:rPr>
                <w:color w:val="auto"/>
              </w:rPr>
            </w:pPr>
            <w:r w:rsidRPr="00325963">
              <w:rPr>
                <w:color w:val="auto"/>
              </w:rPr>
              <w:t>-182</w:t>
            </w:r>
          </w:p>
        </w:tc>
        <w:tc>
          <w:tcPr>
            <w:tcW w:w="1643" w:type="dxa"/>
            <w:shd w:val="clear" w:color="auto" w:fill="auto"/>
            <w:tcMar>
              <w:top w:w="113" w:type="dxa"/>
              <w:left w:w="113" w:type="dxa"/>
              <w:bottom w:w="113" w:type="dxa"/>
              <w:right w:w="113" w:type="dxa"/>
            </w:tcMar>
          </w:tcPr>
          <w:p w14:paraId="56469850" w14:textId="77777777" w:rsidR="00BB2B23" w:rsidRPr="00325963" w:rsidRDefault="00BB2B23" w:rsidP="00F5693B">
            <w:pPr>
              <w:pStyle w:val="Tablesmalltext"/>
              <w:jc w:val="center"/>
              <w:rPr>
                <w:color w:val="auto"/>
              </w:rPr>
            </w:pPr>
            <w:r w:rsidRPr="00325963">
              <w:rPr>
                <w:color w:val="auto"/>
              </w:rPr>
              <w:t>-221</w:t>
            </w:r>
          </w:p>
        </w:tc>
      </w:tr>
    </w:tbl>
    <w:p w14:paraId="56469852" w14:textId="77777777" w:rsidR="00BB2B23" w:rsidRDefault="00BB2B23" w:rsidP="00BB2B23">
      <w:pPr>
        <w:pStyle w:val="Text"/>
        <w:rPr>
          <w:rStyle w:val="TextItalic"/>
        </w:rPr>
      </w:pPr>
    </w:p>
    <w:p w14:paraId="56469853" w14:textId="77777777" w:rsidR="00BB2B23" w:rsidRPr="00AC69B2" w:rsidRDefault="00BB2B23" w:rsidP="00AC69B2">
      <w:pPr>
        <w:pStyle w:val="FootnoteText1"/>
        <w:rPr>
          <w:rStyle w:val="FootnoteReference1"/>
          <w:vertAlign w:val="baseline"/>
        </w:rPr>
      </w:pPr>
      <w:r w:rsidRPr="00AC69B2">
        <w:rPr>
          <w:rStyle w:val="FootnoteReference1"/>
          <w:vertAlign w:val="baseline"/>
        </w:rPr>
        <w:t>Source: Jacobs’ analysis</w:t>
      </w:r>
    </w:p>
    <w:p w14:paraId="56469854" w14:textId="77777777" w:rsidR="00BB2B23" w:rsidRDefault="00BB2B23" w:rsidP="00BB2B23">
      <w:pPr>
        <w:pStyle w:val="Text"/>
      </w:pPr>
    </w:p>
    <w:p w14:paraId="56469855" w14:textId="77777777" w:rsidR="00BB2B23" w:rsidRDefault="00BB2B23" w:rsidP="00BB2B23">
      <w:pPr>
        <w:pStyle w:val="Subhead3"/>
      </w:pPr>
      <w:r>
        <w:t>Gas costs</w:t>
      </w:r>
    </w:p>
    <w:p w14:paraId="56469856" w14:textId="77777777" w:rsidR="00BB2B23" w:rsidRDefault="00BB2B23" w:rsidP="00BB2B23">
      <w:pPr>
        <w:pStyle w:val="Text"/>
      </w:pPr>
      <w:r>
        <w:t>Table 14 displays the net benefit and benefit cost ratios with different gas cost assumptions for HFO-1234yf. The results show that even though capital costs are material to the analysis the conclusions do not generally change with different gas prices. Gas prices at the higher end of the range may yield a negative cost benefit under the accelerated phase-down scenario.</w:t>
      </w:r>
    </w:p>
    <w:p w14:paraId="56469857" w14:textId="77777777" w:rsidR="00BB2B23" w:rsidRDefault="00BB2B23" w:rsidP="00BB2B23">
      <w:pPr>
        <w:pStyle w:val="Tabletitle"/>
      </w:pPr>
      <w:r>
        <w:t>Table 14: Net present value under a selection of gas cost assumptions, $M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1558"/>
        <w:gridCol w:w="1559"/>
        <w:gridCol w:w="1559"/>
      </w:tblGrid>
      <w:tr w:rsidR="00BB2B23" w:rsidRPr="00325963" w14:paraId="5646985C" w14:textId="77777777" w:rsidTr="00325963">
        <w:trPr>
          <w:trHeight w:val="630"/>
        </w:trPr>
        <w:tc>
          <w:tcPr>
            <w:tcW w:w="4106" w:type="dxa"/>
            <w:shd w:val="clear" w:color="auto" w:fill="auto"/>
            <w:tcMar>
              <w:top w:w="113" w:type="dxa"/>
              <w:left w:w="113" w:type="dxa"/>
              <w:bottom w:w="113" w:type="dxa"/>
              <w:right w:w="113" w:type="dxa"/>
            </w:tcMar>
          </w:tcPr>
          <w:p w14:paraId="56469858" w14:textId="77777777" w:rsidR="00BB2B23" w:rsidRPr="00325963" w:rsidRDefault="00BB2B23" w:rsidP="00F5693B">
            <w:pPr>
              <w:pStyle w:val="Tablesmallheading"/>
              <w:rPr>
                <w:color w:val="auto"/>
              </w:rPr>
            </w:pPr>
            <w:r w:rsidRPr="00325963">
              <w:rPr>
                <w:color w:val="auto"/>
              </w:rPr>
              <w:lastRenderedPageBreak/>
              <w:t>Cost of HFO-1234yf</w:t>
            </w:r>
          </w:p>
        </w:tc>
        <w:tc>
          <w:tcPr>
            <w:tcW w:w="1558" w:type="dxa"/>
            <w:vMerge w:val="restart"/>
            <w:shd w:val="clear" w:color="auto" w:fill="auto"/>
            <w:tcMar>
              <w:top w:w="113" w:type="dxa"/>
              <w:left w:w="113" w:type="dxa"/>
              <w:bottom w:w="113" w:type="dxa"/>
              <w:right w:w="113" w:type="dxa"/>
            </w:tcMar>
          </w:tcPr>
          <w:p w14:paraId="56469859" w14:textId="77777777" w:rsidR="00BB2B23" w:rsidRPr="00325963" w:rsidRDefault="00BB2B23" w:rsidP="00F5693B">
            <w:pPr>
              <w:pStyle w:val="Tablesmallheading"/>
              <w:jc w:val="center"/>
              <w:rPr>
                <w:color w:val="auto"/>
              </w:rPr>
            </w:pPr>
            <w:r w:rsidRPr="00325963">
              <w:rPr>
                <w:color w:val="auto"/>
              </w:rPr>
              <w:t>Assume HFO-1234yf drops to $80/kg by 2020</w:t>
            </w:r>
          </w:p>
        </w:tc>
        <w:tc>
          <w:tcPr>
            <w:tcW w:w="1559" w:type="dxa"/>
            <w:vMerge w:val="restart"/>
            <w:shd w:val="clear" w:color="auto" w:fill="auto"/>
            <w:tcMar>
              <w:top w:w="113" w:type="dxa"/>
              <w:left w:w="113" w:type="dxa"/>
              <w:bottom w:w="113" w:type="dxa"/>
              <w:right w:w="113" w:type="dxa"/>
            </w:tcMar>
          </w:tcPr>
          <w:p w14:paraId="5646985A" w14:textId="77777777" w:rsidR="00BB2B23" w:rsidRPr="00325963" w:rsidRDefault="00BB2B23" w:rsidP="00F5693B">
            <w:pPr>
              <w:pStyle w:val="Tablesmallheading"/>
              <w:jc w:val="center"/>
              <w:rPr>
                <w:color w:val="auto"/>
              </w:rPr>
            </w:pPr>
            <w:r w:rsidRPr="00325963">
              <w:rPr>
                <w:color w:val="auto"/>
              </w:rPr>
              <w:t>Current assumptions</w:t>
            </w:r>
          </w:p>
        </w:tc>
        <w:tc>
          <w:tcPr>
            <w:tcW w:w="1559" w:type="dxa"/>
            <w:vMerge w:val="restart"/>
            <w:shd w:val="clear" w:color="auto" w:fill="auto"/>
            <w:tcMar>
              <w:top w:w="113" w:type="dxa"/>
              <w:left w:w="113" w:type="dxa"/>
              <w:bottom w:w="113" w:type="dxa"/>
              <w:right w:w="113" w:type="dxa"/>
            </w:tcMar>
          </w:tcPr>
          <w:p w14:paraId="5646985B" w14:textId="77777777" w:rsidR="00BB2B23" w:rsidRPr="00325963" w:rsidRDefault="00BB2B23" w:rsidP="00F5693B">
            <w:pPr>
              <w:pStyle w:val="Tablesmallheading"/>
              <w:jc w:val="center"/>
              <w:rPr>
                <w:color w:val="auto"/>
              </w:rPr>
            </w:pPr>
            <w:r w:rsidRPr="00325963">
              <w:rPr>
                <w:color w:val="auto"/>
              </w:rPr>
              <w:t>Current assumption: HFO-1234yf remains at $150/kg to 2020</w:t>
            </w:r>
          </w:p>
        </w:tc>
      </w:tr>
      <w:tr w:rsidR="00BB2B23" w:rsidRPr="00325963" w14:paraId="56469861" w14:textId="77777777" w:rsidTr="00325963">
        <w:trPr>
          <w:trHeight w:val="676"/>
        </w:trPr>
        <w:tc>
          <w:tcPr>
            <w:tcW w:w="4106" w:type="dxa"/>
            <w:shd w:val="clear" w:color="auto" w:fill="auto"/>
            <w:tcMar>
              <w:top w:w="113" w:type="dxa"/>
              <w:left w:w="113" w:type="dxa"/>
              <w:bottom w:w="113" w:type="dxa"/>
              <w:right w:w="113" w:type="dxa"/>
            </w:tcMar>
          </w:tcPr>
          <w:p w14:paraId="5646985D" w14:textId="77777777" w:rsidR="00BB2B23" w:rsidRPr="00325963" w:rsidRDefault="00BB2B23" w:rsidP="00F5693B">
            <w:pPr>
              <w:pStyle w:val="Tablesmalltext"/>
              <w:rPr>
                <w:color w:val="auto"/>
              </w:rPr>
            </w:pPr>
            <w:r w:rsidRPr="00325963">
              <w:rPr>
                <w:rStyle w:val="TextBold"/>
                <w:color w:val="auto"/>
              </w:rPr>
              <w:t>Scenario</w:t>
            </w:r>
          </w:p>
        </w:tc>
        <w:tc>
          <w:tcPr>
            <w:tcW w:w="1558" w:type="dxa"/>
            <w:vMerge/>
            <w:shd w:val="clear" w:color="auto" w:fill="auto"/>
          </w:tcPr>
          <w:p w14:paraId="5646985E" w14:textId="77777777" w:rsidR="00BB2B23" w:rsidRPr="00325963" w:rsidRDefault="00BB2B23" w:rsidP="00F5693B">
            <w:pPr>
              <w:pStyle w:val="NoParagraphStyle"/>
              <w:spacing w:line="240" w:lineRule="auto"/>
              <w:textAlignment w:val="auto"/>
              <w:rPr>
                <w:rFonts w:ascii="Myriad Pro" w:hAnsi="Myriad Pro" w:cstheme="minorBidi"/>
                <w:color w:val="auto"/>
                <w:lang w:val="en-AU"/>
              </w:rPr>
            </w:pPr>
          </w:p>
        </w:tc>
        <w:tc>
          <w:tcPr>
            <w:tcW w:w="1559" w:type="dxa"/>
            <w:vMerge/>
            <w:shd w:val="clear" w:color="auto" w:fill="auto"/>
          </w:tcPr>
          <w:p w14:paraId="5646985F" w14:textId="77777777" w:rsidR="00BB2B23" w:rsidRPr="00325963" w:rsidRDefault="00BB2B23" w:rsidP="00F5693B">
            <w:pPr>
              <w:pStyle w:val="NoParagraphStyle"/>
              <w:spacing w:line="240" w:lineRule="auto"/>
              <w:textAlignment w:val="auto"/>
              <w:rPr>
                <w:rFonts w:ascii="Myriad Pro" w:hAnsi="Myriad Pro" w:cstheme="minorBidi"/>
                <w:color w:val="auto"/>
                <w:lang w:val="en-AU"/>
              </w:rPr>
            </w:pPr>
          </w:p>
        </w:tc>
        <w:tc>
          <w:tcPr>
            <w:tcW w:w="1559" w:type="dxa"/>
            <w:vMerge/>
            <w:shd w:val="clear" w:color="auto" w:fill="auto"/>
          </w:tcPr>
          <w:p w14:paraId="56469860" w14:textId="77777777" w:rsidR="00BB2B23" w:rsidRPr="00325963" w:rsidRDefault="00BB2B23" w:rsidP="00F5693B">
            <w:pPr>
              <w:pStyle w:val="NoParagraphStyle"/>
              <w:spacing w:line="240" w:lineRule="auto"/>
              <w:textAlignment w:val="auto"/>
              <w:rPr>
                <w:rFonts w:ascii="Myriad Pro" w:hAnsi="Myriad Pro" w:cstheme="minorBidi"/>
                <w:color w:val="auto"/>
                <w:lang w:val="en-AU"/>
              </w:rPr>
            </w:pPr>
          </w:p>
        </w:tc>
      </w:tr>
      <w:tr w:rsidR="00BB2B23" w:rsidRPr="00325963" w14:paraId="56469866" w14:textId="77777777" w:rsidTr="00325963">
        <w:trPr>
          <w:trHeight w:val="210"/>
        </w:trPr>
        <w:tc>
          <w:tcPr>
            <w:tcW w:w="4106" w:type="dxa"/>
            <w:shd w:val="clear" w:color="auto" w:fill="auto"/>
            <w:tcMar>
              <w:top w:w="113" w:type="dxa"/>
              <w:left w:w="113" w:type="dxa"/>
              <w:bottom w:w="113" w:type="dxa"/>
              <w:right w:w="113" w:type="dxa"/>
            </w:tcMar>
          </w:tcPr>
          <w:p w14:paraId="56469862" w14:textId="77777777" w:rsidR="00BB2B23" w:rsidRPr="00325963" w:rsidRDefault="00BB2B23" w:rsidP="00F5693B">
            <w:pPr>
              <w:pStyle w:val="Tablesmalltext"/>
              <w:rPr>
                <w:color w:val="auto"/>
              </w:rPr>
            </w:pPr>
            <w:r w:rsidRPr="00325963">
              <w:rPr>
                <w:color w:val="auto"/>
              </w:rPr>
              <w:t>North American amendment phase-down</w:t>
            </w:r>
          </w:p>
        </w:tc>
        <w:tc>
          <w:tcPr>
            <w:tcW w:w="1558" w:type="dxa"/>
            <w:shd w:val="clear" w:color="auto" w:fill="auto"/>
            <w:tcMar>
              <w:top w:w="113" w:type="dxa"/>
              <w:left w:w="113" w:type="dxa"/>
              <w:bottom w:w="113" w:type="dxa"/>
              <w:right w:w="113" w:type="dxa"/>
            </w:tcMar>
          </w:tcPr>
          <w:p w14:paraId="56469863" w14:textId="77777777" w:rsidR="00BB2B23" w:rsidRPr="00325963" w:rsidRDefault="00BB2B23" w:rsidP="00F5693B">
            <w:pPr>
              <w:pStyle w:val="Tablesmalltext"/>
              <w:rPr>
                <w:color w:val="auto"/>
              </w:rPr>
            </w:pPr>
            <w:r w:rsidRPr="00325963">
              <w:rPr>
                <w:color w:val="auto"/>
              </w:rPr>
              <w:t>41</w:t>
            </w:r>
          </w:p>
        </w:tc>
        <w:tc>
          <w:tcPr>
            <w:tcW w:w="1559" w:type="dxa"/>
            <w:shd w:val="clear" w:color="auto" w:fill="auto"/>
            <w:tcMar>
              <w:top w:w="113" w:type="dxa"/>
              <w:left w:w="113" w:type="dxa"/>
              <w:bottom w:w="113" w:type="dxa"/>
              <w:right w:w="113" w:type="dxa"/>
            </w:tcMar>
          </w:tcPr>
          <w:p w14:paraId="56469864" w14:textId="77777777" w:rsidR="00BB2B23" w:rsidRPr="00325963" w:rsidRDefault="00BB2B23" w:rsidP="00F5693B">
            <w:pPr>
              <w:pStyle w:val="Tablesmalltext"/>
              <w:rPr>
                <w:color w:val="auto"/>
              </w:rPr>
            </w:pPr>
            <w:r w:rsidRPr="00325963">
              <w:rPr>
                <w:color w:val="auto"/>
              </w:rPr>
              <w:t>40</w:t>
            </w:r>
          </w:p>
        </w:tc>
        <w:tc>
          <w:tcPr>
            <w:tcW w:w="1559" w:type="dxa"/>
            <w:shd w:val="clear" w:color="auto" w:fill="auto"/>
            <w:tcMar>
              <w:top w:w="113" w:type="dxa"/>
              <w:left w:w="113" w:type="dxa"/>
              <w:bottom w:w="113" w:type="dxa"/>
              <w:right w:w="113" w:type="dxa"/>
            </w:tcMar>
          </w:tcPr>
          <w:p w14:paraId="56469865" w14:textId="77777777" w:rsidR="00BB2B23" w:rsidRPr="00325963" w:rsidRDefault="00BB2B23" w:rsidP="00F5693B">
            <w:pPr>
              <w:pStyle w:val="Tablesmalltext"/>
              <w:rPr>
                <w:color w:val="auto"/>
              </w:rPr>
            </w:pPr>
            <w:r w:rsidRPr="00325963">
              <w:rPr>
                <w:color w:val="auto"/>
              </w:rPr>
              <w:t>38</w:t>
            </w:r>
          </w:p>
        </w:tc>
      </w:tr>
      <w:tr w:rsidR="00BB2B23" w:rsidRPr="00325963" w14:paraId="5646986B" w14:textId="77777777" w:rsidTr="00325963">
        <w:trPr>
          <w:trHeight w:val="210"/>
        </w:trPr>
        <w:tc>
          <w:tcPr>
            <w:tcW w:w="4106" w:type="dxa"/>
            <w:shd w:val="clear" w:color="auto" w:fill="auto"/>
            <w:tcMar>
              <w:top w:w="113" w:type="dxa"/>
              <w:left w:w="113" w:type="dxa"/>
              <w:bottom w:w="113" w:type="dxa"/>
              <w:right w:w="113" w:type="dxa"/>
            </w:tcMar>
          </w:tcPr>
          <w:p w14:paraId="56469867" w14:textId="77777777" w:rsidR="00BB2B23" w:rsidRPr="00325963" w:rsidRDefault="00BB2B23" w:rsidP="00F5693B">
            <w:pPr>
              <w:pStyle w:val="Tablesmalltext"/>
              <w:rPr>
                <w:color w:val="auto"/>
              </w:rPr>
            </w:pPr>
            <w:r w:rsidRPr="00325963">
              <w:rPr>
                <w:color w:val="auto"/>
              </w:rPr>
              <w:t>Accelerated phase-down</w:t>
            </w:r>
          </w:p>
        </w:tc>
        <w:tc>
          <w:tcPr>
            <w:tcW w:w="1558" w:type="dxa"/>
            <w:shd w:val="clear" w:color="auto" w:fill="auto"/>
            <w:tcMar>
              <w:top w:w="113" w:type="dxa"/>
              <w:left w:w="113" w:type="dxa"/>
              <w:bottom w:w="113" w:type="dxa"/>
              <w:right w:w="113" w:type="dxa"/>
            </w:tcMar>
          </w:tcPr>
          <w:p w14:paraId="56469868" w14:textId="77777777" w:rsidR="00BB2B23" w:rsidRPr="00325963" w:rsidRDefault="00BB2B23" w:rsidP="00F5693B">
            <w:pPr>
              <w:pStyle w:val="Tablesmalltext"/>
              <w:rPr>
                <w:color w:val="auto"/>
              </w:rPr>
            </w:pPr>
            <w:r w:rsidRPr="00325963">
              <w:rPr>
                <w:color w:val="auto"/>
              </w:rPr>
              <w:t>25</w:t>
            </w:r>
          </w:p>
        </w:tc>
        <w:tc>
          <w:tcPr>
            <w:tcW w:w="1559" w:type="dxa"/>
            <w:shd w:val="clear" w:color="auto" w:fill="auto"/>
            <w:tcMar>
              <w:top w:w="113" w:type="dxa"/>
              <w:left w:w="113" w:type="dxa"/>
              <w:bottom w:w="113" w:type="dxa"/>
              <w:right w:w="113" w:type="dxa"/>
            </w:tcMar>
          </w:tcPr>
          <w:p w14:paraId="56469869" w14:textId="77777777" w:rsidR="00BB2B23" w:rsidRPr="00325963" w:rsidRDefault="00BB2B23" w:rsidP="00F5693B">
            <w:pPr>
              <w:pStyle w:val="Tablesmalltext"/>
              <w:rPr>
                <w:color w:val="auto"/>
              </w:rPr>
            </w:pPr>
            <w:r w:rsidRPr="00325963">
              <w:rPr>
                <w:color w:val="auto"/>
              </w:rPr>
              <w:t>10</w:t>
            </w:r>
          </w:p>
        </w:tc>
        <w:tc>
          <w:tcPr>
            <w:tcW w:w="1559" w:type="dxa"/>
            <w:shd w:val="clear" w:color="auto" w:fill="auto"/>
            <w:tcMar>
              <w:top w:w="113" w:type="dxa"/>
              <w:left w:w="113" w:type="dxa"/>
              <w:bottom w:w="113" w:type="dxa"/>
              <w:right w:w="113" w:type="dxa"/>
            </w:tcMar>
          </w:tcPr>
          <w:p w14:paraId="5646986A" w14:textId="77777777" w:rsidR="00BB2B23" w:rsidRPr="00325963" w:rsidRDefault="00BB2B23" w:rsidP="00F5693B">
            <w:pPr>
              <w:pStyle w:val="Tablesmalltext"/>
              <w:rPr>
                <w:color w:val="auto"/>
              </w:rPr>
            </w:pPr>
            <w:r w:rsidRPr="00325963">
              <w:rPr>
                <w:color w:val="auto"/>
              </w:rPr>
              <w:t>-0.5</w:t>
            </w:r>
          </w:p>
        </w:tc>
      </w:tr>
      <w:tr w:rsidR="00BB2B23" w:rsidRPr="00325963" w14:paraId="56469870" w14:textId="77777777" w:rsidTr="00325963">
        <w:trPr>
          <w:trHeight w:val="256"/>
        </w:trPr>
        <w:tc>
          <w:tcPr>
            <w:tcW w:w="4106" w:type="dxa"/>
            <w:shd w:val="clear" w:color="auto" w:fill="auto"/>
            <w:tcMar>
              <w:top w:w="113" w:type="dxa"/>
              <w:left w:w="113" w:type="dxa"/>
              <w:bottom w:w="113" w:type="dxa"/>
              <w:right w:w="113" w:type="dxa"/>
            </w:tcMar>
          </w:tcPr>
          <w:p w14:paraId="5646986C" w14:textId="77777777" w:rsidR="00BB2B23" w:rsidRPr="00325963" w:rsidRDefault="00BB2B23" w:rsidP="00F5693B">
            <w:pPr>
              <w:pStyle w:val="Tablesmalltext"/>
              <w:rPr>
                <w:color w:val="auto"/>
              </w:rPr>
            </w:pPr>
            <w:r w:rsidRPr="00325963">
              <w:rPr>
                <w:color w:val="auto"/>
              </w:rPr>
              <w:t>High GWP Equipment Bans—mobile air conditioning</w:t>
            </w:r>
          </w:p>
        </w:tc>
        <w:tc>
          <w:tcPr>
            <w:tcW w:w="1558" w:type="dxa"/>
            <w:shd w:val="clear" w:color="auto" w:fill="auto"/>
            <w:tcMar>
              <w:top w:w="113" w:type="dxa"/>
              <w:left w:w="113" w:type="dxa"/>
              <w:bottom w:w="113" w:type="dxa"/>
              <w:right w:w="113" w:type="dxa"/>
            </w:tcMar>
          </w:tcPr>
          <w:p w14:paraId="5646986D" w14:textId="77777777" w:rsidR="00BB2B23" w:rsidRPr="00325963" w:rsidRDefault="00BB2B23" w:rsidP="00F5693B">
            <w:pPr>
              <w:pStyle w:val="Tablesmalltext"/>
              <w:rPr>
                <w:color w:val="auto"/>
              </w:rPr>
            </w:pPr>
            <w:r w:rsidRPr="00325963">
              <w:rPr>
                <w:color w:val="auto"/>
              </w:rPr>
              <w:t>-146</w:t>
            </w:r>
          </w:p>
        </w:tc>
        <w:tc>
          <w:tcPr>
            <w:tcW w:w="1559" w:type="dxa"/>
            <w:shd w:val="clear" w:color="auto" w:fill="auto"/>
            <w:tcMar>
              <w:top w:w="113" w:type="dxa"/>
              <w:left w:w="113" w:type="dxa"/>
              <w:bottom w:w="113" w:type="dxa"/>
              <w:right w:w="113" w:type="dxa"/>
            </w:tcMar>
          </w:tcPr>
          <w:p w14:paraId="5646986E" w14:textId="77777777" w:rsidR="00BB2B23" w:rsidRPr="00325963" w:rsidRDefault="00BB2B23" w:rsidP="00F5693B">
            <w:pPr>
              <w:pStyle w:val="Tablesmalltext"/>
              <w:rPr>
                <w:color w:val="auto"/>
              </w:rPr>
            </w:pPr>
            <w:r w:rsidRPr="00325963">
              <w:rPr>
                <w:color w:val="auto"/>
              </w:rPr>
              <w:t>-181</w:t>
            </w:r>
          </w:p>
        </w:tc>
        <w:tc>
          <w:tcPr>
            <w:tcW w:w="1559" w:type="dxa"/>
            <w:shd w:val="clear" w:color="auto" w:fill="auto"/>
            <w:tcMar>
              <w:top w:w="113" w:type="dxa"/>
              <w:left w:w="113" w:type="dxa"/>
              <w:bottom w:w="113" w:type="dxa"/>
              <w:right w:w="113" w:type="dxa"/>
            </w:tcMar>
          </w:tcPr>
          <w:p w14:paraId="5646986F" w14:textId="77777777" w:rsidR="00BB2B23" w:rsidRPr="00325963" w:rsidRDefault="00BB2B23" w:rsidP="00F5693B">
            <w:pPr>
              <w:pStyle w:val="Tablesmalltext"/>
              <w:rPr>
                <w:color w:val="auto"/>
              </w:rPr>
            </w:pPr>
            <w:r w:rsidRPr="00325963">
              <w:rPr>
                <w:color w:val="auto"/>
              </w:rPr>
              <w:t>-209</w:t>
            </w:r>
          </w:p>
        </w:tc>
      </w:tr>
      <w:tr w:rsidR="00BB2B23" w:rsidRPr="00325963" w14:paraId="56469875" w14:textId="77777777" w:rsidTr="00325963">
        <w:trPr>
          <w:trHeight w:val="256"/>
        </w:trPr>
        <w:tc>
          <w:tcPr>
            <w:tcW w:w="4106" w:type="dxa"/>
            <w:shd w:val="clear" w:color="auto" w:fill="auto"/>
            <w:tcMar>
              <w:top w:w="113" w:type="dxa"/>
              <w:left w:w="113" w:type="dxa"/>
              <w:bottom w:w="113" w:type="dxa"/>
              <w:right w:w="113" w:type="dxa"/>
            </w:tcMar>
          </w:tcPr>
          <w:p w14:paraId="56469871" w14:textId="77777777" w:rsidR="00BB2B23" w:rsidRPr="00325963" w:rsidRDefault="00BB2B23" w:rsidP="00F5693B">
            <w:pPr>
              <w:pStyle w:val="Tablesmalltext"/>
              <w:rPr>
                <w:color w:val="auto"/>
              </w:rPr>
            </w:pPr>
            <w:r w:rsidRPr="00325963">
              <w:rPr>
                <w:color w:val="auto"/>
              </w:rPr>
              <w:t>Maintenance</w:t>
            </w:r>
          </w:p>
        </w:tc>
        <w:tc>
          <w:tcPr>
            <w:tcW w:w="1558" w:type="dxa"/>
            <w:shd w:val="clear" w:color="auto" w:fill="auto"/>
            <w:tcMar>
              <w:top w:w="113" w:type="dxa"/>
              <w:left w:w="113" w:type="dxa"/>
              <w:bottom w:w="113" w:type="dxa"/>
              <w:right w:w="113" w:type="dxa"/>
            </w:tcMar>
          </w:tcPr>
          <w:p w14:paraId="56469872" w14:textId="77777777" w:rsidR="00BB2B23" w:rsidRPr="00325963" w:rsidRDefault="00BB2B23" w:rsidP="00F5693B">
            <w:pPr>
              <w:pStyle w:val="Tablesmalltext"/>
              <w:rPr>
                <w:color w:val="auto"/>
              </w:rPr>
            </w:pPr>
            <w:r w:rsidRPr="00325963">
              <w:rPr>
                <w:color w:val="auto"/>
              </w:rPr>
              <w:t>104</w:t>
            </w:r>
          </w:p>
        </w:tc>
        <w:tc>
          <w:tcPr>
            <w:tcW w:w="1559" w:type="dxa"/>
            <w:shd w:val="clear" w:color="auto" w:fill="auto"/>
            <w:tcMar>
              <w:top w:w="113" w:type="dxa"/>
              <w:left w:w="113" w:type="dxa"/>
              <w:bottom w:w="113" w:type="dxa"/>
              <w:right w:w="113" w:type="dxa"/>
            </w:tcMar>
          </w:tcPr>
          <w:p w14:paraId="56469873" w14:textId="77777777" w:rsidR="00BB2B23" w:rsidRPr="00325963" w:rsidRDefault="00BB2B23" w:rsidP="00F5693B">
            <w:pPr>
              <w:pStyle w:val="Tablesmalltext"/>
              <w:rPr>
                <w:color w:val="auto"/>
              </w:rPr>
            </w:pPr>
            <w:r w:rsidRPr="00325963">
              <w:rPr>
                <w:color w:val="auto"/>
              </w:rPr>
              <w:t>106</w:t>
            </w:r>
          </w:p>
        </w:tc>
        <w:tc>
          <w:tcPr>
            <w:tcW w:w="1559" w:type="dxa"/>
            <w:shd w:val="clear" w:color="auto" w:fill="auto"/>
            <w:tcMar>
              <w:top w:w="113" w:type="dxa"/>
              <w:left w:w="113" w:type="dxa"/>
              <w:bottom w:w="113" w:type="dxa"/>
              <w:right w:w="113" w:type="dxa"/>
            </w:tcMar>
          </w:tcPr>
          <w:p w14:paraId="56469874" w14:textId="77777777" w:rsidR="00BB2B23" w:rsidRPr="00325963" w:rsidRDefault="00BB2B23" w:rsidP="00F5693B">
            <w:pPr>
              <w:pStyle w:val="Tablesmalltext"/>
              <w:rPr>
                <w:color w:val="auto"/>
              </w:rPr>
            </w:pPr>
            <w:r w:rsidRPr="00325963">
              <w:rPr>
                <w:color w:val="auto"/>
              </w:rPr>
              <w:t>106</w:t>
            </w:r>
          </w:p>
        </w:tc>
      </w:tr>
      <w:tr w:rsidR="00BB2B23" w:rsidRPr="00325963" w14:paraId="5646987A" w14:textId="77777777" w:rsidTr="00325963">
        <w:trPr>
          <w:trHeight w:val="256"/>
        </w:trPr>
        <w:tc>
          <w:tcPr>
            <w:tcW w:w="4106" w:type="dxa"/>
            <w:shd w:val="clear" w:color="auto" w:fill="auto"/>
            <w:tcMar>
              <w:top w:w="113" w:type="dxa"/>
              <w:left w:w="113" w:type="dxa"/>
              <w:bottom w:w="113" w:type="dxa"/>
              <w:right w:w="113" w:type="dxa"/>
            </w:tcMar>
          </w:tcPr>
          <w:p w14:paraId="56469876" w14:textId="77777777" w:rsidR="00BB2B23" w:rsidRPr="00325963" w:rsidRDefault="00BB2B23" w:rsidP="00F5693B">
            <w:pPr>
              <w:pStyle w:val="Tablesmalltext"/>
              <w:rPr>
                <w:color w:val="auto"/>
              </w:rPr>
            </w:pPr>
            <w:r w:rsidRPr="00325963">
              <w:rPr>
                <w:color w:val="auto"/>
              </w:rPr>
              <w:t>Leak testing</w:t>
            </w:r>
          </w:p>
        </w:tc>
        <w:tc>
          <w:tcPr>
            <w:tcW w:w="1558" w:type="dxa"/>
            <w:shd w:val="clear" w:color="auto" w:fill="auto"/>
            <w:tcMar>
              <w:top w:w="113" w:type="dxa"/>
              <w:left w:w="113" w:type="dxa"/>
              <w:bottom w:w="113" w:type="dxa"/>
              <w:right w:w="113" w:type="dxa"/>
            </w:tcMar>
          </w:tcPr>
          <w:p w14:paraId="56469877" w14:textId="77777777" w:rsidR="00BB2B23" w:rsidRPr="00325963" w:rsidRDefault="00BB2B23" w:rsidP="00F5693B">
            <w:pPr>
              <w:pStyle w:val="Tablesmalltext"/>
              <w:rPr>
                <w:color w:val="auto"/>
              </w:rPr>
            </w:pPr>
            <w:r w:rsidRPr="00325963">
              <w:rPr>
                <w:color w:val="auto"/>
              </w:rPr>
              <w:t>-343</w:t>
            </w:r>
          </w:p>
        </w:tc>
        <w:tc>
          <w:tcPr>
            <w:tcW w:w="1559" w:type="dxa"/>
            <w:shd w:val="clear" w:color="auto" w:fill="auto"/>
            <w:tcMar>
              <w:top w:w="113" w:type="dxa"/>
              <w:left w:w="113" w:type="dxa"/>
              <w:bottom w:w="113" w:type="dxa"/>
              <w:right w:w="113" w:type="dxa"/>
            </w:tcMar>
          </w:tcPr>
          <w:p w14:paraId="56469878" w14:textId="77777777" w:rsidR="00BB2B23" w:rsidRPr="00325963" w:rsidRDefault="00BB2B23" w:rsidP="00F5693B">
            <w:pPr>
              <w:pStyle w:val="Tablesmalltext"/>
              <w:rPr>
                <w:color w:val="auto"/>
              </w:rPr>
            </w:pPr>
            <w:r w:rsidRPr="00325963">
              <w:rPr>
                <w:color w:val="auto"/>
              </w:rPr>
              <w:t>-342</w:t>
            </w:r>
          </w:p>
        </w:tc>
        <w:tc>
          <w:tcPr>
            <w:tcW w:w="1559" w:type="dxa"/>
            <w:shd w:val="clear" w:color="auto" w:fill="auto"/>
            <w:tcMar>
              <w:top w:w="113" w:type="dxa"/>
              <w:left w:w="113" w:type="dxa"/>
              <w:bottom w:w="113" w:type="dxa"/>
              <w:right w:w="113" w:type="dxa"/>
            </w:tcMar>
          </w:tcPr>
          <w:p w14:paraId="56469879" w14:textId="77777777" w:rsidR="00BB2B23" w:rsidRPr="00325963" w:rsidRDefault="00BB2B23" w:rsidP="00F5693B">
            <w:pPr>
              <w:pStyle w:val="Tablesmalltext"/>
              <w:rPr>
                <w:color w:val="auto"/>
              </w:rPr>
            </w:pPr>
            <w:r w:rsidRPr="00325963">
              <w:rPr>
                <w:color w:val="auto"/>
              </w:rPr>
              <w:t>-341</w:t>
            </w:r>
          </w:p>
        </w:tc>
      </w:tr>
    </w:tbl>
    <w:p w14:paraId="5646987B" w14:textId="77777777" w:rsidR="00BB2B23" w:rsidRDefault="00BB2B23" w:rsidP="00BB2B23">
      <w:pPr>
        <w:pStyle w:val="Text"/>
        <w:rPr>
          <w:rStyle w:val="TextItalic"/>
        </w:rPr>
      </w:pPr>
    </w:p>
    <w:p w14:paraId="5646987C" w14:textId="77777777" w:rsidR="00BB2B23" w:rsidRPr="00AC69B2" w:rsidRDefault="00BB2B23" w:rsidP="00AC69B2">
      <w:pPr>
        <w:pStyle w:val="FootnoteText1"/>
        <w:rPr>
          <w:rStyle w:val="FootnoteReference1"/>
          <w:vertAlign w:val="baseline"/>
        </w:rPr>
      </w:pPr>
      <w:r w:rsidRPr="00AC69B2">
        <w:rPr>
          <w:rStyle w:val="FootnoteReference1"/>
          <w:vertAlign w:val="baseline"/>
        </w:rPr>
        <w:t>Source: Jacobs’ analysis</w:t>
      </w:r>
    </w:p>
    <w:p w14:paraId="5646987D" w14:textId="77777777" w:rsidR="00BB2B23" w:rsidRDefault="00BB2B23" w:rsidP="00BB2B23">
      <w:pPr>
        <w:pStyle w:val="Subhead3"/>
      </w:pPr>
      <w:r>
        <w:t>Maintenance frequency under the maintenance and leak detection scenarios</w:t>
      </w:r>
    </w:p>
    <w:p w14:paraId="5646987E" w14:textId="77777777" w:rsidR="00BB2B23" w:rsidRDefault="00BB2B23" w:rsidP="00BB2B23">
      <w:pPr>
        <w:pStyle w:val="Text"/>
      </w:pPr>
      <w:r>
        <w:t>Given the uncertainty around the true amount of maintenance currently being conducted on refrigeration and air conditioning equipment, sensitivity analysis was conducted on this variable to examine how changes in the amount of maintenance might impact on the costs and benefits of the maintenance scenario examined.</w:t>
      </w:r>
    </w:p>
    <w:p w14:paraId="5646987F" w14:textId="77777777" w:rsidR="00BB2B23" w:rsidRDefault="00BB2B23" w:rsidP="00BB2B23">
      <w:pPr>
        <w:pStyle w:val="Text"/>
      </w:pPr>
      <w:r>
        <w:t xml:space="preserve">As the benefits of the maintenance scenario (reduced emissions, electricity and gas costs) were defined by the outputs of the source model, these do not change in response to a change in maintenance frequency. Expert Group do not include a baseline level of maintenance in the source model to determine their estimate of emissions and electricity reductions; this means that it is not possible to compare costs and benefits on an equal basis. This is a significant limitation of the analysis. </w:t>
      </w:r>
    </w:p>
    <w:p w14:paraId="56469880" w14:textId="77777777" w:rsidR="00BB2B23" w:rsidRDefault="00BB2B23" w:rsidP="00BB2B23">
      <w:pPr>
        <w:pStyle w:val="Text"/>
      </w:pPr>
      <w:r>
        <w:t xml:space="preserve">To assist in decision-making, Jacobs varied the baseline maintenance frequency (percentage of equipment currently being maintained in accordance with the proposed maintenance schedule, defined by EU Regulation 517/2014). As Table 15 below demonstrates, the higher the percentage of equipment currently being maintained, the lower the additional cost to implement maintenance requirements. Consequently, the net benefit is higher under an assumption of high existing levels of maintenance. The table also demonstrates that the results are highly sensitive to this assumption. </w:t>
      </w:r>
    </w:p>
    <w:p w14:paraId="56469881" w14:textId="77777777" w:rsidR="00BB2B23" w:rsidRDefault="00BB2B23" w:rsidP="00BB2B23">
      <w:pPr>
        <w:pStyle w:val="Text"/>
      </w:pPr>
    </w:p>
    <w:p w14:paraId="56469882" w14:textId="77777777" w:rsidR="00BB2B23" w:rsidRDefault="00BB2B23" w:rsidP="00BB2B23">
      <w:pPr>
        <w:pStyle w:val="Tabletitle"/>
      </w:pPr>
      <w:r>
        <w:t xml:space="preserve">Table 15: Effect of varying maintenance assumptions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893"/>
        <w:gridCol w:w="1776"/>
        <w:gridCol w:w="2215"/>
        <w:gridCol w:w="1753"/>
      </w:tblGrid>
      <w:tr w:rsidR="00BB2B23" w:rsidRPr="009B5F08" w14:paraId="56469885" w14:textId="77777777" w:rsidTr="009B5F08">
        <w:trPr>
          <w:trHeight w:val="630"/>
          <w:tblHeader/>
        </w:trPr>
        <w:tc>
          <w:tcPr>
            <w:tcW w:w="3019" w:type="dxa"/>
            <w:gridSpan w:val="2"/>
            <w:vMerge w:val="restart"/>
            <w:shd w:val="clear" w:color="auto" w:fill="auto"/>
            <w:tcMar>
              <w:top w:w="113" w:type="dxa"/>
              <w:left w:w="113" w:type="dxa"/>
              <w:bottom w:w="113" w:type="dxa"/>
              <w:right w:w="113" w:type="dxa"/>
            </w:tcMar>
          </w:tcPr>
          <w:p w14:paraId="56469883"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5744" w:type="dxa"/>
            <w:gridSpan w:val="3"/>
            <w:shd w:val="clear" w:color="auto" w:fill="auto"/>
            <w:tcMar>
              <w:top w:w="113" w:type="dxa"/>
              <w:left w:w="113" w:type="dxa"/>
              <w:bottom w:w="113" w:type="dxa"/>
              <w:right w:w="113" w:type="dxa"/>
            </w:tcMar>
          </w:tcPr>
          <w:p w14:paraId="56469884" w14:textId="77777777" w:rsidR="00BB2B23" w:rsidRPr="009B5F08" w:rsidRDefault="00BB2B23" w:rsidP="00F5693B">
            <w:pPr>
              <w:pStyle w:val="Tablesmallheading"/>
              <w:jc w:val="center"/>
              <w:rPr>
                <w:color w:val="auto"/>
              </w:rPr>
            </w:pPr>
            <w:r w:rsidRPr="009B5F08">
              <w:rPr>
                <w:color w:val="auto"/>
              </w:rPr>
              <w:t>Assumed percentage of equipment currently maintained in accordance with schedule defined in EU Regulation 517/2014</w:t>
            </w:r>
          </w:p>
        </w:tc>
      </w:tr>
      <w:tr w:rsidR="00BB2B23" w:rsidRPr="009B5F08" w14:paraId="5646988A" w14:textId="77777777" w:rsidTr="009B5F08">
        <w:trPr>
          <w:trHeight w:val="251"/>
          <w:tblHeader/>
        </w:trPr>
        <w:tc>
          <w:tcPr>
            <w:tcW w:w="3019" w:type="dxa"/>
            <w:gridSpan w:val="2"/>
            <w:vMerge/>
            <w:shd w:val="clear" w:color="auto" w:fill="auto"/>
          </w:tcPr>
          <w:p w14:paraId="56469886"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776" w:type="dxa"/>
            <w:shd w:val="clear" w:color="auto" w:fill="auto"/>
            <w:tcMar>
              <w:top w:w="113" w:type="dxa"/>
              <w:left w:w="113" w:type="dxa"/>
              <w:bottom w:w="113" w:type="dxa"/>
              <w:right w:w="113" w:type="dxa"/>
            </w:tcMar>
          </w:tcPr>
          <w:p w14:paraId="56469887" w14:textId="77777777" w:rsidR="00BB2B23" w:rsidRPr="009B5F08" w:rsidRDefault="00BB2B23" w:rsidP="00F5693B">
            <w:pPr>
              <w:pStyle w:val="Tablesmallheading"/>
              <w:jc w:val="center"/>
              <w:rPr>
                <w:color w:val="auto"/>
              </w:rPr>
            </w:pPr>
            <w:r w:rsidRPr="009B5F08">
              <w:rPr>
                <w:color w:val="auto"/>
              </w:rPr>
              <w:t>30%</w:t>
            </w:r>
          </w:p>
        </w:tc>
        <w:tc>
          <w:tcPr>
            <w:tcW w:w="2215" w:type="dxa"/>
            <w:shd w:val="clear" w:color="auto" w:fill="auto"/>
            <w:tcMar>
              <w:top w:w="113" w:type="dxa"/>
              <w:left w:w="113" w:type="dxa"/>
              <w:bottom w:w="113" w:type="dxa"/>
              <w:right w:w="113" w:type="dxa"/>
            </w:tcMar>
          </w:tcPr>
          <w:p w14:paraId="56469888" w14:textId="77777777" w:rsidR="00BB2B23" w:rsidRPr="009B5F08" w:rsidRDefault="00BB2B23" w:rsidP="00F5693B">
            <w:pPr>
              <w:pStyle w:val="Tablesmallheading"/>
              <w:jc w:val="center"/>
              <w:rPr>
                <w:color w:val="auto"/>
              </w:rPr>
            </w:pPr>
            <w:r w:rsidRPr="009B5F08">
              <w:rPr>
                <w:color w:val="auto"/>
              </w:rPr>
              <w:t>50% (baseline scenario)</w:t>
            </w:r>
          </w:p>
        </w:tc>
        <w:tc>
          <w:tcPr>
            <w:tcW w:w="1753" w:type="dxa"/>
            <w:shd w:val="clear" w:color="auto" w:fill="auto"/>
            <w:tcMar>
              <w:top w:w="113" w:type="dxa"/>
              <w:left w:w="113" w:type="dxa"/>
              <w:bottom w:w="113" w:type="dxa"/>
              <w:right w:w="113" w:type="dxa"/>
            </w:tcMar>
          </w:tcPr>
          <w:p w14:paraId="56469889" w14:textId="77777777" w:rsidR="00BB2B23" w:rsidRPr="009B5F08" w:rsidRDefault="00BB2B23" w:rsidP="00F5693B">
            <w:pPr>
              <w:pStyle w:val="Tablesmallheading"/>
              <w:jc w:val="center"/>
              <w:rPr>
                <w:color w:val="auto"/>
              </w:rPr>
            </w:pPr>
            <w:r w:rsidRPr="009B5F08">
              <w:rPr>
                <w:color w:val="auto"/>
                <w:lang w:val="en-US"/>
              </w:rPr>
              <w:t>80%</w:t>
            </w:r>
          </w:p>
        </w:tc>
      </w:tr>
      <w:tr w:rsidR="00BB2B23" w:rsidRPr="009B5F08" w14:paraId="56469890" w14:textId="77777777" w:rsidTr="009B5F08">
        <w:trPr>
          <w:trHeight w:val="210"/>
        </w:trPr>
        <w:tc>
          <w:tcPr>
            <w:tcW w:w="2126" w:type="dxa"/>
            <w:shd w:val="clear" w:color="auto" w:fill="auto"/>
            <w:tcMar>
              <w:top w:w="113" w:type="dxa"/>
              <w:left w:w="113" w:type="dxa"/>
              <w:bottom w:w="113" w:type="dxa"/>
              <w:right w:w="113" w:type="dxa"/>
            </w:tcMar>
          </w:tcPr>
          <w:p w14:paraId="5646988B" w14:textId="77777777" w:rsidR="00BB2B23" w:rsidRPr="009B5F08" w:rsidRDefault="00BB2B23" w:rsidP="00F5693B">
            <w:pPr>
              <w:pStyle w:val="Tablesmalltext"/>
              <w:rPr>
                <w:color w:val="auto"/>
              </w:rPr>
            </w:pPr>
            <w:r w:rsidRPr="009B5F08">
              <w:rPr>
                <w:color w:val="auto"/>
              </w:rPr>
              <w:t>Benefits</w:t>
            </w:r>
          </w:p>
        </w:tc>
        <w:tc>
          <w:tcPr>
            <w:tcW w:w="893" w:type="dxa"/>
            <w:shd w:val="clear" w:color="auto" w:fill="auto"/>
            <w:tcMar>
              <w:top w:w="113" w:type="dxa"/>
              <w:left w:w="113" w:type="dxa"/>
              <w:bottom w:w="113" w:type="dxa"/>
              <w:right w:w="113" w:type="dxa"/>
            </w:tcMar>
          </w:tcPr>
          <w:p w14:paraId="5646988C" w14:textId="77777777" w:rsidR="00BB2B23" w:rsidRPr="009B5F08" w:rsidRDefault="00BB2B23" w:rsidP="00F5693B">
            <w:pPr>
              <w:pStyle w:val="Tablesmalltext"/>
              <w:jc w:val="center"/>
              <w:rPr>
                <w:color w:val="auto"/>
              </w:rPr>
            </w:pPr>
            <w:r w:rsidRPr="009B5F08">
              <w:rPr>
                <w:color w:val="auto"/>
              </w:rPr>
              <w:t>$M</w:t>
            </w:r>
          </w:p>
        </w:tc>
        <w:tc>
          <w:tcPr>
            <w:tcW w:w="1776" w:type="dxa"/>
            <w:shd w:val="clear" w:color="auto" w:fill="auto"/>
            <w:tcMar>
              <w:top w:w="113" w:type="dxa"/>
              <w:left w:w="113" w:type="dxa"/>
              <w:bottom w:w="113" w:type="dxa"/>
              <w:right w:w="113" w:type="dxa"/>
            </w:tcMar>
          </w:tcPr>
          <w:p w14:paraId="5646988D" w14:textId="77777777" w:rsidR="00BB2B23" w:rsidRPr="009B5F08" w:rsidRDefault="00BB2B23" w:rsidP="00F5693B">
            <w:pPr>
              <w:pStyle w:val="Tablesmalltext"/>
              <w:jc w:val="center"/>
              <w:rPr>
                <w:color w:val="auto"/>
              </w:rPr>
            </w:pPr>
            <w:r w:rsidRPr="009B5F08">
              <w:rPr>
                <w:color w:val="auto"/>
              </w:rPr>
              <w:t>3.7</w:t>
            </w:r>
          </w:p>
        </w:tc>
        <w:tc>
          <w:tcPr>
            <w:tcW w:w="2215" w:type="dxa"/>
            <w:shd w:val="clear" w:color="auto" w:fill="auto"/>
            <w:tcMar>
              <w:top w:w="113" w:type="dxa"/>
              <w:left w:w="113" w:type="dxa"/>
              <w:bottom w:w="113" w:type="dxa"/>
              <w:right w:w="113" w:type="dxa"/>
            </w:tcMar>
          </w:tcPr>
          <w:p w14:paraId="5646988E" w14:textId="77777777" w:rsidR="00BB2B23" w:rsidRPr="009B5F08" w:rsidRDefault="00BB2B23" w:rsidP="00F5693B">
            <w:pPr>
              <w:pStyle w:val="Tablesmalltext"/>
              <w:jc w:val="center"/>
              <w:rPr>
                <w:color w:val="auto"/>
              </w:rPr>
            </w:pPr>
            <w:r w:rsidRPr="009B5F08">
              <w:rPr>
                <w:color w:val="auto"/>
              </w:rPr>
              <w:t>3.7</w:t>
            </w:r>
          </w:p>
        </w:tc>
        <w:tc>
          <w:tcPr>
            <w:tcW w:w="1753" w:type="dxa"/>
            <w:shd w:val="clear" w:color="auto" w:fill="auto"/>
            <w:tcMar>
              <w:top w:w="113" w:type="dxa"/>
              <w:left w:w="113" w:type="dxa"/>
              <w:bottom w:w="113" w:type="dxa"/>
              <w:right w:w="113" w:type="dxa"/>
            </w:tcMar>
          </w:tcPr>
          <w:p w14:paraId="5646988F" w14:textId="77777777" w:rsidR="00BB2B23" w:rsidRPr="009B5F08" w:rsidRDefault="00BB2B23" w:rsidP="00F5693B">
            <w:pPr>
              <w:pStyle w:val="Tablesmalltext"/>
              <w:jc w:val="center"/>
              <w:rPr>
                <w:color w:val="auto"/>
              </w:rPr>
            </w:pPr>
            <w:r w:rsidRPr="009B5F08">
              <w:rPr>
                <w:color w:val="auto"/>
              </w:rPr>
              <w:t>3.7</w:t>
            </w:r>
          </w:p>
        </w:tc>
      </w:tr>
      <w:tr w:rsidR="00BB2B23" w:rsidRPr="009B5F08" w14:paraId="56469896" w14:textId="77777777" w:rsidTr="009B5F08">
        <w:trPr>
          <w:trHeight w:val="210"/>
        </w:trPr>
        <w:tc>
          <w:tcPr>
            <w:tcW w:w="2126" w:type="dxa"/>
            <w:shd w:val="clear" w:color="auto" w:fill="auto"/>
            <w:tcMar>
              <w:top w:w="113" w:type="dxa"/>
              <w:left w:w="113" w:type="dxa"/>
              <w:bottom w:w="113" w:type="dxa"/>
              <w:right w:w="113" w:type="dxa"/>
            </w:tcMar>
          </w:tcPr>
          <w:p w14:paraId="56469891" w14:textId="77777777" w:rsidR="00BB2B23" w:rsidRPr="009B5F08" w:rsidRDefault="00BB2B23" w:rsidP="00F5693B">
            <w:pPr>
              <w:pStyle w:val="Tablesmalltext"/>
              <w:rPr>
                <w:color w:val="auto"/>
              </w:rPr>
            </w:pPr>
            <w:r w:rsidRPr="009B5F08">
              <w:rPr>
                <w:color w:val="auto"/>
                <w:lang w:val="en-US"/>
              </w:rPr>
              <w:lastRenderedPageBreak/>
              <w:t>Costs</w:t>
            </w:r>
          </w:p>
        </w:tc>
        <w:tc>
          <w:tcPr>
            <w:tcW w:w="893" w:type="dxa"/>
            <w:shd w:val="clear" w:color="auto" w:fill="auto"/>
            <w:tcMar>
              <w:top w:w="113" w:type="dxa"/>
              <w:left w:w="113" w:type="dxa"/>
              <w:bottom w:w="113" w:type="dxa"/>
              <w:right w:w="113" w:type="dxa"/>
            </w:tcMar>
          </w:tcPr>
          <w:p w14:paraId="56469892" w14:textId="77777777" w:rsidR="00BB2B23" w:rsidRPr="009B5F08" w:rsidRDefault="00BB2B23" w:rsidP="00F5693B">
            <w:pPr>
              <w:pStyle w:val="Tablesmalltext"/>
              <w:jc w:val="center"/>
              <w:rPr>
                <w:color w:val="auto"/>
              </w:rPr>
            </w:pPr>
            <w:r w:rsidRPr="009B5F08">
              <w:rPr>
                <w:color w:val="auto"/>
              </w:rPr>
              <w:t>$M</w:t>
            </w:r>
          </w:p>
        </w:tc>
        <w:tc>
          <w:tcPr>
            <w:tcW w:w="1776" w:type="dxa"/>
            <w:shd w:val="clear" w:color="auto" w:fill="auto"/>
            <w:tcMar>
              <w:top w:w="113" w:type="dxa"/>
              <w:left w:w="113" w:type="dxa"/>
              <w:bottom w:w="113" w:type="dxa"/>
              <w:right w:w="113" w:type="dxa"/>
            </w:tcMar>
          </w:tcPr>
          <w:p w14:paraId="56469893" w14:textId="77777777" w:rsidR="00BB2B23" w:rsidRPr="009B5F08" w:rsidRDefault="00BB2B23" w:rsidP="00F5693B">
            <w:pPr>
              <w:pStyle w:val="Tablesmalltext"/>
              <w:jc w:val="center"/>
              <w:rPr>
                <w:color w:val="auto"/>
              </w:rPr>
            </w:pPr>
            <w:r w:rsidRPr="009B5F08">
              <w:rPr>
                <w:color w:val="auto"/>
              </w:rPr>
              <w:t>4.5</w:t>
            </w:r>
          </w:p>
        </w:tc>
        <w:tc>
          <w:tcPr>
            <w:tcW w:w="2215" w:type="dxa"/>
            <w:shd w:val="clear" w:color="auto" w:fill="auto"/>
            <w:tcMar>
              <w:top w:w="113" w:type="dxa"/>
              <w:left w:w="113" w:type="dxa"/>
              <w:bottom w:w="113" w:type="dxa"/>
              <w:right w:w="113" w:type="dxa"/>
            </w:tcMar>
          </w:tcPr>
          <w:p w14:paraId="56469894" w14:textId="77777777" w:rsidR="00BB2B23" w:rsidRPr="009B5F08" w:rsidRDefault="00BB2B23" w:rsidP="00F5693B">
            <w:pPr>
              <w:pStyle w:val="Tablesmalltext"/>
              <w:jc w:val="center"/>
              <w:rPr>
                <w:color w:val="auto"/>
              </w:rPr>
            </w:pPr>
            <w:r w:rsidRPr="009B5F08">
              <w:rPr>
                <w:color w:val="auto"/>
              </w:rPr>
              <w:t>3.6</w:t>
            </w:r>
          </w:p>
        </w:tc>
        <w:tc>
          <w:tcPr>
            <w:tcW w:w="1753" w:type="dxa"/>
            <w:shd w:val="clear" w:color="auto" w:fill="auto"/>
            <w:tcMar>
              <w:top w:w="113" w:type="dxa"/>
              <w:left w:w="113" w:type="dxa"/>
              <w:bottom w:w="113" w:type="dxa"/>
              <w:right w:w="113" w:type="dxa"/>
            </w:tcMar>
          </w:tcPr>
          <w:p w14:paraId="56469895" w14:textId="77777777" w:rsidR="00BB2B23" w:rsidRPr="009B5F08" w:rsidRDefault="00BB2B23" w:rsidP="00F5693B">
            <w:pPr>
              <w:pStyle w:val="Tablesmalltext"/>
              <w:jc w:val="center"/>
              <w:rPr>
                <w:color w:val="auto"/>
              </w:rPr>
            </w:pPr>
            <w:r w:rsidRPr="009B5F08">
              <w:rPr>
                <w:color w:val="auto"/>
              </w:rPr>
              <w:t>2.1</w:t>
            </w:r>
          </w:p>
        </w:tc>
      </w:tr>
      <w:tr w:rsidR="00BB2B23" w:rsidRPr="009B5F08" w14:paraId="5646989C" w14:textId="77777777" w:rsidTr="009B5F08">
        <w:trPr>
          <w:trHeight w:val="62"/>
        </w:trPr>
        <w:tc>
          <w:tcPr>
            <w:tcW w:w="2126" w:type="dxa"/>
            <w:shd w:val="clear" w:color="auto" w:fill="auto"/>
            <w:tcMar>
              <w:top w:w="113" w:type="dxa"/>
              <w:left w:w="113" w:type="dxa"/>
              <w:bottom w:w="113" w:type="dxa"/>
              <w:right w:w="113" w:type="dxa"/>
            </w:tcMar>
          </w:tcPr>
          <w:p w14:paraId="56469897" w14:textId="77777777" w:rsidR="00BB2B23" w:rsidRPr="009B5F08" w:rsidRDefault="00BB2B23" w:rsidP="00F5693B">
            <w:pPr>
              <w:pStyle w:val="Tablesmalltext"/>
              <w:rPr>
                <w:color w:val="auto"/>
              </w:rPr>
            </w:pPr>
            <w:r w:rsidRPr="009B5F08">
              <w:rPr>
                <w:color w:val="auto"/>
                <w:lang w:val="en-US"/>
              </w:rPr>
              <w:t>NPV, 2016–2030</w:t>
            </w:r>
          </w:p>
        </w:tc>
        <w:tc>
          <w:tcPr>
            <w:tcW w:w="893" w:type="dxa"/>
            <w:shd w:val="clear" w:color="auto" w:fill="auto"/>
            <w:tcMar>
              <w:top w:w="113" w:type="dxa"/>
              <w:left w:w="113" w:type="dxa"/>
              <w:bottom w:w="113" w:type="dxa"/>
              <w:right w:w="113" w:type="dxa"/>
            </w:tcMar>
          </w:tcPr>
          <w:p w14:paraId="56469898" w14:textId="77777777" w:rsidR="00BB2B23" w:rsidRPr="009B5F08" w:rsidRDefault="00BB2B23" w:rsidP="00F5693B">
            <w:pPr>
              <w:pStyle w:val="Tablesmalltext"/>
              <w:jc w:val="center"/>
              <w:rPr>
                <w:color w:val="auto"/>
              </w:rPr>
            </w:pPr>
            <w:r w:rsidRPr="009B5F08">
              <w:rPr>
                <w:color w:val="auto"/>
              </w:rPr>
              <w:t>$M</w:t>
            </w:r>
          </w:p>
        </w:tc>
        <w:tc>
          <w:tcPr>
            <w:tcW w:w="1776" w:type="dxa"/>
            <w:shd w:val="clear" w:color="auto" w:fill="auto"/>
            <w:tcMar>
              <w:top w:w="113" w:type="dxa"/>
              <w:left w:w="113" w:type="dxa"/>
              <w:bottom w:w="113" w:type="dxa"/>
              <w:right w:w="113" w:type="dxa"/>
            </w:tcMar>
          </w:tcPr>
          <w:p w14:paraId="56469899" w14:textId="77777777" w:rsidR="00BB2B23" w:rsidRPr="009B5F08" w:rsidRDefault="00BB2B23" w:rsidP="00F5693B">
            <w:pPr>
              <w:pStyle w:val="Tablesmalltext"/>
              <w:jc w:val="center"/>
              <w:rPr>
                <w:color w:val="auto"/>
              </w:rPr>
            </w:pPr>
            <w:r w:rsidRPr="009B5F08">
              <w:rPr>
                <w:color w:val="auto"/>
              </w:rPr>
              <w:t>-0.8</w:t>
            </w:r>
          </w:p>
        </w:tc>
        <w:tc>
          <w:tcPr>
            <w:tcW w:w="2215" w:type="dxa"/>
            <w:shd w:val="clear" w:color="auto" w:fill="auto"/>
            <w:tcMar>
              <w:top w:w="113" w:type="dxa"/>
              <w:left w:w="113" w:type="dxa"/>
              <w:bottom w:w="113" w:type="dxa"/>
              <w:right w:w="113" w:type="dxa"/>
            </w:tcMar>
          </w:tcPr>
          <w:p w14:paraId="5646989A" w14:textId="77777777" w:rsidR="00BB2B23" w:rsidRPr="009B5F08" w:rsidRDefault="00BB2B23" w:rsidP="00F5693B">
            <w:pPr>
              <w:pStyle w:val="Tablesmalltext"/>
              <w:jc w:val="center"/>
              <w:rPr>
                <w:color w:val="auto"/>
              </w:rPr>
            </w:pPr>
            <w:r w:rsidRPr="009B5F08">
              <w:rPr>
                <w:color w:val="auto"/>
              </w:rPr>
              <w:t>0.1</w:t>
            </w:r>
          </w:p>
        </w:tc>
        <w:tc>
          <w:tcPr>
            <w:tcW w:w="1753" w:type="dxa"/>
            <w:shd w:val="clear" w:color="auto" w:fill="auto"/>
            <w:tcMar>
              <w:top w:w="113" w:type="dxa"/>
              <w:left w:w="113" w:type="dxa"/>
              <w:bottom w:w="113" w:type="dxa"/>
              <w:right w:w="113" w:type="dxa"/>
            </w:tcMar>
          </w:tcPr>
          <w:p w14:paraId="5646989B" w14:textId="77777777" w:rsidR="00BB2B23" w:rsidRPr="009B5F08" w:rsidRDefault="00BB2B23" w:rsidP="00F5693B">
            <w:pPr>
              <w:pStyle w:val="Tablesmalltext"/>
              <w:jc w:val="center"/>
              <w:rPr>
                <w:color w:val="auto"/>
              </w:rPr>
            </w:pPr>
            <w:r w:rsidRPr="009B5F08">
              <w:rPr>
                <w:color w:val="auto"/>
              </w:rPr>
              <w:t>1.6</w:t>
            </w:r>
          </w:p>
        </w:tc>
      </w:tr>
      <w:tr w:rsidR="00BB2B23" w:rsidRPr="009B5F08" w14:paraId="564698A2" w14:textId="77777777" w:rsidTr="009B5F08">
        <w:trPr>
          <w:trHeight w:val="210"/>
        </w:trPr>
        <w:tc>
          <w:tcPr>
            <w:tcW w:w="2126" w:type="dxa"/>
            <w:shd w:val="clear" w:color="auto" w:fill="auto"/>
            <w:tcMar>
              <w:top w:w="113" w:type="dxa"/>
              <w:left w:w="113" w:type="dxa"/>
              <w:bottom w:w="113" w:type="dxa"/>
              <w:right w:w="113" w:type="dxa"/>
            </w:tcMar>
          </w:tcPr>
          <w:p w14:paraId="5646989D" w14:textId="77777777" w:rsidR="00BB2B23" w:rsidRPr="009B5F08" w:rsidRDefault="00BB2B23" w:rsidP="00F5693B">
            <w:pPr>
              <w:pStyle w:val="Tablesmalltext"/>
              <w:rPr>
                <w:color w:val="auto"/>
              </w:rPr>
            </w:pPr>
            <w:r w:rsidRPr="009B5F08">
              <w:rPr>
                <w:color w:val="auto"/>
              </w:rPr>
              <w:t>Benefit cost ratio</w:t>
            </w:r>
          </w:p>
        </w:tc>
        <w:tc>
          <w:tcPr>
            <w:tcW w:w="893" w:type="dxa"/>
            <w:shd w:val="clear" w:color="auto" w:fill="auto"/>
            <w:tcMar>
              <w:top w:w="113" w:type="dxa"/>
              <w:left w:w="113" w:type="dxa"/>
              <w:bottom w:w="113" w:type="dxa"/>
              <w:right w:w="113" w:type="dxa"/>
            </w:tcMar>
          </w:tcPr>
          <w:p w14:paraId="5646989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776" w:type="dxa"/>
            <w:shd w:val="clear" w:color="auto" w:fill="auto"/>
            <w:tcMar>
              <w:top w:w="113" w:type="dxa"/>
              <w:left w:w="113" w:type="dxa"/>
              <w:bottom w:w="113" w:type="dxa"/>
              <w:right w:w="113" w:type="dxa"/>
            </w:tcMar>
          </w:tcPr>
          <w:p w14:paraId="5646989F" w14:textId="77777777" w:rsidR="00BB2B23" w:rsidRPr="009B5F08" w:rsidRDefault="00BB2B23" w:rsidP="00F5693B">
            <w:pPr>
              <w:pStyle w:val="Tablesmalltext"/>
              <w:jc w:val="center"/>
              <w:rPr>
                <w:color w:val="auto"/>
              </w:rPr>
            </w:pPr>
            <w:r w:rsidRPr="009B5F08">
              <w:rPr>
                <w:color w:val="auto"/>
              </w:rPr>
              <w:t>0.8</w:t>
            </w:r>
          </w:p>
        </w:tc>
        <w:tc>
          <w:tcPr>
            <w:tcW w:w="2215" w:type="dxa"/>
            <w:shd w:val="clear" w:color="auto" w:fill="auto"/>
            <w:tcMar>
              <w:top w:w="113" w:type="dxa"/>
              <w:left w:w="113" w:type="dxa"/>
              <w:bottom w:w="113" w:type="dxa"/>
              <w:right w:w="113" w:type="dxa"/>
            </w:tcMar>
          </w:tcPr>
          <w:p w14:paraId="564698A0" w14:textId="77777777" w:rsidR="00BB2B23" w:rsidRPr="009B5F08" w:rsidRDefault="00BB2B23" w:rsidP="00F5693B">
            <w:pPr>
              <w:pStyle w:val="Tablesmalltext"/>
              <w:jc w:val="center"/>
              <w:rPr>
                <w:color w:val="auto"/>
              </w:rPr>
            </w:pPr>
            <w:r w:rsidRPr="009B5F08">
              <w:rPr>
                <w:color w:val="auto"/>
              </w:rPr>
              <w:t>1.0</w:t>
            </w:r>
          </w:p>
        </w:tc>
        <w:tc>
          <w:tcPr>
            <w:tcW w:w="1753" w:type="dxa"/>
            <w:shd w:val="clear" w:color="auto" w:fill="auto"/>
            <w:tcMar>
              <w:top w:w="113" w:type="dxa"/>
              <w:left w:w="113" w:type="dxa"/>
              <w:bottom w:w="113" w:type="dxa"/>
              <w:right w:w="113" w:type="dxa"/>
            </w:tcMar>
          </w:tcPr>
          <w:p w14:paraId="564698A1" w14:textId="77777777" w:rsidR="00BB2B23" w:rsidRPr="009B5F08" w:rsidRDefault="00BB2B23" w:rsidP="00F5693B">
            <w:pPr>
              <w:pStyle w:val="Tablesmalltext"/>
              <w:jc w:val="center"/>
              <w:rPr>
                <w:color w:val="auto"/>
              </w:rPr>
            </w:pPr>
            <w:r w:rsidRPr="009B5F08">
              <w:rPr>
                <w:color w:val="auto"/>
                <w:lang w:val="en-US"/>
              </w:rPr>
              <w:t>1.7</w:t>
            </w:r>
          </w:p>
        </w:tc>
      </w:tr>
    </w:tbl>
    <w:p w14:paraId="564698A3" w14:textId="77777777" w:rsidR="00BB2B23" w:rsidRDefault="00BB2B23" w:rsidP="00BB2B23">
      <w:pPr>
        <w:pStyle w:val="Text"/>
      </w:pPr>
    </w:p>
    <w:p w14:paraId="564698A4" w14:textId="77777777" w:rsidR="00BB2B23" w:rsidRDefault="00BB2B23" w:rsidP="00BB2B23">
      <w:pPr>
        <w:pStyle w:val="Tabletitle"/>
      </w:pPr>
      <w:r>
        <w:t>Table 16: Effect of varying leak detection assumptions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3"/>
        <w:gridCol w:w="761"/>
        <w:gridCol w:w="1765"/>
        <w:gridCol w:w="2693"/>
        <w:gridCol w:w="1529"/>
      </w:tblGrid>
      <w:tr w:rsidR="00BB2B23" w:rsidRPr="009B5F08" w14:paraId="564698A7" w14:textId="77777777" w:rsidTr="009B5F08">
        <w:trPr>
          <w:trHeight w:val="630"/>
          <w:tblHeader/>
        </w:trPr>
        <w:tc>
          <w:tcPr>
            <w:tcW w:w="2804" w:type="dxa"/>
            <w:gridSpan w:val="2"/>
            <w:vMerge w:val="restart"/>
            <w:shd w:val="clear" w:color="auto" w:fill="auto"/>
            <w:tcMar>
              <w:top w:w="113" w:type="dxa"/>
              <w:left w:w="113" w:type="dxa"/>
              <w:bottom w:w="113" w:type="dxa"/>
              <w:right w:w="113" w:type="dxa"/>
            </w:tcMar>
          </w:tcPr>
          <w:p w14:paraId="564698A5"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5987" w:type="dxa"/>
            <w:gridSpan w:val="3"/>
            <w:shd w:val="clear" w:color="auto" w:fill="auto"/>
            <w:tcMar>
              <w:top w:w="113" w:type="dxa"/>
              <w:left w:w="113" w:type="dxa"/>
              <w:bottom w:w="113" w:type="dxa"/>
              <w:right w:w="113" w:type="dxa"/>
            </w:tcMar>
          </w:tcPr>
          <w:p w14:paraId="564698A6" w14:textId="77777777" w:rsidR="00BB2B23" w:rsidRPr="009B5F08" w:rsidRDefault="00BB2B23" w:rsidP="00F5693B">
            <w:pPr>
              <w:pStyle w:val="Tablesmallheading"/>
              <w:jc w:val="center"/>
              <w:rPr>
                <w:color w:val="auto"/>
              </w:rPr>
            </w:pPr>
            <w:r w:rsidRPr="009B5F08">
              <w:rPr>
                <w:color w:val="auto"/>
              </w:rPr>
              <w:t>Assumed percentage of equipment currently leak tested in accordance with schedule defined in EU Regulation 517/2014</w:t>
            </w:r>
          </w:p>
        </w:tc>
      </w:tr>
      <w:tr w:rsidR="00BB2B23" w:rsidRPr="009B5F08" w14:paraId="564698AC" w14:textId="77777777" w:rsidTr="009B5F08">
        <w:trPr>
          <w:trHeight w:val="314"/>
          <w:tblHeader/>
        </w:trPr>
        <w:tc>
          <w:tcPr>
            <w:tcW w:w="2804" w:type="dxa"/>
            <w:gridSpan w:val="2"/>
            <w:vMerge/>
            <w:shd w:val="clear" w:color="auto" w:fill="auto"/>
          </w:tcPr>
          <w:p w14:paraId="564698A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765" w:type="dxa"/>
            <w:shd w:val="clear" w:color="auto" w:fill="auto"/>
            <w:tcMar>
              <w:top w:w="113" w:type="dxa"/>
              <w:left w:w="113" w:type="dxa"/>
              <w:bottom w:w="113" w:type="dxa"/>
              <w:right w:w="113" w:type="dxa"/>
            </w:tcMar>
          </w:tcPr>
          <w:p w14:paraId="564698A9" w14:textId="77777777" w:rsidR="00BB2B23" w:rsidRPr="009B5F08" w:rsidRDefault="00BB2B23" w:rsidP="00F5693B">
            <w:pPr>
              <w:pStyle w:val="Tablesmallheading"/>
              <w:jc w:val="center"/>
              <w:rPr>
                <w:color w:val="auto"/>
              </w:rPr>
            </w:pPr>
            <w:r w:rsidRPr="009B5F08">
              <w:rPr>
                <w:color w:val="auto"/>
              </w:rPr>
              <w:t>30%</w:t>
            </w:r>
          </w:p>
        </w:tc>
        <w:tc>
          <w:tcPr>
            <w:tcW w:w="2693" w:type="dxa"/>
            <w:shd w:val="clear" w:color="auto" w:fill="auto"/>
            <w:tcMar>
              <w:top w:w="113" w:type="dxa"/>
              <w:left w:w="113" w:type="dxa"/>
              <w:bottom w:w="113" w:type="dxa"/>
              <w:right w:w="113" w:type="dxa"/>
            </w:tcMar>
          </w:tcPr>
          <w:p w14:paraId="564698AA" w14:textId="77777777" w:rsidR="00BB2B23" w:rsidRPr="009B5F08" w:rsidRDefault="00BB2B23" w:rsidP="00F5693B">
            <w:pPr>
              <w:pStyle w:val="Tablesmallheading"/>
              <w:jc w:val="center"/>
              <w:rPr>
                <w:color w:val="auto"/>
              </w:rPr>
            </w:pPr>
            <w:r w:rsidRPr="009B5F08">
              <w:rPr>
                <w:color w:val="auto"/>
              </w:rPr>
              <w:t>50% (baseline scenario)</w:t>
            </w:r>
          </w:p>
        </w:tc>
        <w:tc>
          <w:tcPr>
            <w:tcW w:w="1529" w:type="dxa"/>
            <w:shd w:val="clear" w:color="auto" w:fill="auto"/>
            <w:tcMar>
              <w:top w:w="113" w:type="dxa"/>
              <w:left w:w="113" w:type="dxa"/>
              <w:bottom w:w="113" w:type="dxa"/>
              <w:right w:w="113" w:type="dxa"/>
            </w:tcMar>
          </w:tcPr>
          <w:p w14:paraId="564698AB" w14:textId="77777777" w:rsidR="00BB2B23" w:rsidRPr="009B5F08" w:rsidRDefault="00BB2B23" w:rsidP="00F5693B">
            <w:pPr>
              <w:pStyle w:val="Tablesmallheading"/>
              <w:jc w:val="center"/>
              <w:rPr>
                <w:color w:val="auto"/>
              </w:rPr>
            </w:pPr>
            <w:r w:rsidRPr="009B5F08">
              <w:rPr>
                <w:color w:val="auto"/>
              </w:rPr>
              <w:t>80%</w:t>
            </w:r>
          </w:p>
        </w:tc>
      </w:tr>
      <w:tr w:rsidR="00BB2B23" w:rsidRPr="009B5F08" w14:paraId="564698B2" w14:textId="77777777" w:rsidTr="009B5F08">
        <w:trPr>
          <w:trHeight w:val="210"/>
        </w:trPr>
        <w:tc>
          <w:tcPr>
            <w:tcW w:w="2043" w:type="dxa"/>
            <w:shd w:val="clear" w:color="auto" w:fill="auto"/>
            <w:tcMar>
              <w:top w:w="113" w:type="dxa"/>
              <w:left w:w="113" w:type="dxa"/>
              <w:bottom w:w="113" w:type="dxa"/>
              <w:right w:w="113" w:type="dxa"/>
            </w:tcMar>
          </w:tcPr>
          <w:p w14:paraId="564698AD" w14:textId="77777777" w:rsidR="00BB2B23" w:rsidRPr="009B5F08" w:rsidRDefault="00BB2B23" w:rsidP="00F5693B">
            <w:pPr>
              <w:pStyle w:val="Tablesmalltext"/>
              <w:rPr>
                <w:color w:val="auto"/>
              </w:rPr>
            </w:pPr>
            <w:r w:rsidRPr="009B5F08">
              <w:rPr>
                <w:color w:val="auto"/>
              </w:rPr>
              <w:t>Benefits</w:t>
            </w:r>
          </w:p>
        </w:tc>
        <w:tc>
          <w:tcPr>
            <w:tcW w:w="761" w:type="dxa"/>
            <w:shd w:val="clear" w:color="auto" w:fill="auto"/>
            <w:tcMar>
              <w:top w:w="113" w:type="dxa"/>
              <w:left w:w="113" w:type="dxa"/>
              <w:bottom w:w="113" w:type="dxa"/>
              <w:right w:w="113" w:type="dxa"/>
            </w:tcMar>
          </w:tcPr>
          <w:p w14:paraId="564698AE" w14:textId="77777777" w:rsidR="00BB2B23" w:rsidRPr="009B5F08" w:rsidRDefault="00BB2B23" w:rsidP="00F5693B">
            <w:pPr>
              <w:pStyle w:val="Tablesmalltext"/>
              <w:jc w:val="center"/>
              <w:rPr>
                <w:color w:val="auto"/>
              </w:rPr>
            </w:pPr>
            <w:r w:rsidRPr="009B5F08">
              <w:rPr>
                <w:color w:val="auto"/>
              </w:rPr>
              <w:t>$M</w:t>
            </w:r>
          </w:p>
        </w:tc>
        <w:tc>
          <w:tcPr>
            <w:tcW w:w="1765" w:type="dxa"/>
            <w:shd w:val="clear" w:color="auto" w:fill="auto"/>
            <w:tcMar>
              <w:top w:w="113" w:type="dxa"/>
              <w:left w:w="113" w:type="dxa"/>
              <w:bottom w:w="113" w:type="dxa"/>
              <w:right w:w="113" w:type="dxa"/>
            </w:tcMar>
          </w:tcPr>
          <w:p w14:paraId="564698AF" w14:textId="77777777" w:rsidR="00BB2B23" w:rsidRPr="009B5F08" w:rsidRDefault="00BB2B23" w:rsidP="00F5693B">
            <w:pPr>
              <w:pStyle w:val="Tablesmalltext"/>
              <w:jc w:val="center"/>
              <w:rPr>
                <w:color w:val="auto"/>
              </w:rPr>
            </w:pPr>
            <w:r w:rsidRPr="009B5F08">
              <w:rPr>
                <w:color w:val="auto"/>
              </w:rPr>
              <w:t>0.6</w:t>
            </w:r>
          </w:p>
        </w:tc>
        <w:tc>
          <w:tcPr>
            <w:tcW w:w="2693" w:type="dxa"/>
            <w:shd w:val="clear" w:color="auto" w:fill="auto"/>
            <w:tcMar>
              <w:top w:w="113" w:type="dxa"/>
              <w:left w:w="113" w:type="dxa"/>
              <w:bottom w:w="113" w:type="dxa"/>
              <w:right w:w="113" w:type="dxa"/>
            </w:tcMar>
          </w:tcPr>
          <w:p w14:paraId="564698B0" w14:textId="77777777" w:rsidR="00BB2B23" w:rsidRPr="009B5F08" w:rsidRDefault="00BB2B23" w:rsidP="00F5693B">
            <w:pPr>
              <w:pStyle w:val="Tablesmalltext"/>
              <w:jc w:val="center"/>
              <w:rPr>
                <w:color w:val="auto"/>
              </w:rPr>
            </w:pPr>
            <w:r w:rsidRPr="009B5F08">
              <w:rPr>
                <w:color w:val="auto"/>
              </w:rPr>
              <w:t>0.6</w:t>
            </w:r>
          </w:p>
        </w:tc>
        <w:tc>
          <w:tcPr>
            <w:tcW w:w="1529" w:type="dxa"/>
            <w:shd w:val="clear" w:color="auto" w:fill="auto"/>
            <w:tcMar>
              <w:top w:w="113" w:type="dxa"/>
              <w:left w:w="113" w:type="dxa"/>
              <w:bottom w:w="113" w:type="dxa"/>
              <w:right w:w="113" w:type="dxa"/>
            </w:tcMar>
          </w:tcPr>
          <w:p w14:paraId="564698B1" w14:textId="77777777" w:rsidR="00BB2B23" w:rsidRPr="009B5F08" w:rsidRDefault="00BB2B23" w:rsidP="00F5693B">
            <w:pPr>
              <w:pStyle w:val="Tablesmalltext"/>
              <w:jc w:val="center"/>
              <w:rPr>
                <w:color w:val="auto"/>
              </w:rPr>
            </w:pPr>
            <w:r w:rsidRPr="009B5F08">
              <w:rPr>
                <w:color w:val="auto"/>
              </w:rPr>
              <w:t>0.6</w:t>
            </w:r>
          </w:p>
        </w:tc>
      </w:tr>
      <w:tr w:rsidR="00BB2B23" w:rsidRPr="009B5F08" w14:paraId="564698B8" w14:textId="77777777" w:rsidTr="009B5F08">
        <w:trPr>
          <w:trHeight w:val="210"/>
        </w:trPr>
        <w:tc>
          <w:tcPr>
            <w:tcW w:w="2043" w:type="dxa"/>
            <w:shd w:val="clear" w:color="auto" w:fill="auto"/>
            <w:tcMar>
              <w:top w:w="113" w:type="dxa"/>
              <w:left w:w="113" w:type="dxa"/>
              <w:bottom w:w="113" w:type="dxa"/>
              <w:right w:w="113" w:type="dxa"/>
            </w:tcMar>
          </w:tcPr>
          <w:p w14:paraId="564698B3" w14:textId="77777777" w:rsidR="00BB2B23" w:rsidRPr="009B5F08" w:rsidRDefault="00BB2B23" w:rsidP="00F5693B">
            <w:pPr>
              <w:pStyle w:val="Tablesmalltext"/>
              <w:rPr>
                <w:color w:val="auto"/>
              </w:rPr>
            </w:pPr>
            <w:r w:rsidRPr="009B5F08">
              <w:rPr>
                <w:color w:val="auto"/>
              </w:rPr>
              <w:t>Costs</w:t>
            </w:r>
          </w:p>
        </w:tc>
        <w:tc>
          <w:tcPr>
            <w:tcW w:w="761" w:type="dxa"/>
            <w:shd w:val="clear" w:color="auto" w:fill="auto"/>
            <w:tcMar>
              <w:top w:w="113" w:type="dxa"/>
              <w:left w:w="113" w:type="dxa"/>
              <w:bottom w:w="113" w:type="dxa"/>
              <w:right w:w="113" w:type="dxa"/>
            </w:tcMar>
          </w:tcPr>
          <w:p w14:paraId="564698B4" w14:textId="77777777" w:rsidR="00BB2B23" w:rsidRPr="009B5F08" w:rsidRDefault="00BB2B23" w:rsidP="00F5693B">
            <w:pPr>
              <w:pStyle w:val="Tablesmalltext"/>
              <w:jc w:val="center"/>
              <w:rPr>
                <w:color w:val="auto"/>
              </w:rPr>
            </w:pPr>
            <w:r w:rsidRPr="009B5F08">
              <w:rPr>
                <w:color w:val="auto"/>
              </w:rPr>
              <w:t>$M</w:t>
            </w:r>
          </w:p>
        </w:tc>
        <w:tc>
          <w:tcPr>
            <w:tcW w:w="1765" w:type="dxa"/>
            <w:shd w:val="clear" w:color="auto" w:fill="auto"/>
            <w:tcMar>
              <w:top w:w="113" w:type="dxa"/>
              <w:left w:w="113" w:type="dxa"/>
              <w:bottom w:w="113" w:type="dxa"/>
              <w:right w:w="113" w:type="dxa"/>
            </w:tcMar>
          </w:tcPr>
          <w:p w14:paraId="564698B5" w14:textId="77777777" w:rsidR="00BB2B23" w:rsidRPr="009B5F08" w:rsidRDefault="00BB2B23" w:rsidP="00F5693B">
            <w:pPr>
              <w:pStyle w:val="Tablesmalltext"/>
              <w:jc w:val="center"/>
              <w:rPr>
                <w:color w:val="auto"/>
              </w:rPr>
            </w:pPr>
            <w:r w:rsidRPr="009B5F08">
              <w:rPr>
                <w:color w:val="auto"/>
              </w:rPr>
              <w:t>1.2</w:t>
            </w:r>
          </w:p>
        </w:tc>
        <w:tc>
          <w:tcPr>
            <w:tcW w:w="2693" w:type="dxa"/>
            <w:shd w:val="clear" w:color="auto" w:fill="auto"/>
            <w:tcMar>
              <w:top w:w="113" w:type="dxa"/>
              <w:left w:w="113" w:type="dxa"/>
              <w:bottom w:w="113" w:type="dxa"/>
              <w:right w:w="113" w:type="dxa"/>
            </w:tcMar>
          </w:tcPr>
          <w:p w14:paraId="564698B6" w14:textId="77777777" w:rsidR="00BB2B23" w:rsidRPr="009B5F08" w:rsidRDefault="00BB2B23" w:rsidP="00F5693B">
            <w:pPr>
              <w:pStyle w:val="Tablesmalltext"/>
              <w:jc w:val="center"/>
              <w:rPr>
                <w:color w:val="auto"/>
              </w:rPr>
            </w:pPr>
            <w:r w:rsidRPr="009B5F08">
              <w:rPr>
                <w:color w:val="auto"/>
              </w:rPr>
              <w:t>0.9</w:t>
            </w:r>
          </w:p>
        </w:tc>
        <w:tc>
          <w:tcPr>
            <w:tcW w:w="1529" w:type="dxa"/>
            <w:shd w:val="clear" w:color="auto" w:fill="auto"/>
            <w:tcMar>
              <w:top w:w="113" w:type="dxa"/>
              <w:left w:w="113" w:type="dxa"/>
              <w:bottom w:w="113" w:type="dxa"/>
              <w:right w:w="113" w:type="dxa"/>
            </w:tcMar>
          </w:tcPr>
          <w:p w14:paraId="564698B7" w14:textId="77777777" w:rsidR="00BB2B23" w:rsidRPr="009B5F08" w:rsidRDefault="00BB2B23" w:rsidP="00F5693B">
            <w:pPr>
              <w:pStyle w:val="Tablesmalltext"/>
              <w:jc w:val="center"/>
              <w:rPr>
                <w:color w:val="auto"/>
              </w:rPr>
            </w:pPr>
            <w:r w:rsidRPr="009B5F08">
              <w:rPr>
                <w:color w:val="auto"/>
              </w:rPr>
              <w:t>0.5</w:t>
            </w:r>
          </w:p>
        </w:tc>
      </w:tr>
      <w:tr w:rsidR="00BB2B23" w:rsidRPr="009B5F08" w14:paraId="564698BE" w14:textId="77777777" w:rsidTr="009B5F08">
        <w:trPr>
          <w:trHeight w:val="62"/>
        </w:trPr>
        <w:tc>
          <w:tcPr>
            <w:tcW w:w="2043" w:type="dxa"/>
            <w:shd w:val="clear" w:color="auto" w:fill="auto"/>
            <w:tcMar>
              <w:top w:w="113" w:type="dxa"/>
              <w:left w:w="113" w:type="dxa"/>
              <w:bottom w:w="113" w:type="dxa"/>
              <w:right w:w="113" w:type="dxa"/>
            </w:tcMar>
          </w:tcPr>
          <w:p w14:paraId="564698B9" w14:textId="77777777" w:rsidR="00BB2B23" w:rsidRPr="009B5F08" w:rsidRDefault="00BB2B23" w:rsidP="00F5693B">
            <w:pPr>
              <w:pStyle w:val="Tablesmalltext"/>
              <w:rPr>
                <w:color w:val="auto"/>
              </w:rPr>
            </w:pPr>
            <w:r w:rsidRPr="009B5F08">
              <w:rPr>
                <w:color w:val="auto"/>
              </w:rPr>
              <w:t>NPV, 2016–2030</w:t>
            </w:r>
          </w:p>
        </w:tc>
        <w:tc>
          <w:tcPr>
            <w:tcW w:w="761" w:type="dxa"/>
            <w:shd w:val="clear" w:color="auto" w:fill="auto"/>
            <w:tcMar>
              <w:top w:w="113" w:type="dxa"/>
              <w:left w:w="113" w:type="dxa"/>
              <w:bottom w:w="113" w:type="dxa"/>
              <w:right w:w="113" w:type="dxa"/>
            </w:tcMar>
          </w:tcPr>
          <w:p w14:paraId="564698BA" w14:textId="77777777" w:rsidR="00BB2B23" w:rsidRPr="009B5F08" w:rsidRDefault="00BB2B23" w:rsidP="00F5693B">
            <w:pPr>
              <w:pStyle w:val="Tablesmalltext"/>
              <w:jc w:val="center"/>
              <w:rPr>
                <w:color w:val="auto"/>
              </w:rPr>
            </w:pPr>
            <w:r w:rsidRPr="009B5F08">
              <w:rPr>
                <w:color w:val="auto"/>
              </w:rPr>
              <w:t>$M</w:t>
            </w:r>
          </w:p>
        </w:tc>
        <w:tc>
          <w:tcPr>
            <w:tcW w:w="1765" w:type="dxa"/>
            <w:shd w:val="clear" w:color="auto" w:fill="auto"/>
            <w:tcMar>
              <w:top w:w="113" w:type="dxa"/>
              <w:left w:w="113" w:type="dxa"/>
              <w:bottom w:w="113" w:type="dxa"/>
              <w:right w:w="113" w:type="dxa"/>
            </w:tcMar>
          </w:tcPr>
          <w:p w14:paraId="564698BB" w14:textId="77777777" w:rsidR="00BB2B23" w:rsidRPr="009B5F08" w:rsidRDefault="00BB2B23" w:rsidP="00F5693B">
            <w:pPr>
              <w:pStyle w:val="Tablesmalltext"/>
              <w:jc w:val="center"/>
              <w:rPr>
                <w:color w:val="auto"/>
              </w:rPr>
            </w:pPr>
            <w:r w:rsidRPr="009B5F08">
              <w:rPr>
                <w:color w:val="auto"/>
              </w:rPr>
              <w:t>-0.6</w:t>
            </w:r>
          </w:p>
        </w:tc>
        <w:tc>
          <w:tcPr>
            <w:tcW w:w="2693" w:type="dxa"/>
            <w:shd w:val="clear" w:color="auto" w:fill="auto"/>
            <w:tcMar>
              <w:top w:w="113" w:type="dxa"/>
              <w:left w:w="113" w:type="dxa"/>
              <w:bottom w:w="113" w:type="dxa"/>
              <w:right w:w="113" w:type="dxa"/>
            </w:tcMar>
          </w:tcPr>
          <w:p w14:paraId="564698BC" w14:textId="77777777" w:rsidR="00BB2B23" w:rsidRPr="009B5F08" w:rsidRDefault="00BB2B23" w:rsidP="00F5693B">
            <w:pPr>
              <w:pStyle w:val="Tablesmalltext"/>
              <w:jc w:val="center"/>
              <w:rPr>
                <w:color w:val="auto"/>
              </w:rPr>
            </w:pPr>
            <w:r w:rsidRPr="009B5F08">
              <w:rPr>
                <w:color w:val="auto"/>
              </w:rPr>
              <w:t>-0.3</w:t>
            </w:r>
          </w:p>
        </w:tc>
        <w:tc>
          <w:tcPr>
            <w:tcW w:w="1529" w:type="dxa"/>
            <w:shd w:val="clear" w:color="auto" w:fill="auto"/>
            <w:tcMar>
              <w:top w:w="113" w:type="dxa"/>
              <w:left w:w="113" w:type="dxa"/>
              <w:bottom w:w="113" w:type="dxa"/>
              <w:right w:w="113" w:type="dxa"/>
            </w:tcMar>
          </w:tcPr>
          <w:p w14:paraId="564698BD" w14:textId="77777777" w:rsidR="00BB2B23" w:rsidRPr="009B5F08" w:rsidRDefault="00BB2B23" w:rsidP="00F5693B">
            <w:pPr>
              <w:pStyle w:val="Tablesmalltext"/>
              <w:jc w:val="center"/>
              <w:rPr>
                <w:color w:val="auto"/>
              </w:rPr>
            </w:pPr>
            <w:r w:rsidRPr="009B5F08">
              <w:rPr>
                <w:color w:val="auto"/>
              </w:rPr>
              <w:t>0.1</w:t>
            </w:r>
          </w:p>
        </w:tc>
      </w:tr>
      <w:tr w:rsidR="00BB2B23" w:rsidRPr="009B5F08" w14:paraId="564698C4" w14:textId="77777777" w:rsidTr="009B5F08">
        <w:trPr>
          <w:trHeight w:val="210"/>
        </w:trPr>
        <w:tc>
          <w:tcPr>
            <w:tcW w:w="2043" w:type="dxa"/>
            <w:shd w:val="clear" w:color="auto" w:fill="auto"/>
            <w:tcMar>
              <w:top w:w="113" w:type="dxa"/>
              <w:left w:w="113" w:type="dxa"/>
              <w:bottom w:w="113" w:type="dxa"/>
              <w:right w:w="113" w:type="dxa"/>
            </w:tcMar>
          </w:tcPr>
          <w:p w14:paraId="564698BF" w14:textId="77777777" w:rsidR="00BB2B23" w:rsidRPr="009B5F08" w:rsidRDefault="00BB2B23" w:rsidP="00F5693B">
            <w:pPr>
              <w:pStyle w:val="Tablesmalltext"/>
              <w:rPr>
                <w:color w:val="auto"/>
              </w:rPr>
            </w:pPr>
            <w:r w:rsidRPr="009B5F08">
              <w:rPr>
                <w:color w:val="auto"/>
              </w:rPr>
              <w:t>Benefit cost ratio</w:t>
            </w:r>
          </w:p>
        </w:tc>
        <w:tc>
          <w:tcPr>
            <w:tcW w:w="761" w:type="dxa"/>
            <w:shd w:val="clear" w:color="auto" w:fill="auto"/>
            <w:tcMar>
              <w:top w:w="113" w:type="dxa"/>
              <w:left w:w="113" w:type="dxa"/>
              <w:bottom w:w="113" w:type="dxa"/>
              <w:right w:w="113" w:type="dxa"/>
            </w:tcMar>
          </w:tcPr>
          <w:p w14:paraId="564698C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765" w:type="dxa"/>
            <w:shd w:val="clear" w:color="auto" w:fill="auto"/>
            <w:tcMar>
              <w:top w:w="113" w:type="dxa"/>
              <w:left w:w="113" w:type="dxa"/>
              <w:bottom w:w="113" w:type="dxa"/>
              <w:right w:w="113" w:type="dxa"/>
            </w:tcMar>
          </w:tcPr>
          <w:p w14:paraId="564698C1" w14:textId="77777777" w:rsidR="00BB2B23" w:rsidRPr="009B5F08" w:rsidRDefault="00BB2B23" w:rsidP="00F5693B">
            <w:pPr>
              <w:pStyle w:val="Tablesmalltext"/>
              <w:jc w:val="center"/>
              <w:rPr>
                <w:color w:val="auto"/>
              </w:rPr>
            </w:pPr>
            <w:r w:rsidRPr="009B5F08">
              <w:rPr>
                <w:color w:val="auto"/>
              </w:rPr>
              <w:t>0.5</w:t>
            </w:r>
          </w:p>
        </w:tc>
        <w:tc>
          <w:tcPr>
            <w:tcW w:w="2693" w:type="dxa"/>
            <w:shd w:val="clear" w:color="auto" w:fill="auto"/>
            <w:tcMar>
              <w:top w:w="113" w:type="dxa"/>
              <w:left w:w="113" w:type="dxa"/>
              <w:bottom w:w="113" w:type="dxa"/>
              <w:right w:w="113" w:type="dxa"/>
            </w:tcMar>
          </w:tcPr>
          <w:p w14:paraId="564698C2" w14:textId="77777777" w:rsidR="00BB2B23" w:rsidRPr="009B5F08" w:rsidRDefault="00BB2B23" w:rsidP="00F5693B">
            <w:pPr>
              <w:pStyle w:val="Tablesmalltext"/>
              <w:jc w:val="center"/>
              <w:rPr>
                <w:color w:val="auto"/>
              </w:rPr>
            </w:pPr>
            <w:r w:rsidRPr="009B5F08">
              <w:rPr>
                <w:color w:val="auto"/>
              </w:rPr>
              <w:t>0.6</w:t>
            </w:r>
          </w:p>
        </w:tc>
        <w:tc>
          <w:tcPr>
            <w:tcW w:w="1529" w:type="dxa"/>
            <w:shd w:val="clear" w:color="auto" w:fill="auto"/>
            <w:tcMar>
              <w:top w:w="113" w:type="dxa"/>
              <w:left w:w="113" w:type="dxa"/>
              <w:bottom w:w="113" w:type="dxa"/>
              <w:right w:w="113" w:type="dxa"/>
            </w:tcMar>
          </w:tcPr>
          <w:p w14:paraId="564698C3" w14:textId="77777777" w:rsidR="00BB2B23" w:rsidRPr="009B5F08" w:rsidRDefault="00BB2B23" w:rsidP="00F5693B">
            <w:pPr>
              <w:pStyle w:val="Tablesmalltext"/>
              <w:jc w:val="center"/>
              <w:rPr>
                <w:color w:val="auto"/>
              </w:rPr>
            </w:pPr>
            <w:r w:rsidRPr="009B5F08">
              <w:rPr>
                <w:color w:val="auto"/>
              </w:rPr>
              <w:t>1.1</w:t>
            </w:r>
          </w:p>
        </w:tc>
      </w:tr>
    </w:tbl>
    <w:p w14:paraId="564698C5" w14:textId="77777777" w:rsidR="00BB2B23" w:rsidRDefault="00BB2B23" w:rsidP="00BB2B23">
      <w:pPr>
        <w:pStyle w:val="Text"/>
      </w:pPr>
    </w:p>
    <w:p w14:paraId="564698C6" w14:textId="77777777" w:rsidR="00BB2B23" w:rsidRDefault="00BB2B23" w:rsidP="00BB2B23">
      <w:pPr>
        <w:pStyle w:val="Text"/>
      </w:pPr>
    </w:p>
    <w:p w14:paraId="564698C7" w14:textId="77777777" w:rsidR="0005026F" w:rsidRDefault="0005026F" w:rsidP="00BB2B23">
      <w:pPr>
        <w:pStyle w:val="Subhead1"/>
        <w:sectPr w:rsidR="0005026F" w:rsidSect="00B8204E">
          <w:pgSz w:w="11906" w:h="16838"/>
          <w:pgMar w:top="720" w:right="720" w:bottom="720" w:left="720" w:header="425" w:footer="425" w:gutter="0"/>
          <w:pgNumType w:start="1"/>
          <w:cols w:space="708"/>
          <w:titlePg/>
          <w:docGrid w:linePitch="360"/>
        </w:sectPr>
      </w:pPr>
    </w:p>
    <w:p w14:paraId="564698C8" w14:textId="77777777" w:rsidR="00BB2B23" w:rsidRDefault="00BB2B23" w:rsidP="00BB2B23">
      <w:pPr>
        <w:pStyle w:val="Subhead1"/>
      </w:pPr>
      <w:r>
        <w:lastRenderedPageBreak/>
        <w:t>Section 6</w:t>
      </w:r>
    </w:p>
    <w:p w14:paraId="564698C9" w14:textId="77777777" w:rsidR="00BB2B23" w:rsidRDefault="00BB2B23" w:rsidP="00BB2B23">
      <w:pPr>
        <w:pStyle w:val="Subhead1"/>
      </w:pPr>
      <w:r>
        <w:t>Consultation</w:t>
      </w:r>
    </w:p>
    <w:p w14:paraId="564698CA" w14:textId="77777777" w:rsidR="00BB2B23" w:rsidRDefault="00BB2B23" w:rsidP="00BB2B23">
      <w:pPr>
        <w:pStyle w:val="Text"/>
        <w:rPr>
          <w:spacing w:val="-2"/>
        </w:rPr>
      </w:pPr>
      <w:r>
        <w:rPr>
          <w:spacing w:val="-2"/>
        </w:rPr>
        <w:t xml:space="preserve">Extensive consultation has been conducted in relation to the emissions reduction options outlined in this RIS as part of consultation undertaken for the review of the OPSGGM Programme, in train since May 2014. This has been undertaken throughout the various stages of the review; on the Terms of Reference outlining the objectives of the review and throughout the policy review and measure development, including the development of the cost-benefit analysis. </w:t>
      </w:r>
    </w:p>
    <w:p w14:paraId="564698CB" w14:textId="77777777" w:rsidR="00BB2B23" w:rsidRDefault="00BB2B23" w:rsidP="00BB2B23">
      <w:pPr>
        <w:pStyle w:val="Text"/>
        <w:rPr>
          <w:spacing w:val="-3"/>
        </w:rPr>
      </w:pPr>
      <w:r>
        <w:rPr>
          <w:spacing w:val="-3"/>
        </w:rPr>
        <w:t xml:space="preserve">This has ensured that all likely impacts to business, the community and government arising from the implementation of the recommended emissions reduction and efficiency and effectiveness measures were identified and mitigated as much as possible in the development of final policy options. </w:t>
      </w:r>
    </w:p>
    <w:p w14:paraId="564698CC" w14:textId="77777777" w:rsidR="00BB2B23" w:rsidRDefault="00BB2B23" w:rsidP="00BB2B23">
      <w:pPr>
        <w:pStyle w:val="Text"/>
      </w:pPr>
      <w:r>
        <w:t>Consultation has been undertaken in several ways:</w:t>
      </w:r>
    </w:p>
    <w:p w14:paraId="564698CD" w14:textId="77777777" w:rsidR="00BB2B23" w:rsidRDefault="00BB2B23" w:rsidP="00BB2B23">
      <w:pPr>
        <w:pStyle w:val="Subhead4"/>
      </w:pPr>
      <w:r>
        <w:t>Terms of Reference Public Consultation Period</w:t>
      </w:r>
    </w:p>
    <w:p w14:paraId="564698CE" w14:textId="77777777" w:rsidR="00BB2B23" w:rsidRDefault="00BB2B23" w:rsidP="00BB2B23">
      <w:pPr>
        <w:pStyle w:val="Text"/>
        <w:rPr>
          <w:spacing w:val="-4"/>
        </w:rPr>
      </w:pPr>
      <w:r>
        <w:rPr>
          <w:spacing w:val="-4"/>
        </w:rPr>
        <w:t xml:space="preserve">The review of the OPSGGM Programme, including the emissions reduction options considered in this RIS, was announced by then Minister for the Environment, the Hon Greg Hunt MP on 24 May 2014. With the announcement the Minister released the Terms of Reference to the review for public consultation. The purpose of the public consultation was to seek input on opportunities to improve the OPSGGM Programme and achieve the emissions reduction and efficiency and effectiveness objectives of the review. </w:t>
      </w:r>
    </w:p>
    <w:p w14:paraId="564698CF" w14:textId="77777777" w:rsidR="00BB2B23" w:rsidRDefault="00BB2B23" w:rsidP="00BB2B23">
      <w:pPr>
        <w:pStyle w:val="Text"/>
      </w:pPr>
      <w:r>
        <w:t xml:space="preserve">The public consultation period ended on 18 July 2014. </w:t>
      </w:r>
    </w:p>
    <w:p w14:paraId="564698D0" w14:textId="54A4C833" w:rsidR="00BB2B23" w:rsidRDefault="00BB2B23" w:rsidP="00BB2B23">
      <w:pPr>
        <w:pStyle w:val="Text"/>
      </w:pPr>
      <w:r>
        <w:t xml:space="preserve">Twenty eight submissions were received and 24 of those published on the Department’s website (four submissions were treated as confidential at the request of submitters). A summary of this consultation period can be found at the Department’s website at: </w:t>
      </w:r>
      <w:r w:rsidRPr="00D80DB8">
        <w:t>http://www.environment.gov.au/protection/ozone/legislation/ozone-acts-review</w:t>
      </w:r>
      <w:r>
        <w:t xml:space="preserve"> </w:t>
      </w:r>
    </w:p>
    <w:p w14:paraId="564698D1" w14:textId="77777777" w:rsidR="00BB2B23" w:rsidRDefault="00BB2B23" w:rsidP="00BB2B23">
      <w:pPr>
        <w:pStyle w:val="Subhead4"/>
      </w:pPr>
      <w:r>
        <w:t>Technical Working Group</w:t>
      </w:r>
    </w:p>
    <w:p w14:paraId="564698D2" w14:textId="77777777" w:rsidR="00BB2B23" w:rsidRDefault="00BB2B23" w:rsidP="00BB2B23">
      <w:pPr>
        <w:pStyle w:val="Text"/>
      </w:pPr>
      <w:r>
        <w:t xml:space="preserve">A Technical Working Group (TWG) was established to advise the Department during the review of the OPSGGM Programme. The TWG is made up of 12 representative bodies reflecting the major industries regulated by the OPSGGM legislation. Membership consists of the: </w:t>
      </w:r>
    </w:p>
    <w:p w14:paraId="564698D3" w14:textId="77777777" w:rsidR="00BB2B23" w:rsidRDefault="00BB2B23" w:rsidP="00BB2B23">
      <w:pPr>
        <w:pStyle w:val="Bullets1"/>
      </w:pPr>
      <w:r>
        <w:t xml:space="preserve">Air conditioning and Mechanical Contractors’ Association (AMCA) </w:t>
      </w:r>
    </w:p>
    <w:p w14:paraId="564698D4" w14:textId="77777777" w:rsidR="00BB2B23" w:rsidRDefault="00BB2B23" w:rsidP="00BB2B23">
      <w:pPr>
        <w:pStyle w:val="Bullets1"/>
      </w:pPr>
      <w:r>
        <w:t xml:space="preserve">Air conditioning and Refrigeration Equipment Manufacturers Association (AREMA) </w:t>
      </w:r>
    </w:p>
    <w:p w14:paraId="564698D5" w14:textId="77777777" w:rsidR="00BB2B23" w:rsidRDefault="00BB2B23" w:rsidP="00BB2B23">
      <w:pPr>
        <w:pStyle w:val="Bullets1"/>
      </w:pPr>
      <w:r>
        <w:t xml:space="preserve">Australian Industry Group (AIG) </w:t>
      </w:r>
    </w:p>
    <w:p w14:paraId="564698D6" w14:textId="77777777" w:rsidR="00BB2B23" w:rsidRDefault="00BB2B23" w:rsidP="00BB2B23">
      <w:pPr>
        <w:pStyle w:val="Bullets1"/>
      </w:pPr>
      <w:r>
        <w:t xml:space="preserve">Australian Institute of Refrigeration, Air Conditioning and Heating (AIRAH) </w:t>
      </w:r>
    </w:p>
    <w:p w14:paraId="564698D7" w14:textId="77777777" w:rsidR="00BB2B23" w:rsidRDefault="00BB2B23" w:rsidP="00BB2B23">
      <w:pPr>
        <w:pStyle w:val="Bullets1"/>
      </w:pPr>
      <w:r>
        <w:t xml:space="preserve">Australian Refrigeration Association (ARA) </w:t>
      </w:r>
    </w:p>
    <w:p w14:paraId="564698D8" w14:textId="77777777" w:rsidR="00BB2B23" w:rsidRDefault="00BB2B23" w:rsidP="00BB2B23">
      <w:pPr>
        <w:pStyle w:val="Bullets1"/>
      </w:pPr>
      <w:r>
        <w:t xml:space="preserve">Fire Protection Association Australia (FPAA) </w:t>
      </w:r>
    </w:p>
    <w:p w14:paraId="564698D9" w14:textId="77777777" w:rsidR="00BB2B23" w:rsidRDefault="00BB2B23" w:rsidP="00BB2B23">
      <w:pPr>
        <w:pStyle w:val="Bullets1"/>
      </w:pPr>
      <w:r>
        <w:t xml:space="preserve">Plastics and Chemicals Industries Association (PACIA) </w:t>
      </w:r>
    </w:p>
    <w:p w14:paraId="564698DA" w14:textId="77777777" w:rsidR="00BB2B23" w:rsidRDefault="00BB2B23" w:rsidP="00BB2B23">
      <w:pPr>
        <w:pStyle w:val="Bullets1"/>
      </w:pPr>
      <w:r>
        <w:lastRenderedPageBreak/>
        <w:t xml:space="preserve">Refrigerants Australia (RA) </w:t>
      </w:r>
    </w:p>
    <w:p w14:paraId="564698DB" w14:textId="77777777" w:rsidR="00BB2B23" w:rsidRDefault="00BB2B23" w:rsidP="00BB2B23">
      <w:pPr>
        <w:pStyle w:val="Bullets1"/>
      </w:pPr>
      <w:r>
        <w:t xml:space="preserve">Refrigerant Reclaim Australia (RRA) </w:t>
      </w:r>
    </w:p>
    <w:p w14:paraId="564698DC" w14:textId="77777777" w:rsidR="00BB2B23" w:rsidRDefault="00BB2B23" w:rsidP="00BB2B23">
      <w:pPr>
        <w:pStyle w:val="Bullets1"/>
      </w:pPr>
      <w:r>
        <w:t>Automotive Air Conditioning, Electrical and Cooling Technicians of Australia (VASA)</w:t>
      </w:r>
    </w:p>
    <w:p w14:paraId="564698DD" w14:textId="77777777" w:rsidR="00BB2B23" w:rsidRDefault="00BB2B23" w:rsidP="00BB2B23">
      <w:pPr>
        <w:pStyle w:val="Bullets1"/>
      </w:pPr>
      <w:r>
        <w:t>Victorian Automotive Chamber of Commerce (VACC)</w:t>
      </w:r>
    </w:p>
    <w:p w14:paraId="564698DE" w14:textId="77777777" w:rsidR="00BB2B23" w:rsidRDefault="00BB2B23" w:rsidP="00BB2B23">
      <w:pPr>
        <w:pStyle w:val="Bullets1"/>
      </w:pPr>
      <w:r>
        <w:t xml:space="preserve">Refrigerants Australia also represented methyl bromide uses. </w:t>
      </w:r>
    </w:p>
    <w:p w14:paraId="564698DF" w14:textId="77777777" w:rsidR="00BB2B23" w:rsidRDefault="00BB2B23" w:rsidP="00BB2B23">
      <w:pPr>
        <w:pStyle w:val="Text"/>
        <w:rPr>
          <w:spacing w:val="-2"/>
        </w:rPr>
      </w:pPr>
      <w:r>
        <w:rPr>
          <w:spacing w:val="-2"/>
        </w:rPr>
        <w:t>The TWG met eight times between May 2014 and September 2015. TWG meetings focussed on analysis of issues and measures for reform raised in public submissions, and input into the environmental impact and cost-benefit analysis supporting this RIS. The Department used the TWG to confirm that the intent behind public submissions had been interpreted correctly, and issues were being analysed in line with those intentions.</w:t>
      </w:r>
    </w:p>
    <w:p w14:paraId="564698E0" w14:textId="77777777" w:rsidR="00BB2B23" w:rsidRDefault="00BB2B23" w:rsidP="00BB2B23">
      <w:pPr>
        <w:pStyle w:val="Subhead4"/>
      </w:pPr>
      <w:r>
        <w:t xml:space="preserve">Non-Technical Working Group engagement </w:t>
      </w:r>
    </w:p>
    <w:p w14:paraId="564698E1" w14:textId="77777777" w:rsidR="00BB2B23" w:rsidRDefault="00BB2B23" w:rsidP="00BB2B23">
      <w:pPr>
        <w:pStyle w:val="Text"/>
      </w:pPr>
      <w:r>
        <w:t xml:space="preserve">The Department also consulted individually with smaller sub-sections of the TWG specifically in relation to the emissions reduction options outlined in this RIS, including the design of the phase-down of HFCs and quota allocation. </w:t>
      </w:r>
    </w:p>
    <w:p w14:paraId="564698E2" w14:textId="77777777" w:rsidR="00BB2B23" w:rsidRDefault="00BB2B23" w:rsidP="00BB2B23">
      <w:pPr>
        <w:pStyle w:val="Subhead4"/>
      </w:pPr>
      <w:r>
        <w:t>Interdepartmental Working Group</w:t>
      </w:r>
    </w:p>
    <w:p w14:paraId="564698E3" w14:textId="77777777" w:rsidR="00BB2B23" w:rsidRDefault="00BB2B23" w:rsidP="00BB2B23">
      <w:pPr>
        <w:pStyle w:val="Text"/>
      </w:pPr>
      <w:r>
        <w:t xml:space="preserve">An Interdepartmental Working Group (IWG) was established to ensure the review fulfilled Australian Government requirements and to provide input on possible areas of reform in line with the objectives of the review. The IWG consisted of: </w:t>
      </w:r>
    </w:p>
    <w:p w14:paraId="564698E4" w14:textId="77777777" w:rsidR="00BB2B23" w:rsidRDefault="00BB2B23" w:rsidP="00BB2B23">
      <w:pPr>
        <w:pStyle w:val="Bullets1"/>
      </w:pPr>
      <w:r>
        <w:t xml:space="preserve">Australian Customs and Border Protection Service (now Department of Immigration and Border Protection) </w:t>
      </w:r>
    </w:p>
    <w:p w14:paraId="564698E5" w14:textId="77777777" w:rsidR="00BB2B23" w:rsidRDefault="00BB2B23" w:rsidP="00BB2B23">
      <w:pPr>
        <w:pStyle w:val="Bullets1"/>
      </w:pPr>
      <w:r>
        <w:t xml:space="preserve">Department of Defence </w:t>
      </w:r>
    </w:p>
    <w:p w14:paraId="564698E6" w14:textId="77777777" w:rsidR="00BB2B23" w:rsidRDefault="00BB2B23" w:rsidP="00BB2B23">
      <w:pPr>
        <w:pStyle w:val="Bullets1"/>
      </w:pPr>
      <w:r>
        <w:t>Department of Agriculture and Water Resources</w:t>
      </w:r>
    </w:p>
    <w:p w14:paraId="564698E7" w14:textId="77777777" w:rsidR="00BB2B23" w:rsidRDefault="00BB2B23" w:rsidP="00BB2B23">
      <w:pPr>
        <w:pStyle w:val="Bullets1"/>
      </w:pPr>
      <w:r>
        <w:t>Department of Employment</w:t>
      </w:r>
    </w:p>
    <w:p w14:paraId="564698E8" w14:textId="77777777" w:rsidR="00BB2B23" w:rsidRDefault="00BB2B23" w:rsidP="00BB2B23">
      <w:pPr>
        <w:pStyle w:val="Bullets1"/>
      </w:pPr>
      <w:r>
        <w:t xml:space="preserve">Safe Work Australia </w:t>
      </w:r>
    </w:p>
    <w:p w14:paraId="564698E9" w14:textId="77777777" w:rsidR="00BB2B23" w:rsidRDefault="00BB2B23" w:rsidP="00BB2B23">
      <w:pPr>
        <w:pStyle w:val="Bullets1"/>
      </w:pPr>
      <w:r>
        <w:t>Department of Finance</w:t>
      </w:r>
    </w:p>
    <w:p w14:paraId="564698EA" w14:textId="77777777" w:rsidR="00BB2B23" w:rsidRDefault="00BB2B23" w:rsidP="00BB2B23">
      <w:pPr>
        <w:pStyle w:val="Bullets1"/>
      </w:pPr>
      <w:r>
        <w:t xml:space="preserve">Attorney-General’s Department </w:t>
      </w:r>
    </w:p>
    <w:p w14:paraId="564698EB" w14:textId="77777777" w:rsidR="00BB2B23" w:rsidRDefault="00BB2B23" w:rsidP="00BB2B23">
      <w:pPr>
        <w:pStyle w:val="Bullets1"/>
      </w:pPr>
      <w:r>
        <w:t>Department of Health</w:t>
      </w:r>
    </w:p>
    <w:p w14:paraId="564698EC" w14:textId="77777777" w:rsidR="00BB2B23" w:rsidRDefault="00BB2B23" w:rsidP="00BB2B23">
      <w:pPr>
        <w:pStyle w:val="Bullets1"/>
      </w:pPr>
      <w:r>
        <w:t xml:space="preserve">The Treasury </w:t>
      </w:r>
    </w:p>
    <w:p w14:paraId="564698ED" w14:textId="77777777" w:rsidR="00BB2B23" w:rsidRDefault="00BB2B23" w:rsidP="00BB2B23">
      <w:pPr>
        <w:pStyle w:val="Bullets1"/>
      </w:pPr>
      <w:r>
        <w:t>Department of Industry, Innovation and Science</w:t>
      </w:r>
    </w:p>
    <w:p w14:paraId="564698EE" w14:textId="77777777" w:rsidR="00BB2B23" w:rsidRDefault="00BB2B23" w:rsidP="00BB2B23">
      <w:pPr>
        <w:pStyle w:val="Bullets1"/>
      </w:pPr>
      <w:r>
        <w:t xml:space="preserve">Department of the Prime Minister and Cabinet </w:t>
      </w:r>
    </w:p>
    <w:p w14:paraId="564698EF" w14:textId="77777777" w:rsidR="00BB2B23" w:rsidRDefault="00BB2B23" w:rsidP="00BB2B23">
      <w:pPr>
        <w:pStyle w:val="Bullets1"/>
      </w:pPr>
      <w:r>
        <w:t xml:space="preserve">Department of Foreign Affairs and Trade, and </w:t>
      </w:r>
    </w:p>
    <w:p w14:paraId="564698F0" w14:textId="77777777" w:rsidR="00BB2B23" w:rsidRDefault="00BB2B23" w:rsidP="00BB2B23">
      <w:pPr>
        <w:pStyle w:val="Bullets1"/>
      </w:pPr>
      <w:r>
        <w:t xml:space="preserve">Civil Aviation Safety Authority. </w:t>
      </w:r>
    </w:p>
    <w:p w14:paraId="564698F1" w14:textId="77777777" w:rsidR="00BB2B23" w:rsidRDefault="00BB2B23" w:rsidP="00BB2B23">
      <w:pPr>
        <w:pStyle w:val="Text"/>
      </w:pPr>
      <w:r>
        <w:t>The Department also engaged with these agencies separately on specific issues throughout the Review.</w:t>
      </w:r>
    </w:p>
    <w:p w14:paraId="564698F2" w14:textId="77777777" w:rsidR="00BB2B23" w:rsidRDefault="00BB2B23" w:rsidP="00BB2B23">
      <w:pPr>
        <w:pStyle w:val="Subhead4"/>
      </w:pPr>
      <w:r>
        <w:t>Options Paper Public Consultation Period</w:t>
      </w:r>
    </w:p>
    <w:p w14:paraId="564698F3" w14:textId="77777777" w:rsidR="00BB2B23" w:rsidRDefault="00BB2B23" w:rsidP="00BB2B23">
      <w:pPr>
        <w:pStyle w:val="Text"/>
      </w:pPr>
      <w:r>
        <w:lastRenderedPageBreak/>
        <w:t xml:space="preserve">Following the receipt of public submissions on the Terms of Reference, an extensive policy review was undertaken of all aspects of the OPSGGM Programme. This culminated in the release of the OPSGGM Programme Review Options Paper on 6 October 2015. The paper outlined the measures identified within each area of the OPSGGM Programme with opportunities to either include new mechanisms, or improve existing mechanisms to achieve the objectives of the review. </w:t>
      </w:r>
    </w:p>
    <w:p w14:paraId="564698F4" w14:textId="77777777" w:rsidR="00BB2B23" w:rsidRDefault="00BB2B23" w:rsidP="00BB2B23">
      <w:pPr>
        <w:pStyle w:val="Text"/>
      </w:pPr>
      <w:r>
        <w:t xml:space="preserve">The paper was supported by a Technical Analysis Report containing a detailed analysis of each measure, as well as two independent research consultancies undertaken as part of the review. The first was the </w:t>
      </w:r>
      <w:r>
        <w:rPr>
          <w:rStyle w:val="TextItalic"/>
        </w:rPr>
        <w:t>Assessment of Environmental Impacts from the Ozone Protection and Synthetic Greenhouse Gas Management Act 1989</w:t>
      </w:r>
      <w:r>
        <w:t xml:space="preserve"> by Expert Group. The second was a Cost-benefit analysis by Jacobs Environmental Consultancies and Services which specifically considered the options outlined in this RIS. </w:t>
      </w:r>
    </w:p>
    <w:p w14:paraId="564698F5" w14:textId="51387698" w:rsidR="00BB2B23" w:rsidRDefault="00BB2B23" w:rsidP="00BB2B23">
      <w:pPr>
        <w:pStyle w:val="Text"/>
      </w:pPr>
      <w:r>
        <w:t xml:space="preserve">The public consultation period ended on 16 November 2015. Fifty seven submissions were received and 45 of those published on the Department’s website (12 submissions were treated as confidential at the request of submitters). A summary of this consultation period can be found at the Department’s website at: </w:t>
      </w:r>
      <w:r w:rsidRPr="00D80DB8">
        <w:t>http://www.environment.gov.au/protection/ozone/legislation/opsggm-review</w:t>
      </w:r>
      <w:r>
        <w:t xml:space="preserve"> </w:t>
      </w:r>
    </w:p>
    <w:p w14:paraId="564698F6" w14:textId="77777777" w:rsidR="00BB2B23" w:rsidRDefault="00BB2B23" w:rsidP="00BB2B23">
      <w:pPr>
        <w:pStyle w:val="Subhead3"/>
      </w:pPr>
      <w:r>
        <w:t>Outcomes of Consultation</w:t>
      </w:r>
    </w:p>
    <w:p w14:paraId="564698F7" w14:textId="77777777" w:rsidR="00BB2B23" w:rsidRDefault="00BB2B23" w:rsidP="00BB2B23">
      <w:pPr>
        <w:pStyle w:val="Text"/>
      </w:pPr>
      <w:r>
        <w:t xml:space="preserve">The main theme that emerged through the consultation process was an overall level of support for the OPSGGM Programme and the options and measures developed to achieve the objectives of Government action as outlined in this RIS, as well as the broader objectives of the Review. </w:t>
      </w:r>
    </w:p>
    <w:p w14:paraId="564698F8" w14:textId="77777777" w:rsidR="00BB2B23" w:rsidRDefault="00BB2B23" w:rsidP="00BB2B23">
      <w:pPr>
        <w:pStyle w:val="Text"/>
      </w:pPr>
      <w:r>
        <w:t xml:space="preserve">39 submissions received as part of consultation on the Option Paper discussed one or more of the emissions reduction options analysed in this RIS. Table 17 provides a summary of all submissions received on the Options Paper and shows which commented on the emissions reduction options. </w:t>
      </w:r>
    </w:p>
    <w:p w14:paraId="564698F9" w14:textId="77777777" w:rsidR="00BB2B23" w:rsidRDefault="00BB2B23" w:rsidP="00BB2B23">
      <w:pPr>
        <w:pStyle w:val="Text"/>
      </w:pPr>
      <w:r>
        <w:t xml:space="preserve">A shaded box indicates that the submission canvassed the option, a tick indicates that clear support was given, a ‘cross’ indicates that the option was clearly not supported. This table is an extract out of the full table covering all submissions received on the Options Paper, available at the Department’s website at the link outlined above. </w:t>
      </w:r>
    </w:p>
    <w:p w14:paraId="564698FA" w14:textId="77777777" w:rsidR="00BB2B23" w:rsidRDefault="00BB2B23" w:rsidP="00BB2B23">
      <w:pPr>
        <w:pStyle w:val="Subhead4"/>
      </w:pPr>
      <w:r>
        <w:t>Feedback on Option 1: No additional regulation</w:t>
      </w:r>
    </w:p>
    <w:p w14:paraId="564698FB" w14:textId="77777777" w:rsidR="00BB2B23" w:rsidRDefault="00BB2B23" w:rsidP="00BB2B23">
      <w:pPr>
        <w:pStyle w:val="Text"/>
      </w:pPr>
      <w:r>
        <w:t xml:space="preserve">35 submissions addressed the option of no further regulation, of these 7 were specifically supportive. These stakeholders voiced the option of increasing compliance and enforcement action and raising existing levies to act as incentives for better handling of equipment, thereby leading to emissions reduction. </w:t>
      </w:r>
    </w:p>
    <w:p w14:paraId="564698FC" w14:textId="77777777" w:rsidR="00BB2B23" w:rsidRDefault="00BB2B23" w:rsidP="00BB2B23">
      <w:pPr>
        <w:pStyle w:val="Text"/>
      </w:pPr>
      <w:r>
        <w:t xml:space="preserve">It is worth noting that of these 35, 29 also supported the adoption of at least one other measure, with 28 supporting Option 2, 12 supporting Option 3, and 18 supporting Option 4. </w:t>
      </w:r>
    </w:p>
    <w:p w14:paraId="564698FD" w14:textId="77777777" w:rsidR="00BB2B23" w:rsidRDefault="00BB2B23" w:rsidP="00BB2B23">
      <w:pPr>
        <w:pStyle w:val="Subhead4"/>
      </w:pPr>
      <w:r>
        <w:t>Feedback on Option 2: HFC Phase-down</w:t>
      </w:r>
    </w:p>
    <w:p w14:paraId="564698FE" w14:textId="77777777" w:rsidR="00BB2B23" w:rsidRDefault="00BB2B23" w:rsidP="00BB2B23">
      <w:pPr>
        <w:pStyle w:val="Text"/>
      </w:pPr>
      <w:r>
        <w:t>39 submissions specifically addressed the phase-down. In general, industry stakeholders support a HFC phase-down. Refrigerants Australia (RA), representing the main HFC importers and distributors, and the Air Conditioning and Refrigeration Equipment Manufacturers Association (AREMA), representing major HFC equipment manufacturers, support a faster phase-down.</w:t>
      </w:r>
    </w:p>
    <w:p w14:paraId="564698FF" w14:textId="77777777" w:rsidR="00BB2B23" w:rsidRDefault="00BB2B23" w:rsidP="00BB2B23">
      <w:pPr>
        <w:pStyle w:val="Text"/>
      </w:pPr>
      <w:r>
        <w:lastRenderedPageBreak/>
        <w:t xml:space="preserve">The quota approach is supported by most current importers, with slight differences in opinion on how quota should be allocated. </w:t>
      </w:r>
    </w:p>
    <w:p w14:paraId="56469900" w14:textId="77777777" w:rsidR="00BB2B23" w:rsidRDefault="00BB2B23" w:rsidP="00BB2B23">
      <w:pPr>
        <w:pStyle w:val="Subhead4"/>
      </w:pPr>
      <w:r>
        <w:t xml:space="preserve">Feedback on Option 3: Equipment bans </w:t>
      </w:r>
    </w:p>
    <w:p w14:paraId="56469901" w14:textId="77777777" w:rsidR="00BB2B23" w:rsidRDefault="00BB2B23" w:rsidP="00BB2B23">
      <w:pPr>
        <w:pStyle w:val="Text"/>
      </w:pPr>
      <w:r>
        <w:t xml:space="preserve">36 submission specifically addressed equipment bans, 12 clearly supported bans, 3 were against. </w:t>
      </w:r>
    </w:p>
    <w:p w14:paraId="56469902" w14:textId="77777777" w:rsidR="00BB2B23" w:rsidRDefault="00BB2B23" w:rsidP="00BB2B23">
      <w:pPr>
        <w:pStyle w:val="Text"/>
      </w:pPr>
      <w:r>
        <w:t xml:space="preserve">Stakeholder’s views are mixed, with representative bodies of larger importers resisting early bans. There was some support for bans on HFC equipment as a complementary policy to a phase-down of HFCs however an equal amount of support was voiced for limiting the total of gas allowed (through a phase-down) and allowing manufacturers to make technology decisions based on this. </w:t>
      </w:r>
    </w:p>
    <w:p w14:paraId="56469903" w14:textId="77777777" w:rsidR="00BB2B23" w:rsidRDefault="00BB2B23" w:rsidP="00BB2B23">
      <w:pPr>
        <w:pStyle w:val="Text"/>
      </w:pPr>
    </w:p>
    <w:p w14:paraId="56469904" w14:textId="77777777" w:rsidR="00BB2B23" w:rsidRDefault="00BB2B23" w:rsidP="00BB2B23">
      <w:pPr>
        <w:pStyle w:val="Subhead4"/>
      </w:pPr>
      <w:r>
        <w:t>Feedback on Option 4: Maintenance</w:t>
      </w:r>
    </w:p>
    <w:p w14:paraId="56469905" w14:textId="77777777" w:rsidR="00BB2B23" w:rsidRDefault="00BB2B23" w:rsidP="00BB2B23">
      <w:pPr>
        <w:pStyle w:val="Text"/>
      </w:pPr>
      <w:r>
        <w:t xml:space="preserve">35 submissions specifically addressed the maintenance options, 18 clearly supported, 1 was against. </w:t>
      </w:r>
    </w:p>
    <w:p w14:paraId="56469906" w14:textId="77777777" w:rsidR="00BB2B23" w:rsidRDefault="00BB2B23" w:rsidP="00BB2B23">
      <w:pPr>
        <w:pStyle w:val="Text"/>
      </w:pPr>
      <w:r>
        <w:t xml:space="preserve">Those who support Option 4 commented that it was likely to achieve greater emissions reductions and also spread the regulatory burden and responsibilities to equipment owners. </w:t>
      </w:r>
    </w:p>
    <w:p w14:paraId="56469907" w14:textId="77777777" w:rsidR="00BB2B23" w:rsidRDefault="00BB2B23" w:rsidP="00BB2B23">
      <w:pPr>
        <w:pStyle w:val="Text"/>
      </w:pPr>
      <w:r>
        <w:t xml:space="preserve">In addition to comments on the emission reduction options specifically, 23 submissions, covering almost the full spectrum of stakeholders who provided comments including representative groups of the natural refrigerant sector recommended the legislation be broadened to include all refrigerants. This was suggested to include those not listed under the Montreal Protocol and Kyoto Protocol, meaning the majority have low to no global warming potential. This is on the basis of addressing safety concerns and to some extent reduced energy related emissions. </w:t>
      </w:r>
    </w:p>
    <w:p w14:paraId="56469908" w14:textId="77777777" w:rsidR="00BB2B23" w:rsidRDefault="00BB2B23" w:rsidP="00BB2B23">
      <w:pPr>
        <w:pStyle w:val="Text"/>
      </w:pPr>
      <w:r>
        <w:t xml:space="preserve">Stakeholder feedback throughout the RIS process has influenced the policy design of each option, particularly in respect of the design of implementation of the preferred option to minimise negative impacts on the regulated community while achieving the highest possible environmental benefit, as described in the Implementation section. </w:t>
      </w:r>
    </w:p>
    <w:p w14:paraId="56469909" w14:textId="77777777" w:rsidR="00BB2B23" w:rsidRDefault="00BB2B23" w:rsidP="00BB2B23">
      <w:pPr>
        <w:pStyle w:val="Text"/>
      </w:pPr>
    </w:p>
    <w:p w14:paraId="5646990A" w14:textId="77777777" w:rsidR="00BB2B23" w:rsidRDefault="00BB2B23" w:rsidP="00BB2B23">
      <w:pPr>
        <w:pStyle w:val="Tabletitle"/>
      </w:pPr>
      <w:r>
        <w:t>Table 17: Summary of stakeholder feedback</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5"/>
        <w:gridCol w:w="1844"/>
        <w:gridCol w:w="1036"/>
        <w:gridCol w:w="992"/>
        <w:gridCol w:w="890"/>
        <w:gridCol w:w="1066"/>
        <w:gridCol w:w="2818"/>
      </w:tblGrid>
      <w:tr w:rsidR="00BB2B23" w:rsidRPr="009B5F08" w14:paraId="5646990E" w14:textId="77777777" w:rsidTr="009B5F08">
        <w:trPr>
          <w:trHeight w:val="218"/>
          <w:tblHeader/>
        </w:trPr>
        <w:tc>
          <w:tcPr>
            <w:tcW w:w="2139" w:type="dxa"/>
            <w:gridSpan w:val="2"/>
            <w:vMerge w:val="restart"/>
            <w:shd w:val="clear" w:color="auto" w:fill="auto"/>
            <w:tcMar>
              <w:top w:w="85" w:type="dxa"/>
              <w:left w:w="85" w:type="dxa"/>
              <w:bottom w:w="85" w:type="dxa"/>
              <w:right w:w="85" w:type="dxa"/>
            </w:tcMar>
            <w:vAlign w:val="bottom"/>
          </w:tcPr>
          <w:p w14:paraId="5646990B" w14:textId="77777777" w:rsidR="00BB2B23" w:rsidRPr="009B5F08" w:rsidRDefault="00BB2B23" w:rsidP="00F5693B">
            <w:pPr>
              <w:pStyle w:val="Tablesmalltext"/>
              <w:rPr>
                <w:color w:val="auto"/>
              </w:rPr>
            </w:pPr>
            <w:r w:rsidRPr="009B5F08">
              <w:rPr>
                <w:rStyle w:val="TextBold"/>
                <w:color w:val="auto"/>
                <w:sz w:val="14"/>
                <w:szCs w:val="14"/>
              </w:rPr>
              <w:t>Legend:</w:t>
            </w:r>
            <w:r w:rsidRPr="009B5F08">
              <w:rPr>
                <w:color w:val="auto"/>
                <w:sz w:val="14"/>
                <w:szCs w:val="14"/>
              </w:rPr>
              <w:br/>
              <w:t>Shaded means measure is canvassed—a tick means generally supported—X means generally not supported</w:t>
            </w:r>
          </w:p>
        </w:tc>
        <w:tc>
          <w:tcPr>
            <w:tcW w:w="1036" w:type="dxa"/>
            <w:shd w:val="clear" w:color="auto" w:fill="auto"/>
            <w:tcMar>
              <w:top w:w="85" w:type="dxa"/>
              <w:left w:w="85" w:type="dxa"/>
              <w:bottom w:w="85" w:type="dxa"/>
              <w:right w:w="85" w:type="dxa"/>
            </w:tcMar>
            <w:vAlign w:val="bottom"/>
          </w:tcPr>
          <w:p w14:paraId="5646990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5766" w:type="dxa"/>
            <w:gridSpan w:val="4"/>
            <w:shd w:val="clear" w:color="auto" w:fill="auto"/>
            <w:tcMar>
              <w:top w:w="85" w:type="dxa"/>
              <w:left w:w="85" w:type="dxa"/>
              <w:bottom w:w="85" w:type="dxa"/>
              <w:right w:w="85" w:type="dxa"/>
            </w:tcMar>
            <w:vAlign w:val="bottom"/>
          </w:tcPr>
          <w:p w14:paraId="5646990D" w14:textId="77777777" w:rsidR="00BB2B23" w:rsidRPr="009B5F08" w:rsidRDefault="00BB2B23" w:rsidP="00F5693B">
            <w:pPr>
              <w:pStyle w:val="Tablesmallheading"/>
              <w:jc w:val="center"/>
              <w:rPr>
                <w:color w:val="auto"/>
              </w:rPr>
            </w:pPr>
            <w:r w:rsidRPr="009B5F08">
              <w:rPr>
                <w:color w:val="auto"/>
                <w:sz w:val="14"/>
                <w:szCs w:val="14"/>
              </w:rPr>
              <w:t>6.1 Further reduce emissions of SGGS</w:t>
            </w:r>
          </w:p>
        </w:tc>
      </w:tr>
      <w:tr w:rsidR="00BB2B23" w:rsidRPr="009B5F08" w14:paraId="56469919" w14:textId="77777777" w:rsidTr="009B5F08">
        <w:trPr>
          <w:trHeight w:val="1770"/>
          <w:tblHeader/>
        </w:trPr>
        <w:tc>
          <w:tcPr>
            <w:tcW w:w="2139" w:type="dxa"/>
            <w:gridSpan w:val="2"/>
            <w:vMerge/>
            <w:shd w:val="clear" w:color="auto" w:fill="auto"/>
          </w:tcPr>
          <w:p w14:paraId="5646990F"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36" w:type="dxa"/>
            <w:shd w:val="clear" w:color="auto" w:fill="auto"/>
            <w:tcMar>
              <w:top w:w="85" w:type="dxa"/>
              <w:left w:w="85" w:type="dxa"/>
              <w:bottom w:w="85" w:type="dxa"/>
              <w:right w:w="85" w:type="dxa"/>
            </w:tcMar>
            <w:vAlign w:val="bottom"/>
          </w:tcPr>
          <w:p w14:paraId="56469910" w14:textId="77777777" w:rsidR="00BB2B23" w:rsidRPr="009B5F08" w:rsidRDefault="00BB2B23" w:rsidP="00F5693B">
            <w:pPr>
              <w:pStyle w:val="Tablesmallheading"/>
              <w:spacing w:before="0"/>
              <w:jc w:val="center"/>
              <w:rPr>
                <w:color w:val="auto"/>
                <w:sz w:val="14"/>
                <w:szCs w:val="14"/>
              </w:rPr>
            </w:pPr>
            <w:r w:rsidRPr="009B5F08">
              <w:rPr>
                <w:color w:val="auto"/>
                <w:sz w:val="14"/>
                <w:szCs w:val="14"/>
              </w:rPr>
              <w:t>Option 1</w:t>
            </w:r>
          </w:p>
          <w:p w14:paraId="56469911" w14:textId="77777777" w:rsidR="00BB2B23" w:rsidRPr="009B5F08" w:rsidRDefault="00BB2B23" w:rsidP="00F5693B">
            <w:pPr>
              <w:pStyle w:val="Tablesmallheading"/>
              <w:spacing w:before="0"/>
              <w:jc w:val="center"/>
              <w:rPr>
                <w:color w:val="auto"/>
              </w:rPr>
            </w:pPr>
            <w:r w:rsidRPr="009B5F08">
              <w:rPr>
                <w:color w:val="auto"/>
                <w:sz w:val="14"/>
                <w:szCs w:val="14"/>
              </w:rPr>
              <w:t xml:space="preserve">No additional regulation </w:t>
            </w:r>
          </w:p>
        </w:tc>
        <w:tc>
          <w:tcPr>
            <w:tcW w:w="992" w:type="dxa"/>
            <w:shd w:val="clear" w:color="auto" w:fill="auto"/>
            <w:tcMar>
              <w:top w:w="85" w:type="dxa"/>
              <w:left w:w="85" w:type="dxa"/>
              <w:bottom w:w="85" w:type="dxa"/>
              <w:right w:w="85" w:type="dxa"/>
            </w:tcMar>
            <w:vAlign w:val="bottom"/>
          </w:tcPr>
          <w:p w14:paraId="56469912" w14:textId="77777777" w:rsidR="00BB2B23" w:rsidRPr="009B5F08" w:rsidRDefault="00BB2B23" w:rsidP="00F5693B">
            <w:pPr>
              <w:pStyle w:val="Tablesmallheading"/>
              <w:spacing w:before="0"/>
              <w:jc w:val="center"/>
              <w:rPr>
                <w:color w:val="auto"/>
                <w:sz w:val="14"/>
                <w:szCs w:val="14"/>
              </w:rPr>
            </w:pPr>
            <w:r w:rsidRPr="009B5F08">
              <w:rPr>
                <w:color w:val="auto"/>
                <w:sz w:val="14"/>
                <w:szCs w:val="14"/>
              </w:rPr>
              <w:t xml:space="preserve">Option 2 </w:t>
            </w:r>
          </w:p>
          <w:p w14:paraId="56469913" w14:textId="77777777" w:rsidR="00BB2B23" w:rsidRPr="009B5F08" w:rsidRDefault="00BB2B23" w:rsidP="00F5693B">
            <w:pPr>
              <w:pStyle w:val="Tablesmallheading"/>
              <w:spacing w:before="0"/>
              <w:jc w:val="center"/>
              <w:rPr>
                <w:color w:val="auto"/>
              </w:rPr>
            </w:pPr>
            <w:r w:rsidRPr="009B5F08">
              <w:rPr>
                <w:color w:val="auto"/>
                <w:sz w:val="14"/>
                <w:szCs w:val="14"/>
              </w:rPr>
              <w:t>Phase-down of HFCs</w:t>
            </w:r>
          </w:p>
        </w:tc>
        <w:tc>
          <w:tcPr>
            <w:tcW w:w="890" w:type="dxa"/>
            <w:shd w:val="clear" w:color="auto" w:fill="auto"/>
            <w:tcMar>
              <w:top w:w="85" w:type="dxa"/>
              <w:left w:w="85" w:type="dxa"/>
              <w:bottom w:w="85" w:type="dxa"/>
              <w:right w:w="85" w:type="dxa"/>
            </w:tcMar>
            <w:vAlign w:val="bottom"/>
          </w:tcPr>
          <w:p w14:paraId="56469914" w14:textId="77777777" w:rsidR="00BB2B23" w:rsidRPr="009B5F08" w:rsidRDefault="00BB2B23" w:rsidP="00F5693B">
            <w:pPr>
              <w:pStyle w:val="Tablesmallheading"/>
              <w:spacing w:before="0"/>
              <w:jc w:val="center"/>
              <w:rPr>
                <w:color w:val="auto"/>
                <w:sz w:val="14"/>
                <w:szCs w:val="14"/>
              </w:rPr>
            </w:pPr>
            <w:r w:rsidRPr="009B5F08">
              <w:rPr>
                <w:color w:val="auto"/>
                <w:sz w:val="14"/>
                <w:szCs w:val="14"/>
              </w:rPr>
              <w:t xml:space="preserve">Option 3 </w:t>
            </w:r>
          </w:p>
          <w:p w14:paraId="56469915" w14:textId="77777777" w:rsidR="00BB2B23" w:rsidRPr="009B5F08" w:rsidRDefault="00BB2B23" w:rsidP="00F5693B">
            <w:pPr>
              <w:pStyle w:val="Tablesmallheading"/>
              <w:spacing w:before="0"/>
              <w:jc w:val="center"/>
              <w:rPr>
                <w:color w:val="auto"/>
              </w:rPr>
            </w:pPr>
            <w:r w:rsidRPr="009B5F08">
              <w:rPr>
                <w:color w:val="auto"/>
                <w:sz w:val="14"/>
                <w:szCs w:val="14"/>
              </w:rPr>
              <w:t xml:space="preserve">HFC equipment ban </w:t>
            </w:r>
          </w:p>
        </w:tc>
        <w:tc>
          <w:tcPr>
            <w:tcW w:w="1066" w:type="dxa"/>
            <w:shd w:val="clear" w:color="auto" w:fill="auto"/>
            <w:tcMar>
              <w:top w:w="85" w:type="dxa"/>
              <w:left w:w="85" w:type="dxa"/>
              <w:bottom w:w="85" w:type="dxa"/>
              <w:right w:w="85" w:type="dxa"/>
            </w:tcMar>
            <w:vAlign w:val="bottom"/>
          </w:tcPr>
          <w:p w14:paraId="56469916" w14:textId="77777777" w:rsidR="00BB2B23" w:rsidRPr="009B5F08" w:rsidRDefault="00BB2B23" w:rsidP="00F5693B">
            <w:pPr>
              <w:pStyle w:val="Tablesmallheading"/>
              <w:spacing w:before="0"/>
              <w:jc w:val="center"/>
              <w:rPr>
                <w:color w:val="auto"/>
                <w:sz w:val="14"/>
                <w:szCs w:val="14"/>
              </w:rPr>
            </w:pPr>
            <w:r w:rsidRPr="009B5F08">
              <w:rPr>
                <w:color w:val="auto"/>
                <w:sz w:val="14"/>
                <w:szCs w:val="14"/>
              </w:rPr>
              <w:t>Option 4</w:t>
            </w:r>
          </w:p>
          <w:p w14:paraId="56469917" w14:textId="77777777" w:rsidR="00BB2B23" w:rsidRPr="009B5F08" w:rsidRDefault="00BB2B23" w:rsidP="00F5693B">
            <w:pPr>
              <w:pStyle w:val="Tablesmallheading"/>
              <w:spacing w:before="0"/>
              <w:jc w:val="center"/>
              <w:rPr>
                <w:color w:val="auto"/>
              </w:rPr>
            </w:pPr>
            <w:r w:rsidRPr="009B5F08">
              <w:rPr>
                <w:color w:val="auto"/>
                <w:sz w:val="14"/>
                <w:szCs w:val="14"/>
              </w:rPr>
              <w:t xml:space="preserve">Maintenance and leak testing </w:t>
            </w:r>
          </w:p>
        </w:tc>
        <w:tc>
          <w:tcPr>
            <w:tcW w:w="2818" w:type="dxa"/>
            <w:shd w:val="clear" w:color="auto" w:fill="auto"/>
            <w:tcMar>
              <w:top w:w="85" w:type="dxa"/>
              <w:left w:w="85" w:type="dxa"/>
              <w:bottom w:w="85" w:type="dxa"/>
              <w:right w:w="85" w:type="dxa"/>
            </w:tcMar>
            <w:vAlign w:val="bottom"/>
          </w:tcPr>
          <w:p w14:paraId="56469918" w14:textId="77777777" w:rsidR="00BB2B23" w:rsidRPr="009B5F08" w:rsidRDefault="00BB2B23" w:rsidP="00F5693B">
            <w:pPr>
              <w:pStyle w:val="Tablesmallheading"/>
              <w:jc w:val="center"/>
              <w:rPr>
                <w:color w:val="auto"/>
              </w:rPr>
            </w:pPr>
            <w:r w:rsidRPr="009B5F08">
              <w:rPr>
                <w:color w:val="auto"/>
                <w:sz w:val="14"/>
                <w:szCs w:val="14"/>
              </w:rPr>
              <w:t>Broaden coverage of the scheme to regulate indirect emissions, consider energy efficiency, account for diversity in the industry, the movement towards alternatives and associated issues such as gas quality, Workplace Health and Safety and product stewardship—Through various measures (for eg. regulating more gases/activities, training, links to other legislation/schemes, standards, codes of practice, labelling)</w:t>
            </w:r>
          </w:p>
        </w:tc>
      </w:tr>
      <w:tr w:rsidR="00BB2B23" w:rsidRPr="009B5F08" w14:paraId="56469921" w14:textId="77777777" w:rsidTr="009B5F08">
        <w:trPr>
          <w:trHeight w:val="170"/>
        </w:trPr>
        <w:tc>
          <w:tcPr>
            <w:tcW w:w="295" w:type="dxa"/>
            <w:shd w:val="clear" w:color="auto" w:fill="auto"/>
            <w:tcMar>
              <w:top w:w="57" w:type="dxa"/>
              <w:left w:w="57" w:type="dxa"/>
              <w:bottom w:w="57" w:type="dxa"/>
              <w:right w:w="57" w:type="dxa"/>
            </w:tcMar>
          </w:tcPr>
          <w:p w14:paraId="5646991A"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844" w:type="dxa"/>
            <w:shd w:val="clear" w:color="auto" w:fill="auto"/>
            <w:tcMar>
              <w:top w:w="85" w:type="dxa"/>
              <w:left w:w="85" w:type="dxa"/>
              <w:bottom w:w="85" w:type="dxa"/>
              <w:right w:w="85" w:type="dxa"/>
            </w:tcMar>
          </w:tcPr>
          <w:p w14:paraId="5646991B" w14:textId="77777777" w:rsidR="00BB2B23" w:rsidRPr="009B5F08" w:rsidRDefault="00BB2B23" w:rsidP="00F5693B">
            <w:pPr>
              <w:pStyle w:val="Tablesmalltext"/>
              <w:rPr>
                <w:color w:val="auto"/>
              </w:rPr>
            </w:pPr>
            <w:r w:rsidRPr="009B5F08">
              <w:rPr>
                <w:color w:val="auto"/>
                <w:sz w:val="14"/>
                <w:szCs w:val="14"/>
              </w:rPr>
              <w:t>SUBMISSION</w:t>
            </w:r>
          </w:p>
        </w:tc>
        <w:tc>
          <w:tcPr>
            <w:tcW w:w="1036" w:type="dxa"/>
            <w:shd w:val="clear" w:color="auto" w:fill="auto"/>
            <w:tcMar>
              <w:top w:w="85" w:type="dxa"/>
              <w:left w:w="85" w:type="dxa"/>
              <w:bottom w:w="85" w:type="dxa"/>
              <w:right w:w="85" w:type="dxa"/>
            </w:tcMar>
            <w:vAlign w:val="center"/>
          </w:tcPr>
          <w:p w14:paraId="5646991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1D"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91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91F"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92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29" w14:textId="77777777" w:rsidTr="009B5F08">
        <w:trPr>
          <w:trHeight w:val="170"/>
        </w:trPr>
        <w:tc>
          <w:tcPr>
            <w:tcW w:w="295" w:type="dxa"/>
            <w:shd w:val="clear" w:color="auto" w:fill="auto"/>
            <w:tcMar>
              <w:top w:w="57" w:type="dxa"/>
              <w:left w:w="57" w:type="dxa"/>
              <w:bottom w:w="57" w:type="dxa"/>
              <w:right w:w="57" w:type="dxa"/>
            </w:tcMar>
          </w:tcPr>
          <w:p w14:paraId="56469922" w14:textId="77777777" w:rsidR="00BB2B23" w:rsidRPr="009B5F08" w:rsidRDefault="00BB2B23" w:rsidP="00F5693B">
            <w:pPr>
              <w:pStyle w:val="Tablesmalltext"/>
              <w:jc w:val="center"/>
              <w:rPr>
                <w:color w:val="auto"/>
              </w:rPr>
            </w:pPr>
            <w:r w:rsidRPr="009B5F08">
              <w:rPr>
                <w:color w:val="auto"/>
                <w:sz w:val="14"/>
                <w:szCs w:val="14"/>
              </w:rPr>
              <w:lastRenderedPageBreak/>
              <w:t>1</w:t>
            </w:r>
          </w:p>
        </w:tc>
        <w:tc>
          <w:tcPr>
            <w:tcW w:w="1844" w:type="dxa"/>
            <w:shd w:val="clear" w:color="auto" w:fill="auto"/>
            <w:tcMar>
              <w:top w:w="85" w:type="dxa"/>
              <w:left w:w="85" w:type="dxa"/>
              <w:bottom w:w="85" w:type="dxa"/>
              <w:right w:w="85" w:type="dxa"/>
            </w:tcMar>
          </w:tcPr>
          <w:p w14:paraId="56469923" w14:textId="77777777" w:rsidR="00BB2B23" w:rsidRPr="009B5F08" w:rsidRDefault="00BB2B23" w:rsidP="00F5693B">
            <w:pPr>
              <w:pStyle w:val="Tablesmalltext"/>
              <w:rPr>
                <w:color w:val="auto"/>
              </w:rPr>
            </w:pPr>
            <w:r w:rsidRPr="009B5F08">
              <w:rPr>
                <w:color w:val="auto"/>
                <w:sz w:val="14"/>
                <w:szCs w:val="14"/>
              </w:rPr>
              <w:t>CONFIDENTIAL</w:t>
            </w:r>
          </w:p>
        </w:tc>
        <w:tc>
          <w:tcPr>
            <w:tcW w:w="1036" w:type="dxa"/>
            <w:shd w:val="clear" w:color="auto" w:fill="auto"/>
            <w:tcMar>
              <w:top w:w="85" w:type="dxa"/>
              <w:left w:w="85" w:type="dxa"/>
              <w:bottom w:w="85" w:type="dxa"/>
              <w:right w:w="85" w:type="dxa"/>
            </w:tcMar>
            <w:vAlign w:val="center"/>
          </w:tcPr>
          <w:p w14:paraId="5646992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25"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926"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927"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92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31" w14:textId="77777777" w:rsidTr="009B5F08">
        <w:trPr>
          <w:trHeight w:val="170"/>
        </w:trPr>
        <w:tc>
          <w:tcPr>
            <w:tcW w:w="295" w:type="dxa"/>
            <w:shd w:val="clear" w:color="auto" w:fill="auto"/>
            <w:tcMar>
              <w:top w:w="57" w:type="dxa"/>
              <w:left w:w="57" w:type="dxa"/>
              <w:bottom w:w="57" w:type="dxa"/>
              <w:right w:w="57" w:type="dxa"/>
            </w:tcMar>
          </w:tcPr>
          <w:p w14:paraId="5646992A" w14:textId="77777777" w:rsidR="00BB2B23" w:rsidRPr="009B5F08" w:rsidRDefault="00BB2B23" w:rsidP="00F5693B">
            <w:pPr>
              <w:pStyle w:val="Tablesmalltext"/>
              <w:jc w:val="center"/>
              <w:rPr>
                <w:color w:val="auto"/>
              </w:rPr>
            </w:pPr>
            <w:r w:rsidRPr="009B5F08">
              <w:rPr>
                <w:color w:val="auto"/>
                <w:sz w:val="14"/>
                <w:szCs w:val="14"/>
              </w:rPr>
              <w:t>2</w:t>
            </w:r>
          </w:p>
        </w:tc>
        <w:tc>
          <w:tcPr>
            <w:tcW w:w="1844" w:type="dxa"/>
            <w:shd w:val="clear" w:color="auto" w:fill="auto"/>
            <w:tcMar>
              <w:top w:w="85" w:type="dxa"/>
              <w:left w:w="85" w:type="dxa"/>
              <w:bottom w:w="85" w:type="dxa"/>
              <w:right w:w="85" w:type="dxa"/>
            </w:tcMar>
          </w:tcPr>
          <w:p w14:paraId="5646992B" w14:textId="77777777" w:rsidR="00BB2B23" w:rsidRPr="009B5F08" w:rsidRDefault="00BB2B23" w:rsidP="00F5693B">
            <w:pPr>
              <w:pStyle w:val="Tablesmalltext"/>
              <w:rPr>
                <w:color w:val="auto"/>
              </w:rPr>
            </w:pPr>
            <w:r w:rsidRPr="009B5F08">
              <w:rPr>
                <w:color w:val="auto"/>
                <w:sz w:val="14"/>
                <w:szCs w:val="14"/>
              </w:rPr>
              <w:t>CONFIDENTIAL</w:t>
            </w:r>
          </w:p>
        </w:tc>
        <w:tc>
          <w:tcPr>
            <w:tcW w:w="1036" w:type="dxa"/>
            <w:shd w:val="clear" w:color="auto" w:fill="auto"/>
            <w:tcMar>
              <w:top w:w="85" w:type="dxa"/>
              <w:left w:w="85" w:type="dxa"/>
              <w:bottom w:w="85" w:type="dxa"/>
              <w:right w:w="85" w:type="dxa"/>
            </w:tcMar>
            <w:vAlign w:val="center"/>
          </w:tcPr>
          <w:p w14:paraId="5646992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2D"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92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92F"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93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39" w14:textId="77777777" w:rsidTr="009B5F08">
        <w:trPr>
          <w:trHeight w:val="170"/>
        </w:trPr>
        <w:tc>
          <w:tcPr>
            <w:tcW w:w="295" w:type="dxa"/>
            <w:shd w:val="clear" w:color="auto" w:fill="auto"/>
            <w:tcMar>
              <w:top w:w="57" w:type="dxa"/>
              <w:left w:w="57" w:type="dxa"/>
              <w:bottom w:w="57" w:type="dxa"/>
              <w:right w:w="57" w:type="dxa"/>
            </w:tcMar>
          </w:tcPr>
          <w:p w14:paraId="56469932" w14:textId="77777777" w:rsidR="00BB2B23" w:rsidRPr="009B5F08" w:rsidRDefault="00BB2B23" w:rsidP="00F5693B">
            <w:pPr>
              <w:pStyle w:val="Tablesmalltext"/>
              <w:jc w:val="center"/>
              <w:rPr>
                <w:color w:val="auto"/>
              </w:rPr>
            </w:pPr>
            <w:r w:rsidRPr="009B5F08">
              <w:rPr>
                <w:color w:val="auto"/>
                <w:sz w:val="14"/>
                <w:szCs w:val="14"/>
              </w:rPr>
              <w:t>3</w:t>
            </w:r>
          </w:p>
        </w:tc>
        <w:tc>
          <w:tcPr>
            <w:tcW w:w="1844" w:type="dxa"/>
            <w:shd w:val="clear" w:color="auto" w:fill="auto"/>
            <w:tcMar>
              <w:top w:w="85" w:type="dxa"/>
              <w:left w:w="85" w:type="dxa"/>
              <w:bottom w:w="85" w:type="dxa"/>
              <w:right w:w="85" w:type="dxa"/>
            </w:tcMar>
          </w:tcPr>
          <w:p w14:paraId="56469933" w14:textId="77777777" w:rsidR="00BB2B23" w:rsidRPr="009B5F08" w:rsidRDefault="00BB2B23" w:rsidP="00F5693B">
            <w:pPr>
              <w:pStyle w:val="Tablesmalltext"/>
              <w:rPr>
                <w:color w:val="auto"/>
              </w:rPr>
            </w:pPr>
            <w:r w:rsidRPr="009B5F08">
              <w:rPr>
                <w:color w:val="auto"/>
                <w:sz w:val="14"/>
                <w:szCs w:val="14"/>
              </w:rPr>
              <w:t>CONFIDENTIAL</w:t>
            </w:r>
          </w:p>
        </w:tc>
        <w:tc>
          <w:tcPr>
            <w:tcW w:w="1036" w:type="dxa"/>
            <w:shd w:val="clear" w:color="auto" w:fill="auto"/>
            <w:tcMar>
              <w:top w:w="85" w:type="dxa"/>
              <w:left w:w="85" w:type="dxa"/>
              <w:bottom w:w="85" w:type="dxa"/>
              <w:right w:w="85" w:type="dxa"/>
            </w:tcMar>
            <w:vAlign w:val="center"/>
          </w:tcPr>
          <w:p w14:paraId="5646993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35"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936"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937"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93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41" w14:textId="77777777" w:rsidTr="009B5F08">
        <w:trPr>
          <w:trHeight w:val="170"/>
        </w:trPr>
        <w:tc>
          <w:tcPr>
            <w:tcW w:w="295" w:type="dxa"/>
            <w:shd w:val="clear" w:color="auto" w:fill="auto"/>
            <w:tcMar>
              <w:top w:w="57" w:type="dxa"/>
              <w:left w:w="57" w:type="dxa"/>
              <w:bottom w:w="57" w:type="dxa"/>
              <w:right w:w="57" w:type="dxa"/>
            </w:tcMar>
          </w:tcPr>
          <w:p w14:paraId="5646993A" w14:textId="77777777" w:rsidR="00BB2B23" w:rsidRPr="009B5F08" w:rsidRDefault="00BB2B23" w:rsidP="00F5693B">
            <w:pPr>
              <w:pStyle w:val="Tablesmalltext"/>
              <w:jc w:val="center"/>
              <w:rPr>
                <w:color w:val="auto"/>
              </w:rPr>
            </w:pPr>
            <w:r w:rsidRPr="009B5F08">
              <w:rPr>
                <w:color w:val="auto"/>
                <w:sz w:val="14"/>
                <w:szCs w:val="14"/>
              </w:rPr>
              <w:t>4</w:t>
            </w:r>
          </w:p>
        </w:tc>
        <w:tc>
          <w:tcPr>
            <w:tcW w:w="1844" w:type="dxa"/>
            <w:shd w:val="clear" w:color="auto" w:fill="auto"/>
            <w:tcMar>
              <w:top w:w="85" w:type="dxa"/>
              <w:left w:w="85" w:type="dxa"/>
              <w:bottom w:w="85" w:type="dxa"/>
              <w:right w:w="85" w:type="dxa"/>
            </w:tcMar>
          </w:tcPr>
          <w:p w14:paraId="5646993B" w14:textId="77777777" w:rsidR="00BB2B23" w:rsidRPr="009B5F08" w:rsidRDefault="00BB2B23" w:rsidP="00F5693B">
            <w:pPr>
              <w:pStyle w:val="Tablesmalltext"/>
              <w:rPr>
                <w:color w:val="auto"/>
              </w:rPr>
            </w:pPr>
            <w:r w:rsidRPr="009B5F08">
              <w:rPr>
                <w:color w:val="auto"/>
                <w:sz w:val="14"/>
                <w:szCs w:val="14"/>
              </w:rPr>
              <w:t>CONFIDENTIAL</w:t>
            </w:r>
          </w:p>
        </w:tc>
        <w:tc>
          <w:tcPr>
            <w:tcW w:w="1036" w:type="dxa"/>
            <w:shd w:val="clear" w:color="auto" w:fill="auto"/>
            <w:tcMar>
              <w:top w:w="85" w:type="dxa"/>
              <w:left w:w="85" w:type="dxa"/>
              <w:bottom w:w="85" w:type="dxa"/>
              <w:right w:w="85" w:type="dxa"/>
            </w:tcMar>
            <w:vAlign w:val="center"/>
          </w:tcPr>
          <w:p w14:paraId="5646993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3D"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93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93F"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94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49" w14:textId="77777777" w:rsidTr="009B5F08">
        <w:trPr>
          <w:trHeight w:val="170"/>
        </w:trPr>
        <w:tc>
          <w:tcPr>
            <w:tcW w:w="295" w:type="dxa"/>
            <w:shd w:val="clear" w:color="auto" w:fill="auto"/>
            <w:tcMar>
              <w:top w:w="57" w:type="dxa"/>
              <w:left w:w="57" w:type="dxa"/>
              <w:bottom w:w="57" w:type="dxa"/>
              <w:right w:w="57" w:type="dxa"/>
            </w:tcMar>
          </w:tcPr>
          <w:p w14:paraId="56469942" w14:textId="77777777" w:rsidR="00BB2B23" w:rsidRPr="009B5F08" w:rsidRDefault="00BB2B23" w:rsidP="00F5693B">
            <w:pPr>
              <w:pStyle w:val="Tablesmalltext"/>
              <w:jc w:val="center"/>
              <w:rPr>
                <w:color w:val="auto"/>
              </w:rPr>
            </w:pPr>
            <w:r w:rsidRPr="009B5F08">
              <w:rPr>
                <w:color w:val="auto"/>
                <w:sz w:val="14"/>
                <w:szCs w:val="14"/>
              </w:rPr>
              <w:t>5</w:t>
            </w:r>
          </w:p>
        </w:tc>
        <w:tc>
          <w:tcPr>
            <w:tcW w:w="1844" w:type="dxa"/>
            <w:shd w:val="clear" w:color="auto" w:fill="auto"/>
            <w:tcMar>
              <w:top w:w="85" w:type="dxa"/>
              <w:left w:w="85" w:type="dxa"/>
              <w:bottom w:w="85" w:type="dxa"/>
              <w:right w:w="85" w:type="dxa"/>
            </w:tcMar>
          </w:tcPr>
          <w:p w14:paraId="56469943" w14:textId="77777777" w:rsidR="00BB2B23" w:rsidRPr="009B5F08" w:rsidRDefault="00BB2B23" w:rsidP="00F5693B">
            <w:pPr>
              <w:pStyle w:val="Tablesmalltext"/>
              <w:rPr>
                <w:color w:val="auto"/>
              </w:rPr>
            </w:pPr>
            <w:r w:rsidRPr="009B5F08">
              <w:rPr>
                <w:color w:val="auto"/>
                <w:sz w:val="14"/>
                <w:szCs w:val="14"/>
              </w:rPr>
              <w:t>CONFIDENTIAL</w:t>
            </w:r>
          </w:p>
        </w:tc>
        <w:tc>
          <w:tcPr>
            <w:tcW w:w="1036" w:type="dxa"/>
            <w:shd w:val="clear" w:color="auto" w:fill="auto"/>
            <w:tcMar>
              <w:top w:w="85" w:type="dxa"/>
              <w:left w:w="85" w:type="dxa"/>
              <w:bottom w:w="85" w:type="dxa"/>
              <w:right w:w="85" w:type="dxa"/>
            </w:tcMar>
            <w:vAlign w:val="center"/>
          </w:tcPr>
          <w:p w14:paraId="5646994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45"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946"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947"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94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51" w14:textId="77777777" w:rsidTr="009B5F08">
        <w:trPr>
          <w:trHeight w:val="170"/>
        </w:trPr>
        <w:tc>
          <w:tcPr>
            <w:tcW w:w="295" w:type="dxa"/>
            <w:shd w:val="clear" w:color="auto" w:fill="auto"/>
            <w:tcMar>
              <w:top w:w="57" w:type="dxa"/>
              <w:left w:w="57" w:type="dxa"/>
              <w:bottom w:w="57" w:type="dxa"/>
              <w:right w:w="57" w:type="dxa"/>
            </w:tcMar>
          </w:tcPr>
          <w:p w14:paraId="5646994A" w14:textId="77777777" w:rsidR="00BB2B23" w:rsidRPr="009B5F08" w:rsidRDefault="00BB2B23" w:rsidP="00F5693B">
            <w:pPr>
              <w:pStyle w:val="Tablesmalltext"/>
              <w:jc w:val="center"/>
              <w:rPr>
                <w:color w:val="auto"/>
              </w:rPr>
            </w:pPr>
            <w:r w:rsidRPr="009B5F08">
              <w:rPr>
                <w:color w:val="auto"/>
                <w:sz w:val="14"/>
                <w:szCs w:val="14"/>
              </w:rPr>
              <w:t>6</w:t>
            </w:r>
          </w:p>
        </w:tc>
        <w:tc>
          <w:tcPr>
            <w:tcW w:w="1844" w:type="dxa"/>
            <w:shd w:val="clear" w:color="auto" w:fill="auto"/>
            <w:tcMar>
              <w:top w:w="85" w:type="dxa"/>
              <w:left w:w="85" w:type="dxa"/>
              <w:bottom w:w="85" w:type="dxa"/>
              <w:right w:w="85" w:type="dxa"/>
            </w:tcMar>
          </w:tcPr>
          <w:p w14:paraId="5646994B" w14:textId="77777777" w:rsidR="00BB2B23" w:rsidRPr="009B5F08" w:rsidRDefault="00BB2B23" w:rsidP="00F5693B">
            <w:pPr>
              <w:pStyle w:val="Tablesmalltext"/>
              <w:rPr>
                <w:color w:val="auto"/>
              </w:rPr>
            </w:pPr>
            <w:r w:rsidRPr="009B5F08">
              <w:rPr>
                <w:color w:val="auto"/>
                <w:sz w:val="14"/>
                <w:szCs w:val="14"/>
              </w:rPr>
              <w:t>CONFIDENTIAL</w:t>
            </w:r>
          </w:p>
        </w:tc>
        <w:tc>
          <w:tcPr>
            <w:tcW w:w="1036" w:type="dxa"/>
            <w:shd w:val="clear" w:color="auto" w:fill="auto"/>
            <w:tcMar>
              <w:top w:w="85" w:type="dxa"/>
              <w:left w:w="85" w:type="dxa"/>
              <w:bottom w:w="85" w:type="dxa"/>
              <w:right w:w="85" w:type="dxa"/>
            </w:tcMar>
            <w:vAlign w:val="center"/>
          </w:tcPr>
          <w:p w14:paraId="5646994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4D"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94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94F"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95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59" w14:textId="77777777" w:rsidTr="009B5F08">
        <w:trPr>
          <w:trHeight w:val="170"/>
        </w:trPr>
        <w:tc>
          <w:tcPr>
            <w:tcW w:w="295" w:type="dxa"/>
            <w:shd w:val="clear" w:color="auto" w:fill="auto"/>
            <w:tcMar>
              <w:top w:w="57" w:type="dxa"/>
              <w:left w:w="57" w:type="dxa"/>
              <w:bottom w:w="57" w:type="dxa"/>
              <w:right w:w="57" w:type="dxa"/>
            </w:tcMar>
          </w:tcPr>
          <w:p w14:paraId="56469952" w14:textId="77777777" w:rsidR="00BB2B23" w:rsidRPr="009B5F08" w:rsidRDefault="00BB2B23" w:rsidP="00F5693B">
            <w:pPr>
              <w:pStyle w:val="Tablesmalltext"/>
              <w:jc w:val="center"/>
              <w:rPr>
                <w:color w:val="auto"/>
              </w:rPr>
            </w:pPr>
            <w:r w:rsidRPr="009B5F08">
              <w:rPr>
                <w:color w:val="auto"/>
                <w:sz w:val="14"/>
                <w:szCs w:val="14"/>
              </w:rPr>
              <w:t>7</w:t>
            </w:r>
          </w:p>
        </w:tc>
        <w:tc>
          <w:tcPr>
            <w:tcW w:w="1844" w:type="dxa"/>
            <w:shd w:val="clear" w:color="auto" w:fill="auto"/>
            <w:tcMar>
              <w:top w:w="85" w:type="dxa"/>
              <w:left w:w="85" w:type="dxa"/>
              <w:bottom w:w="85" w:type="dxa"/>
              <w:right w:w="85" w:type="dxa"/>
            </w:tcMar>
          </w:tcPr>
          <w:p w14:paraId="56469953" w14:textId="77777777" w:rsidR="00BB2B23" w:rsidRPr="009B5F08" w:rsidRDefault="00BB2B23" w:rsidP="00F5693B">
            <w:pPr>
              <w:pStyle w:val="Tablesmalltext"/>
              <w:rPr>
                <w:color w:val="auto"/>
              </w:rPr>
            </w:pPr>
            <w:r w:rsidRPr="009B5F08">
              <w:rPr>
                <w:color w:val="auto"/>
                <w:sz w:val="14"/>
                <w:szCs w:val="14"/>
              </w:rPr>
              <w:t>CONFIDENTIAL</w:t>
            </w:r>
          </w:p>
        </w:tc>
        <w:tc>
          <w:tcPr>
            <w:tcW w:w="1036" w:type="dxa"/>
            <w:shd w:val="clear" w:color="auto" w:fill="auto"/>
            <w:tcMar>
              <w:top w:w="85" w:type="dxa"/>
              <w:left w:w="85" w:type="dxa"/>
              <w:bottom w:w="85" w:type="dxa"/>
              <w:right w:w="85" w:type="dxa"/>
            </w:tcMar>
            <w:vAlign w:val="center"/>
          </w:tcPr>
          <w:p w14:paraId="5646995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55"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956" w14:textId="77777777" w:rsidR="00BB2B23" w:rsidRPr="009B5F08" w:rsidRDefault="00BB2B23" w:rsidP="00F5693B">
            <w:pPr>
              <w:pStyle w:val="Tablesmalltext"/>
              <w:jc w:val="center"/>
              <w:rPr>
                <w:color w:val="auto"/>
              </w:rPr>
            </w:pPr>
            <w:r w:rsidRPr="009B5F08">
              <w:rPr>
                <w:rStyle w:val="wingding"/>
                <w:color w:val="auto"/>
              </w:rPr>
              <w:t></w:t>
            </w:r>
          </w:p>
        </w:tc>
        <w:tc>
          <w:tcPr>
            <w:tcW w:w="1066" w:type="dxa"/>
            <w:shd w:val="clear" w:color="auto" w:fill="auto"/>
            <w:tcMar>
              <w:top w:w="85" w:type="dxa"/>
              <w:left w:w="85" w:type="dxa"/>
              <w:bottom w:w="85" w:type="dxa"/>
              <w:right w:w="85" w:type="dxa"/>
            </w:tcMar>
            <w:vAlign w:val="center"/>
          </w:tcPr>
          <w:p w14:paraId="56469957" w14:textId="77777777" w:rsidR="00BB2B23" w:rsidRPr="009B5F08" w:rsidRDefault="00BB2B23" w:rsidP="00F5693B">
            <w:pPr>
              <w:pStyle w:val="Tablesmalltext"/>
              <w:jc w:val="center"/>
              <w:rPr>
                <w:color w:val="auto"/>
              </w:rPr>
            </w:pPr>
            <w:r w:rsidRPr="009B5F08">
              <w:rPr>
                <w:rStyle w:val="wingding"/>
                <w:color w:val="auto"/>
              </w:rPr>
              <w:t></w:t>
            </w:r>
          </w:p>
        </w:tc>
        <w:tc>
          <w:tcPr>
            <w:tcW w:w="2818" w:type="dxa"/>
            <w:shd w:val="clear" w:color="auto" w:fill="auto"/>
            <w:tcMar>
              <w:top w:w="85" w:type="dxa"/>
              <w:left w:w="85" w:type="dxa"/>
              <w:bottom w:w="85" w:type="dxa"/>
              <w:right w:w="85" w:type="dxa"/>
            </w:tcMar>
          </w:tcPr>
          <w:p w14:paraId="5646995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61" w14:textId="77777777" w:rsidTr="009B5F08">
        <w:trPr>
          <w:trHeight w:val="170"/>
        </w:trPr>
        <w:tc>
          <w:tcPr>
            <w:tcW w:w="295" w:type="dxa"/>
            <w:shd w:val="clear" w:color="auto" w:fill="auto"/>
            <w:tcMar>
              <w:top w:w="57" w:type="dxa"/>
              <w:left w:w="57" w:type="dxa"/>
              <w:bottom w:w="57" w:type="dxa"/>
              <w:right w:w="57" w:type="dxa"/>
            </w:tcMar>
          </w:tcPr>
          <w:p w14:paraId="5646995A" w14:textId="77777777" w:rsidR="00BB2B23" w:rsidRPr="009B5F08" w:rsidRDefault="00BB2B23" w:rsidP="00F5693B">
            <w:pPr>
              <w:pStyle w:val="Tablesmalltext"/>
              <w:jc w:val="center"/>
              <w:rPr>
                <w:color w:val="auto"/>
              </w:rPr>
            </w:pPr>
            <w:r w:rsidRPr="009B5F08">
              <w:rPr>
                <w:color w:val="auto"/>
                <w:sz w:val="14"/>
                <w:szCs w:val="14"/>
              </w:rPr>
              <w:t>8</w:t>
            </w:r>
          </w:p>
        </w:tc>
        <w:tc>
          <w:tcPr>
            <w:tcW w:w="1844" w:type="dxa"/>
            <w:shd w:val="clear" w:color="auto" w:fill="auto"/>
            <w:tcMar>
              <w:top w:w="85" w:type="dxa"/>
              <w:left w:w="85" w:type="dxa"/>
              <w:bottom w:w="85" w:type="dxa"/>
              <w:right w:w="85" w:type="dxa"/>
            </w:tcMar>
          </w:tcPr>
          <w:p w14:paraId="5646995B" w14:textId="77777777" w:rsidR="00BB2B23" w:rsidRPr="009B5F08" w:rsidRDefault="00BB2B23" w:rsidP="00F5693B">
            <w:pPr>
              <w:pStyle w:val="Tablesmalltext"/>
              <w:rPr>
                <w:color w:val="auto"/>
              </w:rPr>
            </w:pPr>
            <w:r w:rsidRPr="009B5F08">
              <w:rPr>
                <w:color w:val="auto"/>
                <w:sz w:val="14"/>
                <w:szCs w:val="14"/>
              </w:rPr>
              <w:t>CONFIDENTIAL</w:t>
            </w:r>
          </w:p>
        </w:tc>
        <w:tc>
          <w:tcPr>
            <w:tcW w:w="1036" w:type="dxa"/>
            <w:shd w:val="clear" w:color="auto" w:fill="auto"/>
            <w:tcMar>
              <w:top w:w="85" w:type="dxa"/>
              <w:left w:w="85" w:type="dxa"/>
              <w:bottom w:w="85" w:type="dxa"/>
              <w:right w:w="85" w:type="dxa"/>
            </w:tcMar>
            <w:vAlign w:val="center"/>
          </w:tcPr>
          <w:p w14:paraId="5646995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5D"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95E" w14:textId="77777777" w:rsidR="00BB2B23" w:rsidRPr="009B5F08" w:rsidRDefault="00BB2B23" w:rsidP="00F5693B">
            <w:pPr>
              <w:pStyle w:val="Tablesmalltext"/>
              <w:jc w:val="center"/>
              <w:rPr>
                <w:color w:val="auto"/>
              </w:rPr>
            </w:pPr>
            <w:r w:rsidRPr="009B5F08">
              <w:rPr>
                <w:color w:val="auto"/>
              </w:rPr>
              <w:t>X</w:t>
            </w:r>
          </w:p>
        </w:tc>
        <w:tc>
          <w:tcPr>
            <w:tcW w:w="1066" w:type="dxa"/>
            <w:shd w:val="clear" w:color="auto" w:fill="auto"/>
            <w:tcMar>
              <w:top w:w="85" w:type="dxa"/>
              <w:left w:w="85" w:type="dxa"/>
              <w:bottom w:w="85" w:type="dxa"/>
              <w:right w:w="85" w:type="dxa"/>
            </w:tcMar>
            <w:vAlign w:val="center"/>
          </w:tcPr>
          <w:p w14:paraId="5646995F" w14:textId="77777777" w:rsidR="00BB2B23" w:rsidRPr="009B5F08" w:rsidRDefault="00BB2B23" w:rsidP="00F5693B">
            <w:pPr>
              <w:pStyle w:val="Tablesmalltext"/>
              <w:jc w:val="center"/>
              <w:rPr>
                <w:color w:val="auto"/>
              </w:rPr>
            </w:pPr>
            <w:r w:rsidRPr="009B5F08">
              <w:rPr>
                <w:color w:val="auto"/>
              </w:rPr>
              <w:t>X</w:t>
            </w:r>
          </w:p>
        </w:tc>
        <w:tc>
          <w:tcPr>
            <w:tcW w:w="2818" w:type="dxa"/>
            <w:shd w:val="clear" w:color="auto" w:fill="auto"/>
            <w:tcMar>
              <w:top w:w="85" w:type="dxa"/>
              <w:left w:w="85" w:type="dxa"/>
              <w:bottom w:w="85" w:type="dxa"/>
              <w:right w:w="85" w:type="dxa"/>
            </w:tcMar>
          </w:tcPr>
          <w:p w14:paraId="5646996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69" w14:textId="77777777" w:rsidTr="009B5F08">
        <w:trPr>
          <w:trHeight w:val="170"/>
        </w:trPr>
        <w:tc>
          <w:tcPr>
            <w:tcW w:w="295" w:type="dxa"/>
            <w:shd w:val="clear" w:color="auto" w:fill="auto"/>
            <w:tcMar>
              <w:top w:w="57" w:type="dxa"/>
              <w:left w:w="57" w:type="dxa"/>
              <w:bottom w:w="57" w:type="dxa"/>
              <w:right w:w="57" w:type="dxa"/>
            </w:tcMar>
          </w:tcPr>
          <w:p w14:paraId="56469962" w14:textId="77777777" w:rsidR="00BB2B23" w:rsidRPr="009B5F08" w:rsidRDefault="00BB2B23" w:rsidP="00F5693B">
            <w:pPr>
              <w:pStyle w:val="Tablesmalltext"/>
              <w:jc w:val="center"/>
              <w:rPr>
                <w:color w:val="auto"/>
              </w:rPr>
            </w:pPr>
            <w:r w:rsidRPr="009B5F08">
              <w:rPr>
                <w:color w:val="auto"/>
                <w:sz w:val="14"/>
                <w:szCs w:val="14"/>
              </w:rPr>
              <w:t>9</w:t>
            </w:r>
          </w:p>
        </w:tc>
        <w:tc>
          <w:tcPr>
            <w:tcW w:w="1844" w:type="dxa"/>
            <w:shd w:val="clear" w:color="auto" w:fill="auto"/>
            <w:tcMar>
              <w:top w:w="85" w:type="dxa"/>
              <w:left w:w="85" w:type="dxa"/>
              <w:bottom w:w="85" w:type="dxa"/>
              <w:right w:w="85" w:type="dxa"/>
            </w:tcMar>
          </w:tcPr>
          <w:p w14:paraId="56469963" w14:textId="77777777" w:rsidR="00BB2B23" w:rsidRPr="009B5F08" w:rsidRDefault="00BB2B23" w:rsidP="00F5693B">
            <w:pPr>
              <w:pStyle w:val="Tablesmalltext"/>
              <w:rPr>
                <w:color w:val="auto"/>
              </w:rPr>
            </w:pPr>
            <w:r w:rsidRPr="009B5F08">
              <w:rPr>
                <w:color w:val="auto"/>
                <w:sz w:val="14"/>
                <w:szCs w:val="14"/>
              </w:rPr>
              <w:t>CONFIDENTIAL</w:t>
            </w:r>
          </w:p>
        </w:tc>
        <w:tc>
          <w:tcPr>
            <w:tcW w:w="1036" w:type="dxa"/>
            <w:shd w:val="clear" w:color="auto" w:fill="auto"/>
            <w:tcMar>
              <w:top w:w="85" w:type="dxa"/>
              <w:left w:w="85" w:type="dxa"/>
              <w:bottom w:w="85" w:type="dxa"/>
              <w:right w:w="85" w:type="dxa"/>
            </w:tcMar>
            <w:vAlign w:val="center"/>
          </w:tcPr>
          <w:p w14:paraId="5646996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65"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966"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967"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96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71" w14:textId="77777777" w:rsidTr="009B5F08">
        <w:trPr>
          <w:trHeight w:val="170"/>
        </w:trPr>
        <w:tc>
          <w:tcPr>
            <w:tcW w:w="295" w:type="dxa"/>
            <w:shd w:val="clear" w:color="auto" w:fill="auto"/>
            <w:tcMar>
              <w:top w:w="57" w:type="dxa"/>
              <w:left w:w="57" w:type="dxa"/>
              <w:bottom w:w="57" w:type="dxa"/>
              <w:right w:w="57" w:type="dxa"/>
            </w:tcMar>
          </w:tcPr>
          <w:p w14:paraId="5646996A" w14:textId="77777777" w:rsidR="00BB2B23" w:rsidRPr="009B5F08" w:rsidRDefault="00BB2B23" w:rsidP="00F5693B">
            <w:pPr>
              <w:pStyle w:val="Tablesmalltext"/>
              <w:jc w:val="center"/>
              <w:rPr>
                <w:color w:val="auto"/>
              </w:rPr>
            </w:pPr>
            <w:r w:rsidRPr="009B5F08">
              <w:rPr>
                <w:color w:val="auto"/>
                <w:sz w:val="14"/>
                <w:szCs w:val="14"/>
              </w:rPr>
              <w:t>10</w:t>
            </w:r>
          </w:p>
        </w:tc>
        <w:tc>
          <w:tcPr>
            <w:tcW w:w="1844" w:type="dxa"/>
            <w:shd w:val="clear" w:color="auto" w:fill="auto"/>
            <w:tcMar>
              <w:top w:w="85" w:type="dxa"/>
              <w:left w:w="85" w:type="dxa"/>
              <w:bottom w:w="85" w:type="dxa"/>
              <w:right w:w="85" w:type="dxa"/>
            </w:tcMar>
          </w:tcPr>
          <w:p w14:paraId="5646996B" w14:textId="77777777" w:rsidR="00BB2B23" w:rsidRPr="009B5F08" w:rsidRDefault="00BB2B23" w:rsidP="00F5693B">
            <w:pPr>
              <w:pStyle w:val="Tablesmalltext"/>
              <w:rPr>
                <w:color w:val="auto"/>
              </w:rPr>
            </w:pPr>
            <w:r w:rsidRPr="009B5F08">
              <w:rPr>
                <w:color w:val="auto"/>
                <w:sz w:val="14"/>
                <w:szCs w:val="14"/>
              </w:rPr>
              <w:t>CONFIDENTIAL</w:t>
            </w:r>
          </w:p>
        </w:tc>
        <w:tc>
          <w:tcPr>
            <w:tcW w:w="1036" w:type="dxa"/>
            <w:shd w:val="clear" w:color="auto" w:fill="auto"/>
            <w:tcMar>
              <w:top w:w="85" w:type="dxa"/>
              <w:left w:w="85" w:type="dxa"/>
              <w:bottom w:w="85" w:type="dxa"/>
              <w:right w:w="85" w:type="dxa"/>
            </w:tcMar>
            <w:vAlign w:val="center"/>
          </w:tcPr>
          <w:p w14:paraId="5646996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6D"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96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96F"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97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79" w14:textId="77777777" w:rsidTr="009B5F08">
        <w:trPr>
          <w:trHeight w:val="170"/>
        </w:trPr>
        <w:tc>
          <w:tcPr>
            <w:tcW w:w="295" w:type="dxa"/>
            <w:shd w:val="clear" w:color="auto" w:fill="auto"/>
            <w:tcMar>
              <w:top w:w="57" w:type="dxa"/>
              <w:left w:w="57" w:type="dxa"/>
              <w:bottom w:w="57" w:type="dxa"/>
              <w:right w:w="57" w:type="dxa"/>
            </w:tcMar>
          </w:tcPr>
          <w:p w14:paraId="56469972" w14:textId="77777777" w:rsidR="00BB2B23" w:rsidRPr="009B5F08" w:rsidRDefault="00BB2B23" w:rsidP="00F5693B">
            <w:pPr>
              <w:pStyle w:val="Tablesmalltext"/>
              <w:jc w:val="center"/>
              <w:rPr>
                <w:color w:val="auto"/>
              </w:rPr>
            </w:pPr>
            <w:r w:rsidRPr="009B5F08">
              <w:rPr>
                <w:color w:val="auto"/>
                <w:sz w:val="14"/>
                <w:szCs w:val="14"/>
              </w:rPr>
              <w:t>11</w:t>
            </w:r>
          </w:p>
        </w:tc>
        <w:tc>
          <w:tcPr>
            <w:tcW w:w="1844" w:type="dxa"/>
            <w:shd w:val="clear" w:color="auto" w:fill="auto"/>
            <w:tcMar>
              <w:top w:w="85" w:type="dxa"/>
              <w:left w:w="85" w:type="dxa"/>
              <w:bottom w:w="85" w:type="dxa"/>
              <w:right w:w="85" w:type="dxa"/>
            </w:tcMar>
          </w:tcPr>
          <w:p w14:paraId="56469973" w14:textId="77777777" w:rsidR="00BB2B23" w:rsidRPr="009B5F08" w:rsidRDefault="00BB2B23" w:rsidP="00F5693B">
            <w:pPr>
              <w:pStyle w:val="Tablesmalltext"/>
              <w:rPr>
                <w:color w:val="auto"/>
              </w:rPr>
            </w:pPr>
            <w:r w:rsidRPr="009B5F08">
              <w:rPr>
                <w:color w:val="auto"/>
                <w:sz w:val="14"/>
                <w:szCs w:val="14"/>
              </w:rPr>
              <w:t>CONFIDENTIAL</w:t>
            </w:r>
          </w:p>
        </w:tc>
        <w:tc>
          <w:tcPr>
            <w:tcW w:w="1036" w:type="dxa"/>
            <w:shd w:val="clear" w:color="auto" w:fill="auto"/>
            <w:tcMar>
              <w:top w:w="85" w:type="dxa"/>
              <w:left w:w="85" w:type="dxa"/>
              <w:bottom w:w="85" w:type="dxa"/>
              <w:right w:w="85" w:type="dxa"/>
            </w:tcMar>
            <w:vAlign w:val="center"/>
          </w:tcPr>
          <w:p w14:paraId="5646997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75"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976"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977"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97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81" w14:textId="77777777" w:rsidTr="009B5F08">
        <w:trPr>
          <w:trHeight w:val="170"/>
        </w:trPr>
        <w:tc>
          <w:tcPr>
            <w:tcW w:w="295" w:type="dxa"/>
            <w:shd w:val="clear" w:color="auto" w:fill="auto"/>
            <w:tcMar>
              <w:top w:w="57" w:type="dxa"/>
              <w:left w:w="57" w:type="dxa"/>
              <w:bottom w:w="57" w:type="dxa"/>
              <w:right w:w="57" w:type="dxa"/>
            </w:tcMar>
          </w:tcPr>
          <w:p w14:paraId="5646997A" w14:textId="77777777" w:rsidR="00BB2B23" w:rsidRPr="009B5F08" w:rsidRDefault="00BB2B23" w:rsidP="00F5693B">
            <w:pPr>
              <w:pStyle w:val="Tablesmalltext"/>
              <w:jc w:val="center"/>
              <w:rPr>
                <w:color w:val="auto"/>
              </w:rPr>
            </w:pPr>
            <w:r w:rsidRPr="009B5F08">
              <w:rPr>
                <w:color w:val="auto"/>
                <w:sz w:val="14"/>
                <w:szCs w:val="14"/>
              </w:rPr>
              <w:t>12</w:t>
            </w:r>
          </w:p>
        </w:tc>
        <w:tc>
          <w:tcPr>
            <w:tcW w:w="1844" w:type="dxa"/>
            <w:shd w:val="clear" w:color="auto" w:fill="auto"/>
            <w:tcMar>
              <w:top w:w="85" w:type="dxa"/>
              <w:left w:w="85" w:type="dxa"/>
              <w:bottom w:w="85" w:type="dxa"/>
              <w:right w:w="85" w:type="dxa"/>
            </w:tcMar>
          </w:tcPr>
          <w:p w14:paraId="5646997B" w14:textId="77777777" w:rsidR="00BB2B23" w:rsidRPr="009B5F08" w:rsidRDefault="00BB2B23" w:rsidP="00F5693B">
            <w:pPr>
              <w:pStyle w:val="Tablesmalltext"/>
              <w:rPr>
                <w:color w:val="auto"/>
              </w:rPr>
            </w:pPr>
            <w:r w:rsidRPr="009B5F08">
              <w:rPr>
                <w:color w:val="auto"/>
                <w:sz w:val="14"/>
                <w:szCs w:val="14"/>
              </w:rPr>
              <w:t>CONFIDENTIAL</w:t>
            </w:r>
          </w:p>
        </w:tc>
        <w:tc>
          <w:tcPr>
            <w:tcW w:w="1036" w:type="dxa"/>
            <w:shd w:val="clear" w:color="auto" w:fill="auto"/>
            <w:tcMar>
              <w:top w:w="85" w:type="dxa"/>
              <w:left w:w="85" w:type="dxa"/>
              <w:bottom w:w="85" w:type="dxa"/>
              <w:right w:w="85" w:type="dxa"/>
            </w:tcMar>
            <w:vAlign w:val="center"/>
          </w:tcPr>
          <w:p w14:paraId="5646997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7D"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97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97F"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98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89" w14:textId="77777777" w:rsidTr="009B5F08">
        <w:trPr>
          <w:trHeight w:val="170"/>
        </w:trPr>
        <w:tc>
          <w:tcPr>
            <w:tcW w:w="295" w:type="dxa"/>
            <w:shd w:val="clear" w:color="auto" w:fill="auto"/>
            <w:tcMar>
              <w:top w:w="57" w:type="dxa"/>
              <w:left w:w="57" w:type="dxa"/>
              <w:bottom w:w="57" w:type="dxa"/>
              <w:right w:w="57" w:type="dxa"/>
            </w:tcMar>
          </w:tcPr>
          <w:p w14:paraId="56469982" w14:textId="77777777" w:rsidR="00BB2B23" w:rsidRPr="009B5F08" w:rsidRDefault="00BB2B23" w:rsidP="00F5693B">
            <w:pPr>
              <w:pStyle w:val="Tablesmalltext"/>
              <w:jc w:val="center"/>
              <w:rPr>
                <w:color w:val="auto"/>
              </w:rPr>
            </w:pPr>
            <w:r w:rsidRPr="009B5F08">
              <w:rPr>
                <w:color w:val="auto"/>
                <w:sz w:val="14"/>
                <w:szCs w:val="14"/>
              </w:rPr>
              <w:t>13</w:t>
            </w:r>
          </w:p>
        </w:tc>
        <w:tc>
          <w:tcPr>
            <w:tcW w:w="1844" w:type="dxa"/>
            <w:shd w:val="clear" w:color="auto" w:fill="auto"/>
            <w:tcMar>
              <w:top w:w="85" w:type="dxa"/>
              <w:left w:w="85" w:type="dxa"/>
              <w:bottom w:w="85" w:type="dxa"/>
              <w:right w:w="85" w:type="dxa"/>
            </w:tcMar>
          </w:tcPr>
          <w:p w14:paraId="56469983" w14:textId="77777777" w:rsidR="00BB2B23" w:rsidRPr="009B5F08" w:rsidRDefault="00BB2B23" w:rsidP="00F5693B">
            <w:pPr>
              <w:pStyle w:val="Tablesmalltext"/>
              <w:rPr>
                <w:color w:val="auto"/>
              </w:rPr>
            </w:pPr>
            <w:r w:rsidRPr="009B5F08">
              <w:rPr>
                <w:color w:val="auto"/>
                <w:sz w:val="14"/>
                <w:szCs w:val="14"/>
              </w:rPr>
              <w:t>AIRAH—Australian Institute of Refrigeration and Air Conditioning and Heating</w:t>
            </w:r>
          </w:p>
        </w:tc>
        <w:tc>
          <w:tcPr>
            <w:tcW w:w="1036" w:type="dxa"/>
            <w:shd w:val="clear" w:color="auto" w:fill="auto"/>
            <w:tcMar>
              <w:top w:w="85" w:type="dxa"/>
              <w:left w:w="85" w:type="dxa"/>
              <w:bottom w:w="85" w:type="dxa"/>
              <w:right w:w="85" w:type="dxa"/>
            </w:tcMar>
            <w:vAlign w:val="center"/>
          </w:tcPr>
          <w:p w14:paraId="56469984" w14:textId="77777777" w:rsidR="00BB2B23" w:rsidRPr="009B5F08" w:rsidRDefault="00BB2B23" w:rsidP="00F5693B">
            <w:pPr>
              <w:pStyle w:val="Tablesmalltext"/>
              <w:jc w:val="center"/>
              <w:rPr>
                <w:color w:val="auto"/>
              </w:rPr>
            </w:pPr>
            <w:r w:rsidRPr="009B5F08">
              <w:rPr>
                <w:rStyle w:val="wingding"/>
                <w:color w:val="auto"/>
              </w:rPr>
              <w:t></w:t>
            </w:r>
          </w:p>
        </w:tc>
        <w:tc>
          <w:tcPr>
            <w:tcW w:w="992" w:type="dxa"/>
            <w:shd w:val="clear" w:color="auto" w:fill="auto"/>
            <w:tcMar>
              <w:top w:w="85" w:type="dxa"/>
              <w:left w:w="85" w:type="dxa"/>
              <w:bottom w:w="85" w:type="dxa"/>
              <w:right w:w="85" w:type="dxa"/>
            </w:tcMar>
            <w:vAlign w:val="center"/>
          </w:tcPr>
          <w:p w14:paraId="56469985"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986" w14:textId="77777777" w:rsidR="00BB2B23" w:rsidRPr="009B5F08" w:rsidRDefault="00BB2B23" w:rsidP="00F5693B">
            <w:pPr>
              <w:pStyle w:val="Tablesmalltext"/>
              <w:jc w:val="center"/>
              <w:rPr>
                <w:color w:val="auto"/>
              </w:rPr>
            </w:pPr>
            <w:r w:rsidRPr="009B5F08">
              <w:rPr>
                <w:rStyle w:val="wingding"/>
                <w:color w:val="auto"/>
              </w:rPr>
              <w:t></w:t>
            </w:r>
          </w:p>
        </w:tc>
        <w:tc>
          <w:tcPr>
            <w:tcW w:w="1066" w:type="dxa"/>
            <w:shd w:val="clear" w:color="auto" w:fill="auto"/>
            <w:tcMar>
              <w:top w:w="85" w:type="dxa"/>
              <w:left w:w="85" w:type="dxa"/>
              <w:bottom w:w="85" w:type="dxa"/>
              <w:right w:w="85" w:type="dxa"/>
            </w:tcMar>
            <w:vAlign w:val="center"/>
          </w:tcPr>
          <w:p w14:paraId="56469987" w14:textId="77777777" w:rsidR="00BB2B23" w:rsidRPr="009B5F08" w:rsidRDefault="00BB2B23" w:rsidP="00F5693B">
            <w:pPr>
              <w:pStyle w:val="Tablesmalltext"/>
              <w:jc w:val="center"/>
              <w:rPr>
                <w:color w:val="auto"/>
              </w:rPr>
            </w:pPr>
            <w:r w:rsidRPr="009B5F08">
              <w:rPr>
                <w:rStyle w:val="wingding"/>
                <w:color w:val="auto"/>
              </w:rPr>
              <w:t></w:t>
            </w:r>
          </w:p>
        </w:tc>
        <w:tc>
          <w:tcPr>
            <w:tcW w:w="2818" w:type="dxa"/>
            <w:shd w:val="clear" w:color="auto" w:fill="auto"/>
            <w:tcMar>
              <w:top w:w="85" w:type="dxa"/>
              <w:left w:w="85" w:type="dxa"/>
              <w:bottom w:w="85" w:type="dxa"/>
              <w:right w:w="85" w:type="dxa"/>
            </w:tcMar>
          </w:tcPr>
          <w:p w14:paraId="56469988" w14:textId="77777777" w:rsidR="00BB2B23" w:rsidRPr="009B5F08" w:rsidRDefault="00BB2B23" w:rsidP="00F5693B">
            <w:pPr>
              <w:pStyle w:val="Tablesmalltext"/>
              <w:jc w:val="center"/>
              <w:rPr>
                <w:color w:val="auto"/>
              </w:rPr>
            </w:pPr>
            <w:r w:rsidRPr="009B5F08">
              <w:rPr>
                <w:color w:val="auto"/>
                <w:sz w:val="14"/>
                <w:szCs w:val="14"/>
              </w:rPr>
              <w:t>Mandatory recording and logging of refrigerant use throughout the supply chain; introducing mandatory training updates for new skills</w:t>
            </w:r>
          </w:p>
        </w:tc>
      </w:tr>
      <w:tr w:rsidR="00BB2B23" w:rsidRPr="009B5F08" w14:paraId="56469991" w14:textId="77777777" w:rsidTr="009B5F08">
        <w:trPr>
          <w:trHeight w:val="170"/>
        </w:trPr>
        <w:tc>
          <w:tcPr>
            <w:tcW w:w="295" w:type="dxa"/>
            <w:shd w:val="clear" w:color="auto" w:fill="auto"/>
            <w:tcMar>
              <w:top w:w="57" w:type="dxa"/>
              <w:left w:w="57" w:type="dxa"/>
              <w:bottom w:w="57" w:type="dxa"/>
              <w:right w:w="57" w:type="dxa"/>
            </w:tcMar>
          </w:tcPr>
          <w:p w14:paraId="5646998A" w14:textId="77777777" w:rsidR="00BB2B23" w:rsidRPr="009B5F08" w:rsidRDefault="00BB2B23" w:rsidP="00F5693B">
            <w:pPr>
              <w:pStyle w:val="Tablesmalltext"/>
              <w:jc w:val="center"/>
              <w:rPr>
                <w:color w:val="auto"/>
              </w:rPr>
            </w:pPr>
            <w:r w:rsidRPr="009B5F08">
              <w:rPr>
                <w:color w:val="auto"/>
                <w:sz w:val="14"/>
                <w:szCs w:val="14"/>
              </w:rPr>
              <w:t>14</w:t>
            </w:r>
          </w:p>
        </w:tc>
        <w:tc>
          <w:tcPr>
            <w:tcW w:w="1844" w:type="dxa"/>
            <w:shd w:val="clear" w:color="auto" w:fill="auto"/>
            <w:tcMar>
              <w:top w:w="85" w:type="dxa"/>
              <w:left w:w="85" w:type="dxa"/>
              <w:bottom w:w="85" w:type="dxa"/>
              <w:right w:w="85" w:type="dxa"/>
            </w:tcMar>
          </w:tcPr>
          <w:p w14:paraId="5646998B" w14:textId="77777777" w:rsidR="00BB2B23" w:rsidRPr="009B5F08" w:rsidRDefault="00BB2B23" w:rsidP="00F5693B">
            <w:pPr>
              <w:pStyle w:val="Tablesmalltext"/>
              <w:rPr>
                <w:color w:val="auto"/>
              </w:rPr>
            </w:pPr>
            <w:r w:rsidRPr="009B5F08">
              <w:rPr>
                <w:color w:val="auto"/>
                <w:sz w:val="14"/>
                <w:szCs w:val="14"/>
              </w:rPr>
              <w:t>AMCA—Air Conditioning and Mechanical Contractors Association of Australia</w:t>
            </w:r>
          </w:p>
        </w:tc>
        <w:tc>
          <w:tcPr>
            <w:tcW w:w="1036" w:type="dxa"/>
            <w:shd w:val="clear" w:color="auto" w:fill="auto"/>
            <w:tcMar>
              <w:top w:w="85" w:type="dxa"/>
              <w:left w:w="85" w:type="dxa"/>
              <w:bottom w:w="85" w:type="dxa"/>
              <w:right w:w="85" w:type="dxa"/>
            </w:tcMar>
            <w:vAlign w:val="center"/>
          </w:tcPr>
          <w:p w14:paraId="5646998C" w14:textId="77777777" w:rsidR="00BB2B23" w:rsidRPr="009B5F08" w:rsidRDefault="00BB2B23" w:rsidP="00F5693B">
            <w:pPr>
              <w:pStyle w:val="Tablesmalltext"/>
              <w:jc w:val="center"/>
              <w:rPr>
                <w:color w:val="auto"/>
              </w:rPr>
            </w:pPr>
            <w:r w:rsidRPr="009B5F08">
              <w:rPr>
                <w:rStyle w:val="wingding"/>
                <w:color w:val="auto"/>
              </w:rPr>
              <w:t></w:t>
            </w:r>
          </w:p>
        </w:tc>
        <w:tc>
          <w:tcPr>
            <w:tcW w:w="992" w:type="dxa"/>
            <w:shd w:val="clear" w:color="auto" w:fill="auto"/>
            <w:tcMar>
              <w:top w:w="85" w:type="dxa"/>
              <w:left w:w="85" w:type="dxa"/>
              <w:bottom w:w="85" w:type="dxa"/>
              <w:right w:w="85" w:type="dxa"/>
            </w:tcMar>
            <w:vAlign w:val="center"/>
          </w:tcPr>
          <w:p w14:paraId="5646998D"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98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98F"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99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99" w14:textId="77777777" w:rsidTr="009B5F08">
        <w:trPr>
          <w:trHeight w:val="170"/>
        </w:trPr>
        <w:tc>
          <w:tcPr>
            <w:tcW w:w="295" w:type="dxa"/>
            <w:shd w:val="clear" w:color="auto" w:fill="auto"/>
            <w:tcMar>
              <w:top w:w="57" w:type="dxa"/>
              <w:left w:w="57" w:type="dxa"/>
              <w:bottom w:w="57" w:type="dxa"/>
              <w:right w:w="57" w:type="dxa"/>
            </w:tcMar>
          </w:tcPr>
          <w:p w14:paraId="56469992" w14:textId="77777777" w:rsidR="00BB2B23" w:rsidRPr="009B5F08" w:rsidRDefault="00BB2B23" w:rsidP="00F5693B">
            <w:pPr>
              <w:pStyle w:val="Tablesmalltext"/>
              <w:jc w:val="center"/>
              <w:rPr>
                <w:color w:val="auto"/>
              </w:rPr>
            </w:pPr>
            <w:r w:rsidRPr="009B5F08">
              <w:rPr>
                <w:color w:val="auto"/>
                <w:sz w:val="14"/>
                <w:szCs w:val="14"/>
              </w:rPr>
              <w:t>15</w:t>
            </w:r>
          </w:p>
        </w:tc>
        <w:tc>
          <w:tcPr>
            <w:tcW w:w="1844" w:type="dxa"/>
            <w:shd w:val="clear" w:color="auto" w:fill="auto"/>
            <w:tcMar>
              <w:top w:w="85" w:type="dxa"/>
              <w:left w:w="85" w:type="dxa"/>
              <w:bottom w:w="85" w:type="dxa"/>
              <w:right w:w="85" w:type="dxa"/>
            </w:tcMar>
          </w:tcPr>
          <w:p w14:paraId="56469993" w14:textId="77777777" w:rsidR="00BB2B23" w:rsidRPr="009B5F08" w:rsidRDefault="00BB2B23" w:rsidP="00F5693B">
            <w:pPr>
              <w:pStyle w:val="Tablesmalltext"/>
              <w:rPr>
                <w:color w:val="auto"/>
              </w:rPr>
            </w:pPr>
            <w:r w:rsidRPr="009B5F08">
              <w:rPr>
                <w:color w:val="auto"/>
                <w:sz w:val="14"/>
                <w:szCs w:val="14"/>
              </w:rPr>
              <w:t>AMROBA—Aviation Maintenance Repair Overhaul Business Association Inc</w:t>
            </w:r>
          </w:p>
        </w:tc>
        <w:tc>
          <w:tcPr>
            <w:tcW w:w="1036" w:type="dxa"/>
            <w:shd w:val="clear" w:color="auto" w:fill="auto"/>
            <w:tcMar>
              <w:top w:w="85" w:type="dxa"/>
              <w:left w:w="85" w:type="dxa"/>
              <w:bottom w:w="85" w:type="dxa"/>
              <w:right w:w="85" w:type="dxa"/>
            </w:tcMar>
            <w:vAlign w:val="center"/>
          </w:tcPr>
          <w:p w14:paraId="5646999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95"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996"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997"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99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A1" w14:textId="77777777" w:rsidTr="009B5F08">
        <w:trPr>
          <w:trHeight w:val="170"/>
        </w:trPr>
        <w:tc>
          <w:tcPr>
            <w:tcW w:w="295" w:type="dxa"/>
            <w:shd w:val="clear" w:color="auto" w:fill="auto"/>
            <w:tcMar>
              <w:top w:w="57" w:type="dxa"/>
              <w:left w:w="57" w:type="dxa"/>
              <w:bottom w:w="57" w:type="dxa"/>
              <w:right w:w="57" w:type="dxa"/>
            </w:tcMar>
          </w:tcPr>
          <w:p w14:paraId="5646999A" w14:textId="77777777" w:rsidR="00BB2B23" w:rsidRPr="009B5F08" w:rsidRDefault="00BB2B23" w:rsidP="00F5693B">
            <w:pPr>
              <w:pStyle w:val="Tablesmalltext"/>
              <w:jc w:val="center"/>
              <w:rPr>
                <w:color w:val="auto"/>
              </w:rPr>
            </w:pPr>
            <w:r w:rsidRPr="009B5F08">
              <w:rPr>
                <w:color w:val="auto"/>
                <w:sz w:val="14"/>
                <w:szCs w:val="14"/>
              </w:rPr>
              <w:t>16</w:t>
            </w:r>
          </w:p>
        </w:tc>
        <w:tc>
          <w:tcPr>
            <w:tcW w:w="1844" w:type="dxa"/>
            <w:shd w:val="clear" w:color="auto" w:fill="auto"/>
            <w:tcMar>
              <w:top w:w="85" w:type="dxa"/>
              <w:left w:w="85" w:type="dxa"/>
              <w:bottom w:w="85" w:type="dxa"/>
              <w:right w:w="85" w:type="dxa"/>
            </w:tcMar>
          </w:tcPr>
          <w:p w14:paraId="5646999B" w14:textId="77777777" w:rsidR="00BB2B23" w:rsidRPr="009B5F08" w:rsidRDefault="00BB2B23" w:rsidP="00F5693B">
            <w:pPr>
              <w:pStyle w:val="Tablesmalltext"/>
              <w:rPr>
                <w:color w:val="auto"/>
              </w:rPr>
            </w:pPr>
            <w:r w:rsidRPr="009B5F08">
              <w:rPr>
                <w:color w:val="auto"/>
                <w:sz w:val="14"/>
                <w:szCs w:val="14"/>
              </w:rPr>
              <w:t>ARC—Australian Refrigeration Council</w:t>
            </w:r>
          </w:p>
        </w:tc>
        <w:tc>
          <w:tcPr>
            <w:tcW w:w="1036" w:type="dxa"/>
            <w:shd w:val="clear" w:color="auto" w:fill="auto"/>
            <w:tcMar>
              <w:top w:w="85" w:type="dxa"/>
              <w:left w:w="85" w:type="dxa"/>
              <w:bottom w:w="85" w:type="dxa"/>
              <w:right w:w="85" w:type="dxa"/>
            </w:tcMar>
            <w:vAlign w:val="center"/>
          </w:tcPr>
          <w:p w14:paraId="5646999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9D"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99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99F" w14:textId="77777777" w:rsidR="00BB2B23" w:rsidRPr="009B5F08" w:rsidRDefault="00BB2B23" w:rsidP="00F5693B">
            <w:pPr>
              <w:pStyle w:val="Tablesmalltext"/>
              <w:jc w:val="center"/>
              <w:rPr>
                <w:color w:val="auto"/>
              </w:rPr>
            </w:pPr>
            <w:r w:rsidRPr="009B5F08">
              <w:rPr>
                <w:rStyle w:val="wingding"/>
                <w:color w:val="auto"/>
              </w:rPr>
              <w:t></w:t>
            </w:r>
          </w:p>
        </w:tc>
        <w:tc>
          <w:tcPr>
            <w:tcW w:w="2818" w:type="dxa"/>
            <w:shd w:val="clear" w:color="auto" w:fill="auto"/>
            <w:tcMar>
              <w:top w:w="85" w:type="dxa"/>
              <w:left w:w="85" w:type="dxa"/>
              <w:bottom w:w="85" w:type="dxa"/>
              <w:right w:w="85" w:type="dxa"/>
            </w:tcMar>
          </w:tcPr>
          <w:p w14:paraId="564699A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A9" w14:textId="77777777" w:rsidTr="009B5F08">
        <w:trPr>
          <w:trHeight w:val="170"/>
        </w:trPr>
        <w:tc>
          <w:tcPr>
            <w:tcW w:w="295" w:type="dxa"/>
            <w:shd w:val="clear" w:color="auto" w:fill="auto"/>
            <w:tcMar>
              <w:top w:w="57" w:type="dxa"/>
              <w:left w:w="57" w:type="dxa"/>
              <w:bottom w:w="57" w:type="dxa"/>
              <w:right w:w="57" w:type="dxa"/>
            </w:tcMar>
          </w:tcPr>
          <w:p w14:paraId="564699A2" w14:textId="77777777" w:rsidR="00BB2B23" w:rsidRPr="009B5F08" w:rsidRDefault="00BB2B23" w:rsidP="00F5693B">
            <w:pPr>
              <w:pStyle w:val="Tablesmalltext"/>
              <w:jc w:val="center"/>
              <w:rPr>
                <w:color w:val="auto"/>
              </w:rPr>
            </w:pPr>
            <w:r w:rsidRPr="009B5F08">
              <w:rPr>
                <w:color w:val="auto"/>
                <w:sz w:val="14"/>
                <w:szCs w:val="14"/>
              </w:rPr>
              <w:t>17</w:t>
            </w:r>
          </w:p>
        </w:tc>
        <w:tc>
          <w:tcPr>
            <w:tcW w:w="1844" w:type="dxa"/>
            <w:shd w:val="clear" w:color="auto" w:fill="auto"/>
            <w:tcMar>
              <w:top w:w="85" w:type="dxa"/>
              <w:left w:w="85" w:type="dxa"/>
              <w:bottom w:w="85" w:type="dxa"/>
              <w:right w:w="85" w:type="dxa"/>
            </w:tcMar>
          </w:tcPr>
          <w:p w14:paraId="564699A3" w14:textId="77777777" w:rsidR="00BB2B23" w:rsidRPr="009B5F08" w:rsidRDefault="00BB2B23" w:rsidP="00F5693B">
            <w:pPr>
              <w:pStyle w:val="Tablesmalltext"/>
              <w:rPr>
                <w:color w:val="auto"/>
              </w:rPr>
            </w:pPr>
            <w:r w:rsidRPr="009B5F08">
              <w:rPr>
                <w:color w:val="auto"/>
                <w:sz w:val="14"/>
                <w:szCs w:val="14"/>
              </w:rPr>
              <w:t>AREMA—Air-conditioning and Refrigeration Equipment Manufacturers Association of Australia</w:t>
            </w:r>
          </w:p>
        </w:tc>
        <w:tc>
          <w:tcPr>
            <w:tcW w:w="1036" w:type="dxa"/>
            <w:shd w:val="clear" w:color="auto" w:fill="auto"/>
            <w:tcMar>
              <w:top w:w="85" w:type="dxa"/>
              <w:left w:w="85" w:type="dxa"/>
              <w:bottom w:w="85" w:type="dxa"/>
              <w:right w:w="85" w:type="dxa"/>
            </w:tcMar>
            <w:vAlign w:val="center"/>
          </w:tcPr>
          <w:p w14:paraId="564699A4" w14:textId="77777777" w:rsidR="00BB2B23" w:rsidRPr="009B5F08" w:rsidRDefault="00BB2B23" w:rsidP="00F5693B">
            <w:pPr>
              <w:pStyle w:val="Tablesmalltext"/>
              <w:jc w:val="center"/>
              <w:rPr>
                <w:color w:val="auto"/>
              </w:rPr>
            </w:pPr>
            <w:r w:rsidRPr="009B5F08">
              <w:rPr>
                <w:rStyle w:val="wingding"/>
                <w:color w:val="auto"/>
              </w:rPr>
              <w:t></w:t>
            </w:r>
          </w:p>
        </w:tc>
        <w:tc>
          <w:tcPr>
            <w:tcW w:w="992" w:type="dxa"/>
            <w:shd w:val="clear" w:color="auto" w:fill="auto"/>
            <w:tcMar>
              <w:top w:w="85" w:type="dxa"/>
              <w:left w:w="85" w:type="dxa"/>
              <w:bottom w:w="85" w:type="dxa"/>
              <w:right w:w="85" w:type="dxa"/>
            </w:tcMar>
            <w:vAlign w:val="center"/>
          </w:tcPr>
          <w:p w14:paraId="564699A5"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9A6" w14:textId="77777777" w:rsidR="00BB2B23" w:rsidRPr="009B5F08" w:rsidRDefault="00BB2B23" w:rsidP="00F5693B">
            <w:pPr>
              <w:pStyle w:val="Tablesmalltext"/>
              <w:jc w:val="center"/>
              <w:rPr>
                <w:color w:val="auto"/>
              </w:rPr>
            </w:pPr>
            <w:r w:rsidRPr="009B5F08">
              <w:rPr>
                <w:color w:val="auto"/>
              </w:rPr>
              <w:t>X</w:t>
            </w:r>
          </w:p>
        </w:tc>
        <w:tc>
          <w:tcPr>
            <w:tcW w:w="1066" w:type="dxa"/>
            <w:shd w:val="clear" w:color="auto" w:fill="auto"/>
            <w:tcMar>
              <w:top w:w="85" w:type="dxa"/>
              <w:left w:w="85" w:type="dxa"/>
              <w:bottom w:w="85" w:type="dxa"/>
              <w:right w:w="85" w:type="dxa"/>
            </w:tcMar>
            <w:vAlign w:val="center"/>
          </w:tcPr>
          <w:p w14:paraId="564699A7" w14:textId="77777777" w:rsidR="00BB2B23" w:rsidRPr="009B5F08" w:rsidRDefault="00BB2B23" w:rsidP="00F5693B">
            <w:pPr>
              <w:pStyle w:val="Tablesmalltext"/>
              <w:jc w:val="center"/>
              <w:rPr>
                <w:color w:val="auto"/>
              </w:rPr>
            </w:pPr>
            <w:r w:rsidRPr="009B5F08">
              <w:rPr>
                <w:color w:val="auto"/>
                <w:sz w:val="14"/>
                <w:szCs w:val="14"/>
              </w:rPr>
              <w:t>Yes. Mandatory for owners of large equipment</w:t>
            </w:r>
          </w:p>
        </w:tc>
        <w:tc>
          <w:tcPr>
            <w:tcW w:w="2818" w:type="dxa"/>
            <w:shd w:val="clear" w:color="auto" w:fill="auto"/>
            <w:tcMar>
              <w:top w:w="85" w:type="dxa"/>
              <w:left w:w="85" w:type="dxa"/>
              <w:bottom w:w="85" w:type="dxa"/>
              <w:right w:w="85" w:type="dxa"/>
            </w:tcMar>
            <w:vAlign w:val="center"/>
          </w:tcPr>
          <w:p w14:paraId="564699A8" w14:textId="77777777" w:rsidR="00BB2B23" w:rsidRPr="009B5F08" w:rsidRDefault="00BB2B23" w:rsidP="00F5693B">
            <w:pPr>
              <w:pStyle w:val="Tablesmalltext"/>
              <w:jc w:val="center"/>
              <w:rPr>
                <w:color w:val="auto"/>
              </w:rPr>
            </w:pPr>
            <w:r w:rsidRPr="009B5F08">
              <w:rPr>
                <w:color w:val="auto"/>
                <w:sz w:val="14"/>
                <w:szCs w:val="14"/>
              </w:rPr>
              <w:t>Increase support for Refrigerant Reclaim Australia for improved recovery of end of life gases.</w:t>
            </w:r>
          </w:p>
        </w:tc>
      </w:tr>
      <w:tr w:rsidR="00BB2B23" w:rsidRPr="009B5F08" w14:paraId="564699B1" w14:textId="77777777" w:rsidTr="009B5F08">
        <w:trPr>
          <w:trHeight w:val="170"/>
        </w:trPr>
        <w:tc>
          <w:tcPr>
            <w:tcW w:w="295" w:type="dxa"/>
            <w:shd w:val="clear" w:color="auto" w:fill="auto"/>
            <w:tcMar>
              <w:top w:w="57" w:type="dxa"/>
              <w:left w:w="57" w:type="dxa"/>
              <w:bottom w:w="57" w:type="dxa"/>
              <w:right w:w="57" w:type="dxa"/>
            </w:tcMar>
          </w:tcPr>
          <w:p w14:paraId="564699AA" w14:textId="77777777" w:rsidR="00BB2B23" w:rsidRPr="009B5F08" w:rsidRDefault="00BB2B23" w:rsidP="00F5693B">
            <w:pPr>
              <w:pStyle w:val="Tablesmalltext"/>
              <w:jc w:val="center"/>
              <w:rPr>
                <w:color w:val="auto"/>
              </w:rPr>
            </w:pPr>
            <w:r w:rsidRPr="009B5F08">
              <w:rPr>
                <w:color w:val="auto"/>
                <w:sz w:val="14"/>
                <w:szCs w:val="14"/>
              </w:rPr>
              <w:lastRenderedPageBreak/>
              <w:t>18</w:t>
            </w:r>
          </w:p>
        </w:tc>
        <w:tc>
          <w:tcPr>
            <w:tcW w:w="1844" w:type="dxa"/>
            <w:shd w:val="clear" w:color="auto" w:fill="auto"/>
            <w:tcMar>
              <w:top w:w="85" w:type="dxa"/>
              <w:left w:w="85" w:type="dxa"/>
              <w:bottom w:w="85" w:type="dxa"/>
              <w:right w:w="85" w:type="dxa"/>
            </w:tcMar>
          </w:tcPr>
          <w:p w14:paraId="564699AB" w14:textId="77777777" w:rsidR="00BB2B23" w:rsidRPr="009B5F08" w:rsidRDefault="00BB2B23" w:rsidP="00F5693B">
            <w:pPr>
              <w:pStyle w:val="Tablesmalltext"/>
              <w:rPr>
                <w:color w:val="auto"/>
              </w:rPr>
            </w:pPr>
            <w:r w:rsidRPr="009B5F08">
              <w:rPr>
                <w:color w:val="auto"/>
                <w:sz w:val="14"/>
                <w:szCs w:val="14"/>
              </w:rPr>
              <w:t>ARKEMA—Chemicals company</w:t>
            </w:r>
          </w:p>
        </w:tc>
        <w:tc>
          <w:tcPr>
            <w:tcW w:w="1036" w:type="dxa"/>
            <w:shd w:val="clear" w:color="auto" w:fill="auto"/>
            <w:tcMar>
              <w:top w:w="85" w:type="dxa"/>
              <w:left w:w="85" w:type="dxa"/>
              <w:bottom w:w="85" w:type="dxa"/>
              <w:right w:w="85" w:type="dxa"/>
            </w:tcMar>
            <w:vAlign w:val="center"/>
          </w:tcPr>
          <w:p w14:paraId="564699A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AD"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9A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9AF"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9B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B9" w14:textId="77777777" w:rsidTr="009B5F08">
        <w:trPr>
          <w:trHeight w:val="170"/>
        </w:trPr>
        <w:tc>
          <w:tcPr>
            <w:tcW w:w="295" w:type="dxa"/>
            <w:shd w:val="clear" w:color="auto" w:fill="auto"/>
            <w:tcMar>
              <w:top w:w="57" w:type="dxa"/>
              <w:left w:w="57" w:type="dxa"/>
              <w:bottom w:w="57" w:type="dxa"/>
              <w:right w:w="57" w:type="dxa"/>
            </w:tcMar>
          </w:tcPr>
          <w:p w14:paraId="564699B2" w14:textId="77777777" w:rsidR="00BB2B23" w:rsidRPr="009B5F08" w:rsidRDefault="00BB2B23" w:rsidP="00F5693B">
            <w:pPr>
              <w:pStyle w:val="Tablesmalltext"/>
              <w:jc w:val="center"/>
              <w:rPr>
                <w:color w:val="auto"/>
              </w:rPr>
            </w:pPr>
            <w:r w:rsidRPr="009B5F08">
              <w:rPr>
                <w:color w:val="auto"/>
                <w:sz w:val="14"/>
                <w:szCs w:val="14"/>
              </w:rPr>
              <w:t>19</w:t>
            </w:r>
          </w:p>
        </w:tc>
        <w:tc>
          <w:tcPr>
            <w:tcW w:w="1844" w:type="dxa"/>
            <w:shd w:val="clear" w:color="auto" w:fill="auto"/>
            <w:tcMar>
              <w:top w:w="85" w:type="dxa"/>
              <w:left w:w="85" w:type="dxa"/>
              <w:bottom w:w="85" w:type="dxa"/>
              <w:right w:w="85" w:type="dxa"/>
            </w:tcMar>
          </w:tcPr>
          <w:p w14:paraId="564699B3" w14:textId="77777777" w:rsidR="00BB2B23" w:rsidRPr="009B5F08" w:rsidRDefault="00BB2B23" w:rsidP="00F5693B">
            <w:pPr>
              <w:pStyle w:val="Tablesmalltext"/>
              <w:rPr>
                <w:color w:val="auto"/>
              </w:rPr>
            </w:pPr>
            <w:r w:rsidRPr="009B5F08">
              <w:rPr>
                <w:color w:val="auto"/>
                <w:sz w:val="14"/>
                <w:szCs w:val="14"/>
              </w:rPr>
              <w:t>ARMA—Australian Refrigeration Mechanics Association</w:t>
            </w:r>
          </w:p>
        </w:tc>
        <w:tc>
          <w:tcPr>
            <w:tcW w:w="1036" w:type="dxa"/>
            <w:shd w:val="clear" w:color="auto" w:fill="auto"/>
            <w:tcMar>
              <w:top w:w="85" w:type="dxa"/>
              <w:left w:w="85" w:type="dxa"/>
              <w:bottom w:w="85" w:type="dxa"/>
              <w:right w:w="85" w:type="dxa"/>
            </w:tcMar>
            <w:vAlign w:val="center"/>
          </w:tcPr>
          <w:p w14:paraId="564699B4" w14:textId="77777777" w:rsidR="00BB2B23" w:rsidRPr="009B5F08" w:rsidRDefault="00BB2B23" w:rsidP="00F5693B">
            <w:pPr>
              <w:pStyle w:val="Tablesmalltext"/>
              <w:jc w:val="center"/>
              <w:rPr>
                <w:color w:val="auto"/>
              </w:rPr>
            </w:pPr>
            <w:r w:rsidRPr="009B5F08">
              <w:rPr>
                <w:rStyle w:val="wingding"/>
                <w:color w:val="auto"/>
              </w:rPr>
              <w:t></w:t>
            </w:r>
          </w:p>
        </w:tc>
        <w:tc>
          <w:tcPr>
            <w:tcW w:w="992" w:type="dxa"/>
            <w:shd w:val="clear" w:color="auto" w:fill="auto"/>
            <w:tcMar>
              <w:top w:w="85" w:type="dxa"/>
              <w:left w:w="85" w:type="dxa"/>
              <w:bottom w:w="85" w:type="dxa"/>
              <w:right w:w="85" w:type="dxa"/>
            </w:tcMar>
            <w:vAlign w:val="center"/>
          </w:tcPr>
          <w:p w14:paraId="564699B5"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9B6" w14:textId="77777777" w:rsidR="00BB2B23" w:rsidRPr="009B5F08" w:rsidRDefault="00BB2B23" w:rsidP="00F5693B">
            <w:pPr>
              <w:pStyle w:val="Tablesmalltext"/>
              <w:jc w:val="center"/>
              <w:rPr>
                <w:color w:val="auto"/>
              </w:rPr>
            </w:pPr>
            <w:r w:rsidRPr="009B5F08">
              <w:rPr>
                <w:rStyle w:val="wingding"/>
                <w:color w:val="auto"/>
              </w:rPr>
              <w:t></w:t>
            </w:r>
          </w:p>
        </w:tc>
        <w:tc>
          <w:tcPr>
            <w:tcW w:w="1066" w:type="dxa"/>
            <w:shd w:val="clear" w:color="auto" w:fill="auto"/>
            <w:tcMar>
              <w:top w:w="85" w:type="dxa"/>
              <w:left w:w="85" w:type="dxa"/>
              <w:bottom w:w="85" w:type="dxa"/>
              <w:right w:w="85" w:type="dxa"/>
            </w:tcMar>
            <w:vAlign w:val="center"/>
          </w:tcPr>
          <w:p w14:paraId="564699B7"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9B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C1" w14:textId="77777777" w:rsidTr="009B5F08">
        <w:trPr>
          <w:trHeight w:val="170"/>
        </w:trPr>
        <w:tc>
          <w:tcPr>
            <w:tcW w:w="295" w:type="dxa"/>
            <w:shd w:val="clear" w:color="auto" w:fill="auto"/>
            <w:tcMar>
              <w:top w:w="57" w:type="dxa"/>
              <w:left w:w="57" w:type="dxa"/>
              <w:bottom w:w="57" w:type="dxa"/>
              <w:right w:w="57" w:type="dxa"/>
            </w:tcMar>
          </w:tcPr>
          <w:p w14:paraId="564699BA" w14:textId="77777777" w:rsidR="00BB2B23" w:rsidRPr="009B5F08" w:rsidRDefault="00BB2B23" w:rsidP="00F5693B">
            <w:pPr>
              <w:pStyle w:val="Tablesmalltext"/>
              <w:jc w:val="center"/>
              <w:rPr>
                <w:color w:val="auto"/>
              </w:rPr>
            </w:pPr>
            <w:r w:rsidRPr="009B5F08">
              <w:rPr>
                <w:color w:val="auto"/>
                <w:sz w:val="14"/>
                <w:szCs w:val="14"/>
              </w:rPr>
              <w:t>20</w:t>
            </w:r>
          </w:p>
        </w:tc>
        <w:tc>
          <w:tcPr>
            <w:tcW w:w="1844" w:type="dxa"/>
            <w:shd w:val="clear" w:color="auto" w:fill="auto"/>
            <w:tcMar>
              <w:top w:w="85" w:type="dxa"/>
              <w:left w:w="85" w:type="dxa"/>
              <w:bottom w:w="85" w:type="dxa"/>
              <w:right w:w="85" w:type="dxa"/>
            </w:tcMar>
          </w:tcPr>
          <w:p w14:paraId="564699BB" w14:textId="77777777" w:rsidR="00BB2B23" w:rsidRPr="009B5F08" w:rsidRDefault="00BB2B23" w:rsidP="00F5693B">
            <w:pPr>
              <w:pStyle w:val="Tablesmalltext"/>
              <w:rPr>
                <w:color w:val="auto"/>
              </w:rPr>
            </w:pPr>
            <w:r w:rsidRPr="009B5F08">
              <w:rPr>
                <w:color w:val="auto"/>
                <w:sz w:val="14"/>
                <w:szCs w:val="14"/>
              </w:rPr>
              <w:t>AUSGRID—electricity infrastructure company</w:t>
            </w:r>
          </w:p>
        </w:tc>
        <w:tc>
          <w:tcPr>
            <w:tcW w:w="1036" w:type="dxa"/>
            <w:shd w:val="clear" w:color="auto" w:fill="auto"/>
            <w:tcMar>
              <w:top w:w="85" w:type="dxa"/>
              <w:left w:w="85" w:type="dxa"/>
              <w:bottom w:w="85" w:type="dxa"/>
              <w:right w:w="85" w:type="dxa"/>
            </w:tcMar>
            <w:vAlign w:val="center"/>
          </w:tcPr>
          <w:p w14:paraId="564699B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BD"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9B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9BF"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9C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C9" w14:textId="77777777" w:rsidTr="009B5F08">
        <w:trPr>
          <w:trHeight w:val="170"/>
        </w:trPr>
        <w:tc>
          <w:tcPr>
            <w:tcW w:w="295" w:type="dxa"/>
            <w:shd w:val="clear" w:color="auto" w:fill="auto"/>
            <w:tcMar>
              <w:top w:w="57" w:type="dxa"/>
              <w:left w:w="57" w:type="dxa"/>
              <w:bottom w:w="57" w:type="dxa"/>
              <w:right w:w="57" w:type="dxa"/>
            </w:tcMar>
          </w:tcPr>
          <w:p w14:paraId="564699C2" w14:textId="77777777" w:rsidR="00BB2B23" w:rsidRPr="009B5F08" w:rsidRDefault="00BB2B23" w:rsidP="00F5693B">
            <w:pPr>
              <w:pStyle w:val="Tablesmalltext"/>
              <w:jc w:val="center"/>
              <w:rPr>
                <w:color w:val="auto"/>
              </w:rPr>
            </w:pPr>
            <w:r w:rsidRPr="009B5F08">
              <w:rPr>
                <w:color w:val="auto"/>
                <w:sz w:val="14"/>
                <w:szCs w:val="14"/>
              </w:rPr>
              <w:t>21</w:t>
            </w:r>
          </w:p>
        </w:tc>
        <w:tc>
          <w:tcPr>
            <w:tcW w:w="1844" w:type="dxa"/>
            <w:shd w:val="clear" w:color="auto" w:fill="auto"/>
            <w:tcMar>
              <w:top w:w="85" w:type="dxa"/>
              <w:left w:w="85" w:type="dxa"/>
              <w:bottom w:w="85" w:type="dxa"/>
              <w:right w:w="85" w:type="dxa"/>
            </w:tcMar>
          </w:tcPr>
          <w:p w14:paraId="564699C3" w14:textId="77777777" w:rsidR="00BB2B23" w:rsidRPr="009B5F08" w:rsidRDefault="00BB2B23" w:rsidP="00F5693B">
            <w:pPr>
              <w:pStyle w:val="Tablesmalltext"/>
              <w:rPr>
                <w:color w:val="auto"/>
              </w:rPr>
            </w:pPr>
            <w:r w:rsidRPr="009B5F08">
              <w:rPr>
                <w:color w:val="auto"/>
                <w:sz w:val="14"/>
                <w:szCs w:val="14"/>
              </w:rPr>
              <w:t>Australian Refrigeration Association</w:t>
            </w:r>
          </w:p>
        </w:tc>
        <w:tc>
          <w:tcPr>
            <w:tcW w:w="1036" w:type="dxa"/>
            <w:shd w:val="clear" w:color="auto" w:fill="auto"/>
            <w:tcMar>
              <w:top w:w="85" w:type="dxa"/>
              <w:left w:w="85" w:type="dxa"/>
              <w:bottom w:w="85" w:type="dxa"/>
              <w:right w:w="85" w:type="dxa"/>
            </w:tcMar>
            <w:vAlign w:val="center"/>
          </w:tcPr>
          <w:p w14:paraId="564699C4" w14:textId="77777777" w:rsidR="00BB2B23" w:rsidRPr="009B5F08" w:rsidRDefault="00BB2B23" w:rsidP="00F5693B">
            <w:pPr>
              <w:pStyle w:val="Tablesmalltext"/>
              <w:jc w:val="center"/>
              <w:rPr>
                <w:color w:val="auto"/>
              </w:rPr>
            </w:pPr>
            <w:r w:rsidRPr="009B5F08">
              <w:rPr>
                <w:rStyle w:val="wingding"/>
                <w:color w:val="auto"/>
              </w:rPr>
              <w:t></w:t>
            </w:r>
          </w:p>
        </w:tc>
        <w:tc>
          <w:tcPr>
            <w:tcW w:w="992" w:type="dxa"/>
            <w:shd w:val="clear" w:color="auto" w:fill="auto"/>
            <w:tcMar>
              <w:top w:w="85" w:type="dxa"/>
              <w:left w:w="85" w:type="dxa"/>
              <w:bottom w:w="85" w:type="dxa"/>
              <w:right w:w="85" w:type="dxa"/>
            </w:tcMar>
            <w:vAlign w:val="center"/>
          </w:tcPr>
          <w:p w14:paraId="564699C5"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9C6"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9C7" w14:textId="77777777" w:rsidR="00BB2B23" w:rsidRPr="009B5F08" w:rsidRDefault="00BB2B23" w:rsidP="00F5693B">
            <w:pPr>
              <w:pStyle w:val="Tablesmalltext"/>
              <w:jc w:val="center"/>
              <w:rPr>
                <w:color w:val="auto"/>
              </w:rPr>
            </w:pPr>
            <w:r w:rsidRPr="009B5F08">
              <w:rPr>
                <w:rStyle w:val="wingding"/>
                <w:color w:val="auto"/>
              </w:rPr>
              <w:t></w:t>
            </w:r>
          </w:p>
        </w:tc>
        <w:tc>
          <w:tcPr>
            <w:tcW w:w="2818" w:type="dxa"/>
            <w:shd w:val="clear" w:color="auto" w:fill="auto"/>
            <w:tcMar>
              <w:top w:w="85" w:type="dxa"/>
              <w:left w:w="85" w:type="dxa"/>
              <w:bottom w:w="85" w:type="dxa"/>
              <w:right w:w="85" w:type="dxa"/>
            </w:tcMar>
          </w:tcPr>
          <w:p w14:paraId="564699C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D1" w14:textId="77777777" w:rsidTr="009B5F08">
        <w:trPr>
          <w:trHeight w:val="170"/>
        </w:trPr>
        <w:tc>
          <w:tcPr>
            <w:tcW w:w="295" w:type="dxa"/>
            <w:shd w:val="clear" w:color="auto" w:fill="auto"/>
            <w:tcMar>
              <w:top w:w="57" w:type="dxa"/>
              <w:left w:w="57" w:type="dxa"/>
              <w:bottom w:w="57" w:type="dxa"/>
              <w:right w:w="57" w:type="dxa"/>
            </w:tcMar>
          </w:tcPr>
          <w:p w14:paraId="564699CA" w14:textId="77777777" w:rsidR="00BB2B23" w:rsidRPr="009B5F08" w:rsidRDefault="00BB2B23" w:rsidP="00F5693B">
            <w:pPr>
              <w:pStyle w:val="Tablesmalltext"/>
              <w:jc w:val="center"/>
              <w:rPr>
                <w:color w:val="auto"/>
              </w:rPr>
            </w:pPr>
            <w:r w:rsidRPr="009B5F08">
              <w:rPr>
                <w:color w:val="auto"/>
                <w:sz w:val="14"/>
                <w:szCs w:val="14"/>
              </w:rPr>
              <w:t>22</w:t>
            </w:r>
          </w:p>
        </w:tc>
        <w:tc>
          <w:tcPr>
            <w:tcW w:w="1844" w:type="dxa"/>
            <w:shd w:val="clear" w:color="auto" w:fill="auto"/>
            <w:tcMar>
              <w:top w:w="85" w:type="dxa"/>
              <w:left w:w="85" w:type="dxa"/>
              <w:bottom w:w="85" w:type="dxa"/>
              <w:right w:w="85" w:type="dxa"/>
            </w:tcMar>
          </w:tcPr>
          <w:p w14:paraId="564699CB" w14:textId="77777777" w:rsidR="00BB2B23" w:rsidRPr="009B5F08" w:rsidRDefault="00BB2B23" w:rsidP="00F5693B">
            <w:pPr>
              <w:pStyle w:val="Tablesmalltext"/>
              <w:rPr>
                <w:color w:val="auto"/>
              </w:rPr>
            </w:pPr>
            <w:r w:rsidRPr="009B5F08">
              <w:rPr>
                <w:color w:val="auto"/>
                <w:sz w:val="14"/>
                <w:szCs w:val="14"/>
              </w:rPr>
              <w:t>BOC—Bulk Importer</w:t>
            </w:r>
          </w:p>
        </w:tc>
        <w:tc>
          <w:tcPr>
            <w:tcW w:w="1036" w:type="dxa"/>
            <w:shd w:val="clear" w:color="auto" w:fill="auto"/>
            <w:tcMar>
              <w:top w:w="85" w:type="dxa"/>
              <w:left w:w="85" w:type="dxa"/>
              <w:bottom w:w="85" w:type="dxa"/>
              <w:right w:w="85" w:type="dxa"/>
            </w:tcMar>
            <w:vAlign w:val="center"/>
          </w:tcPr>
          <w:p w14:paraId="564699C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CD"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9CE" w14:textId="77777777" w:rsidR="00BB2B23" w:rsidRPr="009B5F08" w:rsidRDefault="00BB2B23" w:rsidP="00F5693B">
            <w:pPr>
              <w:pStyle w:val="Tablesmalltext"/>
              <w:jc w:val="center"/>
              <w:rPr>
                <w:color w:val="auto"/>
              </w:rPr>
            </w:pPr>
            <w:r w:rsidRPr="009B5F08">
              <w:rPr>
                <w:rStyle w:val="wingding"/>
                <w:color w:val="auto"/>
              </w:rPr>
              <w:t></w:t>
            </w:r>
          </w:p>
        </w:tc>
        <w:tc>
          <w:tcPr>
            <w:tcW w:w="1066" w:type="dxa"/>
            <w:shd w:val="clear" w:color="auto" w:fill="auto"/>
            <w:tcMar>
              <w:top w:w="85" w:type="dxa"/>
              <w:left w:w="85" w:type="dxa"/>
              <w:bottom w:w="85" w:type="dxa"/>
              <w:right w:w="85" w:type="dxa"/>
            </w:tcMar>
            <w:vAlign w:val="center"/>
          </w:tcPr>
          <w:p w14:paraId="564699CF" w14:textId="77777777" w:rsidR="00BB2B23" w:rsidRPr="009B5F08" w:rsidRDefault="00BB2B23" w:rsidP="00F5693B">
            <w:pPr>
              <w:pStyle w:val="Tablesmalltext"/>
              <w:jc w:val="center"/>
              <w:rPr>
                <w:color w:val="auto"/>
              </w:rPr>
            </w:pPr>
            <w:r w:rsidRPr="009B5F08">
              <w:rPr>
                <w:rStyle w:val="wingding"/>
                <w:color w:val="auto"/>
              </w:rPr>
              <w:t></w:t>
            </w:r>
          </w:p>
        </w:tc>
        <w:tc>
          <w:tcPr>
            <w:tcW w:w="2818" w:type="dxa"/>
            <w:shd w:val="clear" w:color="auto" w:fill="auto"/>
            <w:tcMar>
              <w:top w:w="85" w:type="dxa"/>
              <w:left w:w="85" w:type="dxa"/>
              <w:bottom w:w="85" w:type="dxa"/>
              <w:right w:w="85" w:type="dxa"/>
            </w:tcMar>
          </w:tcPr>
          <w:p w14:paraId="564699D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D9" w14:textId="77777777" w:rsidTr="009B5F08">
        <w:trPr>
          <w:trHeight w:val="170"/>
        </w:trPr>
        <w:tc>
          <w:tcPr>
            <w:tcW w:w="295" w:type="dxa"/>
            <w:shd w:val="clear" w:color="auto" w:fill="auto"/>
            <w:tcMar>
              <w:top w:w="57" w:type="dxa"/>
              <w:left w:w="57" w:type="dxa"/>
              <w:bottom w:w="57" w:type="dxa"/>
              <w:right w:w="57" w:type="dxa"/>
            </w:tcMar>
          </w:tcPr>
          <w:p w14:paraId="564699D2" w14:textId="77777777" w:rsidR="00BB2B23" w:rsidRPr="009B5F08" w:rsidRDefault="00BB2B23" w:rsidP="00F5693B">
            <w:pPr>
              <w:pStyle w:val="Tablesmalltext"/>
              <w:jc w:val="center"/>
              <w:rPr>
                <w:color w:val="auto"/>
              </w:rPr>
            </w:pPr>
            <w:r w:rsidRPr="009B5F08">
              <w:rPr>
                <w:color w:val="auto"/>
                <w:sz w:val="14"/>
                <w:szCs w:val="14"/>
              </w:rPr>
              <w:t>23</w:t>
            </w:r>
          </w:p>
        </w:tc>
        <w:tc>
          <w:tcPr>
            <w:tcW w:w="1844" w:type="dxa"/>
            <w:shd w:val="clear" w:color="auto" w:fill="auto"/>
            <w:tcMar>
              <w:top w:w="85" w:type="dxa"/>
              <w:left w:w="85" w:type="dxa"/>
              <w:bottom w:w="85" w:type="dxa"/>
              <w:right w:w="85" w:type="dxa"/>
            </w:tcMar>
          </w:tcPr>
          <w:p w14:paraId="564699D3" w14:textId="77777777" w:rsidR="00BB2B23" w:rsidRPr="009B5F08" w:rsidRDefault="00BB2B23" w:rsidP="00F5693B">
            <w:pPr>
              <w:pStyle w:val="Tablesmalltext"/>
              <w:rPr>
                <w:color w:val="auto"/>
              </w:rPr>
            </w:pPr>
            <w:r w:rsidRPr="009B5F08">
              <w:rPr>
                <w:color w:val="auto"/>
                <w:sz w:val="14"/>
                <w:szCs w:val="14"/>
              </w:rPr>
              <w:t>Canon—Manufacturer</w:t>
            </w:r>
          </w:p>
        </w:tc>
        <w:tc>
          <w:tcPr>
            <w:tcW w:w="1036" w:type="dxa"/>
            <w:shd w:val="clear" w:color="auto" w:fill="auto"/>
            <w:tcMar>
              <w:top w:w="85" w:type="dxa"/>
              <w:left w:w="85" w:type="dxa"/>
              <w:bottom w:w="85" w:type="dxa"/>
              <w:right w:w="85" w:type="dxa"/>
            </w:tcMar>
            <w:vAlign w:val="center"/>
          </w:tcPr>
          <w:p w14:paraId="564699D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D5"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9D6"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9D7"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9D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E1" w14:textId="77777777" w:rsidTr="009B5F08">
        <w:trPr>
          <w:trHeight w:val="170"/>
        </w:trPr>
        <w:tc>
          <w:tcPr>
            <w:tcW w:w="295" w:type="dxa"/>
            <w:shd w:val="clear" w:color="auto" w:fill="auto"/>
            <w:tcMar>
              <w:top w:w="57" w:type="dxa"/>
              <w:left w:w="57" w:type="dxa"/>
              <w:bottom w:w="57" w:type="dxa"/>
              <w:right w:w="57" w:type="dxa"/>
            </w:tcMar>
          </w:tcPr>
          <w:p w14:paraId="564699DA" w14:textId="77777777" w:rsidR="00BB2B23" w:rsidRPr="009B5F08" w:rsidRDefault="00BB2B23" w:rsidP="00F5693B">
            <w:pPr>
              <w:pStyle w:val="Tablesmalltext"/>
              <w:jc w:val="center"/>
              <w:rPr>
                <w:color w:val="auto"/>
              </w:rPr>
            </w:pPr>
            <w:r w:rsidRPr="009B5F08">
              <w:rPr>
                <w:color w:val="auto"/>
                <w:sz w:val="14"/>
                <w:szCs w:val="14"/>
              </w:rPr>
              <w:t>24</w:t>
            </w:r>
          </w:p>
        </w:tc>
        <w:tc>
          <w:tcPr>
            <w:tcW w:w="1844" w:type="dxa"/>
            <w:shd w:val="clear" w:color="auto" w:fill="auto"/>
            <w:tcMar>
              <w:top w:w="85" w:type="dxa"/>
              <w:left w:w="85" w:type="dxa"/>
              <w:bottom w:w="85" w:type="dxa"/>
              <w:right w:w="85" w:type="dxa"/>
            </w:tcMar>
          </w:tcPr>
          <w:p w14:paraId="564699DB" w14:textId="77777777" w:rsidR="00BB2B23" w:rsidRPr="009B5F08" w:rsidRDefault="00BB2B23" w:rsidP="00F5693B">
            <w:pPr>
              <w:pStyle w:val="Tablesmalltext"/>
              <w:rPr>
                <w:color w:val="auto"/>
              </w:rPr>
            </w:pPr>
            <w:r w:rsidRPr="009B5F08">
              <w:rPr>
                <w:color w:val="auto"/>
                <w:sz w:val="14"/>
                <w:szCs w:val="14"/>
              </w:rPr>
              <w:t>Climate Institute</w:t>
            </w:r>
          </w:p>
        </w:tc>
        <w:tc>
          <w:tcPr>
            <w:tcW w:w="1036" w:type="dxa"/>
            <w:shd w:val="clear" w:color="auto" w:fill="auto"/>
            <w:tcMar>
              <w:top w:w="85" w:type="dxa"/>
              <w:left w:w="85" w:type="dxa"/>
              <w:bottom w:w="85" w:type="dxa"/>
              <w:right w:w="85" w:type="dxa"/>
            </w:tcMar>
            <w:vAlign w:val="center"/>
          </w:tcPr>
          <w:p w14:paraId="564699D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DD"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9D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9DF"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9E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E9" w14:textId="77777777" w:rsidTr="009B5F08">
        <w:trPr>
          <w:trHeight w:val="170"/>
        </w:trPr>
        <w:tc>
          <w:tcPr>
            <w:tcW w:w="295" w:type="dxa"/>
            <w:shd w:val="clear" w:color="auto" w:fill="auto"/>
            <w:tcMar>
              <w:top w:w="57" w:type="dxa"/>
              <w:left w:w="57" w:type="dxa"/>
              <w:bottom w:w="57" w:type="dxa"/>
              <w:right w:w="57" w:type="dxa"/>
            </w:tcMar>
          </w:tcPr>
          <w:p w14:paraId="564699E2" w14:textId="77777777" w:rsidR="00BB2B23" w:rsidRPr="009B5F08" w:rsidRDefault="00BB2B23" w:rsidP="00F5693B">
            <w:pPr>
              <w:pStyle w:val="Tablesmalltext"/>
              <w:jc w:val="center"/>
              <w:rPr>
                <w:color w:val="auto"/>
              </w:rPr>
            </w:pPr>
            <w:r w:rsidRPr="009B5F08">
              <w:rPr>
                <w:color w:val="auto"/>
                <w:sz w:val="14"/>
                <w:szCs w:val="14"/>
              </w:rPr>
              <w:t>25</w:t>
            </w:r>
          </w:p>
        </w:tc>
        <w:tc>
          <w:tcPr>
            <w:tcW w:w="1844" w:type="dxa"/>
            <w:shd w:val="clear" w:color="auto" w:fill="auto"/>
            <w:tcMar>
              <w:top w:w="85" w:type="dxa"/>
              <w:left w:w="85" w:type="dxa"/>
              <w:bottom w:w="85" w:type="dxa"/>
              <w:right w:w="85" w:type="dxa"/>
            </w:tcMar>
          </w:tcPr>
          <w:p w14:paraId="564699E3" w14:textId="77777777" w:rsidR="00BB2B23" w:rsidRPr="009B5F08" w:rsidRDefault="00BB2B23" w:rsidP="00F5693B">
            <w:pPr>
              <w:pStyle w:val="Tablesmalltext"/>
              <w:rPr>
                <w:color w:val="auto"/>
              </w:rPr>
            </w:pPr>
            <w:r w:rsidRPr="009B5F08">
              <w:rPr>
                <w:color w:val="auto"/>
                <w:sz w:val="14"/>
                <w:szCs w:val="14"/>
              </w:rPr>
              <w:t>Department of Agriculture</w:t>
            </w:r>
          </w:p>
        </w:tc>
        <w:tc>
          <w:tcPr>
            <w:tcW w:w="1036" w:type="dxa"/>
            <w:shd w:val="clear" w:color="auto" w:fill="auto"/>
            <w:tcMar>
              <w:top w:w="85" w:type="dxa"/>
              <w:left w:w="85" w:type="dxa"/>
              <w:bottom w:w="85" w:type="dxa"/>
              <w:right w:w="85" w:type="dxa"/>
            </w:tcMar>
            <w:vAlign w:val="center"/>
          </w:tcPr>
          <w:p w14:paraId="564699E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E5"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9E6"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9E7"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9E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F1" w14:textId="77777777" w:rsidTr="009B5F08">
        <w:trPr>
          <w:trHeight w:val="170"/>
        </w:trPr>
        <w:tc>
          <w:tcPr>
            <w:tcW w:w="295" w:type="dxa"/>
            <w:shd w:val="clear" w:color="auto" w:fill="auto"/>
            <w:tcMar>
              <w:top w:w="57" w:type="dxa"/>
              <w:left w:w="57" w:type="dxa"/>
              <w:bottom w:w="57" w:type="dxa"/>
              <w:right w:w="57" w:type="dxa"/>
            </w:tcMar>
          </w:tcPr>
          <w:p w14:paraId="564699EA" w14:textId="77777777" w:rsidR="00BB2B23" w:rsidRPr="009B5F08" w:rsidRDefault="00BB2B23" w:rsidP="00F5693B">
            <w:pPr>
              <w:pStyle w:val="Tablesmalltext"/>
              <w:jc w:val="center"/>
              <w:rPr>
                <w:color w:val="auto"/>
              </w:rPr>
            </w:pPr>
            <w:r w:rsidRPr="009B5F08">
              <w:rPr>
                <w:color w:val="auto"/>
                <w:sz w:val="14"/>
                <w:szCs w:val="14"/>
              </w:rPr>
              <w:t>26</w:t>
            </w:r>
          </w:p>
        </w:tc>
        <w:tc>
          <w:tcPr>
            <w:tcW w:w="1844" w:type="dxa"/>
            <w:shd w:val="clear" w:color="auto" w:fill="auto"/>
            <w:tcMar>
              <w:top w:w="85" w:type="dxa"/>
              <w:left w:w="85" w:type="dxa"/>
              <w:bottom w:w="85" w:type="dxa"/>
              <w:right w:w="85" w:type="dxa"/>
            </w:tcMar>
          </w:tcPr>
          <w:p w14:paraId="564699EB" w14:textId="77777777" w:rsidR="00BB2B23" w:rsidRPr="009B5F08" w:rsidRDefault="00BB2B23" w:rsidP="00F5693B">
            <w:pPr>
              <w:pStyle w:val="Tablesmalltext"/>
              <w:rPr>
                <w:color w:val="auto"/>
              </w:rPr>
            </w:pPr>
            <w:r w:rsidRPr="009B5F08">
              <w:rPr>
                <w:color w:val="auto"/>
                <w:sz w:val="14"/>
                <w:szCs w:val="14"/>
              </w:rPr>
              <w:t>Environmental Investigation Agency</w:t>
            </w:r>
          </w:p>
        </w:tc>
        <w:tc>
          <w:tcPr>
            <w:tcW w:w="1036" w:type="dxa"/>
            <w:shd w:val="clear" w:color="auto" w:fill="auto"/>
            <w:tcMar>
              <w:top w:w="85" w:type="dxa"/>
              <w:left w:w="85" w:type="dxa"/>
              <w:bottom w:w="85" w:type="dxa"/>
              <w:right w:w="85" w:type="dxa"/>
            </w:tcMar>
            <w:vAlign w:val="center"/>
          </w:tcPr>
          <w:p w14:paraId="564699E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ED"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9EE" w14:textId="77777777" w:rsidR="00BB2B23" w:rsidRPr="009B5F08" w:rsidRDefault="00BB2B23" w:rsidP="00F5693B">
            <w:pPr>
              <w:pStyle w:val="Tablesmalltext"/>
              <w:jc w:val="center"/>
              <w:rPr>
                <w:color w:val="auto"/>
              </w:rPr>
            </w:pPr>
            <w:r w:rsidRPr="009B5F08">
              <w:rPr>
                <w:rStyle w:val="wingding"/>
                <w:color w:val="auto"/>
              </w:rPr>
              <w:t></w:t>
            </w:r>
          </w:p>
        </w:tc>
        <w:tc>
          <w:tcPr>
            <w:tcW w:w="1066" w:type="dxa"/>
            <w:shd w:val="clear" w:color="auto" w:fill="auto"/>
            <w:tcMar>
              <w:top w:w="85" w:type="dxa"/>
              <w:left w:w="85" w:type="dxa"/>
              <w:bottom w:w="85" w:type="dxa"/>
              <w:right w:w="85" w:type="dxa"/>
            </w:tcMar>
            <w:vAlign w:val="center"/>
          </w:tcPr>
          <w:p w14:paraId="564699EF" w14:textId="77777777" w:rsidR="00BB2B23" w:rsidRPr="009B5F08" w:rsidRDefault="00BB2B23" w:rsidP="00F5693B">
            <w:pPr>
              <w:pStyle w:val="Tablesmalltext"/>
              <w:jc w:val="center"/>
              <w:rPr>
                <w:color w:val="auto"/>
              </w:rPr>
            </w:pPr>
            <w:r w:rsidRPr="009B5F08">
              <w:rPr>
                <w:rStyle w:val="wingding"/>
                <w:color w:val="auto"/>
              </w:rPr>
              <w:t></w:t>
            </w:r>
          </w:p>
        </w:tc>
        <w:tc>
          <w:tcPr>
            <w:tcW w:w="2818" w:type="dxa"/>
            <w:shd w:val="clear" w:color="auto" w:fill="auto"/>
            <w:tcMar>
              <w:top w:w="85" w:type="dxa"/>
              <w:left w:w="85" w:type="dxa"/>
              <w:bottom w:w="85" w:type="dxa"/>
              <w:right w:w="85" w:type="dxa"/>
            </w:tcMar>
          </w:tcPr>
          <w:p w14:paraId="564699F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9F9" w14:textId="77777777" w:rsidTr="009B5F08">
        <w:trPr>
          <w:trHeight w:val="170"/>
        </w:trPr>
        <w:tc>
          <w:tcPr>
            <w:tcW w:w="295" w:type="dxa"/>
            <w:shd w:val="clear" w:color="auto" w:fill="auto"/>
            <w:tcMar>
              <w:top w:w="57" w:type="dxa"/>
              <w:left w:w="57" w:type="dxa"/>
              <w:bottom w:w="57" w:type="dxa"/>
              <w:right w:w="57" w:type="dxa"/>
            </w:tcMar>
          </w:tcPr>
          <w:p w14:paraId="564699F2" w14:textId="77777777" w:rsidR="00BB2B23" w:rsidRPr="009B5F08" w:rsidRDefault="00BB2B23" w:rsidP="00F5693B">
            <w:pPr>
              <w:pStyle w:val="Tablesmalltext"/>
              <w:jc w:val="center"/>
              <w:rPr>
                <w:color w:val="auto"/>
              </w:rPr>
            </w:pPr>
            <w:r w:rsidRPr="009B5F08">
              <w:rPr>
                <w:color w:val="auto"/>
                <w:sz w:val="14"/>
                <w:szCs w:val="14"/>
              </w:rPr>
              <w:t>27</w:t>
            </w:r>
          </w:p>
        </w:tc>
        <w:tc>
          <w:tcPr>
            <w:tcW w:w="1844" w:type="dxa"/>
            <w:shd w:val="clear" w:color="auto" w:fill="auto"/>
            <w:tcMar>
              <w:top w:w="85" w:type="dxa"/>
              <w:left w:w="85" w:type="dxa"/>
              <w:bottom w:w="85" w:type="dxa"/>
              <w:right w:w="85" w:type="dxa"/>
            </w:tcMar>
          </w:tcPr>
          <w:p w14:paraId="564699F3" w14:textId="77777777" w:rsidR="00BB2B23" w:rsidRPr="009B5F08" w:rsidRDefault="00BB2B23" w:rsidP="00F5693B">
            <w:pPr>
              <w:pStyle w:val="Tablesmalltext"/>
              <w:rPr>
                <w:color w:val="auto"/>
              </w:rPr>
            </w:pPr>
            <w:r w:rsidRPr="009B5F08">
              <w:rPr>
                <w:color w:val="auto"/>
                <w:sz w:val="14"/>
                <w:szCs w:val="14"/>
              </w:rPr>
              <w:t>E-Oz Energy Skills Australia</w:t>
            </w:r>
          </w:p>
        </w:tc>
        <w:tc>
          <w:tcPr>
            <w:tcW w:w="1036" w:type="dxa"/>
            <w:shd w:val="clear" w:color="auto" w:fill="auto"/>
            <w:tcMar>
              <w:top w:w="85" w:type="dxa"/>
              <w:left w:w="85" w:type="dxa"/>
              <w:bottom w:w="85" w:type="dxa"/>
              <w:right w:w="85" w:type="dxa"/>
            </w:tcMar>
            <w:vAlign w:val="center"/>
          </w:tcPr>
          <w:p w14:paraId="564699F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F5"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9F6"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9F7"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9F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01" w14:textId="77777777" w:rsidTr="009B5F08">
        <w:trPr>
          <w:trHeight w:val="170"/>
        </w:trPr>
        <w:tc>
          <w:tcPr>
            <w:tcW w:w="295" w:type="dxa"/>
            <w:shd w:val="clear" w:color="auto" w:fill="auto"/>
            <w:tcMar>
              <w:top w:w="57" w:type="dxa"/>
              <w:left w:w="57" w:type="dxa"/>
              <w:bottom w:w="57" w:type="dxa"/>
              <w:right w:w="57" w:type="dxa"/>
            </w:tcMar>
          </w:tcPr>
          <w:p w14:paraId="564699FA" w14:textId="77777777" w:rsidR="00BB2B23" w:rsidRPr="009B5F08" w:rsidRDefault="00BB2B23" w:rsidP="00F5693B">
            <w:pPr>
              <w:pStyle w:val="Tablesmalltext"/>
              <w:jc w:val="center"/>
              <w:rPr>
                <w:color w:val="auto"/>
              </w:rPr>
            </w:pPr>
            <w:r w:rsidRPr="009B5F08">
              <w:rPr>
                <w:color w:val="auto"/>
                <w:sz w:val="14"/>
                <w:szCs w:val="14"/>
              </w:rPr>
              <w:t>28</w:t>
            </w:r>
          </w:p>
        </w:tc>
        <w:tc>
          <w:tcPr>
            <w:tcW w:w="1844" w:type="dxa"/>
            <w:shd w:val="clear" w:color="auto" w:fill="auto"/>
            <w:tcMar>
              <w:top w:w="85" w:type="dxa"/>
              <w:left w:w="85" w:type="dxa"/>
              <w:bottom w:w="85" w:type="dxa"/>
              <w:right w:w="85" w:type="dxa"/>
            </w:tcMar>
          </w:tcPr>
          <w:p w14:paraId="564699FB" w14:textId="77777777" w:rsidR="00BB2B23" w:rsidRPr="009B5F08" w:rsidRDefault="00BB2B23" w:rsidP="00F5693B">
            <w:pPr>
              <w:pStyle w:val="Tablesmalltext"/>
              <w:rPr>
                <w:color w:val="auto"/>
              </w:rPr>
            </w:pPr>
            <w:r w:rsidRPr="009B5F08">
              <w:rPr>
                <w:color w:val="auto"/>
                <w:sz w:val="14"/>
                <w:szCs w:val="14"/>
              </w:rPr>
              <w:t>FCAI—Federal Chamber of Automotive Industries</w:t>
            </w:r>
          </w:p>
        </w:tc>
        <w:tc>
          <w:tcPr>
            <w:tcW w:w="1036" w:type="dxa"/>
            <w:shd w:val="clear" w:color="auto" w:fill="auto"/>
            <w:tcMar>
              <w:top w:w="85" w:type="dxa"/>
              <w:left w:w="85" w:type="dxa"/>
              <w:bottom w:w="85" w:type="dxa"/>
              <w:right w:w="85" w:type="dxa"/>
            </w:tcMar>
            <w:vAlign w:val="center"/>
          </w:tcPr>
          <w:p w14:paraId="564699F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9FD"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9FE" w14:textId="77777777" w:rsidR="00BB2B23" w:rsidRPr="009B5F08" w:rsidRDefault="00BB2B23" w:rsidP="00F5693B">
            <w:pPr>
              <w:pStyle w:val="Tablesmalltext"/>
              <w:jc w:val="center"/>
              <w:rPr>
                <w:color w:val="auto"/>
              </w:rPr>
            </w:pPr>
            <w:r w:rsidRPr="009B5F08">
              <w:rPr>
                <w:color w:val="auto"/>
              </w:rPr>
              <w:t>X</w:t>
            </w:r>
          </w:p>
        </w:tc>
        <w:tc>
          <w:tcPr>
            <w:tcW w:w="1066" w:type="dxa"/>
            <w:shd w:val="clear" w:color="auto" w:fill="auto"/>
            <w:tcMar>
              <w:top w:w="85" w:type="dxa"/>
              <w:left w:w="85" w:type="dxa"/>
              <w:bottom w:w="85" w:type="dxa"/>
              <w:right w:w="85" w:type="dxa"/>
            </w:tcMar>
            <w:vAlign w:val="center"/>
          </w:tcPr>
          <w:p w14:paraId="564699FF"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A0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09" w14:textId="77777777" w:rsidTr="009B5F08">
        <w:trPr>
          <w:trHeight w:val="170"/>
        </w:trPr>
        <w:tc>
          <w:tcPr>
            <w:tcW w:w="295" w:type="dxa"/>
            <w:shd w:val="clear" w:color="auto" w:fill="auto"/>
            <w:tcMar>
              <w:top w:w="57" w:type="dxa"/>
              <w:left w:w="57" w:type="dxa"/>
              <w:bottom w:w="57" w:type="dxa"/>
              <w:right w:w="57" w:type="dxa"/>
            </w:tcMar>
          </w:tcPr>
          <w:p w14:paraId="56469A02" w14:textId="77777777" w:rsidR="00BB2B23" w:rsidRPr="009B5F08" w:rsidRDefault="00BB2B23" w:rsidP="00F5693B">
            <w:pPr>
              <w:pStyle w:val="Tablesmalltext"/>
              <w:jc w:val="center"/>
              <w:rPr>
                <w:color w:val="auto"/>
              </w:rPr>
            </w:pPr>
            <w:r w:rsidRPr="009B5F08">
              <w:rPr>
                <w:color w:val="auto"/>
                <w:sz w:val="14"/>
                <w:szCs w:val="14"/>
              </w:rPr>
              <w:t>29</w:t>
            </w:r>
          </w:p>
        </w:tc>
        <w:tc>
          <w:tcPr>
            <w:tcW w:w="1844" w:type="dxa"/>
            <w:shd w:val="clear" w:color="auto" w:fill="auto"/>
            <w:tcMar>
              <w:top w:w="85" w:type="dxa"/>
              <w:left w:w="85" w:type="dxa"/>
              <w:bottom w:w="85" w:type="dxa"/>
              <w:right w:w="85" w:type="dxa"/>
            </w:tcMar>
          </w:tcPr>
          <w:p w14:paraId="56469A03" w14:textId="77777777" w:rsidR="00BB2B23" w:rsidRPr="009B5F08" w:rsidRDefault="00BB2B23" w:rsidP="00F5693B">
            <w:pPr>
              <w:pStyle w:val="Tablesmalltext"/>
              <w:rPr>
                <w:color w:val="auto"/>
              </w:rPr>
            </w:pPr>
            <w:r w:rsidRPr="009B5F08">
              <w:rPr>
                <w:color w:val="auto"/>
                <w:sz w:val="14"/>
                <w:szCs w:val="14"/>
              </w:rPr>
              <w:t>Fire Protection—Industry Association Joint Statement</w:t>
            </w:r>
          </w:p>
        </w:tc>
        <w:tc>
          <w:tcPr>
            <w:tcW w:w="1036" w:type="dxa"/>
            <w:shd w:val="clear" w:color="auto" w:fill="auto"/>
            <w:tcMar>
              <w:top w:w="85" w:type="dxa"/>
              <w:left w:w="85" w:type="dxa"/>
              <w:bottom w:w="85" w:type="dxa"/>
              <w:right w:w="85" w:type="dxa"/>
            </w:tcMar>
            <w:vAlign w:val="center"/>
          </w:tcPr>
          <w:p w14:paraId="56469A0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05"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A06"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07" w14:textId="77777777" w:rsidR="00BB2B23" w:rsidRPr="009B5F08" w:rsidRDefault="00BB2B23" w:rsidP="00F5693B">
            <w:pPr>
              <w:pStyle w:val="Tablesmalltext"/>
              <w:jc w:val="center"/>
              <w:rPr>
                <w:color w:val="auto"/>
              </w:rPr>
            </w:pPr>
            <w:r w:rsidRPr="009B5F08">
              <w:rPr>
                <w:rStyle w:val="wingding"/>
                <w:color w:val="auto"/>
              </w:rPr>
              <w:t></w:t>
            </w:r>
          </w:p>
        </w:tc>
        <w:tc>
          <w:tcPr>
            <w:tcW w:w="2818" w:type="dxa"/>
            <w:shd w:val="clear" w:color="auto" w:fill="auto"/>
            <w:tcMar>
              <w:top w:w="85" w:type="dxa"/>
              <w:left w:w="85" w:type="dxa"/>
              <w:bottom w:w="85" w:type="dxa"/>
              <w:right w:w="85" w:type="dxa"/>
            </w:tcMar>
          </w:tcPr>
          <w:p w14:paraId="56469A0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11" w14:textId="77777777" w:rsidTr="009B5F08">
        <w:trPr>
          <w:trHeight w:val="170"/>
        </w:trPr>
        <w:tc>
          <w:tcPr>
            <w:tcW w:w="295" w:type="dxa"/>
            <w:shd w:val="clear" w:color="auto" w:fill="auto"/>
            <w:tcMar>
              <w:top w:w="57" w:type="dxa"/>
              <w:left w:w="57" w:type="dxa"/>
              <w:bottom w:w="57" w:type="dxa"/>
              <w:right w:w="57" w:type="dxa"/>
            </w:tcMar>
          </w:tcPr>
          <w:p w14:paraId="56469A0A" w14:textId="77777777" w:rsidR="00BB2B23" w:rsidRPr="009B5F08" w:rsidRDefault="00BB2B23" w:rsidP="00F5693B">
            <w:pPr>
              <w:pStyle w:val="Tablesmalltext"/>
              <w:jc w:val="center"/>
              <w:rPr>
                <w:color w:val="auto"/>
              </w:rPr>
            </w:pPr>
            <w:r w:rsidRPr="009B5F08">
              <w:rPr>
                <w:color w:val="auto"/>
                <w:sz w:val="14"/>
                <w:szCs w:val="14"/>
              </w:rPr>
              <w:t>30</w:t>
            </w:r>
          </w:p>
        </w:tc>
        <w:tc>
          <w:tcPr>
            <w:tcW w:w="1844" w:type="dxa"/>
            <w:shd w:val="clear" w:color="auto" w:fill="auto"/>
            <w:tcMar>
              <w:top w:w="85" w:type="dxa"/>
              <w:left w:w="85" w:type="dxa"/>
              <w:bottom w:w="85" w:type="dxa"/>
              <w:right w:w="85" w:type="dxa"/>
            </w:tcMar>
          </w:tcPr>
          <w:p w14:paraId="56469A0B" w14:textId="77777777" w:rsidR="00BB2B23" w:rsidRPr="009B5F08" w:rsidRDefault="00BB2B23" w:rsidP="00F5693B">
            <w:pPr>
              <w:pStyle w:val="Tablesmalltext"/>
              <w:rPr>
                <w:color w:val="auto"/>
              </w:rPr>
            </w:pPr>
            <w:r w:rsidRPr="009B5F08">
              <w:rPr>
                <w:color w:val="auto"/>
                <w:sz w:val="14"/>
                <w:szCs w:val="14"/>
              </w:rPr>
              <w:t>Fire Protection Association of Australia</w:t>
            </w:r>
          </w:p>
        </w:tc>
        <w:tc>
          <w:tcPr>
            <w:tcW w:w="1036" w:type="dxa"/>
            <w:shd w:val="clear" w:color="auto" w:fill="auto"/>
            <w:tcMar>
              <w:top w:w="85" w:type="dxa"/>
              <w:left w:w="85" w:type="dxa"/>
              <w:bottom w:w="85" w:type="dxa"/>
              <w:right w:w="85" w:type="dxa"/>
            </w:tcMar>
            <w:vAlign w:val="center"/>
          </w:tcPr>
          <w:p w14:paraId="56469A0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0D"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A0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0F" w14:textId="77777777" w:rsidR="00BB2B23" w:rsidRPr="009B5F08" w:rsidRDefault="00BB2B23" w:rsidP="00F5693B">
            <w:pPr>
              <w:pStyle w:val="Tablesmalltext"/>
              <w:jc w:val="center"/>
              <w:rPr>
                <w:color w:val="auto"/>
              </w:rPr>
            </w:pPr>
            <w:r w:rsidRPr="009B5F08">
              <w:rPr>
                <w:rStyle w:val="wingding"/>
                <w:color w:val="auto"/>
              </w:rPr>
              <w:t></w:t>
            </w:r>
          </w:p>
        </w:tc>
        <w:tc>
          <w:tcPr>
            <w:tcW w:w="2818" w:type="dxa"/>
            <w:shd w:val="clear" w:color="auto" w:fill="auto"/>
            <w:tcMar>
              <w:top w:w="85" w:type="dxa"/>
              <w:left w:w="85" w:type="dxa"/>
              <w:bottom w:w="85" w:type="dxa"/>
              <w:right w:w="85" w:type="dxa"/>
            </w:tcMar>
          </w:tcPr>
          <w:p w14:paraId="56469A1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19" w14:textId="77777777" w:rsidTr="009B5F08">
        <w:trPr>
          <w:trHeight w:val="170"/>
        </w:trPr>
        <w:tc>
          <w:tcPr>
            <w:tcW w:w="295" w:type="dxa"/>
            <w:shd w:val="clear" w:color="auto" w:fill="auto"/>
            <w:tcMar>
              <w:top w:w="57" w:type="dxa"/>
              <w:left w:w="57" w:type="dxa"/>
              <w:bottom w:w="57" w:type="dxa"/>
              <w:right w:w="57" w:type="dxa"/>
            </w:tcMar>
          </w:tcPr>
          <w:p w14:paraId="56469A12" w14:textId="77777777" w:rsidR="00BB2B23" w:rsidRPr="009B5F08" w:rsidRDefault="00BB2B23" w:rsidP="00F5693B">
            <w:pPr>
              <w:pStyle w:val="Tablesmalltext"/>
              <w:jc w:val="center"/>
              <w:rPr>
                <w:color w:val="auto"/>
              </w:rPr>
            </w:pPr>
            <w:r w:rsidRPr="009B5F08">
              <w:rPr>
                <w:color w:val="auto"/>
                <w:sz w:val="14"/>
                <w:szCs w:val="14"/>
              </w:rPr>
              <w:t>31</w:t>
            </w:r>
          </w:p>
        </w:tc>
        <w:tc>
          <w:tcPr>
            <w:tcW w:w="1844" w:type="dxa"/>
            <w:shd w:val="clear" w:color="auto" w:fill="auto"/>
            <w:tcMar>
              <w:top w:w="85" w:type="dxa"/>
              <w:left w:w="85" w:type="dxa"/>
              <w:bottom w:w="85" w:type="dxa"/>
              <w:right w:w="85" w:type="dxa"/>
            </w:tcMar>
          </w:tcPr>
          <w:p w14:paraId="56469A13" w14:textId="77777777" w:rsidR="00BB2B23" w:rsidRPr="009B5F08" w:rsidRDefault="00BB2B23" w:rsidP="00F5693B">
            <w:pPr>
              <w:pStyle w:val="Tablesmalltext"/>
              <w:rPr>
                <w:color w:val="auto"/>
              </w:rPr>
            </w:pPr>
            <w:r w:rsidRPr="009B5F08">
              <w:rPr>
                <w:color w:val="auto"/>
                <w:sz w:val="14"/>
                <w:szCs w:val="14"/>
              </w:rPr>
              <w:t>Fire Protection Industry Board</w:t>
            </w:r>
          </w:p>
        </w:tc>
        <w:tc>
          <w:tcPr>
            <w:tcW w:w="1036" w:type="dxa"/>
            <w:shd w:val="clear" w:color="auto" w:fill="auto"/>
            <w:tcMar>
              <w:top w:w="85" w:type="dxa"/>
              <w:left w:w="85" w:type="dxa"/>
              <w:bottom w:w="85" w:type="dxa"/>
              <w:right w:w="85" w:type="dxa"/>
            </w:tcMar>
            <w:vAlign w:val="center"/>
          </w:tcPr>
          <w:p w14:paraId="56469A1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15"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A16"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17" w14:textId="77777777" w:rsidR="00BB2B23" w:rsidRPr="009B5F08" w:rsidRDefault="00BB2B23" w:rsidP="00F5693B">
            <w:pPr>
              <w:pStyle w:val="Tablesmalltext"/>
              <w:jc w:val="center"/>
              <w:rPr>
                <w:color w:val="auto"/>
              </w:rPr>
            </w:pPr>
            <w:r w:rsidRPr="009B5F08">
              <w:rPr>
                <w:rStyle w:val="wingding"/>
                <w:color w:val="auto"/>
              </w:rPr>
              <w:t></w:t>
            </w:r>
          </w:p>
        </w:tc>
        <w:tc>
          <w:tcPr>
            <w:tcW w:w="2818" w:type="dxa"/>
            <w:shd w:val="clear" w:color="auto" w:fill="auto"/>
            <w:tcMar>
              <w:top w:w="85" w:type="dxa"/>
              <w:left w:w="85" w:type="dxa"/>
              <w:bottom w:w="85" w:type="dxa"/>
              <w:right w:w="85" w:type="dxa"/>
            </w:tcMar>
          </w:tcPr>
          <w:p w14:paraId="56469A1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21" w14:textId="77777777" w:rsidTr="009B5F08">
        <w:trPr>
          <w:trHeight w:val="170"/>
        </w:trPr>
        <w:tc>
          <w:tcPr>
            <w:tcW w:w="295" w:type="dxa"/>
            <w:shd w:val="clear" w:color="auto" w:fill="auto"/>
            <w:tcMar>
              <w:top w:w="57" w:type="dxa"/>
              <w:left w:w="57" w:type="dxa"/>
              <w:bottom w:w="57" w:type="dxa"/>
              <w:right w:w="57" w:type="dxa"/>
            </w:tcMar>
          </w:tcPr>
          <w:p w14:paraId="56469A1A" w14:textId="77777777" w:rsidR="00BB2B23" w:rsidRPr="009B5F08" w:rsidRDefault="00BB2B23" w:rsidP="00F5693B">
            <w:pPr>
              <w:pStyle w:val="Tablesmalltext"/>
              <w:jc w:val="center"/>
              <w:rPr>
                <w:color w:val="auto"/>
              </w:rPr>
            </w:pPr>
            <w:r w:rsidRPr="009B5F08">
              <w:rPr>
                <w:color w:val="auto"/>
                <w:sz w:val="14"/>
                <w:szCs w:val="14"/>
              </w:rPr>
              <w:t>32</w:t>
            </w:r>
          </w:p>
        </w:tc>
        <w:tc>
          <w:tcPr>
            <w:tcW w:w="1844" w:type="dxa"/>
            <w:shd w:val="clear" w:color="auto" w:fill="auto"/>
            <w:tcMar>
              <w:top w:w="85" w:type="dxa"/>
              <w:left w:w="85" w:type="dxa"/>
              <w:bottom w:w="85" w:type="dxa"/>
              <w:right w:w="85" w:type="dxa"/>
            </w:tcMar>
          </w:tcPr>
          <w:p w14:paraId="56469A1B" w14:textId="77777777" w:rsidR="00BB2B23" w:rsidRPr="009B5F08" w:rsidRDefault="00BB2B23" w:rsidP="00F5693B">
            <w:pPr>
              <w:pStyle w:val="Tablesmalltext"/>
              <w:rPr>
                <w:color w:val="auto"/>
              </w:rPr>
            </w:pPr>
            <w:r w:rsidRPr="009B5F08">
              <w:rPr>
                <w:color w:val="auto"/>
                <w:sz w:val="14"/>
                <w:szCs w:val="14"/>
              </w:rPr>
              <w:t>Griffith Hack IP Amplified—SUPPORT ARA’s submission</w:t>
            </w:r>
          </w:p>
        </w:tc>
        <w:tc>
          <w:tcPr>
            <w:tcW w:w="1036" w:type="dxa"/>
            <w:shd w:val="clear" w:color="auto" w:fill="auto"/>
            <w:tcMar>
              <w:top w:w="85" w:type="dxa"/>
              <w:left w:w="85" w:type="dxa"/>
              <w:bottom w:w="85" w:type="dxa"/>
              <w:right w:w="85" w:type="dxa"/>
            </w:tcMar>
            <w:vAlign w:val="center"/>
          </w:tcPr>
          <w:p w14:paraId="56469A1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1D"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A1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1F"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A2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29" w14:textId="77777777" w:rsidTr="009B5F08">
        <w:trPr>
          <w:trHeight w:val="170"/>
        </w:trPr>
        <w:tc>
          <w:tcPr>
            <w:tcW w:w="295" w:type="dxa"/>
            <w:shd w:val="clear" w:color="auto" w:fill="auto"/>
            <w:tcMar>
              <w:top w:w="57" w:type="dxa"/>
              <w:left w:w="57" w:type="dxa"/>
              <w:bottom w:w="57" w:type="dxa"/>
              <w:right w:w="57" w:type="dxa"/>
            </w:tcMar>
          </w:tcPr>
          <w:p w14:paraId="56469A22" w14:textId="77777777" w:rsidR="00BB2B23" w:rsidRPr="009B5F08" w:rsidRDefault="00BB2B23" w:rsidP="00F5693B">
            <w:pPr>
              <w:pStyle w:val="Tablesmalltext"/>
              <w:jc w:val="center"/>
              <w:rPr>
                <w:color w:val="auto"/>
              </w:rPr>
            </w:pPr>
            <w:r w:rsidRPr="009B5F08">
              <w:rPr>
                <w:color w:val="auto"/>
                <w:sz w:val="14"/>
                <w:szCs w:val="14"/>
              </w:rPr>
              <w:t>33</w:t>
            </w:r>
          </w:p>
        </w:tc>
        <w:tc>
          <w:tcPr>
            <w:tcW w:w="1844" w:type="dxa"/>
            <w:shd w:val="clear" w:color="auto" w:fill="auto"/>
            <w:tcMar>
              <w:top w:w="85" w:type="dxa"/>
              <w:left w:w="85" w:type="dxa"/>
              <w:bottom w:w="85" w:type="dxa"/>
              <w:right w:w="85" w:type="dxa"/>
            </w:tcMar>
          </w:tcPr>
          <w:p w14:paraId="56469A23" w14:textId="77777777" w:rsidR="00BB2B23" w:rsidRPr="009B5F08" w:rsidRDefault="00BB2B23" w:rsidP="00F5693B">
            <w:pPr>
              <w:pStyle w:val="Tablesmalltext"/>
              <w:rPr>
                <w:color w:val="auto"/>
              </w:rPr>
            </w:pPr>
            <w:r w:rsidRPr="009B5F08">
              <w:rPr>
                <w:color w:val="auto"/>
                <w:sz w:val="14"/>
                <w:szCs w:val="14"/>
              </w:rPr>
              <w:t>Honeywell—Bulk importer</w:t>
            </w:r>
          </w:p>
        </w:tc>
        <w:tc>
          <w:tcPr>
            <w:tcW w:w="1036" w:type="dxa"/>
            <w:shd w:val="clear" w:color="auto" w:fill="auto"/>
            <w:tcMar>
              <w:top w:w="85" w:type="dxa"/>
              <w:left w:w="85" w:type="dxa"/>
              <w:bottom w:w="85" w:type="dxa"/>
              <w:right w:w="85" w:type="dxa"/>
            </w:tcMar>
            <w:vAlign w:val="center"/>
          </w:tcPr>
          <w:p w14:paraId="56469A2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25"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A26" w14:textId="77777777" w:rsidR="00BB2B23" w:rsidRPr="009B5F08" w:rsidRDefault="00BB2B23" w:rsidP="00F5693B">
            <w:pPr>
              <w:pStyle w:val="Tablesmalltext"/>
              <w:jc w:val="center"/>
              <w:rPr>
                <w:color w:val="auto"/>
              </w:rPr>
            </w:pPr>
            <w:r w:rsidRPr="009B5F08">
              <w:rPr>
                <w:rStyle w:val="wingding"/>
                <w:color w:val="auto"/>
              </w:rPr>
              <w:t></w:t>
            </w:r>
          </w:p>
        </w:tc>
        <w:tc>
          <w:tcPr>
            <w:tcW w:w="1066" w:type="dxa"/>
            <w:shd w:val="clear" w:color="auto" w:fill="auto"/>
            <w:tcMar>
              <w:top w:w="85" w:type="dxa"/>
              <w:left w:w="85" w:type="dxa"/>
              <w:bottom w:w="85" w:type="dxa"/>
              <w:right w:w="85" w:type="dxa"/>
            </w:tcMar>
            <w:vAlign w:val="center"/>
          </w:tcPr>
          <w:p w14:paraId="56469A27"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A2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31" w14:textId="77777777" w:rsidTr="009B5F08">
        <w:trPr>
          <w:trHeight w:val="170"/>
        </w:trPr>
        <w:tc>
          <w:tcPr>
            <w:tcW w:w="295" w:type="dxa"/>
            <w:shd w:val="clear" w:color="auto" w:fill="auto"/>
            <w:tcMar>
              <w:top w:w="57" w:type="dxa"/>
              <w:left w:w="57" w:type="dxa"/>
              <w:bottom w:w="57" w:type="dxa"/>
              <w:right w:w="57" w:type="dxa"/>
            </w:tcMar>
          </w:tcPr>
          <w:p w14:paraId="56469A2A" w14:textId="77777777" w:rsidR="00BB2B23" w:rsidRPr="009B5F08" w:rsidRDefault="00BB2B23" w:rsidP="00F5693B">
            <w:pPr>
              <w:pStyle w:val="Tablesmalltext"/>
              <w:jc w:val="center"/>
              <w:rPr>
                <w:color w:val="auto"/>
              </w:rPr>
            </w:pPr>
            <w:r w:rsidRPr="009B5F08">
              <w:rPr>
                <w:color w:val="auto"/>
                <w:sz w:val="14"/>
                <w:szCs w:val="14"/>
              </w:rPr>
              <w:t>34</w:t>
            </w:r>
          </w:p>
        </w:tc>
        <w:tc>
          <w:tcPr>
            <w:tcW w:w="1844" w:type="dxa"/>
            <w:shd w:val="clear" w:color="auto" w:fill="auto"/>
            <w:tcMar>
              <w:top w:w="85" w:type="dxa"/>
              <w:left w:w="85" w:type="dxa"/>
              <w:bottom w:w="85" w:type="dxa"/>
              <w:right w:w="85" w:type="dxa"/>
            </w:tcMar>
          </w:tcPr>
          <w:p w14:paraId="56469A2B" w14:textId="77777777" w:rsidR="00BB2B23" w:rsidRPr="009B5F08" w:rsidRDefault="00BB2B23" w:rsidP="00F5693B">
            <w:pPr>
              <w:pStyle w:val="Tablesmalltext"/>
              <w:rPr>
                <w:color w:val="auto"/>
              </w:rPr>
            </w:pPr>
            <w:r w:rsidRPr="009B5F08">
              <w:rPr>
                <w:color w:val="auto"/>
                <w:sz w:val="14"/>
                <w:szCs w:val="14"/>
              </w:rPr>
              <w:t xml:space="preserve">Kidde Aerospace—fire protection and safety </w:t>
            </w:r>
            <w:r w:rsidRPr="009B5F08">
              <w:rPr>
                <w:color w:val="auto"/>
                <w:sz w:val="14"/>
                <w:szCs w:val="14"/>
              </w:rPr>
              <w:lastRenderedPageBreak/>
              <w:t>systems for commercial and military aviation and for commercial and military ground vehicle applications.</w:t>
            </w:r>
          </w:p>
        </w:tc>
        <w:tc>
          <w:tcPr>
            <w:tcW w:w="1036" w:type="dxa"/>
            <w:shd w:val="clear" w:color="auto" w:fill="auto"/>
            <w:tcMar>
              <w:top w:w="85" w:type="dxa"/>
              <w:left w:w="85" w:type="dxa"/>
              <w:bottom w:w="85" w:type="dxa"/>
              <w:right w:w="85" w:type="dxa"/>
            </w:tcMar>
            <w:vAlign w:val="center"/>
          </w:tcPr>
          <w:p w14:paraId="56469A2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2D"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A2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2F" w14:textId="77777777" w:rsidR="00BB2B23" w:rsidRPr="009B5F08" w:rsidRDefault="00BB2B23" w:rsidP="00F5693B">
            <w:pPr>
              <w:pStyle w:val="Tablesmalltext"/>
              <w:jc w:val="center"/>
              <w:rPr>
                <w:color w:val="auto"/>
              </w:rPr>
            </w:pPr>
            <w:r w:rsidRPr="009B5F08">
              <w:rPr>
                <w:rStyle w:val="wingding"/>
                <w:color w:val="auto"/>
              </w:rPr>
              <w:t></w:t>
            </w:r>
          </w:p>
        </w:tc>
        <w:tc>
          <w:tcPr>
            <w:tcW w:w="2818" w:type="dxa"/>
            <w:shd w:val="clear" w:color="auto" w:fill="auto"/>
            <w:tcMar>
              <w:top w:w="85" w:type="dxa"/>
              <w:left w:w="85" w:type="dxa"/>
              <w:bottom w:w="85" w:type="dxa"/>
              <w:right w:w="85" w:type="dxa"/>
            </w:tcMar>
          </w:tcPr>
          <w:p w14:paraId="56469A3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39" w14:textId="77777777" w:rsidTr="009B5F08">
        <w:trPr>
          <w:trHeight w:val="170"/>
        </w:trPr>
        <w:tc>
          <w:tcPr>
            <w:tcW w:w="295" w:type="dxa"/>
            <w:shd w:val="clear" w:color="auto" w:fill="auto"/>
            <w:tcMar>
              <w:top w:w="57" w:type="dxa"/>
              <w:left w:w="57" w:type="dxa"/>
              <w:bottom w:w="57" w:type="dxa"/>
              <w:right w:w="57" w:type="dxa"/>
            </w:tcMar>
          </w:tcPr>
          <w:p w14:paraId="56469A32" w14:textId="77777777" w:rsidR="00BB2B23" w:rsidRPr="009B5F08" w:rsidRDefault="00BB2B23" w:rsidP="00F5693B">
            <w:pPr>
              <w:pStyle w:val="Tablesmalltext"/>
              <w:jc w:val="center"/>
              <w:rPr>
                <w:color w:val="auto"/>
              </w:rPr>
            </w:pPr>
            <w:r w:rsidRPr="009B5F08">
              <w:rPr>
                <w:color w:val="auto"/>
                <w:sz w:val="14"/>
                <w:szCs w:val="14"/>
              </w:rPr>
              <w:t>35</w:t>
            </w:r>
          </w:p>
        </w:tc>
        <w:tc>
          <w:tcPr>
            <w:tcW w:w="1844" w:type="dxa"/>
            <w:shd w:val="clear" w:color="auto" w:fill="auto"/>
            <w:tcMar>
              <w:top w:w="85" w:type="dxa"/>
              <w:left w:w="85" w:type="dxa"/>
              <w:bottom w:w="85" w:type="dxa"/>
              <w:right w:w="85" w:type="dxa"/>
            </w:tcMar>
          </w:tcPr>
          <w:p w14:paraId="56469A33" w14:textId="77777777" w:rsidR="00BB2B23" w:rsidRPr="009B5F08" w:rsidRDefault="00BB2B23" w:rsidP="00F5693B">
            <w:pPr>
              <w:pStyle w:val="Tablesmalltext"/>
              <w:rPr>
                <w:color w:val="auto"/>
              </w:rPr>
            </w:pPr>
            <w:r w:rsidRPr="009B5F08">
              <w:rPr>
                <w:color w:val="auto"/>
                <w:sz w:val="14"/>
                <w:szCs w:val="14"/>
              </w:rPr>
              <w:t>Lateral Fire Design</w:t>
            </w:r>
          </w:p>
        </w:tc>
        <w:tc>
          <w:tcPr>
            <w:tcW w:w="1036" w:type="dxa"/>
            <w:shd w:val="clear" w:color="auto" w:fill="auto"/>
            <w:tcMar>
              <w:top w:w="85" w:type="dxa"/>
              <w:left w:w="85" w:type="dxa"/>
              <w:bottom w:w="85" w:type="dxa"/>
              <w:right w:w="85" w:type="dxa"/>
            </w:tcMar>
            <w:vAlign w:val="center"/>
          </w:tcPr>
          <w:p w14:paraId="56469A34" w14:textId="77777777" w:rsidR="00BB2B23" w:rsidRPr="009B5F08" w:rsidRDefault="00BB2B23" w:rsidP="00F5693B">
            <w:pPr>
              <w:pStyle w:val="Tablesmalltext"/>
              <w:jc w:val="center"/>
              <w:rPr>
                <w:color w:val="auto"/>
              </w:rPr>
            </w:pPr>
            <w:r w:rsidRPr="009B5F08">
              <w:rPr>
                <w:rStyle w:val="wingding"/>
                <w:color w:val="auto"/>
              </w:rPr>
              <w:t></w:t>
            </w:r>
          </w:p>
        </w:tc>
        <w:tc>
          <w:tcPr>
            <w:tcW w:w="992" w:type="dxa"/>
            <w:shd w:val="clear" w:color="auto" w:fill="auto"/>
            <w:tcMar>
              <w:top w:w="85" w:type="dxa"/>
              <w:left w:w="85" w:type="dxa"/>
              <w:bottom w:w="85" w:type="dxa"/>
              <w:right w:w="85" w:type="dxa"/>
            </w:tcMar>
            <w:vAlign w:val="center"/>
          </w:tcPr>
          <w:p w14:paraId="56469A35"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A36"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37" w14:textId="77777777" w:rsidR="00BB2B23" w:rsidRPr="009B5F08" w:rsidRDefault="00BB2B23" w:rsidP="00F5693B">
            <w:pPr>
              <w:pStyle w:val="Tablesmalltext"/>
              <w:jc w:val="center"/>
              <w:rPr>
                <w:color w:val="auto"/>
              </w:rPr>
            </w:pPr>
            <w:r w:rsidRPr="009B5F08">
              <w:rPr>
                <w:rStyle w:val="wingding"/>
                <w:color w:val="auto"/>
              </w:rPr>
              <w:t></w:t>
            </w:r>
          </w:p>
        </w:tc>
        <w:tc>
          <w:tcPr>
            <w:tcW w:w="2818" w:type="dxa"/>
            <w:shd w:val="clear" w:color="auto" w:fill="auto"/>
            <w:tcMar>
              <w:top w:w="85" w:type="dxa"/>
              <w:left w:w="85" w:type="dxa"/>
              <w:bottom w:w="85" w:type="dxa"/>
              <w:right w:w="85" w:type="dxa"/>
            </w:tcMar>
          </w:tcPr>
          <w:p w14:paraId="56469A3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41" w14:textId="77777777" w:rsidTr="009B5F08">
        <w:trPr>
          <w:trHeight w:val="170"/>
        </w:trPr>
        <w:tc>
          <w:tcPr>
            <w:tcW w:w="295" w:type="dxa"/>
            <w:shd w:val="clear" w:color="auto" w:fill="auto"/>
            <w:tcMar>
              <w:top w:w="57" w:type="dxa"/>
              <w:left w:w="57" w:type="dxa"/>
              <w:bottom w:w="57" w:type="dxa"/>
              <w:right w:w="57" w:type="dxa"/>
            </w:tcMar>
          </w:tcPr>
          <w:p w14:paraId="56469A3A" w14:textId="77777777" w:rsidR="00BB2B23" w:rsidRPr="009B5F08" w:rsidRDefault="00BB2B23" w:rsidP="00F5693B">
            <w:pPr>
              <w:pStyle w:val="Tablesmalltext"/>
              <w:jc w:val="center"/>
              <w:rPr>
                <w:color w:val="auto"/>
              </w:rPr>
            </w:pPr>
            <w:r w:rsidRPr="009B5F08">
              <w:rPr>
                <w:color w:val="auto"/>
                <w:sz w:val="14"/>
                <w:szCs w:val="14"/>
              </w:rPr>
              <w:t>36</w:t>
            </w:r>
          </w:p>
        </w:tc>
        <w:tc>
          <w:tcPr>
            <w:tcW w:w="1844" w:type="dxa"/>
            <w:shd w:val="clear" w:color="auto" w:fill="auto"/>
            <w:tcMar>
              <w:top w:w="85" w:type="dxa"/>
              <w:left w:w="85" w:type="dxa"/>
              <w:bottom w:w="85" w:type="dxa"/>
              <w:right w:w="85" w:type="dxa"/>
            </w:tcMar>
          </w:tcPr>
          <w:p w14:paraId="56469A3B" w14:textId="77777777" w:rsidR="00BB2B23" w:rsidRPr="009B5F08" w:rsidRDefault="00BB2B23" w:rsidP="00F5693B">
            <w:pPr>
              <w:pStyle w:val="Tablesmalltext"/>
              <w:rPr>
                <w:color w:val="auto"/>
              </w:rPr>
            </w:pPr>
            <w:r w:rsidRPr="009B5F08">
              <w:rPr>
                <w:color w:val="auto"/>
                <w:sz w:val="14"/>
                <w:szCs w:val="14"/>
              </w:rPr>
              <w:t>LPG Fire Australia Pty Ltd</w:t>
            </w:r>
          </w:p>
        </w:tc>
        <w:tc>
          <w:tcPr>
            <w:tcW w:w="1036" w:type="dxa"/>
            <w:shd w:val="clear" w:color="auto" w:fill="auto"/>
            <w:tcMar>
              <w:top w:w="85" w:type="dxa"/>
              <w:left w:w="85" w:type="dxa"/>
              <w:bottom w:w="85" w:type="dxa"/>
              <w:right w:w="85" w:type="dxa"/>
            </w:tcMar>
            <w:vAlign w:val="center"/>
          </w:tcPr>
          <w:p w14:paraId="56469A3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3D"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A3E" w14:textId="77777777" w:rsidR="00BB2B23" w:rsidRPr="009B5F08" w:rsidRDefault="00BB2B23" w:rsidP="00F5693B">
            <w:pPr>
              <w:pStyle w:val="Tablesmalltext"/>
              <w:jc w:val="center"/>
              <w:rPr>
                <w:color w:val="auto"/>
              </w:rPr>
            </w:pPr>
            <w:r w:rsidRPr="009B5F08">
              <w:rPr>
                <w:rStyle w:val="wingding"/>
                <w:color w:val="auto"/>
              </w:rPr>
              <w:t></w:t>
            </w:r>
          </w:p>
        </w:tc>
        <w:tc>
          <w:tcPr>
            <w:tcW w:w="1066" w:type="dxa"/>
            <w:shd w:val="clear" w:color="auto" w:fill="auto"/>
            <w:tcMar>
              <w:top w:w="85" w:type="dxa"/>
              <w:left w:w="85" w:type="dxa"/>
              <w:bottom w:w="85" w:type="dxa"/>
              <w:right w:w="85" w:type="dxa"/>
            </w:tcMar>
            <w:vAlign w:val="center"/>
          </w:tcPr>
          <w:p w14:paraId="56469A3F" w14:textId="77777777" w:rsidR="00BB2B23" w:rsidRPr="009B5F08" w:rsidRDefault="00BB2B23" w:rsidP="00F5693B">
            <w:pPr>
              <w:pStyle w:val="Tablesmalltext"/>
              <w:jc w:val="center"/>
              <w:rPr>
                <w:color w:val="auto"/>
              </w:rPr>
            </w:pPr>
            <w:r w:rsidRPr="009B5F08">
              <w:rPr>
                <w:rStyle w:val="wingding"/>
                <w:color w:val="auto"/>
              </w:rPr>
              <w:t></w:t>
            </w:r>
          </w:p>
        </w:tc>
        <w:tc>
          <w:tcPr>
            <w:tcW w:w="2818" w:type="dxa"/>
            <w:shd w:val="clear" w:color="auto" w:fill="auto"/>
            <w:tcMar>
              <w:top w:w="85" w:type="dxa"/>
              <w:left w:w="85" w:type="dxa"/>
              <w:bottom w:w="85" w:type="dxa"/>
              <w:right w:w="85" w:type="dxa"/>
            </w:tcMar>
          </w:tcPr>
          <w:p w14:paraId="56469A4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49" w14:textId="77777777" w:rsidTr="009B5F08">
        <w:trPr>
          <w:trHeight w:val="170"/>
        </w:trPr>
        <w:tc>
          <w:tcPr>
            <w:tcW w:w="295" w:type="dxa"/>
            <w:shd w:val="clear" w:color="auto" w:fill="auto"/>
            <w:tcMar>
              <w:top w:w="57" w:type="dxa"/>
              <w:left w:w="57" w:type="dxa"/>
              <w:bottom w:w="57" w:type="dxa"/>
              <w:right w:w="57" w:type="dxa"/>
            </w:tcMar>
          </w:tcPr>
          <w:p w14:paraId="56469A42" w14:textId="77777777" w:rsidR="00BB2B23" w:rsidRPr="009B5F08" w:rsidRDefault="00BB2B23" w:rsidP="00F5693B">
            <w:pPr>
              <w:pStyle w:val="Tablesmalltext"/>
              <w:jc w:val="center"/>
              <w:rPr>
                <w:color w:val="auto"/>
              </w:rPr>
            </w:pPr>
            <w:r w:rsidRPr="009B5F08">
              <w:rPr>
                <w:color w:val="auto"/>
                <w:sz w:val="14"/>
                <w:szCs w:val="14"/>
              </w:rPr>
              <w:t>37</w:t>
            </w:r>
          </w:p>
        </w:tc>
        <w:tc>
          <w:tcPr>
            <w:tcW w:w="1844" w:type="dxa"/>
            <w:shd w:val="clear" w:color="auto" w:fill="auto"/>
            <w:tcMar>
              <w:top w:w="85" w:type="dxa"/>
              <w:left w:w="85" w:type="dxa"/>
              <w:bottom w:w="85" w:type="dxa"/>
              <w:right w:w="85" w:type="dxa"/>
            </w:tcMar>
          </w:tcPr>
          <w:p w14:paraId="56469A43" w14:textId="77777777" w:rsidR="00BB2B23" w:rsidRPr="009B5F08" w:rsidRDefault="00BB2B23" w:rsidP="00F5693B">
            <w:pPr>
              <w:pStyle w:val="Tablesmalltext"/>
              <w:rPr>
                <w:color w:val="auto"/>
              </w:rPr>
            </w:pPr>
            <w:r w:rsidRPr="009B5F08">
              <w:rPr>
                <w:color w:val="auto"/>
                <w:sz w:val="14"/>
                <w:szCs w:val="14"/>
              </w:rPr>
              <w:t>Mitsubishi—Manufacturer</w:t>
            </w:r>
          </w:p>
        </w:tc>
        <w:tc>
          <w:tcPr>
            <w:tcW w:w="1036" w:type="dxa"/>
            <w:shd w:val="clear" w:color="auto" w:fill="auto"/>
            <w:tcMar>
              <w:top w:w="85" w:type="dxa"/>
              <w:left w:w="85" w:type="dxa"/>
              <w:bottom w:w="85" w:type="dxa"/>
              <w:right w:w="85" w:type="dxa"/>
            </w:tcMar>
            <w:vAlign w:val="center"/>
          </w:tcPr>
          <w:p w14:paraId="56469A4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45"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A46"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47"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A4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51" w14:textId="77777777" w:rsidTr="009B5F08">
        <w:trPr>
          <w:trHeight w:val="170"/>
        </w:trPr>
        <w:tc>
          <w:tcPr>
            <w:tcW w:w="295" w:type="dxa"/>
            <w:shd w:val="clear" w:color="auto" w:fill="auto"/>
            <w:tcMar>
              <w:top w:w="57" w:type="dxa"/>
              <w:left w:w="57" w:type="dxa"/>
              <w:bottom w:w="57" w:type="dxa"/>
              <w:right w:w="57" w:type="dxa"/>
            </w:tcMar>
          </w:tcPr>
          <w:p w14:paraId="56469A4A" w14:textId="77777777" w:rsidR="00BB2B23" w:rsidRPr="009B5F08" w:rsidRDefault="00BB2B23" w:rsidP="00F5693B">
            <w:pPr>
              <w:pStyle w:val="Tablesmalltext"/>
              <w:jc w:val="center"/>
              <w:rPr>
                <w:color w:val="auto"/>
              </w:rPr>
            </w:pPr>
            <w:r w:rsidRPr="009B5F08">
              <w:rPr>
                <w:color w:val="auto"/>
                <w:sz w:val="14"/>
                <w:szCs w:val="14"/>
              </w:rPr>
              <w:t>38</w:t>
            </w:r>
          </w:p>
        </w:tc>
        <w:tc>
          <w:tcPr>
            <w:tcW w:w="1844" w:type="dxa"/>
            <w:shd w:val="clear" w:color="auto" w:fill="auto"/>
            <w:tcMar>
              <w:top w:w="85" w:type="dxa"/>
              <w:left w:w="85" w:type="dxa"/>
              <w:bottom w:w="85" w:type="dxa"/>
              <w:right w:w="85" w:type="dxa"/>
            </w:tcMar>
          </w:tcPr>
          <w:p w14:paraId="56469A4B" w14:textId="77777777" w:rsidR="00BB2B23" w:rsidRPr="009B5F08" w:rsidRDefault="00BB2B23" w:rsidP="00F5693B">
            <w:pPr>
              <w:pStyle w:val="Tablesmalltext"/>
              <w:rPr>
                <w:color w:val="auto"/>
              </w:rPr>
            </w:pPr>
            <w:r w:rsidRPr="009B5F08">
              <w:rPr>
                <w:color w:val="auto"/>
                <w:sz w:val="14"/>
                <w:szCs w:val="14"/>
              </w:rPr>
              <w:t>Mr Tony Bittman—Private citizen</w:t>
            </w:r>
          </w:p>
        </w:tc>
        <w:tc>
          <w:tcPr>
            <w:tcW w:w="1036" w:type="dxa"/>
            <w:shd w:val="clear" w:color="auto" w:fill="auto"/>
            <w:tcMar>
              <w:top w:w="85" w:type="dxa"/>
              <w:left w:w="85" w:type="dxa"/>
              <w:bottom w:w="85" w:type="dxa"/>
              <w:right w:w="85" w:type="dxa"/>
            </w:tcMar>
            <w:vAlign w:val="center"/>
          </w:tcPr>
          <w:p w14:paraId="56469A4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4D"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A4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4F"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A5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59" w14:textId="77777777" w:rsidTr="009B5F08">
        <w:trPr>
          <w:trHeight w:val="170"/>
        </w:trPr>
        <w:tc>
          <w:tcPr>
            <w:tcW w:w="295" w:type="dxa"/>
            <w:shd w:val="clear" w:color="auto" w:fill="auto"/>
            <w:tcMar>
              <w:top w:w="57" w:type="dxa"/>
              <w:left w:w="57" w:type="dxa"/>
              <w:bottom w:w="57" w:type="dxa"/>
              <w:right w:w="57" w:type="dxa"/>
            </w:tcMar>
          </w:tcPr>
          <w:p w14:paraId="56469A52" w14:textId="77777777" w:rsidR="00BB2B23" w:rsidRPr="009B5F08" w:rsidRDefault="00BB2B23" w:rsidP="00F5693B">
            <w:pPr>
              <w:pStyle w:val="Tablesmalltext"/>
              <w:jc w:val="center"/>
              <w:rPr>
                <w:color w:val="auto"/>
              </w:rPr>
            </w:pPr>
            <w:r w:rsidRPr="009B5F08">
              <w:rPr>
                <w:color w:val="auto"/>
                <w:sz w:val="14"/>
                <w:szCs w:val="14"/>
              </w:rPr>
              <w:t>39</w:t>
            </w:r>
          </w:p>
        </w:tc>
        <w:tc>
          <w:tcPr>
            <w:tcW w:w="1844" w:type="dxa"/>
            <w:shd w:val="clear" w:color="auto" w:fill="auto"/>
            <w:tcMar>
              <w:top w:w="85" w:type="dxa"/>
              <w:left w:w="85" w:type="dxa"/>
              <w:bottom w:w="85" w:type="dxa"/>
              <w:right w:w="85" w:type="dxa"/>
            </w:tcMar>
          </w:tcPr>
          <w:p w14:paraId="56469A53" w14:textId="77777777" w:rsidR="00BB2B23" w:rsidRPr="009B5F08" w:rsidRDefault="00BB2B23" w:rsidP="00F5693B">
            <w:pPr>
              <w:pStyle w:val="Tablesmalltext"/>
              <w:rPr>
                <w:color w:val="auto"/>
              </w:rPr>
            </w:pPr>
            <w:r w:rsidRPr="009B5F08">
              <w:rPr>
                <w:color w:val="auto"/>
                <w:sz w:val="14"/>
                <w:szCs w:val="14"/>
              </w:rPr>
              <w:t>National Fire Solutions</w:t>
            </w:r>
          </w:p>
        </w:tc>
        <w:tc>
          <w:tcPr>
            <w:tcW w:w="1036" w:type="dxa"/>
            <w:shd w:val="clear" w:color="auto" w:fill="auto"/>
            <w:tcMar>
              <w:top w:w="85" w:type="dxa"/>
              <w:left w:w="85" w:type="dxa"/>
              <w:bottom w:w="85" w:type="dxa"/>
              <w:right w:w="85" w:type="dxa"/>
            </w:tcMar>
            <w:vAlign w:val="center"/>
          </w:tcPr>
          <w:p w14:paraId="56469A5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55"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A56" w14:textId="77777777" w:rsidR="00BB2B23" w:rsidRPr="009B5F08" w:rsidRDefault="00BB2B23" w:rsidP="00F5693B">
            <w:pPr>
              <w:pStyle w:val="Tablesmalltext"/>
              <w:jc w:val="center"/>
              <w:rPr>
                <w:color w:val="auto"/>
              </w:rPr>
            </w:pPr>
            <w:r w:rsidRPr="009B5F08">
              <w:rPr>
                <w:rStyle w:val="wingding"/>
                <w:color w:val="auto"/>
              </w:rPr>
              <w:t></w:t>
            </w:r>
          </w:p>
        </w:tc>
        <w:tc>
          <w:tcPr>
            <w:tcW w:w="1066" w:type="dxa"/>
            <w:shd w:val="clear" w:color="auto" w:fill="auto"/>
            <w:tcMar>
              <w:top w:w="85" w:type="dxa"/>
              <w:left w:w="85" w:type="dxa"/>
              <w:bottom w:w="85" w:type="dxa"/>
              <w:right w:w="85" w:type="dxa"/>
            </w:tcMar>
            <w:vAlign w:val="center"/>
          </w:tcPr>
          <w:p w14:paraId="56469A57" w14:textId="77777777" w:rsidR="00BB2B23" w:rsidRPr="009B5F08" w:rsidRDefault="00BB2B23" w:rsidP="00F5693B">
            <w:pPr>
              <w:pStyle w:val="Tablesmalltext"/>
              <w:jc w:val="center"/>
              <w:rPr>
                <w:color w:val="auto"/>
              </w:rPr>
            </w:pPr>
            <w:r w:rsidRPr="009B5F08">
              <w:rPr>
                <w:rStyle w:val="wingding"/>
                <w:color w:val="auto"/>
              </w:rPr>
              <w:t></w:t>
            </w:r>
          </w:p>
        </w:tc>
        <w:tc>
          <w:tcPr>
            <w:tcW w:w="2818" w:type="dxa"/>
            <w:shd w:val="clear" w:color="auto" w:fill="auto"/>
            <w:tcMar>
              <w:top w:w="85" w:type="dxa"/>
              <w:left w:w="85" w:type="dxa"/>
              <w:bottom w:w="85" w:type="dxa"/>
              <w:right w:w="85" w:type="dxa"/>
            </w:tcMar>
          </w:tcPr>
          <w:p w14:paraId="56469A5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61" w14:textId="77777777" w:rsidTr="009B5F08">
        <w:trPr>
          <w:trHeight w:val="170"/>
        </w:trPr>
        <w:tc>
          <w:tcPr>
            <w:tcW w:w="295" w:type="dxa"/>
            <w:shd w:val="clear" w:color="auto" w:fill="auto"/>
            <w:tcMar>
              <w:top w:w="57" w:type="dxa"/>
              <w:left w:w="57" w:type="dxa"/>
              <w:bottom w:w="57" w:type="dxa"/>
              <w:right w:w="57" w:type="dxa"/>
            </w:tcMar>
          </w:tcPr>
          <w:p w14:paraId="56469A5A" w14:textId="77777777" w:rsidR="00BB2B23" w:rsidRPr="009B5F08" w:rsidRDefault="00BB2B23" w:rsidP="00F5693B">
            <w:pPr>
              <w:pStyle w:val="Tablesmalltext"/>
              <w:jc w:val="center"/>
              <w:rPr>
                <w:color w:val="auto"/>
              </w:rPr>
            </w:pPr>
            <w:r w:rsidRPr="009B5F08">
              <w:rPr>
                <w:color w:val="auto"/>
                <w:sz w:val="14"/>
                <w:szCs w:val="14"/>
              </w:rPr>
              <w:t>40</w:t>
            </w:r>
          </w:p>
        </w:tc>
        <w:tc>
          <w:tcPr>
            <w:tcW w:w="1844" w:type="dxa"/>
            <w:shd w:val="clear" w:color="auto" w:fill="auto"/>
            <w:tcMar>
              <w:top w:w="85" w:type="dxa"/>
              <w:left w:w="85" w:type="dxa"/>
              <w:bottom w:w="85" w:type="dxa"/>
              <w:right w:w="85" w:type="dxa"/>
            </w:tcMar>
          </w:tcPr>
          <w:p w14:paraId="56469A5B" w14:textId="77777777" w:rsidR="00BB2B23" w:rsidRPr="009B5F08" w:rsidRDefault="00BB2B23" w:rsidP="00F5693B">
            <w:pPr>
              <w:pStyle w:val="Tablesmalltext"/>
              <w:rPr>
                <w:color w:val="auto"/>
              </w:rPr>
            </w:pPr>
            <w:r w:rsidRPr="009B5F08">
              <w:rPr>
                <w:color w:val="auto"/>
                <w:sz w:val="14"/>
                <w:szCs w:val="14"/>
              </w:rPr>
              <w:t>NFIA—National Fire Industry Association</w:t>
            </w:r>
          </w:p>
        </w:tc>
        <w:tc>
          <w:tcPr>
            <w:tcW w:w="1036" w:type="dxa"/>
            <w:shd w:val="clear" w:color="auto" w:fill="auto"/>
            <w:tcMar>
              <w:top w:w="85" w:type="dxa"/>
              <w:left w:w="85" w:type="dxa"/>
              <w:bottom w:w="85" w:type="dxa"/>
              <w:right w:w="85" w:type="dxa"/>
            </w:tcMar>
            <w:vAlign w:val="center"/>
          </w:tcPr>
          <w:p w14:paraId="56469A5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5D"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A5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5F"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A6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69" w14:textId="77777777" w:rsidTr="009B5F08">
        <w:trPr>
          <w:trHeight w:val="170"/>
        </w:trPr>
        <w:tc>
          <w:tcPr>
            <w:tcW w:w="295" w:type="dxa"/>
            <w:shd w:val="clear" w:color="auto" w:fill="auto"/>
            <w:tcMar>
              <w:top w:w="57" w:type="dxa"/>
              <w:left w:w="57" w:type="dxa"/>
              <w:bottom w:w="57" w:type="dxa"/>
              <w:right w:w="57" w:type="dxa"/>
            </w:tcMar>
          </w:tcPr>
          <w:p w14:paraId="56469A62" w14:textId="77777777" w:rsidR="00BB2B23" w:rsidRPr="009B5F08" w:rsidRDefault="00BB2B23" w:rsidP="00F5693B">
            <w:pPr>
              <w:pStyle w:val="Tablesmalltext"/>
              <w:jc w:val="center"/>
              <w:rPr>
                <w:color w:val="auto"/>
              </w:rPr>
            </w:pPr>
            <w:r w:rsidRPr="009B5F08">
              <w:rPr>
                <w:color w:val="auto"/>
                <w:sz w:val="14"/>
                <w:szCs w:val="14"/>
              </w:rPr>
              <w:t>41</w:t>
            </w:r>
          </w:p>
        </w:tc>
        <w:tc>
          <w:tcPr>
            <w:tcW w:w="1844" w:type="dxa"/>
            <w:shd w:val="clear" w:color="auto" w:fill="auto"/>
            <w:tcMar>
              <w:top w:w="85" w:type="dxa"/>
              <w:left w:w="85" w:type="dxa"/>
              <w:bottom w:w="85" w:type="dxa"/>
              <w:right w:w="85" w:type="dxa"/>
            </w:tcMar>
          </w:tcPr>
          <w:p w14:paraId="56469A63" w14:textId="77777777" w:rsidR="00BB2B23" w:rsidRPr="009B5F08" w:rsidRDefault="00BB2B23" w:rsidP="00F5693B">
            <w:pPr>
              <w:pStyle w:val="Tablesmalltext"/>
              <w:rPr>
                <w:color w:val="auto"/>
              </w:rPr>
            </w:pPr>
            <w:r w:rsidRPr="009B5F08">
              <w:rPr>
                <w:color w:val="auto"/>
                <w:sz w:val="14"/>
                <w:szCs w:val="14"/>
              </w:rPr>
              <w:t>NSW Environment Protection Agency</w:t>
            </w:r>
          </w:p>
        </w:tc>
        <w:tc>
          <w:tcPr>
            <w:tcW w:w="1036" w:type="dxa"/>
            <w:shd w:val="clear" w:color="auto" w:fill="auto"/>
            <w:tcMar>
              <w:top w:w="85" w:type="dxa"/>
              <w:left w:w="85" w:type="dxa"/>
              <w:bottom w:w="85" w:type="dxa"/>
              <w:right w:w="85" w:type="dxa"/>
            </w:tcMar>
            <w:vAlign w:val="center"/>
          </w:tcPr>
          <w:p w14:paraId="56469A6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65"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A66"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67"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A6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71" w14:textId="77777777" w:rsidTr="009B5F08">
        <w:trPr>
          <w:trHeight w:val="170"/>
        </w:trPr>
        <w:tc>
          <w:tcPr>
            <w:tcW w:w="295" w:type="dxa"/>
            <w:shd w:val="clear" w:color="auto" w:fill="auto"/>
            <w:tcMar>
              <w:top w:w="57" w:type="dxa"/>
              <w:left w:w="57" w:type="dxa"/>
              <w:bottom w:w="57" w:type="dxa"/>
              <w:right w:w="57" w:type="dxa"/>
            </w:tcMar>
          </w:tcPr>
          <w:p w14:paraId="56469A6A" w14:textId="77777777" w:rsidR="00BB2B23" w:rsidRPr="009B5F08" w:rsidRDefault="00BB2B23" w:rsidP="00F5693B">
            <w:pPr>
              <w:pStyle w:val="Tablesmalltext"/>
              <w:jc w:val="center"/>
              <w:rPr>
                <w:color w:val="auto"/>
              </w:rPr>
            </w:pPr>
            <w:r w:rsidRPr="009B5F08">
              <w:rPr>
                <w:color w:val="auto"/>
                <w:sz w:val="14"/>
                <w:szCs w:val="14"/>
              </w:rPr>
              <w:t>42</w:t>
            </w:r>
          </w:p>
        </w:tc>
        <w:tc>
          <w:tcPr>
            <w:tcW w:w="1844" w:type="dxa"/>
            <w:shd w:val="clear" w:color="auto" w:fill="auto"/>
            <w:tcMar>
              <w:top w:w="85" w:type="dxa"/>
              <w:left w:w="85" w:type="dxa"/>
              <w:bottom w:w="85" w:type="dxa"/>
              <w:right w:w="85" w:type="dxa"/>
            </w:tcMar>
          </w:tcPr>
          <w:p w14:paraId="56469A6B" w14:textId="77777777" w:rsidR="00BB2B23" w:rsidRPr="009B5F08" w:rsidRDefault="00BB2B23" w:rsidP="00F5693B">
            <w:pPr>
              <w:pStyle w:val="Tablesmalltext"/>
              <w:rPr>
                <w:color w:val="auto"/>
              </w:rPr>
            </w:pPr>
            <w:r w:rsidRPr="009B5F08">
              <w:rPr>
                <w:color w:val="auto"/>
                <w:sz w:val="14"/>
                <w:szCs w:val="14"/>
              </w:rPr>
              <w:t>Plantic Technologies Ltd</w:t>
            </w:r>
          </w:p>
        </w:tc>
        <w:tc>
          <w:tcPr>
            <w:tcW w:w="1036" w:type="dxa"/>
            <w:shd w:val="clear" w:color="auto" w:fill="auto"/>
            <w:tcMar>
              <w:top w:w="85" w:type="dxa"/>
              <w:left w:w="85" w:type="dxa"/>
              <w:bottom w:w="85" w:type="dxa"/>
              <w:right w:w="85" w:type="dxa"/>
            </w:tcMar>
            <w:vAlign w:val="center"/>
          </w:tcPr>
          <w:p w14:paraId="56469A6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6D"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A6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6F"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A7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79" w14:textId="77777777" w:rsidTr="009B5F08">
        <w:trPr>
          <w:trHeight w:val="170"/>
        </w:trPr>
        <w:tc>
          <w:tcPr>
            <w:tcW w:w="295" w:type="dxa"/>
            <w:shd w:val="clear" w:color="auto" w:fill="auto"/>
            <w:tcMar>
              <w:top w:w="57" w:type="dxa"/>
              <w:left w:w="57" w:type="dxa"/>
              <w:bottom w:w="57" w:type="dxa"/>
              <w:right w:w="57" w:type="dxa"/>
            </w:tcMar>
          </w:tcPr>
          <w:p w14:paraId="56469A72" w14:textId="77777777" w:rsidR="00BB2B23" w:rsidRPr="009B5F08" w:rsidRDefault="00BB2B23" w:rsidP="00F5693B">
            <w:pPr>
              <w:pStyle w:val="Tablesmalltext"/>
              <w:jc w:val="center"/>
              <w:rPr>
                <w:color w:val="auto"/>
              </w:rPr>
            </w:pPr>
            <w:r w:rsidRPr="009B5F08">
              <w:rPr>
                <w:color w:val="auto"/>
                <w:sz w:val="14"/>
                <w:szCs w:val="14"/>
              </w:rPr>
              <w:t>43</w:t>
            </w:r>
          </w:p>
        </w:tc>
        <w:tc>
          <w:tcPr>
            <w:tcW w:w="1844" w:type="dxa"/>
            <w:shd w:val="clear" w:color="auto" w:fill="auto"/>
            <w:tcMar>
              <w:top w:w="85" w:type="dxa"/>
              <w:left w:w="85" w:type="dxa"/>
              <w:bottom w:w="85" w:type="dxa"/>
              <w:right w:w="85" w:type="dxa"/>
            </w:tcMar>
          </w:tcPr>
          <w:p w14:paraId="56469A73" w14:textId="77777777" w:rsidR="00BB2B23" w:rsidRPr="009B5F08" w:rsidRDefault="00BB2B23" w:rsidP="00F5693B">
            <w:pPr>
              <w:pStyle w:val="Tablesmalltext"/>
              <w:rPr>
                <w:color w:val="auto"/>
              </w:rPr>
            </w:pPr>
            <w:r w:rsidRPr="009B5F08">
              <w:rPr>
                <w:color w:val="auto"/>
                <w:sz w:val="14"/>
                <w:szCs w:val="14"/>
              </w:rPr>
              <w:t>Powerlink Queensland</w:t>
            </w:r>
          </w:p>
        </w:tc>
        <w:tc>
          <w:tcPr>
            <w:tcW w:w="1036" w:type="dxa"/>
            <w:shd w:val="clear" w:color="auto" w:fill="auto"/>
            <w:tcMar>
              <w:top w:w="85" w:type="dxa"/>
              <w:left w:w="85" w:type="dxa"/>
              <w:bottom w:w="85" w:type="dxa"/>
              <w:right w:w="85" w:type="dxa"/>
            </w:tcMar>
            <w:vAlign w:val="center"/>
          </w:tcPr>
          <w:p w14:paraId="56469A7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75"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A76"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77"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A7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81" w14:textId="77777777" w:rsidTr="009B5F08">
        <w:trPr>
          <w:trHeight w:val="170"/>
        </w:trPr>
        <w:tc>
          <w:tcPr>
            <w:tcW w:w="295" w:type="dxa"/>
            <w:shd w:val="clear" w:color="auto" w:fill="auto"/>
            <w:tcMar>
              <w:top w:w="57" w:type="dxa"/>
              <w:left w:w="57" w:type="dxa"/>
              <w:bottom w:w="57" w:type="dxa"/>
              <w:right w:w="57" w:type="dxa"/>
            </w:tcMar>
          </w:tcPr>
          <w:p w14:paraId="56469A7A" w14:textId="77777777" w:rsidR="00BB2B23" w:rsidRPr="009B5F08" w:rsidRDefault="00BB2B23" w:rsidP="00F5693B">
            <w:pPr>
              <w:pStyle w:val="Tablesmalltext"/>
              <w:jc w:val="center"/>
              <w:rPr>
                <w:color w:val="auto"/>
              </w:rPr>
            </w:pPr>
            <w:r w:rsidRPr="009B5F08">
              <w:rPr>
                <w:color w:val="auto"/>
                <w:sz w:val="14"/>
                <w:szCs w:val="14"/>
              </w:rPr>
              <w:t>44</w:t>
            </w:r>
          </w:p>
        </w:tc>
        <w:tc>
          <w:tcPr>
            <w:tcW w:w="1844" w:type="dxa"/>
            <w:shd w:val="clear" w:color="auto" w:fill="auto"/>
            <w:tcMar>
              <w:top w:w="85" w:type="dxa"/>
              <w:left w:w="85" w:type="dxa"/>
              <w:bottom w:w="85" w:type="dxa"/>
              <w:right w:w="85" w:type="dxa"/>
            </w:tcMar>
          </w:tcPr>
          <w:p w14:paraId="56469A7B" w14:textId="77777777" w:rsidR="00BB2B23" w:rsidRPr="009B5F08" w:rsidRDefault="00BB2B23" w:rsidP="00F5693B">
            <w:pPr>
              <w:pStyle w:val="Tablesmalltext"/>
              <w:rPr>
                <w:color w:val="auto"/>
              </w:rPr>
            </w:pPr>
            <w:r w:rsidRPr="009B5F08">
              <w:rPr>
                <w:color w:val="auto"/>
                <w:sz w:val="14"/>
                <w:szCs w:val="14"/>
              </w:rPr>
              <w:t>RACCA—Refrigeration and Air Conditioning Contractors of Australia</w:t>
            </w:r>
          </w:p>
        </w:tc>
        <w:tc>
          <w:tcPr>
            <w:tcW w:w="1036" w:type="dxa"/>
            <w:shd w:val="clear" w:color="auto" w:fill="auto"/>
            <w:tcMar>
              <w:top w:w="85" w:type="dxa"/>
              <w:left w:w="85" w:type="dxa"/>
              <w:bottom w:w="85" w:type="dxa"/>
              <w:right w:w="85" w:type="dxa"/>
            </w:tcMar>
            <w:vAlign w:val="center"/>
          </w:tcPr>
          <w:p w14:paraId="56469A7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7D"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A7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7F" w14:textId="77777777" w:rsidR="00BB2B23" w:rsidRPr="009B5F08" w:rsidRDefault="00BB2B23" w:rsidP="00F5693B">
            <w:pPr>
              <w:pStyle w:val="Tablesmalltext"/>
              <w:jc w:val="center"/>
              <w:rPr>
                <w:color w:val="auto"/>
              </w:rPr>
            </w:pPr>
            <w:r w:rsidRPr="009B5F08">
              <w:rPr>
                <w:rStyle w:val="wingding"/>
                <w:color w:val="auto"/>
              </w:rPr>
              <w:t></w:t>
            </w:r>
          </w:p>
        </w:tc>
        <w:tc>
          <w:tcPr>
            <w:tcW w:w="2818" w:type="dxa"/>
            <w:shd w:val="clear" w:color="auto" w:fill="auto"/>
            <w:tcMar>
              <w:top w:w="85" w:type="dxa"/>
              <w:left w:w="85" w:type="dxa"/>
              <w:bottom w:w="85" w:type="dxa"/>
              <w:right w:w="85" w:type="dxa"/>
            </w:tcMar>
          </w:tcPr>
          <w:p w14:paraId="56469A8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89" w14:textId="77777777" w:rsidTr="009B5F08">
        <w:trPr>
          <w:trHeight w:val="170"/>
        </w:trPr>
        <w:tc>
          <w:tcPr>
            <w:tcW w:w="295" w:type="dxa"/>
            <w:shd w:val="clear" w:color="auto" w:fill="auto"/>
            <w:tcMar>
              <w:top w:w="57" w:type="dxa"/>
              <w:left w:w="57" w:type="dxa"/>
              <w:bottom w:w="57" w:type="dxa"/>
              <w:right w:w="57" w:type="dxa"/>
            </w:tcMar>
          </w:tcPr>
          <w:p w14:paraId="56469A82" w14:textId="77777777" w:rsidR="00BB2B23" w:rsidRPr="009B5F08" w:rsidRDefault="00BB2B23" w:rsidP="00F5693B">
            <w:pPr>
              <w:pStyle w:val="Tablesmalltext"/>
              <w:jc w:val="center"/>
              <w:rPr>
                <w:color w:val="auto"/>
              </w:rPr>
            </w:pPr>
            <w:r w:rsidRPr="009B5F08">
              <w:rPr>
                <w:color w:val="auto"/>
                <w:sz w:val="14"/>
                <w:szCs w:val="14"/>
              </w:rPr>
              <w:t>45</w:t>
            </w:r>
          </w:p>
        </w:tc>
        <w:tc>
          <w:tcPr>
            <w:tcW w:w="1844" w:type="dxa"/>
            <w:shd w:val="clear" w:color="auto" w:fill="auto"/>
            <w:tcMar>
              <w:top w:w="85" w:type="dxa"/>
              <w:left w:w="85" w:type="dxa"/>
              <w:bottom w:w="85" w:type="dxa"/>
              <w:right w:w="85" w:type="dxa"/>
            </w:tcMar>
          </w:tcPr>
          <w:p w14:paraId="56469A83" w14:textId="77777777" w:rsidR="00BB2B23" w:rsidRPr="009B5F08" w:rsidRDefault="00BB2B23" w:rsidP="00F5693B">
            <w:pPr>
              <w:pStyle w:val="Tablesmalltext"/>
              <w:rPr>
                <w:color w:val="auto"/>
              </w:rPr>
            </w:pPr>
            <w:r w:rsidRPr="009B5F08">
              <w:rPr>
                <w:color w:val="auto"/>
                <w:sz w:val="14"/>
                <w:szCs w:val="14"/>
              </w:rPr>
              <w:t>Refrigerant Reclaim Australia</w:t>
            </w:r>
          </w:p>
        </w:tc>
        <w:tc>
          <w:tcPr>
            <w:tcW w:w="1036" w:type="dxa"/>
            <w:shd w:val="clear" w:color="auto" w:fill="auto"/>
            <w:tcMar>
              <w:top w:w="85" w:type="dxa"/>
              <w:left w:w="85" w:type="dxa"/>
              <w:bottom w:w="85" w:type="dxa"/>
              <w:right w:w="85" w:type="dxa"/>
            </w:tcMar>
            <w:vAlign w:val="center"/>
          </w:tcPr>
          <w:p w14:paraId="56469A8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85"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A86" w14:textId="77777777" w:rsidR="00BB2B23" w:rsidRPr="009B5F08" w:rsidRDefault="00BB2B23" w:rsidP="00F5693B">
            <w:pPr>
              <w:pStyle w:val="Tablesmalltext"/>
              <w:jc w:val="center"/>
              <w:rPr>
                <w:color w:val="auto"/>
              </w:rPr>
            </w:pPr>
            <w:r w:rsidRPr="009B5F08">
              <w:rPr>
                <w:rStyle w:val="wingding"/>
                <w:color w:val="auto"/>
              </w:rPr>
              <w:t></w:t>
            </w:r>
          </w:p>
        </w:tc>
        <w:tc>
          <w:tcPr>
            <w:tcW w:w="1066" w:type="dxa"/>
            <w:shd w:val="clear" w:color="auto" w:fill="auto"/>
            <w:tcMar>
              <w:top w:w="85" w:type="dxa"/>
              <w:left w:w="85" w:type="dxa"/>
              <w:bottom w:w="85" w:type="dxa"/>
              <w:right w:w="85" w:type="dxa"/>
            </w:tcMar>
            <w:vAlign w:val="center"/>
          </w:tcPr>
          <w:p w14:paraId="56469A87" w14:textId="77777777" w:rsidR="00BB2B23" w:rsidRPr="009B5F08" w:rsidRDefault="00BB2B23" w:rsidP="00F5693B">
            <w:pPr>
              <w:pStyle w:val="Tablesmalltext"/>
              <w:jc w:val="center"/>
              <w:rPr>
                <w:color w:val="auto"/>
              </w:rPr>
            </w:pPr>
            <w:r w:rsidRPr="009B5F08">
              <w:rPr>
                <w:rStyle w:val="wingding"/>
                <w:color w:val="auto"/>
              </w:rPr>
              <w:t></w:t>
            </w:r>
          </w:p>
        </w:tc>
        <w:tc>
          <w:tcPr>
            <w:tcW w:w="2818" w:type="dxa"/>
            <w:shd w:val="clear" w:color="auto" w:fill="auto"/>
            <w:tcMar>
              <w:top w:w="85" w:type="dxa"/>
              <w:left w:w="85" w:type="dxa"/>
              <w:bottom w:w="85" w:type="dxa"/>
              <w:right w:w="85" w:type="dxa"/>
            </w:tcMar>
          </w:tcPr>
          <w:p w14:paraId="56469A8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91" w14:textId="77777777" w:rsidTr="009B5F08">
        <w:trPr>
          <w:trHeight w:val="170"/>
        </w:trPr>
        <w:tc>
          <w:tcPr>
            <w:tcW w:w="295" w:type="dxa"/>
            <w:shd w:val="clear" w:color="auto" w:fill="auto"/>
            <w:tcMar>
              <w:top w:w="57" w:type="dxa"/>
              <w:left w:w="57" w:type="dxa"/>
              <w:bottom w:w="57" w:type="dxa"/>
              <w:right w:w="57" w:type="dxa"/>
            </w:tcMar>
          </w:tcPr>
          <w:p w14:paraId="56469A8A" w14:textId="77777777" w:rsidR="00BB2B23" w:rsidRPr="009B5F08" w:rsidRDefault="00BB2B23" w:rsidP="00F5693B">
            <w:pPr>
              <w:pStyle w:val="Tablesmalltext"/>
              <w:jc w:val="center"/>
              <w:rPr>
                <w:color w:val="auto"/>
              </w:rPr>
            </w:pPr>
            <w:r w:rsidRPr="009B5F08">
              <w:rPr>
                <w:color w:val="auto"/>
                <w:sz w:val="14"/>
                <w:szCs w:val="14"/>
              </w:rPr>
              <w:t>46</w:t>
            </w:r>
          </w:p>
        </w:tc>
        <w:tc>
          <w:tcPr>
            <w:tcW w:w="1844" w:type="dxa"/>
            <w:shd w:val="clear" w:color="auto" w:fill="auto"/>
            <w:tcMar>
              <w:top w:w="85" w:type="dxa"/>
              <w:left w:w="85" w:type="dxa"/>
              <w:bottom w:w="85" w:type="dxa"/>
              <w:right w:w="85" w:type="dxa"/>
            </w:tcMar>
          </w:tcPr>
          <w:p w14:paraId="56469A8B" w14:textId="77777777" w:rsidR="00BB2B23" w:rsidRPr="009B5F08" w:rsidRDefault="00BB2B23" w:rsidP="00F5693B">
            <w:pPr>
              <w:pStyle w:val="Tablesmalltext"/>
              <w:rPr>
                <w:color w:val="auto"/>
              </w:rPr>
            </w:pPr>
            <w:r w:rsidRPr="009B5F08">
              <w:rPr>
                <w:color w:val="auto"/>
                <w:sz w:val="14"/>
                <w:szCs w:val="14"/>
              </w:rPr>
              <w:t>Refrigerants Australia</w:t>
            </w:r>
          </w:p>
        </w:tc>
        <w:tc>
          <w:tcPr>
            <w:tcW w:w="1036" w:type="dxa"/>
            <w:shd w:val="clear" w:color="auto" w:fill="auto"/>
            <w:tcMar>
              <w:top w:w="85" w:type="dxa"/>
              <w:left w:w="85" w:type="dxa"/>
              <w:bottom w:w="85" w:type="dxa"/>
              <w:right w:w="85" w:type="dxa"/>
            </w:tcMar>
            <w:vAlign w:val="center"/>
          </w:tcPr>
          <w:p w14:paraId="56469A8C" w14:textId="77777777" w:rsidR="00BB2B23" w:rsidRPr="009B5F08" w:rsidRDefault="00BB2B23" w:rsidP="00F5693B">
            <w:pPr>
              <w:pStyle w:val="Tablesmalltext"/>
              <w:jc w:val="center"/>
              <w:rPr>
                <w:color w:val="auto"/>
              </w:rPr>
            </w:pPr>
            <w:r w:rsidRPr="009B5F08">
              <w:rPr>
                <w:rStyle w:val="wingding"/>
                <w:color w:val="auto"/>
              </w:rPr>
              <w:t></w:t>
            </w:r>
          </w:p>
        </w:tc>
        <w:tc>
          <w:tcPr>
            <w:tcW w:w="992" w:type="dxa"/>
            <w:shd w:val="clear" w:color="auto" w:fill="auto"/>
            <w:tcMar>
              <w:top w:w="85" w:type="dxa"/>
              <w:left w:w="85" w:type="dxa"/>
              <w:bottom w:w="85" w:type="dxa"/>
              <w:right w:w="85" w:type="dxa"/>
            </w:tcMar>
            <w:vAlign w:val="center"/>
          </w:tcPr>
          <w:p w14:paraId="56469A8D"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A8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8F"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A9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99" w14:textId="77777777" w:rsidTr="009B5F08">
        <w:trPr>
          <w:trHeight w:val="170"/>
        </w:trPr>
        <w:tc>
          <w:tcPr>
            <w:tcW w:w="295" w:type="dxa"/>
            <w:shd w:val="clear" w:color="auto" w:fill="auto"/>
            <w:tcMar>
              <w:top w:w="57" w:type="dxa"/>
              <w:left w:w="57" w:type="dxa"/>
              <w:bottom w:w="57" w:type="dxa"/>
              <w:right w:w="57" w:type="dxa"/>
            </w:tcMar>
          </w:tcPr>
          <w:p w14:paraId="56469A92" w14:textId="77777777" w:rsidR="00BB2B23" w:rsidRPr="009B5F08" w:rsidRDefault="00BB2B23" w:rsidP="00F5693B">
            <w:pPr>
              <w:pStyle w:val="Tablesmalltext"/>
              <w:jc w:val="center"/>
              <w:rPr>
                <w:color w:val="auto"/>
              </w:rPr>
            </w:pPr>
            <w:r w:rsidRPr="009B5F08">
              <w:rPr>
                <w:color w:val="auto"/>
                <w:sz w:val="14"/>
                <w:szCs w:val="14"/>
              </w:rPr>
              <w:t>47</w:t>
            </w:r>
          </w:p>
        </w:tc>
        <w:tc>
          <w:tcPr>
            <w:tcW w:w="1844" w:type="dxa"/>
            <w:shd w:val="clear" w:color="auto" w:fill="auto"/>
            <w:tcMar>
              <w:top w:w="85" w:type="dxa"/>
              <w:left w:w="85" w:type="dxa"/>
              <w:bottom w:w="85" w:type="dxa"/>
              <w:right w:w="85" w:type="dxa"/>
            </w:tcMar>
          </w:tcPr>
          <w:p w14:paraId="56469A93" w14:textId="77777777" w:rsidR="00BB2B23" w:rsidRPr="009B5F08" w:rsidRDefault="00BB2B23" w:rsidP="00F5693B">
            <w:pPr>
              <w:pStyle w:val="Tablesmalltext"/>
              <w:rPr>
                <w:color w:val="auto"/>
              </w:rPr>
            </w:pPr>
            <w:r w:rsidRPr="009B5F08">
              <w:rPr>
                <w:color w:val="auto"/>
                <w:sz w:val="14"/>
                <w:szCs w:val="14"/>
              </w:rPr>
              <w:t>Scantec—Manufacturer</w:t>
            </w:r>
          </w:p>
        </w:tc>
        <w:tc>
          <w:tcPr>
            <w:tcW w:w="1036" w:type="dxa"/>
            <w:shd w:val="clear" w:color="auto" w:fill="auto"/>
            <w:tcMar>
              <w:top w:w="85" w:type="dxa"/>
              <w:left w:w="85" w:type="dxa"/>
              <w:bottom w:w="85" w:type="dxa"/>
              <w:right w:w="85" w:type="dxa"/>
            </w:tcMar>
            <w:vAlign w:val="center"/>
          </w:tcPr>
          <w:p w14:paraId="56469A9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95"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A96"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97"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A9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A1" w14:textId="77777777" w:rsidTr="009B5F08">
        <w:trPr>
          <w:trHeight w:val="170"/>
        </w:trPr>
        <w:tc>
          <w:tcPr>
            <w:tcW w:w="295" w:type="dxa"/>
            <w:shd w:val="clear" w:color="auto" w:fill="auto"/>
            <w:tcMar>
              <w:top w:w="57" w:type="dxa"/>
              <w:left w:w="57" w:type="dxa"/>
              <w:bottom w:w="57" w:type="dxa"/>
              <w:right w:w="57" w:type="dxa"/>
            </w:tcMar>
          </w:tcPr>
          <w:p w14:paraId="56469A9A" w14:textId="77777777" w:rsidR="00BB2B23" w:rsidRPr="009B5F08" w:rsidRDefault="00BB2B23" w:rsidP="00F5693B">
            <w:pPr>
              <w:pStyle w:val="Tablesmalltext"/>
              <w:jc w:val="center"/>
              <w:rPr>
                <w:color w:val="auto"/>
              </w:rPr>
            </w:pPr>
            <w:r w:rsidRPr="009B5F08">
              <w:rPr>
                <w:color w:val="auto"/>
                <w:sz w:val="14"/>
                <w:szCs w:val="14"/>
              </w:rPr>
              <w:t>48</w:t>
            </w:r>
          </w:p>
        </w:tc>
        <w:tc>
          <w:tcPr>
            <w:tcW w:w="1844" w:type="dxa"/>
            <w:shd w:val="clear" w:color="auto" w:fill="auto"/>
            <w:tcMar>
              <w:top w:w="85" w:type="dxa"/>
              <w:left w:w="85" w:type="dxa"/>
              <w:bottom w:w="85" w:type="dxa"/>
              <w:right w:w="85" w:type="dxa"/>
            </w:tcMar>
          </w:tcPr>
          <w:p w14:paraId="56469A9B" w14:textId="77777777" w:rsidR="00BB2B23" w:rsidRPr="009B5F08" w:rsidRDefault="00BB2B23" w:rsidP="00F5693B">
            <w:pPr>
              <w:pStyle w:val="Tablesmalltext"/>
              <w:rPr>
                <w:color w:val="auto"/>
              </w:rPr>
            </w:pPr>
            <w:r w:rsidRPr="009B5F08">
              <w:rPr>
                <w:color w:val="auto"/>
                <w:sz w:val="14"/>
                <w:szCs w:val="14"/>
              </w:rPr>
              <w:t>Shecco</w:t>
            </w:r>
          </w:p>
        </w:tc>
        <w:tc>
          <w:tcPr>
            <w:tcW w:w="1036" w:type="dxa"/>
            <w:shd w:val="clear" w:color="auto" w:fill="auto"/>
            <w:tcMar>
              <w:top w:w="85" w:type="dxa"/>
              <w:left w:w="85" w:type="dxa"/>
              <w:bottom w:w="85" w:type="dxa"/>
              <w:right w:w="85" w:type="dxa"/>
            </w:tcMar>
            <w:vAlign w:val="center"/>
          </w:tcPr>
          <w:p w14:paraId="56469A9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9D"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A9E" w14:textId="77777777" w:rsidR="00BB2B23" w:rsidRPr="009B5F08" w:rsidRDefault="00BB2B23" w:rsidP="00F5693B">
            <w:pPr>
              <w:pStyle w:val="Tablesmalltext"/>
              <w:jc w:val="center"/>
              <w:rPr>
                <w:color w:val="auto"/>
              </w:rPr>
            </w:pPr>
            <w:r w:rsidRPr="009B5F08">
              <w:rPr>
                <w:rStyle w:val="wingding"/>
                <w:color w:val="auto"/>
              </w:rPr>
              <w:t></w:t>
            </w:r>
          </w:p>
        </w:tc>
        <w:tc>
          <w:tcPr>
            <w:tcW w:w="1066" w:type="dxa"/>
            <w:shd w:val="clear" w:color="auto" w:fill="auto"/>
            <w:tcMar>
              <w:top w:w="85" w:type="dxa"/>
              <w:left w:w="85" w:type="dxa"/>
              <w:bottom w:w="85" w:type="dxa"/>
              <w:right w:w="85" w:type="dxa"/>
            </w:tcMar>
            <w:vAlign w:val="center"/>
          </w:tcPr>
          <w:p w14:paraId="56469A9F" w14:textId="77777777" w:rsidR="00BB2B23" w:rsidRPr="009B5F08" w:rsidRDefault="00BB2B23" w:rsidP="00F5693B">
            <w:pPr>
              <w:pStyle w:val="Tablesmalltext"/>
              <w:jc w:val="center"/>
              <w:rPr>
                <w:color w:val="auto"/>
              </w:rPr>
            </w:pPr>
            <w:r w:rsidRPr="009B5F08">
              <w:rPr>
                <w:rStyle w:val="wingding"/>
                <w:color w:val="auto"/>
              </w:rPr>
              <w:t></w:t>
            </w:r>
          </w:p>
        </w:tc>
        <w:tc>
          <w:tcPr>
            <w:tcW w:w="2818" w:type="dxa"/>
            <w:shd w:val="clear" w:color="auto" w:fill="auto"/>
            <w:tcMar>
              <w:top w:w="85" w:type="dxa"/>
              <w:left w:w="85" w:type="dxa"/>
              <w:bottom w:w="85" w:type="dxa"/>
              <w:right w:w="85" w:type="dxa"/>
            </w:tcMar>
          </w:tcPr>
          <w:p w14:paraId="56469AA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A9" w14:textId="77777777" w:rsidTr="009B5F08">
        <w:trPr>
          <w:trHeight w:val="170"/>
        </w:trPr>
        <w:tc>
          <w:tcPr>
            <w:tcW w:w="295" w:type="dxa"/>
            <w:shd w:val="clear" w:color="auto" w:fill="auto"/>
            <w:tcMar>
              <w:top w:w="57" w:type="dxa"/>
              <w:left w:w="57" w:type="dxa"/>
              <w:bottom w:w="57" w:type="dxa"/>
              <w:right w:w="57" w:type="dxa"/>
            </w:tcMar>
          </w:tcPr>
          <w:p w14:paraId="56469AA2" w14:textId="77777777" w:rsidR="00BB2B23" w:rsidRPr="009B5F08" w:rsidRDefault="00BB2B23" w:rsidP="00F5693B">
            <w:pPr>
              <w:pStyle w:val="Tablesmalltext"/>
              <w:jc w:val="center"/>
              <w:rPr>
                <w:color w:val="auto"/>
              </w:rPr>
            </w:pPr>
            <w:r w:rsidRPr="009B5F08">
              <w:rPr>
                <w:color w:val="auto"/>
                <w:sz w:val="14"/>
                <w:szCs w:val="14"/>
              </w:rPr>
              <w:t>49</w:t>
            </w:r>
          </w:p>
        </w:tc>
        <w:tc>
          <w:tcPr>
            <w:tcW w:w="1844" w:type="dxa"/>
            <w:shd w:val="clear" w:color="auto" w:fill="auto"/>
            <w:tcMar>
              <w:top w:w="85" w:type="dxa"/>
              <w:left w:w="85" w:type="dxa"/>
              <w:bottom w:w="85" w:type="dxa"/>
              <w:right w:w="85" w:type="dxa"/>
            </w:tcMar>
          </w:tcPr>
          <w:p w14:paraId="56469AA3" w14:textId="77777777" w:rsidR="00BB2B23" w:rsidRPr="009B5F08" w:rsidRDefault="00BB2B23" w:rsidP="00F5693B">
            <w:pPr>
              <w:pStyle w:val="Tablesmalltext"/>
              <w:rPr>
                <w:color w:val="auto"/>
              </w:rPr>
            </w:pPr>
            <w:r w:rsidRPr="009B5F08">
              <w:rPr>
                <w:color w:val="auto"/>
                <w:sz w:val="14"/>
                <w:szCs w:val="14"/>
              </w:rPr>
              <w:t>The Chemours Company</w:t>
            </w:r>
          </w:p>
        </w:tc>
        <w:tc>
          <w:tcPr>
            <w:tcW w:w="1036" w:type="dxa"/>
            <w:shd w:val="clear" w:color="auto" w:fill="auto"/>
            <w:tcMar>
              <w:top w:w="85" w:type="dxa"/>
              <w:left w:w="85" w:type="dxa"/>
              <w:bottom w:w="85" w:type="dxa"/>
              <w:right w:w="85" w:type="dxa"/>
            </w:tcMar>
            <w:vAlign w:val="center"/>
          </w:tcPr>
          <w:p w14:paraId="56469AA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A5"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AA6"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A7"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AA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B1" w14:textId="77777777" w:rsidTr="009B5F08">
        <w:trPr>
          <w:trHeight w:val="170"/>
        </w:trPr>
        <w:tc>
          <w:tcPr>
            <w:tcW w:w="295" w:type="dxa"/>
            <w:shd w:val="clear" w:color="auto" w:fill="auto"/>
            <w:tcMar>
              <w:top w:w="57" w:type="dxa"/>
              <w:left w:w="57" w:type="dxa"/>
              <w:bottom w:w="57" w:type="dxa"/>
              <w:right w:w="57" w:type="dxa"/>
            </w:tcMar>
          </w:tcPr>
          <w:p w14:paraId="56469AAA" w14:textId="77777777" w:rsidR="00BB2B23" w:rsidRPr="009B5F08" w:rsidRDefault="00BB2B23" w:rsidP="00F5693B">
            <w:pPr>
              <w:pStyle w:val="Tablesmalltext"/>
              <w:jc w:val="center"/>
              <w:rPr>
                <w:color w:val="auto"/>
              </w:rPr>
            </w:pPr>
            <w:r w:rsidRPr="009B5F08">
              <w:rPr>
                <w:color w:val="auto"/>
                <w:sz w:val="14"/>
                <w:szCs w:val="14"/>
              </w:rPr>
              <w:t>50</w:t>
            </w:r>
          </w:p>
        </w:tc>
        <w:tc>
          <w:tcPr>
            <w:tcW w:w="1844" w:type="dxa"/>
            <w:shd w:val="clear" w:color="auto" w:fill="auto"/>
            <w:tcMar>
              <w:top w:w="85" w:type="dxa"/>
              <w:left w:w="85" w:type="dxa"/>
              <w:bottom w:w="85" w:type="dxa"/>
              <w:right w:w="85" w:type="dxa"/>
            </w:tcMar>
          </w:tcPr>
          <w:p w14:paraId="56469AAB" w14:textId="77777777" w:rsidR="00BB2B23" w:rsidRPr="009B5F08" w:rsidRDefault="00BB2B23" w:rsidP="00F5693B">
            <w:pPr>
              <w:pStyle w:val="Tablesmalltext"/>
              <w:rPr>
                <w:color w:val="auto"/>
              </w:rPr>
            </w:pPr>
            <w:r w:rsidRPr="009B5F08">
              <w:rPr>
                <w:color w:val="auto"/>
                <w:sz w:val="14"/>
                <w:szCs w:val="14"/>
              </w:rPr>
              <w:t>Truck Industry Council</w:t>
            </w:r>
          </w:p>
        </w:tc>
        <w:tc>
          <w:tcPr>
            <w:tcW w:w="1036" w:type="dxa"/>
            <w:shd w:val="clear" w:color="auto" w:fill="auto"/>
            <w:tcMar>
              <w:top w:w="85" w:type="dxa"/>
              <w:left w:w="85" w:type="dxa"/>
              <w:bottom w:w="85" w:type="dxa"/>
              <w:right w:w="85" w:type="dxa"/>
            </w:tcMar>
            <w:vAlign w:val="center"/>
          </w:tcPr>
          <w:p w14:paraId="56469AA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AD"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AA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AF"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AB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B9" w14:textId="77777777" w:rsidTr="009B5F08">
        <w:trPr>
          <w:trHeight w:val="170"/>
        </w:trPr>
        <w:tc>
          <w:tcPr>
            <w:tcW w:w="295" w:type="dxa"/>
            <w:shd w:val="clear" w:color="auto" w:fill="auto"/>
            <w:tcMar>
              <w:top w:w="57" w:type="dxa"/>
              <w:left w:w="57" w:type="dxa"/>
              <w:bottom w:w="57" w:type="dxa"/>
              <w:right w:w="57" w:type="dxa"/>
            </w:tcMar>
          </w:tcPr>
          <w:p w14:paraId="56469AB2" w14:textId="77777777" w:rsidR="00BB2B23" w:rsidRPr="009B5F08" w:rsidRDefault="00BB2B23" w:rsidP="00F5693B">
            <w:pPr>
              <w:pStyle w:val="Tablesmalltext"/>
              <w:jc w:val="center"/>
              <w:rPr>
                <w:color w:val="auto"/>
              </w:rPr>
            </w:pPr>
            <w:r w:rsidRPr="009B5F08">
              <w:rPr>
                <w:color w:val="auto"/>
                <w:sz w:val="14"/>
                <w:szCs w:val="14"/>
              </w:rPr>
              <w:t>51</w:t>
            </w:r>
          </w:p>
        </w:tc>
        <w:tc>
          <w:tcPr>
            <w:tcW w:w="1844" w:type="dxa"/>
            <w:shd w:val="clear" w:color="auto" w:fill="auto"/>
            <w:tcMar>
              <w:top w:w="85" w:type="dxa"/>
              <w:left w:w="85" w:type="dxa"/>
              <w:bottom w:w="85" w:type="dxa"/>
              <w:right w:w="85" w:type="dxa"/>
            </w:tcMar>
          </w:tcPr>
          <w:p w14:paraId="56469AB3" w14:textId="77777777" w:rsidR="00BB2B23" w:rsidRPr="009B5F08" w:rsidRDefault="00BB2B23" w:rsidP="00F5693B">
            <w:pPr>
              <w:pStyle w:val="Tablesmalltext"/>
              <w:rPr>
                <w:color w:val="auto"/>
              </w:rPr>
            </w:pPr>
            <w:r w:rsidRPr="009B5F08">
              <w:rPr>
                <w:color w:val="auto"/>
                <w:sz w:val="14"/>
                <w:szCs w:val="14"/>
              </w:rPr>
              <w:t>True Food International</w:t>
            </w:r>
          </w:p>
        </w:tc>
        <w:tc>
          <w:tcPr>
            <w:tcW w:w="1036" w:type="dxa"/>
            <w:shd w:val="clear" w:color="auto" w:fill="auto"/>
            <w:tcMar>
              <w:top w:w="85" w:type="dxa"/>
              <w:left w:w="85" w:type="dxa"/>
              <w:bottom w:w="85" w:type="dxa"/>
              <w:right w:w="85" w:type="dxa"/>
            </w:tcMar>
            <w:vAlign w:val="center"/>
          </w:tcPr>
          <w:p w14:paraId="56469AB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B5"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AB6" w14:textId="77777777" w:rsidR="00BB2B23" w:rsidRPr="009B5F08" w:rsidRDefault="00BB2B23" w:rsidP="00F5693B">
            <w:pPr>
              <w:pStyle w:val="Tablesmalltext"/>
              <w:jc w:val="center"/>
              <w:rPr>
                <w:color w:val="auto"/>
              </w:rPr>
            </w:pPr>
            <w:r w:rsidRPr="009B5F08">
              <w:rPr>
                <w:rStyle w:val="wingding"/>
                <w:color w:val="auto"/>
              </w:rPr>
              <w:t></w:t>
            </w:r>
          </w:p>
        </w:tc>
        <w:tc>
          <w:tcPr>
            <w:tcW w:w="1066" w:type="dxa"/>
            <w:shd w:val="clear" w:color="auto" w:fill="auto"/>
            <w:tcMar>
              <w:top w:w="85" w:type="dxa"/>
              <w:left w:w="85" w:type="dxa"/>
              <w:bottom w:w="85" w:type="dxa"/>
              <w:right w:w="85" w:type="dxa"/>
            </w:tcMar>
            <w:vAlign w:val="center"/>
          </w:tcPr>
          <w:p w14:paraId="56469AB7"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AB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C1" w14:textId="77777777" w:rsidTr="009B5F08">
        <w:trPr>
          <w:trHeight w:val="170"/>
        </w:trPr>
        <w:tc>
          <w:tcPr>
            <w:tcW w:w="295" w:type="dxa"/>
            <w:shd w:val="clear" w:color="auto" w:fill="auto"/>
            <w:tcMar>
              <w:top w:w="57" w:type="dxa"/>
              <w:left w:w="57" w:type="dxa"/>
              <w:bottom w:w="57" w:type="dxa"/>
              <w:right w:w="57" w:type="dxa"/>
            </w:tcMar>
          </w:tcPr>
          <w:p w14:paraId="56469ABA" w14:textId="77777777" w:rsidR="00BB2B23" w:rsidRPr="009B5F08" w:rsidRDefault="00BB2B23" w:rsidP="00F5693B">
            <w:pPr>
              <w:pStyle w:val="Tablesmalltext"/>
              <w:jc w:val="center"/>
              <w:rPr>
                <w:color w:val="auto"/>
              </w:rPr>
            </w:pPr>
            <w:r w:rsidRPr="009B5F08">
              <w:rPr>
                <w:color w:val="auto"/>
                <w:sz w:val="14"/>
                <w:szCs w:val="14"/>
              </w:rPr>
              <w:t>52</w:t>
            </w:r>
          </w:p>
        </w:tc>
        <w:tc>
          <w:tcPr>
            <w:tcW w:w="1844" w:type="dxa"/>
            <w:shd w:val="clear" w:color="auto" w:fill="auto"/>
            <w:tcMar>
              <w:top w:w="85" w:type="dxa"/>
              <w:left w:w="85" w:type="dxa"/>
              <w:bottom w:w="85" w:type="dxa"/>
              <w:right w:w="85" w:type="dxa"/>
            </w:tcMar>
          </w:tcPr>
          <w:p w14:paraId="56469ABB" w14:textId="77777777" w:rsidR="00BB2B23" w:rsidRPr="009B5F08" w:rsidRDefault="00BB2B23" w:rsidP="00F5693B">
            <w:pPr>
              <w:pStyle w:val="Tablesmalltext"/>
              <w:rPr>
                <w:color w:val="auto"/>
              </w:rPr>
            </w:pPr>
            <w:r w:rsidRPr="009B5F08">
              <w:rPr>
                <w:color w:val="auto"/>
                <w:sz w:val="14"/>
                <w:szCs w:val="14"/>
              </w:rPr>
              <w:t>TYCO</w:t>
            </w:r>
          </w:p>
        </w:tc>
        <w:tc>
          <w:tcPr>
            <w:tcW w:w="1036" w:type="dxa"/>
            <w:shd w:val="clear" w:color="auto" w:fill="auto"/>
            <w:tcMar>
              <w:top w:w="85" w:type="dxa"/>
              <w:left w:w="85" w:type="dxa"/>
              <w:bottom w:w="85" w:type="dxa"/>
              <w:right w:w="85" w:type="dxa"/>
            </w:tcMar>
            <w:vAlign w:val="center"/>
          </w:tcPr>
          <w:p w14:paraId="56469AB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BD"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AB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BF" w14:textId="77777777" w:rsidR="00BB2B23" w:rsidRPr="009B5F08" w:rsidRDefault="00BB2B23" w:rsidP="00F5693B">
            <w:pPr>
              <w:pStyle w:val="Tablesmalltext"/>
              <w:jc w:val="center"/>
              <w:rPr>
                <w:color w:val="auto"/>
              </w:rPr>
            </w:pPr>
            <w:r w:rsidRPr="009B5F08">
              <w:rPr>
                <w:rStyle w:val="wingding"/>
                <w:color w:val="auto"/>
              </w:rPr>
              <w:t></w:t>
            </w:r>
          </w:p>
        </w:tc>
        <w:tc>
          <w:tcPr>
            <w:tcW w:w="2818" w:type="dxa"/>
            <w:shd w:val="clear" w:color="auto" w:fill="auto"/>
            <w:tcMar>
              <w:top w:w="85" w:type="dxa"/>
              <w:left w:w="85" w:type="dxa"/>
              <w:bottom w:w="85" w:type="dxa"/>
              <w:right w:w="85" w:type="dxa"/>
            </w:tcMar>
          </w:tcPr>
          <w:p w14:paraId="56469AC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C9" w14:textId="77777777" w:rsidTr="009B5F08">
        <w:trPr>
          <w:trHeight w:val="170"/>
        </w:trPr>
        <w:tc>
          <w:tcPr>
            <w:tcW w:w="295" w:type="dxa"/>
            <w:shd w:val="clear" w:color="auto" w:fill="auto"/>
            <w:tcMar>
              <w:top w:w="57" w:type="dxa"/>
              <w:left w:w="57" w:type="dxa"/>
              <w:bottom w:w="57" w:type="dxa"/>
              <w:right w:w="57" w:type="dxa"/>
            </w:tcMar>
          </w:tcPr>
          <w:p w14:paraId="56469AC2" w14:textId="77777777" w:rsidR="00BB2B23" w:rsidRPr="009B5F08" w:rsidRDefault="00BB2B23" w:rsidP="00F5693B">
            <w:pPr>
              <w:pStyle w:val="Tablesmalltext"/>
              <w:jc w:val="center"/>
              <w:rPr>
                <w:color w:val="auto"/>
              </w:rPr>
            </w:pPr>
            <w:r w:rsidRPr="009B5F08">
              <w:rPr>
                <w:color w:val="auto"/>
                <w:sz w:val="14"/>
                <w:szCs w:val="14"/>
              </w:rPr>
              <w:lastRenderedPageBreak/>
              <w:t>53</w:t>
            </w:r>
          </w:p>
        </w:tc>
        <w:tc>
          <w:tcPr>
            <w:tcW w:w="1844" w:type="dxa"/>
            <w:shd w:val="clear" w:color="auto" w:fill="auto"/>
            <w:tcMar>
              <w:top w:w="85" w:type="dxa"/>
              <w:left w:w="85" w:type="dxa"/>
              <w:bottom w:w="85" w:type="dxa"/>
              <w:right w:w="85" w:type="dxa"/>
            </w:tcMar>
          </w:tcPr>
          <w:p w14:paraId="56469AC3" w14:textId="77777777" w:rsidR="00BB2B23" w:rsidRPr="009B5F08" w:rsidRDefault="00BB2B23" w:rsidP="00F5693B">
            <w:pPr>
              <w:pStyle w:val="Tablesmalltext"/>
              <w:rPr>
                <w:color w:val="auto"/>
              </w:rPr>
            </w:pPr>
            <w:r w:rsidRPr="009B5F08">
              <w:rPr>
                <w:color w:val="auto"/>
                <w:sz w:val="14"/>
                <w:szCs w:val="14"/>
              </w:rPr>
              <w:t>UTC Building &amp; Industrial Systems</w:t>
            </w:r>
          </w:p>
        </w:tc>
        <w:tc>
          <w:tcPr>
            <w:tcW w:w="1036" w:type="dxa"/>
            <w:shd w:val="clear" w:color="auto" w:fill="auto"/>
            <w:tcMar>
              <w:top w:w="85" w:type="dxa"/>
              <w:left w:w="85" w:type="dxa"/>
              <w:bottom w:w="85" w:type="dxa"/>
              <w:right w:w="85" w:type="dxa"/>
            </w:tcMar>
            <w:vAlign w:val="center"/>
          </w:tcPr>
          <w:p w14:paraId="56469AC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C5"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AC6" w14:textId="77777777" w:rsidR="00BB2B23" w:rsidRPr="009B5F08" w:rsidRDefault="00BB2B23" w:rsidP="00F5693B">
            <w:pPr>
              <w:pStyle w:val="Tablesmalltext"/>
              <w:jc w:val="center"/>
              <w:rPr>
                <w:color w:val="auto"/>
              </w:rPr>
            </w:pPr>
            <w:r w:rsidRPr="009B5F08">
              <w:rPr>
                <w:rStyle w:val="wingding"/>
                <w:color w:val="auto"/>
              </w:rPr>
              <w:t></w:t>
            </w:r>
          </w:p>
        </w:tc>
        <w:tc>
          <w:tcPr>
            <w:tcW w:w="1066" w:type="dxa"/>
            <w:shd w:val="clear" w:color="auto" w:fill="auto"/>
            <w:tcMar>
              <w:top w:w="85" w:type="dxa"/>
              <w:left w:w="85" w:type="dxa"/>
              <w:bottom w:w="85" w:type="dxa"/>
              <w:right w:w="85" w:type="dxa"/>
            </w:tcMar>
            <w:vAlign w:val="center"/>
          </w:tcPr>
          <w:p w14:paraId="56469AC7" w14:textId="77777777" w:rsidR="00BB2B23" w:rsidRPr="009B5F08" w:rsidRDefault="00BB2B23" w:rsidP="00F5693B">
            <w:pPr>
              <w:pStyle w:val="Tablesmalltext"/>
              <w:jc w:val="center"/>
              <w:rPr>
                <w:color w:val="auto"/>
              </w:rPr>
            </w:pPr>
            <w:r w:rsidRPr="009B5F08">
              <w:rPr>
                <w:rStyle w:val="wingding"/>
                <w:color w:val="auto"/>
              </w:rPr>
              <w:t></w:t>
            </w:r>
          </w:p>
        </w:tc>
        <w:tc>
          <w:tcPr>
            <w:tcW w:w="2818" w:type="dxa"/>
            <w:shd w:val="clear" w:color="auto" w:fill="auto"/>
            <w:tcMar>
              <w:top w:w="85" w:type="dxa"/>
              <w:left w:w="85" w:type="dxa"/>
              <w:bottom w:w="85" w:type="dxa"/>
              <w:right w:w="85" w:type="dxa"/>
            </w:tcMar>
          </w:tcPr>
          <w:p w14:paraId="56469AC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D1" w14:textId="77777777" w:rsidTr="009B5F08">
        <w:trPr>
          <w:trHeight w:val="170"/>
        </w:trPr>
        <w:tc>
          <w:tcPr>
            <w:tcW w:w="295" w:type="dxa"/>
            <w:shd w:val="clear" w:color="auto" w:fill="auto"/>
            <w:tcMar>
              <w:top w:w="57" w:type="dxa"/>
              <w:left w:w="57" w:type="dxa"/>
              <w:bottom w:w="57" w:type="dxa"/>
              <w:right w:w="57" w:type="dxa"/>
            </w:tcMar>
          </w:tcPr>
          <w:p w14:paraId="56469ACA" w14:textId="77777777" w:rsidR="00BB2B23" w:rsidRPr="009B5F08" w:rsidRDefault="00BB2B23" w:rsidP="00F5693B">
            <w:pPr>
              <w:pStyle w:val="Tablesmalltext"/>
              <w:jc w:val="center"/>
              <w:rPr>
                <w:color w:val="auto"/>
              </w:rPr>
            </w:pPr>
            <w:r w:rsidRPr="009B5F08">
              <w:rPr>
                <w:color w:val="auto"/>
                <w:sz w:val="14"/>
                <w:szCs w:val="14"/>
              </w:rPr>
              <w:t>54</w:t>
            </w:r>
          </w:p>
        </w:tc>
        <w:tc>
          <w:tcPr>
            <w:tcW w:w="1844" w:type="dxa"/>
            <w:shd w:val="clear" w:color="auto" w:fill="auto"/>
            <w:tcMar>
              <w:top w:w="85" w:type="dxa"/>
              <w:left w:w="85" w:type="dxa"/>
              <w:bottom w:w="85" w:type="dxa"/>
              <w:right w:w="85" w:type="dxa"/>
            </w:tcMar>
          </w:tcPr>
          <w:p w14:paraId="56469ACB" w14:textId="77777777" w:rsidR="00BB2B23" w:rsidRPr="009B5F08" w:rsidRDefault="00BB2B23" w:rsidP="00F5693B">
            <w:pPr>
              <w:pStyle w:val="Tablesmalltext"/>
              <w:rPr>
                <w:color w:val="auto"/>
              </w:rPr>
            </w:pPr>
            <w:r w:rsidRPr="009B5F08">
              <w:rPr>
                <w:color w:val="auto"/>
                <w:sz w:val="14"/>
                <w:szCs w:val="14"/>
              </w:rPr>
              <w:t>VACC—Victorian Automobile Chamber of Commerce</w:t>
            </w:r>
          </w:p>
        </w:tc>
        <w:tc>
          <w:tcPr>
            <w:tcW w:w="1036" w:type="dxa"/>
            <w:shd w:val="clear" w:color="auto" w:fill="auto"/>
            <w:tcMar>
              <w:top w:w="85" w:type="dxa"/>
              <w:left w:w="85" w:type="dxa"/>
              <w:bottom w:w="85" w:type="dxa"/>
              <w:right w:w="85" w:type="dxa"/>
            </w:tcMar>
            <w:vAlign w:val="center"/>
          </w:tcPr>
          <w:p w14:paraId="56469AC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CD"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AC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CF"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AD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D9" w14:textId="77777777" w:rsidTr="009B5F08">
        <w:trPr>
          <w:trHeight w:val="170"/>
        </w:trPr>
        <w:tc>
          <w:tcPr>
            <w:tcW w:w="295" w:type="dxa"/>
            <w:shd w:val="clear" w:color="auto" w:fill="auto"/>
            <w:tcMar>
              <w:top w:w="57" w:type="dxa"/>
              <w:left w:w="57" w:type="dxa"/>
              <w:bottom w:w="57" w:type="dxa"/>
              <w:right w:w="57" w:type="dxa"/>
            </w:tcMar>
          </w:tcPr>
          <w:p w14:paraId="56469AD2" w14:textId="77777777" w:rsidR="00BB2B23" w:rsidRPr="009B5F08" w:rsidRDefault="00BB2B23" w:rsidP="00F5693B">
            <w:pPr>
              <w:pStyle w:val="Tablesmalltext"/>
              <w:jc w:val="center"/>
              <w:rPr>
                <w:color w:val="auto"/>
              </w:rPr>
            </w:pPr>
            <w:r w:rsidRPr="009B5F08">
              <w:rPr>
                <w:color w:val="auto"/>
                <w:sz w:val="14"/>
                <w:szCs w:val="14"/>
              </w:rPr>
              <w:t>55</w:t>
            </w:r>
          </w:p>
        </w:tc>
        <w:tc>
          <w:tcPr>
            <w:tcW w:w="1844" w:type="dxa"/>
            <w:shd w:val="clear" w:color="auto" w:fill="auto"/>
            <w:tcMar>
              <w:top w:w="85" w:type="dxa"/>
              <w:left w:w="85" w:type="dxa"/>
              <w:bottom w:w="85" w:type="dxa"/>
              <w:right w:w="85" w:type="dxa"/>
            </w:tcMar>
          </w:tcPr>
          <w:p w14:paraId="56469AD3" w14:textId="77777777" w:rsidR="00BB2B23" w:rsidRPr="009B5F08" w:rsidRDefault="00BB2B23" w:rsidP="00F5693B">
            <w:pPr>
              <w:pStyle w:val="Tablesmalltext"/>
              <w:rPr>
                <w:color w:val="auto"/>
              </w:rPr>
            </w:pPr>
            <w:r w:rsidRPr="009B5F08">
              <w:rPr>
                <w:color w:val="auto"/>
                <w:sz w:val="14"/>
                <w:szCs w:val="14"/>
              </w:rPr>
              <w:t>VASA—Automotive Air conditioning, Electrical and Cooling Technicians of Australasia</w:t>
            </w:r>
          </w:p>
        </w:tc>
        <w:tc>
          <w:tcPr>
            <w:tcW w:w="1036" w:type="dxa"/>
            <w:shd w:val="clear" w:color="auto" w:fill="auto"/>
            <w:tcMar>
              <w:top w:w="85" w:type="dxa"/>
              <w:left w:w="85" w:type="dxa"/>
              <w:bottom w:w="85" w:type="dxa"/>
              <w:right w:w="85" w:type="dxa"/>
            </w:tcMar>
            <w:vAlign w:val="center"/>
          </w:tcPr>
          <w:p w14:paraId="56469AD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D5" w14:textId="77777777" w:rsidR="00BB2B23" w:rsidRPr="009B5F08" w:rsidRDefault="00BB2B23" w:rsidP="00F5693B">
            <w:pPr>
              <w:pStyle w:val="Tablesmalltext"/>
              <w:jc w:val="center"/>
              <w:rPr>
                <w:color w:val="auto"/>
              </w:rPr>
            </w:pPr>
            <w:r w:rsidRPr="009B5F08">
              <w:rPr>
                <w:rStyle w:val="wingding"/>
                <w:color w:val="auto"/>
              </w:rPr>
              <w:t></w:t>
            </w:r>
          </w:p>
        </w:tc>
        <w:tc>
          <w:tcPr>
            <w:tcW w:w="890" w:type="dxa"/>
            <w:shd w:val="clear" w:color="auto" w:fill="auto"/>
            <w:tcMar>
              <w:top w:w="85" w:type="dxa"/>
              <w:left w:w="85" w:type="dxa"/>
              <w:bottom w:w="85" w:type="dxa"/>
              <w:right w:w="85" w:type="dxa"/>
            </w:tcMar>
            <w:vAlign w:val="center"/>
          </w:tcPr>
          <w:p w14:paraId="56469AD6"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D7"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AD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E1" w14:textId="77777777" w:rsidTr="009B5F08">
        <w:trPr>
          <w:trHeight w:val="170"/>
        </w:trPr>
        <w:tc>
          <w:tcPr>
            <w:tcW w:w="295" w:type="dxa"/>
            <w:shd w:val="clear" w:color="auto" w:fill="auto"/>
            <w:tcMar>
              <w:top w:w="57" w:type="dxa"/>
              <w:left w:w="57" w:type="dxa"/>
              <w:bottom w:w="57" w:type="dxa"/>
              <w:right w:w="57" w:type="dxa"/>
            </w:tcMar>
          </w:tcPr>
          <w:p w14:paraId="56469ADA" w14:textId="77777777" w:rsidR="00BB2B23" w:rsidRPr="009B5F08" w:rsidRDefault="00BB2B23" w:rsidP="00F5693B">
            <w:pPr>
              <w:pStyle w:val="Tablesmalltext"/>
              <w:jc w:val="center"/>
              <w:rPr>
                <w:color w:val="auto"/>
              </w:rPr>
            </w:pPr>
            <w:r w:rsidRPr="009B5F08">
              <w:rPr>
                <w:color w:val="auto"/>
                <w:sz w:val="14"/>
                <w:szCs w:val="14"/>
              </w:rPr>
              <w:t>56</w:t>
            </w:r>
          </w:p>
        </w:tc>
        <w:tc>
          <w:tcPr>
            <w:tcW w:w="1844" w:type="dxa"/>
            <w:shd w:val="clear" w:color="auto" w:fill="auto"/>
            <w:tcMar>
              <w:top w:w="85" w:type="dxa"/>
              <w:left w:w="85" w:type="dxa"/>
              <w:bottom w:w="85" w:type="dxa"/>
              <w:right w:w="85" w:type="dxa"/>
            </w:tcMar>
          </w:tcPr>
          <w:p w14:paraId="56469ADB" w14:textId="77777777" w:rsidR="00BB2B23" w:rsidRPr="009B5F08" w:rsidRDefault="00BB2B23" w:rsidP="00F5693B">
            <w:pPr>
              <w:pStyle w:val="Tablesmalltext"/>
              <w:rPr>
                <w:color w:val="auto"/>
              </w:rPr>
            </w:pPr>
            <w:r w:rsidRPr="009B5F08">
              <w:rPr>
                <w:color w:val="auto"/>
                <w:sz w:val="14"/>
                <w:szCs w:val="14"/>
              </w:rPr>
              <w:t>Wilhelmsen Ships—Global maritime industry group</w:t>
            </w:r>
          </w:p>
        </w:tc>
        <w:tc>
          <w:tcPr>
            <w:tcW w:w="1036" w:type="dxa"/>
            <w:shd w:val="clear" w:color="auto" w:fill="auto"/>
            <w:tcMar>
              <w:top w:w="85" w:type="dxa"/>
              <w:left w:w="85" w:type="dxa"/>
              <w:bottom w:w="85" w:type="dxa"/>
              <w:right w:w="85" w:type="dxa"/>
            </w:tcMar>
            <w:vAlign w:val="center"/>
          </w:tcPr>
          <w:p w14:paraId="56469ADC"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DD"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ADE"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DF"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AE0"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r w:rsidR="00BB2B23" w:rsidRPr="009B5F08" w14:paraId="56469AE9" w14:textId="77777777" w:rsidTr="009B5F08">
        <w:trPr>
          <w:trHeight w:val="170"/>
        </w:trPr>
        <w:tc>
          <w:tcPr>
            <w:tcW w:w="295" w:type="dxa"/>
            <w:shd w:val="clear" w:color="auto" w:fill="auto"/>
            <w:tcMar>
              <w:top w:w="57" w:type="dxa"/>
              <w:left w:w="57" w:type="dxa"/>
              <w:bottom w:w="57" w:type="dxa"/>
              <w:right w:w="57" w:type="dxa"/>
            </w:tcMar>
          </w:tcPr>
          <w:p w14:paraId="56469AE2" w14:textId="77777777" w:rsidR="00BB2B23" w:rsidRPr="009B5F08" w:rsidRDefault="00BB2B23" w:rsidP="00F5693B">
            <w:pPr>
              <w:pStyle w:val="Tablesmalltext"/>
              <w:jc w:val="center"/>
              <w:rPr>
                <w:color w:val="auto"/>
              </w:rPr>
            </w:pPr>
            <w:r w:rsidRPr="009B5F08">
              <w:rPr>
                <w:color w:val="auto"/>
                <w:sz w:val="14"/>
                <w:szCs w:val="14"/>
              </w:rPr>
              <w:t>57</w:t>
            </w:r>
          </w:p>
        </w:tc>
        <w:tc>
          <w:tcPr>
            <w:tcW w:w="1844" w:type="dxa"/>
            <w:shd w:val="clear" w:color="auto" w:fill="auto"/>
            <w:tcMar>
              <w:top w:w="85" w:type="dxa"/>
              <w:left w:w="85" w:type="dxa"/>
              <w:bottom w:w="85" w:type="dxa"/>
              <w:right w:w="85" w:type="dxa"/>
            </w:tcMar>
          </w:tcPr>
          <w:p w14:paraId="56469AE3" w14:textId="77777777" w:rsidR="00BB2B23" w:rsidRPr="009B5F08" w:rsidRDefault="00BB2B23" w:rsidP="00F5693B">
            <w:pPr>
              <w:pStyle w:val="Tablesmalltext"/>
              <w:rPr>
                <w:color w:val="auto"/>
              </w:rPr>
            </w:pPr>
            <w:r w:rsidRPr="009B5F08">
              <w:rPr>
                <w:color w:val="auto"/>
                <w:sz w:val="14"/>
                <w:szCs w:val="14"/>
              </w:rPr>
              <w:t>Xatech International</w:t>
            </w:r>
          </w:p>
        </w:tc>
        <w:tc>
          <w:tcPr>
            <w:tcW w:w="1036" w:type="dxa"/>
            <w:shd w:val="clear" w:color="auto" w:fill="auto"/>
            <w:tcMar>
              <w:top w:w="85" w:type="dxa"/>
              <w:left w:w="85" w:type="dxa"/>
              <w:bottom w:w="85" w:type="dxa"/>
              <w:right w:w="85" w:type="dxa"/>
            </w:tcMar>
            <w:vAlign w:val="center"/>
          </w:tcPr>
          <w:p w14:paraId="56469AE4"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992" w:type="dxa"/>
            <w:shd w:val="clear" w:color="auto" w:fill="auto"/>
            <w:tcMar>
              <w:top w:w="85" w:type="dxa"/>
              <w:left w:w="85" w:type="dxa"/>
              <w:bottom w:w="85" w:type="dxa"/>
              <w:right w:w="85" w:type="dxa"/>
            </w:tcMar>
            <w:vAlign w:val="center"/>
          </w:tcPr>
          <w:p w14:paraId="56469AE5"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890" w:type="dxa"/>
            <w:shd w:val="clear" w:color="auto" w:fill="auto"/>
            <w:tcMar>
              <w:top w:w="85" w:type="dxa"/>
              <w:left w:w="85" w:type="dxa"/>
              <w:bottom w:w="85" w:type="dxa"/>
              <w:right w:w="85" w:type="dxa"/>
            </w:tcMar>
            <w:vAlign w:val="center"/>
          </w:tcPr>
          <w:p w14:paraId="56469AE6"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1066" w:type="dxa"/>
            <w:shd w:val="clear" w:color="auto" w:fill="auto"/>
            <w:tcMar>
              <w:top w:w="85" w:type="dxa"/>
              <w:left w:w="85" w:type="dxa"/>
              <w:bottom w:w="85" w:type="dxa"/>
              <w:right w:w="85" w:type="dxa"/>
            </w:tcMar>
            <w:vAlign w:val="center"/>
          </w:tcPr>
          <w:p w14:paraId="56469AE7"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c>
          <w:tcPr>
            <w:tcW w:w="2818" w:type="dxa"/>
            <w:shd w:val="clear" w:color="auto" w:fill="auto"/>
            <w:tcMar>
              <w:top w:w="85" w:type="dxa"/>
              <w:left w:w="85" w:type="dxa"/>
              <w:bottom w:w="85" w:type="dxa"/>
              <w:right w:w="85" w:type="dxa"/>
            </w:tcMar>
          </w:tcPr>
          <w:p w14:paraId="56469AE8" w14:textId="77777777" w:rsidR="00BB2B23" w:rsidRPr="009B5F08" w:rsidRDefault="00BB2B23" w:rsidP="00F5693B">
            <w:pPr>
              <w:pStyle w:val="NoParagraphStyle"/>
              <w:spacing w:line="240" w:lineRule="auto"/>
              <w:textAlignment w:val="auto"/>
              <w:rPr>
                <w:rFonts w:ascii="Myriad Pro" w:hAnsi="Myriad Pro" w:cstheme="minorBidi"/>
                <w:color w:val="auto"/>
                <w:lang w:val="en-AU"/>
              </w:rPr>
            </w:pPr>
          </w:p>
        </w:tc>
      </w:tr>
    </w:tbl>
    <w:p w14:paraId="56469AEA" w14:textId="77777777" w:rsidR="00BB2B23" w:rsidRDefault="00BB2B23" w:rsidP="00BB2B23">
      <w:pPr>
        <w:pStyle w:val="Text"/>
      </w:pPr>
    </w:p>
    <w:p w14:paraId="56469AEB" w14:textId="77777777" w:rsidR="00BB2B23" w:rsidRDefault="00BB2B23" w:rsidP="00BB2B23">
      <w:pPr>
        <w:pStyle w:val="Text"/>
      </w:pPr>
    </w:p>
    <w:p w14:paraId="56469AEC" w14:textId="77777777" w:rsidR="0005026F" w:rsidRDefault="0005026F" w:rsidP="00BB2B23">
      <w:pPr>
        <w:pStyle w:val="Subhead1"/>
        <w:sectPr w:rsidR="0005026F" w:rsidSect="00B8204E">
          <w:pgSz w:w="11906" w:h="16838"/>
          <w:pgMar w:top="720" w:right="720" w:bottom="720" w:left="720" w:header="425" w:footer="425" w:gutter="0"/>
          <w:pgNumType w:start="1"/>
          <w:cols w:space="708"/>
          <w:titlePg/>
          <w:docGrid w:linePitch="360"/>
        </w:sectPr>
      </w:pPr>
    </w:p>
    <w:p w14:paraId="56469AED" w14:textId="77777777" w:rsidR="00BB2B23" w:rsidRDefault="00BB2B23" w:rsidP="00BB2B23">
      <w:pPr>
        <w:pStyle w:val="Subhead1"/>
      </w:pPr>
      <w:r>
        <w:lastRenderedPageBreak/>
        <w:t>Section 7</w:t>
      </w:r>
    </w:p>
    <w:p w14:paraId="56469AEE" w14:textId="77777777" w:rsidR="00BB2B23" w:rsidRDefault="00BB2B23" w:rsidP="00BB2B23">
      <w:pPr>
        <w:pStyle w:val="Subhead1"/>
      </w:pPr>
      <w:r>
        <w:t>What is the best option from those you have considered?</w:t>
      </w:r>
    </w:p>
    <w:p w14:paraId="56469AEF" w14:textId="77777777" w:rsidR="00BB2B23" w:rsidRDefault="00BB2B23" w:rsidP="00BB2B23">
      <w:pPr>
        <w:pStyle w:val="Text"/>
      </w:pPr>
      <w:r>
        <w:t xml:space="preserve">The option with the highest net present value and that is robust under a range of assumptions is recommended for implementation to contribute to the Government’s carbon emissions commitment. </w:t>
      </w:r>
    </w:p>
    <w:p w14:paraId="56469AF0" w14:textId="77777777" w:rsidR="00BB2B23" w:rsidRDefault="00BB2B23" w:rsidP="00BB2B23">
      <w:pPr>
        <w:pStyle w:val="Text"/>
      </w:pPr>
      <w:r>
        <w:t>Based on the analysis outlined in this RIS, the recommendation is to adopt:</w:t>
      </w:r>
    </w:p>
    <w:p w14:paraId="56469AF1" w14:textId="77777777" w:rsidR="00BB2B23" w:rsidRDefault="00BB2B23" w:rsidP="00BB2B23">
      <w:pPr>
        <w:pStyle w:val="Bullets1"/>
      </w:pPr>
      <w:r>
        <w:t xml:space="preserve">Option 2a—HFC phase-down (bulk gases) – North American Montreal Protocol Amendment Proposal </w:t>
      </w:r>
    </w:p>
    <w:p w14:paraId="56469AF2" w14:textId="77777777" w:rsidR="00BB2B23" w:rsidRDefault="00BB2B23" w:rsidP="00BB2B23">
      <w:pPr>
        <w:pStyle w:val="Text"/>
      </w:pPr>
      <w:r>
        <w:t xml:space="preserve">This option has a net present value of $39.67 million and is designed to achieve SGG emissions by accelerating an existing trend away from HFC in favour of alternative refrigerants. </w:t>
      </w:r>
    </w:p>
    <w:p w14:paraId="56469AF3" w14:textId="77777777" w:rsidR="00BB2B23" w:rsidRDefault="00BB2B23" w:rsidP="00BB2B23">
      <w:pPr>
        <w:pStyle w:val="Text"/>
      </w:pPr>
      <w:r>
        <w:t xml:space="preserve">Regulatory burden is estimated to be </w:t>
      </w:r>
      <w:r>
        <w:rPr>
          <w:rStyle w:val="TextBold"/>
        </w:rPr>
        <w:t>$4.19 million</w:t>
      </w:r>
      <w:r>
        <w:t xml:space="preserve"> per annum.</w:t>
      </w:r>
    </w:p>
    <w:p w14:paraId="56469AF4" w14:textId="77777777" w:rsidR="00BB2B23" w:rsidRDefault="00BB2B23" w:rsidP="00BB2B23">
      <w:pPr>
        <w:pStyle w:val="Subhead2"/>
      </w:pPr>
      <w:r>
        <w:t>Implementation of preferred option</w:t>
      </w:r>
    </w:p>
    <w:p w14:paraId="56469AF5" w14:textId="77777777" w:rsidR="00BB2B23" w:rsidRDefault="00BB2B23" w:rsidP="00BB2B23">
      <w:pPr>
        <w:pStyle w:val="Subhead3"/>
      </w:pPr>
      <w:r>
        <w:t>Option 2a—HFC phase-down (bulk gases) – North American Montreal Protocol Amendment Proposal</w:t>
      </w:r>
    </w:p>
    <w:p w14:paraId="56469AF6" w14:textId="77777777" w:rsidR="00BB2B23" w:rsidRDefault="00BB2B23" w:rsidP="00BB2B23">
      <w:pPr>
        <w:pStyle w:val="Subhead4"/>
      </w:pPr>
      <w:r>
        <w:t>Design of phase-down</w:t>
      </w:r>
    </w:p>
    <w:p w14:paraId="56469AF7" w14:textId="77777777" w:rsidR="00BB2B23" w:rsidRDefault="00BB2B23" w:rsidP="00BB2B23">
      <w:pPr>
        <w:pStyle w:val="Text"/>
      </w:pPr>
      <w:r>
        <w:t>The phase-down will be implemented with the following characteristics:</w:t>
      </w:r>
    </w:p>
    <w:p w14:paraId="56469AF8" w14:textId="77777777" w:rsidR="00BB2B23" w:rsidRDefault="00BB2B23" w:rsidP="00BB2B23">
      <w:pPr>
        <w:pStyle w:val="Subhead4"/>
      </w:pPr>
      <w:r>
        <w:t>Phase-down design</w:t>
      </w:r>
    </w:p>
    <w:p w14:paraId="56469AF9" w14:textId="77777777" w:rsidR="00BB2B23" w:rsidRDefault="00BB2B23" w:rsidP="00BB2B23">
      <w:pPr>
        <w:pStyle w:val="Bullets1"/>
        <w:spacing w:before="170"/>
      </w:pPr>
      <w:r>
        <w:t>The years 2011 to 2013 will be used to calculate the baseline from which the phase-down quantities will be determined. This will include total HFC consumption and 75 per cent of HCFC consumption for the same period.</w:t>
      </w:r>
    </w:p>
    <w:p w14:paraId="56469AFA" w14:textId="77777777" w:rsidR="00BB2B23" w:rsidRDefault="00BB2B23" w:rsidP="00BB2B23">
      <w:pPr>
        <w:pStyle w:val="Bullets1"/>
      </w:pPr>
      <w:r>
        <w:t>The phase-down will relate to new HFC only.</w:t>
      </w:r>
    </w:p>
    <w:p w14:paraId="56469AFB" w14:textId="77777777" w:rsidR="00BB2B23" w:rsidRDefault="00BB2B23" w:rsidP="00BB2B23">
      <w:pPr>
        <w:pStyle w:val="Bullets1"/>
      </w:pPr>
      <w:r>
        <w:t>The HFC phase-down will apply to bulk gas only and not pre-charged equipment.</w:t>
      </w:r>
    </w:p>
    <w:p w14:paraId="56469AFC" w14:textId="77777777" w:rsidR="00BB2B23" w:rsidRDefault="00BB2B23" w:rsidP="00BB2B23">
      <w:pPr>
        <w:pStyle w:val="Bullets1"/>
      </w:pPr>
      <w:r>
        <w:t xml:space="preserve">Provisions will be made for specific exemptions such as for feedstock use, destruction and essential uses. These exemptions will be in line with Montreal Protocol requirements and there will be provisions for these exemptions to be periodically reassessed. </w:t>
      </w:r>
    </w:p>
    <w:p w14:paraId="56469AFD" w14:textId="77777777" w:rsidR="00BB2B23" w:rsidRDefault="00BB2B23" w:rsidP="00BB2B23">
      <w:pPr>
        <w:pStyle w:val="Bullets1"/>
      </w:pPr>
      <w:r>
        <w:t xml:space="preserve">Provisions will be made to review the phase-down after five years of implementation. </w:t>
      </w:r>
    </w:p>
    <w:p w14:paraId="56469AFE" w14:textId="77777777" w:rsidR="00BB2B23" w:rsidRDefault="00BB2B23" w:rsidP="00BB2B23">
      <w:pPr>
        <w:pStyle w:val="Text"/>
      </w:pPr>
    </w:p>
    <w:p w14:paraId="56469AFF" w14:textId="77777777" w:rsidR="00BB2B23" w:rsidRDefault="00BB2B23" w:rsidP="00BB2B23">
      <w:pPr>
        <w:pStyle w:val="Subhead4"/>
      </w:pPr>
      <w:r>
        <w:t>Establishing an Auction</w:t>
      </w:r>
    </w:p>
    <w:p w14:paraId="56469B00" w14:textId="77777777" w:rsidR="00BB2B23" w:rsidRDefault="00BB2B23" w:rsidP="00BB2B23">
      <w:pPr>
        <w:pStyle w:val="Text"/>
      </w:pPr>
      <w:r>
        <w:t>The recommended method for allocation of HFC import quota is via a periodic open-market auction, or equivalent process that ensures that all firms (incumbent, new entrant) have an equal opportunity to obtain the HFC quantities they desire. Should demand exceed supply at the time of any auction, this system should ensure that the quota goes to the party who values it most.</w:t>
      </w:r>
    </w:p>
    <w:p w14:paraId="56469B01" w14:textId="77777777" w:rsidR="00BB2B23" w:rsidRDefault="00BB2B23" w:rsidP="00BB2B23">
      <w:pPr>
        <w:pStyle w:val="Text"/>
      </w:pPr>
      <w:r>
        <w:lastRenderedPageBreak/>
        <w:t xml:space="preserve">Other options with a positive net benefit based on the RIS analysis will be assessed for potential implementation at a later date, as part of the periodic review of the best option. </w:t>
      </w:r>
    </w:p>
    <w:p w14:paraId="56469B02" w14:textId="77777777" w:rsidR="00BB2B23" w:rsidRDefault="00BB2B23" w:rsidP="00BB2B23">
      <w:pPr>
        <w:pStyle w:val="Subhead2"/>
      </w:pPr>
      <w:r>
        <w:t>Implementation processes</w:t>
      </w:r>
    </w:p>
    <w:p w14:paraId="56469B03" w14:textId="77777777" w:rsidR="00BB2B23" w:rsidRDefault="00BB2B23" w:rsidP="00BB2B23">
      <w:pPr>
        <w:pStyle w:val="Text"/>
      </w:pPr>
      <w:r>
        <w:t xml:space="preserve">The implementation would have two stages, the first to implement new policies through requisite legislative amendment as soon as practicable, taking effect no later than 1 January 2018. </w:t>
      </w:r>
    </w:p>
    <w:p w14:paraId="56469B04" w14:textId="77777777" w:rsidR="00BB2B23" w:rsidRDefault="00BB2B23" w:rsidP="00BB2B23">
      <w:pPr>
        <w:pStyle w:val="Text"/>
      </w:pPr>
      <w:r>
        <w:t>The second stage is to assess the appropriateness of implementing additional policies that are included in this RIS. The second stage is intended to be conducted following the review of the Preferred Option, further described in the Review Section, and is not discussed in detail in this RIS.</w:t>
      </w:r>
    </w:p>
    <w:p w14:paraId="56469B05" w14:textId="77777777" w:rsidR="00BB2B23" w:rsidRDefault="00BB2B23" w:rsidP="00BB2B23">
      <w:pPr>
        <w:pStyle w:val="Text"/>
      </w:pPr>
      <w:r>
        <w:t xml:space="preserve">The first stage has five main aspects. </w:t>
      </w:r>
    </w:p>
    <w:p w14:paraId="56469B06" w14:textId="77777777" w:rsidR="00BB2B23" w:rsidRDefault="00BB2B23" w:rsidP="00BB2B23">
      <w:pPr>
        <w:pStyle w:val="Bullets1"/>
      </w:pPr>
      <w:r>
        <w:t xml:space="preserve">Development of requisite legislative amendments, including amendments to applicable Regulations, to enact the preferred option to implement a phase-down of HFCs per the North American Amendment proposal. </w:t>
      </w:r>
    </w:p>
    <w:p w14:paraId="56469B07" w14:textId="77777777" w:rsidR="00BB2B23" w:rsidRDefault="00BB2B23" w:rsidP="00BB2B23">
      <w:pPr>
        <w:pStyle w:val="Bullets1"/>
      </w:pPr>
      <w:r>
        <w:t>It is intended that these be undertaken as soon as practicable with the aim of the phase-down of HFCs commencing on 1 January 2018.</w:t>
      </w:r>
    </w:p>
    <w:p w14:paraId="56469B08" w14:textId="77777777" w:rsidR="00BB2B23" w:rsidRDefault="00BB2B23" w:rsidP="00BB2B23">
      <w:pPr>
        <w:pStyle w:val="Bullets1"/>
      </w:pPr>
      <w:r>
        <w:t xml:space="preserve">Development of administrative policy to support the implementation of the phase-down. </w:t>
      </w:r>
    </w:p>
    <w:p w14:paraId="56469B09" w14:textId="77777777" w:rsidR="00BB2B23" w:rsidRDefault="00BB2B23" w:rsidP="00BB2B23">
      <w:pPr>
        <w:pStyle w:val="Bullets1"/>
      </w:pPr>
      <w:r>
        <w:t xml:space="preserve">Development of complementary administrative and IT systems to ensure the effective implementation of the phase-down. </w:t>
      </w:r>
    </w:p>
    <w:p w14:paraId="56469B0A" w14:textId="77777777" w:rsidR="00BB2B23" w:rsidRDefault="00BB2B23" w:rsidP="00BB2B23">
      <w:pPr>
        <w:pStyle w:val="Bullets1"/>
      </w:pPr>
      <w:r>
        <w:t xml:space="preserve">Development of a targeted communications and education strategy to support the effective implementation of the phase-down and encourage an overall higher uptake of policies that will result in emissions reductions. </w:t>
      </w:r>
    </w:p>
    <w:p w14:paraId="56469B0B" w14:textId="77777777" w:rsidR="00BB2B23" w:rsidRDefault="00BB2B23" w:rsidP="00BB2B23">
      <w:pPr>
        <w:pStyle w:val="Text"/>
      </w:pPr>
      <w:r>
        <w:t xml:space="preserve">The implementation of the preferred Option is intended to be undertaken in conjunction with efficiency and effectiveness measures recommended as part of the broader review of the OPSGGM Programme, outlined in a separate recommendations paper. These efficiency and effectiveness measures are intended to be implemented as soon as possible, and by mid-2017 where changes to the Act are not required to allow adequate time for both Government and affected stakeholders to prepare for the changes. </w:t>
      </w:r>
    </w:p>
    <w:p w14:paraId="56469B0C" w14:textId="77777777" w:rsidR="00BB2B23" w:rsidRDefault="00BB2B23" w:rsidP="00BB2B23">
      <w:pPr>
        <w:pStyle w:val="Text"/>
      </w:pPr>
      <w:r>
        <w:t xml:space="preserve">Staging this aspect of the implementation of the recommendations from the review of the OPSGGM Programme prior to the major policy change, the phase-down of HFCs, taking effect from 1 January 2018 would allow for this new policy to be implemented into a newly robust OPSGGM Programme. </w:t>
      </w:r>
    </w:p>
    <w:p w14:paraId="56469B0D" w14:textId="77777777" w:rsidR="00BB2B23" w:rsidRDefault="00BB2B23" w:rsidP="00BB2B23">
      <w:pPr>
        <w:pStyle w:val="Text"/>
      </w:pPr>
    </w:p>
    <w:p w14:paraId="56469B0E" w14:textId="77777777" w:rsidR="00BB2B23" w:rsidRDefault="00BB2B23" w:rsidP="00BB2B23">
      <w:pPr>
        <w:pStyle w:val="Subhead2"/>
      </w:pPr>
      <w:r>
        <w:t xml:space="preserve">Implementation Risks </w:t>
      </w:r>
    </w:p>
    <w:p w14:paraId="56469B0F" w14:textId="77777777" w:rsidR="00BB2B23" w:rsidRDefault="00BB2B23" w:rsidP="00BB2B23">
      <w:pPr>
        <w:pStyle w:val="Text"/>
      </w:pPr>
      <w:r>
        <w:t xml:space="preserve">Implementation is to be achieved within the existing regulatory framework, which is well-known to industry, so the risks of non-compliance with the recommended Option are low. </w:t>
      </w:r>
    </w:p>
    <w:p w14:paraId="56469B10" w14:textId="77777777" w:rsidR="00BB2B23" w:rsidRDefault="00BB2B23" w:rsidP="00BB2B23">
      <w:pPr>
        <w:pStyle w:val="Subhead3"/>
      </w:pPr>
      <w:r>
        <w:t>Market Impacts</w:t>
      </w:r>
    </w:p>
    <w:p w14:paraId="56469B11" w14:textId="77777777" w:rsidR="00BB2B23" w:rsidRDefault="00BB2B23" w:rsidP="00BB2B23">
      <w:pPr>
        <w:pStyle w:val="Text"/>
      </w:pPr>
      <w:r>
        <w:t>It is planned that the phase-down trajectory will be at a pace where the emergence of substitutes suppresses any excess demand for HFC. Nevertheless, key risks include the risk that the value of HFC, once imported to Australia by quota holders, rises as a result of the scarcity created by the policy (</w:t>
      </w:r>
      <w:r>
        <w:rPr>
          <w:rStyle w:val="TextItalic"/>
        </w:rPr>
        <w:t xml:space="preserve">arbitrage </w:t>
      </w:r>
      <w:r>
        <w:rPr>
          <w:rStyle w:val="TextItalic"/>
        </w:rPr>
        <w:lastRenderedPageBreak/>
        <w:t>risk</w:t>
      </w:r>
      <w:r>
        <w:t xml:space="preserve">). This arbitrage risk, if realised, could generate substantial levels of auction revenue to the Australian Government. </w:t>
      </w:r>
    </w:p>
    <w:p w14:paraId="56469B12" w14:textId="77777777" w:rsidR="00BB2B23" w:rsidRDefault="00BB2B23" w:rsidP="00BB2B23">
      <w:pPr>
        <w:pStyle w:val="Text"/>
      </w:pPr>
      <w:r>
        <w:t xml:space="preserve">If the alternative allocation method described on page [39–40] above is adopted then the arbitrage risk could generate substantial unearned income to quota holders. This risk would require careful management, such as by instituting compulsory reporting to the Department of all transactions (including between related parties) of quota or of HFC gases. The information, including date, counterparty identities, volume and value would be published on the Department’s website. </w:t>
      </w:r>
    </w:p>
    <w:p w14:paraId="56469B13" w14:textId="77777777" w:rsidR="00BB2B23" w:rsidRDefault="00BB2B23" w:rsidP="00BB2B23">
      <w:pPr>
        <w:pStyle w:val="Text"/>
      </w:pPr>
      <w:r>
        <w:t xml:space="preserve">Under the alternative allocation method, the arbitrage risk also leads to HFC ballots being over-subscribed by speculators and to administrative risks, which are mitigated by existing Australian Government anti-corruption arrangements.It will also be supported by periodic review in which the acceptability of observed levels of arbitrage earnings will be specifically addressed. </w:t>
      </w:r>
    </w:p>
    <w:p w14:paraId="56469B14" w14:textId="77777777" w:rsidR="00BB2B23" w:rsidRDefault="00BB2B23" w:rsidP="00BB2B23">
      <w:pPr>
        <w:pStyle w:val="Subhead3"/>
      </w:pPr>
      <w:r>
        <w:t>Environmental Risks</w:t>
      </w:r>
    </w:p>
    <w:p w14:paraId="56469B15" w14:textId="77777777" w:rsidR="00BB2B23" w:rsidRDefault="00BB2B23" w:rsidP="00BB2B23">
      <w:pPr>
        <w:pStyle w:val="Text"/>
      </w:pPr>
      <w:r>
        <w:t>The preferred option will restrict a class of HFCs listed under the Kyoto Protocol. If innovation leads to adoption of a chemical outside this class, the chemical will be permitted, even if its global warming potential is as high, or higher than, HFC. This is highly unlikely as chemical manufacturers and equipment manufacturers are unlikely to invest in a new technology where future controls are possible. The evolution of ODS is an example where no new substances have emerged since the Montreal Protocol was agreed in 1987. Nevertheless, efforts to predict technological developments over a 20 year timeframe are difficult, so future reviews will need to monitor developments in this regard.</w:t>
      </w:r>
    </w:p>
    <w:p w14:paraId="56469B16" w14:textId="77777777" w:rsidR="00BB2B23" w:rsidRDefault="00BB2B23" w:rsidP="00BB2B23">
      <w:pPr>
        <w:pStyle w:val="Text"/>
      </w:pPr>
      <w:r>
        <w:t xml:space="preserve">Furthermore, the exemption of pre-charged equipment could lead to growth in the amount of HFC being imported </w:t>
      </w:r>
      <w:r>
        <w:rPr>
          <w:rStyle w:val="TextItalic"/>
        </w:rPr>
        <w:t>in products</w:t>
      </w:r>
      <w:r>
        <w:t xml:space="preserve">, rather than in bulk form. Related to this possibility, Australian businesses may experience a decline in their competitiveness relative to pre-charged equipment. </w:t>
      </w:r>
    </w:p>
    <w:p w14:paraId="56469B17" w14:textId="77777777" w:rsidR="00BB2B23" w:rsidRDefault="00BB2B23" w:rsidP="00BB2B23">
      <w:pPr>
        <w:pStyle w:val="Text"/>
      </w:pPr>
      <w:r>
        <w:t>This potential flow on effect will be assessed as part of the periodic review of the policy.</w:t>
      </w:r>
    </w:p>
    <w:p w14:paraId="56469B18" w14:textId="77777777" w:rsidR="00BB2B23" w:rsidRDefault="00BB2B23" w:rsidP="00BB2B23">
      <w:pPr>
        <w:pStyle w:val="Subhead3"/>
      </w:pPr>
      <w:r>
        <w:t>Health and Safety Risks</w:t>
      </w:r>
    </w:p>
    <w:p w14:paraId="56469B19" w14:textId="77777777" w:rsidR="00BB2B23" w:rsidRDefault="00BB2B23" w:rsidP="00BB2B23">
      <w:pPr>
        <w:pStyle w:val="Text"/>
      </w:pPr>
      <w:r>
        <w:t xml:space="preserve">The preferred option limits the availability of a gas which has characteristics well known by technicians. Some substitute gases may pose a danger to technicians and/or to occupants of buildings containing refrigeration or air conditioning equipment if they are handled and installed in an unsafe manner and in equipment not designed to house them. </w:t>
      </w:r>
    </w:p>
    <w:p w14:paraId="56469B1A" w14:textId="77777777" w:rsidR="00BB2B23" w:rsidRDefault="00BB2B23" w:rsidP="00BB2B23">
      <w:pPr>
        <w:pStyle w:val="Text"/>
      </w:pPr>
      <w:r>
        <w:t>The Department will develop a plan to use the End User Licensing system to deploy education and enforcement strategies to mitigate those risks, also noting that existing International Safety Standards already apply to this equipment. This potential flow on effect will also be assessed as part of the periodic review of the policy.</w:t>
      </w:r>
    </w:p>
    <w:p w14:paraId="56469B1B" w14:textId="77777777" w:rsidR="00BB2B23" w:rsidRDefault="00BB2B23" w:rsidP="00BB2B23">
      <w:pPr>
        <w:pStyle w:val="Subhead3"/>
      </w:pPr>
      <w:r>
        <w:t>Funding</w:t>
      </w:r>
    </w:p>
    <w:p w14:paraId="56469B1C" w14:textId="77777777" w:rsidR="00BB2B23" w:rsidRDefault="00BB2B23" w:rsidP="00BB2B23">
      <w:pPr>
        <w:pStyle w:val="Text"/>
      </w:pPr>
      <w:r>
        <w:t xml:space="preserve">This RIS does not explore funding options for implementation of the preferred Option. However, a range of funding options for resourcing could be considered, including utilising the cost recovery arrangements of the OPSGGM Programme. </w:t>
      </w:r>
    </w:p>
    <w:p w14:paraId="56469B1D" w14:textId="77777777" w:rsidR="00BB2B23" w:rsidRDefault="00BB2B23" w:rsidP="00BB2B23">
      <w:pPr>
        <w:pStyle w:val="Subhead3"/>
      </w:pPr>
      <w:r>
        <w:lastRenderedPageBreak/>
        <w:t>Review</w:t>
      </w:r>
    </w:p>
    <w:p w14:paraId="56469B1E" w14:textId="77777777" w:rsidR="00BB2B23" w:rsidRDefault="00BB2B23" w:rsidP="00BB2B23">
      <w:pPr>
        <w:pStyle w:val="Text"/>
      </w:pPr>
      <w:r>
        <w:t xml:space="preserve">It is proposed that the efficacy of the preferred Option be reviewed in 2023, five years after the intended commencement date of the policy, 1 January 2018. </w:t>
      </w:r>
    </w:p>
    <w:p w14:paraId="56469B1F" w14:textId="77777777" w:rsidR="00BB2B23" w:rsidRDefault="00BB2B23" w:rsidP="00BB2B23">
      <w:pPr>
        <w:pStyle w:val="Text"/>
      </w:pPr>
      <w:r>
        <w:t xml:space="preserve">This would allow the phase-down to be operational for two full consecutive two-year quota allocation periods, with the review undertaken mid-way through the third quota period. This would allow assessment of the effectiveness of the policy and its design in meeting Government objectives. </w:t>
      </w:r>
    </w:p>
    <w:p w14:paraId="56469B20" w14:textId="77777777" w:rsidR="00BB2B23" w:rsidRDefault="00BB2B23" w:rsidP="00BB2B23">
      <w:pPr>
        <w:pStyle w:val="Text"/>
      </w:pPr>
      <w:r>
        <w:t xml:space="preserve">It is further proposed that the policy be implemented outlining other review triggers such as reported detrimental impacts of the policy on Australian industry, including competition aspects. </w:t>
      </w:r>
    </w:p>
    <w:p w14:paraId="56469B21" w14:textId="77777777" w:rsidR="00BB2B23" w:rsidRDefault="00BB2B23" w:rsidP="00BB2B23">
      <w:pPr>
        <w:pStyle w:val="Text"/>
      </w:pPr>
      <w:r>
        <w:t xml:space="preserve">A timeline of key milestones and government action items for implementation and review will be developed pending a final decision on the preferred Option. </w:t>
      </w:r>
    </w:p>
    <w:p w14:paraId="56469B22" w14:textId="77777777" w:rsidR="00BB2B23" w:rsidRDefault="00BB2B23" w:rsidP="00BB2B23">
      <w:pPr>
        <w:pStyle w:val="Text"/>
      </w:pPr>
    </w:p>
    <w:p w14:paraId="56469B23" w14:textId="77777777" w:rsidR="0005026F" w:rsidRDefault="0005026F" w:rsidP="00BB2B23">
      <w:pPr>
        <w:pStyle w:val="Subhead1"/>
        <w:sectPr w:rsidR="0005026F" w:rsidSect="00B8204E">
          <w:pgSz w:w="11906" w:h="16838"/>
          <w:pgMar w:top="720" w:right="720" w:bottom="720" w:left="720" w:header="425" w:footer="425" w:gutter="0"/>
          <w:pgNumType w:start="1"/>
          <w:cols w:space="708"/>
          <w:titlePg/>
          <w:docGrid w:linePitch="360"/>
        </w:sectPr>
      </w:pPr>
    </w:p>
    <w:p w14:paraId="56469B24" w14:textId="77777777" w:rsidR="00BB2B23" w:rsidRDefault="00BB2B23" w:rsidP="00BB2B23">
      <w:pPr>
        <w:pStyle w:val="Subhead1"/>
      </w:pPr>
      <w:r>
        <w:lastRenderedPageBreak/>
        <w:t>Works Cited</w:t>
      </w:r>
    </w:p>
    <w:p w14:paraId="56469B25" w14:textId="42FC8A38" w:rsidR="00BB2B23" w:rsidRDefault="00BB2B23" w:rsidP="00BB2B23">
      <w:pPr>
        <w:pStyle w:val="Text"/>
        <w:ind w:left="283" w:hanging="283"/>
      </w:pPr>
      <w:r>
        <w:t>1.</w:t>
      </w:r>
      <w:r>
        <w:tab/>
        <w:t xml:space="preserve">Jacobs Australia Pty Limited (2015), </w:t>
      </w:r>
      <w:r>
        <w:rPr>
          <w:rStyle w:val="TextItalic"/>
        </w:rPr>
        <w:t>Cost benefit analysis of SGG reduction policies</w:t>
      </w:r>
      <w:r>
        <w:t xml:space="preserve">. Retrieved from </w:t>
      </w:r>
      <w:r w:rsidRPr="00D80DB8">
        <w:t xml:space="preserve">https://www.environment.gov.au/system/files/consultations/fe81135c-a55e-45b6-ae4b-ef02f1616ba2/files/ozone-acts-review-cost-benefit-analysis.pdf </w:t>
      </w:r>
    </w:p>
    <w:p w14:paraId="56469B26" w14:textId="1A37F098" w:rsidR="00BB2B23" w:rsidRDefault="00BB2B23" w:rsidP="00BB2B23">
      <w:pPr>
        <w:pStyle w:val="Text"/>
        <w:ind w:left="283" w:hanging="283"/>
      </w:pPr>
      <w:r>
        <w:t>2.</w:t>
      </w:r>
      <w:r>
        <w:tab/>
        <w:t xml:space="preserve">Expert Group (2015), </w:t>
      </w:r>
      <w:r>
        <w:rPr>
          <w:rStyle w:val="TextItalic"/>
        </w:rPr>
        <w:t>Assessment of environmental impacts from the Ozone Protection and Synthetic Greenhouse Gas Management Act 1989</w:t>
      </w:r>
      <w:r>
        <w:t xml:space="preserve">. Retrieved from </w:t>
      </w:r>
      <w:r w:rsidRPr="00D80DB8">
        <w:t xml:space="preserve">https://www.environment.gov.au/system/files/consultations/fe81135c-a55e-45b6-ae4b-ef02f1616ba2/files/ozone-acts-review-environmental-impact-analysis.pdf </w:t>
      </w:r>
    </w:p>
    <w:p w14:paraId="56469B27" w14:textId="2CA14794" w:rsidR="00BB2B23" w:rsidRDefault="00BB2B23" w:rsidP="00BB2B23">
      <w:pPr>
        <w:pStyle w:val="Text"/>
        <w:ind w:left="283" w:hanging="283"/>
      </w:pPr>
      <w:r>
        <w:t>3.</w:t>
      </w:r>
      <w:r>
        <w:tab/>
        <w:t xml:space="preserve">Expert Group (2013). </w:t>
      </w:r>
      <w:r>
        <w:rPr>
          <w:rStyle w:val="TextItalic"/>
        </w:rPr>
        <w:t>Cold Hard Facts 2: A study of the refrigeration and air conditioning industry in Australia</w:t>
      </w:r>
      <w:r>
        <w:t xml:space="preserve">. Retrieved from </w:t>
      </w:r>
      <w:r w:rsidRPr="00D80DB8">
        <w:t>http://www.environment.gov.au/protection/ozone/publications/cold-hard-facts-2</w:t>
      </w:r>
      <w:r>
        <w:t xml:space="preserve"> </w:t>
      </w:r>
    </w:p>
    <w:p w14:paraId="56469B28" w14:textId="3EF915B9" w:rsidR="00BB2B23" w:rsidRDefault="00BB2B23" w:rsidP="00BB2B23">
      <w:pPr>
        <w:pStyle w:val="Text"/>
        <w:ind w:left="283" w:hanging="283"/>
      </w:pPr>
      <w:r>
        <w:t>4.</w:t>
      </w:r>
      <w:r>
        <w:tab/>
        <w:t xml:space="preserve">The Department of the Environment (2015). </w:t>
      </w:r>
      <w:r>
        <w:rPr>
          <w:rStyle w:val="TextItalic"/>
        </w:rPr>
        <w:t>Australia’s emissions projections 2014–15</w:t>
      </w:r>
      <w:r>
        <w:t xml:space="preserve">. Retrieved from </w:t>
      </w:r>
      <w:r w:rsidRPr="00D80DB8">
        <w:t xml:space="preserve">http://www.environment.gov.au/system/files/resources/f4bdfc0e-9a05-4c0b-bb04-e628ba4b12fd/files/australias-emissions-projections-2014-15.pdf </w:t>
      </w:r>
    </w:p>
    <w:p w14:paraId="56469B29" w14:textId="5B32C254" w:rsidR="00BB2B23" w:rsidRDefault="00BB2B23" w:rsidP="00BB2B23">
      <w:pPr>
        <w:pStyle w:val="Text"/>
        <w:ind w:left="283" w:hanging="283"/>
      </w:pPr>
      <w:r>
        <w:t>5.</w:t>
      </w:r>
      <w:r>
        <w:tab/>
        <w:t xml:space="preserve">IPCC (2007), </w:t>
      </w:r>
      <w:r>
        <w:rPr>
          <w:rStyle w:val="TextItalic"/>
        </w:rPr>
        <w:t>Fourth Assessment Report (AR4)</w:t>
      </w:r>
      <w:r>
        <w:t xml:space="preserve">. Retrieved from </w:t>
      </w:r>
      <w:r w:rsidRPr="00D80DB8">
        <w:t>https://www.ipcc.ch/report/ar4/</w:t>
      </w:r>
      <w:r>
        <w:t xml:space="preserve"> </w:t>
      </w:r>
    </w:p>
    <w:p w14:paraId="56469B2A" w14:textId="0E065FF9" w:rsidR="00BB2B23" w:rsidRDefault="00BB2B23" w:rsidP="00BB2B23">
      <w:pPr>
        <w:pStyle w:val="Text"/>
        <w:ind w:left="283" w:hanging="283"/>
      </w:pPr>
      <w:r>
        <w:t>6.</w:t>
      </w:r>
      <w:r>
        <w:tab/>
        <w:t xml:space="preserve">Prepared for the European Commission (2011), </w:t>
      </w:r>
      <w:r>
        <w:rPr>
          <w:rStyle w:val="TextItalic"/>
        </w:rPr>
        <w:t>Preparatory study for a review of Regulation (EC) No</w:t>
      </w:r>
      <w:r>
        <w:rPr>
          <w:rStyle w:val="nobreak"/>
        </w:rPr>
        <w:t xml:space="preserve"> </w:t>
      </w:r>
      <w:r>
        <w:rPr>
          <w:rStyle w:val="TextItalic"/>
        </w:rPr>
        <w:t>842/2006 on certain fluorinated greenhouse gases</w:t>
      </w:r>
      <w:r>
        <w:t xml:space="preserve">. Retrieved from </w:t>
      </w:r>
      <w:r w:rsidRPr="00D80DB8">
        <w:t>http://ec.europa.eu/clima/policies/f-gas/docs/2011_study_en.pdf</w:t>
      </w:r>
      <w:r>
        <w:t xml:space="preserve"> </w:t>
      </w:r>
    </w:p>
    <w:p w14:paraId="56469B2C" w14:textId="5128BEC9" w:rsidR="00BB2B23" w:rsidRDefault="00BB2B23" w:rsidP="00BB2B23">
      <w:pPr>
        <w:pStyle w:val="Text"/>
        <w:ind w:left="283" w:hanging="283"/>
      </w:pPr>
      <w:r>
        <w:t>7.</w:t>
      </w:r>
      <w:r>
        <w:tab/>
        <w:t xml:space="preserve">Department of Prime Minister and Cabinet (2014). </w:t>
      </w:r>
      <w:r>
        <w:rPr>
          <w:rStyle w:val="TextItalic"/>
        </w:rPr>
        <w:t>The Australian Government Guide to Regulation</w:t>
      </w:r>
      <w:r>
        <w:t xml:space="preserve">. Retrieved from </w:t>
      </w:r>
      <w:r w:rsidRPr="00D80DB8">
        <w:t>http://www.cuttingredtape.gov.au/sites/default/files/files/Australian_Government_Guide_to_Regulation.pdf</w:t>
      </w:r>
    </w:p>
    <w:p w14:paraId="56469B2D" w14:textId="77777777" w:rsidR="005C0FE8" w:rsidRDefault="005C0FE8" w:rsidP="00F74FC3"/>
    <w:p w14:paraId="56469B2E" w14:textId="77777777" w:rsidR="00F74FC3" w:rsidRDefault="00F74FC3" w:rsidP="00F74FC3"/>
    <w:p w14:paraId="56469B2F" w14:textId="77777777" w:rsidR="00F74FC3" w:rsidRDefault="00F74FC3" w:rsidP="00F74FC3">
      <w:pPr>
        <w:rPr>
          <w:rStyle w:val="TextBold"/>
        </w:rPr>
      </w:pPr>
      <w:r>
        <w:rPr>
          <w:rStyle w:val="TextBold"/>
        </w:rPr>
        <w:t>© Commonwealth of Australia, 201</w:t>
      </w:r>
      <w:r w:rsidR="0050266D">
        <w:rPr>
          <w:rStyle w:val="TextBold"/>
        </w:rPr>
        <w:t>6</w:t>
      </w:r>
      <w:r>
        <w:rPr>
          <w:rStyle w:val="TextBold"/>
        </w:rPr>
        <w:t>.</w:t>
      </w:r>
    </w:p>
    <w:p w14:paraId="56469B30" w14:textId="77777777" w:rsidR="00F74FC3" w:rsidRDefault="00F74FC3" w:rsidP="00F74FC3">
      <w:r>
        <w:t>This fact sheet is licensed by Commonwealth of Australia under a Creative</w:t>
      </w:r>
      <w:r>
        <w:rPr>
          <w:rStyle w:val="nobreak"/>
        </w:rPr>
        <w:t xml:space="preserve"> </w:t>
      </w:r>
      <w:r>
        <w:t xml:space="preserve">Commons Attribution </w:t>
      </w:r>
      <w:r w:rsidR="004F465C">
        <w:t>4</w:t>
      </w:r>
      <w:r>
        <w:t xml:space="preserve">.0 </w:t>
      </w:r>
      <w:r w:rsidR="0050266D">
        <w:t>International</w:t>
      </w:r>
      <w:r>
        <w:t xml:space="preserve"> licence. </w:t>
      </w:r>
    </w:p>
    <w:p w14:paraId="56469B31" w14:textId="77777777" w:rsidR="00F74FC3" w:rsidRPr="005C0FE8" w:rsidRDefault="00F74FC3" w:rsidP="00F74FC3">
      <w:r>
        <w:t>The views and opinions expressed in this publication are those of the authors and do not necessarily reflect those of the Australian Government or the Minister for the Environment</w:t>
      </w:r>
      <w:r w:rsidR="001A1B85">
        <w:t xml:space="preserve"> and Energy</w:t>
      </w:r>
      <w:r>
        <w:t>.</w:t>
      </w:r>
    </w:p>
    <w:sectPr w:rsidR="00F74FC3" w:rsidRPr="005C0FE8" w:rsidSect="00B8204E">
      <w:pgSz w:w="11906" w:h="16838"/>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69B50" w14:textId="77777777" w:rsidR="00381527" w:rsidRDefault="00381527" w:rsidP="00A60185">
      <w:pPr>
        <w:spacing w:after="0" w:line="240" w:lineRule="auto"/>
      </w:pPr>
      <w:r>
        <w:separator/>
      </w:r>
    </w:p>
  </w:endnote>
  <w:endnote w:type="continuationSeparator" w:id="0">
    <w:p w14:paraId="56469B51" w14:textId="77777777" w:rsidR="00381527" w:rsidRDefault="00381527"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Nyala"/>
    <w:panose1 w:val="00000000000000000000"/>
    <w:charset w:val="00"/>
    <w:family w:val="roman"/>
    <w:notTrueType/>
    <w:pitch w:val="variable"/>
    <w:sig w:usb0="00000001" w:usb1="00000001" w:usb2="00000000" w:usb3="00000000" w:csb0="00000093" w:csb1="00000000"/>
  </w:font>
  <w:font w:name="Times (T1) Regular">
    <w:panose1 w:val="00000000000000000000"/>
    <w:charset w:val="00"/>
    <w:family w:val="auto"/>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yriad Pro Light">
    <w:altName w:val="Arial"/>
    <w:panose1 w:val="00000000000000000000"/>
    <w:charset w:val="00"/>
    <w:family w:val="swiss"/>
    <w:notTrueType/>
    <w:pitch w:val="variable"/>
    <w:sig w:usb0="00000001" w:usb1="5000204B" w:usb2="00000000" w:usb3="00000000" w:csb0="0000009F" w:csb1="00000000"/>
  </w:font>
  <w:font w:name="Adobe Garamond Pro Bold">
    <w:panose1 w:val="00000000000000000000"/>
    <w:charset w:val="00"/>
    <w:family w:val="roma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69B54" w14:textId="77777777"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69B55" w14:textId="77777777" w:rsidR="00100BEF" w:rsidRDefault="00DD32F0">
    <w:pPr>
      <w:pStyle w:val="Footer"/>
      <w:jc w:val="center"/>
    </w:pPr>
    <w:r>
      <w:fldChar w:fldCharType="begin"/>
    </w:r>
    <w:r>
      <w:instrText xml:space="preserve"> PAGE   \* MERGEFORMAT </w:instrText>
    </w:r>
    <w:r>
      <w:fldChar w:fldCharType="separate"/>
    </w:r>
    <w:r w:rsidR="00F543F8">
      <w:rPr>
        <w:noProof/>
      </w:rPr>
      <w:t>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69B57" w14:textId="77777777"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69B4E" w14:textId="77777777" w:rsidR="00381527" w:rsidRDefault="00381527" w:rsidP="00A60185">
      <w:pPr>
        <w:spacing w:after="0" w:line="240" w:lineRule="auto"/>
      </w:pPr>
      <w:r>
        <w:separator/>
      </w:r>
    </w:p>
  </w:footnote>
  <w:footnote w:type="continuationSeparator" w:id="0">
    <w:p w14:paraId="56469B4F" w14:textId="77777777" w:rsidR="00381527" w:rsidRDefault="00381527" w:rsidP="00A60185">
      <w:pPr>
        <w:spacing w:after="0" w:line="240" w:lineRule="auto"/>
      </w:pPr>
      <w:r>
        <w:continuationSeparator/>
      </w:r>
    </w:p>
  </w:footnote>
  <w:footnote w:id="1">
    <w:p w14:paraId="56469B58" w14:textId="77777777" w:rsidR="00BB2B23" w:rsidRDefault="00BB2B23" w:rsidP="00BB2B23">
      <w:pPr>
        <w:pStyle w:val="FootnoteText1"/>
      </w:pPr>
      <w:r>
        <w:footnoteRef/>
      </w:r>
      <w:r>
        <w:tab/>
        <w:t>All GWPs in this report are based on the IPCC’s 4th Assessment report unless otherwise stated.</w:t>
      </w:r>
    </w:p>
    <w:p w14:paraId="56469B59" w14:textId="77777777" w:rsidR="00BB2B23" w:rsidRDefault="00BB2B23" w:rsidP="00BB2B23">
      <w:pPr>
        <w:pStyle w:val="FootnoteText1"/>
      </w:pPr>
    </w:p>
  </w:footnote>
  <w:footnote w:id="2">
    <w:p w14:paraId="56469B5A" w14:textId="77777777" w:rsidR="00BB2B23" w:rsidRDefault="00BB2B23" w:rsidP="00BB2B23">
      <w:pPr>
        <w:pStyle w:val="FootnoteText1"/>
      </w:pPr>
      <w:r>
        <w:footnoteRef/>
      </w:r>
      <w:r>
        <w:tab/>
        <w:t xml:space="preserve">The Department of Health, WA, 2008 Report: Health impacts of climate change </w:t>
      </w:r>
    </w:p>
    <w:p w14:paraId="56469B5B" w14:textId="77777777" w:rsidR="00BB2B23" w:rsidRDefault="00BB2B23" w:rsidP="00BB2B23">
      <w:pPr>
        <w:pStyle w:val="FootnoteText1"/>
      </w:pPr>
    </w:p>
  </w:footnote>
  <w:footnote w:id="3">
    <w:p w14:paraId="56469B5C" w14:textId="77777777" w:rsidR="00BB2B23" w:rsidRDefault="00BB2B23" w:rsidP="00BB2B23">
      <w:pPr>
        <w:pStyle w:val="FootnoteText1"/>
      </w:pPr>
      <w:r>
        <w:footnoteRef/>
      </w:r>
      <w:r>
        <w:tab/>
        <w:t>Cost Benefit Analysis, Jacobs, 2015, pp 28</w:t>
      </w:r>
    </w:p>
    <w:p w14:paraId="56469B5D" w14:textId="77777777" w:rsidR="00BB2B23" w:rsidRDefault="00BB2B23" w:rsidP="00BB2B23">
      <w:pPr>
        <w:pStyle w:val="FootnoteText1"/>
      </w:pPr>
    </w:p>
  </w:footnote>
  <w:footnote w:id="4">
    <w:p w14:paraId="56469B5E" w14:textId="77777777" w:rsidR="00BB2B23" w:rsidRDefault="00BB2B23" w:rsidP="00BB2B23">
      <w:pPr>
        <w:pStyle w:val="FootnoteText1"/>
      </w:pPr>
      <w:r>
        <w:footnoteRef/>
      </w:r>
      <w:r>
        <w:tab/>
        <w:t>Pg 6 Department of the Environment, Australia’s emissions projections 2014–15 Report, March 2015 (</w:t>
      </w:r>
      <w:hyperlink r:id="rId1" w:history="1">
        <w:r>
          <w:rPr>
            <w:rStyle w:val="Hyperlink"/>
          </w:rPr>
          <w:t>http://www.environment.gov.au/system/files/resources/f4bdfc0e-9a05–4c0b-bb04-e628ba4b12fd/files/australias-emissions-projections-2014–15.pdf</w:t>
        </w:r>
      </w:hyperlink>
      <w:r>
        <w:t>)</w:t>
      </w:r>
    </w:p>
    <w:p w14:paraId="56469B5F" w14:textId="77777777" w:rsidR="00BB2B23" w:rsidRDefault="00BB2B23" w:rsidP="00BB2B23">
      <w:pPr>
        <w:pStyle w:val="FootnoteText1"/>
      </w:pPr>
    </w:p>
  </w:footnote>
  <w:footnote w:id="5">
    <w:p w14:paraId="56469B60" w14:textId="0D901A43" w:rsidR="00BB2B23" w:rsidRDefault="00BB2B23" w:rsidP="00BB2B23">
      <w:pPr>
        <w:pStyle w:val="FootnoteText1"/>
      </w:pPr>
      <w:r>
        <w:footnoteRef/>
      </w:r>
      <w:r>
        <w:tab/>
      </w:r>
      <w:r>
        <w:rPr>
          <w:rStyle w:val="TextItalic"/>
        </w:rPr>
        <w:t>Assessment of environmental impacts from the Ozone Protection and Synthetic Greenhouse Gas Management Act</w:t>
      </w:r>
      <w:r>
        <w:t>, Peter Brodribb and Michael McCann 2014, Canberra. (</w:t>
      </w:r>
      <w:r w:rsidRPr="00D80DB8">
        <w:t>https://www.environment.gov.au/system/files/consultations/fe81135c-a55e-45b6-ae4b-ef02f1616ba2/files/ozone-acts-review-environmental-impact-analysis.pdf</w:t>
      </w:r>
      <w:r>
        <w:t>)</w:t>
      </w:r>
    </w:p>
    <w:p w14:paraId="56469B61" w14:textId="77777777" w:rsidR="00BB2B23" w:rsidRDefault="00BB2B23" w:rsidP="00BB2B23">
      <w:pPr>
        <w:pStyle w:val="FootnoteText1"/>
      </w:pPr>
    </w:p>
  </w:footnote>
  <w:footnote w:id="6">
    <w:p w14:paraId="56469B62" w14:textId="77777777" w:rsidR="00BB2B23" w:rsidRDefault="00BB2B23" w:rsidP="00BB2B23">
      <w:pPr>
        <w:pStyle w:val="FootnoteText1"/>
      </w:pPr>
      <w:r>
        <w:footnoteRef/>
      </w:r>
      <w:r>
        <w:tab/>
        <w:t>All GWPs in this report are based on the IPCC’s 4th Assessment report unless otherwise stated.</w:t>
      </w:r>
    </w:p>
    <w:p w14:paraId="56469B63" w14:textId="77777777" w:rsidR="00BB2B23" w:rsidRDefault="00BB2B23" w:rsidP="00BB2B23">
      <w:pPr>
        <w:pStyle w:val="FootnoteText1"/>
      </w:pPr>
    </w:p>
  </w:footnote>
  <w:footnote w:id="7">
    <w:p w14:paraId="56469B64" w14:textId="77777777" w:rsidR="00BB2B23" w:rsidRDefault="00BB2B23" w:rsidP="00BB2B23">
      <w:pPr>
        <w:pStyle w:val="FootnoteText1"/>
      </w:pPr>
      <w:r>
        <w:footnoteRef/>
      </w:r>
      <w:r>
        <w:tab/>
        <w:t>The Department of Health, WA, 2008 Report: Health impacts of climate change</w:t>
      </w:r>
    </w:p>
    <w:p w14:paraId="56469B65" w14:textId="77777777" w:rsidR="00BB2B23" w:rsidRDefault="00BB2B23" w:rsidP="00BB2B23">
      <w:pPr>
        <w:pStyle w:val="FootnoteText1"/>
      </w:pPr>
    </w:p>
  </w:footnote>
  <w:footnote w:id="8">
    <w:p w14:paraId="56469B66" w14:textId="40354939" w:rsidR="00BB2B23" w:rsidRDefault="00BB2B23" w:rsidP="00BB2B23">
      <w:pPr>
        <w:pStyle w:val="FootnoteText1"/>
      </w:pPr>
      <w:r>
        <w:footnoteRef/>
      </w:r>
      <w:r>
        <w:tab/>
      </w:r>
      <w:r>
        <w:rPr>
          <w:rStyle w:val="TextItalic"/>
        </w:rPr>
        <w:t>Cold Hard Facts 2: A study of the refrigeration and air conditioning industry in Australia</w:t>
      </w:r>
      <w:r>
        <w:t xml:space="preserve">—July 2013 </w:t>
      </w:r>
      <w:r w:rsidRPr="00D80DB8">
        <w:t>http://www.environment.gov.au/protection/ozone/publications/cold-hard-facts-2</w:t>
      </w:r>
      <w:r>
        <w:t xml:space="preserve"> </w:t>
      </w:r>
    </w:p>
    <w:p w14:paraId="56469B67" w14:textId="77777777" w:rsidR="00BB2B23" w:rsidRDefault="00BB2B23" w:rsidP="00BB2B23">
      <w:pPr>
        <w:pStyle w:val="FootnoteText1"/>
      </w:pPr>
    </w:p>
  </w:footnote>
  <w:footnote w:id="9">
    <w:p w14:paraId="56469B68" w14:textId="77777777" w:rsidR="00BB2B23" w:rsidRDefault="00BB2B23" w:rsidP="00BB2B23">
      <w:pPr>
        <w:pStyle w:val="FootnoteText1"/>
        <w:rPr>
          <w:rStyle w:val="TextItalic"/>
        </w:rPr>
      </w:pPr>
      <w:r>
        <w:footnoteRef/>
      </w:r>
      <w:r>
        <w:tab/>
      </w:r>
      <w:r>
        <w:rPr>
          <w:rStyle w:val="TextItalic"/>
        </w:rPr>
        <w:t>Ozone Protection and Synthetic Greenhouse Gas Management Act 1989</w:t>
      </w:r>
    </w:p>
    <w:p w14:paraId="56469B69" w14:textId="77777777" w:rsidR="00BB2B23" w:rsidRDefault="00BB2B23" w:rsidP="00BB2B23">
      <w:pPr>
        <w:pStyle w:val="FootnoteText1"/>
        <w:rPr>
          <w:rStyle w:val="TextItalic"/>
        </w:rPr>
      </w:pPr>
      <w:r>
        <w:rPr>
          <w:rStyle w:val="TextItalic"/>
        </w:rPr>
        <w:tab/>
        <w:t>Ozone Protection and Synthetic Greenhouse Gas (Import Levy) Act 1995</w:t>
      </w:r>
    </w:p>
    <w:p w14:paraId="56469B6A" w14:textId="77777777" w:rsidR="00BB2B23" w:rsidRDefault="00BB2B23" w:rsidP="00BB2B23">
      <w:pPr>
        <w:pStyle w:val="FootnoteText1"/>
        <w:rPr>
          <w:rStyle w:val="TextItalic"/>
        </w:rPr>
      </w:pPr>
      <w:r>
        <w:rPr>
          <w:rStyle w:val="TextItalic"/>
        </w:rPr>
        <w:tab/>
        <w:t>Ozone Protection and Synthetic Greenhouse Gas (Manufacture Levy) Act 1995</w:t>
      </w:r>
    </w:p>
    <w:p w14:paraId="56469B6B" w14:textId="77777777" w:rsidR="00BB2B23" w:rsidRDefault="00BB2B23" w:rsidP="00BB2B23">
      <w:pPr>
        <w:pStyle w:val="FootnoteText1"/>
        <w:rPr>
          <w:rStyle w:val="TextItalic"/>
        </w:rPr>
      </w:pPr>
      <w:r>
        <w:rPr>
          <w:rStyle w:val="TextItalic"/>
        </w:rPr>
        <w:tab/>
        <w:t xml:space="preserve">Ozone Protection and Synthetic Greenhouse Gas Management Regulations 1995 </w:t>
      </w:r>
    </w:p>
    <w:p w14:paraId="56469B6C" w14:textId="77777777" w:rsidR="00BB2B23" w:rsidRDefault="00BB2B23" w:rsidP="00BB2B23">
      <w:pPr>
        <w:pStyle w:val="FootnoteText1"/>
        <w:rPr>
          <w:rStyle w:val="TextItalic"/>
        </w:rPr>
      </w:pPr>
      <w:r>
        <w:rPr>
          <w:rStyle w:val="TextItalic"/>
        </w:rPr>
        <w:tab/>
        <w:t>Ozone Protection and Synthetic Greenhouse Gas (Import Levy) Regulations 2004</w:t>
      </w:r>
    </w:p>
    <w:p w14:paraId="56469B6D" w14:textId="77777777" w:rsidR="00BB2B23" w:rsidRDefault="00BB2B23" w:rsidP="00BB2B23">
      <w:pPr>
        <w:pStyle w:val="FootnoteText1"/>
      </w:pPr>
      <w:r>
        <w:rPr>
          <w:rStyle w:val="TextItalic"/>
        </w:rPr>
        <w:tab/>
        <w:t>Ozone Protection and Synthetic Greenhouse Gas (Manufacture Levy) Regulations 2004</w:t>
      </w:r>
    </w:p>
  </w:footnote>
  <w:footnote w:id="10">
    <w:p w14:paraId="56469B6E" w14:textId="77777777" w:rsidR="00BB2B23" w:rsidRDefault="00BB2B23" w:rsidP="00BB2B23">
      <w:pPr>
        <w:pStyle w:val="FootnoteText1"/>
      </w:pPr>
      <w:r>
        <w:footnoteRef/>
      </w:r>
      <w:r>
        <w:tab/>
        <w:t>Pg 6 Department of the Environment, Australia’s emissions projections 2014–15 Report, March 2015 (</w:t>
      </w:r>
      <w:hyperlink r:id="rId2" w:history="1">
        <w:r>
          <w:rPr>
            <w:rStyle w:val="Hyperlink"/>
          </w:rPr>
          <w:t>http://www.environment.gov.au/system/files/resources/f4bdfc0e-9a05–4c0b-bb04-e628ba4b12fd/files/australias-emissions-projections-2014–15.pdf</w:t>
        </w:r>
      </w:hyperlink>
      <w:r>
        <w:t>)</w:t>
      </w:r>
    </w:p>
    <w:p w14:paraId="56469B6F" w14:textId="77777777" w:rsidR="00BB2B23" w:rsidRDefault="00BB2B23" w:rsidP="00BB2B23">
      <w:pPr>
        <w:pStyle w:val="FootnoteText1"/>
      </w:pPr>
    </w:p>
  </w:footnote>
  <w:footnote w:id="11">
    <w:p w14:paraId="56469B70" w14:textId="535B557C" w:rsidR="00BB2B23" w:rsidRDefault="00BB2B23" w:rsidP="00BB2B23">
      <w:pPr>
        <w:pStyle w:val="FootnoteText1"/>
      </w:pPr>
      <w:r>
        <w:footnoteRef/>
      </w:r>
      <w:r>
        <w:tab/>
        <w:t>Cost Benefit Analysis of Ozone Depleting and Synthetic Greenhouse Gas Reduction Policies, August 2015, Jacobs Australia Pty Limited for the Department of The Environment, Pg 9 (</w:t>
      </w:r>
      <w:r w:rsidRPr="00D80DB8">
        <w:t>https://www.environment.gov.au/system/files/consultations/fe81135c-a55e-45b6-ae4b-ef02f1616ba2/files/ozone-acts-review-cost-benefit-analysis.pdf</w:t>
      </w:r>
      <w:r>
        <w:t>)</w:t>
      </w:r>
    </w:p>
    <w:p w14:paraId="56469B71" w14:textId="77777777" w:rsidR="00BB2B23" w:rsidRDefault="00BB2B23" w:rsidP="00BB2B23">
      <w:pPr>
        <w:pStyle w:val="FootnoteText1"/>
      </w:pPr>
    </w:p>
  </w:footnote>
  <w:footnote w:id="12">
    <w:p w14:paraId="56469B72" w14:textId="77777777" w:rsidR="00BB2B23" w:rsidRDefault="00BB2B23" w:rsidP="00BB2B23">
      <w:pPr>
        <w:pStyle w:val="FootnoteText1"/>
        <w:rPr>
          <w:rStyle w:val="Hyperlink"/>
        </w:rPr>
      </w:pPr>
      <w:r>
        <w:footnoteRef/>
      </w:r>
      <w:r>
        <w:tab/>
      </w:r>
      <w:r>
        <w:rPr>
          <w:rStyle w:val="Hyperlink"/>
        </w:rPr>
        <w:t>http://www.cuttingredtape.gov.au/handbook/australian-government-guide-regulation</w:t>
      </w:r>
    </w:p>
    <w:p w14:paraId="56469B73" w14:textId="77777777" w:rsidR="00BB2B23" w:rsidRDefault="00BB2B23" w:rsidP="00BB2B23">
      <w:pPr>
        <w:pStyle w:val="FootnoteText1"/>
      </w:pPr>
    </w:p>
  </w:footnote>
  <w:footnote w:id="13">
    <w:p w14:paraId="56469B74" w14:textId="6A8A12F7" w:rsidR="00BB2B23" w:rsidRDefault="00BB2B23" w:rsidP="00BB2B23">
      <w:pPr>
        <w:pStyle w:val="FootnoteText1"/>
      </w:pPr>
      <w:r>
        <w:footnoteRef/>
      </w:r>
      <w:r>
        <w:tab/>
        <w:t>Cost Benefit Analysis, Jacobs, 2015, pp 28 (</w:t>
      </w:r>
      <w:r w:rsidRPr="00D80DB8">
        <w:t>https://www.environment.gov.au/system/files/consultations/fe81135c-a55e-45b6-ae4b-ef02f1616ba2/files/ozone-acts-review-cost-benefit-analysis.pdf</w:t>
      </w:r>
      <w:r>
        <w:t>)</w:t>
      </w:r>
    </w:p>
    <w:p w14:paraId="56469B75" w14:textId="77777777" w:rsidR="00BB2B23" w:rsidRDefault="00BB2B23" w:rsidP="00BB2B23">
      <w:pPr>
        <w:pStyle w:val="FootnoteText1"/>
      </w:pPr>
    </w:p>
  </w:footnote>
  <w:footnote w:id="14">
    <w:p w14:paraId="56469B76" w14:textId="77777777" w:rsidR="00BB2B23" w:rsidRDefault="00BB2B23" w:rsidP="00BB2B23">
      <w:pPr>
        <w:pStyle w:val="FootnoteText1"/>
      </w:pPr>
      <w:r>
        <w:footnoteRef/>
      </w:r>
      <w:r>
        <w:tab/>
        <w:t>Note that the CBA model uses the current average cost of abatement of 1 tonne of carbon, not the conventional social cost of carbon emissions (i.e. the marginal damage cost of a tonne of carbon).</w:t>
      </w:r>
    </w:p>
    <w:p w14:paraId="56469B77" w14:textId="77777777" w:rsidR="00BB2B23" w:rsidRDefault="00BB2B23" w:rsidP="00BB2B23">
      <w:pPr>
        <w:pStyle w:val="FootnoteText1"/>
      </w:pPr>
    </w:p>
  </w:footnote>
  <w:footnote w:id="15">
    <w:p w14:paraId="56469B78" w14:textId="67A0539F" w:rsidR="00BB2B23" w:rsidRDefault="00BB2B23" w:rsidP="00BB2B23">
      <w:pPr>
        <w:pStyle w:val="FootnoteText1"/>
      </w:pPr>
      <w:r>
        <w:footnoteRef/>
      </w:r>
      <w:r>
        <w:tab/>
        <w:t xml:space="preserve">Expert Group (2015), Assessment of Environmental Impacts from the </w:t>
      </w:r>
      <w:r>
        <w:rPr>
          <w:rStyle w:val="TextItalic"/>
        </w:rPr>
        <w:t>Ozone Protection and Synthetic Greenhouse Gas Management Act 1989</w:t>
      </w:r>
      <w:r>
        <w:t>, draft report to the Department of the Environment, February 2015. (</w:t>
      </w:r>
      <w:r w:rsidRPr="00D80DB8">
        <w:t>https://www.environment.gov.au/system/files/consultations/fe81135c-a55e-45b6-ae4b-ef02f1616ba2/files/ozone-acts-review-environmental-impact-analysis.pdf</w:t>
      </w:r>
      <w:r>
        <w:t>)</w:t>
      </w:r>
    </w:p>
    <w:p w14:paraId="56469B79" w14:textId="77777777" w:rsidR="00BB2B23" w:rsidRDefault="00BB2B23" w:rsidP="00BB2B23">
      <w:pPr>
        <w:pStyle w:val="FootnoteText1"/>
      </w:pPr>
    </w:p>
  </w:footnote>
  <w:footnote w:id="16">
    <w:p w14:paraId="56469B7A" w14:textId="77777777" w:rsidR="00BB2B23" w:rsidRDefault="00BB2B23" w:rsidP="00BB2B23">
      <w:pPr>
        <w:pStyle w:val="FootnoteText1"/>
      </w:pPr>
      <w:r>
        <w:footnoteRef/>
      </w:r>
      <w:r>
        <w:tab/>
        <w:t>Expert views around change in maintenance costs under use of different refrigerants are varied. To maintain consistency in the use of data around change in capital, maintenance, and energy costs, we have opted to take data from a single source that (generally) describes increased maintenance costs. There may be some instances however where maintenance costs do not change or may even reduce because the equipment design has incorporated improved engineering and safety measures to counter any increased hazard.</w:t>
      </w:r>
    </w:p>
    <w:p w14:paraId="56469B7B" w14:textId="77777777" w:rsidR="00BB2B23" w:rsidRDefault="00BB2B23" w:rsidP="00BB2B23">
      <w:pPr>
        <w:pStyle w:val="FootnoteText1"/>
      </w:pPr>
    </w:p>
  </w:footnote>
  <w:footnote w:id="17">
    <w:p w14:paraId="56469B7C" w14:textId="13CDC145" w:rsidR="00BB2B23" w:rsidRDefault="00BB2B23" w:rsidP="00BB2B23">
      <w:pPr>
        <w:pStyle w:val="FootnoteText1"/>
      </w:pPr>
      <w:r>
        <w:footnoteRef/>
      </w:r>
      <w:r>
        <w:tab/>
        <w:t>Additional cost details can be found in Jacobs Report page 22, Table 4.3. (</w:t>
      </w:r>
      <w:r w:rsidRPr="00D80DB8">
        <w:t>https://www.environment.gov.au/system/files/consultations/fe81135c-a55e-45b6-ae4b-ef02f1616ba2/files/ozone-acts-review-cost-benefit-analysis.pdf</w:t>
      </w:r>
      <w:r>
        <w:t>)</w:t>
      </w:r>
    </w:p>
    <w:p w14:paraId="56469B7D" w14:textId="77777777" w:rsidR="00BB2B23" w:rsidRDefault="00BB2B23" w:rsidP="00BB2B23">
      <w:pPr>
        <w:pStyle w:val="FootnoteText1"/>
      </w:pPr>
    </w:p>
  </w:footnote>
  <w:footnote w:id="18">
    <w:p w14:paraId="56469B7E" w14:textId="53BD71DF" w:rsidR="00BB2B23" w:rsidRDefault="00BB2B23" w:rsidP="00BB2B23">
      <w:pPr>
        <w:pStyle w:val="FootnoteText1"/>
      </w:pPr>
      <w:r>
        <w:footnoteRef/>
      </w:r>
      <w:r>
        <w:tab/>
        <w:t xml:space="preserve">Cold Hard Facts 2: </w:t>
      </w:r>
      <w:r w:rsidRPr="00D80DB8">
        <w:t>http://www.environment.gov.au/protection/ozone/publications/cold-hard-facts-2</w:t>
      </w:r>
      <w:r>
        <w:t xml:space="preserve"> </w:t>
      </w:r>
    </w:p>
  </w:footnote>
  <w:footnote w:id="19">
    <w:p w14:paraId="56469B7F" w14:textId="44336A62" w:rsidR="00BB2B23" w:rsidRDefault="00BB2B23" w:rsidP="00BB2B23">
      <w:pPr>
        <w:pStyle w:val="FootnoteText1"/>
      </w:pPr>
      <w:r>
        <w:footnoteRef/>
      </w:r>
      <w:r>
        <w:tab/>
        <w:t>Schwarz, W. et al (2011), Preparatory study for a review of Regulation (EC) No. 842/2006 on certain fluorinated greenhouse gases, Final report to European Commission, September 2011. (</w:t>
      </w:r>
      <w:r w:rsidRPr="00D80DB8">
        <w:t>http://ec.europa.eu/clima/policies/f-gas/docs/2011_study_en.pdf</w:t>
      </w:r>
      <w:r>
        <w:t>)</w:t>
      </w:r>
    </w:p>
    <w:p w14:paraId="56469B80" w14:textId="77777777" w:rsidR="00BB2B23" w:rsidRDefault="00BB2B23" w:rsidP="00BB2B23">
      <w:pPr>
        <w:pStyle w:val="FootnoteText1"/>
      </w:pPr>
    </w:p>
  </w:footnote>
  <w:footnote w:id="20">
    <w:p w14:paraId="56469B81" w14:textId="247BE40D" w:rsidR="00BB2B23" w:rsidRDefault="00BB2B23" w:rsidP="00BB2B23">
      <w:pPr>
        <w:pStyle w:val="FootnoteText1"/>
      </w:pPr>
      <w:r>
        <w:footnoteRef/>
      </w:r>
      <w:r>
        <w:tab/>
        <w:t xml:space="preserve">Additional information about the framework can be found on </w:t>
      </w:r>
      <w:r w:rsidRPr="00D80DB8">
        <w:t>www.cuttingredtape.gov.au</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69B52" w14:textId="77777777" w:rsidR="00100BEF" w:rsidRDefault="00161533" w:rsidP="00E45765">
    <w:pPr>
      <w:pStyle w:val="Classification"/>
    </w:pPr>
    <w:r>
      <w:fldChar w:fldCharType="begin"/>
    </w:r>
    <w:r w:rsidR="002148E9">
      <w:instrText xml:space="preserve"> DOCPROPERTY SecurityClassification \* MERGEFORMAT </w:instrText>
    </w:r>
    <w:r>
      <w:fldChar w:fldCharType="separate"/>
    </w:r>
    <w:r w:rsidR="00BB2B23">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69B53" w14:textId="77777777"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69B56" w14:textId="77777777"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456429"/>
    <w:multiLevelType w:val="multilevel"/>
    <w:tmpl w:val="E898CC72"/>
    <w:numStyleLink w:val="KeyPoints"/>
  </w:abstractNum>
  <w:abstractNum w:abstractNumId="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DF6293"/>
    <w:rsid w:val="00004AEE"/>
    <w:rsid w:val="00005CAA"/>
    <w:rsid w:val="00010210"/>
    <w:rsid w:val="00012D66"/>
    <w:rsid w:val="00015ADA"/>
    <w:rsid w:val="00020C99"/>
    <w:rsid w:val="0002707B"/>
    <w:rsid w:val="0005026F"/>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1533"/>
    <w:rsid w:val="0016780A"/>
    <w:rsid w:val="001713FA"/>
    <w:rsid w:val="00173EBF"/>
    <w:rsid w:val="00175ED3"/>
    <w:rsid w:val="001805DB"/>
    <w:rsid w:val="001842A2"/>
    <w:rsid w:val="00187FA8"/>
    <w:rsid w:val="00192F5E"/>
    <w:rsid w:val="00197772"/>
    <w:rsid w:val="001A1B85"/>
    <w:rsid w:val="001A51C8"/>
    <w:rsid w:val="001B4CA8"/>
    <w:rsid w:val="001B5EA1"/>
    <w:rsid w:val="001C4F3D"/>
    <w:rsid w:val="001D0CDC"/>
    <w:rsid w:val="001D1D82"/>
    <w:rsid w:val="001E1182"/>
    <w:rsid w:val="001F2063"/>
    <w:rsid w:val="00202C90"/>
    <w:rsid w:val="0021328B"/>
    <w:rsid w:val="00213DE8"/>
    <w:rsid w:val="002148E9"/>
    <w:rsid w:val="00216118"/>
    <w:rsid w:val="002209AB"/>
    <w:rsid w:val="002251E3"/>
    <w:rsid w:val="00227A95"/>
    <w:rsid w:val="002316BD"/>
    <w:rsid w:val="002473FC"/>
    <w:rsid w:val="00252E3C"/>
    <w:rsid w:val="00262198"/>
    <w:rsid w:val="00274D3E"/>
    <w:rsid w:val="00285F1B"/>
    <w:rsid w:val="00292B81"/>
    <w:rsid w:val="002B18AE"/>
    <w:rsid w:val="002C06E4"/>
    <w:rsid w:val="002C1C93"/>
    <w:rsid w:val="002C5066"/>
    <w:rsid w:val="002C5813"/>
    <w:rsid w:val="002D2BEB"/>
    <w:rsid w:val="002D4AAC"/>
    <w:rsid w:val="002F045A"/>
    <w:rsid w:val="0030039D"/>
    <w:rsid w:val="0030326F"/>
    <w:rsid w:val="00310701"/>
    <w:rsid w:val="00315980"/>
    <w:rsid w:val="00316F7F"/>
    <w:rsid w:val="003218E8"/>
    <w:rsid w:val="00325963"/>
    <w:rsid w:val="00325E34"/>
    <w:rsid w:val="00330DCE"/>
    <w:rsid w:val="00331E11"/>
    <w:rsid w:val="00334761"/>
    <w:rsid w:val="003375AA"/>
    <w:rsid w:val="00337EBC"/>
    <w:rsid w:val="00341DCD"/>
    <w:rsid w:val="0034563E"/>
    <w:rsid w:val="003518D6"/>
    <w:rsid w:val="0035460C"/>
    <w:rsid w:val="003556BD"/>
    <w:rsid w:val="00365147"/>
    <w:rsid w:val="0037016E"/>
    <w:rsid w:val="00372810"/>
    <w:rsid w:val="00372908"/>
    <w:rsid w:val="00381527"/>
    <w:rsid w:val="00383020"/>
    <w:rsid w:val="00394D7E"/>
    <w:rsid w:val="003975FD"/>
    <w:rsid w:val="003A06F9"/>
    <w:rsid w:val="003B057D"/>
    <w:rsid w:val="003B60CC"/>
    <w:rsid w:val="003C1B25"/>
    <w:rsid w:val="003C2443"/>
    <w:rsid w:val="003C5DA3"/>
    <w:rsid w:val="003D4BCD"/>
    <w:rsid w:val="003D6C2B"/>
    <w:rsid w:val="003E01D8"/>
    <w:rsid w:val="003E2100"/>
    <w:rsid w:val="003F6F5B"/>
    <w:rsid w:val="0040342D"/>
    <w:rsid w:val="004106EB"/>
    <w:rsid w:val="0041192D"/>
    <w:rsid w:val="00413EE1"/>
    <w:rsid w:val="0042128E"/>
    <w:rsid w:val="00432B60"/>
    <w:rsid w:val="00440698"/>
    <w:rsid w:val="004540E2"/>
    <w:rsid w:val="00454454"/>
    <w:rsid w:val="00460607"/>
    <w:rsid w:val="00467924"/>
    <w:rsid w:val="004712A5"/>
    <w:rsid w:val="0047266F"/>
    <w:rsid w:val="00474426"/>
    <w:rsid w:val="00476D6B"/>
    <w:rsid w:val="00492C16"/>
    <w:rsid w:val="004A0678"/>
    <w:rsid w:val="004A48A3"/>
    <w:rsid w:val="004B0D92"/>
    <w:rsid w:val="004B0EC0"/>
    <w:rsid w:val="004B66F1"/>
    <w:rsid w:val="004C3EA0"/>
    <w:rsid w:val="004C5B3F"/>
    <w:rsid w:val="004F465C"/>
    <w:rsid w:val="004F7169"/>
    <w:rsid w:val="005009A6"/>
    <w:rsid w:val="00500D66"/>
    <w:rsid w:val="0050266D"/>
    <w:rsid w:val="00514C8E"/>
    <w:rsid w:val="00531DBF"/>
    <w:rsid w:val="00545759"/>
    <w:rsid w:val="00545BE0"/>
    <w:rsid w:val="00546930"/>
    <w:rsid w:val="00554C6A"/>
    <w:rsid w:val="00562E85"/>
    <w:rsid w:val="0056332F"/>
    <w:rsid w:val="005719B3"/>
    <w:rsid w:val="0057295E"/>
    <w:rsid w:val="00573AA0"/>
    <w:rsid w:val="00581C39"/>
    <w:rsid w:val="005903B6"/>
    <w:rsid w:val="005A0247"/>
    <w:rsid w:val="005A126E"/>
    <w:rsid w:val="005A452F"/>
    <w:rsid w:val="005B140D"/>
    <w:rsid w:val="005C0FE8"/>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4D2D"/>
    <w:rsid w:val="00646122"/>
    <w:rsid w:val="00653B4B"/>
    <w:rsid w:val="00653E16"/>
    <w:rsid w:val="00657220"/>
    <w:rsid w:val="00657362"/>
    <w:rsid w:val="0066104B"/>
    <w:rsid w:val="006655EE"/>
    <w:rsid w:val="00667C10"/>
    <w:rsid w:val="00667EF4"/>
    <w:rsid w:val="00672C76"/>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167C0"/>
    <w:rsid w:val="00716B8A"/>
    <w:rsid w:val="00720481"/>
    <w:rsid w:val="00733193"/>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713FB"/>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479E3"/>
    <w:rsid w:val="00952DDF"/>
    <w:rsid w:val="00963B6A"/>
    <w:rsid w:val="00970950"/>
    <w:rsid w:val="009812D4"/>
    <w:rsid w:val="009920D8"/>
    <w:rsid w:val="009B38BE"/>
    <w:rsid w:val="009B5F08"/>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4B82"/>
    <w:rsid w:val="00A55F5B"/>
    <w:rsid w:val="00A60185"/>
    <w:rsid w:val="00A661EA"/>
    <w:rsid w:val="00A830E5"/>
    <w:rsid w:val="00A87135"/>
    <w:rsid w:val="00A93280"/>
    <w:rsid w:val="00A951EA"/>
    <w:rsid w:val="00A96A36"/>
    <w:rsid w:val="00AA04D2"/>
    <w:rsid w:val="00AA2150"/>
    <w:rsid w:val="00AA2548"/>
    <w:rsid w:val="00AA58C4"/>
    <w:rsid w:val="00AB11C8"/>
    <w:rsid w:val="00AC08A8"/>
    <w:rsid w:val="00AC69B2"/>
    <w:rsid w:val="00AD56C8"/>
    <w:rsid w:val="00AD58F2"/>
    <w:rsid w:val="00B0512A"/>
    <w:rsid w:val="00B0529F"/>
    <w:rsid w:val="00B1418B"/>
    <w:rsid w:val="00B21195"/>
    <w:rsid w:val="00B24B22"/>
    <w:rsid w:val="00B25310"/>
    <w:rsid w:val="00B32F8F"/>
    <w:rsid w:val="00B54DE9"/>
    <w:rsid w:val="00B54F43"/>
    <w:rsid w:val="00B553EC"/>
    <w:rsid w:val="00B55E3F"/>
    <w:rsid w:val="00B8204E"/>
    <w:rsid w:val="00B93DD0"/>
    <w:rsid w:val="00B97732"/>
    <w:rsid w:val="00BA65A8"/>
    <w:rsid w:val="00BA6D19"/>
    <w:rsid w:val="00BA7461"/>
    <w:rsid w:val="00BA7DA9"/>
    <w:rsid w:val="00BB2B23"/>
    <w:rsid w:val="00BB5D1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770B9"/>
    <w:rsid w:val="00C8276E"/>
    <w:rsid w:val="00C842AC"/>
    <w:rsid w:val="00C87B3C"/>
    <w:rsid w:val="00C96688"/>
    <w:rsid w:val="00C96B15"/>
    <w:rsid w:val="00CA0723"/>
    <w:rsid w:val="00CB1690"/>
    <w:rsid w:val="00CC4365"/>
    <w:rsid w:val="00CC5D4E"/>
    <w:rsid w:val="00CD11B0"/>
    <w:rsid w:val="00CD77A8"/>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80DB8"/>
    <w:rsid w:val="00DA1B12"/>
    <w:rsid w:val="00DA54C9"/>
    <w:rsid w:val="00DA6739"/>
    <w:rsid w:val="00DA6CAE"/>
    <w:rsid w:val="00DB1A9E"/>
    <w:rsid w:val="00DB31D6"/>
    <w:rsid w:val="00DB4005"/>
    <w:rsid w:val="00DC34EB"/>
    <w:rsid w:val="00DD32F0"/>
    <w:rsid w:val="00DF1E5B"/>
    <w:rsid w:val="00DF2275"/>
    <w:rsid w:val="00DF3F5E"/>
    <w:rsid w:val="00DF5653"/>
    <w:rsid w:val="00DF6293"/>
    <w:rsid w:val="00E0596E"/>
    <w:rsid w:val="00E06F66"/>
    <w:rsid w:val="00E356E5"/>
    <w:rsid w:val="00E36F81"/>
    <w:rsid w:val="00E45765"/>
    <w:rsid w:val="00E5098C"/>
    <w:rsid w:val="00E60213"/>
    <w:rsid w:val="00E661B2"/>
    <w:rsid w:val="00E74D29"/>
    <w:rsid w:val="00E83C74"/>
    <w:rsid w:val="00E83CEE"/>
    <w:rsid w:val="00E844FB"/>
    <w:rsid w:val="00E91F18"/>
    <w:rsid w:val="00E9226D"/>
    <w:rsid w:val="00EA416C"/>
    <w:rsid w:val="00EA5941"/>
    <w:rsid w:val="00EB60CE"/>
    <w:rsid w:val="00EB7D53"/>
    <w:rsid w:val="00EC196F"/>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543F8"/>
    <w:rsid w:val="00F65A1C"/>
    <w:rsid w:val="00F66F50"/>
    <w:rsid w:val="00F6735B"/>
    <w:rsid w:val="00F74FC3"/>
    <w:rsid w:val="00F82FF8"/>
    <w:rsid w:val="00F8330D"/>
    <w:rsid w:val="00F84305"/>
    <w:rsid w:val="00F8485C"/>
    <w:rsid w:val="00F84BF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6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BB2B23"/>
    <w:pPr>
      <w:spacing w:before="120" w:after="120" w:line="360" w:lineRule="auto"/>
    </w:pPr>
    <w:rPr>
      <w:sz w:val="22"/>
      <w:lang w:eastAsia="en-US"/>
    </w:rPr>
  </w:style>
  <w:style w:type="paragraph" w:customStyle="1" w:styleId="Subhead4">
    <w:name w:val="Subhead 4"/>
    <w:next w:val="Text"/>
    <w:uiPriority w:val="99"/>
    <w:qFormat/>
    <w:rsid w:val="004C5B3F"/>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uiPriority w:val="99"/>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paragraph" w:customStyle="1" w:styleId="NoParagraphStyle">
    <w:name w:val="[No Paragraph Style]"/>
    <w:rsid w:val="00BB2B23"/>
    <w:pPr>
      <w:widowControl w:val="0"/>
      <w:autoSpaceDE w:val="0"/>
      <w:autoSpaceDN w:val="0"/>
      <w:adjustRightInd w:val="0"/>
      <w:spacing w:line="288" w:lineRule="auto"/>
      <w:textAlignment w:val="center"/>
    </w:pPr>
    <w:rPr>
      <w:rFonts w:ascii="Times (T1) Regular" w:eastAsiaTheme="minorEastAsia" w:hAnsi="Times (T1) Regular" w:cs="Times (T1) Regular"/>
      <w:color w:val="000000"/>
      <w:sz w:val="24"/>
      <w:szCs w:val="24"/>
      <w:lang w:val="en-US"/>
    </w:rPr>
  </w:style>
  <w:style w:type="paragraph" w:customStyle="1" w:styleId="Covertitle0">
    <w:name w:val="Cover title"/>
    <w:basedOn w:val="NoParagraphStyle"/>
    <w:uiPriority w:val="99"/>
    <w:rsid w:val="00BB2B23"/>
    <w:pPr>
      <w:suppressAutoHyphens/>
      <w:spacing w:line="660" w:lineRule="atLeast"/>
    </w:pPr>
    <w:rPr>
      <w:rFonts w:ascii="Myriad Pro" w:hAnsi="Myriad Pro" w:cs="Myriad Pro"/>
      <w:color w:val="134F8E"/>
      <w:sz w:val="58"/>
      <w:szCs w:val="58"/>
      <w:lang w:val="en-GB"/>
    </w:rPr>
  </w:style>
  <w:style w:type="paragraph" w:customStyle="1" w:styleId="Coversubtitle0">
    <w:name w:val="Cover subtitle"/>
    <w:basedOn w:val="NoParagraphStyle"/>
    <w:uiPriority w:val="99"/>
    <w:rsid w:val="00BB2B23"/>
    <w:pPr>
      <w:suppressAutoHyphens/>
      <w:spacing w:before="340"/>
    </w:pPr>
    <w:rPr>
      <w:rFonts w:ascii="Myriad Pro" w:hAnsi="Myriad Pro" w:cs="Myriad Pro"/>
      <w:sz w:val="30"/>
      <w:szCs w:val="30"/>
      <w:lang w:val="en-GB"/>
    </w:rPr>
  </w:style>
  <w:style w:type="paragraph" w:customStyle="1" w:styleId="Coverdate">
    <w:name w:val="Cover date"/>
    <w:basedOn w:val="NoParagraphStyle"/>
    <w:uiPriority w:val="99"/>
    <w:rsid w:val="00BB2B23"/>
    <w:pPr>
      <w:suppressAutoHyphens/>
      <w:spacing w:before="340"/>
    </w:pPr>
    <w:rPr>
      <w:rFonts w:ascii="Myriad Pro" w:hAnsi="Myriad Pro" w:cs="Myriad Pro"/>
      <w:sz w:val="28"/>
      <w:szCs w:val="28"/>
      <w:lang w:val="en-GB"/>
    </w:rPr>
  </w:style>
  <w:style w:type="paragraph" w:customStyle="1" w:styleId="TOC11">
    <w:name w:val="TOC 11"/>
    <w:basedOn w:val="Text"/>
    <w:next w:val="NoParagraphStyle"/>
    <w:uiPriority w:val="99"/>
    <w:rsid w:val="00BB2B23"/>
    <w:pPr>
      <w:widowControl w:val="0"/>
      <w:suppressAutoHyphens/>
      <w:autoSpaceDE w:val="0"/>
      <w:autoSpaceDN w:val="0"/>
      <w:adjustRightInd w:val="0"/>
      <w:spacing w:before="85" w:after="0" w:line="260" w:lineRule="atLeast"/>
      <w:textAlignment w:val="center"/>
    </w:pPr>
    <w:rPr>
      <w:rFonts w:ascii="Myriad Pro Light" w:eastAsiaTheme="minorEastAsia" w:hAnsi="Myriad Pro Light" w:cs="Myriad Pro Light"/>
      <w:color w:val="134F8E"/>
      <w:lang w:val="en-GB" w:eastAsia="en-AU"/>
    </w:rPr>
  </w:style>
  <w:style w:type="paragraph" w:customStyle="1" w:styleId="TOC21">
    <w:name w:val="TOC 21"/>
    <w:basedOn w:val="TOC11"/>
    <w:next w:val="NoParagraphStyle"/>
    <w:uiPriority w:val="99"/>
    <w:rsid w:val="00BB2B23"/>
    <w:pPr>
      <w:spacing w:before="57" w:line="240" w:lineRule="atLeast"/>
      <w:ind w:left="283"/>
    </w:pPr>
    <w:rPr>
      <w:rFonts w:ascii="Adobe Garamond Pro Bold" w:hAnsi="Adobe Garamond Pro Bold" w:cs="Adobe Garamond Pro Bold"/>
      <w:b/>
      <w:bCs/>
      <w:color w:val="000000"/>
      <w:sz w:val="18"/>
      <w:szCs w:val="18"/>
    </w:rPr>
  </w:style>
  <w:style w:type="paragraph" w:customStyle="1" w:styleId="TOC31">
    <w:name w:val="TOC 31"/>
    <w:basedOn w:val="TOC21"/>
    <w:next w:val="NoParagraphStyle"/>
    <w:uiPriority w:val="99"/>
    <w:rsid w:val="00BB2B23"/>
    <w:pPr>
      <w:ind w:left="567"/>
    </w:pPr>
    <w:rPr>
      <w:rFonts w:ascii="Adobe Garamond Pro" w:hAnsi="Adobe Garamond Pro" w:cs="Adobe Garamond Pro"/>
    </w:rPr>
  </w:style>
  <w:style w:type="paragraph" w:customStyle="1" w:styleId="TableofFigures1">
    <w:name w:val="Table of Figures1"/>
    <w:basedOn w:val="Text"/>
    <w:uiPriority w:val="99"/>
    <w:rsid w:val="00BB2B23"/>
    <w:pPr>
      <w:widowControl w:val="0"/>
      <w:suppressAutoHyphens/>
      <w:autoSpaceDE w:val="0"/>
      <w:autoSpaceDN w:val="0"/>
      <w:adjustRightInd w:val="0"/>
      <w:spacing w:before="170" w:after="0" w:line="280" w:lineRule="atLeast"/>
      <w:textAlignment w:val="center"/>
    </w:pPr>
    <w:rPr>
      <w:rFonts w:eastAsiaTheme="minorEastAsia" w:cs="Adobe Garamond Pro"/>
      <w:color w:val="000000"/>
      <w:lang w:val="en-GB" w:eastAsia="en-AU"/>
    </w:rPr>
  </w:style>
  <w:style w:type="paragraph" w:customStyle="1" w:styleId="Subhead5">
    <w:name w:val="Subhead 5"/>
    <w:basedOn w:val="Subhead4"/>
    <w:next w:val="Text"/>
    <w:uiPriority w:val="99"/>
    <w:rsid w:val="00BB2B23"/>
    <w:pPr>
      <w:widowControl w:val="0"/>
      <w:suppressAutoHyphens/>
      <w:autoSpaceDE w:val="0"/>
      <w:autoSpaceDN w:val="0"/>
      <w:adjustRightInd w:val="0"/>
      <w:spacing w:before="227" w:after="0" w:line="280" w:lineRule="atLeast"/>
      <w:ind w:left="340"/>
      <w:textAlignment w:val="center"/>
    </w:pPr>
    <w:rPr>
      <w:rFonts w:eastAsiaTheme="minorEastAsia" w:cs="Myriad Pro"/>
      <w:b w:val="0"/>
      <w:iCs/>
      <w:color w:val="000000"/>
      <w:lang w:eastAsia="en-AU"/>
    </w:rPr>
  </w:style>
  <w:style w:type="paragraph" w:customStyle="1" w:styleId="Figuretitle">
    <w:name w:val="Figure title"/>
    <w:basedOn w:val="Subhead4"/>
    <w:uiPriority w:val="99"/>
    <w:rsid w:val="00AC69B2"/>
    <w:pPr>
      <w:widowControl w:val="0"/>
      <w:suppressAutoHyphens/>
      <w:autoSpaceDE w:val="0"/>
      <w:autoSpaceDN w:val="0"/>
      <w:adjustRightInd w:val="0"/>
      <w:spacing w:before="283" w:after="0" w:line="280" w:lineRule="atLeast"/>
      <w:textAlignment w:val="center"/>
    </w:pPr>
    <w:rPr>
      <w:rFonts w:eastAsiaTheme="minorEastAsia" w:cs="Myriad Pro"/>
      <w:i w:val="0"/>
      <w:szCs w:val="20"/>
      <w:lang w:val="en-GB" w:eastAsia="en-AU"/>
    </w:rPr>
  </w:style>
  <w:style w:type="paragraph" w:customStyle="1" w:styleId="Source">
    <w:name w:val="Source"/>
    <w:basedOn w:val="NoParagraphStyle"/>
    <w:uiPriority w:val="99"/>
    <w:rsid w:val="00BB2B23"/>
    <w:pPr>
      <w:spacing w:before="57" w:after="170" w:line="240" w:lineRule="atLeast"/>
    </w:pPr>
    <w:rPr>
      <w:rFonts w:ascii="Adobe Garamond Pro" w:hAnsi="Adobe Garamond Pro" w:cs="Adobe Garamond Pro"/>
      <w:i/>
      <w:iCs/>
      <w:sz w:val="18"/>
      <w:szCs w:val="18"/>
    </w:rPr>
  </w:style>
  <w:style w:type="paragraph" w:styleId="Title">
    <w:name w:val="Title"/>
    <w:basedOn w:val="Subhead1"/>
    <w:next w:val="Text"/>
    <w:link w:val="TitleChar"/>
    <w:uiPriority w:val="99"/>
    <w:qFormat/>
    <w:rsid w:val="00BB2B23"/>
    <w:pPr>
      <w:widowControl w:val="0"/>
      <w:suppressAutoHyphens/>
      <w:autoSpaceDE w:val="0"/>
      <w:autoSpaceDN w:val="0"/>
      <w:adjustRightInd w:val="0"/>
      <w:spacing w:before="0" w:after="0" w:line="640" w:lineRule="atLeast"/>
      <w:textAlignment w:val="center"/>
    </w:pPr>
    <w:rPr>
      <w:rFonts w:ascii="Myriad Pro Light" w:eastAsiaTheme="minorEastAsia" w:hAnsi="Myriad Pro Light" w:cs="Myriad Pro Light"/>
      <w:b w:val="0"/>
      <w:color w:val="134F8E"/>
      <w:sz w:val="56"/>
      <w:szCs w:val="56"/>
      <w:lang w:val="en-US" w:eastAsia="en-AU"/>
    </w:rPr>
  </w:style>
  <w:style w:type="character" w:customStyle="1" w:styleId="TitleChar">
    <w:name w:val="Title Char"/>
    <w:basedOn w:val="DefaultParagraphFont"/>
    <w:link w:val="Title"/>
    <w:uiPriority w:val="99"/>
    <w:rsid w:val="00BB2B23"/>
    <w:rPr>
      <w:rFonts w:ascii="Myriad Pro Light" w:eastAsiaTheme="minorEastAsia" w:hAnsi="Myriad Pro Light" w:cs="Myriad Pro Light"/>
      <w:color w:val="134F8E"/>
      <w:sz w:val="56"/>
      <w:szCs w:val="56"/>
      <w:lang w:val="en-US"/>
    </w:rPr>
  </w:style>
  <w:style w:type="paragraph" w:customStyle="1" w:styleId="Tabletitle">
    <w:name w:val="Table title"/>
    <w:basedOn w:val="Subhead4"/>
    <w:uiPriority w:val="99"/>
    <w:rsid w:val="00AC69B2"/>
    <w:pPr>
      <w:widowControl w:val="0"/>
      <w:suppressAutoHyphens/>
      <w:autoSpaceDE w:val="0"/>
      <w:autoSpaceDN w:val="0"/>
      <w:adjustRightInd w:val="0"/>
      <w:spacing w:before="283" w:after="0" w:line="280" w:lineRule="atLeast"/>
      <w:textAlignment w:val="center"/>
    </w:pPr>
    <w:rPr>
      <w:rFonts w:eastAsiaTheme="minorEastAsia" w:cs="Myriad Pro"/>
      <w:i w:val="0"/>
      <w:szCs w:val="20"/>
      <w:lang w:val="en-GB" w:eastAsia="en-AU"/>
    </w:rPr>
  </w:style>
  <w:style w:type="paragraph" w:customStyle="1" w:styleId="FootnoteText1">
    <w:name w:val="Footnote Text1"/>
    <w:basedOn w:val="Text"/>
    <w:uiPriority w:val="99"/>
    <w:rsid w:val="00BB2B23"/>
    <w:pPr>
      <w:widowControl w:val="0"/>
      <w:suppressAutoHyphens/>
      <w:autoSpaceDE w:val="0"/>
      <w:autoSpaceDN w:val="0"/>
      <w:adjustRightInd w:val="0"/>
      <w:spacing w:before="57" w:after="0" w:line="200" w:lineRule="atLeast"/>
      <w:ind w:left="227" w:hanging="227"/>
      <w:textAlignment w:val="center"/>
    </w:pPr>
    <w:rPr>
      <w:rFonts w:eastAsiaTheme="minorEastAsia" w:cs="Adobe Garamond Pro"/>
      <w:color w:val="000000"/>
      <w:sz w:val="16"/>
      <w:szCs w:val="16"/>
      <w:lang w:val="en-GB" w:eastAsia="en-AU"/>
    </w:rPr>
  </w:style>
  <w:style w:type="paragraph" w:customStyle="1" w:styleId="Tablesmalltext">
    <w:name w:val="Table small text"/>
    <w:basedOn w:val="Text"/>
    <w:uiPriority w:val="99"/>
    <w:rsid w:val="002C06E4"/>
    <w:pPr>
      <w:widowControl w:val="0"/>
      <w:suppressAutoHyphens/>
      <w:autoSpaceDE w:val="0"/>
      <w:autoSpaceDN w:val="0"/>
      <w:adjustRightInd w:val="0"/>
      <w:spacing w:before="57" w:after="0" w:line="240" w:lineRule="atLeast"/>
      <w:textAlignment w:val="center"/>
    </w:pPr>
    <w:rPr>
      <w:rFonts w:eastAsiaTheme="minorEastAsia" w:cs="Myriad Pro"/>
      <w:color w:val="000000"/>
      <w:sz w:val="18"/>
      <w:szCs w:val="17"/>
      <w:lang w:val="en-GB" w:eastAsia="en-AU"/>
    </w:rPr>
  </w:style>
  <w:style w:type="paragraph" w:customStyle="1" w:styleId="Tablesmallheading">
    <w:name w:val="Table small heading"/>
    <w:basedOn w:val="Tablesmalltext"/>
    <w:uiPriority w:val="99"/>
    <w:rsid w:val="00BB2B23"/>
    <w:pPr>
      <w:keepNext/>
    </w:pPr>
    <w:rPr>
      <w:b/>
      <w:bCs/>
      <w:color w:val="FFFFFF"/>
      <w:sz w:val="16"/>
      <w:szCs w:val="16"/>
    </w:rPr>
  </w:style>
  <w:style w:type="character" w:customStyle="1" w:styleId="TextItalic">
    <w:name w:val="Text Italic"/>
    <w:uiPriority w:val="99"/>
    <w:rsid w:val="00BB2B23"/>
    <w:rPr>
      <w:i/>
      <w:iCs/>
    </w:rPr>
  </w:style>
  <w:style w:type="character" w:customStyle="1" w:styleId="subscript">
    <w:name w:val="subscript"/>
    <w:uiPriority w:val="99"/>
    <w:rsid w:val="00BB2B23"/>
    <w:rPr>
      <w:vertAlign w:val="subscript"/>
    </w:rPr>
  </w:style>
  <w:style w:type="character" w:customStyle="1" w:styleId="FootnoteReference1">
    <w:name w:val="Footnote Reference1"/>
    <w:uiPriority w:val="99"/>
    <w:rsid w:val="00BB2B23"/>
    <w:rPr>
      <w:vertAlign w:val="superscript"/>
    </w:rPr>
  </w:style>
  <w:style w:type="character" w:styleId="Hyperlink">
    <w:name w:val="Hyperlink"/>
    <w:basedOn w:val="DefaultParagraphFont"/>
    <w:uiPriority w:val="99"/>
    <w:rsid w:val="00BB2B23"/>
    <w:rPr>
      <w:color w:val="0070C0"/>
      <w:w w:val="100"/>
      <w:u w:val="single"/>
    </w:rPr>
  </w:style>
  <w:style w:type="character" w:customStyle="1" w:styleId="wingding">
    <w:name w:val="wingding"/>
    <w:uiPriority w:val="99"/>
    <w:rsid w:val="00BB2B23"/>
    <w:rPr>
      <w:rFonts w:ascii="Wingdings" w:hAnsi="Wingdings" w:cs="Wingdings"/>
      <w:sz w:val="18"/>
      <w:szCs w:val="18"/>
    </w:rPr>
  </w:style>
  <w:style w:type="character" w:customStyle="1" w:styleId="underline">
    <w:name w:val="underline"/>
    <w:uiPriority w:val="99"/>
    <w:rsid w:val="00BB2B23"/>
    <w:rPr>
      <w:u w:val="thick"/>
    </w:rPr>
  </w:style>
  <w:style w:type="character" w:customStyle="1" w:styleId="dottedline">
    <w:name w:val="dotted line"/>
    <w:uiPriority w:val="99"/>
    <w:rsid w:val="00BB2B23"/>
    <w:rPr>
      <w:u w:val="dottedHeav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jpeg"/></Relationships>
</file>

<file path=word/_rels/footnotes.xml.rels><?xml version="1.0" encoding="UTF-8" standalone="yes"?>
<Relationships xmlns="http://schemas.openxmlformats.org/package/2006/relationships"><Relationship Id="rId2" Type="http://schemas.openxmlformats.org/officeDocument/2006/relationships/hyperlink" Target="http://www.environment.gov.au/system/files/resources/f4bdfc0e-9a05-4c0b-bb04-e628ba4b12fd/files/australias-emissions-projections-2014-15.pdf" TargetMode="External"/><Relationship Id="rId1" Type="http://schemas.openxmlformats.org/officeDocument/2006/relationships/hyperlink" Target="http://www.environment.gov.au/system/files/resources/f4bdfc0e-9a05-4c0b-bb04-e628ba4b12fd/files/australias-emissions-projections-2014-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CA526-5876-447D-9DA8-DE1A7ABA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5622F815.dotm</Template>
  <TotalTime>0</TotalTime>
  <Pages>71</Pages>
  <Words>20103</Words>
  <Characters>114592</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RIS</vt:lpstr>
    </vt:vector>
  </TitlesOfParts>
  <Company/>
  <LinksUpToDate>false</LinksUpToDate>
  <CharactersWithSpaces>134427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dc:title>
  <dc:subject/>
  <dc:creator/>
  <cp:keywords/>
  <cp:lastModifiedBy/>
  <cp:revision>1</cp:revision>
  <dcterms:created xsi:type="dcterms:W3CDTF">2018-10-10T04:11:00Z</dcterms:created>
  <dcterms:modified xsi:type="dcterms:W3CDTF">2018-10-10T04:11:00Z</dcterms:modified>
</cp:coreProperties>
</file>