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82171" w14:textId="6316ACA8" w:rsidR="000E455C" w:rsidRDefault="00151D95" w:rsidP="0013173D">
      <w:pPr>
        <w:pStyle w:val="Date"/>
        <w:spacing w:before="1440"/>
      </w:pPr>
      <w:r>
        <w:t>March</w:t>
      </w:r>
      <w:r w:rsidR="00C34952">
        <w:t xml:space="preserve"> 202</w:t>
      </w:r>
      <w:r>
        <w:t>5</w:t>
      </w:r>
    </w:p>
    <w:p w14:paraId="29D7A54C" w14:textId="2373D2A6" w:rsidR="00D04A3C" w:rsidRPr="007B4C63" w:rsidRDefault="00C34952" w:rsidP="007B4C63">
      <w:pPr>
        <w:pStyle w:val="Series"/>
      </w:pPr>
      <w:r>
        <w:t xml:space="preserve">Import risk review for dairy products for human </w:t>
      </w:r>
      <w:r w:rsidR="00B34739">
        <w:t>consumption</w:t>
      </w:r>
      <w:r w:rsidR="276A06AC">
        <w:t xml:space="preserve"> (the dairy review)</w:t>
      </w:r>
    </w:p>
    <w:p w14:paraId="6FA5A0D6" w14:textId="3698E735" w:rsidR="00C34952" w:rsidRPr="00C34952" w:rsidRDefault="00C34952" w:rsidP="00C34952">
      <w:pPr>
        <w:pStyle w:val="Heading1"/>
      </w:pPr>
      <w:r>
        <w:t xml:space="preserve">Response to submissions received from the </w:t>
      </w:r>
      <w:r w:rsidR="00151D95">
        <w:t>second</w:t>
      </w:r>
      <w:r>
        <w:t xml:space="preserve"> draft report.</w:t>
      </w:r>
    </w:p>
    <w:p w14:paraId="34CE5274" w14:textId="0D3223D8" w:rsidR="00B82095" w:rsidRPr="00411260" w:rsidRDefault="002F21F1" w:rsidP="00E87842">
      <w:pPr>
        <w:tabs>
          <w:tab w:val="left" w:pos="6135"/>
        </w:tabs>
      </w:pPr>
      <w:r>
        <w:t>We</w:t>
      </w:r>
      <w:r w:rsidR="00C34952">
        <w:t xml:space="preserve"> received </w:t>
      </w:r>
      <w:r>
        <w:t>several</w:t>
      </w:r>
      <w:r w:rsidR="00C34952">
        <w:t xml:space="preserve"> submissions on the </w:t>
      </w:r>
      <w:r w:rsidR="00C34952">
        <w:rPr>
          <w:i/>
          <w:iCs/>
        </w:rPr>
        <w:t>Import risk review for dairy products for human consumption</w:t>
      </w:r>
      <w:r w:rsidR="00C34952">
        <w:t xml:space="preserve">: </w:t>
      </w:r>
      <w:r w:rsidR="00151D95">
        <w:t xml:space="preserve">second </w:t>
      </w:r>
      <w:r w:rsidR="00C34952">
        <w:t>draft report</w:t>
      </w:r>
      <w:r w:rsidR="00B82095" w:rsidRPr="00411260">
        <w:t>.</w:t>
      </w:r>
      <w:r w:rsidR="00C34952">
        <w:t xml:space="preserve"> A combined response document has been prepared as there was significant similarity between many of the questions and comments received.</w:t>
      </w:r>
    </w:p>
    <w:p w14:paraId="57D895DA" w14:textId="5795C532" w:rsidR="00943779" w:rsidRDefault="002301E5" w:rsidP="004E6F1B">
      <w:pPr>
        <w:pStyle w:val="Heading2"/>
        <w:ind w:left="0" w:firstLine="0"/>
      </w:pPr>
      <w:r>
        <w:t xml:space="preserve">Can </w:t>
      </w:r>
      <w:r w:rsidR="002F21F1">
        <w:t>DAFF</w:t>
      </w:r>
      <w:r>
        <w:t xml:space="preserve"> provide guidance </w:t>
      </w:r>
      <w:r w:rsidR="004E6F1B">
        <w:t>to support assessments of dairy products from countries which are not free from foot</w:t>
      </w:r>
      <w:r w:rsidR="00D81D03">
        <w:t>-</w:t>
      </w:r>
      <w:r w:rsidR="004E6F1B">
        <w:t>and</w:t>
      </w:r>
      <w:r w:rsidR="00D81D03">
        <w:t>-</w:t>
      </w:r>
      <w:r w:rsidR="004E6F1B">
        <w:t>mouth disease (FMD)</w:t>
      </w:r>
      <w:r w:rsidR="00C34952">
        <w:t>?</w:t>
      </w:r>
    </w:p>
    <w:p w14:paraId="2AF9ADFA" w14:textId="6103D6F3" w:rsidR="000C4558" w:rsidRDefault="002F21F1">
      <w:pPr>
        <w:rPr>
          <w:lang w:val="en-US"/>
        </w:rPr>
      </w:pPr>
      <w:r>
        <w:t>We have</w:t>
      </w:r>
      <w:r w:rsidR="004E6F1B">
        <w:t xml:space="preserve"> developed </w:t>
      </w:r>
      <w:r w:rsidR="004E6F1B" w:rsidRPr="5A20764D">
        <w:rPr>
          <w:lang w:val="en-US"/>
        </w:rPr>
        <w:t>a fact sheet outlin</w:t>
      </w:r>
      <w:r w:rsidRPr="5A20764D">
        <w:rPr>
          <w:lang w:val="en-US"/>
        </w:rPr>
        <w:t>ing</w:t>
      </w:r>
      <w:r w:rsidR="004E6F1B" w:rsidRPr="5A20764D">
        <w:rPr>
          <w:lang w:val="en-US"/>
        </w:rPr>
        <w:t xml:space="preserve"> the process and components of the risk assessment. </w:t>
      </w:r>
      <w:r w:rsidR="00E41B59" w:rsidRPr="5A20764D">
        <w:rPr>
          <w:lang w:val="en-US"/>
        </w:rPr>
        <w:t xml:space="preserve">This fact sheet was published alongside the dairy review and can be found </w:t>
      </w:r>
      <w:hyperlink r:id="rId11">
        <w:r w:rsidRPr="5A20764D">
          <w:rPr>
            <w:rStyle w:val="Hyperlink"/>
            <w:lang w:val="en-US"/>
          </w:rPr>
          <w:t>here</w:t>
        </w:r>
      </w:hyperlink>
      <w:r w:rsidRPr="5A20764D">
        <w:rPr>
          <w:lang w:val="en-US"/>
        </w:rPr>
        <w:t>.</w:t>
      </w:r>
    </w:p>
    <w:p w14:paraId="41241B19" w14:textId="39A79064" w:rsidR="001B7F8D" w:rsidRDefault="001B7F8D" w:rsidP="001B7F8D">
      <w:pPr>
        <w:pStyle w:val="Heading2"/>
        <w:ind w:left="0" w:firstLine="0"/>
        <w:rPr>
          <w:lang w:val="en-US"/>
        </w:rPr>
      </w:pPr>
      <w:r>
        <w:rPr>
          <w:lang w:val="en-US"/>
        </w:rPr>
        <w:t>The heat treatments for dairy from countries which are not free from FMD are too prescriptive and may not result in a feasible commercial product.</w:t>
      </w:r>
    </w:p>
    <w:p w14:paraId="1590C6F9" w14:textId="6A795276" w:rsidR="001B7F8D" w:rsidRPr="001B7F8D" w:rsidRDefault="001B7F8D" w:rsidP="001B7F8D">
      <w:pPr>
        <w:rPr>
          <w:lang w:val="en-US" w:eastAsia="ja-JP"/>
        </w:rPr>
      </w:pPr>
      <w:r w:rsidRPr="001B7F8D">
        <w:rPr>
          <w:lang w:eastAsia="ja-JP"/>
        </w:rPr>
        <w:t xml:space="preserve">Risk management measures proposed in the dairy review for FMD provide a baseline for adequate risk management. </w:t>
      </w:r>
      <w:r w:rsidR="002F21F1">
        <w:rPr>
          <w:lang w:eastAsia="ja-JP"/>
        </w:rPr>
        <w:t>We</w:t>
      </w:r>
      <w:r w:rsidRPr="001B7F8D">
        <w:rPr>
          <w:lang w:eastAsia="ja-JP"/>
        </w:rPr>
        <w:t xml:space="preserve"> will consider whether alternative treatments are equivalent to what is recommended in the dairy review for FMD risk management.</w:t>
      </w:r>
    </w:p>
    <w:p w14:paraId="645E80EA" w14:textId="4B5D6F07" w:rsidR="004F4F65" w:rsidRPr="00AE75B7" w:rsidRDefault="002F21F1" w:rsidP="00AE75B7">
      <w:pPr>
        <w:pStyle w:val="Heading2"/>
        <w:ind w:left="0" w:firstLine="0"/>
      </w:pPr>
      <w:r>
        <w:t>DAFF</w:t>
      </w:r>
      <w:r w:rsidR="00AE75B7" w:rsidRPr="00AE75B7">
        <w:t xml:space="preserve"> should engage with stakeholders on the issue of repurposing imported dairy products for human consumption as animal feed.</w:t>
      </w:r>
    </w:p>
    <w:p w14:paraId="3EB4927A" w14:textId="3570178E" w:rsidR="00AE75B7" w:rsidRDefault="00AE75B7" w:rsidP="00AE75B7">
      <w:pPr>
        <w:rPr>
          <w:lang w:eastAsia="ja-JP"/>
        </w:rPr>
      </w:pPr>
      <w:r w:rsidRPr="5A20764D">
        <w:rPr>
          <w:lang w:eastAsia="ja-JP"/>
        </w:rPr>
        <w:t xml:space="preserve">Repurposing imported dairy products as animal feed is outside the scope of the dairy review, which only considered the animal biosecurity risks of dairy imported for human consumption. </w:t>
      </w:r>
      <w:r w:rsidR="4CE0D451" w:rsidRPr="5A20764D">
        <w:rPr>
          <w:lang w:eastAsia="ja-JP"/>
        </w:rPr>
        <w:t>The department</w:t>
      </w:r>
      <w:r w:rsidR="002F21F1" w:rsidRPr="5A20764D">
        <w:rPr>
          <w:lang w:eastAsia="ja-JP"/>
        </w:rPr>
        <w:t xml:space="preserve"> ha</w:t>
      </w:r>
      <w:r w:rsidR="070B240B" w:rsidRPr="5A20764D">
        <w:rPr>
          <w:lang w:eastAsia="ja-JP"/>
        </w:rPr>
        <w:t>s</w:t>
      </w:r>
      <w:r w:rsidRPr="5A20764D">
        <w:rPr>
          <w:lang w:eastAsia="ja-JP"/>
        </w:rPr>
        <w:t xml:space="preserve"> conducted initial discussions with relevant stakeholders. If required, any next steps will be considered independently of the dairy review.</w:t>
      </w:r>
    </w:p>
    <w:p w14:paraId="0B1953F0" w14:textId="7A2D78A8" w:rsidR="00AE75B7" w:rsidRDefault="005A5602" w:rsidP="005A5602">
      <w:pPr>
        <w:pStyle w:val="Heading2"/>
        <w:ind w:left="0" w:firstLine="0"/>
      </w:pPr>
      <w:r>
        <w:t xml:space="preserve">Can </w:t>
      </w:r>
      <w:r w:rsidR="002F21F1">
        <w:t>DAFF</w:t>
      </w:r>
      <w:r>
        <w:t xml:space="preserve"> develop import conditions for dairy products sourced from species not in scope of the dairy review?</w:t>
      </w:r>
    </w:p>
    <w:p w14:paraId="4F49D17D" w14:textId="285CBA17" w:rsidR="005A5602" w:rsidRDefault="006B4500" w:rsidP="00AE75B7">
      <w:pPr>
        <w:rPr>
          <w:lang w:eastAsia="ja-JP"/>
        </w:rPr>
      </w:pPr>
      <w:r w:rsidRPr="006B4500">
        <w:rPr>
          <w:lang w:eastAsia="ja-JP"/>
        </w:rPr>
        <w:t>Dairy products manufactured from milk obtained from species other than domestic cattle</w:t>
      </w:r>
      <w:r>
        <w:rPr>
          <w:lang w:eastAsia="ja-JP"/>
        </w:rPr>
        <w:t xml:space="preserve"> (</w:t>
      </w:r>
      <w:r w:rsidRPr="006B4500">
        <w:rPr>
          <w:i/>
          <w:iCs/>
          <w:lang w:eastAsia="ja-JP"/>
        </w:rPr>
        <w:t>Bos taurus</w:t>
      </w:r>
      <w:r>
        <w:rPr>
          <w:lang w:eastAsia="ja-JP"/>
        </w:rPr>
        <w:t>)</w:t>
      </w:r>
      <w:r w:rsidRPr="006B4500">
        <w:rPr>
          <w:lang w:eastAsia="ja-JP"/>
        </w:rPr>
        <w:t>, water buffalo</w:t>
      </w:r>
      <w:r>
        <w:rPr>
          <w:lang w:eastAsia="ja-JP"/>
        </w:rPr>
        <w:t xml:space="preserve"> (</w:t>
      </w:r>
      <w:r w:rsidRPr="006B4500">
        <w:rPr>
          <w:i/>
          <w:iCs/>
          <w:lang w:eastAsia="ja-JP"/>
        </w:rPr>
        <w:t>Bubalis bubalis</w:t>
      </w:r>
      <w:r>
        <w:rPr>
          <w:lang w:eastAsia="ja-JP"/>
        </w:rPr>
        <w:t>)</w:t>
      </w:r>
      <w:r w:rsidRPr="006B4500">
        <w:rPr>
          <w:lang w:eastAsia="ja-JP"/>
        </w:rPr>
        <w:t xml:space="preserve">, </w:t>
      </w:r>
      <w:r>
        <w:rPr>
          <w:lang w:eastAsia="ja-JP"/>
        </w:rPr>
        <w:t xml:space="preserve">domestic </w:t>
      </w:r>
      <w:r w:rsidRPr="006B4500">
        <w:rPr>
          <w:lang w:eastAsia="ja-JP"/>
        </w:rPr>
        <w:t xml:space="preserve">sheep </w:t>
      </w:r>
      <w:r>
        <w:rPr>
          <w:lang w:eastAsia="ja-JP"/>
        </w:rPr>
        <w:t>(</w:t>
      </w:r>
      <w:r w:rsidRPr="006B4500">
        <w:rPr>
          <w:i/>
          <w:iCs/>
          <w:lang w:eastAsia="ja-JP"/>
        </w:rPr>
        <w:t xml:space="preserve">Ovis </w:t>
      </w:r>
      <w:proofErr w:type="spellStart"/>
      <w:r w:rsidRPr="006B4500">
        <w:rPr>
          <w:i/>
          <w:iCs/>
          <w:lang w:eastAsia="ja-JP"/>
        </w:rPr>
        <w:t>aries</w:t>
      </w:r>
      <w:proofErr w:type="spellEnd"/>
      <w:r>
        <w:rPr>
          <w:lang w:eastAsia="ja-JP"/>
        </w:rPr>
        <w:t xml:space="preserve">) </w:t>
      </w:r>
      <w:r w:rsidRPr="006B4500">
        <w:rPr>
          <w:lang w:eastAsia="ja-JP"/>
        </w:rPr>
        <w:t xml:space="preserve">and/or </w:t>
      </w:r>
      <w:r>
        <w:rPr>
          <w:lang w:eastAsia="ja-JP"/>
        </w:rPr>
        <w:t xml:space="preserve">domestic </w:t>
      </w:r>
      <w:r w:rsidRPr="006B4500">
        <w:rPr>
          <w:lang w:eastAsia="ja-JP"/>
        </w:rPr>
        <w:t xml:space="preserve">goats </w:t>
      </w:r>
      <w:r>
        <w:rPr>
          <w:lang w:eastAsia="ja-JP"/>
        </w:rPr>
        <w:t>(</w:t>
      </w:r>
      <w:r w:rsidRPr="006B4500">
        <w:rPr>
          <w:i/>
          <w:iCs/>
          <w:lang w:eastAsia="ja-JP"/>
        </w:rPr>
        <w:t xml:space="preserve">Capra </w:t>
      </w:r>
      <w:proofErr w:type="spellStart"/>
      <w:r w:rsidRPr="006B4500">
        <w:rPr>
          <w:i/>
          <w:iCs/>
          <w:lang w:eastAsia="ja-JP"/>
        </w:rPr>
        <w:t>hircus</w:t>
      </w:r>
      <w:proofErr w:type="spellEnd"/>
      <w:r>
        <w:rPr>
          <w:lang w:eastAsia="ja-JP"/>
        </w:rPr>
        <w:t xml:space="preserve">) </w:t>
      </w:r>
      <w:r w:rsidRPr="006B4500">
        <w:rPr>
          <w:lang w:eastAsia="ja-JP"/>
        </w:rPr>
        <w:t xml:space="preserve">are outside the scope of the dairy review. As </w:t>
      </w:r>
      <w:r w:rsidR="002F21F1">
        <w:rPr>
          <w:lang w:eastAsia="ja-JP"/>
        </w:rPr>
        <w:t>we have</w:t>
      </w:r>
      <w:r w:rsidRPr="006B4500">
        <w:rPr>
          <w:lang w:eastAsia="ja-JP"/>
        </w:rPr>
        <w:t xml:space="preserve"> not assessed the biosecurity risk associated with milk</w:t>
      </w:r>
      <w:r w:rsidR="00E304ED">
        <w:rPr>
          <w:lang w:eastAsia="ja-JP"/>
        </w:rPr>
        <w:t xml:space="preserve"> from other species</w:t>
      </w:r>
      <w:r w:rsidRPr="006B4500">
        <w:rPr>
          <w:lang w:eastAsia="ja-JP"/>
        </w:rPr>
        <w:t xml:space="preserve">, </w:t>
      </w:r>
      <w:r w:rsidR="00E304ED">
        <w:rPr>
          <w:lang w:eastAsia="ja-JP"/>
        </w:rPr>
        <w:t>a risk assessment would</w:t>
      </w:r>
      <w:r w:rsidRPr="006B4500">
        <w:rPr>
          <w:lang w:eastAsia="ja-JP"/>
        </w:rPr>
        <w:t xml:space="preserve"> need to </w:t>
      </w:r>
      <w:r w:rsidR="00E304ED">
        <w:rPr>
          <w:lang w:eastAsia="ja-JP"/>
        </w:rPr>
        <w:t xml:space="preserve">be </w:t>
      </w:r>
      <w:proofErr w:type="gramStart"/>
      <w:r w:rsidRPr="006B4500">
        <w:rPr>
          <w:lang w:eastAsia="ja-JP"/>
        </w:rPr>
        <w:t>conduct</w:t>
      </w:r>
      <w:r w:rsidR="00E304ED">
        <w:rPr>
          <w:lang w:eastAsia="ja-JP"/>
        </w:rPr>
        <w:t>ed</w:t>
      </w:r>
      <w:proofErr w:type="gramEnd"/>
      <w:r w:rsidRPr="006B4500">
        <w:rPr>
          <w:lang w:eastAsia="ja-JP"/>
        </w:rPr>
        <w:t xml:space="preserve"> </w:t>
      </w:r>
      <w:r w:rsidR="002F21F1">
        <w:rPr>
          <w:lang w:eastAsia="ja-JP"/>
        </w:rPr>
        <w:t xml:space="preserve">and </w:t>
      </w:r>
      <w:r w:rsidRPr="006B4500">
        <w:rPr>
          <w:lang w:eastAsia="ja-JP"/>
        </w:rPr>
        <w:t>appropriate conditions</w:t>
      </w:r>
      <w:r w:rsidR="00E304ED">
        <w:rPr>
          <w:lang w:eastAsia="ja-JP"/>
        </w:rPr>
        <w:t xml:space="preserve"> developed</w:t>
      </w:r>
      <w:r w:rsidRPr="006B4500">
        <w:rPr>
          <w:lang w:eastAsia="ja-JP"/>
        </w:rPr>
        <w:t xml:space="preserve"> to manage risks. Assessments </w:t>
      </w:r>
      <w:r w:rsidR="00E304ED">
        <w:rPr>
          <w:lang w:eastAsia="ja-JP"/>
        </w:rPr>
        <w:t xml:space="preserve">would </w:t>
      </w:r>
      <w:r w:rsidRPr="006B4500">
        <w:rPr>
          <w:lang w:eastAsia="ja-JP"/>
        </w:rPr>
        <w:t xml:space="preserve">need to be prioritised and may take </w:t>
      </w:r>
      <w:r w:rsidR="002F21F1">
        <w:rPr>
          <w:lang w:eastAsia="ja-JP"/>
        </w:rPr>
        <w:t>some</w:t>
      </w:r>
      <w:r w:rsidRPr="006B4500">
        <w:rPr>
          <w:lang w:eastAsia="ja-JP"/>
        </w:rPr>
        <w:t xml:space="preserve"> years to complete.</w:t>
      </w:r>
    </w:p>
    <w:p w14:paraId="696536EE" w14:textId="09C110B2" w:rsidR="006D1C3F" w:rsidRPr="006D1C3F" w:rsidRDefault="006D1C3F" w:rsidP="006D1C3F">
      <w:pPr>
        <w:pStyle w:val="Heading2"/>
        <w:ind w:left="0" w:firstLine="0"/>
      </w:pPr>
      <w:r w:rsidRPr="006D1C3F">
        <w:lastRenderedPageBreak/>
        <w:t xml:space="preserve">The risk assessment for </w:t>
      </w:r>
      <w:proofErr w:type="spellStart"/>
      <w:r w:rsidRPr="006D1C3F">
        <w:t>goatpox</w:t>
      </w:r>
      <w:proofErr w:type="spellEnd"/>
      <w:r w:rsidRPr="006D1C3F">
        <w:t xml:space="preserve"> </w:t>
      </w:r>
      <w:r>
        <w:t xml:space="preserve">virus </w:t>
      </w:r>
      <w:r w:rsidRPr="006D1C3F">
        <w:t xml:space="preserve">was extrapolated from other species and may be insufficient. </w:t>
      </w:r>
    </w:p>
    <w:p w14:paraId="6AF94883" w14:textId="14F8BA18" w:rsidR="006D1C3F" w:rsidRPr="006D1C3F" w:rsidRDefault="006D1C3F" w:rsidP="006D1C3F">
      <w:pPr>
        <w:rPr>
          <w:lang w:eastAsia="ja-JP"/>
        </w:rPr>
      </w:pPr>
      <w:r w:rsidRPr="006D1C3F">
        <w:rPr>
          <w:lang w:eastAsia="ja-JP"/>
        </w:rPr>
        <w:t xml:space="preserve">The close genetic relationship between </w:t>
      </w:r>
      <w:proofErr w:type="spellStart"/>
      <w:r w:rsidRPr="006D1C3F">
        <w:rPr>
          <w:lang w:eastAsia="ja-JP"/>
        </w:rPr>
        <w:t>sheeppox</w:t>
      </w:r>
      <w:proofErr w:type="spellEnd"/>
      <w:r w:rsidRPr="006D1C3F">
        <w:rPr>
          <w:lang w:eastAsia="ja-JP"/>
        </w:rPr>
        <w:t xml:space="preserve"> and </w:t>
      </w:r>
      <w:proofErr w:type="spellStart"/>
      <w:r w:rsidRPr="006D1C3F">
        <w:rPr>
          <w:lang w:eastAsia="ja-JP"/>
        </w:rPr>
        <w:t>goatpox</w:t>
      </w:r>
      <w:proofErr w:type="spellEnd"/>
      <w:r w:rsidRPr="006D1C3F">
        <w:rPr>
          <w:lang w:eastAsia="ja-JP"/>
        </w:rPr>
        <w:t xml:space="preserve"> viruses means that the insight gained from studying one virus can be applicable to the other. Furthermore, both </w:t>
      </w:r>
      <w:proofErr w:type="spellStart"/>
      <w:r w:rsidRPr="006D1C3F">
        <w:rPr>
          <w:lang w:eastAsia="ja-JP"/>
        </w:rPr>
        <w:t>sheeppox</w:t>
      </w:r>
      <w:proofErr w:type="spellEnd"/>
      <w:r w:rsidRPr="006D1C3F">
        <w:rPr>
          <w:lang w:eastAsia="ja-JP"/>
        </w:rPr>
        <w:t xml:space="preserve"> and </w:t>
      </w:r>
      <w:proofErr w:type="spellStart"/>
      <w:r w:rsidRPr="006D1C3F">
        <w:rPr>
          <w:lang w:eastAsia="ja-JP"/>
        </w:rPr>
        <w:t>goatpox</w:t>
      </w:r>
      <w:proofErr w:type="spellEnd"/>
      <w:r w:rsidRPr="006D1C3F">
        <w:rPr>
          <w:lang w:eastAsia="ja-JP"/>
        </w:rPr>
        <w:t xml:space="preserve"> are spread through similar transmission pathways. The potential variability in heat sensitivity between different </w:t>
      </w:r>
      <w:proofErr w:type="spellStart"/>
      <w:r w:rsidR="00AD1E1D">
        <w:rPr>
          <w:lang w:eastAsia="ja-JP"/>
        </w:rPr>
        <w:t>capripoxviruses</w:t>
      </w:r>
      <w:proofErr w:type="spellEnd"/>
      <w:r w:rsidRPr="006D1C3F">
        <w:rPr>
          <w:lang w:eastAsia="ja-JP"/>
        </w:rPr>
        <w:t xml:space="preserve"> was considered when determining suitable treatments to manage the risks associated with the importation of dairy products of sheep and/or goat origin. As a result, standard high-temperature short-time (HTST) pasteurisation is not considered an approved treatment for dairy ingredients sourced from animals in countries/zones not on the </w:t>
      </w:r>
      <w:r w:rsidR="002F21F1">
        <w:rPr>
          <w:lang w:eastAsia="ja-JP"/>
        </w:rPr>
        <w:t>s</w:t>
      </w:r>
      <w:r w:rsidRPr="006D1C3F">
        <w:rPr>
          <w:lang w:eastAsia="ja-JP"/>
        </w:rPr>
        <w:t xml:space="preserve">heep </w:t>
      </w:r>
      <w:r w:rsidR="002F21F1">
        <w:rPr>
          <w:lang w:eastAsia="ja-JP"/>
        </w:rPr>
        <w:t>p</w:t>
      </w:r>
      <w:r w:rsidRPr="006D1C3F">
        <w:rPr>
          <w:lang w:eastAsia="ja-JP"/>
        </w:rPr>
        <w:t xml:space="preserve">ox and </w:t>
      </w:r>
      <w:r w:rsidR="002F21F1">
        <w:rPr>
          <w:lang w:eastAsia="ja-JP"/>
        </w:rPr>
        <w:t>g</w:t>
      </w:r>
      <w:r w:rsidRPr="006D1C3F">
        <w:rPr>
          <w:lang w:eastAsia="ja-JP"/>
        </w:rPr>
        <w:t xml:space="preserve">oat </w:t>
      </w:r>
      <w:r w:rsidR="002F21F1">
        <w:rPr>
          <w:lang w:eastAsia="ja-JP"/>
        </w:rPr>
        <w:t>p</w:t>
      </w:r>
      <w:r w:rsidRPr="006D1C3F">
        <w:rPr>
          <w:lang w:eastAsia="ja-JP"/>
        </w:rPr>
        <w:t>ox-</w:t>
      </w:r>
      <w:r w:rsidR="002F21F1">
        <w:rPr>
          <w:lang w:eastAsia="ja-JP"/>
        </w:rPr>
        <w:t>f</w:t>
      </w:r>
      <w:r w:rsidRPr="006D1C3F">
        <w:rPr>
          <w:lang w:eastAsia="ja-JP"/>
        </w:rPr>
        <w:t xml:space="preserve">ree </w:t>
      </w:r>
      <w:r w:rsidR="002F21F1">
        <w:rPr>
          <w:lang w:eastAsia="ja-JP"/>
        </w:rPr>
        <w:t>c</w:t>
      </w:r>
      <w:r w:rsidRPr="006D1C3F">
        <w:rPr>
          <w:lang w:eastAsia="ja-JP"/>
        </w:rPr>
        <w:t xml:space="preserve">ountry </w:t>
      </w:r>
      <w:r w:rsidR="002F21F1">
        <w:rPr>
          <w:lang w:eastAsia="ja-JP"/>
        </w:rPr>
        <w:t>l</w:t>
      </w:r>
      <w:r w:rsidRPr="006D1C3F">
        <w:rPr>
          <w:lang w:eastAsia="ja-JP"/>
        </w:rPr>
        <w:t xml:space="preserve">ist, and only batch pasteurisation, </w:t>
      </w:r>
      <w:r w:rsidR="002F21F1">
        <w:rPr>
          <w:lang w:eastAsia="ja-JP"/>
        </w:rPr>
        <w:t>u</w:t>
      </w:r>
      <w:r w:rsidR="001F4772">
        <w:rPr>
          <w:lang w:eastAsia="ja-JP"/>
        </w:rPr>
        <w:t>ltra</w:t>
      </w:r>
      <w:r w:rsidR="00BA1553">
        <w:rPr>
          <w:lang w:eastAsia="ja-JP"/>
        </w:rPr>
        <w:t>-</w:t>
      </w:r>
      <w:r w:rsidR="002F21F1">
        <w:rPr>
          <w:lang w:eastAsia="ja-JP"/>
        </w:rPr>
        <w:t>h</w:t>
      </w:r>
      <w:r w:rsidR="001F4772">
        <w:rPr>
          <w:lang w:eastAsia="ja-JP"/>
        </w:rPr>
        <w:t xml:space="preserve">igh </w:t>
      </w:r>
      <w:r w:rsidR="002F21F1">
        <w:rPr>
          <w:lang w:eastAsia="ja-JP"/>
        </w:rPr>
        <w:t>t</w:t>
      </w:r>
      <w:r w:rsidR="001F4772">
        <w:rPr>
          <w:lang w:eastAsia="ja-JP"/>
        </w:rPr>
        <w:t>emperature (</w:t>
      </w:r>
      <w:r w:rsidRPr="006D1C3F">
        <w:rPr>
          <w:lang w:eastAsia="ja-JP"/>
        </w:rPr>
        <w:t>UHT</w:t>
      </w:r>
      <w:r w:rsidR="001F4772">
        <w:rPr>
          <w:lang w:eastAsia="ja-JP"/>
        </w:rPr>
        <w:t>)</w:t>
      </w:r>
      <w:r w:rsidRPr="006D1C3F">
        <w:rPr>
          <w:lang w:eastAsia="ja-JP"/>
        </w:rPr>
        <w:t xml:space="preserve"> or equivalent thermal treatment have been approved.</w:t>
      </w:r>
    </w:p>
    <w:p w14:paraId="785FB3AF" w14:textId="001C793F" w:rsidR="006D1C3F" w:rsidRPr="006D1C3F" w:rsidRDefault="006D1C3F" w:rsidP="006D1C3F">
      <w:pPr>
        <w:rPr>
          <w:lang w:eastAsia="ja-JP"/>
        </w:rPr>
      </w:pPr>
      <w:r w:rsidRPr="10402A76">
        <w:rPr>
          <w:lang w:eastAsia="ja-JP"/>
        </w:rPr>
        <w:t xml:space="preserve">Additionally, before a sheep or goat dairy product can be manufactured in, or exported from, countries not on the </w:t>
      </w:r>
      <w:r w:rsidR="002F21F1" w:rsidRPr="10402A76">
        <w:rPr>
          <w:lang w:eastAsia="ja-JP"/>
        </w:rPr>
        <w:t>s</w:t>
      </w:r>
      <w:r w:rsidRPr="10402A76">
        <w:rPr>
          <w:lang w:eastAsia="ja-JP"/>
        </w:rPr>
        <w:t xml:space="preserve">heep </w:t>
      </w:r>
      <w:r w:rsidR="002F21F1" w:rsidRPr="10402A76">
        <w:rPr>
          <w:lang w:eastAsia="ja-JP"/>
        </w:rPr>
        <w:t>p</w:t>
      </w:r>
      <w:r w:rsidRPr="10402A76">
        <w:rPr>
          <w:lang w:eastAsia="ja-JP"/>
        </w:rPr>
        <w:t xml:space="preserve">ox and </w:t>
      </w:r>
      <w:r w:rsidR="002F21F1" w:rsidRPr="10402A76">
        <w:rPr>
          <w:lang w:eastAsia="ja-JP"/>
        </w:rPr>
        <w:t>g</w:t>
      </w:r>
      <w:r w:rsidRPr="10402A76">
        <w:rPr>
          <w:lang w:eastAsia="ja-JP"/>
        </w:rPr>
        <w:t xml:space="preserve">oat </w:t>
      </w:r>
      <w:r w:rsidR="002F21F1" w:rsidRPr="10402A76">
        <w:rPr>
          <w:lang w:eastAsia="ja-JP"/>
        </w:rPr>
        <w:t>p</w:t>
      </w:r>
      <w:r w:rsidRPr="10402A76">
        <w:rPr>
          <w:lang w:eastAsia="ja-JP"/>
        </w:rPr>
        <w:t>ox-</w:t>
      </w:r>
      <w:r w:rsidR="002F21F1" w:rsidRPr="10402A76">
        <w:rPr>
          <w:lang w:eastAsia="ja-JP"/>
        </w:rPr>
        <w:t>f</w:t>
      </w:r>
      <w:r w:rsidRPr="10402A76">
        <w:rPr>
          <w:lang w:eastAsia="ja-JP"/>
        </w:rPr>
        <w:t xml:space="preserve">ree </w:t>
      </w:r>
      <w:r w:rsidR="002F21F1" w:rsidRPr="10402A76">
        <w:rPr>
          <w:lang w:eastAsia="ja-JP"/>
        </w:rPr>
        <w:t>c</w:t>
      </w:r>
      <w:r w:rsidRPr="10402A76">
        <w:rPr>
          <w:lang w:eastAsia="ja-JP"/>
        </w:rPr>
        <w:t xml:space="preserve">ountry </w:t>
      </w:r>
      <w:r w:rsidR="002F21F1" w:rsidRPr="10402A76">
        <w:rPr>
          <w:lang w:eastAsia="ja-JP"/>
        </w:rPr>
        <w:t>l</w:t>
      </w:r>
      <w:r w:rsidRPr="10402A76">
        <w:rPr>
          <w:lang w:eastAsia="ja-JP"/>
        </w:rPr>
        <w:t xml:space="preserve">ist, </w:t>
      </w:r>
      <w:r w:rsidR="002F21F1" w:rsidRPr="10402A76">
        <w:rPr>
          <w:lang w:eastAsia="ja-JP"/>
        </w:rPr>
        <w:t xml:space="preserve">we must conduct </w:t>
      </w:r>
      <w:r w:rsidRPr="10402A76">
        <w:rPr>
          <w:lang w:eastAsia="ja-JP"/>
        </w:rPr>
        <w:t xml:space="preserve">a risk assessment. This will determine whether the risk management measures specified in the dairy review can be met for that product. Trade would only be allowed if the risk assessment process concludes that the </w:t>
      </w:r>
      <w:proofErr w:type="spellStart"/>
      <w:r w:rsidRPr="10402A76">
        <w:rPr>
          <w:lang w:eastAsia="ja-JP"/>
        </w:rPr>
        <w:t>sheeppox</w:t>
      </w:r>
      <w:proofErr w:type="spellEnd"/>
      <w:r w:rsidRPr="10402A76">
        <w:rPr>
          <w:lang w:eastAsia="ja-JP"/>
        </w:rPr>
        <w:t xml:space="preserve"> and </w:t>
      </w:r>
      <w:proofErr w:type="spellStart"/>
      <w:r w:rsidRPr="10402A76">
        <w:rPr>
          <w:lang w:eastAsia="ja-JP"/>
        </w:rPr>
        <w:t>goatpox</w:t>
      </w:r>
      <w:proofErr w:type="spellEnd"/>
      <w:r w:rsidRPr="10402A76">
        <w:rPr>
          <w:lang w:eastAsia="ja-JP"/>
        </w:rPr>
        <w:t xml:space="preserve"> virus risks are managed to a level that meets Australia’s </w:t>
      </w:r>
      <w:hyperlink r:id="rId12">
        <w:r w:rsidRPr="10402A76">
          <w:rPr>
            <w:rStyle w:val="Hyperlink"/>
            <w:lang w:eastAsia="ja-JP"/>
          </w:rPr>
          <w:t>ALOP</w:t>
        </w:r>
      </w:hyperlink>
      <w:r w:rsidRPr="10402A76">
        <w:rPr>
          <w:lang w:eastAsia="ja-JP"/>
        </w:rPr>
        <w:t>.</w:t>
      </w:r>
    </w:p>
    <w:p w14:paraId="7516631B" w14:textId="77777777" w:rsidR="00E304ED" w:rsidRPr="00AE75B7" w:rsidRDefault="00E304ED" w:rsidP="00AE75B7">
      <w:pPr>
        <w:rPr>
          <w:lang w:eastAsia="ja-JP"/>
        </w:rPr>
      </w:pPr>
    </w:p>
    <w:p w14:paraId="6E4EBD8A" w14:textId="77777777" w:rsidR="004F4F65" w:rsidRPr="0080517C" w:rsidRDefault="004F4F65" w:rsidP="004F4F65">
      <w:pPr>
        <w:pStyle w:val="Heading2"/>
      </w:pPr>
      <w:r>
        <w:t>More</w:t>
      </w:r>
      <w:r w:rsidRPr="0080517C">
        <w:t xml:space="preserve"> information</w:t>
      </w:r>
    </w:p>
    <w:p w14:paraId="5DCA4C9E" w14:textId="3354869A" w:rsidR="004F4F65" w:rsidRPr="00017ACB" w:rsidRDefault="004F4F65" w:rsidP="004F4F65">
      <w:pPr>
        <w:rPr>
          <w:lang w:eastAsia="ja-JP"/>
        </w:rPr>
      </w:pPr>
      <w:hyperlink r:id="rId13" w:history="1">
        <w:r w:rsidRPr="002F21F1">
          <w:rPr>
            <w:rStyle w:val="Hyperlink"/>
            <w:lang w:eastAsia="ja-JP"/>
          </w:rPr>
          <w:t>More information</w:t>
        </w:r>
      </w:hyperlink>
      <w:r w:rsidR="002F21F1">
        <w:rPr>
          <w:lang w:eastAsia="ja-JP"/>
        </w:rPr>
        <w:t>.</w:t>
      </w:r>
    </w:p>
    <w:p w14:paraId="1A027709" w14:textId="77777777" w:rsidR="004F4F65" w:rsidRDefault="004F4F65" w:rsidP="004F4F65">
      <w:pPr>
        <w:spacing w:after="360"/>
        <w:rPr>
          <w:lang w:eastAsia="ja-JP"/>
        </w:rPr>
      </w:pPr>
      <w:r w:rsidRPr="00017ACB">
        <w:rPr>
          <w:lang w:eastAsia="ja-JP"/>
        </w:rPr>
        <w:t xml:space="preserve">Email </w:t>
      </w:r>
      <w:hyperlink r:id="rId14" w:history="1">
        <w:r w:rsidRPr="00663635">
          <w:rPr>
            <w:rStyle w:val="Hyperlink"/>
            <w:lang w:eastAsia="ja-JP"/>
          </w:rPr>
          <w:t>animalbiosecurity@aff.gov.au</w:t>
        </w:r>
      </w:hyperlink>
    </w:p>
    <w:p w14:paraId="6B9D5348" w14:textId="77777777" w:rsidR="004F4F65" w:rsidRDefault="004F4F65" w:rsidP="004F4F65">
      <w:pPr>
        <w:pStyle w:val="Normalsmall"/>
      </w:pPr>
      <w:r>
        <w:rPr>
          <w:rStyle w:val="Strong"/>
        </w:rPr>
        <w:t>Acknowledgement of Country</w:t>
      </w:r>
    </w:p>
    <w:p w14:paraId="0D90E825" w14:textId="77777777" w:rsidR="004F4F65" w:rsidRPr="000A5BA0" w:rsidRDefault="004F4F65" w:rsidP="004F4F65">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B269801" w14:textId="29CB1AE9" w:rsidR="004F4F65" w:rsidRDefault="004F4F65" w:rsidP="004F4F65">
      <w:pPr>
        <w:pStyle w:val="Normalsmall"/>
        <w:spacing w:before="360"/>
      </w:pPr>
      <w:r>
        <w:t>© Commonwealth of Australia 202</w:t>
      </w:r>
      <w:r w:rsidR="00B32D10">
        <w:t>5</w:t>
      </w:r>
    </w:p>
    <w:p w14:paraId="62A2198E" w14:textId="77777777" w:rsidR="004F4F65" w:rsidRDefault="004F4F65" w:rsidP="004F4F65">
      <w:pPr>
        <w:pStyle w:val="Normalsmall"/>
      </w:pPr>
      <w:r>
        <w:t>Unless otherwise noted, copyright (and any other intellectual property rights) in this publication is owned by the Commonwealth of Australia (referred to as the Commonwealth).</w:t>
      </w:r>
    </w:p>
    <w:p w14:paraId="7FBB4974" w14:textId="77777777" w:rsidR="004F4F65" w:rsidRDefault="004F4F65" w:rsidP="004F4F65">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4EFDE46C" w14:textId="77777777" w:rsidR="004F4F65" w:rsidRDefault="004F4F65" w:rsidP="004F4F65">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4F4F65" w:rsidSect="00872E2C">
      <w:headerReference w:type="even" r:id="rId16"/>
      <w:headerReference w:type="default" r:id="rId17"/>
      <w:footerReference w:type="even" r:id="rId18"/>
      <w:footerReference w:type="default" r:id="rId19"/>
      <w:headerReference w:type="first" r:id="rId20"/>
      <w:footerReference w:type="first" r:id="rId21"/>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FA9F2" w14:textId="77777777" w:rsidR="008F5B54" w:rsidRDefault="008F5B54">
      <w:r>
        <w:separator/>
      </w:r>
    </w:p>
    <w:p w14:paraId="19A76802" w14:textId="77777777" w:rsidR="008F5B54" w:rsidRDefault="008F5B54"/>
    <w:p w14:paraId="464DC5F5" w14:textId="77777777" w:rsidR="008F5B54" w:rsidRDefault="008F5B54"/>
  </w:endnote>
  <w:endnote w:type="continuationSeparator" w:id="0">
    <w:p w14:paraId="6DF9F517" w14:textId="77777777" w:rsidR="008F5B54" w:rsidRDefault="008F5B54">
      <w:r>
        <w:continuationSeparator/>
      </w:r>
    </w:p>
    <w:p w14:paraId="293C6CD1" w14:textId="77777777" w:rsidR="008F5B54" w:rsidRDefault="008F5B54"/>
    <w:p w14:paraId="0E275257" w14:textId="77777777" w:rsidR="008F5B54" w:rsidRDefault="008F5B54"/>
  </w:endnote>
  <w:endnote w:type="continuationNotice" w:id="1">
    <w:p w14:paraId="16F26D0A" w14:textId="77777777" w:rsidR="008F5B54" w:rsidRDefault="008F5B54">
      <w:pPr>
        <w:pStyle w:val="Footer"/>
      </w:pPr>
    </w:p>
    <w:p w14:paraId="6D4DC86F" w14:textId="77777777" w:rsidR="008F5B54" w:rsidRDefault="008F5B54"/>
    <w:p w14:paraId="5C0F462E" w14:textId="77777777" w:rsidR="008F5B54" w:rsidRDefault="008F5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66BA2" w14:textId="009A6509" w:rsidR="00582411" w:rsidRDefault="00582411">
    <w:pPr>
      <w:pStyle w:val="Footer"/>
    </w:pPr>
    <w:r>
      <w:rPr>
        <w:noProof/>
      </w:rPr>
      <mc:AlternateContent>
        <mc:Choice Requires="wps">
          <w:drawing>
            <wp:anchor distT="0" distB="0" distL="0" distR="0" simplePos="0" relativeHeight="251663360" behindDoc="0" locked="0" layoutInCell="1" allowOverlap="1" wp14:anchorId="3E22BF8B" wp14:editId="41BD1A64">
              <wp:simplePos x="635" y="635"/>
              <wp:positionH relativeFrom="page">
                <wp:align>center</wp:align>
              </wp:positionH>
              <wp:positionV relativeFrom="page">
                <wp:align>bottom</wp:align>
              </wp:positionV>
              <wp:extent cx="551815" cy="404495"/>
              <wp:effectExtent l="0" t="0" r="635" b="0"/>
              <wp:wrapNone/>
              <wp:docPr id="50038222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647969" w14:textId="5B928AC2" w:rsidR="00582411" w:rsidRPr="00582411" w:rsidRDefault="00582411" w:rsidP="00582411">
                          <w:pPr>
                            <w:spacing w:after="0"/>
                            <w:rPr>
                              <w:rFonts w:ascii="Calibri" w:eastAsia="Calibri" w:hAnsi="Calibri" w:cs="Calibri"/>
                              <w:noProof/>
                              <w:color w:val="FF0000"/>
                              <w:sz w:val="24"/>
                              <w:szCs w:val="24"/>
                            </w:rPr>
                          </w:pPr>
                          <w:r w:rsidRPr="005824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E22BF8B">
              <v:stroke joinstyle="miter"/>
              <v:path gradientshapeok="t" o:connecttype="rect"/>
            </v:shapetype>
            <v:shape id="Text Box 5"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v:textbox style="mso-fit-shape-to-text:t" inset="0,0,0,15pt">
                <w:txbxContent>
                  <w:p w:rsidRPr="00582411" w:rsidR="00582411" w:rsidP="00582411" w:rsidRDefault="00582411" w14:paraId="5A647969" w14:textId="5B928AC2">
                    <w:pPr>
                      <w:spacing w:after="0"/>
                      <w:rPr>
                        <w:rFonts w:ascii="Calibri" w:hAnsi="Calibri" w:eastAsia="Calibri" w:cs="Calibri"/>
                        <w:noProof/>
                        <w:color w:val="FF0000"/>
                        <w:sz w:val="24"/>
                        <w:szCs w:val="24"/>
                      </w:rPr>
                    </w:pPr>
                    <w:r w:rsidRPr="00582411">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01D8" w14:textId="36FE1B84" w:rsidR="00863E83" w:rsidRDefault="00582411" w:rsidP="00863E83">
    <w:pPr>
      <w:pStyle w:val="Footer"/>
    </w:pPr>
    <w:r>
      <w:rPr>
        <w:noProof/>
      </w:rPr>
      <mc:AlternateContent>
        <mc:Choice Requires="wps">
          <w:drawing>
            <wp:anchor distT="0" distB="0" distL="0" distR="0" simplePos="0" relativeHeight="251664384" behindDoc="0" locked="0" layoutInCell="1" allowOverlap="1" wp14:anchorId="4D726C4C" wp14:editId="6F89A5A2">
              <wp:simplePos x="790575" y="10048875"/>
              <wp:positionH relativeFrom="page">
                <wp:align>center</wp:align>
              </wp:positionH>
              <wp:positionV relativeFrom="page">
                <wp:align>bottom</wp:align>
              </wp:positionV>
              <wp:extent cx="551815" cy="404495"/>
              <wp:effectExtent l="0" t="0" r="635" b="0"/>
              <wp:wrapNone/>
              <wp:docPr id="128890956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F63B65" w14:textId="5F519749" w:rsidR="00582411" w:rsidRPr="00582411" w:rsidRDefault="00582411" w:rsidP="00582411">
                          <w:pPr>
                            <w:spacing w:after="0"/>
                            <w:rPr>
                              <w:rFonts w:ascii="Calibri" w:eastAsia="Calibri" w:hAnsi="Calibri" w:cs="Calibri"/>
                              <w:noProof/>
                              <w:color w:val="FF0000"/>
                              <w:sz w:val="24"/>
                              <w:szCs w:val="24"/>
                            </w:rPr>
                          </w:pPr>
                          <w:r w:rsidRPr="005824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D726C4C">
              <v:stroke joinstyle="miter"/>
              <v:path gradientshapeok="t" o:connecttype="rect"/>
            </v:shapetype>
            <v:shape id="Text Box 6" style="position:absolute;left:0;text-align:left;margin-left:0;margin-top:0;width:43.45pt;height:31.85pt;z-index:251664384;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v:textbox style="mso-fit-shape-to-text:t" inset="0,0,0,15pt">
                <w:txbxContent>
                  <w:p w:rsidRPr="00582411" w:rsidR="00582411" w:rsidP="00582411" w:rsidRDefault="00582411" w14:paraId="76F63B65" w14:textId="5F519749">
                    <w:pPr>
                      <w:spacing w:after="0"/>
                      <w:rPr>
                        <w:rFonts w:ascii="Calibri" w:hAnsi="Calibri" w:eastAsia="Calibri" w:cs="Calibri"/>
                        <w:noProof/>
                        <w:color w:val="FF0000"/>
                        <w:sz w:val="24"/>
                        <w:szCs w:val="24"/>
                      </w:rPr>
                    </w:pPr>
                    <w:r w:rsidRPr="00582411">
                      <w:rPr>
                        <w:rFonts w:ascii="Calibri" w:hAnsi="Calibri" w:eastAsia="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p>
  <w:p w14:paraId="730AB0BB" w14:textId="77777777" w:rsidR="000542B4" w:rsidRDefault="00072A59"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48035" w14:textId="2DA01502" w:rsidR="00577F29" w:rsidRDefault="00582411" w:rsidP="004E6316">
    <w:pPr>
      <w:pStyle w:val="Footer"/>
    </w:pPr>
    <w:r>
      <w:rPr>
        <w:noProof/>
      </w:rPr>
      <mc:AlternateContent>
        <mc:Choice Requires="wps">
          <w:drawing>
            <wp:anchor distT="0" distB="0" distL="0" distR="0" simplePos="0" relativeHeight="251662336" behindDoc="0" locked="0" layoutInCell="1" allowOverlap="1" wp14:anchorId="7152C2B1" wp14:editId="3473F494">
              <wp:simplePos x="790575" y="10277475"/>
              <wp:positionH relativeFrom="page">
                <wp:align>center</wp:align>
              </wp:positionH>
              <wp:positionV relativeFrom="page">
                <wp:align>bottom</wp:align>
              </wp:positionV>
              <wp:extent cx="551815" cy="404495"/>
              <wp:effectExtent l="0" t="0" r="635" b="0"/>
              <wp:wrapNone/>
              <wp:docPr id="134820040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AD9EC20" w14:textId="05444DFD" w:rsidR="00582411" w:rsidRPr="00582411" w:rsidRDefault="00582411" w:rsidP="00582411">
                          <w:pPr>
                            <w:spacing w:after="0"/>
                            <w:rPr>
                              <w:rFonts w:ascii="Calibri" w:eastAsia="Calibri" w:hAnsi="Calibri" w:cs="Calibri"/>
                              <w:noProof/>
                              <w:color w:val="FF0000"/>
                              <w:sz w:val="24"/>
                              <w:szCs w:val="24"/>
                            </w:rPr>
                          </w:pPr>
                          <w:r w:rsidRPr="005824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152C2B1">
              <v:stroke joinstyle="miter"/>
              <v:path gradientshapeok="t" o:connecttype="rect"/>
            </v:shapetype>
            <v:shape id="Text Box 4"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v:textbox style="mso-fit-shape-to-text:t" inset="0,0,0,15pt">
                <w:txbxContent>
                  <w:p w:rsidRPr="00582411" w:rsidR="00582411" w:rsidP="00582411" w:rsidRDefault="00582411" w14:paraId="2AD9EC20" w14:textId="05444DFD">
                    <w:pPr>
                      <w:spacing w:after="0"/>
                      <w:rPr>
                        <w:rFonts w:ascii="Calibri" w:hAnsi="Calibri" w:eastAsia="Calibri" w:cs="Calibri"/>
                        <w:noProof/>
                        <w:color w:val="FF0000"/>
                        <w:sz w:val="24"/>
                        <w:szCs w:val="24"/>
                      </w:rPr>
                    </w:pPr>
                    <w:r w:rsidRPr="00582411">
                      <w:rPr>
                        <w:rFonts w:ascii="Calibri" w:hAnsi="Calibri" w:eastAsia="Calibri" w:cs="Calibri"/>
                        <w:noProof/>
                        <w:color w:val="FF0000"/>
                        <w:sz w:val="24"/>
                        <w:szCs w:val="24"/>
                      </w:rPr>
                      <w:t>OFFICIAL</w:t>
                    </w:r>
                  </w:p>
                </w:txbxContent>
              </v:textbox>
              <w10:wrap anchorx="page" anchory="page"/>
            </v:shape>
          </w:pict>
        </mc:Fallback>
      </mc:AlternateContent>
    </w:r>
  </w:p>
  <w:sdt>
    <w:sdtPr>
      <w:id w:val="-858040093"/>
      <w:docPartObj>
        <w:docPartGallery w:val="Page Numbers (Bottom of Page)"/>
        <w:docPartUnique/>
      </w:docPartObj>
    </w:sdtPr>
    <w:sdtEndPr>
      <w:rPr>
        <w:noProof/>
      </w:rPr>
    </w:sdtEndPr>
    <w:sdtContent>
      <w:p w14:paraId="00E260CC"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8E50C" w14:textId="77777777" w:rsidR="008F5B54" w:rsidRDefault="008F5B54">
      <w:r>
        <w:separator/>
      </w:r>
    </w:p>
    <w:p w14:paraId="7FB805E0" w14:textId="77777777" w:rsidR="008F5B54" w:rsidRDefault="008F5B54"/>
    <w:p w14:paraId="51C660C7" w14:textId="77777777" w:rsidR="008F5B54" w:rsidRDefault="008F5B54"/>
  </w:footnote>
  <w:footnote w:type="continuationSeparator" w:id="0">
    <w:p w14:paraId="1B342993" w14:textId="77777777" w:rsidR="008F5B54" w:rsidRDefault="008F5B54">
      <w:r>
        <w:continuationSeparator/>
      </w:r>
    </w:p>
    <w:p w14:paraId="3B2BAD84" w14:textId="77777777" w:rsidR="008F5B54" w:rsidRDefault="008F5B54"/>
    <w:p w14:paraId="15AC74E0" w14:textId="77777777" w:rsidR="008F5B54" w:rsidRDefault="008F5B54"/>
  </w:footnote>
  <w:footnote w:type="continuationNotice" w:id="1">
    <w:p w14:paraId="3DA327E6" w14:textId="77777777" w:rsidR="008F5B54" w:rsidRDefault="008F5B54">
      <w:pPr>
        <w:pStyle w:val="Footer"/>
      </w:pPr>
    </w:p>
    <w:p w14:paraId="373E798C" w14:textId="77777777" w:rsidR="008F5B54" w:rsidRDefault="008F5B54"/>
    <w:p w14:paraId="72C9C546" w14:textId="77777777" w:rsidR="008F5B54" w:rsidRDefault="008F5B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10EE" w14:textId="5722311B" w:rsidR="00582411" w:rsidRDefault="00582411">
    <w:pPr>
      <w:pStyle w:val="Header"/>
    </w:pPr>
    <w:r>
      <w:rPr>
        <w:noProof/>
      </w:rPr>
      <mc:AlternateContent>
        <mc:Choice Requires="wps">
          <w:drawing>
            <wp:anchor distT="0" distB="0" distL="0" distR="0" simplePos="0" relativeHeight="251660288" behindDoc="0" locked="0" layoutInCell="1" allowOverlap="1" wp14:anchorId="55C2C6CD" wp14:editId="4696A9A6">
              <wp:simplePos x="635" y="635"/>
              <wp:positionH relativeFrom="page">
                <wp:align>center</wp:align>
              </wp:positionH>
              <wp:positionV relativeFrom="page">
                <wp:align>top</wp:align>
              </wp:positionV>
              <wp:extent cx="551815" cy="404495"/>
              <wp:effectExtent l="0" t="0" r="635" b="14605"/>
              <wp:wrapNone/>
              <wp:docPr id="269818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C8EAF64" w14:textId="28EB407C" w:rsidR="00582411" w:rsidRPr="00582411" w:rsidRDefault="00582411" w:rsidP="00582411">
                          <w:pPr>
                            <w:spacing w:after="0"/>
                            <w:rPr>
                              <w:rFonts w:ascii="Calibri" w:eastAsia="Calibri" w:hAnsi="Calibri" w:cs="Calibri"/>
                              <w:noProof/>
                              <w:color w:val="FF0000"/>
                              <w:sz w:val="24"/>
                              <w:szCs w:val="24"/>
                            </w:rPr>
                          </w:pPr>
                          <w:r w:rsidRPr="005824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5C2C6CD">
              <v:stroke joinstyle="miter"/>
              <v:path gradientshapeok="t" o:connecttype="rect"/>
            </v:shapetype>
            <v:shape id="Text Box 2"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v:textbox style="mso-fit-shape-to-text:t" inset="0,15pt,0,0">
                <w:txbxContent>
                  <w:p w:rsidRPr="00582411" w:rsidR="00582411" w:rsidP="00582411" w:rsidRDefault="00582411" w14:paraId="1C8EAF64" w14:textId="28EB407C">
                    <w:pPr>
                      <w:spacing w:after="0"/>
                      <w:rPr>
                        <w:rFonts w:ascii="Calibri" w:hAnsi="Calibri" w:eastAsia="Calibri" w:cs="Calibri"/>
                        <w:noProof/>
                        <w:color w:val="FF0000"/>
                        <w:sz w:val="24"/>
                        <w:szCs w:val="24"/>
                      </w:rPr>
                    </w:pPr>
                    <w:r w:rsidRPr="00582411">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CED9" w14:textId="51050E02" w:rsidR="000542B4" w:rsidRDefault="00582411">
    <w:pPr>
      <w:pStyle w:val="Header"/>
    </w:pPr>
    <w:r>
      <w:rPr>
        <w:noProof/>
      </w:rPr>
      <mc:AlternateContent>
        <mc:Choice Requires="wps">
          <w:drawing>
            <wp:anchor distT="0" distB="0" distL="0" distR="0" simplePos="0" relativeHeight="251661312" behindDoc="0" locked="0" layoutInCell="1" allowOverlap="1" wp14:anchorId="49F73A9E" wp14:editId="0369BB27">
              <wp:simplePos x="790575" y="361950"/>
              <wp:positionH relativeFrom="page">
                <wp:align>center</wp:align>
              </wp:positionH>
              <wp:positionV relativeFrom="page">
                <wp:align>top</wp:align>
              </wp:positionV>
              <wp:extent cx="551815" cy="404495"/>
              <wp:effectExtent l="0" t="0" r="635" b="14605"/>
              <wp:wrapNone/>
              <wp:docPr id="120871548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1158D29" w14:textId="42D5387C" w:rsidR="00582411" w:rsidRPr="00582411" w:rsidRDefault="00582411" w:rsidP="00582411">
                          <w:pPr>
                            <w:spacing w:after="0"/>
                            <w:rPr>
                              <w:rFonts w:ascii="Calibri" w:eastAsia="Calibri" w:hAnsi="Calibri" w:cs="Calibri"/>
                              <w:noProof/>
                              <w:color w:val="FF0000"/>
                              <w:sz w:val="24"/>
                              <w:szCs w:val="24"/>
                            </w:rPr>
                          </w:pPr>
                          <w:r w:rsidRPr="005824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9F73A9E">
              <v:stroke joinstyle="miter"/>
              <v:path gradientshapeok="t" o:connecttype="rect"/>
            </v:shapetype>
            <v:shape id="Text Box 3"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v:textbox style="mso-fit-shape-to-text:t" inset="0,15pt,0,0">
                <w:txbxContent>
                  <w:p w:rsidRPr="00582411" w:rsidR="00582411" w:rsidP="00582411" w:rsidRDefault="00582411" w14:paraId="51158D29" w14:textId="42D5387C">
                    <w:pPr>
                      <w:spacing w:after="0"/>
                      <w:rPr>
                        <w:rFonts w:ascii="Calibri" w:hAnsi="Calibri" w:eastAsia="Calibri" w:cs="Calibri"/>
                        <w:noProof/>
                        <w:color w:val="FF0000"/>
                        <w:sz w:val="24"/>
                        <w:szCs w:val="24"/>
                      </w:rPr>
                    </w:pPr>
                    <w:r w:rsidRPr="00582411">
                      <w:rPr>
                        <w:rFonts w:ascii="Calibri" w:hAnsi="Calibri" w:eastAsia="Calibri" w:cs="Calibri"/>
                        <w:noProof/>
                        <w:color w:val="FF0000"/>
                        <w:sz w:val="24"/>
                        <w:szCs w:val="24"/>
                      </w:rPr>
                      <w:t>OFFICIAL</w:t>
                    </w:r>
                  </w:p>
                </w:txbxContent>
              </v:textbox>
              <w10:wrap anchorx="page" anchory="page"/>
            </v:shape>
          </w:pict>
        </mc:Fallback>
      </mc:AlternateContent>
    </w:r>
    <w:r w:rsidR="00080788">
      <w:t xml:space="preserve">Import risk review for dairy products for human consumption - </w:t>
    </w:r>
    <w:r w:rsidR="00872E2C">
      <w:br/>
    </w:r>
    <w:r w:rsidR="00080788">
      <w:t>Response to submissions received from the first draft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E5ED5" w14:textId="08196443" w:rsidR="000E455C" w:rsidRDefault="00582411" w:rsidP="00A8157A">
    <w:pPr>
      <w:pStyle w:val="Footer"/>
      <w:spacing w:after="0"/>
      <w:jc w:val="left"/>
    </w:pPr>
    <w:r>
      <w:rPr>
        <w:noProof/>
      </w:rPr>
      <mc:AlternateContent>
        <mc:Choice Requires="wps">
          <w:drawing>
            <wp:anchor distT="0" distB="0" distL="0" distR="0" simplePos="0" relativeHeight="251657215" behindDoc="0" locked="0" layoutInCell="1" allowOverlap="1" wp14:anchorId="512816E9" wp14:editId="5C9BD7C2">
              <wp:simplePos x="790575" y="361950"/>
              <wp:positionH relativeFrom="page">
                <wp:align>center</wp:align>
              </wp:positionH>
              <wp:positionV relativeFrom="page">
                <wp:align>top</wp:align>
              </wp:positionV>
              <wp:extent cx="551815" cy="404495"/>
              <wp:effectExtent l="0" t="0" r="635" b="14605"/>
              <wp:wrapNone/>
              <wp:docPr id="13526626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5692A79" w14:textId="7E8F266A" w:rsidR="00582411" w:rsidRPr="00582411" w:rsidRDefault="00582411" w:rsidP="00582411">
                          <w:pPr>
                            <w:spacing w:after="0"/>
                            <w:rPr>
                              <w:rFonts w:ascii="Calibri" w:eastAsia="Calibri" w:hAnsi="Calibri" w:cs="Calibri"/>
                              <w:noProof/>
                              <w:color w:val="FF0000"/>
                              <w:sz w:val="24"/>
                              <w:szCs w:val="24"/>
                            </w:rPr>
                          </w:pPr>
                          <w:r w:rsidRPr="005824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512816E9">
              <v:stroke joinstyle="miter"/>
              <v:path gradientshapeok="t" o:connecttype="rect"/>
            </v:shapetype>
            <v:shape id="Text Box 1" style="position:absolute;margin-left:0;margin-top:0;width:43.45pt;height:31.85pt;z-index:251657215;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v:textbox style="mso-fit-shape-to-text:t" inset="0,15pt,0,0">
                <w:txbxContent>
                  <w:p w:rsidRPr="00582411" w:rsidR="00582411" w:rsidP="00582411" w:rsidRDefault="00582411" w14:paraId="15692A79" w14:textId="7E8F266A">
                    <w:pPr>
                      <w:spacing w:after="0"/>
                      <w:rPr>
                        <w:rFonts w:ascii="Calibri" w:hAnsi="Calibri" w:eastAsia="Calibri" w:cs="Calibri"/>
                        <w:noProof/>
                        <w:color w:val="FF0000"/>
                        <w:sz w:val="24"/>
                        <w:szCs w:val="24"/>
                      </w:rPr>
                    </w:pPr>
                    <w:r w:rsidRPr="00582411">
                      <w:rPr>
                        <w:rFonts w:ascii="Calibri" w:hAnsi="Calibri" w:eastAsia="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76E9C20A" wp14:editId="00C5F6FE">
          <wp:simplePos x="0" y="0"/>
          <wp:positionH relativeFrom="page">
            <wp:posOffset>-10571</wp:posOffset>
          </wp:positionH>
          <wp:positionV relativeFrom="paragraph">
            <wp:posOffset>-347949</wp:posOffset>
          </wp:positionV>
          <wp:extent cx="7563598" cy="1296181"/>
          <wp:effectExtent l="0" t="0" r="0" b="0"/>
          <wp:wrapNone/>
          <wp:docPr id="1643447311" name="Picture 164344731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hybridMultilevel"/>
    <w:tmpl w:val="C400D15A"/>
    <w:styleLink w:val="BulletList"/>
    <w:lvl w:ilvl="0" w:tplc="EBC6C796">
      <w:start w:val="1"/>
      <w:numFmt w:val="bullet"/>
      <w:lvlText w:val=""/>
      <w:lvlJc w:val="left"/>
      <w:pPr>
        <w:ind w:left="369" w:hanging="369"/>
      </w:pPr>
      <w:rPr>
        <w:rFonts w:ascii="Symbol" w:hAnsi="Symbol" w:hint="default"/>
      </w:rPr>
    </w:lvl>
    <w:lvl w:ilvl="1" w:tplc="5894A50E">
      <w:start w:val="1"/>
      <w:numFmt w:val="bullet"/>
      <w:lvlText w:val="o"/>
      <w:lvlJc w:val="left"/>
      <w:pPr>
        <w:ind w:left="729" w:hanging="360"/>
      </w:pPr>
      <w:rPr>
        <w:rFonts w:ascii="Courier New" w:hAnsi="Courier New" w:hint="default"/>
      </w:rPr>
    </w:lvl>
    <w:lvl w:ilvl="2" w:tplc="86C6F1E6">
      <w:start w:val="1"/>
      <w:numFmt w:val="decimal"/>
      <w:lvlText w:val=":"/>
      <w:lvlJc w:val="left"/>
      <w:pPr>
        <w:ind w:left="1106" w:hanging="369"/>
      </w:pPr>
    </w:lvl>
    <w:lvl w:ilvl="3" w:tplc="B1105E5A">
      <w:start w:val="1"/>
      <w:numFmt w:val="decimal"/>
      <w:lvlText w:val=""/>
      <w:lvlJc w:val="left"/>
      <w:pPr>
        <w:ind w:left="1474" w:hanging="368"/>
      </w:pPr>
      <w:rPr>
        <w:color w:val="auto"/>
      </w:rPr>
    </w:lvl>
    <w:lvl w:ilvl="4" w:tplc="284C4162">
      <w:start w:val="1"/>
      <w:numFmt w:val="decimal"/>
      <w:lvlText w:val=""/>
      <w:lvlJc w:val="left"/>
      <w:pPr>
        <w:ind w:left="1800" w:hanging="360"/>
      </w:pPr>
      <w:rPr>
        <w:color w:val="auto"/>
      </w:rPr>
    </w:lvl>
    <w:lvl w:ilvl="5" w:tplc="ACAA7756">
      <w:start w:val="1"/>
      <w:numFmt w:val="decimal"/>
      <w:lvlText w:val=""/>
      <w:lvlJc w:val="left"/>
      <w:pPr>
        <w:ind w:left="2160" w:hanging="360"/>
      </w:pPr>
      <w:rPr>
        <w:color w:val="auto"/>
      </w:rPr>
    </w:lvl>
    <w:lvl w:ilvl="6" w:tplc="8B826C40">
      <w:start w:val="1"/>
      <w:numFmt w:val="decimal"/>
      <w:lvlText w:val=""/>
      <w:lvlJc w:val="left"/>
      <w:pPr>
        <w:ind w:left="2520" w:hanging="360"/>
      </w:pPr>
      <w:rPr>
        <w:color w:val="auto"/>
      </w:rPr>
    </w:lvl>
    <w:lvl w:ilvl="7" w:tplc="4D6460FC">
      <w:start w:val="1"/>
      <w:numFmt w:val="decimal"/>
      <w:lvlText w:val=""/>
      <w:lvlJc w:val="left"/>
      <w:pPr>
        <w:ind w:left="2880" w:hanging="360"/>
      </w:pPr>
      <w:rPr>
        <w:color w:val="auto"/>
      </w:rPr>
    </w:lvl>
    <w:lvl w:ilvl="8" w:tplc="407059D8">
      <w:start w:val="1"/>
      <w:numFmt w:val="decimal"/>
      <w:lvlText w:val=""/>
      <w:lvlJc w:val="left"/>
      <w:pPr>
        <w:ind w:left="3240" w:hanging="360"/>
      </w:pPr>
      <w:rPr>
        <w:color w:val="auto"/>
      </w:rPr>
    </w:lvl>
  </w:abstractNum>
  <w:abstractNum w:abstractNumId="1" w15:restartNumberingAfterBreak="0">
    <w:nsid w:val="08CC2E6F"/>
    <w:multiLevelType w:val="hybridMultilevel"/>
    <w:tmpl w:val="22E030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1F745BC2"/>
    <w:multiLevelType w:val="multilevel"/>
    <w:tmpl w:val="C400D15A"/>
    <w:numStyleLink w:val="Bullet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6"/>
  </w:num>
  <w:num w:numId="2" w16cid:durableId="1209954464">
    <w:abstractNumId w:val="5"/>
  </w:num>
  <w:num w:numId="3" w16cid:durableId="211696695">
    <w:abstractNumId w:val="9"/>
  </w:num>
  <w:num w:numId="4" w16cid:durableId="1550148830">
    <w:abstractNumId w:val="10"/>
  </w:num>
  <w:num w:numId="5" w16cid:durableId="1460108156">
    <w:abstractNumId w:val="2"/>
  </w:num>
  <w:num w:numId="6" w16cid:durableId="1934704985">
    <w:abstractNumId w:val="7"/>
  </w:num>
  <w:num w:numId="7" w16cid:durableId="1013073201">
    <w:abstractNumId w:val="8"/>
  </w:num>
  <w:num w:numId="8" w16cid:durableId="524289160">
    <w:abstractNumId w:val="3"/>
  </w:num>
  <w:num w:numId="9" w16cid:durableId="1613898443">
    <w:abstractNumId w:val="1"/>
  </w:num>
  <w:num w:numId="10" w16cid:durableId="1956214140">
    <w:abstractNumId w:val="0"/>
  </w:num>
  <w:num w:numId="11" w16cid:durableId="2122872855">
    <w:abstractNumId w:val="4"/>
    <w:lvlOverride w:ilvl="0">
      <w:lvl w:ilvl="0">
        <w:start w:val="1"/>
        <w:numFmt w:val="bullet"/>
        <w:lvlText w:val=""/>
        <w:lvlJc w:val="left"/>
        <w:pPr>
          <w:ind w:left="369" w:hanging="369"/>
        </w:pPr>
        <w:rPr>
          <w:rFonts w:ascii="Symbol" w:hAnsi="Symbol" w:hint="default"/>
          <w:color w:val="auto"/>
        </w:rPr>
      </w:lvl>
    </w:lvlOverride>
    <w:lvlOverride w:ilvl="1">
      <w:lvl w:ilvl="1">
        <w:start w:val="1"/>
        <w:numFmt w:val="bullet"/>
        <w:lvlText w:val="o"/>
        <w:lvlJc w:val="left"/>
        <w:pPr>
          <w:ind w:left="729" w:hanging="360"/>
        </w:pPr>
        <w:rPr>
          <w:rFonts w:ascii="Courier New" w:hAnsi="Courier New" w:hint="default"/>
        </w:rPr>
      </w:lvl>
    </w:lvlOverride>
    <w:lvlOverride w:ilvl="2">
      <w:lvl w:ilvl="2">
        <w:start w:val="1"/>
        <w:numFmt w:val="decimal"/>
        <w:lvlText w:val=":"/>
        <w:lvlJc w:val="left"/>
        <w:pPr>
          <w:ind w:left="1106" w:hanging="369"/>
        </w:pPr>
      </w:lvl>
    </w:lvlOverride>
    <w:lvlOverride w:ilvl="3">
      <w:lvl w:ilvl="3">
        <w:start w:val="1"/>
        <w:numFmt w:val="decimal"/>
        <w:lvlText w:val=""/>
        <w:lvlJc w:val="left"/>
        <w:pPr>
          <w:ind w:left="1474" w:hanging="368"/>
        </w:pPr>
        <w:rPr>
          <w:color w:val="auto"/>
        </w:rPr>
      </w:lvl>
    </w:lvlOverride>
    <w:lvlOverride w:ilvl="4">
      <w:lvl w:ilvl="4">
        <w:start w:val="1"/>
        <w:numFmt w:val="decimal"/>
        <w:lvlText w:val=""/>
        <w:lvlJc w:val="left"/>
        <w:pPr>
          <w:ind w:left="1800" w:hanging="360"/>
        </w:pPr>
        <w:rPr>
          <w:color w:val="auto"/>
        </w:rPr>
      </w:lvl>
    </w:lvlOverride>
    <w:lvlOverride w:ilvl="5">
      <w:lvl w:ilvl="5">
        <w:start w:val="1"/>
        <w:numFmt w:val="decimal"/>
        <w:lvlText w:val=""/>
        <w:lvlJc w:val="left"/>
        <w:pPr>
          <w:ind w:left="2160" w:hanging="360"/>
        </w:pPr>
        <w:rPr>
          <w:color w:val="auto"/>
        </w:rPr>
      </w:lvl>
    </w:lvlOverride>
    <w:lvlOverride w:ilvl="6">
      <w:lvl w:ilvl="6">
        <w:start w:val="1"/>
        <w:numFmt w:val="decimal"/>
        <w:lvlText w:val=""/>
        <w:lvlJc w:val="left"/>
        <w:pPr>
          <w:ind w:left="2520" w:hanging="360"/>
        </w:pPr>
        <w:rPr>
          <w:color w:val="auto"/>
        </w:rPr>
      </w:lvl>
    </w:lvlOverride>
    <w:lvlOverride w:ilvl="7">
      <w:lvl w:ilvl="7">
        <w:start w:val="1"/>
        <w:numFmt w:val="decimal"/>
        <w:lvlText w:val=""/>
        <w:lvlJc w:val="left"/>
        <w:pPr>
          <w:ind w:left="2880" w:hanging="360"/>
        </w:pPr>
        <w:rPr>
          <w:color w:val="auto"/>
        </w:rPr>
      </w:lvl>
    </w:lvlOverride>
    <w:lvlOverride w:ilvl="8">
      <w:lvl w:ilvl="8">
        <w:start w:val="1"/>
        <w:numFmt w:val="decimal"/>
        <w:lvlText w:val=""/>
        <w:lvlJc w:val="left"/>
        <w:pPr>
          <w:ind w:left="3240" w:hanging="360"/>
        </w:pPr>
        <w:rPr>
          <w:color w:val="auto"/>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52"/>
    <w:rsid w:val="0000059E"/>
    <w:rsid w:val="0000066F"/>
    <w:rsid w:val="00001B53"/>
    <w:rsid w:val="00017ACB"/>
    <w:rsid w:val="00021590"/>
    <w:rsid w:val="00025D1B"/>
    <w:rsid w:val="000266C4"/>
    <w:rsid w:val="000542B4"/>
    <w:rsid w:val="000618F3"/>
    <w:rsid w:val="00066D0B"/>
    <w:rsid w:val="000717D2"/>
    <w:rsid w:val="00074A56"/>
    <w:rsid w:val="00080788"/>
    <w:rsid w:val="00080827"/>
    <w:rsid w:val="0008277A"/>
    <w:rsid w:val="000904C1"/>
    <w:rsid w:val="000913B5"/>
    <w:rsid w:val="000A0454"/>
    <w:rsid w:val="000A5BA0"/>
    <w:rsid w:val="000A6A09"/>
    <w:rsid w:val="000B3924"/>
    <w:rsid w:val="000B3C44"/>
    <w:rsid w:val="000C0412"/>
    <w:rsid w:val="000C4558"/>
    <w:rsid w:val="000D0553"/>
    <w:rsid w:val="000E455C"/>
    <w:rsid w:val="000E4D74"/>
    <w:rsid w:val="000E7803"/>
    <w:rsid w:val="000F0491"/>
    <w:rsid w:val="000F7C7A"/>
    <w:rsid w:val="001233A8"/>
    <w:rsid w:val="0013173D"/>
    <w:rsid w:val="00144601"/>
    <w:rsid w:val="00151D95"/>
    <w:rsid w:val="00190D7E"/>
    <w:rsid w:val="001929D2"/>
    <w:rsid w:val="001A6968"/>
    <w:rsid w:val="001B7389"/>
    <w:rsid w:val="001B7F8D"/>
    <w:rsid w:val="001D0EF3"/>
    <w:rsid w:val="001F4772"/>
    <w:rsid w:val="00201BFB"/>
    <w:rsid w:val="00203DE1"/>
    <w:rsid w:val="00220618"/>
    <w:rsid w:val="00227115"/>
    <w:rsid w:val="002301E5"/>
    <w:rsid w:val="00234738"/>
    <w:rsid w:val="00237A69"/>
    <w:rsid w:val="00242C89"/>
    <w:rsid w:val="00275B58"/>
    <w:rsid w:val="00284B53"/>
    <w:rsid w:val="002B1FAF"/>
    <w:rsid w:val="002E3FD4"/>
    <w:rsid w:val="002F21F1"/>
    <w:rsid w:val="002F4595"/>
    <w:rsid w:val="00300AFD"/>
    <w:rsid w:val="003032C0"/>
    <w:rsid w:val="00336B60"/>
    <w:rsid w:val="0035108D"/>
    <w:rsid w:val="003569F9"/>
    <w:rsid w:val="00366721"/>
    <w:rsid w:val="00370990"/>
    <w:rsid w:val="0037698A"/>
    <w:rsid w:val="00392124"/>
    <w:rsid w:val="003937B8"/>
    <w:rsid w:val="003C4264"/>
    <w:rsid w:val="003D2CB5"/>
    <w:rsid w:val="003F73D7"/>
    <w:rsid w:val="00411260"/>
    <w:rsid w:val="00442630"/>
    <w:rsid w:val="0044304D"/>
    <w:rsid w:val="00446CB3"/>
    <w:rsid w:val="00474BB1"/>
    <w:rsid w:val="00477888"/>
    <w:rsid w:val="00495068"/>
    <w:rsid w:val="004C2DA2"/>
    <w:rsid w:val="004C4EA4"/>
    <w:rsid w:val="004D0888"/>
    <w:rsid w:val="004E6316"/>
    <w:rsid w:val="004E6F1B"/>
    <w:rsid w:val="004F4F65"/>
    <w:rsid w:val="005019C1"/>
    <w:rsid w:val="005070C8"/>
    <w:rsid w:val="00514CEE"/>
    <w:rsid w:val="00515287"/>
    <w:rsid w:val="005157CF"/>
    <w:rsid w:val="00525782"/>
    <w:rsid w:val="00531B5A"/>
    <w:rsid w:val="00553E9D"/>
    <w:rsid w:val="0055447F"/>
    <w:rsid w:val="00567DFC"/>
    <w:rsid w:val="00577F29"/>
    <w:rsid w:val="00582411"/>
    <w:rsid w:val="005A48A6"/>
    <w:rsid w:val="005A5602"/>
    <w:rsid w:val="005B613F"/>
    <w:rsid w:val="005B656B"/>
    <w:rsid w:val="005B658E"/>
    <w:rsid w:val="005C2BFD"/>
    <w:rsid w:val="00607A21"/>
    <w:rsid w:val="00607A36"/>
    <w:rsid w:val="006135CC"/>
    <w:rsid w:val="006156DF"/>
    <w:rsid w:val="00625D8D"/>
    <w:rsid w:val="006360F9"/>
    <w:rsid w:val="00642F36"/>
    <w:rsid w:val="00646917"/>
    <w:rsid w:val="00656587"/>
    <w:rsid w:val="006773CA"/>
    <w:rsid w:val="00685B67"/>
    <w:rsid w:val="00696682"/>
    <w:rsid w:val="006A238D"/>
    <w:rsid w:val="006B0030"/>
    <w:rsid w:val="006B4500"/>
    <w:rsid w:val="006B49DE"/>
    <w:rsid w:val="006D1C3F"/>
    <w:rsid w:val="006D413F"/>
    <w:rsid w:val="006E353E"/>
    <w:rsid w:val="006F6FE8"/>
    <w:rsid w:val="00700A80"/>
    <w:rsid w:val="0070464B"/>
    <w:rsid w:val="0070665C"/>
    <w:rsid w:val="00721291"/>
    <w:rsid w:val="00724E0F"/>
    <w:rsid w:val="007258B1"/>
    <w:rsid w:val="00725C8B"/>
    <w:rsid w:val="00754CA3"/>
    <w:rsid w:val="0076549B"/>
    <w:rsid w:val="00793E18"/>
    <w:rsid w:val="007B400A"/>
    <w:rsid w:val="007B4C63"/>
    <w:rsid w:val="007C0010"/>
    <w:rsid w:val="007E69AF"/>
    <w:rsid w:val="007F4986"/>
    <w:rsid w:val="0080517C"/>
    <w:rsid w:val="00832638"/>
    <w:rsid w:val="00835A9B"/>
    <w:rsid w:val="00842AD0"/>
    <w:rsid w:val="00863E83"/>
    <w:rsid w:val="00865130"/>
    <w:rsid w:val="00872E2C"/>
    <w:rsid w:val="00892F53"/>
    <w:rsid w:val="00895341"/>
    <w:rsid w:val="008A288C"/>
    <w:rsid w:val="008E3B54"/>
    <w:rsid w:val="008F1712"/>
    <w:rsid w:val="008F382A"/>
    <w:rsid w:val="008F5B54"/>
    <w:rsid w:val="00902E92"/>
    <w:rsid w:val="0090743D"/>
    <w:rsid w:val="00911F4A"/>
    <w:rsid w:val="00916FC3"/>
    <w:rsid w:val="009401E6"/>
    <w:rsid w:val="00943779"/>
    <w:rsid w:val="00951A43"/>
    <w:rsid w:val="009548A5"/>
    <w:rsid w:val="00974CD6"/>
    <w:rsid w:val="009844EA"/>
    <w:rsid w:val="009C206F"/>
    <w:rsid w:val="009C37F9"/>
    <w:rsid w:val="009C3FA3"/>
    <w:rsid w:val="009C5CE4"/>
    <w:rsid w:val="009D7044"/>
    <w:rsid w:val="009D776A"/>
    <w:rsid w:val="00A0018B"/>
    <w:rsid w:val="00A04AFD"/>
    <w:rsid w:val="00A130F7"/>
    <w:rsid w:val="00A32860"/>
    <w:rsid w:val="00A44879"/>
    <w:rsid w:val="00A62CD6"/>
    <w:rsid w:val="00A62F99"/>
    <w:rsid w:val="00A65D84"/>
    <w:rsid w:val="00A66653"/>
    <w:rsid w:val="00A67495"/>
    <w:rsid w:val="00A77E8E"/>
    <w:rsid w:val="00A77F37"/>
    <w:rsid w:val="00A8157A"/>
    <w:rsid w:val="00AA1D89"/>
    <w:rsid w:val="00AA352B"/>
    <w:rsid w:val="00AD1E1D"/>
    <w:rsid w:val="00AD309C"/>
    <w:rsid w:val="00AE1E6E"/>
    <w:rsid w:val="00AE40DE"/>
    <w:rsid w:val="00AE4763"/>
    <w:rsid w:val="00AE4A0F"/>
    <w:rsid w:val="00AE75B7"/>
    <w:rsid w:val="00B0121B"/>
    <w:rsid w:val="00B0455B"/>
    <w:rsid w:val="00B11E02"/>
    <w:rsid w:val="00B24179"/>
    <w:rsid w:val="00B32D10"/>
    <w:rsid w:val="00B34739"/>
    <w:rsid w:val="00B3476F"/>
    <w:rsid w:val="00B350EA"/>
    <w:rsid w:val="00B404AB"/>
    <w:rsid w:val="00B43568"/>
    <w:rsid w:val="00B46995"/>
    <w:rsid w:val="00B53773"/>
    <w:rsid w:val="00B82095"/>
    <w:rsid w:val="00B90975"/>
    <w:rsid w:val="00B93571"/>
    <w:rsid w:val="00B94CBD"/>
    <w:rsid w:val="00BA1553"/>
    <w:rsid w:val="00BA2806"/>
    <w:rsid w:val="00BC321A"/>
    <w:rsid w:val="00BC3371"/>
    <w:rsid w:val="00BD1F5F"/>
    <w:rsid w:val="00BD4B04"/>
    <w:rsid w:val="00BD4F8E"/>
    <w:rsid w:val="00BE345B"/>
    <w:rsid w:val="00BF6897"/>
    <w:rsid w:val="00C34952"/>
    <w:rsid w:val="00C6128D"/>
    <w:rsid w:val="00C73278"/>
    <w:rsid w:val="00C765C8"/>
    <w:rsid w:val="00C82029"/>
    <w:rsid w:val="00C9283A"/>
    <w:rsid w:val="00C94248"/>
    <w:rsid w:val="00C95039"/>
    <w:rsid w:val="00CA4615"/>
    <w:rsid w:val="00CA7C6F"/>
    <w:rsid w:val="00CD3A6F"/>
    <w:rsid w:val="00CD6263"/>
    <w:rsid w:val="00CE7F36"/>
    <w:rsid w:val="00CF7D08"/>
    <w:rsid w:val="00D04A3C"/>
    <w:rsid w:val="00D22097"/>
    <w:rsid w:val="00D36C41"/>
    <w:rsid w:val="00D4039B"/>
    <w:rsid w:val="00D55A85"/>
    <w:rsid w:val="00D750D0"/>
    <w:rsid w:val="00D81D03"/>
    <w:rsid w:val="00D87480"/>
    <w:rsid w:val="00DA637B"/>
    <w:rsid w:val="00DB71FD"/>
    <w:rsid w:val="00DC453F"/>
    <w:rsid w:val="00DC57F0"/>
    <w:rsid w:val="00DD63D1"/>
    <w:rsid w:val="00DD6B34"/>
    <w:rsid w:val="00DE546F"/>
    <w:rsid w:val="00DF0316"/>
    <w:rsid w:val="00DF241E"/>
    <w:rsid w:val="00E242D3"/>
    <w:rsid w:val="00E25A07"/>
    <w:rsid w:val="00E304ED"/>
    <w:rsid w:val="00E333DF"/>
    <w:rsid w:val="00E41B59"/>
    <w:rsid w:val="00E44E91"/>
    <w:rsid w:val="00E83C41"/>
    <w:rsid w:val="00E87842"/>
    <w:rsid w:val="00E9781D"/>
    <w:rsid w:val="00EA5D76"/>
    <w:rsid w:val="00EC2925"/>
    <w:rsid w:val="00EC5579"/>
    <w:rsid w:val="00EC5C40"/>
    <w:rsid w:val="00ED03C9"/>
    <w:rsid w:val="00ED774B"/>
    <w:rsid w:val="00EE0118"/>
    <w:rsid w:val="00EE49CE"/>
    <w:rsid w:val="00EE7C8D"/>
    <w:rsid w:val="00EF24B1"/>
    <w:rsid w:val="00EF3918"/>
    <w:rsid w:val="00F17535"/>
    <w:rsid w:val="00F23AF2"/>
    <w:rsid w:val="00F30857"/>
    <w:rsid w:val="00F317A2"/>
    <w:rsid w:val="00F330C3"/>
    <w:rsid w:val="00F342BA"/>
    <w:rsid w:val="00F3602D"/>
    <w:rsid w:val="00F75F33"/>
    <w:rsid w:val="00F84236"/>
    <w:rsid w:val="00F848FD"/>
    <w:rsid w:val="00FB3F31"/>
    <w:rsid w:val="00FC2CE4"/>
    <w:rsid w:val="00FC379E"/>
    <w:rsid w:val="00FD337C"/>
    <w:rsid w:val="00FD3BAE"/>
    <w:rsid w:val="00FD5236"/>
    <w:rsid w:val="00FD7D5B"/>
    <w:rsid w:val="00FE0F23"/>
    <w:rsid w:val="070B240B"/>
    <w:rsid w:val="0D18BB62"/>
    <w:rsid w:val="0D4B9CB3"/>
    <w:rsid w:val="10402A76"/>
    <w:rsid w:val="276A06AC"/>
    <w:rsid w:val="3998AF6F"/>
    <w:rsid w:val="4CE0D451"/>
    <w:rsid w:val="524D3A20"/>
    <w:rsid w:val="5A20764D"/>
    <w:rsid w:val="7C27B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DBEC"/>
  <w15:docId w15:val="{0D861292-E502-4E02-A597-EAFF904B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ListParagraph">
    <w:name w:val="List Paragraph"/>
    <w:basedOn w:val="Normal"/>
    <w:uiPriority w:val="99"/>
    <w:qFormat/>
    <w:rsid w:val="00E242D3"/>
    <w:pPr>
      <w:ind w:left="720"/>
      <w:contextualSpacing/>
    </w:pPr>
  </w:style>
  <w:style w:type="character" w:styleId="Mention">
    <w:name w:val="Mention"/>
    <w:basedOn w:val="DefaultParagraphFont"/>
    <w:uiPriority w:val="99"/>
    <w:unhideWhenUsed/>
    <w:rsid w:val="009548A5"/>
    <w:rPr>
      <w:color w:val="2B579A"/>
      <w:shd w:val="clear" w:color="auto" w:fill="E1DFDD"/>
    </w:rPr>
  </w:style>
  <w:style w:type="numbering" w:customStyle="1" w:styleId="BulletList">
    <w:name w:val="Bullet List"/>
    <w:uiPriority w:val="99"/>
    <w:rsid w:val="004E6F1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policy/risk-analysis/animal/dairy-products-for-human-consump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griculture.gov.au/biosecurity-trade/policy/risk-analysis/conducting-import-risk-analysis/appropriate-level-of-protec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risk-analysis/animal/dairy-products-for-human-consumption"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imalbiosecurity@aff.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62ABF50E-EB70-417C-8D78-BCC411B1A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documentManagement/types"/>
    <ds:schemaRef ds:uri="http://purl.org/dc/elements/1.1/"/>
    <ds:schemaRef ds:uri="81c01dc6-2c49-4730-b140-874c95cac377"/>
    <ds:schemaRef ds:uri="http://purl.org/dc/dcmitype/"/>
    <ds:schemaRef ds:uri="2b53c995-2120-4bc0-8922-c25044d37f65"/>
    <ds:schemaRef ds:uri="http://schemas.microsoft.com/office/infopath/2007/PartnerControls"/>
    <ds:schemaRef ds:uri="c95b51c2-b2ac-4224-a5b5-069909057829"/>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Response to submissions received from the second draft report</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submissions received from the second draft report</dc:title>
  <dc:subject/>
  <dc:creator>Department of Agriculture, Fisheries and Forestry</dc:creator>
  <cp:keywords/>
  <cp:revision>16</cp:revision>
  <cp:lastPrinted>2025-02-12T04:18:00Z</cp:lastPrinted>
  <dcterms:created xsi:type="dcterms:W3CDTF">2025-02-11T05:56:00Z</dcterms:created>
  <dcterms:modified xsi:type="dcterms:W3CDTF">2025-03-03T06:51:00Z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ClassificationContentMarkingHeaderShapeIds">
    <vt:lpwstr>509ffe5f,19bb5cc,480b88dc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505be7d6,1dd33a12,4cd332fc</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2025-01-22T05:54:59Z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e81501b2-ff59-4b25-ae61-b6cfc727e0b8</vt:lpwstr>
  </property>
  <property fmtid="{D5CDD505-2E9C-101B-9397-08002B2CF9AE}" pid="16" name="MSIP_Label_933d8be6-3c40-4052-87a2-9c2adcba8759_ContentBits">
    <vt:lpwstr>3</vt:lpwstr>
  </property>
</Properties>
</file>