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33A2DA" w14:textId="0276B9E7" w:rsidR="00A26001" w:rsidRPr="00A26001" w:rsidRDefault="008408A5" w:rsidP="009377B5">
      <w:pPr>
        <w:pStyle w:val="Heading1"/>
      </w:pPr>
      <w:bookmarkStart w:id="0" w:name="_Hlk161419095"/>
      <w:r>
        <w:t>Property of origin for livestock exports</w:t>
      </w:r>
    </w:p>
    <w:bookmarkEnd w:id="0"/>
    <w:p w14:paraId="21FB6003" w14:textId="77777777" w:rsidR="00A26001" w:rsidRPr="00A26001" w:rsidRDefault="00A26001" w:rsidP="00A26001">
      <w:pPr>
        <w:pStyle w:val="Author"/>
      </w:pPr>
      <w:r w:rsidRPr="00A26001">
        <w:t>Live Animal Export Branch</w:t>
      </w:r>
    </w:p>
    <w:p w14:paraId="439F0C43" w14:textId="77777777" w:rsidR="00A26001" w:rsidRPr="00A26001" w:rsidRDefault="00A26001" w:rsidP="00A26001">
      <w:pPr>
        <w:pStyle w:val="Heading2"/>
      </w:pPr>
      <w:r w:rsidRPr="00A26001">
        <w:t>Purpose</w:t>
      </w:r>
    </w:p>
    <w:p w14:paraId="47A63085" w14:textId="383B08AA" w:rsidR="00A26001" w:rsidRPr="00A26001" w:rsidRDefault="00A26001" w:rsidP="00A26001">
      <w:pPr>
        <w:rPr>
          <w:lang w:eastAsia="ja-JP"/>
        </w:rPr>
      </w:pPr>
      <w:r w:rsidRPr="44C280BC">
        <w:rPr>
          <w:lang w:eastAsia="ja-JP"/>
        </w:rPr>
        <w:t>This policy outlines the</w:t>
      </w:r>
      <w:r w:rsidR="00BA58E1" w:rsidRPr="44C280BC">
        <w:rPr>
          <w:lang w:eastAsia="ja-JP"/>
        </w:rPr>
        <w:t xml:space="preserve"> appropriate interpretation of</w:t>
      </w:r>
      <w:r w:rsidR="7B81D86A" w:rsidRPr="44C280BC">
        <w:rPr>
          <w:lang w:eastAsia="ja-JP"/>
        </w:rPr>
        <w:t xml:space="preserve"> the phrase </w:t>
      </w:r>
      <w:r w:rsidR="00BA58E1" w:rsidRPr="44C280BC">
        <w:rPr>
          <w:lang w:eastAsia="ja-JP"/>
        </w:rPr>
        <w:t>‘property of origin’</w:t>
      </w:r>
      <w:r w:rsidR="005C5C3A" w:rsidRPr="44C280BC">
        <w:rPr>
          <w:lang w:eastAsia="ja-JP"/>
        </w:rPr>
        <w:t xml:space="preserve"> to</w:t>
      </w:r>
      <w:r w:rsidR="00BA58E1" w:rsidRPr="44C280BC">
        <w:rPr>
          <w:lang w:eastAsia="ja-JP"/>
        </w:rPr>
        <w:t xml:space="preserve"> assist exporter</w:t>
      </w:r>
      <w:r w:rsidR="00D34A59" w:rsidRPr="44C280BC">
        <w:rPr>
          <w:lang w:eastAsia="ja-JP"/>
        </w:rPr>
        <w:t>s</w:t>
      </w:r>
      <w:r w:rsidR="00BA58E1" w:rsidRPr="44C280BC">
        <w:rPr>
          <w:lang w:eastAsia="ja-JP"/>
        </w:rPr>
        <w:t xml:space="preserve"> </w:t>
      </w:r>
      <w:r w:rsidR="00D657B7" w:rsidRPr="44C280BC">
        <w:rPr>
          <w:lang w:eastAsia="ja-JP"/>
        </w:rPr>
        <w:t xml:space="preserve">to </w:t>
      </w:r>
      <w:r w:rsidR="00BA58E1" w:rsidRPr="44C280BC">
        <w:rPr>
          <w:lang w:eastAsia="ja-JP"/>
        </w:rPr>
        <w:t xml:space="preserve">meet requirements when applying for a government certificate under the </w:t>
      </w:r>
      <w:r w:rsidR="00BA58E1" w:rsidRPr="44C280BC">
        <w:rPr>
          <w:i/>
          <w:iCs/>
          <w:lang w:eastAsia="ja-JP"/>
        </w:rPr>
        <w:t>Export</w:t>
      </w:r>
      <w:r w:rsidR="00D34A59" w:rsidRPr="44C280BC">
        <w:rPr>
          <w:i/>
          <w:iCs/>
          <w:lang w:eastAsia="ja-JP"/>
        </w:rPr>
        <w:t xml:space="preserve"> </w:t>
      </w:r>
      <w:r w:rsidR="00BA58E1" w:rsidRPr="44C280BC">
        <w:rPr>
          <w:i/>
          <w:iCs/>
          <w:lang w:eastAsia="ja-JP"/>
        </w:rPr>
        <w:t>Control</w:t>
      </w:r>
      <w:r w:rsidR="00D34A59" w:rsidRPr="44C280BC">
        <w:rPr>
          <w:i/>
          <w:iCs/>
          <w:lang w:eastAsia="ja-JP"/>
        </w:rPr>
        <w:t xml:space="preserve"> </w:t>
      </w:r>
      <w:r w:rsidR="00BA58E1" w:rsidRPr="44C280BC">
        <w:rPr>
          <w:i/>
          <w:iCs/>
          <w:lang w:eastAsia="ja-JP"/>
        </w:rPr>
        <w:t>Act</w:t>
      </w:r>
      <w:r w:rsidR="00D34A59" w:rsidRPr="44C280BC">
        <w:rPr>
          <w:i/>
          <w:iCs/>
          <w:lang w:eastAsia="ja-JP"/>
        </w:rPr>
        <w:t> </w:t>
      </w:r>
      <w:r w:rsidR="00BA58E1" w:rsidRPr="44C280BC">
        <w:rPr>
          <w:i/>
          <w:iCs/>
          <w:lang w:eastAsia="ja-JP"/>
        </w:rPr>
        <w:t>2020</w:t>
      </w:r>
      <w:r w:rsidR="00BA58E1" w:rsidRPr="44C280BC">
        <w:rPr>
          <w:lang w:eastAsia="ja-JP"/>
        </w:rPr>
        <w:t>.</w:t>
      </w:r>
    </w:p>
    <w:p w14:paraId="4DA03169" w14:textId="77777777" w:rsidR="00A26001" w:rsidRPr="00A26001" w:rsidRDefault="00A26001" w:rsidP="00A26001">
      <w:pPr>
        <w:pStyle w:val="Heading2"/>
      </w:pPr>
      <w:bookmarkStart w:id="1" w:name="_Scope"/>
      <w:bookmarkEnd w:id="1"/>
      <w:r w:rsidRPr="00A26001">
        <w:t>Scope</w:t>
      </w:r>
    </w:p>
    <w:p w14:paraId="39CAAF36" w14:textId="4F45676A" w:rsidR="005E0110" w:rsidRDefault="00A26001" w:rsidP="005E0110">
      <w:r w:rsidRPr="44C280BC">
        <w:rPr>
          <w:rFonts w:ascii="Calibri" w:hAnsi="Calibri" w:cs="Calibri"/>
        </w:rPr>
        <w:t>Th</w:t>
      </w:r>
      <w:r w:rsidR="005E0110" w:rsidRPr="44C280BC">
        <w:rPr>
          <w:rFonts w:ascii="Calibri" w:hAnsi="Calibri" w:cs="Calibri"/>
        </w:rPr>
        <w:t>is</w:t>
      </w:r>
      <w:r w:rsidRPr="44C280BC">
        <w:rPr>
          <w:rFonts w:ascii="Calibri" w:hAnsi="Calibri" w:cs="Calibri"/>
        </w:rPr>
        <w:t xml:space="preserve"> policy applies to </w:t>
      </w:r>
      <w:r w:rsidR="004B5006" w:rsidRPr="44C280BC">
        <w:rPr>
          <w:rFonts w:ascii="Calibri" w:hAnsi="Calibri" w:cs="Calibri"/>
        </w:rPr>
        <w:t xml:space="preserve">licensed </w:t>
      </w:r>
      <w:r w:rsidRPr="44C280BC">
        <w:rPr>
          <w:rFonts w:ascii="Calibri" w:hAnsi="Calibri" w:cs="Calibri"/>
        </w:rPr>
        <w:t>exporters preparing livestock for export by sea</w:t>
      </w:r>
      <w:r w:rsidR="00C54730" w:rsidRPr="44C280BC">
        <w:rPr>
          <w:rFonts w:ascii="Calibri" w:hAnsi="Calibri" w:cs="Calibri"/>
        </w:rPr>
        <w:t xml:space="preserve"> and air</w:t>
      </w:r>
      <w:r w:rsidR="00F95C8A">
        <w:t>.</w:t>
      </w:r>
      <w:r w:rsidR="00582A7B">
        <w:t xml:space="preserve"> It</w:t>
      </w:r>
      <w:r w:rsidR="005E0110">
        <w:t xml:space="preserve"> outlines the department’s minimum requirements</w:t>
      </w:r>
      <w:r w:rsidR="006F6A84">
        <w:t xml:space="preserve"> </w:t>
      </w:r>
      <w:r w:rsidR="009115FB">
        <w:t>related to</w:t>
      </w:r>
      <w:r w:rsidR="006F6A84">
        <w:t xml:space="preserve"> the interpretation of </w:t>
      </w:r>
      <w:r w:rsidR="25875CEE">
        <w:t>the phrase ‘</w:t>
      </w:r>
      <w:r w:rsidR="006F6A84">
        <w:t>property of origin</w:t>
      </w:r>
      <w:r w:rsidR="4E02484C">
        <w:t>’</w:t>
      </w:r>
      <w:r w:rsidR="006F6A84">
        <w:t xml:space="preserve"> where </w:t>
      </w:r>
      <w:r w:rsidR="00691D8B">
        <w:t xml:space="preserve">this is </w:t>
      </w:r>
      <w:r w:rsidR="006F6A84">
        <w:t xml:space="preserve">not otherwise defined </w:t>
      </w:r>
      <w:r w:rsidR="009035D6">
        <w:t>by</w:t>
      </w:r>
      <w:r w:rsidR="00E2566C">
        <w:t xml:space="preserve"> an</w:t>
      </w:r>
      <w:r w:rsidR="006F6A84">
        <w:t xml:space="preserve"> importing country</w:t>
      </w:r>
      <w:r w:rsidR="009035D6">
        <w:t>.</w:t>
      </w:r>
    </w:p>
    <w:p w14:paraId="1CB760A5" w14:textId="77777777" w:rsidR="00582A7B" w:rsidRDefault="00582A7B" w:rsidP="00582A7B">
      <w:pPr>
        <w:rPr>
          <w:lang w:eastAsia="ja-JP"/>
        </w:rPr>
      </w:pPr>
      <w:r>
        <w:rPr>
          <w:lang w:eastAsia="ja-JP"/>
        </w:rPr>
        <w:t>The policy does not apply to the export of animals other than livestock or animal reproductive material.</w:t>
      </w:r>
    </w:p>
    <w:p w14:paraId="06516223" w14:textId="3759E480" w:rsidR="00A26001" w:rsidRPr="00A26001" w:rsidRDefault="00A26001" w:rsidP="00A26001">
      <w:pPr>
        <w:rPr>
          <w:rFonts w:cstheme="minorHAnsi"/>
        </w:rPr>
      </w:pPr>
      <w:r w:rsidRPr="00A26001">
        <w:rPr>
          <w:rFonts w:cstheme="minorHAnsi"/>
        </w:rPr>
        <w:t>This policy should be read in conjunction with relevant export legislation</w:t>
      </w:r>
      <w:r w:rsidR="00B52E10">
        <w:rPr>
          <w:rFonts w:cstheme="minorHAnsi"/>
        </w:rPr>
        <w:t>,</w:t>
      </w:r>
      <w:r w:rsidRPr="00A26001">
        <w:rPr>
          <w:rFonts w:cstheme="minorHAnsi"/>
        </w:rPr>
        <w:t xml:space="preserve"> </w:t>
      </w:r>
      <w:r w:rsidR="00194F65">
        <w:rPr>
          <w:rFonts w:cstheme="minorHAnsi"/>
        </w:rPr>
        <w:t xml:space="preserve">importing country requirements and </w:t>
      </w:r>
      <w:r w:rsidRPr="00A26001">
        <w:rPr>
          <w:rFonts w:cstheme="minorHAnsi"/>
        </w:rPr>
        <w:t xml:space="preserve">standards listed under </w:t>
      </w:r>
      <w:hyperlink w:anchor="_Related_material" w:history="1">
        <w:r w:rsidRPr="00A26001">
          <w:rPr>
            <w:rFonts w:cstheme="minorHAnsi"/>
            <w:color w:val="0000FF" w:themeColor="hyperlink"/>
            <w:u w:val="single"/>
          </w:rPr>
          <w:t>related material</w:t>
        </w:r>
      </w:hyperlink>
      <w:r w:rsidRPr="00A26001">
        <w:rPr>
          <w:rFonts w:cstheme="minorHAnsi"/>
          <w:lang w:val="en-US"/>
        </w:rPr>
        <w:t>.</w:t>
      </w:r>
    </w:p>
    <w:p w14:paraId="7B2E884B" w14:textId="77777777" w:rsidR="00A26001" w:rsidRPr="00A26001" w:rsidRDefault="00A26001" w:rsidP="00A26001">
      <w:pPr>
        <w:pStyle w:val="Heading2"/>
      </w:pPr>
      <w:r w:rsidRPr="00A26001">
        <w:t>Requirements</w:t>
      </w:r>
    </w:p>
    <w:p w14:paraId="6BD683B2" w14:textId="5D3A95FE" w:rsidR="00BB3C7B" w:rsidRDefault="006312B8" w:rsidP="002528B2">
      <w:r>
        <w:t>F</w:t>
      </w:r>
      <w:r w:rsidR="00E76242">
        <w:t xml:space="preserve">or consignments exported on or after 2 December 2024, the </w:t>
      </w:r>
      <w:r w:rsidR="004E71A3">
        <w:t>department define</w:t>
      </w:r>
      <w:r w:rsidR="005447F5">
        <w:t>s</w:t>
      </w:r>
      <w:r w:rsidR="004E71A3">
        <w:t xml:space="preserve"> a </w:t>
      </w:r>
      <w:r w:rsidR="6A0E3D80">
        <w:t>‘</w:t>
      </w:r>
      <w:r w:rsidR="004E71A3">
        <w:t>property of origin</w:t>
      </w:r>
      <w:r w:rsidR="4BA9FA0D">
        <w:t>’</w:t>
      </w:r>
      <w:r w:rsidR="004E71A3">
        <w:t xml:space="preserve"> </w:t>
      </w:r>
      <w:r w:rsidR="00253820">
        <w:t xml:space="preserve">to be the property </w:t>
      </w:r>
      <w:r w:rsidR="00C63E1A">
        <w:t>(</w:t>
      </w:r>
      <w:r w:rsidR="00253820">
        <w:t>or properties</w:t>
      </w:r>
      <w:r w:rsidR="00C63E1A">
        <w:t>)</w:t>
      </w:r>
      <w:r w:rsidR="00805B86">
        <w:t xml:space="preserve"> </w:t>
      </w:r>
      <w:r w:rsidR="00E94FC5">
        <w:t xml:space="preserve">where </w:t>
      </w:r>
      <w:r w:rsidR="00805B86">
        <w:t xml:space="preserve">livestock resided </w:t>
      </w:r>
      <w:r w:rsidR="00DE4DDA">
        <w:t>in</w:t>
      </w:r>
      <w:r w:rsidR="00F17FAD">
        <w:t xml:space="preserve"> the </w:t>
      </w:r>
      <w:r w:rsidR="004A7C36">
        <w:t>30</w:t>
      </w:r>
      <w:r w:rsidR="00633402">
        <w:t xml:space="preserve"> </w:t>
      </w:r>
      <w:r w:rsidR="004A7C36">
        <w:t>day</w:t>
      </w:r>
      <w:r w:rsidR="00DE4DDA">
        <w:t>s</w:t>
      </w:r>
      <w:r w:rsidR="00F17FAD">
        <w:t xml:space="preserve"> </w:t>
      </w:r>
      <w:r w:rsidR="004A7C36">
        <w:t xml:space="preserve">immediately </w:t>
      </w:r>
      <w:r w:rsidR="00C5327E">
        <w:t xml:space="preserve">prior to entering the property where they </w:t>
      </w:r>
      <w:r w:rsidR="00E45F24">
        <w:t xml:space="preserve">are </w:t>
      </w:r>
      <w:r w:rsidR="00C5327E">
        <w:t>prepared for export.</w:t>
      </w:r>
    </w:p>
    <w:p w14:paraId="7D0CF61F" w14:textId="0D5F16EB" w:rsidR="00B006AB" w:rsidRDefault="00A50832" w:rsidP="002528B2">
      <w:r>
        <w:t xml:space="preserve">This </w:t>
      </w:r>
      <w:r w:rsidR="00E34C18">
        <w:t>means any pr</w:t>
      </w:r>
      <w:r w:rsidR="00CB3184">
        <w:t xml:space="preserve">operty that livestock were on in the </w:t>
      </w:r>
      <w:r w:rsidR="00CB3184" w:rsidRPr="44C280BC">
        <w:rPr>
          <w:u w:val="single"/>
        </w:rPr>
        <w:t xml:space="preserve">30-day period </w:t>
      </w:r>
      <w:r w:rsidR="2B35171F" w:rsidRPr="44C280BC">
        <w:rPr>
          <w:u w:val="single"/>
        </w:rPr>
        <w:t xml:space="preserve">immediately </w:t>
      </w:r>
      <w:r w:rsidR="005F63EC" w:rsidRPr="44C280BC">
        <w:rPr>
          <w:u w:val="single"/>
        </w:rPr>
        <w:t>prior</w:t>
      </w:r>
      <w:r w:rsidR="005F63EC">
        <w:t xml:space="preserve"> to</w:t>
      </w:r>
      <w:r w:rsidR="00CB3184">
        <w:t xml:space="preserve"> </w:t>
      </w:r>
      <w:r w:rsidR="009C7CF0">
        <w:t>entering</w:t>
      </w:r>
      <w:r w:rsidR="00CB3184">
        <w:t xml:space="preserve"> the</w:t>
      </w:r>
      <w:r>
        <w:t>:</w:t>
      </w:r>
    </w:p>
    <w:p w14:paraId="69EA3AD2" w14:textId="34BDD789" w:rsidR="008C6E01" w:rsidRDefault="008C6E01" w:rsidP="008C6E01">
      <w:pPr>
        <w:pStyle w:val="ListBullet"/>
      </w:pPr>
      <w:r>
        <w:t>registered establishment</w:t>
      </w:r>
      <w:r w:rsidR="00356450">
        <w:t>,</w:t>
      </w:r>
      <w:r>
        <w:t xml:space="preserve"> for livestock exported by sea</w:t>
      </w:r>
      <w:r w:rsidR="5E9D5873">
        <w:t>, or</w:t>
      </w:r>
    </w:p>
    <w:p w14:paraId="2C5B48FF" w14:textId="5107D583" w:rsidR="008C6E01" w:rsidRDefault="008C6E01" w:rsidP="008C6E01">
      <w:pPr>
        <w:pStyle w:val="ListBullet"/>
      </w:pPr>
      <w:r>
        <w:t>approved premises or other premises used for export preparation, for livestock exported by air</w:t>
      </w:r>
    </w:p>
    <w:p w14:paraId="0E7E8BA1" w14:textId="00310B94" w:rsidR="007E0EB1" w:rsidRDefault="007E0EB1" w:rsidP="002528B2">
      <w:r>
        <w:t xml:space="preserve">If an importing country specifies </w:t>
      </w:r>
      <w:r w:rsidR="460311C1">
        <w:t>its</w:t>
      </w:r>
      <w:r>
        <w:t xml:space="preserve"> own definition </w:t>
      </w:r>
      <w:r w:rsidR="08F7E04D">
        <w:t>of the phrase ‘</w:t>
      </w:r>
      <w:r>
        <w:t>property of origin</w:t>
      </w:r>
      <w:r w:rsidR="149786B5">
        <w:t>’</w:t>
      </w:r>
      <w:r>
        <w:t xml:space="preserve">, </w:t>
      </w:r>
      <w:r w:rsidR="00811A2A">
        <w:t>livestock must be prepared in accordance with that definition</w:t>
      </w:r>
      <w:r w:rsidR="00AA449E">
        <w:t>.</w:t>
      </w:r>
    </w:p>
    <w:p w14:paraId="77AAD3D3" w14:textId="77777777" w:rsidR="00A26001" w:rsidRPr="00A26001" w:rsidRDefault="00A26001" w:rsidP="00A26001">
      <w:pPr>
        <w:pStyle w:val="Heading2"/>
      </w:pPr>
      <w:r w:rsidRPr="00A26001">
        <w:t>Instructions</w:t>
      </w:r>
    </w:p>
    <w:p w14:paraId="75AC20F3" w14:textId="77777777" w:rsidR="007F74C3" w:rsidRDefault="005F7A32" w:rsidP="00A26001">
      <w:pPr>
        <w:rPr>
          <w:lang w:eastAsia="ja-JP"/>
        </w:rPr>
      </w:pPr>
      <w:r>
        <w:rPr>
          <w:lang w:eastAsia="ja-JP"/>
        </w:rPr>
        <w:t>From 2 December 2024, f</w:t>
      </w:r>
      <w:r w:rsidR="009A2C4E">
        <w:rPr>
          <w:lang w:eastAsia="ja-JP"/>
        </w:rPr>
        <w:t>or consignments where</w:t>
      </w:r>
      <w:r w:rsidR="00DD5CA2">
        <w:rPr>
          <w:lang w:eastAsia="ja-JP"/>
        </w:rPr>
        <w:t xml:space="preserve"> importing country requirements include property of origin clauses, exporters are </w:t>
      </w:r>
      <w:r w:rsidR="00C25F2B">
        <w:rPr>
          <w:lang w:eastAsia="ja-JP"/>
        </w:rPr>
        <w:t>required to obtain documentation as per Table 1.</w:t>
      </w:r>
    </w:p>
    <w:p w14:paraId="469879EC" w14:textId="6446BDC4" w:rsidR="006D74C3" w:rsidRDefault="008E7D8E" w:rsidP="00A26001">
      <w:pPr>
        <w:rPr>
          <w:lang w:eastAsia="ja-JP"/>
        </w:rPr>
      </w:pPr>
      <w:r>
        <w:rPr>
          <w:lang w:eastAsia="ja-JP"/>
        </w:rPr>
        <w:t>In accordance with an exporter’s approved arrange</w:t>
      </w:r>
      <w:r w:rsidR="00FC1691">
        <w:rPr>
          <w:lang w:eastAsia="ja-JP"/>
        </w:rPr>
        <w:t>ment</w:t>
      </w:r>
      <w:r>
        <w:rPr>
          <w:lang w:eastAsia="ja-JP"/>
        </w:rPr>
        <w:t xml:space="preserve"> (or </w:t>
      </w:r>
      <w:r w:rsidR="006D74C3">
        <w:rPr>
          <w:lang w:eastAsia="ja-JP"/>
        </w:rPr>
        <w:t>exemption for small and infrequent exporters), d</w:t>
      </w:r>
      <w:r w:rsidR="00AE44C5">
        <w:rPr>
          <w:lang w:eastAsia="ja-JP"/>
        </w:rPr>
        <w:t>ocuments m</w:t>
      </w:r>
      <w:r w:rsidR="00E72134">
        <w:rPr>
          <w:lang w:eastAsia="ja-JP"/>
        </w:rPr>
        <w:t>ust be provided to the department</w:t>
      </w:r>
      <w:r w:rsidR="006D74C3">
        <w:rPr>
          <w:lang w:eastAsia="ja-JP"/>
        </w:rPr>
        <w:t>:</w:t>
      </w:r>
    </w:p>
    <w:p w14:paraId="70730385" w14:textId="14D2016E" w:rsidR="006D74C3" w:rsidRDefault="0022317D" w:rsidP="006D74C3">
      <w:pPr>
        <w:pStyle w:val="ListBullet"/>
        <w:rPr>
          <w:lang w:eastAsia="ja-JP"/>
        </w:rPr>
      </w:pPr>
      <w:r w:rsidRPr="44C280BC">
        <w:rPr>
          <w:lang w:eastAsia="ja-JP"/>
        </w:rPr>
        <w:t xml:space="preserve">if required for certification of </w:t>
      </w:r>
      <w:r w:rsidR="007F74C3" w:rsidRPr="44C280BC">
        <w:rPr>
          <w:lang w:eastAsia="ja-JP"/>
        </w:rPr>
        <w:t>a</w:t>
      </w:r>
      <w:r w:rsidRPr="44C280BC">
        <w:rPr>
          <w:lang w:eastAsia="ja-JP"/>
        </w:rPr>
        <w:t xml:space="preserve"> consignment</w:t>
      </w:r>
      <w:r w:rsidR="50DA1E37" w:rsidRPr="44C280BC">
        <w:rPr>
          <w:lang w:eastAsia="ja-JP"/>
        </w:rPr>
        <w:t>, and</w:t>
      </w:r>
    </w:p>
    <w:p w14:paraId="104272FE" w14:textId="0EBC7F79" w:rsidR="00B33F00" w:rsidRDefault="0022317D" w:rsidP="006D74C3">
      <w:pPr>
        <w:pStyle w:val="ListBullet"/>
        <w:rPr>
          <w:lang w:eastAsia="ja-JP"/>
        </w:rPr>
      </w:pPr>
      <w:r>
        <w:rPr>
          <w:lang w:eastAsia="ja-JP"/>
        </w:rPr>
        <w:t>during audit.</w:t>
      </w:r>
    </w:p>
    <w:p w14:paraId="26BD9D54" w14:textId="3E451905" w:rsidR="00E47C68" w:rsidRDefault="00303997" w:rsidP="00FB3E1E">
      <w:pPr>
        <w:pStyle w:val="TableHeading"/>
        <w:pageBreakBefore/>
      </w:pPr>
      <w:r w:rsidRPr="006A080A">
        <w:lastRenderedPageBreak/>
        <w:t xml:space="preserve">Table 1 </w:t>
      </w:r>
      <w:r w:rsidRPr="008D0B4C">
        <w:t>Documentation required to address property of origin clauses in importing country requirements</w:t>
      </w:r>
    </w:p>
    <w:tbl>
      <w:tblPr>
        <w:tblStyle w:val="TableGridLight"/>
        <w:tblW w:w="9356"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3544"/>
        <w:gridCol w:w="3827"/>
      </w:tblGrid>
      <w:tr w:rsidR="00E47C68" w:rsidRPr="00E47C68" w14:paraId="03FB473F" w14:textId="77777777" w:rsidTr="44C280BC">
        <w:tc>
          <w:tcPr>
            <w:tcW w:w="1985" w:type="dxa"/>
            <w:tcBorders>
              <w:top w:val="single" w:sz="4" w:space="0" w:color="auto"/>
              <w:bottom w:val="single" w:sz="4" w:space="0" w:color="auto"/>
            </w:tcBorders>
          </w:tcPr>
          <w:p w14:paraId="777F505E" w14:textId="77777777" w:rsidR="00E47C68" w:rsidRPr="00E47C68" w:rsidRDefault="00E47C68" w:rsidP="00303997">
            <w:pPr>
              <w:pStyle w:val="TableHeading"/>
            </w:pPr>
          </w:p>
        </w:tc>
        <w:tc>
          <w:tcPr>
            <w:tcW w:w="3544" w:type="dxa"/>
            <w:tcBorders>
              <w:top w:val="single" w:sz="4" w:space="0" w:color="auto"/>
              <w:bottom w:val="single" w:sz="4" w:space="0" w:color="auto"/>
            </w:tcBorders>
          </w:tcPr>
          <w:p w14:paraId="6A3B2CF1" w14:textId="5E6FC731" w:rsidR="00E47C68" w:rsidRPr="00E47C68" w:rsidRDefault="00E47C68" w:rsidP="00303997">
            <w:pPr>
              <w:pStyle w:val="TableHeading"/>
            </w:pPr>
            <w:r w:rsidRPr="00E47C68">
              <w:t>For import conditions which rely on property health status documentation from a state or territory veterinary authority</w:t>
            </w:r>
          </w:p>
        </w:tc>
        <w:tc>
          <w:tcPr>
            <w:tcW w:w="3827" w:type="dxa"/>
            <w:tcBorders>
              <w:top w:val="single" w:sz="4" w:space="0" w:color="auto"/>
              <w:bottom w:val="single" w:sz="4" w:space="0" w:color="auto"/>
            </w:tcBorders>
          </w:tcPr>
          <w:p w14:paraId="30F361CA" w14:textId="01398E1A" w:rsidR="00E47C68" w:rsidRPr="00E47C68" w:rsidRDefault="00E47C68" w:rsidP="00303997">
            <w:pPr>
              <w:pStyle w:val="TableHeading"/>
            </w:pPr>
            <w:r w:rsidRPr="00E47C68">
              <w:t>For import conditions which rely on a vendor declaration for certification</w:t>
            </w:r>
            <w:r w:rsidR="00541FC6">
              <w:t xml:space="preserve"> (e</w:t>
            </w:r>
            <w:r w:rsidR="00233BE6">
              <w:t xml:space="preserve">.g. </w:t>
            </w:r>
            <w:r w:rsidR="0083408B">
              <w:t>r</w:t>
            </w:r>
            <w:r w:rsidRPr="00E47C68">
              <w:t>esidency clauses, or for non-notifiable diseases</w:t>
            </w:r>
            <w:r w:rsidR="0083408B">
              <w:t>)</w:t>
            </w:r>
          </w:p>
        </w:tc>
      </w:tr>
      <w:tr w:rsidR="00073371" w:rsidRPr="00E47C68" w14:paraId="71D8541F" w14:textId="77777777" w:rsidTr="44C280BC">
        <w:tc>
          <w:tcPr>
            <w:tcW w:w="1985" w:type="dxa"/>
            <w:tcBorders>
              <w:top w:val="single" w:sz="4" w:space="0" w:color="auto"/>
              <w:bottom w:val="single" w:sz="4" w:space="0" w:color="auto"/>
            </w:tcBorders>
          </w:tcPr>
          <w:p w14:paraId="6011DF54" w14:textId="62ACD6CA" w:rsidR="00073371" w:rsidRPr="00E47C68" w:rsidRDefault="00073371" w:rsidP="00073371">
            <w:pPr>
              <w:pStyle w:val="TableText"/>
            </w:pPr>
            <w:r w:rsidRPr="00E47C68">
              <w:t>Where no residency period on the property of origin is included in the importing country requirements.</w:t>
            </w:r>
          </w:p>
        </w:tc>
        <w:tc>
          <w:tcPr>
            <w:tcW w:w="3544" w:type="dxa"/>
            <w:tcBorders>
              <w:top w:val="single" w:sz="4" w:space="0" w:color="auto"/>
              <w:bottom w:val="single" w:sz="4" w:space="0" w:color="auto"/>
            </w:tcBorders>
          </w:tcPr>
          <w:p w14:paraId="1FCC4009" w14:textId="3DD6AAD4" w:rsidR="00FD115A" w:rsidRPr="00E47C68" w:rsidRDefault="00FD115A" w:rsidP="00FD115A">
            <w:pPr>
              <w:pStyle w:val="TableText"/>
            </w:pPr>
            <w:r w:rsidRPr="00E47C68">
              <w:t xml:space="preserve">Property health status documentation issued by a state or territory government for every property identification code (PIC) where the </w:t>
            </w:r>
            <w:r w:rsidR="00B81E12">
              <w:t>livestock</w:t>
            </w:r>
            <w:r w:rsidRPr="00E47C68">
              <w:t xml:space="preserve"> have resided in the 30 days immediately prior to entry to the property where they are prepared for export.</w:t>
            </w:r>
          </w:p>
          <w:p w14:paraId="79C151FD" w14:textId="77777777" w:rsidR="00FD115A" w:rsidRPr="00E47C68" w:rsidRDefault="00FD115A" w:rsidP="00FD115A">
            <w:pPr>
              <w:pStyle w:val="TableText"/>
            </w:pPr>
            <w:r w:rsidRPr="00E47C68">
              <w:t>Documentation must include reference to:</w:t>
            </w:r>
          </w:p>
          <w:p w14:paraId="08734402" w14:textId="77777777" w:rsidR="00FD115A" w:rsidRPr="00E47C68" w:rsidRDefault="00FD115A" w:rsidP="00FD115A">
            <w:pPr>
              <w:pStyle w:val="TableBullet1"/>
            </w:pPr>
            <w:r>
              <w:t>a</w:t>
            </w:r>
            <w:r w:rsidRPr="00E47C68">
              <w:t>ll relevant notifiable diseases</w:t>
            </w:r>
          </w:p>
          <w:p w14:paraId="4904C62F" w14:textId="77777777" w:rsidR="00FD115A" w:rsidRPr="00E47C68" w:rsidRDefault="00FD115A" w:rsidP="00FD115A">
            <w:pPr>
              <w:pStyle w:val="TableBullet1"/>
            </w:pPr>
            <w:r>
              <w:t>o</w:t>
            </w:r>
            <w:r w:rsidRPr="00E47C68">
              <w:t xml:space="preserve">ther animal health matters that relate to the status of the property in relation to national or state disease monitoring or control programs (e.g. National Arbovirus Monitoring Program) as required by the importing country. </w:t>
            </w:r>
          </w:p>
          <w:p w14:paraId="28B178FA" w14:textId="5733E186" w:rsidR="00073371" w:rsidRPr="00E47C68" w:rsidRDefault="00FD115A" w:rsidP="00FD115A">
            <w:pPr>
              <w:pStyle w:val="TableText"/>
            </w:pPr>
            <w:r w:rsidRPr="00E47C68">
              <w:rPr>
                <w:b/>
                <w:bCs/>
              </w:rPr>
              <w:t>Note</w:t>
            </w:r>
            <w:r w:rsidRPr="00E47C68">
              <w:t>: For saleyard PICs unable to obtain property health status documentation from the relevant government authority, the exporter must ensure that the saleyard has a biosecurity plan in place to reduce the risk of disease transmission in the yard.</w:t>
            </w:r>
          </w:p>
        </w:tc>
        <w:tc>
          <w:tcPr>
            <w:tcW w:w="3827" w:type="dxa"/>
            <w:tcBorders>
              <w:top w:val="single" w:sz="4" w:space="0" w:color="auto"/>
              <w:bottom w:val="single" w:sz="4" w:space="0" w:color="auto"/>
            </w:tcBorders>
          </w:tcPr>
          <w:p w14:paraId="382BDF83" w14:textId="25402033" w:rsidR="00073371" w:rsidRPr="00E47C68" w:rsidRDefault="00073371" w:rsidP="00073371">
            <w:pPr>
              <w:pStyle w:val="TableText"/>
            </w:pPr>
            <w:r w:rsidRPr="00E47C68">
              <w:t xml:space="preserve">Vendor declarations to address importing country requirements relevant to the property of origin, and that require a vendor declaration for the properties </w:t>
            </w:r>
            <w:r w:rsidR="005F4A7C">
              <w:t xml:space="preserve">where </w:t>
            </w:r>
            <w:r w:rsidRPr="00E47C68">
              <w:t xml:space="preserve">the livestock have </w:t>
            </w:r>
            <w:r w:rsidR="00BF1E47">
              <w:t>resided</w:t>
            </w:r>
            <w:r w:rsidRPr="00E47C68">
              <w:t xml:space="preserve"> </w:t>
            </w:r>
            <w:r w:rsidR="00B81E12">
              <w:t>in the</w:t>
            </w:r>
            <w:r w:rsidRPr="00E47C68">
              <w:t xml:space="preserve"> 30 days immediately prior to entry to the property where they are prepared for export.</w:t>
            </w:r>
          </w:p>
          <w:p w14:paraId="0B33D9BE" w14:textId="77777777" w:rsidR="00FD115A" w:rsidRPr="00E47C68" w:rsidRDefault="00FD115A" w:rsidP="00FD115A">
            <w:pPr>
              <w:pStyle w:val="TableText"/>
            </w:pPr>
            <w:r w:rsidRPr="00E47C68">
              <w:t>This could be met by:</w:t>
            </w:r>
          </w:p>
          <w:p w14:paraId="5F350B03" w14:textId="511E9384" w:rsidR="00FD115A" w:rsidRPr="00E47C68" w:rsidRDefault="3D713516" w:rsidP="00FD115A">
            <w:pPr>
              <w:pStyle w:val="TableBullet1"/>
            </w:pPr>
            <w:r>
              <w:t>d</w:t>
            </w:r>
            <w:r w:rsidR="204CCCB4">
              <w:t>eclaring the animals have not moved from the vendor’s property in the previous 30 days (so no additional declarations are needed for prior properties)</w:t>
            </w:r>
          </w:p>
          <w:p w14:paraId="10F46CC0" w14:textId="733E97A2" w:rsidR="00FD115A" w:rsidRPr="00E47C68" w:rsidRDefault="006E61FE" w:rsidP="00FD115A">
            <w:pPr>
              <w:pStyle w:val="TableBullet1"/>
            </w:pPr>
            <w:r>
              <w:t>i</w:t>
            </w:r>
            <w:r w:rsidR="00FD115A" w:rsidRPr="00E47C68">
              <w:t>ncluding confirmation in the vendor declaration—for the property where the animals were held immediately prior to entry to the property used for export preparation—that the animals have only been held on properties that comply with the importing country requirements for the last 30 days.</w:t>
            </w:r>
          </w:p>
          <w:p w14:paraId="0BFCC27E" w14:textId="77777777" w:rsidR="00FD115A" w:rsidRPr="00E47C68" w:rsidRDefault="00FD115A" w:rsidP="00FD115A">
            <w:pPr>
              <w:pStyle w:val="TableBullet1"/>
              <w:numPr>
                <w:ilvl w:val="0"/>
                <w:numId w:val="0"/>
              </w:numPr>
              <w:ind w:left="284"/>
            </w:pPr>
            <w:r w:rsidRPr="00E47C68">
              <w:rPr>
                <w:b/>
                <w:bCs/>
              </w:rPr>
              <w:t>Note</w:t>
            </w:r>
            <w:r w:rsidRPr="00E47C68">
              <w:t>: The vendor must hold the information upon which this declaration is based.</w:t>
            </w:r>
          </w:p>
          <w:p w14:paraId="3B7AD208" w14:textId="1C1F8F8B" w:rsidR="00073371" w:rsidRPr="00E47C68" w:rsidRDefault="001E0B0F" w:rsidP="007910B8">
            <w:pPr>
              <w:pStyle w:val="TableBullet1"/>
            </w:pPr>
            <w:r>
              <w:t>o</w:t>
            </w:r>
            <w:r w:rsidR="00FD115A" w:rsidRPr="00E47C68">
              <w:t>btaining vendor declarations from all vendors for the properties where the livestock have resided in those 30 days.</w:t>
            </w:r>
          </w:p>
        </w:tc>
      </w:tr>
      <w:tr w:rsidR="00E47C68" w:rsidRPr="00E47C68" w14:paraId="6F5964D6" w14:textId="77777777" w:rsidTr="44C280BC">
        <w:tc>
          <w:tcPr>
            <w:tcW w:w="1985" w:type="dxa"/>
            <w:tcBorders>
              <w:top w:val="single" w:sz="4" w:space="0" w:color="auto"/>
              <w:bottom w:val="single" w:sz="4" w:space="0" w:color="auto"/>
            </w:tcBorders>
          </w:tcPr>
          <w:p w14:paraId="00D72A86" w14:textId="77777777" w:rsidR="00E47C68" w:rsidRPr="00E47C68" w:rsidRDefault="00E47C68" w:rsidP="004B6FE9">
            <w:pPr>
              <w:pStyle w:val="TableText"/>
            </w:pPr>
            <w:r w:rsidRPr="00E47C68">
              <w:t>Where the importing country requirements specify a period of residency on the property of origin.</w:t>
            </w:r>
          </w:p>
          <w:p w14:paraId="5987158B" w14:textId="77777777" w:rsidR="00E47C68" w:rsidRPr="00E47C68" w:rsidRDefault="00E47C68" w:rsidP="004B6FE9">
            <w:pPr>
              <w:pStyle w:val="TableText"/>
              <w:rPr>
                <w:rFonts w:cstheme="minorHAnsi"/>
              </w:rPr>
            </w:pPr>
            <w:r w:rsidRPr="00E47C68">
              <w:rPr>
                <w:bCs/>
              </w:rPr>
              <w:t>For example, breeder cattle to China are required to spend 6 months on the property of origin before entry to the property where they are prepared for export.</w:t>
            </w:r>
          </w:p>
        </w:tc>
        <w:tc>
          <w:tcPr>
            <w:tcW w:w="3544" w:type="dxa"/>
            <w:tcBorders>
              <w:top w:val="single" w:sz="4" w:space="0" w:color="auto"/>
              <w:bottom w:val="single" w:sz="4" w:space="0" w:color="auto"/>
            </w:tcBorders>
          </w:tcPr>
          <w:p w14:paraId="2E525E8C" w14:textId="77777777" w:rsidR="00E47C68" w:rsidRPr="00E47C68" w:rsidRDefault="00E47C68" w:rsidP="004B6FE9">
            <w:pPr>
              <w:pStyle w:val="TableText"/>
            </w:pPr>
            <w:r w:rsidRPr="00E47C68">
              <w:t>Property health status documentation issued by a state or territory government only for properties where the animals resided in the residency period specified in the importing country requirements.</w:t>
            </w:r>
          </w:p>
          <w:p w14:paraId="2901F920" w14:textId="77777777" w:rsidR="00E47C68" w:rsidRPr="00E47C68" w:rsidRDefault="00E47C68" w:rsidP="004B6FE9">
            <w:pPr>
              <w:pStyle w:val="TableText"/>
            </w:pPr>
            <w:r w:rsidRPr="00E47C68">
              <w:t>Documentation must include reference to:</w:t>
            </w:r>
          </w:p>
          <w:p w14:paraId="66F3770E" w14:textId="77777777" w:rsidR="005E10CA" w:rsidRPr="005E10CA" w:rsidRDefault="00E10BFF" w:rsidP="004B6FE9">
            <w:pPr>
              <w:pStyle w:val="TableBullet1"/>
              <w:rPr>
                <w:rFonts w:cstheme="minorHAnsi"/>
              </w:rPr>
            </w:pPr>
            <w:r>
              <w:t>a</w:t>
            </w:r>
            <w:r w:rsidR="00E47C68" w:rsidRPr="00E47C68">
              <w:t>ll relevant notifiable diseases</w:t>
            </w:r>
          </w:p>
          <w:p w14:paraId="4BBF196A" w14:textId="252B521E" w:rsidR="00E47C68" w:rsidRPr="00E47C68" w:rsidRDefault="005E10CA" w:rsidP="004B6FE9">
            <w:pPr>
              <w:pStyle w:val="TableBullet1"/>
              <w:rPr>
                <w:rFonts w:cstheme="minorHAnsi"/>
              </w:rPr>
            </w:pPr>
            <w:r>
              <w:t>o</w:t>
            </w:r>
            <w:r w:rsidR="00E47C68" w:rsidRPr="00E47C68">
              <w:t>ther animal health matters that relate to the status of the property in relation to national or state disease monitoring or control programs (e.g. National Arbovirus Monitoring Program) as required by the importing country.</w:t>
            </w:r>
          </w:p>
        </w:tc>
        <w:tc>
          <w:tcPr>
            <w:tcW w:w="3827" w:type="dxa"/>
            <w:tcBorders>
              <w:top w:val="single" w:sz="4" w:space="0" w:color="auto"/>
              <w:bottom w:val="single" w:sz="4" w:space="0" w:color="auto"/>
            </w:tcBorders>
          </w:tcPr>
          <w:p w14:paraId="7D3EDAB6" w14:textId="77777777" w:rsidR="00E47C68" w:rsidRPr="00E47C68" w:rsidRDefault="00E47C68" w:rsidP="004B6FE9">
            <w:pPr>
              <w:pStyle w:val="TableText"/>
              <w:rPr>
                <w:rFonts w:cstheme="minorHAnsi"/>
              </w:rPr>
            </w:pPr>
            <w:r w:rsidRPr="00E47C68">
              <w:t>Vendor declarations must be obtained for each property in accordance with the importing country requirements.</w:t>
            </w:r>
          </w:p>
        </w:tc>
      </w:tr>
    </w:tbl>
    <w:p w14:paraId="2E0552C9" w14:textId="2E7808BC" w:rsidR="00E47C68" w:rsidRDefault="00FA7779" w:rsidP="00FA7779">
      <w:pPr>
        <w:pStyle w:val="Heading2"/>
      </w:pPr>
      <w:r>
        <w:t>Background</w:t>
      </w:r>
    </w:p>
    <w:p w14:paraId="5220B246" w14:textId="29F0B73D" w:rsidR="002026A2" w:rsidRDefault="00B3171C" w:rsidP="002026A2">
      <w:r>
        <w:t>T</w:t>
      </w:r>
      <w:r w:rsidR="002026A2">
        <w:t>he department has</w:t>
      </w:r>
      <w:r>
        <w:t xml:space="preserve"> previously</w:t>
      </w:r>
      <w:r w:rsidR="002026A2">
        <w:t xml:space="preserve"> considered a </w:t>
      </w:r>
      <w:r w:rsidR="4B74B8B3">
        <w:t>‘</w:t>
      </w:r>
      <w:r w:rsidR="002026A2">
        <w:t>property of origin</w:t>
      </w:r>
      <w:r w:rsidR="222FCE18">
        <w:t>’</w:t>
      </w:r>
      <w:r w:rsidR="002026A2">
        <w:t xml:space="preserve"> to be any property that livestock were on immediately prior to transfer onto the property where they were prepared for export. </w:t>
      </w:r>
      <w:r w:rsidR="00F042FE">
        <w:t>S</w:t>
      </w:r>
      <w:r w:rsidR="002026A2">
        <w:t xml:space="preserve">tate and territory requirements </w:t>
      </w:r>
      <w:r w:rsidR="00F042FE">
        <w:t xml:space="preserve">may </w:t>
      </w:r>
      <w:r w:rsidR="00134325">
        <w:t>have</w:t>
      </w:r>
      <w:r w:rsidR="002026A2">
        <w:t xml:space="preserve"> </w:t>
      </w:r>
      <w:r w:rsidR="00134325">
        <w:t xml:space="preserve">also </w:t>
      </w:r>
      <w:r w:rsidR="002026A2">
        <w:t>appl</w:t>
      </w:r>
      <w:r w:rsidR="00F042FE">
        <w:t>ied.</w:t>
      </w:r>
    </w:p>
    <w:p w14:paraId="04E454BF" w14:textId="034DEB24" w:rsidR="00FA7779" w:rsidRPr="00FA7779" w:rsidRDefault="68FC7074" w:rsidP="00FA7779">
      <w:pPr>
        <w:rPr>
          <w:lang w:eastAsia="ja-JP"/>
        </w:rPr>
      </w:pPr>
      <w:r w:rsidRPr="44C280BC">
        <w:rPr>
          <w:lang w:eastAsia="ja-JP"/>
        </w:rPr>
        <w:t>Through</w:t>
      </w:r>
      <w:r w:rsidR="00FA7779" w:rsidRPr="44C280BC">
        <w:rPr>
          <w:lang w:eastAsia="ja-JP"/>
        </w:rPr>
        <w:t xml:space="preserve"> departmental consultation, industry bodies and state and territory authorities agreed that </w:t>
      </w:r>
      <w:r w:rsidR="16D492D6" w:rsidRPr="44C280BC">
        <w:rPr>
          <w:lang w:eastAsia="ja-JP"/>
        </w:rPr>
        <w:t>‘</w:t>
      </w:r>
      <w:r w:rsidR="00FA7779" w:rsidRPr="44C280BC">
        <w:rPr>
          <w:lang w:eastAsia="ja-JP"/>
        </w:rPr>
        <w:t>property of origin</w:t>
      </w:r>
      <w:r w:rsidR="1131DD08" w:rsidRPr="44C280BC">
        <w:rPr>
          <w:lang w:eastAsia="ja-JP"/>
        </w:rPr>
        <w:t>’</w:t>
      </w:r>
      <w:r w:rsidR="00EC642E" w:rsidRPr="44C280BC">
        <w:rPr>
          <w:lang w:eastAsia="ja-JP"/>
        </w:rPr>
        <w:t xml:space="preserve"> should</w:t>
      </w:r>
      <w:r w:rsidR="00FA7779" w:rsidRPr="44C280BC">
        <w:rPr>
          <w:lang w:eastAsia="ja-JP"/>
        </w:rPr>
        <w:t xml:space="preserve"> include </w:t>
      </w:r>
      <w:proofErr w:type="gramStart"/>
      <w:r w:rsidR="00FA7779" w:rsidRPr="44C280BC">
        <w:rPr>
          <w:lang w:eastAsia="ja-JP"/>
        </w:rPr>
        <w:t>any and all</w:t>
      </w:r>
      <w:proofErr w:type="gramEnd"/>
      <w:r w:rsidR="00FA7779" w:rsidRPr="44C280BC">
        <w:rPr>
          <w:lang w:eastAsia="ja-JP"/>
        </w:rPr>
        <w:t xml:space="preserve"> properties livestock have </w:t>
      </w:r>
      <w:r w:rsidR="00AC4C07" w:rsidRPr="44C280BC">
        <w:rPr>
          <w:lang w:eastAsia="ja-JP"/>
        </w:rPr>
        <w:t>resided</w:t>
      </w:r>
      <w:r w:rsidR="00FA7779" w:rsidRPr="44C280BC">
        <w:rPr>
          <w:lang w:eastAsia="ja-JP"/>
        </w:rPr>
        <w:t xml:space="preserve"> on for the immediate 30 days prior to entering an export establishment</w:t>
      </w:r>
      <w:r w:rsidR="00EC642E" w:rsidRPr="44C280BC">
        <w:rPr>
          <w:lang w:eastAsia="ja-JP"/>
        </w:rPr>
        <w:t xml:space="preserve"> or </w:t>
      </w:r>
      <w:r w:rsidR="00FA7779" w:rsidRPr="44C280BC">
        <w:rPr>
          <w:lang w:eastAsia="ja-JP"/>
        </w:rPr>
        <w:t>premises.</w:t>
      </w:r>
    </w:p>
    <w:p w14:paraId="4693E327" w14:textId="0F9ED4EB" w:rsidR="00FA7779" w:rsidRPr="00FA7779" w:rsidRDefault="00FA7779" w:rsidP="00FA7779">
      <w:pPr>
        <w:pStyle w:val="ListBullet"/>
      </w:pPr>
      <w:r w:rsidRPr="00FA7779">
        <w:t xml:space="preserve">The </w:t>
      </w:r>
      <w:r w:rsidR="008E6308" w:rsidRPr="00FA7779">
        <w:t>30-day</w:t>
      </w:r>
      <w:r w:rsidR="00532490">
        <w:t xml:space="preserve"> period</w:t>
      </w:r>
      <w:r w:rsidRPr="00FA7779">
        <w:t xml:space="preserve"> allows for most diseases to present themselves</w:t>
      </w:r>
      <w:r w:rsidR="00E71644">
        <w:t xml:space="preserve"> prior to export</w:t>
      </w:r>
      <w:r w:rsidRPr="00FA7779">
        <w:t xml:space="preserve"> (as this is generally longer than the incubation period). This includes diseases of biosecurity concern for Australia’s trading partners.</w:t>
      </w:r>
    </w:p>
    <w:p w14:paraId="47F7772C" w14:textId="682A7CB5" w:rsidR="00FA7779" w:rsidRDefault="00FA7779" w:rsidP="00FA7779">
      <w:pPr>
        <w:rPr>
          <w:lang w:eastAsia="ja-JP"/>
        </w:rPr>
      </w:pPr>
      <w:r w:rsidRPr="44C280BC">
        <w:rPr>
          <w:lang w:eastAsia="ja-JP"/>
        </w:rPr>
        <w:lastRenderedPageBreak/>
        <w:t>Livestock found not to comply with</w:t>
      </w:r>
      <w:r w:rsidR="00213B23" w:rsidRPr="44C280BC">
        <w:rPr>
          <w:lang w:eastAsia="ja-JP"/>
        </w:rPr>
        <w:t xml:space="preserve"> the requirements of</w:t>
      </w:r>
      <w:r w:rsidRPr="44C280BC">
        <w:rPr>
          <w:lang w:eastAsia="ja-JP"/>
        </w:rPr>
        <w:t xml:space="preserve"> an importing country</w:t>
      </w:r>
      <w:r w:rsidR="00213B23" w:rsidRPr="44C280BC">
        <w:rPr>
          <w:lang w:eastAsia="ja-JP"/>
        </w:rPr>
        <w:t xml:space="preserve"> </w:t>
      </w:r>
      <w:r w:rsidRPr="44C280BC">
        <w:rPr>
          <w:lang w:eastAsia="ja-JP"/>
        </w:rPr>
        <w:t>may be rejected by the importing country and destroyed, potentially resulting in a loss of market access for future livestock consignments from Australia.</w:t>
      </w:r>
      <w:r w:rsidR="0097034D" w:rsidRPr="44C280BC">
        <w:rPr>
          <w:lang w:eastAsia="ja-JP"/>
        </w:rPr>
        <w:t xml:space="preserve"> </w:t>
      </w:r>
      <w:r w:rsidRPr="44C280BC">
        <w:rPr>
          <w:lang w:eastAsia="ja-JP"/>
        </w:rPr>
        <w:t>Foreign authorities may audit Australia’s export certification system</w:t>
      </w:r>
      <w:r w:rsidR="0097034D" w:rsidRPr="44C280BC">
        <w:rPr>
          <w:lang w:eastAsia="ja-JP"/>
        </w:rPr>
        <w:t>, with adverse findings le</w:t>
      </w:r>
      <w:r w:rsidRPr="44C280BC">
        <w:rPr>
          <w:lang w:eastAsia="ja-JP"/>
        </w:rPr>
        <w:t>ad</w:t>
      </w:r>
      <w:r w:rsidR="0097034D" w:rsidRPr="44C280BC">
        <w:rPr>
          <w:lang w:eastAsia="ja-JP"/>
        </w:rPr>
        <w:t>ing</w:t>
      </w:r>
      <w:r w:rsidRPr="44C280BC">
        <w:rPr>
          <w:lang w:eastAsia="ja-JP"/>
        </w:rPr>
        <w:t xml:space="preserve"> to loss of market access for livestock and other commodities including animal products.</w:t>
      </w:r>
    </w:p>
    <w:p w14:paraId="4D61F56A" w14:textId="4F8D9CE4" w:rsidR="0076255F" w:rsidRPr="00FA7779" w:rsidRDefault="0076255F" w:rsidP="00FA7779">
      <w:pPr>
        <w:rPr>
          <w:lang w:eastAsia="ja-JP"/>
        </w:rPr>
      </w:pPr>
      <w:r w:rsidRPr="00FA7779">
        <w:rPr>
          <w:lang w:eastAsia="ja-JP"/>
        </w:rPr>
        <w:t>Implementing a national</w:t>
      </w:r>
      <w:r w:rsidR="00AF01D3">
        <w:rPr>
          <w:lang w:eastAsia="ja-JP"/>
        </w:rPr>
        <w:t xml:space="preserve"> and </w:t>
      </w:r>
      <w:r w:rsidRPr="00FA7779">
        <w:rPr>
          <w:lang w:eastAsia="ja-JP"/>
        </w:rPr>
        <w:t>robust interpretation of property of origin</w:t>
      </w:r>
      <w:r>
        <w:rPr>
          <w:lang w:eastAsia="ja-JP"/>
        </w:rPr>
        <w:softHyphen/>
        <w:t> – </w:t>
      </w:r>
      <w:r w:rsidRPr="00FA7779">
        <w:rPr>
          <w:lang w:eastAsia="ja-JP"/>
        </w:rPr>
        <w:t>with a 30-day minimum requirement</w:t>
      </w:r>
      <w:r>
        <w:rPr>
          <w:lang w:eastAsia="ja-JP"/>
        </w:rPr>
        <w:t> – </w:t>
      </w:r>
      <w:r w:rsidRPr="00FA7779">
        <w:rPr>
          <w:lang w:eastAsia="ja-JP"/>
        </w:rPr>
        <w:t xml:space="preserve">strengthens Australia’s export certification system and assurances provided to importing </w:t>
      </w:r>
      <w:proofErr w:type="gramStart"/>
      <w:r w:rsidRPr="00FA7779">
        <w:rPr>
          <w:lang w:eastAsia="ja-JP"/>
        </w:rPr>
        <w:t>countries, and</w:t>
      </w:r>
      <w:proofErr w:type="gramEnd"/>
      <w:r w:rsidRPr="00FA7779">
        <w:rPr>
          <w:lang w:eastAsia="ja-JP"/>
        </w:rPr>
        <w:t xml:space="preserve"> promote</w:t>
      </w:r>
      <w:r>
        <w:rPr>
          <w:lang w:eastAsia="ja-JP"/>
        </w:rPr>
        <w:t>s</w:t>
      </w:r>
      <w:r w:rsidRPr="00FA7779">
        <w:rPr>
          <w:lang w:eastAsia="ja-JP"/>
        </w:rPr>
        <w:t xml:space="preserve"> continued market access for Australian livestock.</w:t>
      </w:r>
    </w:p>
    <w:p w14:paraId="2845B6DD" w14:textId="77777777" w:rsidR="00A26001" w:rsidRPr="00A26001" w:rsidRDefault="00A26001" w:rsidP="00A26001">
      <w:pPr>
        <w:pStyle w:val="Heading2"/>
      </w:pPr>
      <w:bookmarkStart w:id="2" w:name="_Related_material"/>
      <w:bookmarkStart w:id="3" w:name="_Related_material_1"/>
      <w:bookmarkEnd w:id="2"/>
      <w:bookmarkEnd w:id="3"/>
      <w:r w:rsidRPr="00A26001">
        <w:t>Related material</w:t>
      </w:r>
    </w:p>
    <w:p w14:paraId="15851407" w14:textId="1A921977" w:rsidR="00A26001" w:rsidRPr="00614A1B" w:rsidRDefault="00A26001" w:rsidP="00614A1B">
      <w:pPr>
        <w:pStyle w:val="ListBullet"/>
      </w:pPr>
      <w:hyperlink r:id="rId11" w:anchor="current-guidelines-and-policies" w:history="1">
        <w:r w:rsidRPr="00614A1B">
          <w:rPr>
            <w:rStyle w:val="Hyperlink"/>
          </w:rPr>
          <w:t>Approved arrangement guidelines for the export of livestock</w:t>
        </w:r>
      </w:hyperlink>
    </w:p>
    <w:p w14:paraId="2D5E1EEB" w14:textId="544BD608" w:rsidR="00A26001" w:rsidRPr="00D5280A" w:rsidRDefault="00A26001" w:rsidP="00D5280A">
      <w:pPr>
        <w:pStyle w:val="ListBullet"/>
      </w:pPr>
      <w:hyperlink r:id="rId12" w:history="1">
        <w:r w:rsidRPr="00D5280A">
          <w:rPr>
            <w:rStyle w:val="Hyperlink"/>
          </w:rPr>
          <w:t>Australian Standards for the Export of Livestock (ASEL)</w:t>
        </w:r>
      </w:hyperlink>
    </w:p>
    <w:p w14:paraId="1B16E48D" w14:textId="28B984DF" w:rsidR="00A26001" w:rsidRPr="00D5280A" w:rsidRDefault="00A26001" w:rsidP="00D5280A">
      <w:pPr>
        <w:pStyle w:val="ListBullet"/>
      </w:pPr>
      <w:hyperlink r:id="rId13" w:history="1">
        <w:r w:rsidRPr="001610CE">
          <w:rPr>
            <w:rStyle w:val="Hyperlink"/>
          </w:rPr>
          <w:t>Export advisory notices</w:t>
        </w:r>
      </w:hyperlink>
    </w:p>
    <w:p w14:paraId="2C40871E" w14:textId="06B615D6" w:rsidR="001E5945" w:rsidRDefault="00447E7E" w:rsidP="00102854">
      <w:pPr>
        <w:pStyle w:val="ListBullet"/>
        <w:rPr>
          <w:rStyle w:val="Hyperlink"/>
        </w:rPr>
      </w:pPr>
      <w:hyperlink r:id="rId14" w:history="1">
        <w:r>
          <w:rPr>
            <w:rStyle w:val="Hyperlink"/>
          </w:rPr>
          <w:t>Manual of importing country requirements (Micor) – live animals</w:t>
        </w:r>
      </w:hyperlink>
    </w:p>
    <w:p w14:paraId="5CD3D891" w14:textId="639C2819" w:rsidR="001F5F33" w:rsidRDefault="001F5F33" w:rsidP="001F5F33">
      <w:pPr>
        <w:pStyle w:val="ListBullet"/>
        <w:rPr>
          <w:rStyle w:val="Hyperlink"/>
          <w:color w:val="auto"/>
          <w:u w:val="none"/>
        </w:rPr>
      </w:pPr>
      <w:hyperlink r:id="rId15" w:history="1">
        <w:r w:rsidRPr="005C0774">
          <w:rPr>
            <w:rStyle w:val="Hyperlink"/>
          </w:rPr>
          <w:t>Regulating live animal exports</w:t>
        </w:r>
      </w:hyperlink>
    </w:p>
    <w:p w14:paraId="26FCF3C5" w14:textId="0E76F816" w:rsidR="000F087D" w:rsidRPr="001F5F33" w:rsidRDefault="000F087D" w:rsidP="001F5F33">
      <w:pPr>
        <w:pStyle w:val="ListBullet"/>
        <w:rPr>
          <w:rStyle w:val="Hyperlink"/>
          <w:color w:val="auto"/>
          <w:u w:val="none"/>
        </w:rPr>
      </w:pPr>
      <w:hyperlink r:id="rId16" w:anchor="prepare-livestock" w:history="1">
        <w:r w:rsidRPr="003A4475">
          <w:rPr>
            <w:rStyle w:val="Hyperlink"/>
          </w:rPr>
          <w:t>Stock on hand in registered establishments for livestock exports policy</w:t>
        </w:r>
      </w:hyperlink>
    </w:p>
    <w:p w14:paraId="285F8C36" w14:textId="77777777" w:rsidR="00A26001" w:rsidRPr="00A26001" w:rsidRDefault="00A26001" w:rsidP="00A26001">
      <w:pPr>
        <w:pStyle w:val="Heading2"/>
      </w:pPr>
      <w:r w:rsidRPr="00A26001">
        <w:t>Version control</w:t>
      </w:r>
    </w:p>
    <w:tbl>
      <w:tblPr>
        <w:tblStyle w:val="TableGrid"/>
        <w:tblW w:w="0" w:type="auto"/>
        <w:tblLook w:val="04A0" w:firstRow="1" w:lastRow="0" w:firstColumn="1" w:lastColumn="0" w:noHBand="0" w:noVBand="1"/>
      </w:tblPr>
      <w:tblGrid>
        <w:gridCol w:w="1134"/>
        <w:gridCol w:w="1701"/>
        <w:gridCol w:w="2552"/>
        <w:gridCol w:w="3673"/>
      </w:tblGrid>
      <w:tr w:rsidR="00A26001" w:rsidRPr="00A26001" w14:paraId="3F3F7769" w14:textId="77777777" w:rsidTr="1CD7C0D9">
        <w:trPr>
          <w:cantSplit/>
          <w:tblHeader/>
        </w:trPr>
        <w:tc>
          <w:tcPr>
            <w:tcW w:w="1134" w:type="dxa"/>
            <w:tcBorders>
              <w:left w:val="nil"/>
              <w:bottom w:val="single" w:sz="4" w:space="0" w:color="auto"/>
              <w:right w:val="nil"/>
            </w:tcBorders>
          </w:tcPr>
          <w:p w14:paraId="7492C4FD" w14:textId="77777777" w:rsidR="00A26001" w:rsidRPr="00A26001" w:rsidRDefault="00A26001" w:rsidP="00A26001">
            <w:pPr>
              <w:pStyle w:val="TableHeading"/>
              <w:rPr>
                <w:lang w:eastAsia="ja-JP"/>
              </w:rPr>
            </w:pPr>
            <w:r w:rsidRPr="00A26001">
              <w:t>Version</w:t>
            </w:r>
          </w:p>
        </w:tc>
        <w:tc>
          <w:tcPr>
            <w:tcW w:w="1701" w:type="dxa"/>
            <w:tcBorders>
              <w:left w:val="nil"/>
              <w:bottom w:val="single" w:sz="4" w:space="0" w:color="auto"/>
              <w:right w:val="nil"/>
            </w:tcBorders>
          </w:tcPr>
          <w:p w14:paraId="3D9C01CA" w14:textId="77777777" w:rsidR="00A26001" w:rsidRPr="00A26001" w:rsidRDefault="00A26001" w:rsidP="00A26001">
            <w:pPr>
              <w:pStyle w:val="TableHeading"/>
              <w:rPr>
                <w:bCs/>
                <w:lang w:eastAsia="ja-JP"/>
              </w:rPr>
            </w:pPr>
            <w:r w:rsidRPr="00A26001">
              <w:rPr>
                <w:bCs/>
              </w:rPr>
              <w:t>Date of issue</w:t>
            </w:r>
          </w:p>
        </w:tc>
        <w:tc>
          <w:tcPr>
            <w:tcW w:w="2552" w:type="dxa"/>
            <w:tcBorders>
              <w:left w:val="nil"/>
              <w:bottom w:val="single" w:sz="4" w:space="0" w:color="auto"/>
              <w:right w:val="nil"/>
            </w:tcBorders>
          </w:tcPr>
          <w:p w14:paraId="24FD812B" w14:textId="77777777" w:rsidR="00A26001" w:rsidRPr="00A26001" w:rsidRDefault="00A26001" w:rsidP="00A26001">
            <w:pPr>
              <w:pStyle w:val="TableHeading"/>
              <w:rPr>
                <w:bCs/>
                <w:lang w:eastAsia="ja-JP"/>
              </w:rPr>
            </w:pPr>
            <w:r w:rsidRPr="00A26001">
              <w:rPr>
                <w:bCs/>
              </w:rPr>
              <w:t>Author</w:t>
            </w:r>
          </w:p>
        </w:tc>
        <w:tc>
          <w:tcPr>
            <w:tcW w:w="3673" w:type="dxa"/>
            <w:tcBorders>
              <w:left w:val="nil"/>
              <w:bottom w:val="single" w:sz="4" w:space="0" w:color="auto"/>
              <w:right w:val="nil"/>
            </w:tcBorders>
          </w:tcPr>
          <w:p w14:paraId="2C511FD8" w14:textId="77777777" w:rsidR="00A26001" w:rsidRPr="00A26001" w:rsidRDefault="00A26001" w:rsidP="00A26001">
            <w:pPr>
              <w:pStyle w:val="TableHeading"/>
              <w:rPr>
                <w:bCs/>
                <w:lang w:eastAsia="ja-JP"/>
              </w:rPr>
            </w:pPr>
            <w:r w:rsidRPr="00A26001">
              <w:rPr>
                <w:bCs/>
              </w:rPr>
              <w:t>Reason for change</w:t>
            </w:r>
          </w:p>
        </w:tc>
      </w:tr>
      <w:tr w:rsidR="00A26001" w:rsidRPr="00A26001" w14:paraId="3554AF31" w14:textId="77777777" w:rsidTr="1CD7C0D9">
        <w:tc>
          <w:tcPr>
            <w:tcW w:w="1134" w:type="dxa"/>
            <w:tcBorders>
              <w:left w:val="nil"/>
              <w:right w:val="nil"/>
            </w:tcBorders>
          </w:tcPr>
          <w:p w14:paraId="00D4DE1A" w14:textId="77777777" w:rsidR="00A26001" w:rsidRPr="00A26001" w:rsidRDefault="00A26001" w:rsidP="00A26001">
            <w:pPr>
              <w:pStyle w:val="TableText"/>
              <w:rPr>
                <w:lang w:eastAsia="ja-JP"/>
              </w:rPr>
            </w:pPr>
            <w:r w:rsidRPr="00A26001">
              <w:rPr>
                <w:lang w:eastAsia="ja-JP"/>
              </w:rPr>
              <w:t>1.0</w:t>
            </w:r>
          </w:p>
        </w:tc>
        <w:tc>
          <w:tcPr>
            <w:tcW w:w="1701" w:type="dxa"/>
            <w:tcBorders>
              <w:left w:val="nil"/>
              <w:right w:val="nil"/>
            </w:tcBorders>
          </w:tcPr>
          <w:p w14:paraId="01592E97" w14:textId="2E34BCBB" w:rsidR="00A26001" w:rsidRPr="00A26001" w:rsidRDefault="008B2E25" w:rsidP="00A26001">
            <w:pPr>
              <w:pStyle w:val="TableText"/>
              <w:rPr>
                <w:lang w:eastAsia="ja-JP"/>
              </w:rPr>
            </w:pPr>
            <w:r>
              <w:rPr>
                <w:lang w:eastAsia="ja-JP"/>
              </w:rPr>
              <w:t>June</w:t>
            </w:r>
            <w:r w:rsidR="00B06988" w:rsidRPr="00D44237">
              <w:rPr>
                <w:lang w:eastAsia="ja-JP"/>
              </w:rPr>
              <w:t xml:space="preserve"> 2024</w:t>
            </w:r>
          </w:p>
        </w:tc>
        <w:tc>
          <w:tcPr>
            <w:tcW w:w="2552" w:type="dxa"/>
            <w:tcBorders>
              <w:left w:val="nil"/>
              <w:right w:val="nil"/>
            </w:tcBorders>
          </w:tcPr>
          <w:p w14:paraId="555D1199" w14:textId="77777777" w:rsidR="00A26001" w:rsidRPr="00A26001" w:rsidRDefault="00A26001" w:rsidP="00A26001">
            <w:pPr>
              <w:pStyle w:val="TableText"/>
              <w:rPr>
                <w:lang w:eastAsia="ja-JP"/>
              </w:rPr>
            </w:pPr>
            <w:r w:rsidRPr="00A26001">
              <w:rPr>
                <w:lang w:eastAsia="ja-JP"/>
              </w:rPr>
              <w:t>Live Animal Export Branch</w:t>
            </w:r>
          </w:p>
        </w:tc>
        <w:tc>
          <w:tcPr>
            <w:tcW w:w="3673" w:type="dxa"/>
            <w:tcBorders>
              <w:left w:val="nil"/>
              <w:right w:val="nil"/>
            </w:tcBorders>
          </w:tcPr>
          <w:p w14:paraId="6E790F81" w14:textId="649263A8" w:rsidR="00A26001" w:rsidRPr="00A26001" w:rsidRDefault="00A26001" w:rsidP="00A26001">
            <w:pPr>
              <w:pStyle w:val="TableText"/>
              <w:rPr>
                <w:lang w:eastAsia="ja-JP"/>
              </w:rPr>
            </w:pPr>
            <w:r w:rsidRPr="00A26001">
              <w:rPr>
                <w:lang w:eastAsia="ja-JP"/>
              </w:rPr>
              <w:t>First publication</w:t>
            </w:r>
            <w:r w:rsidR="00422F13">
              <w:rPr>
                <w:lang w:eastAsia="ja-JP"/>
              </w:rPr>
              <w:t xml:space="preserve"> (Micor live animals)</w:t>
            </w:r>
          </w:p>
        </w:tc>
      </w:tr>
      <w:tr w:rsidR="00422F13" w:rsidRPr="00A26001" w14:paraId="35AEF10B" w14:textId="77777777" w:rsidTr="1CD7C0D9">
        <w:tc>
          <w:tcPr>
            <w:tcW w:w="1134" w:type="dxa"/>
            <w:tcBorders>
              <w:left w:val="nil"/>
              <w:right w:val="nil"/>
            </w:tcBorders>
          </w:tcPr>
          <w:p w14:paraId="534379C5" w14:textId="38877C01" w:rsidR="00422F13" w:rsidRPr="00A26001" w:rsidRDefault="00E6507D" w:rsidP="00A26001">
            <w:pPr>
              <w:pStyle w:val="TableText"/>
              <w:rPr>
                <w:lang w:eastAsia="ja-JP"/>
              </w:rPr>
            </w:pPr>
            <w:r>
              <w:rPr>
                <w:lang w:eastAsia="ja-JP"/>
              </w:rPr>
              <w:t>1.0</w:t>
            </w:r>
          </w:p>
        </w:tc>
        <w:tc>
          <w:tcPr>
            <w:tcW w:w="1701" w:type="dxa"/>
            <w:tcBorders>
              <w:left w:val="nil"/>
              <w:right w:val="nil"/>
            </w:tcBorders>
          </w:tcPr>
          <w:p w14:paraId="5EA35A19" w14:textId="4D750050" w:rsidR="00422F13" w:rsidRDefault="00422F13" w:rsidP="00A26001">
            <w:pPr>
              <w:pStyle w:val="TableText"/>
              <w:rPr>
                <w:lang w:eastAsia="ja-JP"/>
              </w:rPr>
            </w:pPr>
            <w:r>
              <w:rPr>
                <w:lang w:eastAsia="ja-JP"/>
              </w:rPr>
              <w:t>December 2024</w:t>
            </w:r>
          </w:p>
        </w:tc>
        <w:tc>
          <w:tcPr>
            <w:tcW w:w="2552" w:type="dxa"/>
            <w:tcBorders>
              <w:left w:val="nil"/>
              <w:right w:val="nil"/>
            </w:tcBorders>
          </w:tcPr>
          <w:p w14:paraId="3BC461A0" w14:textId="4EA10419" w:rsidR="00422F13" w:rsidRPr="00A26001" w:rsidRDefault="00422F13" w:rsidP="00A26001">
            <w:pPr>
              <w:pStyle w:val="TableText"/>
              <w:rPr>
                <w:lang w:eastAsia="ja-JP"/>
              </w:rPr>
            </w:pPr>
            <w:r w:rsidRPr="00A26001">
              <w:rPr>
                <w:lang w:eastAsia="ja-JP"/>
              </w:rPr>
              <w:t>Live Animal Export Branch</w:t>
            </w:r>
          </w:p>
        </w:tc>
        <w:tc>
          <w:tcPr>
            <w:tcW w:w="3673" w:type="dxa"/>
            <w:tcBorders>
              <w:left w:val="nil"/>
              <w:right w:val="nil"/>
            </w:tcBorders>
          </w:tcPr>
          <w:p w14:paraId="77E20A38" w14:textId="582A3522" w:rsidR="00422F13" w:rsidRPr="00A26001" w:rsidRDefault="00422F13" w:rsidP="00A26001">
            <w:pPr>
              <w:pStyle w:val="TableText"/>
              <w:rPr>
                <w:lang w:eastAsia="ja-JP"/>
              </w:rPr>
            </w:pPr>
            <w:r>
              <w:rPr>
                <w:lang w:eastAsia="ja-JP"/>
              </w:rPr>
              <w:t>No change (publication on external webpage)</w:t>
            </w:r>
          </w:p>
        </w:tc>
      </w:tr>
    </w:tbl>
    <w:p w14:paraId="637ABB64" w14:textId="77777777" w:rsidR="00A26001" w:rsidRPr="00A26001" w:rsidRDefault="00A26001" w:rsidP="00B06988">
      <w:pPr>
        <w:pStyle w:val="Normalsmall"/>
        <w:spacing w:before="240"/>
        <w:rPr>
          <w:rStyle w:val="Strong"/>
          <w:sz w:val="22"/>
          <w:szCs w:val="22"/>
        </w:rPr>
      </w:pPr>
      <w:r w:rsidRPr="00A26001">
        <w:rPr>
          <w:rStyle w:val="Strong"/>
        </w:rPr>
        <w:t>Acknowledgement of Country</w:t>
      </w:r>
    </w:p>
    <w:p w14:paraId="7673D280" w14:textId="77777777" w:rsidR="00A26001" w:rsidRPr="00A26001" w:rsidRDefault="00A26001" w:rsidP="002528B2">
      <w:pPr>
        <w:pStyle w:val="Normalsmall"/>
      </w:pPr>
      <w:r w:rsidRPr="00A26001">
        <w:t>We acknowledge the Traditional Custodians of Australia and their continuing connection to land and sea, waters, environment and community. We pay our respects to the Traditional Custodians of the lands we live and work on, their culture, and their Elders past and present.</w:t>
      </w:r>
    </w:p>
    <w:p w14:paraId="545F7D46" w14:textId="77777777" w:rsidR="00A26001" w:rsidRPr="00A26001" w:rsidRDefault="00A26001" w:rsidP="002528B2">
      <w:pPr>
        <w:pStyle w:val="Normalsmall"/>
      </w:pPr>
      <w:r w:rsidRPr="00A26001">
        <w:t>© Commonwealth of Australia 2024</w:t>
      </w:r>
    </w:p>
    <w:p w14:paraId="6E55BB2C" w14:textId="77777777" w:rsidR="00A26001" w:rsidRPr="00A26001" w:rsidRDefault="00A26001" w:rsidP="002528B2">
      <w:pPr>
        <w:pStyle w:val="Normalsmall"/>
      </w:pPr>
      <w:r w:rsidRPr="00A26001">
        <w:t>Unless otherwise noted, copyright (and any other intellectual property rights) in this publication is owned by the Commonwealth of Australia (referred to as the Commonwealth).</w:t>
      </w:r>
    </w:p>
    <w:p w14:paraId="69FA7188" w14:textId="77777777" w:rsidR="00A26001" w:rsidRPr="00A26001" w:rsidRDefault="00A26001" w:rsidP="002528B2">
      <w:pPr>
        <w:pStyle w:val="Normalsmall"/>
      </w:pPr>
      <w:r w:rsidRPr="00A26001">
        <w:t xml:space="preserve">All material in this publication is licensed under a </w:t>
      </w:r>
      <w:hyperlink r:id="rId17" w:history="1">
        <w:r w:rsidRPr="00A26001">
          <w:rPr>
            <w:color w:val="0000FF" w:themeColor="hyperlink"/>
            <w:u w:val="single"/>
          </w:rPr>
          <w:t>Creative Commons Attribution 4.0 International Licence</w:t>
        </w:r>
      </w:hyperlink>
      <w:r w:rsidRPr="00A26001">
        <w:t xml:space="preserve"> except content supplied by third parties, logos and the Commonwealth Coat of Arms.</w:t>
      </w:r>
    </w:p>
    <w:p w14:paraId="1A4305C3" w14:textId="360B0783" w:rsidR="00262394" w:rsidRPr="00A26001" w:rsidRDefault="00A26001" w:rsidP="002528B2">
      <w:pPr>
        <w:pStyle w:val="Normalsmall"/>
      </w:pPr>
      <w:r w:rsidRPr="00A26001">
        <w:t xml:space="preserve">The Australian Government acting through the Department of Agriculture, Fisheries and Forestry has exercised due care and skill in preparing and compiling the information and data in this publication. Notwithstanding, the Department of Agriculture, Fisheries and Forestry, its employees and advisers disclaim all liability, including liability for negligence and for any loss, damage, injury, expense or cost incurred by any person </w:t>
      </w:r>
      <w:proofErr w:type="gramStart"/>
      <w:r w:rsidRPr="00A26001">
        <w:t>as a result of</w:t>
      </w:r>
      <w:proofErr w:type="gramEnd"/>
      <w:r w:rsidRPr="00A26001">
        <w:t xml:space="preserve"> accessing, using or relying on any of the information or data in this publication to the maximum extent permitted by law.</w:t>
      </w:r>
    </w:p>
    <w:sectPr w:rsidR="00262394" w:rsidRPr="00A26001">
      <w:headerReference w:type="even" r:id="rId18"/>
      <w:headerReference w:type="default" r:id="rId19"/>
      <w:footerReference w:type="even" r:id="rId20"/>
      <w:footerReference w:type="default" r:id="rId21"/>
      <w:headerReference w:type="first" r:id="rId22"/>
      <w:footerReference w:type="first" r:id="rId23"/>
      <w:pgSz w:w="11906" w:h="16838"/>
      <w:pgMar w:top="1418" w:right="1418" w:bottom="1418" w:left="1418"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A8EEF9" w14:textId="77777777" w:rsidR="00444C59" w:rsidRDefault="00444C59">
      <w:r>
        <w:separator/>
      </w:r>
    </w:p>
    <w:p w14:paraId="50E488D8" w14:textId="77777777" w:rsidR="00444C59" w:rsidRDefault="00444C59"/>
    <w:p w14:paraId="6A629DC2" w14:textId="77777777" w:rsidR="00444C59" w:rsidRDefault="00444C59"/>
  </w:endnote>
  <w:endnote w:type="continuationSeparator" w:id="0">
    <w:p w14:paraId="2E35AD9F" w14:textId="77777777" w:rsidR="00444C59" w:rsidRDefault="00444C59">
      <w:r>
        <w:continuationSeparator/>
      </w:r>
    </w:p>
    <w:p w14:paraId="5C526E3F" w14:textId="77777777" w:rsidR="00444C59" w:rsidRDefault="00444C59"/>
    <w:p w14:paraId="615C5DA5" w14:textId="77777777" w:rsidR="00444C59" w:rsidRDefault="00444C59"/>
  </w:endnote>
  <w:endnote w:type="continuationNotice" w:id="1">
    <w:p w14:paraId="15FE5AB6" w14:textId="77777777" w:rsidR="00444C59" w:rsidRDefault="00444C59">
      <w:pPr>
        <w:pStyle w:val="Footer"/>
      </w:pPr>
    </w:p>
    <w:p w14:paraId="59EABD80" w14:textId="77777777" w:rsidR="00444C59" w:rsidRDefault="00444C59"/>
    <w:p w14:paraId="1D74B8FC" w14:textId="77777777" w:rsidR="00444C59" w:rsidRDefault="00444C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2D7829" w14:textId="5FEA84AE" w:rsidR="0094168C" w:rsidRDefault="0094168C">
    <w:pPr>
      <w:pStyle w:val="Footer"/>
    </w:pPr>
    <w:r>
      <w:rPr>
        <w:noProof/>
      </w:rPr>
      <mc:AlternateContent>
        <mc:Choice Requires="wps">
          <w:drawing>
            <wp:anchor distT="0" distB="0" distL="0" distR="0" simplePos="0" relativeHeight="251658241" behindDoc="0" locked="0" layoutInCell="1" allowOverlap="1" wp14:anchorId="42F0E911" wp14:editId="3F51E3FB">
              <wp:simplePos x="635" y="635"/>
              <wp:positionH relativeFrom="page">
                <wp:align>center</wp:align>
              </wp:positionH>
              <wp:positionV relativeFrom="page">
                <wp:align>bottom</wp:align>
              </wp:positionV>
              <wp:extent cx="443865" cy="443865"/>
              <wp:effectExtent l="0" t="0" r="635" b="0"/>
              <wp:wrapNone/>
              <wp:docPr id="994229978"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504E8D" w14:textId="56E249DE" w:rsidR="0094168C" w:rsidRPr="0094168C" w:rsidRDefault="0094168C" w:rsidP="0094168C">
                          <w:pPr>
                            <w:spacing w:after="0"/>
                            <w:rPr>
                              <w:rFonts w:ascii="Calibri" w:eastAsia="Calibri" w:hAnsi="Calibri" w:cs="Calibri"/>
                              <w:noProof/>
                              <w:color w:val="FF0000"/>
                              <w:sz w:val="24"/>
                              <w:szCs w:val="24"/>
                            </w:rPr>
                          </w:pPr>
                          <w:r w:rsidRPr="0094168C">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2F0E911" id="_x0000_t202" coordsize="21600,21600" o:spt="202" path="m,l,21600r21600,l21600,xe">
              <v:stroke joinstyle="miter"/>
              <v:path gradientshapeok="t" o:connecttype="rect"/>
            </v:shapetype>
            <v:shape id="Text Box 5" o:spid="_x0000_s1027" type="#_x0000_t202" alt="OFFICIAL" style="position:absolute;left:0;text-align:left;margin-left:0;margin-top:0;width:34.95pt;height:34.9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4F504E8D" w14:textId="56E249DE" w:rsidR="0094168C" w:rsidRPr="0094168C" w:rsidRDefault="0094168C" w:rsidP="0094168C">
                    <w:pPr>
                      <w:spacing w:after="0"/>
                      <w:rPr>
                        <w:rFonts w:ascii="Calibri" w:eastAsia="Calibri" w:hAnsi="Calibri" w:cs="Calibri"/>
                        <w:noProof/>
                        <w:color w:val="FF0000"/>
                        <w:sz w:val="24"/>
                        <w:szCs w:val="24"/>
                      </w:rPr>
                    </w:pPr>
                    <w:r w:rsidRPr="0094168C">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2EFDEE" w14:textId="2F401E1A" w:rsidR="002A193C" w:rsidRDefault="007B1F92">
    <w:pPr>
      <w:pStyle w:val="Footer"/>
    </w:pPr>
    <w:r w:rsidRPr="007B1F92">
      <w:t>Department of Agriculture, Fisheries and Forestry</w:t>
    </w:r>
  </w:p>
  <w:p w14:paraId="0ED08D26" w14:textId="77777777" w:rsidR="002A193C" w:rsidRDefault="002A193C">
    <w:pPr>
      <w:pStyle w:val="Footer"/>
    </w:pPr>
    <w:r>
      <w:fldChar w:fldCharType="begin"/>
    </w:r>
    <w:r>
      <w:instrText xml:space="preserve"> PAGE   \* MERGEFORMAT </w:instrText>
    </w:r>
    <w:r>
      <w:fldChar w:fldCharType="separate"/>
    </w:r>
    <w:r>
      <w:rPr>
        <w:noProof/>
      </w:rPr>
      <w:t>10</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2D134" w14:textId="3BA11562" w:rsidR="002A193C" w:rsidRDefault="002A193C">
    <w:pPr>
      <w:pStyle w:val="Footer"/>
    </w:pPr>
    <w:r>
      <w:t xml:space="preserve">Department of Agriculture, </w:t>
    </w:r>
    <w:r w:rsidR="00A9002C">
      <w:t>Fisheries and Forestry</w:t>
    </w:r>
  </w:p>
  <w:p w14:paraId="0A40782F" w14:textId="77777777" w:rsidR="002A193C" w:rsidRDefault="002A193C">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40F577" w14:textId="77777777" w:rsidR="00444C59" w:rsidRDefault="00444C59">
      <w:r>
        <w:separator/>
      </w:r>
    </w:p>
    <w:p w14:paraId="1715AC07" w14:textId="77777777" w:rsidR="00444C59" w:rsidRDefault="00444C59"/>
    <w:p w14:paraId="35753B32" w14:textId="77777777" w:rsidR="00444C59" w:rsidRDefault="00444C59"/>
  </w:footnote>
  <w:footnote w:type="continuationSeparator" w:id="0">
    <w:p w14:paraId="7FE4D100" w14:textId="77777777" w:rsidR="00444C59" w:rsidRDefault="00444C59">
      <w:r>
        <w:continuationSeparator/>
      </w:r>
    </w:p>
    <w:p w14:paraId="0832DD9F" w14:textId="77777777" w:rsidR="00444C59" w:rsidRDefault="00444C59"/>
    <w:p w14:paraId="226CD08A" w14:textId="77777777" w:rsidR="00444C59" w:rsidRDefault="00444C59"/>
  </w:footnote>
  <w:footnote w:type="continuationNotice" w:id="1">
    <w:p w14:paraId="7A9DBD54" w14:textId="77777777" w:rsidR="00444C59" w:rsidRDefault="00444C59">
      <w:pPr>
        <w:pStyle w:val="Footer"/>
      </w:pPr>
    </w:p>
    <w:p w14:paraId="1075359B" w14:textId="77777777" w:rsidR="00444C59" w:rsidRDefault="00444C59"/>
    <w:p w14:paraId="7B9638F9" w14:textId="77777777" w:rsidR="00444C59" w:rsidRDefault="00444C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3098A3" w14:textId="5160F72C" w:rsidR="0094168C" w:rsidRDefault="0094168C">
    <w:pPr>
      <w:pStyle w:val="Header"/>
    </w:pPr>
    <w:r>
      <w:rPr>
        <w:noProof/>
      </w:rPr>
      <mc:AlternateContent>
        <mc:Choice Requires="wps">
          <w:drawing>
            <wp:anchor distT="0" distB="0" distL="0" distR="0" simplePos="0" relativeHeight="251658240" behindDoc="0" locked="0" layoutInCell="1" allowOverlap="1" wp14:anchorId="0FF74627" wp14:editId="73512740">
              <wp:simplePos x="635" y="635"/>
              <wp:positionH relativeFrom="page">
                <wp:align>center</wp:align>
              </wp:positionH>
              <wp:positionV relativeFrom="page">
                <wp:align>top</wp:align>
              </wp:positionV>
              <wp:extent cx="443865" cy="443865"/>
              <wp:effectExtent l="0" t="0" r="635" b="14605"/>
              <wp:wrapNone/>
              <wp:docPr id="1001210824"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1B0D841" w14:textId="286526AF" w:rsidR="0094168C" w:rsidRPr="0094168C" w:rsidRDefault="0094168C" w:rsidP="0094168C">
                          <w:pPr>
                            <w:spacing w:after="0"/>
                            <w:rPr>
                              <w:rFonts w:ascii="Calibri" w:eastAsia="Calibri" w:hAnsi="Calibri" w:cs="Calibri"/>
                              <w:noProof/>
                              <w:color w:val="FF0000"/>
                              <w:sz w:val="24"/>
                              <w:szCs w:val="24"/>
                            </w:rPr>
                          </w:pPr>
                          <w:r w:rsidRPr="0094168C">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FF74627" id="_x0000_t202" coordsize="21600,21600" o:spt="202" path="m,l,21600r21600,l21600,xe">
              <v:stroke joinstyle="miter"/>
              <v:path gradientshapeok="t" o:connecttype="rect"/>
            </v:shapetype>
            <v:shape id="Text Box 2" o:spid="_x0000_s1026" type="#_x0000_t202" alt="OFFICIAL" style="position:absolute;left:0;text-align:left;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71B0D841" w14:textId="286526AF" w:rsidR="0094168C" w:rsidRPr="0094168C" w:rsidRDefault="0094168C" w:rsidP="0094168C">
                    <w:pPr>
                      <w:spacing w:after="0"/>
                      <w:rPr>
                        <w:rFonts w:ascii="Calibri" w:eastAsia="Calibri" w:hAnsi="Calibri" w:cs="Calibri"/>
                        <w:noProof/>
                        <w:color w:val="FF0000"/>
                        <w:sz w:val="24"/>
                        <w:szCs w:val="24"/>
                      </w:rPr>
                    </w:pPr>
                    <w:r w:rsidRPr="0094168C">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C6E68F" w14:textId="1CA1CED0" w:rsidR="002A193C" w:rsidRPr="002528B2" w:rsidRDefault="00B92DC0" w:rsidP="002528B2">
    <w:pPr>
      <w:pStyle w:val="Header"/>
    </w:pPr>
    <w:r>
      <w:t>Property of Origin for livestock exports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8502DC" w14:textId="6A794C47" w:rsidR="002A193C" w:rsidRDefault="00D36729">
    <w:pPr>
      <w:pStyle w:val="Header"/>
      <w:jc w:val="left"/>
    </w:pPr>
    <w:r>
      <w:rPr>
        <w:noProof/>
        <w:lang w:eastAsia="en-AU"/>
      </w:rPr>
      <w:drawing>
        <wp:inline distT="0" distB="0" distL="0" distR="0" wp14:anchorId="5E0B142E" wp14:editId="6A11FE94">
          <wp:extent cx="2542599" cy="738943"/>
          <wp:effectExtent l="0" t="0" r="0" b="4445"/>
          <wp:docPr id="1" name="Picture 1" descr="Australian Government 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ustralian Government Department of Agriculture, Fisheries and Forestry"/>
                  <pic:cNvPicPr/>
                </pic:nvPicPr>
                <pic:blipFill>
                  <a:blip r:embed="rId1">
                    <a:extLst>
                      <a:ext uri="{28A0092B-C50C-407E-A947-70E740481C1C}">
                        <a14:useLocalDpi xmlns:a14="http://schemas.microsoft.com/office/drawing/2010/main" val="0"/>
                      </a:ext>
                    </a:extLst>
                  </a:blip>
                  <a:stretch>
                    <a:fillRect/>
                  </a:stretch>
                </pic:blipFill>
                <pic:spPr>
                  <a:xfrm>
                    <a:off x="0" y="0"/>
                    <a:ext cx="2542599" cy="73894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E00CACF8"/>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0D5C002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2056DAA"/>
    <w:multiLevelType w:val="hybridMultilevel"/>
    <w:tmpl w:val="E13698D2"/>
    <w:lvl w:ilvl="0" w:tplc="1DA20EE0">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 w15:restartNumberingAfterBreak="0">
    <w:nsid w:val="1E111DB8"/>
    <w:multiLevelType w:val="multilevel"/>
    <w:tmpl w:val="B95457A8"/>
    <w:numStyleLink w:val="Headinglist"/>
  </w:abstractNum>
  <w:abstractNum w:abstractNumId="4" w15:restartNumberingAfterBreak="0">
    <w:nsid w:val="21E20078"/>
    <w:multiLevelType w:val="multilevel"/>
    <w:tmpl w:val="B95457A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486800B4"/>
    <w:multiLevelType w:val="multilevel"/>
    <w:tmpl w:val="A0241B28"/>
    <w:numStyleLink w:val="List1"/>
  </w:abstractNum>
  <w:abstractNum w:abstractNumId="6" w15:restartNumberingAfterBreak="0">
    <w:nsid w:val="48DE2E4A"/>
    <w:multiLevelType w:val="hybridMultilevel"/>
    <w:tmpl w:val="6626592E"/>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7"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A8B541B"/>
    <w:multiLevelType w:val="multilevel"/>
    <w:tmpl w:val="BF3294C2"/>
    <w:lvl w:ilvl="0">
      <w:start w:val="1"/>
      <w:numFmt w:val="bullet"/>
      <w:pStyle w:val="TableBullet1"/>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0"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1" w15:restartNumberingAfterBreak="0">
    <w:nsid w:val="676E3536"/>
    <w:multiLevelType w:val="hybridMultilevel"/>
    <w:tmpl w:val="242AD5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EE80AB2"/>
    <w:multiLevelType w:val="hybridMultilevel"/>
    <w:tmpl w:val="16784568"/>
    <w:lvl w:ilvl="0" w:tplc="1EC018B6">
      <w:start w:val="1"/>
      <w:numFmt w:val="upperLetter"/>
      <w:lvlText w:val="%1)"/>
      <w:lvlJc w:val="left"/>
      <w:pPr>
        <w:ind w:left="1020" w:hanging="360"/>
      </w:pPr>
    </w:lvl>
    <w:lvl w:ilvl="1" w:tplc="6EB0EAA8">
      <w:start w:val="1"/>
      <w:numFmt w:val="upperLetter"/>
      <w:lvlText w:val="%2)"/>
      <w:lvlJc w:val="left"/>
      <w:pPr>
        <w:ind w:left="1020" w:hanging="360"/>
      </w:pPr>
    </w:lvl>
    <w:lvl w:ilvl="2" w:tplc="BC3CB95E">
      <w:start w:val="1"/>
      <w:numFmt w:val="upperLetter"/>
      <w:lvlText w:val="%3)"/>
      <w:lvlJc w:val="left"/>
      <w:pPr>
        <w:ind w:left="1020" w:hanging="360"/>
      </w:pPr>
    </w:lvl>
    <w:lvl w:ilvl="3" w:tplc="CA046F42">
      <w:start w:val="1"/>
      <w:numFmt w:val="upperLetter"/>
      <w:lvlText w:val="%4)"/>
      <w:lvlJc w:val="left"/>
      <w:pPr>
        <w:ind w:left="1020" w:hanging="360"/>
      </w:pPr>
    </w:lvl>
    <w:lvl w:ilvl="4" w:tplc="C78CFBD0">
      <w:start w:val="1"/>
      <w:numFmt w:val="upperLetter"/>
      <w:lvlText w:val="%5)"/>
      <w:lvlJc w:val="left"/>
      <w:pPr>
        <w:ind w:left="1020" w:hanging="360"/>
      </w:pPr>
    </w:lvl>
    <w:lvl w:ilvl="5" w:tplc="F726FAAA">
      <w:start w:val="1"/>
      <w:numFmt w:val="upperLetter"/>
      <w:lvlText w:val="%6)"/>
      <w:lvlJc w:val="left"/>
      <w:pPr>
        <w:ind w:left="1020" w:hanging="360"/>
      </w:pPr>
    </w:lvl>
    <w:lvl w:ilvl="6" w:tplc="EDCC5A64">
      <w:start w:val="1"/>
      <w:numFmt w:val="upperLetter"/>
      <w:lvlText w:val="%7)"/>
      <w:lvlJc w:val="left"/>
      <w:pPr>
        <w:ind w:left="1020" w:hanging="360"/>
      </w:pPr>
    </w:lvl>
    <w:lvl w:ilvl="7" w:tplc="0D8AB254">
      <w:start w:val="1"/>
      <w:numFmt w:val="upperLetter"/>
      <w:lvlText w:val="%8)"/>
      <w:lvlJc w:val="left"/>
      <w:pPr>
        <w:ind w:left="1020" w:hanging="360"/>
      </w:pPr>
    </w:lvl>
    <w:lvl w:ilvl="8" w:tplc="BF90998A">
      <w:start w:val="1"/>
      <w:numFmt w:val="upperLetter"/>
      <w:lvlText w:val="%9)"/>
      <w:lvlJc w:val="left"/>
      <w:pPr>
        <w:ind w:left="1020" w:hanging="360"/>
      </w:pPr>
    </w:lvl>
  </w:abstractNum>
  <w:abstractNum w:abstractNumId="13" w15:restartNumberingAfterBreak="0">
    <w:nsid w:val="76AE4563"/>
    <w:multiLevelType w:val="multilevel"/>
    <w:tmpl w:val="F452ADBA"/>
    <w:styleLink w:val="Tablenumberedlists"/>
    <w:lvl w:ilvl="0">
      <w:start w:val="1"/>
      <w:numFmt w:val="decimal"/>
      <w:pStyle w:val="Tablenumberedlist"/>
      <w:lvlText w:val="%1)"/>
      <w:lvlJc w:val="left"/>
      <w:pPr>
        <w:ind w:left="284" w:hanging="284"/>
      </w:pPr>
      <w:rPr>
        <w:rFonts w:ascii="Calibri" w:hAnsi="Calibri" w:hint="default"/>
        <w:sz w:val="18"/>
      </w:rPr>
    </w:lvl>
    <w:lvl w:ilvl="1">
      <w:start w:val="1"/>
      <w:numFmt w:val="lowerLetter"/>
      <w:pStyle w:val="Tablenumberedlist2"/>
      <w:lvlText w:val="%2)"/>
      <w:lvlJc w:val="left"/>
      <w:pPr>
        <w:ind w:left="567" w:hanging="283"/>
      </w:pPr>
      <w:rPr>
        <w:rFonts w:ascii="Calibri" w:hAnsi="Calibri" w:hint="default"/>
        <w:sz w:val="18"/>
      </w:rPr>
    </w:lvl>
    <w:lvl w:ilvl="2">
      <w:start w:val="1"/>
      <w:numFmt w:val="lowerRoman"/>
      <w:pStyle w:val="Tablenumberedlist3"/>
      <w:lvlText w:val="%3)"/>
      <w:lvlJc w:val="left"/>
      <w:pPr>
        <w:ind w:left="851" w:hanging="284"/>
      </w:pPr>
      <w:rPr>
        <w:rFonts w:ascii="Calibri" w:hAnsi="Calibri" w:hint="default"/>
        <w:sz w:val="1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037268471">
    <w:abstractNumId w:val="9"/>
  </w:num>
  <w:num w:numId="2" w16cid:durableId="1355770275">
    <w:abstractNumId w:val="10"/>
  </w:num>
  <w:num w:numId="3" w16cid:durableId="1882862685">
    <w:abstractNumId w:val="4"/>
  </w:num>
  <w:num w:numId="4" w16cid:durableId="360508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86162399">
    <w:abstractNumId w:val="7"/>
  </w:num>
  <w:num w:numId="6" w16cid:durableId="1314989398">
    <w:abstractNumId w:val="8"/>
  </w:num>
  <w:num w:numId="7" w16cid:durableId="951480071">
    <w:abstractNumId w:val="6"/>
  </w:num>
  <w:num w:numId="8" w16cid:durableId="844629787">
    <w:abstractNumId w:val="4"/>
    <w:lvlOverride w:ilvl="0">
      <w:lvl w:ilvl="0">
        <w:start w:val="1"/>
        <w:numFmt w:val="decimal"/>
        <w:pStyle w:val="Heading2"/>
        <w:lvlText w:val="%1"/>
        <w:lvlJc w:val="left"/>
        <w:pPr>
          <w:ind w:left="720" w:hanging="720"/>
        </w:pPr>
      </w:lvl>
    </w:lvlOverride>
  </w:num>
  <w:num w:numId="9" w16cid:durableId="1698308952">
    <w:abstractNumId w:val="9"/>
  </w:num>
  <w:num w:numId="10" w16cid:durableId="547035718">
    <w:abstractNumId w:val="10"/>
  </w:num>
  <w:num w:numId="11" w16cid:durableId="1145393031">
    <w:abstractNumId w:val="2"/>
  </w:num>
  <w:num w:numId="12" w16cid:durableId="645671681">
    <w:abstractNumId w:val="11"/>
  </w:num>
  <w:num w:numId="13" w16cid:durableId="274824895">
    <w:abstractNumId w:val="13"/>
  </w:num>
  <w:num w:numId="14" w16cid:durableId="1667321647">
    <w:abstractNumId w:val="5"/>
  </w:num>
  <w:num w:numId="15" w16cid:durableId="1058213522">
    <w:abstractNumId w:val="1"/>
  </w:num>
  <w:num w:numId="16" w16cid:durableId="1436096899">
    <w:abstractNumId w:val="0"/>
  </w:num>
  <w:num w:numId="17" w16cid:durableId="1861427122">
    <w:abstractNumId w:val="12"/>
  </w:num>
  <w:num w:numId="18" w16cid:durableId="1942100909">
    <w:abstractNumId w:val="4"/>
    <w:lvlOverride w:ilvl="0">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start w:val="1"/>
        <w:numFmt w:val="decimal"/>
        <w:pStyle w:val="Heading3"/>
        <w:lvlText w:val="%1.%2"/>
        <w:lvlJc w:val="left"/>
        <w:pPr>
          <w:ind w:left="964" w:hanging="964"/>
        </w:pPr>
        <w:rPr>
          <w:rFonts w:hint="default"/>
          <w:b w:val="0"/>
          <w:bCs w:val="0"/>
        </w:rPr>
      </w:lvl>
    </w:lvlOverride>
    <w:lvlOverride w:ilvl="2">
      <w:lvl w:ilvl="2">
        <w:start w:val="1"/>
        <w:numFmt w:val="decimal"/>
        <w:pStyle w:val="Heading4"/>
        <w:lvlText w:val="%1.%2.%3"/>
        <w:lvlJc w:val="left"/>
        <w:pPr>
          <w:ind w:left="964" w:hanging="964"/>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9" w16cid:durableId="1491096642">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001"/>
    <w:rsid w:val="00010D57"/>
    <w:rsid w:val="00055A28"/>
    <w:rsid w:val="00060191"/>
    <w:rsid w:val="00060D0E"/>
    <w:rsid w:val="00062CCE"/>
    <w:rsid w:val="00073371"/>
    <w:rsid w:val="0008250B"/>
    <w:rsid w:val="000A5211"/>
    <w:rsid w:val="000B28A7"/>
    <w:rsid w:val="000C0A11"/>
    <w:rsid w:val="000D6DD8"/>
    <w:rsid w:val="000D7FA1"/>
    <w:rsid w:val="000E297C"/>
    <w:rsid w:val="000E454E"/>
    <w:rsid w:val="000F087D"/>
    <w:rsid w:val="000F2742"/>
    <w:rsid w:val="000F55A5"/>
    <w:rsid w:val="000F5812"/>
    <w:rsid w:val="000F6DB7"/>
    <w:rsid w:val="00100090"/>
    <w:rsid w:val="00102854"/>
    <w:rsid w:val="001063B0"/>
    <w:rsid w:val="00112B86"/>
    <w:rsid w:val="0011367A"/>
    <w:rsid w:val="001235D5"/>
    <w:rsid w:val="00134325"/>
    <w:rsid w:val="001379F2"/>
    <w:rsid w:val="0014230C"/>
    <w:rsid w:val="00152640"/>
    <w:rsid w:val="001567E9"/>
    <w:rsid w:val="001610CE"/>
    <w:rsid w:val="00164763"/>
    <w:rsid w:val="00164E57"/>
    <w:rsid w:val="001806EE"/>
    <w:rsid w:val="00183612"/>
    <w:rsid w:val="00183C8C"/>
    <w:rsid w:val="001855BA"/>
    <w:rsid w:val="0018658B"/>
    <w:rsid w:val="00194F65"/>
    <w:rsid w:val="00195268"/>
    <w:rsid w:val="00197820"/>
    <w:rsid w:val="001A02B8"/>
    <w:rsid w:val="001A1F79"/>
    <w:rsid w:val="001B1009"/>
    <w:rsid w:val="001C18B3"/>
    <w:rsid w:val="001C3583"/>
    <w:rsid w:val="001C3E90"/>
    <w:rsid w:val="001C4F7E"/>
    <w:rsid w:val="001C504F"/>
    <w:rsid w:val="001D7086"/>
    <w:rsid w:val="001D77BC"/>
    <w:rsid w:val="001E0B0F"/>
    <w:rsid w:val="001E1C4C"/>
    <w:rsid w:val="001E5945"/>
    <w:rsid w:val="001E66B6"/>
    <w:rsid w:val="001F5F33"/>
    <w:rsid w:val="00201500"/>
    <w:rsid w:val="002026A2"/>
    <w:rsid w:val="002042F4"/>
    <w:rsid w:val="002132F3"/>
    <w:rsid w:val="0021393D"/>
    <w:rsid w:val="00213B23"/>
    <w:rsid w:val="002161ED"/>
    <w:rsid w:val="002205FA"/>
    <w:rsid w:val="0022317D"/>
    <w:rsid w:val="00233BE6"/>
    <w:rsid w:val="00234958"/>
    <w:rsid w:val="0025033D"/>
    <w:rsid w:val="002528B2"/>
    <w:rsid w:val="00253820"/>
    <w:rsid w:val="00261ECF"/>
    <w:rsid w:val="00262394"/>
    <w:rsid w:val="00266263"/>
    <w:rsid w:val="00277657"/>
    <w:rsid w:val="00286EE5"/>
    <w:rsid w:val="002A193C"/>
    <w:rsid w:val="002B2034"/>
    <w:rsid w:val="002C1E7C"/>
    <w:rsid w:val="002C33D1"/>
    <w:rsid w:val="002D2AB2"/>
    <w:rsid w:val="002D2ED2"/>
    <w:rsid w:val="002F7B42"/>
    <w:rsid w:val="003005B7"/>
    <w:rsid w:val="00303631"/>
    <w:rsid w:val="00303997"/>
    <w:rsid w:val="00305911"/>
    <w:rsid w:val="003076B2"/>
    <w:rsid w:val="00316B4F"/>
    <w:rsid w:val="00316CD5"/>
    <w:rsid w:val="003209D1"/>
    <w:rsid w:val="003214AF"/>
    <w:rsid w:val="00335EA4"/>
    <w:rsid w:val="00336D38"/>
    <w:rsid w:val="00340820"/>
    <w:rsid w:val="0034186C"/>
    <w:rsid w:val="00341943"/>
    <w:rsid w:val="00356450"/>
    <w:rsid w:val="00357095"/>
    <w:rsid w:val="00362353"/>
    <w:rsid w:val="00365ACE"/>
    <w:rsid w:val="00372103"/>
    <w:rsid w:val="00381D23"/>
    <w:rsid w:val="00396339"/>
    <w:rsid w:val="003A226F"/>
    <w:rsid w:val="003A405C"/>
    <w:rsid w:val="003A4475"/>
    <w:rsid w:val="003A4B4A"/>
    <w:rsid w:val="003B437F"/>
    <w:rsid w:val="003B488B"/>
    <w:rsid w:val="003D2664"/>
    <w:rsid w:val="003D28C3"/>
    <w:rsid w:val="003D3CE1"/>
    <w:rsid w:val="003D44DC"/>
    <w:rsid w:val="003F0CDE"/>
    <w:rsid w:val="003F1D03"/>
    <w:rsid w:val="003F4134"/>
    <w:rsid w:val="003F704A"/>
    <w:rsid w:val="003F7933"/>
    <w:rsid w:val="00401996"/>
    <w:rsid w:val="00402404"/>
    <w:rsid w:val="0040481F"/>
    <w:rsid w:val="00406AC2"/>
    <w:rsid w:val="00422F13"/>
    <w:rsid w:val="004237CF"/>
    <w:rsid w:val="004250E5"/>
    <w:rsid w:val="00426911"/>
    <w:rsid w:val="00426ABE"/>
    <w:rsid w:val="00441F13"/>
    <w:rsid w:val="00443429"/>
    <w:rsid w:val="00444C59"/>
    <w:rsid w:val="00447E7E"/>
    <w:rsid w:val="00450693"/>
    <w:rsid w:val="00460750"/>
    <w:rsid w:val="004705F2"/>
    <w:rsid w:val="00473964"/>
    <w:rsid w:val="004837B1"/>
    <w:rsid w:val="0048569E"/>
    <w:rsid w:val="00485AF8"/>
    <w:rsid w:val="00486C20"/>
    <w:rsid w:val="00490E7F"/>
    <w:rsid w:val="00492552"/>
    <w:rsid w:val="004925CB"/>
    <w:rsid w:val="0049317F"/>
    <w:rsid w:val="00497690"/>
    <w:rsid w:val="004A1A4D"/>
    <w:rsid w:val="004A5D64"/>
    <w:rsid w:val="004A7C36"/>
    <w:rsid w:val="004B5006"/>
    <w:rsid w:val="004B6788"/>
    <w:rsid w:val="004B6FE9"/>
    <w:rsid w:val="004C6362"/>
    <w:rsid w:val="004C6C47"/>
    <w:rsid w:val="004E294B"/>
    <w:rsid w:val="004E71A3"/>
    <w:rsid w:val="0050596A"/>
    <w:rsid w:val="005205FE"/>
    <w:rsid w:val="00532490"/>
    <w:rsid w:val="00541FC6"/>
    <w:rsid w:val="005447F5"/>
    <w:rsid w:val="00553028"/>
    <w:rsid w:val="005537AB"/>
    <w:rsid w:val="00554986"/>
    <w:rsid w:val="00555183"/>
    <w:rsid w:val="00564D0C"/>
    <w:rsid w:val="00570576"/>
    <w:rsid w:val="00572EEC"/>
    <w:rsid w:val="00582A7B"/>
    <w:rsid w:val="00582C69"/>
    <w:rsid w:val="0059680C"/>
    <w:rsid w:val="005969A0"/>
    <w:rsid w:val="00597DC5"/>
    <w:rsid w:val="005A3DB3"/>
    <w:rsid w:val="005B580E"/>
    <w:rsid w:val="005B613F"/>
    <w:rsid w:val="005B67BC"/>
    <w:rsid w:val="005C0774"/>
    <w:rsid w:val="005C5C3A"/>
    <w:rsid w:val="005D042C"/>
    <w:rsid w:val="005D6DB2"/>
    <w:rsid w:val="005E0110"/>
    <w:rsid w:val="005E10CA"/>
    <w:rsid w:val="005F0E4D"/>
    <w:rsid w:val="005F38C6"/>
    <w:rsid w:val="005F48F2"/>
    <w:rsid w:val="005F4A7C"/>
    <w:rsid w:val="005F63EC"/>
    <w:rsid w:val="005F7A32"/>
    <w:rsid w:val="00611DA7"/>
    <w:rsid w:val="00614A1B"/>
    <w:rsid w:val="00615ECD"/>
    <w:rsid w:val="00616FDF"/>
    <w:rsid w:val="00624522"/>
    <w:rsid w:val="006312B8"/>
    <w:rsid w:val="00633402"/>
    <w:rsid w:val="006339AD"/>
    <w:rsid w:val="00634245"/>
    <w:rsid w:val="006352DB"/>
    <w:rsid w:val="00635B71"/>
    <w:rsid w:val="006416D4"/>
    <w:rsid w:val="00650BA1"/>
    <w:rsid w:val="00671F61"/>
    <w:rsid w:val="006755A2"/>
    <w:rsid w:val="00677035"/>
    <w:rsid w:val="00685563"/>
    <w:rsid w:val="00691D8B"/>
    <w:rsid w:val="006A7BB2"/>
    <w:rsid w:val="006B119C"/>
    <w:rsid w:val="006B6440"/>
    <w:rsid w:val="006C2742"/>
    <w:rsid w:val="006C5030"/>
    <w:rsid w:val="006C6E7F"/>
    <w:rsid w:val="006D5E5A"/>
    <w:rsid w:val="006D65DD"/>
    <w:rsid w:val="006D74C3"/>
    <w:rsid w:val="006E61FE"/>
    <w:rsid w:val="006F0ABD"/>
    <w:rsid w:val="006F19FC"/>
    <w:rsid w:val="006F4F25"/>
    <w:rsid w:val="006F6A84"/>
    <w:rsid w:val="0070542C"/>
    <w:rsid w:val="00707BA3"/>
    <w:rsid w:val="0071147E"/>
    <w:rsid w:val="00714766"/>
    <w:rsid w:val="00715A85"/>
    <w:rsid w:val="00725FE9"/>
    <w:rsid w:val="007405CB"/>
    <w:rsid w:val="00740E50"/>
    <w:rsid w:val="007509C5"/>
    <w:rsid w:val="0076255F"/>
    <w:rsid w:val="00767272"/>
    <w:rsid w:val="007910B8"/>
    <w:rsid w:val="00794398"/>
    <w:rsid w:val="00795569"/>
    <w:rsid w:val="007B1F92"/>
    <w:rsid w:val="007B3597"/>
    <w:rsid w:val="007C503D"/>
    <w:rsid w:val="007C5B94"/>
    <w:rsid w:val="007C64C3"/>
    <w:rsid w:val="007D7120"/>
    <w:rsid w:val="007E0A77"/>
    <w:rsid w:val="007E0EB1"/>
    <w:rsid w:val="007F3963"/>
    <w:rsid w:val="007F446D"/>
    <w:rsid w:val="007F6CF4"/>
    <w:rsid w:val="007F74C3"/>
    <w:rsid w:val="008031CA"/>
    <w:rsid w:val="00805B86"/>
    <w:rsid w:val="00811A2A"/>
    <w:rsid w:val="00811EA7"/>
    <w:rsid w:val="008124AD"/>
    <w:rsid w:val="00814514"/>
    <w:rsid w:val="008153FE"/>
    <w:rsid w:val="0082249A"/>
    <w:rsid w:val="00830839"/>
    <w:rsid w:val="00833933"/>
    <w:rsid w:val="0083408B"/>
    <w:rsid w:val="00837AB8"/>
    <w:rsid w:val="008408A5"/>
    <w:rsid w:val="00850DDE"/>
    <w:rsid w:val="00855938"/>
    <w:rsid w:val="00856B5F"/>
    <w:rsid w:val="008748AB"/>
    <w:rsid w:val="0088201D"/>
    <w:rsid w:val="0088694D"/>
    <w:rsid w:val="00894CD4"/>
    <w:rsid w:val="00896E84"/>
    <w:rsid w:val="00897A28"/>
    <w:rsid w:val="008A204B"/>
    <w:rsid w:val="008A3190"/>
    <w:rsid w:val="008A478B"/>
    <w:rsid w:val="008B045D"/>
    <w:rsid w:val="008B2E25"/>
    <w:rsid w:val="008C4E8E"/>
    <w:rsid w:val="008C6E01"/>
    <w:rsid w:val="008D1B48"/>
    <w:rsid w:val="008D5A66"/>
    <w:rsid w:val="008D68CA"/>
    <w:rsid w:val="008E6308"/>
    <w:rsid w:val="008E7D8E"/>
    <w:rsid w:val="008F7340"/>
    <w:rsid w:val="00900E99"/>
    <w:rsid w:val="009034C9"/>
    <w:rsid w:val="009035D6"/>
    <w:rsid w:val="0090774C"/>
    <w:rsid w:val="009115FB"/>
    <w:rsid w:val="00911DEA"/>
    <w:rsid w:val="00913AB2"/>
    <w:rsid w:val="00916DD8"/>
    <w:rsid w:val="009306B5"/>
    <w:rsid w:val="009377B5"/>
    <w:rsid w:val="0094168C"/>
    <w:rsid w:val="0095765D"/>
    <w:rsid w:val="00957D7F"/>
    <w:rsid w:val="00957E6C"/>
    <w:rsid w:val="009604F3"/>
    <w:rsid w:val="00963684"/>
    <w:rsid w:val="009641DA"/>
    <w:rsid w:val="00964B48"/>
    <w:rsid w:val="009679F4"/>
    <w:rsid w:val="0097034D"/>
    <w:rsid w:val="00990993"/>
    <w:rsid w:val="00991227"/>
    <w:rsid w:val="009A2C4E"/>
    <w:rsid w:val="009A2D2A"/>
    <w:rsid w:val="009B3F95"/>
    <w:rsid w:val="009C33C3"/>
    <w:rsid w:val="009C5075"/>
    <w:rsid w:val="009C7CF0"/>
    <w:rsid w:val="009D6BD9"/>
    <w:rsid w:val="009E49E7"/>
    <w:rsid w:val="009E61FB"/>
    <w:rsid w:val="009F0E8E"/>
    <w:rsid w:val="009F4FAD"/>
    <w:rsid w:val="009F5508"/>
    <w:rsid w:val="00A0092A"/>
    <w:rsid w:val="00A059E6"/>
    <w:rsid w:val="00A075B0"/>
    <w:rsid w:val="00A13EDA"/>
    <w:rsid w:val="00A26001"/>
    <w:rsid w:val="00A26D23"/>
    <w:rsid w:val="00A32AF2"/>
    <w:rsid w:val="00A50832"/>
    <w:rsid w:val="00A51597"/>
    <w:rsid w:val="00A52203"/>
    <w:rsid w:val="00A52CAA"/>
    <w:rsid w:val="00A9002C"/>
    <w:rsid w:val="00A96971"/>
    <w:rsid w:val="00AA04EA"/>
    <w:rsid w:val="00AA072B"/>
    <w:rsid w:val="00AA26D0"/>
    <w:rsid w:val="00AA449E"/>
    <w:rsid w:val="00AA70E3"/>
    <w:rsid w:val="00AB0FBE"/>
    <w:rsid w:val="00AB615B"/>
    <w:rsid w:val="00AC06CE"/>
    <w:rsid w:val="00AC2764"/>
    <w:rsid w:val="00AC4C07"/>
    <w:rsid w:val="00AD42FF"/>
    <w:rsid w:val="00AD4C3E"/>
    <w:rsid w:val="00AD6B57"/>
    <w:rsid w:val="00AE44C5"/>
    <w:rsid w:val="00AE54C8"/>
    <w:rsid w:val="00AF01D3"/>
    <w:rsid w:val="00AF1EB9"/>
    <w:rsid w:val="00AF5211"/>
    <w:rsid w:val="00B006AB"/>
    <w:rsid w:val="00B01FB8"/>
    <w:rsid w:val="00B05A29"/>
    <w:rsid w:val="00B06988"/>
    <w:rsid w:val="00B16498"/>
    <w:rsid w:val="00B23D8C"/>
    <w:rsid w:val="00B23F08"/>
    <w:rsid w:val="00B240E8"/>
    <w:rsid w:val="00B30B02"/>
    <w:rsid w:val="00B31041"/>
    <w:rsid w:val="00B314A1"/>
    <w:rsid w:val="00B3171C"/>
    <w:rsid w:val="00B317FC"/>
    <w:rsid w:val="00B33F00"/>
    <w:rsid w:val="00B35721"/>
    <w:rsid w:val="00B42DE8"/>
    <w:rsid w:val="00B43A41"/>
    <w:rsid w:val="00B52E10"/>
    <w:rsid w:val="00B5453F"/>
    <w:rsid w:val="00B67DE5"/>
    <w:rsid w:val="00B77215"/>
    <w:rsid w:val="00B81E12"/>
    <w:rsid w:val="00B83E27"/>
    <w:rsid w:val="00B87B09"/>
    <w:rsid w:val="00B92DC0"/>
    <w:rsid w:val="00B97867"/>
    <w:rsid w:val="00BA0AFF"/>
    <w:rsid w:val="00BA3DA0"/>
    <w:rsid w:val="00BA58E1"/>
    <w:rsid w:val="00BA667C"/>
    <w:rsid w:val="00BB2AD1"/>
    <w:rsid w:val="00BB3C7B"/>
    <w:rsid w:val="00BB4666"/>
    <w:rsid w:val="00BB6ACE"/>
    <w:rsid w:val="00BC41EE"/>
    <w:rsid w:val="00BC6BA3"/>
    <w:rsid w:val="00BD06BE"/>
    <w:rsid w:val="00BD0B12"/>
    <w:rsid w:val="00BD0C34"/>
    <w:rsid w:val="00BD2275"/>
    <w:rsid w:val="00BE2564"/>
    <w:rsid w:val="00BF1E47"/>
    <w:rsid w:val="00C00AAC"/>
    <w:rsid w:val="00C05EA8"/>
    <w:rsid w:val="00C06619"/>
    <w:rsid w:val="00C135F5"/>
    <w:rsid w:val="00C23624"/>
    <w:rsid w:val="00C25F2B"/>
    <w:rsid w:val="00C2650B"/>
    <w:rsid w:val="00C32721"/>
    <w:rsid w:val="00C32DA1"/>
    <w:rsid w:val="00C32FA5"/>
    <w:rsid w:val="00C41AFB"/>
    <w:rsid w:val="00C42A29"/>
    <w:rsid w:val="00C477D1"/>
    <w:rsid w:val="00C47AC5"/>
    <w:rsid w:val="00C51E35"/>
    <w:rsid w:val="00C5327E"/>
    <w:rsid w:val="00C54730"/>
    <w:rsid w:val="00C63E1A"/>
    <w:rsid w:val="00C70087"/>
    <w:rsid w:val="00C759F8"/>
    <w:rsid w:val="00C82F81"/>
    <w:rsid w:val="00C84211"/>
    <w:rsid w:val="00CA74F8"/>
    <w:rsid w:val="00CB3184"/>
    <w:rsid w:val="00CB3A4F"/>
    <w:rsid w:val="00CB4299"/>
    <w:rsid w:val="00CC2C4D"/>
    <w:rsid w:val="00CD6DD3"/>
    <w:rsid w:val="00CE0F45"/>
    <w:rsid w:val="00CE2655"/>
    <w:rsid w:val="00CF50ED"/>
    <w:rsid w:val="00CF7A9B"/>
    <w:rsid w:val="00CF7FF8"/>
    <w:rsid w:val="00D005B9"/>
    <w:rsid w:val="00D03F87"/>
    <w:rsid w:val="00D06356"/>
    <w:rsid w:val="00D11A8B"/>
    <w:rsid w:val="00D13D2B"/>
    <w:rsid w:val="00D140BC"/>
    <w:rsid w:val="00D17D3A"/>
    <w:rsid w:val="00D231C8"/>
    <w:rsid w:val="00D34A59"/>
    <w:rsid w:val="00D36729"/>
    <w:rsid w:val="00D40802"/>
    <w:rsid w:val="00D44237"/>
    <w:rsid w:val="00D45274"/>
    <w:rsid w:val="00D459E6"/>
    <w:rsid w:val="00D45E0E"/>
    <w:rsid w:val="00D5280A"/>
    <w:rsid w:val="00D60211"/>
    <w:rsid w:val="00D657B7"/>
    <w:rsid w:val="00D65CDC"/>
    <w:rsid w:val="00D666DC"/>
    <w:rsid w:val="00D71A03"/>
    <w:rsid w:val="00D81112"/>
    <w:rsid w:val="00D861DA"/>
    <w:rsid w:val="00D912A7"/>
    <w:rsid w:val="00DA0795"/>
    <w:rsid w:val="00DB1560"/>
    <w:rsid w:val="00DB45A7"/>
    <w:rsid w:val="00DB70AE"/>
    <w:rsid w:val="00DD4A48"/>
    <w:rsid w:val="00DD5CA2"/>
    <w:rsid w:val="00DE0863"/>
    <w:rsid w:val="00DE4DDA"/>
    <w:rsid w:val="00DF7A27"/>
    <w:rsid w:val="00E05D92"/>
    <w:rsid w:val="00E10BFF"/>
    <w:rsid w:val="00E128E4"/>
    <w:rsid w:val="00E17B06"/>
    <w:rsid w:val="00E219A6"/>
    <w:rsid w:val="00E21B40"/>
    <w:rsid w:val="00E22B45"/>
    <w:rsid w:val="00E22D1E"/>
    <w:rsid w:val="00E2566C"/>
    <w:rsid w:val="00E33D6C"/>
    <w:rsid w:val="00E34C18"/>
    <w:rsid w:val="00E362EF"/>
    <w:rsid w:val="00E45F24"/>
    <w:rsid w:val="00E47C68"/>
    <w:rsid w:val="00E55F67"/>
    <w:rsid w:val="00E6507D"/>
    <w:rsid w:val="00E71644"/>
    <w:rsid w:val="00E72134"/>
    <w:rsid w:val="00E732BE"/>
    <w:rsid w:val="00E76242"/>
    <w:rsid w:val="00E779E1"/>
    <w:rsid w:val="00E94FC5"/>
    <w:rsid w:val="00E96006"/>
    <w:rsid w:val="00E96E54"/>
    <w:rsid w:val="00EA139F"/>
    <w:rsid w:val="00EC1325"/>
    <w:rsid w:val="00EC1BD9"/>
    <w:rsid w:val="00EC642E"/>
    <w:rsid w:val="00EC6447"/>
    <w:rsid w:val="00EC79D1"/>
    <w:rsid w:val="00ED48D3"/>
    <w:rsid w:val="00ED5E38"/>
    <w:rsid w:val="00EE289C"/>
    <w:rsid w:val="00EE593D"/>
    <w:rsid w:val="00F042FE"/>
    <w:rsid w:val="00F06670"/>
    <w:rsid w:val="00F12324"/>
    <w:rsid w:val="00F17FAD"/>
    <w:rsid w:val="00F331ED"/>
    <w:rsid w:val="00F35EE8"/>
    <w:rsid w:val="00F54ADE"/>
    <w:rsid w:val="00F568F9"/>
    <w:rsid w:val="00F6525F"/>
    <w:rsid w:val="00F65DFD"/>
    <w:rsid w:val="00F71A33"/>
    <w:rsid w:val="00F72EC4"/>
    <w:rsid w:val="00F90D42"/>
    <w:rsid w:val="00F95C8A"/>
    <w:rsid w:val="00FA6A85"/>
    <w:rsid w:val="00FA7779"/>
    <w:rsid w:val="00FB088E"/>
    <w:rsid w:val="00FB3E1E"/>
    <w:rsid w:val="00FB4B60"/>
    <w:rsid w:val="00FB6115"/>
    <w:rsid w:val="00FB6213"/>
    <w:rsid w:val="00FC1691"/>
    <w:rsid w:val="00FC318B"/>
    <w:rsid w:val="00FC66B6"/>
    <w:rsid w:val="00FC7419"/>
    <w:rsid w:val="00FD115A"/>
    <w:rsid w:val="00FD117D"/>
    <w:rsid w:val="00FF4670"/>
    <w:rsid w:val="08F7E04D"/>
    <w:rsid w:val="0CC35883"/>
    <w:rsid w:val="0EA4847A"/>
    <w:rsid w:val="1131DD08"/>
    <w:rsid w:val="119B8C08"/>
    <w:rsid w:val="149786B5"/>
    <w:rsid w:val="15C29202"/>
    <w:rsid w:val="16D492D6"/>
    <w:rsid w:val="1821DEBB"/>
    <w:rsid w:val="19072378"/>
    <w:rsid w:val="1CD7C0D9"/>
    <w:rsid w:val="204CCCB4"/>
    <w:rsid w:val="2158771E"/>
    <w:rsid w:val="22288B20"/>
    <w:rsid w:val="222FCE18"/>
    <w:rsid w:val="25875CEE"/>
    <w:rsid w:val="2B35171F"/>
    <w:rsid w:val="39746C2C"/>
    <w:rsid w:val="3C4C7B9C"/>
    <w:rsid w:val="3D713516"/>
    <w:rsid w:val="3EBF94C8"/>
    <w:rsid w:val="41ACDC1E"/>
    <w:rsid w:val="430C450E"/>
    <w:rsid w:val="44C280BC"/>
    <w:rsid w:val="460311C1"/>
    <w:rsid w:val="47D126E5"/>
    <w:rsid w:val="4B74B8B3"/>
    <w:rsid w:val="4BA9FA0D"/>
    <w:rsid w:val="4C8ED29F"/>
    <w:rsid w:val="4CB0F8C6"/>
    <w:rsid w:val="4E02484C"/>
    <w:rsid w:val="50DA1E37"/>
    <w:rsid w:val="538E81D1"/>
    <w:rsid w:val="53B49ADC"/>
    <w:rsid w:val="58C54839"/>
    <w:rsid w:val="58DD7BC2"/>
    <w:rsid w:val="5D4254C5"/>
    <w:rsid w:val="5E9D5873"/>
    <w:rsid w:val="62530222"/>
    <w:rsid w:val="68FC7074"/>
    <w:rsid w:val="6A0E3D80"/>
    <w:rsid w:val="6D600073"/>
    <w:rsid w:val="7B81D86A"/>
    <w:rsid w:val="7CA212E1"/>
    <w:rsid w:val="7F8D920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EFD59D"/>
  <w15:docId w15:val="{3DCDE51A-9028-4575-9688-2ED64C40A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locked="1" w:uiPriority="21" w:qFormat="1"/>
    <w:lsdException w:name="Subtle Reference" w:semiHidden="1" w:uiPriority="31" w:qFormat="1"/>
    <w:lsdException w:name="Intense Reference" w:locked="1"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A41"/>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340820"/>
    <w:pPr>
      <w:widowControl w:val="0"/>
      <w:spacing w:before="360"/>
      <w:contextualSpacing/>
      <w:outlineLvl w:val="0"/>
    </w:pPr>
    <w:rPr>
      <w:rFonts w:ascii="Calibri" w:eastAsiaTheme="minorHAnsi" w:hAnsi="Calibri" w:cstheme="minorBidi"/>
      <w:b/>
      <w:bCs/>
      <w:spacing w:val="5"/>
      <w:kern w:val="28"/>
      <w:sz w:val="52"/>
      <w:szCs w:val="28"/>
      <w:lang w:eastAsia="en-US"/>
    </w:rPr>
  </w:style>
  <w:style w:type="paragraph" w:styleId="Heading2">
    <w:name w:val="heading 2"/>
    <w:basedOn w:val="Normal"/>
    <w:next w:val="Normal"/>
    <w:link w:val="Heading2Char"/>
    <w:uiPriority w:val="3"/>
    <w:rsid w:val="001B1009"/>
    <w:pPr>
      <w:keepNext/>
      <w:numPr>
        <w:numId w:val="19"/>
      </w:numPr>
      <w:spacing w:after="60" w:line="240" w:lineRule="auto"/>
      <w:outlineLvl w:val="1"/>
    </w:pPr>
    <w:rPr>
      <w:rFonts w:ascii="Calibri" w:eastAsiaTheme="minorEastAsia" w:hAnsi="Calibri"/>
      <w:bCs/>
      <w:color w:val="000000"/>
      <w:sz w:val="36"/>
      <w:szCs w:val="28"/>
      <w:lang w:eastAsia="ja-JP"/>
    </w:rPr>
  </w:style>
  <w:style w:type="paragraph" w:styleId="Heading3">
    <w:name w:val="heading 3"/>
    <w:next w:val="Normal"/>
    <w:link w:val="Heading3Char"/>
    <w:uiPriority w:val="4"/>
    <w:qFormat/>
    <w:rsid w:val="00406AC2"/>
    <w:pPr>
      <w:keepNext/>
      <w:keepLines/>
      <w:numPr>
        <w:ilvl w:val="1"/>
        <w:numId w:val="19"/>
      </w:numPr>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rsid w:val="00406AC2"/>
    <w:pPr>
      <w:keepNext/>
      <w:numPr>
        <w:ilvl w:val="2"/>
        <w:numId w:val="19"/>
      </w:numPr>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rsid w:val="00E96E54"/>
    <w:pPr>
      <w:keepNext/>
      <w:keepLines/>
      <w:spacing w:after="0" w:line="240" w:lineRule="auto"/>
      <w:outlineLvl w:val="4"/>
    </w:pPr>
    <w:rPr>
      <w:rFonts w:ascii="Calibri" w:hAnsi="Calibri"/>
      <w:b/>
      <w:sz w:val="20"/>
    </w:rPr>
  </w:style>
  <w:style w:type="paragraph" w:styleId="Heading6">
    <w:name w:val="heading 6"/>
    <w:basedOn w:val="Normal"/>
    <w:next w:val="Normal"/>
    <w:link w:val="Heading6Char"/>
    <w:uiPriority w:val="9"/>
    <w:semiHidden/>
    <w:qFormat/>
    <w:rsid w:val="00FB6115"/>
    <w:pPr>
      <w:keepNext/>
      <w:keepLines/>
      <w:spacing w:before="40" w:after="0"/>
      <w:outlineLvl w:val="5"/>
    </w:pPr>
    <w:rPr>
      <w:rFonts w:eastAsiaTheme="majorEastAsia" w:cstheme="majorBidi"/>
      <w:i/>
      <w:color w:val="59621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BB6ACE"/>
    <w:rPr>
      <w:sz w:val="20"/>
      <w:szCs w:val="20"/>
    </w:rPr>
  </w:style>
  <w:style w:type="character" w:customStyle="1" w:styleId="CommentTextChar">
    <w:name w:val="Comment Text Char"/>
    <w:basedOn w:val="DefaultParagraphFont"/>
    <w:link w:val="CommentText"/>
    <w:rsid w:val="00BB6ACE"/>
    <w:rPr>
      <w:rFonts w:asciiTheme="minorHAnsi" w:eastAsiaTheme="minorHAnsi" w:hAnsiTheme="minorHAnsi" w:cstheme="minorBidi"/>
      <w:lang w:eastAsia="en-US"/>
    </w:rPr>
  </w:style>
  <w:style w:type="paragraph" w:styleId="Header">
    <w:name w:val="header"/>
    <w:basedOn w:val="Normal"/>
    <w:link w:val="HeaderChar"/>
    <w:uiPriority w:val="26"/>
    <w:rsid w:val="00BB6ACE"/>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BB6ACE"/>
    <w:rPr>
      <w:rFonts w:ascii="Calibri" w:eastAsiaTheme="minorHAnsi" w:hAnsi="Calibri" w:cstheme="minorBidi"/>
      <w:szCs w:val="22"/>
      <w:lang w:eastAsia="en-US"/>
    </w:rPr>
  </w:style>
  <w:style w:type="paragraph" w:styleId="Footer">
    <w:name w:val="footer"/>
    <w:basedOn w:val="Normal"/>
    <w:link w:val="FooterChar"/>
    <w:uiPriority w:val="27"/>
    <w:rsid w:val="00BB6ACE"/>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BB6ACE"/>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BB6ACE"/>
    <w:rPr>
      <w:sz w:val="16"/>
      <w:szCs w:val="16"/>
    </w:rPr>
  </w:style>
  <w:style w:type="paragraph" w:styleId="CommentSubject">
    <w:name w:val="annotation subject"/>
    <w:basedOn w:val="CommentText"/>
    <w:next w:val="CommentText"/>
    <w:link w:val="CommentSubjectChar"/>
    <w:uiPriority w:val="99"/>
    <w:semiHidden/>
    <w:unhideWhenUsed/>
    <w:rsid w:val="00BB6ACE"/>
    <w:rPr>
      <w:b/>
      <w:bCs/>
    </w:rPr>
  </w:style>
  <w:style w:type="character" w:customStyle="1" w:styleId="CommentSubjectChar">
    <w:name w:val="Comment Subject Char"/>
    <w:basedOn w:val="CommentTextChar"/>
    <w:link w:val="CommentSubject"/>
    <w:uiPriority w:val="99"/>
    <w:semiHidden/>
    <w:rsid w:val="00BB6ACE"/>
    <w:rPr>
      <w:rFonts w:asciiTheme="minorHAnsi" w:eastAsiaTheme="minorHAnsi" w:hAnsiTheme="minorHAnsi" w:cstheme="minorBidi"/>
      <w:b/>
      <w:bCs/>
      <w:lang w:eastAsia="en-US"/>
    </w:rPr>
  </w:style>
  <w:style w:type="paragraph" w:styleId="BalloonText">
    <w:name w:val="Balloon Text"/>
    <w:basedOn w:val="Normal"/>
    <w:link w:val="BalloonTextChar"/>
    <w:uiPriority w:val="99"/>
    <w:semiHidden/>
    <w:unhideWhenUsed/>
    <w:rsid w:val="00BB6ACE"/>
    <w:rPr>
      <w:rFonts w:ascii="Calibri" w:hAnsi="Calibri"/>
      <w:sz w:val="18"/>
      <w:szCs w:val="18"/>
    </w:rPr>
  </w:style>
  <w:style w:type="character" w:customStyle="1" w:styleId="BalloonTextChar">
    <w:name w:val="Balloon Text Char"/>
    <w:basedOn w:val="DefaultParagraphFont"/>
    <w:link w:val="BalloonText"/>
    <w:uiPriority w:val="99"/>
    <w:semiHidden/>
    <w:rsid w:val="00BB6ACE"/>
    <w:rPr>
      <w:rFonts w:ascii="Calibri" w:eastAsiaTheme="minorHAnsi" w:hAnsi="Calibri" w:cstheme="minorBidi"/>
      <w:sz w:val="18"/>
      <w:szCs w:val="18"/>
      <w:lang w:eastAsia="en-US"/>
    </w:rPr>
  </w:style>
  <w:style w:type="paragraph" w:customStyle="1" w:styleId="Footeraddress">
    <w:name w:val="Footer address"/>
    <w:basedOn w:val="Footer"/>
    <w:semiHidden/>
    <w:qFormat/>
    <w:rsid w:val="00BB6ACE"/>
    <w:rPr>
      <w:sz w:val="16"/>
    </w:rPr>
  </w:style>
  <w:style w:type="character" w:customStyle="1" w:styleId="Heading1Char">
    <w:name w:val="Heading 1 Char"/>
    <w:basedOn w:val="DefaultParagraphFont"/>
    <w:link w:val="Heading1"/>
    <w:uiPriority w:val="1"/>
    <w:rsid w:val="00340820"/>
    <w:rPr>
      <w:rFonts w:ascii="Calibri" w:eastAsiaTheme="minorHAnsi" w:hAnsi="Calibri" w:cstheme="minorBidi"/>
      <w:b/>
      <w:bCs/>
      <w:spacing w:val="5"/>
      <w:kern w:val="28"/>
      <w:sz w:val="52"/>
      <w:szCs w:val="28"/>
      <w:lang w:eastAsia="en-US"/>
    </w:rPr>
  </w:style>
  <w:style w:type="character" w:customStyle="1" w:styleId="Heading2Char">
    <w:name w:val="Heading 2 Char"/>
    <w:basedOn w:val="DefaultParagraphFont"/>
    <w:link w:val="Heading2"/>
    <w:uiPriority w:val="3"/>
    <w:rsid w:val="001B1009"/>
    <w:rPr>
      <w:rFonts w:ascii="Calibri" w:eastAsiaTheme="minorEastAsia" w:hAnsi="Calibri" w:cstheme="minorBidi"/>
      <w:bCs/>
      <w:color w:val="000000"/>
      <w:sz w:val="36"/>
      <w:szCs w:val="28"/>
      <w:lang w:eastAsia="ja-JP"/>
    </w:rPr>
  </w:style>
  <w:style w:type="character" w:customStyle="1" w:styleId="Heading3Char">
    <w:name w:val="Heading 3 Char"/>
    <w:basedOn w:val="DefaultParagraphFont"/>
    <w:link w:val="Heading3"/>
    <w:uiPriority w:val="4"/>
    <w:rsid w:val="00406AC2"/>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sid w:val="00406AC2"/>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sid w:val="00E96E54"/>
    <w:rPr>
      <w:rFonts w:ascii="Calibri" w:eastAsiaTheme="minorHAnsi" w:hAnsi="Calibri" w:cstheme="minorBidi"/>
      <w:b/>
      <w:szCs w:val="22"/>
      <w:lang w:eastAsia="en-US"/>
    </w:rPr>
  </w:style>
  <w:style w:type="paragraph" w:styleId="Quote">
    <w:name w:val="Quote"/>
    <w:basedOn w:val="Normal"/>
    <w:next w:val="Normal"/>
    <w:link w:val="QuoteChar"/>
    <w:uiPriority w:val="18"/>
    <w:qFormat/>
    <w:rsid w:val="00BB6ACE"/>
    <w:pPr>
      <w:ind w:left="709" w:right="567"/>
    </w:pPr>
    <w:rPr>
      <w:iCs/>
      <w:color w:val="000000"/>
    </w:rPr>
  </w:style>
  <w:style w:type="character" w:customStyle="1" w:styleId="QuoteChar">
    <w:name w:val="Quote Char"/>
    <w:basedOn w:val="DefaultParagraphFont"/>
    <w:link w:val="Quote"/>
    <w:uiPriority w:val="18"/>
    <w:rsid w:val="00BB6ACE"/>
    <w:rPr>
      <w:rFonts w:asciiTheme="minorHAnsi" w:eastAsiaTheme="minorHAnsi" w:hAnsiTheme="minorHAnsi" w:cstheme="minorBidi"/>
      <w:iCs/>
      <w:color w:val="000000"/>
      <w:sz w:val="22"/>
      <w:szCs w:val="22"/>
      <w:lang w:eastAsia="en-US"/>
    </w:rPr>
  </w:style>
  <w:style w:type="paragraph" w:customStyle="1" w:styleId="BoxText">
    <w:name w:val="Box Text"/>
    <w:basedOn w:val="Normal"/>
    <w:uiPriority w:val="19"/>
    <w:qFormat/>
    <w:rsid w:val="00BB6ACE"/>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BB6ACE"/>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BB6ACE"/>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B5453F"/>
    <w:pPr>
      <w:spacing w:before="120"/>
    </w:pPr>
    <w:rPr>
      <w:b w:val="0"/>
      <w:color w:val="000000" w:themeColor="text1"/>
      <w:sz w:val="44"/>
      <w:szCs w:val="56"/>
    </w:rPr>
  </w:style>
  <w:style w:type="character" w:customStyle="1" w:styleId="SubtitleChar">
    <w:name w:val="Subtitle Char"/>
    <w:basedOn w:val="DefaultParagraphFont"/>
    <w:link w:val="Subtitle"/>
    <w:uiPriority w:val="23"/>
    <w:rsid w:val="00B5453F"/>
    <w:rPr>
      <w:rFonts w:ascii="Calibri" w:eastAsiaTheme="minorHAnsi" w:hAnsi="Calibri" w:cstheme="minorBidi"/>
      <w:bCs/>
      <w:color w:val="000000" w:themeColor="text1"/>
      <w:spacing w:val="5"/>
      <w:kern w:val="28"/>
      <w:sz w:val="44"/>
      <w:szCs w:val="56"/>
      <w:lang w:eastAsia="en-US"/>
    </w:rPr>
  </w:style>
  <w:style w:type="paragraph" w:styleId="TOCHeading">
    <w:name w:val="TOC Heading"/>
    <w:next w:val="Normal"/>
    <w:uiPriority w:val="39"/>
    <w:qFormat/>
    <w:rsid w:val="00BB6ACE"/>
    <w:pPr>
      <w:spacing w:before="480" w:line="276" w:lineRule="auto"/>
    </w:pPr>
    <w:rPr>
      <w:rFonts w:ascii="Calibri" w:eastAsiaTheme="minorEastAsia" w:hAnsi="Calibri" w:cstheme="minorBidi"/>
      <w:bCs/>
      <w:color w:val="22372B"/>
      <w:sz w:val="56"/>
      <w:szCs w:val="28"/>
      <w:lang w:eastAsia="ja-JP"/>
    </w:rPr>
  </w:style>
  <w:style w:type="paragraph" w:styleId="TOC1">
    <w:name w:val="toc 1"/>
    <w:basedOn w:val="Normal"/>
    <w:next w:val="Normal"/>
    <w:uiPriority w:val="39"/>
    <w:unhideWhenUsed/>
    <w:qFormat/>
    <w:rsid w:val="00BB6ACE"/>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BB6ACE"/>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BB6ACE"/>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BB6ACE"/>
    <w:rPr>
      <w:color w:val="165788"/>
      <w:u w:val="single"/>
    </w:rPr>
  </w:style>
  <w:style w:type="paragraph" w:styleId="ListBullet">
    <w:name w:val="List Bullet"/>
    <w:basedOn w:val="Normal"/>
    <w:uiPriority w:val="99"/>
    <w:qFormat/>
    <w:rsid w:val="00BB6ACE"/>
    <w:pPr>
      <w:numPr>
        <w:numId w:val="14"/>
      </w:numPr>
      <w:spacing w:before="120" w:after="120"/>
    </w:pPr>
  </w:style>
  <w:style w:type="paragraph" w:styleId="TableofFigures">
    <w:name w:val="table of figures"/>
    <w:basedOn w:val="Normal"/>
    <w:next w:val="Normal"/>
    <w:uiPriority w:val="99"/>
    <w:rsid w:val="00BB6ACE"/>
    <w:pPr>
      <w:spacing w:before="120" w:after="120" w:line="240" w:lineRule="auto"/>
    </w:pPr>
  </w:style>
  <w:style w:type="paragraph" w:styleId="ListBullet2">
    <w:name w:val="List Bullet 2"/>
    <w:basedOn w:val="Normal"/>
    <w:uiPriority w:val="8"/>
    <w:qFormat/>
    <w:rsid w:val="00BB6ACE"/>
    <w:pPr>
      <w:numPr>
        <w:ilvl w:val="1"/>
        <w:numId w:val="14"/>
      </w:numPr>
      <w:spacing w:before="120" w:after="120"/>
      <w:contextualSpacing/>
    </w:pPr>
  </w:style>
  <w:style w:type="paragraph" w:styleId="ListNumber">
    <w:name w:val="List Number"/>
    <w:basedOn w:val="Normal"/>
    <w:uiPriority w:val="9"/>
    <w:qFormat/>
    <w:rsid w:val="00BB6ACE"/>
    <w:pPr>
      <w:numPr>
        <w:numId w:val="10"/>
      </w:numPr>
      <w:tabs>
        <w:tab w:val="left" w:pos="142"/>
      </w:tabs>
      <w:spacing w:before="120" w:after="120"/>
    </w:pPr>
  </w:style>
  <w:style w:type="paragraph" w:styleId="ListNumber2">
    <w:name w:val="List Number 2"/>
    <w:uiPriority w:val="10"/>
    <w:qFormat/>
    <w:rsid w:val="00BB6ACE"/>
    <w:pPr>
      <w:numPr>
        <w:ilvl w:val="1"/>
        <w:numId w:val="10"/>
      </w:numPr>
      <w:tabs>
        <w:tab w:val="left" w:pos="567"/>
      </w:tabs>
      <w:spacing w:before="120" w:after="120" w:line="264" w:lineRule="auto"/>
    </w:pPr>
    <w:rPr>
      <w:rFonts w:asciiTheme="minorHAnsi" w:eastAsia="Times New Roman" w:hAnsiTheme="minorHAnsi"/>
      <w:sz w:val="22"/>
      <w:szCs w:val="24"/>
      <w:lang w:eastAsia="en-US"/>
    </w:rPr>
  </w:style>
  <w:style w:type="paragraph" w:styleId="ListNumber3">
    <w:name w:val="List Number 3"/>
    <w:uiPriority w:val="11"/>
    <w:qFormat/>
    <w:rsid w:val="00BB6ACE"/>
    <w:pPr>
      <w:numPr>
        <w:ilvl w:val="2"/>
        <w:numId w:val="10"/>
      </w:numPr>
      <w:spacing w:before="120" w:after="120" w:line="264" w:lineRule="auto"/>
    </w:pPr>
    <w:rPr>
      <w:rFonts w:asciiTheme="minorHAnsi" w:eastAsia="Times New Roman" w:hAnsiTheme="minorHAnsi"/>
      <w:sz w:val="22"/>
      <w:szCs w:val="24"/>
      <w:lang w:eastAsia="en-US"/>
    </w:rPr>
  </w:style>
  <w:style w:type="table" w:customStyle="1" w:styleId="LightShading1">
    <w:name w:val="Light Shading1"/>
    <w:basedOn w:val="TableNormal"/>
    <w:uiPriority w:val="60"/>
    <w:rsid w:val="00BB6AC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BB6ACE"/>
    <w:rPr>
      <w:color w:val="E36C0A"/>
      <w:lang w:val="en-US"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BB6ACE"/>
    <w:pPr>
      <w:spacing w:before="60" w:after="60" w:line="240" w:lineRule="auto"/>
    </w:pPr>
    <w:rPr>
      <w:sz w:val="18"/>
    </w:rPr>
  </w:style>
  <w:style w:type="table" w:styleId="TableGrid1">
    <w:name w:val="Table Grid 1"/>
    <w:basedOn w:val="TableNormal"/>
    <w:uiPriority w:val="99"/>
    <w:semiHidden/>
    <w:unhideWhenUsed/>
    <w:rsid w:val="00BB6ACE"/>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BB6ACE"/>
    <w:pPr>
      <w:keepNext/>
    </w:pPr>
    <w:rPr>
      <w:b/>
    </w:rPr>
  </w:style>
  <w:style w:type="character" w:styleId="PlaceholderText">
    <w:name w:val="Placeholder Text"/>
    <w:basedOn w:val="DefaultParagraphFont"/>
    <w:uiPriority w:val="99"/>
    <w:semiHidden/>
    <w:rsid w:val="00BB6ACE"/>
    <w:rPr>
      <w:color w:val="808080"/>
    </w:rPr>
  </w:style>
  <w:style w:type="paragraph" w:customStyle="1" w:styleId="Author">
    <w:name w:val="Author"/>
    <w:basedOn w:val="Normal"/>
    <w:next w:val="Normal"/>
    <w:uiPriority w:val="24"/>
    <w:qFormat/>
    <w:rsid w:val="00BB6ACE"/>
    <w:pPr>
      <w:spacing w:after="60"/>
    </w:pPr>
    <w:rPr>
      <w:b/>
      <w:sz w:val="24"/>
      <w:szCs w:val="28"/>
    </w:rPr>
  </w:style>
  <w:style w:type="paragraph" w:customStyle="1" w:styleId="AuthorOrganisationAffiliation">
    <w:name w:val="Author Organisation/Affiliation"/>
    <w:basedOn w:val="Normal"/>
    <w:next w:val="Normal"/>
    <w:uiPriority w:val="25"/>
    <w:qFormat/>
    <w:rsid w:val="00BB6ACE"/>
  </w:style>
  <w:style w:type="character" w:styleId="Strong">
    <w:name w:val="Strong"/>
    <w:basedOn w:val="DefaultParagraphFont"/>
    <w:uiPriority w:val="22"/>
    <w:qFormat/>
    <w:rsid w:val="00BB6ACE"/>
    <w:rPr>
      <w:b/>
      <w:bCs/>
    </w:rPr>
  </w:style>
  <w:style w:type="paragraph" w:customStyle="1" w:styleId="Glossary">
    <w:name w:val="Glossary"/>
    <w:basedOn w:val="Normal"/>
    <w:link w:val="GlossaryChar"/>
    <w:uiPriority w:val="28"/>
    <w:semiHidden/>
    <w:locked/>
    <w:rsid w:val="00BB6ACE"/>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sid w:val="00BB6ACE"/>
    <w:rPr>
      <w:rFonts w:asciiTheme="minorHAnsi" w:eastAsia="Calibri" w:hAnsiTheme="minorHAnsi" w:cstheme="minorBidi"/>
      <w:color w:val="000000"/>
      <w:sz w:val="22"/>
      <w:szCs w:val="22"/>
      <w:lang w:eastAsia="en-US"/>
    </w:rPr>
  </w:style>
  <w:style w:type="character" w:styleId="Emphasis">
    <w:name w:val="Emphasis"/>
    <w:basedOn w:val="DefaultParagraphFont"/>
    <w:uiPriority w:val="99"/>
    <w:qFormat/>
    <w:rsid w:val="00BB6ACE"/>
    <w:rPr>
      <w:i/>
      <w:iCs/>
    </w:rPr>
  </w:style>
  <w:style w:type="paragraph" w:styleId="TOAHeading">
    <w:name w:val="toa heading"/>
    <w:basedOn w:val="Heading1"/>
    <w:next w:val="Normal"/>
    <w:uiPriority w:val="99"/>
    <w:semiHidden/>
    <w:unhideWhenUsed/>
    <w:rsid w:val="00BB6ACE"/>
    <w:pPr>
      <w:spacing w:before="120"/>
    </w:pPr>
    <w:rPr>
      <w:bCs w:val="0"/>
      <w:sz w:val="24"/>
    </w:rPr>
  </w:style>
  <w:style w:type="paragraph" w:styleId="NormalWeb">
    <w:name w:val="Normal (Web)"/>
    <w:basedOn w:val="Normal"/>
    <w:uiPriority w:val="99"/>
    <w:semiHidden/>
    <w:unhideWhenUsed/>
    <w:rsid w:val="00BB6ACE"/>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BC6BA3"/>
    <w:pPr>
      <w:numPr>
        <w:numId w:val="7"/>
      </w:numPr>
      <w:ind w:left="357" w:hanging="357"/>
    </w:pPr>
  </w:style>
  <w:style w:type="paragraph" w:customStyle="1" w:styleId="TableBullet1">
    <w:name w:val="Table Bullet 1"/>
    <w:basedOn w:val="TableText"/>
    <w:uiPriority w:val="15"/>
    <w:qFormat/>
    <w:rsid w:val="003D3CE1"/>
    <w:pPr>
      <w:numPr>
        <w:numId w:val="6"/>
      </w:numPr>
    </w:pPr>
  </w:style>
  <w:style w:type="paragraph" w:styleId="DocumentMap">
    <w:name w:val="Document Map"/>
    <w:basedOn w:val="Normal"/>
    <w:link w:val="DocumentMapChar"/>
    <w:uiPriority w:val="99"/>
    <w:semiHidden/>
    <w:unhideWhenUsed/>
    <w:rsid w:val="00BB6AC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B6ACE"/>
    <w:rPr>
      <w:rFonts w:ascii="Tahoma" w:eastAsiaTheme="minorHAnsi" w:hAnsi="Tahoma" w:cs="Tahoma"/>
      <w:sz w:val="16"/>
      <w:szCs w:val="16"/>
      <w:lang w:eastAsia="en-US"/>
    </w:rPr>
  </w:style>
  <w:style w:type="paragraph" w:customStyle="1" w:styleId="BoxHeading">
    <w:name w:val="Box Heading"/>
    <w:basedOn w:val="BoxText"/>
    <w:uiPriority w:val="20"/>
    <w:qFormat/>
    <w:rsid w:val="00BB6ACE"/>
    <w:pPr>
      <w:spacing w:line="240" w:lineRule="auto"/>
    </w:pPr>
    <w:rPr>
      <w:b/>
    </w:rPr>
  </w:style>
  <w:style w:type="paragraph" w:customStyle="1" w:styleId="Securityclassification">
    <w:name w:val="Security classification"/>
    <w:basedOn w:val="Header"/>
    <w:next w:val="Header"/>
    <w:uiPriority w:val="26"/>
    <w:qFormat/>
    <w:rsid w:val="00BB6ACE"/>
    <w:pPr>
      <w:spacing w:after="0"/>
    </w:pPr>
    <w:rPr>
      <w:b/>
      <w:color w:val="FF0000"/>
      <w:sz w:val="36"/>
      <w:szCs w:val="36"/>
    </w:rPr>
  </w:style>
  <w:style w:type="paragraph" w:customStyle="1" w:styleId="DisseminationLimitingMarker">
    <w:name w:val="Dissemination Limiting Marker"/>
    <w:basedOn w:val="Header"/>
    <w:next w:val="Header"/>
    <w:uiPriority w:val="27"/>
    <w:rsid w:val="00BB6ACE"/>
    <w:pPr>
      <w:spacing w:after="0"/>
    </w:pPr>
    <w:rPr>
      <w:b/>
      <w:sz w:val="36"/>
      <w:szCs w:val="36"/>
    </w:rPr>
  </w:style>
  <w:style w:type="paragraph" w:styleId="FootnoteText">
    <w:name w:val="footnote text"/>
    <w:basedOn w:val="Normal"/>
    <w:link w:val="FootnoteTextChar"/>
    <w:uiPriority w:val="99"/>
    <w:unhideWhenUsed/>
    <w:rsid w:val="00BB6ACE"/>
    <w:pPr>
      <w:spacing w:after="60" w:line="264" w:lineRule="auto"/>
    </w:pPr>
    <w:rPr>
      <w:sz w:val="20"/>
      <w:szCs w:val="20"/>
    </w:rPr>
  </w:style>
  <w:style w:type="character" w:customStyle="1" w:styleId="FootnoteTextChar">
    <w:name w:val="Footnote Text Char"/>
    <w:basedOn w:val="DefaultParagraphFont"/>
    <w:link w:val="FootnoteText"/>
    <w:uiPriority w:val="99"/>
    <w:rsid w:val="00BB6AC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BB6ACE"/>
    <w:rPr>
      <w:vertAlign w:val="superscript"/>
    </w:rPr>
  </w:style>
  <w:style w:type="paragraph" w:styleId="EndnoteText">
    <w:name w:val="endnote text"/>
    <w:basedOn w:val="Normal"/>
    <w:link w:val="EndnoteTextChar"/>
    <w:uiPriority w:val="99"/>
    <w:unhideWhenUsed/>
    <w:rsid w:val="00BB6ACE"/>
    <w:pPr>
      <w:spacing w:after="60" w:line="264" w:lineRule="auto"/>
    </w:pPr>
    <w:rPr>
      <w:sz w:val="20"/>
      <w:szCs w:val="20"/>
    </w:rPr>
  </w:style>
  <w:style w:type="character" w:customStyle="1" w:styleId="EndnoteTextChar">
    <w:name w:val="Endnote Text Char"/>
    <w:basedOn w:val="DefaultParagraphFont"/>
    <w:link w:val="EndnoteText"/>
    <w:uiPriority w:val="99"/>
    <w:rsid w:val="00BB6ACE"/>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sid w:val="00BB6ACE"/>
    <w:rPr>
      <w:vertAlign w:val="superscript"/>
    </w:rPr>
  </w:style>
  <w:style w:type="character" w:styleId="FollowedHyperlink">
    <w:name w:val="FollowedHyperlink"/>
    <w:basedOn w:val="DefaultParagraphFont"/>
    <w:uiPriority w:val="99"/>
    <w:semiHidden/>
    <w:unhideWhenUsed/>
    <w:rsid w:val="00BB6ACE"/>
    <w:rPr>
      <w:color w:val="800080"/>
      <w:u w:val="single"/>
    </w:rPr>
  </w:style>
  <w:style w:type="paragraph" w:customStyle="1" w:styleId="BoxSource">
    <w:name w:val="Box Source"/>
    <w:basedOn w:val="FigureTableNoteSource"/>
    <w:uiPriority w:val="22"/>
    <w:qFormat/>
    <w:rsid w:val="00BB6ACE"/>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1"/>
    <w:basedOn w:val="NoList"/>
    <w:uiPriority w:val="99"/>
    <w:rsid w:val="00BB6ACE"/>
    <w:pPr>
      <w:numPr>
        <w:numId w:val="1"/>
      </w:numPr>
    </w:pPr>
  </w:style>
  <w:style w:type="paragraph" w:styleId="Title">
    <w:name w:val="Title"/>
    <w:basedOn w:val="Normal"/>
    <w:next w:val="Normal"/>
    <w:link w:val="TitleChar"/>
    <w:uiPriority w:val="10"/>
    <w:semiHidden/>
    <w:qFormat/>
    <w:rsid w:val="00BB6ACE"/>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BB6ACE"/>
    <w:rPr>
      <w:rFonts w:asciiTheme="minorHAnsi" w:eastAsiaTheme="majorEastAsia" w:hAnsiTheme="minorHAnsi" w:cstheme="majorBidi"/>
      <w:b/>
      <w:spacing w:val="5"/>
      <w:kern w:val="28"/>
      <w:sz w:val="72"/>
      <w:szCs w:val="52"/>
      <w:lang w:eastAsia="en-US"/>
    </w:rPr>
  </w:style>
  <w:style w:type="paragraph" w:customStyle="1" w:styleId="TOCHeading2">
    <w:name w:val="TOC Heading 2"/>
    <w:next w:val="Normal"/>
    <w:qFormat/>
    <w:rsid w:val="00BB6ACE"/>
    <w:rPr>
      <w:rFonts w:ascii="Calibri Light" w:eastAsiaTheme="minorHAnsi" w:hAnsi="Calibri Light" w:cstheme="minorBidi"/>
      <w:sz w:val="36"/>
      <w:szCs w:val="22"/>
      <w:lang w:eastAsia="en-US"/>
    </w:rPr>
  </w:style>
  <w:style w:type="numbering" w:customStyle="1" w:styleId="Numberlist">
    <w:name w:val="Number list"/>
    <w:uiPriority w:val="99"/>
    <w:rsid w:val="00BB6ACE"/>
    <w:pPr>
      <w:numPr>
        <w:numId w:val="2"/>
      </w:numPr>
    </w:pPr>
  </w:style>
  <w:style w:type="numbering" w:customStyle="1" w:styleId="Headinglist">
    <w:name w:val="Heading list"/>
    <w:uiPriority w:val="99"/>
    <w:rsid w:val="00BB6ACE"/>
    <w:pPr>
      <w:numPr>
        <w:numId w:val="3"/>
      </w:numPr>
    </w:pPr>
  </w:style>
  <w:style w:type="paragraph" w:customStyle="1" w:styleId="Normalsmall">
    <w:name w:val="Normal small"/>
    <w:qFormat/>
    <w:rsid w:val="00BB6ACE"/>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rsid w:val="00BB6ACE"/>
    <w:pPr>
      <w:numPr>
        <w:ilvl w:val="2"/>
        <w:numId w:val="14"/>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rsid w:val="00CF7FF8"/>
    <w:pPr>
      <w:numPr>
        <w:numId w:val="13"/>
      </w:numPr>
      <w:spacing w:before="60" w:after="60"/>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sid w:val="00BB6ACE"/>
    <w:rPr>
      <w:i/>
      <w:iCs/>
      <w:color w:val="4F81BD" w:themeColor="accent1"/>
    </w:rPr>
  </w:style>
  <w:style w:type="paragraph" w:customStyle="1" w:styleId="TableBullet2">
    <w:name w:val="Table Bullet 2"/>
    <w:basedOn w:val="TableBullet1"/>
    <w:qFormat/>
    <w:rsid w:val="003D3CE1"/>
    <w:pPr>
      <w:numPr>
        <w:numId w:val="11"/>
      </w:numPr>
      <w:tabs>
        <w:tab w:val="num" w:pos="462"/>
      </w:tabs>
      <w:ind w:left="604" w:hanging="445"/>
    </w:pPr>
  </w:style>
  <w:style w:type="numbering" w:customStyle="1" w:styleId="TableBulletlist">
    <w:name w:val="Table Bullet list"/>
    <w:uiPriority w:val="99"/>
    <w:rsid w:val="00BB6ACE"/>
    <w:pPr>
      <w:numPr>
        <w:numId w:val="5"/>
      </w:numPr>
    </w:pPr>
  </w:style>
  <w:style w:type="character" w:styleId="UnresolvedMention">
    <w:name w:val="Unresolved Mention"/>
    <w:basedOn w:val="DefaultParagraphFont"/>
    <w:uiPriority w:val="99"/>
    <w:semiHidden/>
    <w:unhideWhenUsed/>
    <w:rsid w:val="00BB6ACE"/>
    <w:rPr>
      <w:color w:val="605E5C"/>
      <w:shd w:val="clear" w:color="auto" w:fill="E1DFDD"/>
    </w:rPr>
  </w:style>
  <w:style w:type="paragraph" w:styleId="ListParagraph">
    <w:name w:val="List Paragraph"/>
    <w:basedOn w:val="Normal"/>
    <w:uiPriority w:val="34"/>
    <w:semiHidden/>
    <w:qFormat/>
    <w:rsid w:val="00BB6ACE"/>
    <w:pPr>
      <w:spacing w:after="0" w:line="240" w:lineRule="auto"/>
      <w:ind w:left="720"/>
    </w:pPr>
    <w:rPr>
      <w:rFonts w:ascii="Calibri" w:hAnsi="Calibri" w:cs="Calibri"/>
    </w:rPr>
  </w:style>
  <w:style w:type="character" w:customStyle="1" w:styleId="Heading6Char">
    <w:name w:val="Heading 6 Char"/>
    <w:basedOn w:val="DefaultParagraphFont"/>
    <w:link w:val="Heading6"/>
    <w:uiPriority w:val="9"/>
    <w:semiHidden/>
    <w:rsid w:val="00FB6115"/>
    <w:rPr>
      <w:rFonts w:asciiTheme="minorHAnsi" w:eastAsiaTheme="majorEastAsia" w:hAnsiTheme="minorHAnsi" w:cstheme="majorBidi"/>
      <w:i/>
      <w:color w:val="59621D"/>
      <w:szCs w:val="22"/>
      <w:lang w:eastAsia="en-US"/>
    </w:rPr>
  </w:style>
  <w:style w:type="paragraph" w:customStyle="1" w:styleId="Tablenumberedlist2">
    <w:name w:val="Table numbered list 2"/>
    <w:basedOn w:val="TableText"/>
    <w:qFormat/>
    <w:rsid w:val="00CF7FF8"/>
    <w:pPr>
      <w:numPr>
        <w:ilvl w:val="1"/>
        <w:numId w:val="13"/>
      </w:numPr>
    </w:pPr>
  </w:style>
  <w:style w:type="paragraph" w:customStyle="1" w:styleId="Tablenumberedlist3">
    <w:name w:val="Table numbered list 3"/>
    <w:basedOn w:val="TableText"/>
    <w:qFormat/>
    <w:rsid w:val="00CF7FF8"/>
    <w:pPr>
      <w:numPr>
        <w:ilvl w:val="2"/>
        <w:numId w:val="13"/>
      </w:numPr>
    </w:pPr>
  </w:style>
  <w:style w:type="numbering" w:customStyle="1" w:styleId="Tablenumberedlists">
    <w:name w:val="Table numbered lists"/>
    <w:uiPriority w:val="99"/>
    <w:rsid w:val="00CF7FF8"/>
    <w:pPr>
      <w:numPr>
        <w:numId w:val="13"/>
      </w:numPr>
    </w:pPr>
  </w:style>
  <w:style w:type="numbering" w:customStyle="1" w:styleId="List11">
    <w:name w:val="List11"/>
    <w:basedOn w:val="NoList"/>
    <w:uiPriority w:val="99"/>
    <w:rsid w:val="00A26001"/>
  </w:style>
  <w:style w:type="numbering" w:customStyle="1" w:styleId="Headinglist1">
    <w:name w:val="Heading list1"/>
    <w:uiPriority w:val="99"/>
    <w:rsid w:val="00A26001"/>
  </w:style>
  <w:style w:type="table" w:styleId="TableGrid">
    <w:name w:val="Table Grid"/>
    <w:basedOn w:val="TableNormal"/>
    <w:uiPriority w:val="59"/>
    <w:rsid w:val="00A26001"/>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6525F"/>
    <w:rPr>
      <w:rFonts w:asciiTheme="minorHAnsi" w:eastAsiaTheme="minorHAnsi" w:hAnsiTheme="minorHAnsi" w:cstheme="minorBidi"/>
      <w:sz w:val="22"/>
      <w:szCs w:val="22"/>
      <w:lang w:eastAsia="en-US"/>
    </w:rPr>
  </w:style>
  <w:style w:type="table" w:styleId="TableGridLight">
    <w:name w:val="Grid Table Light"/>
    <w:basedOn w:val="TableNormal"/>
    <w:uiPriority w:val="40"/>
    <w:rsid w:val="00E47C6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6">
    <w:name w:val="Table Grid6"/>
    <w:basedOn w:val="TableNormal"/>
    <w:next w:val="TableGrid"/>
    <w:uiPriority w:val="59"/>
    <w:rsid w:val="00E47C68"/>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39916105">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griculture.gov.au/biosecurity-trade/export/controlled-goods/live-animals/advisory-notice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agriculture.gov.au/biosecurity-trade/export/controlled-goods/live-animals/livestock/australian-standards-livestock" TargetMode="External"/><Relationship Id="rId17" Type="http://schemas.openxmlformats.org/officeDocument/2006/relationships/hyperlink" Target="https://creativecommons.org/licenses/by/4.0/legalcod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agriculture.gov.au/biosecurity-trade/export/controlled-goods/live-animals/livestock/exporters/exporting-livestock-consignment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griculture.gov.au/biosecurity-trade/export/controlled-goods/live-animals/livestock/exporters/approved-arrangements"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agriculture.gov.au/biosecurity-trade/export/controlled-goods/live-animals/livestock/regulating-live-animal-exports"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icor.agriculture.gov.au/live-animals/Pages/default.aspx"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https://deptagriculture.sharepoint.com/OfficeTemplates/Print%20and%20web%20content/Short_document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1c01dc6-2c49-4730-b140-874c95cac377" xsi:nil="true"/>
    <lcf76f155ced4ddcb4097134ff3c332f xmlns="2b53c995-2120-4bc0-8922-c25044d37f65">
      <Terms xmlns="http://schemas.microsoft.com/office/infopath/2007/PartnerControls"/>
    </lcf76f155ced4ddcb4097134ff3c332f>
    <SharedWithUsers xmlns="c95b51c2-b2ac-4224-a5b5-069909057829">
      <UserInfo>
        <DisplayName>Huston, Ben</DisplayName>
        <AccountId>157</AccountId>
        <AccountType/>
      </UserInfo>
      <UserInfo>
        <DisplayName>White, Carolyn</DisplayName>
        <AccountId>20</AccountId>
        <AccountType/>
      </UserInfo>
      <UserInfo>
        <DisplayName>Rummery, Jess</DisplayName>
        <AccountId>14</AccountId>
        <AccountType/>
      </UserInfo>
      <UserInfo>
        <DisplayName>Dudgeon, Cindy</DisplayName>
        <AccountId>154</AccountId>
        <AccountType/>
      </UserInfo>
      <UserInfo>
        <DisplayName>Donaldson, Morag</DisplayName>
        <AccountId>212</AccountId>
        <AccountType/>
      </UserInfo>
      <UserInfo>
        <DisplayName>Jensen, Sharman</DisplayName>
        <AccountId>213</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HarvardAGPS.XSL" StyleName="Harvard - AGPS*"/>
</file>

<file path=customXml/item3.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1CAD33-3B39-4665-A5E6-666D035120E9}">
  <ds:schemaRefs>
    <ds:schemaRef ds:uri="http://schemas.microsoft.com/office/2006/metadata/properties"/>
    <ds:schemaRef ds:uri="http://schemas.microsoft.com/office/infopath/2007/PartnerControls"/>
    <ds:schemaRef ds:uri="81c01dc6-2c49-4730-b140-874c95cac377"/>
    <ds:schemaRef ds:uri="6183d753-4e0d-4b8c-8e8c-dbc502d82832"/>
    <ds:schemaRef ds:uri="0802b75a-89d5-408b-90bd-96b3a6bc3894"/>
  </ds:schemaRefs>
</ds:datastoreItem>
</file>

<file path=customXml/itemProps2.xml><?xml version="1.0" encoding="utf-8"?>
<ds:datastoreItem xmlns:ds="http://schemas.openxmlformats.org/officeDocument/2006/customXml" ds:itemID="{A0867144-1A3A-469F-91B9-29B4C357A70D}">
  <ds:schemaRefs>
    <ds:schemaRef ds:uri="http://schemas.openxmlformats.org/officeDocument/2006/bibliography"/>
  </ds:schemaRefs>
</ds:datastoreItem>
</file>

<file path=customXml/itemProps3.xml><?xml version="1.0" encoding="utf-8"?>
<ds:datastoreItem xmlns:ds="http://schemas.openxmlformats.org/officeDocument/2006/customXml" ds:itemID="{0C561B2B-7F1F-442B-80FA-0A0A9F177BDE}"/>
</file>

<file path=customXml/itemProps4.xml><?xml version="1.0" encoding="utf-8"?>
<ds:datastoreItem xmlns:ds="http://schemas.openxmlformats.org/officeDocument/2006/customXml" ds:itemID="{F9B48E02-C406-418D-A555-2A3BB91642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Short_document_template</Template>
  <TotalTime>1</TotalTime>
  <Pages>3</Pages>
  <Words>1368</Words>
  <Characters>7799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Property of origin for livestock exports</vt:lpstr>
    </vt:vector>
  </TitlesOfParts>
  <Company>Department of Agriculture, Fisheries and Forestry</Company>
  <LinksUpToDate>false</LinksUpToDate>
  <CharactersWithSpaces>9149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Property of origin for livestock exports</dc:title>
  <dc:subject/>
  <dc:creator>Department of Agriculture, Fisheries and Forestry</dc:creator>
  <cp:keywords/>
  <dc:description/>
  <cp:revision>5</cp:revision>
  <cp:lastPrinted>2019-02-14T15:12:00Z</cp:lastPrinted>
  <dcterms:created xsi:type="dcterms:W3CDTF">2024-11-22T04:48:00Z</dcterms:created>
  <dcterms:modified xsi:type="dcterms:W3CDTF">2024-11-29T01:52:00Z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0x0101008991DB94C8E2E14F9D69CDF9B52A3286</vt:lpwstr>
  </property>
  <property fmtid="{D5CDD505-2E9C-101B-9397-08002B2CF9AE}" pid="3" name="_DocHome">
    <vt:i4>986778056</vt:i4>
  </property>
  <property fmtid="{D5CDD505-2E9C-101B-9397-08002B2CF9AE}" pid="4" name="ClassificationContentMarkingHeaderShapeIds">
    <vt:lpwstr>6a0f7db6,3bad43c8,2c58e12</vt:lpwstr>
  </property>
  <property fmtid="{D5CDD505-2E9C-101B-9397-08002B2CF9AE}" pid="5" name="ClassificationContentMarkingHeaderFontProps">
    <vt:lpwstr>#ff0000,12,Calibri</vt:lpwstr>
  </property>
  <property fmtid="{D5CDD505-2E9C-101B-9397-08002B2CF9AE}" pid="6" name="ClassificationContentMarkingHeaderText">
    <vt:lpwstr>OFFICIAL</vt:lpwstr>
  </property>
  <property fmtid="{D5CDD505-2E9C-101B-9397-08002B2CF9AE}" pid="7" name="ClassificationContentMarkingFooterShapeIds">
    <vt:lpwstr>143a99fe,3b42beda,498ba6a3</vt:lpwstr>
  </property>
  <property fmtid="{D5CDD505-2E9C-101B-9397-08002B2CF9AE}" pid="8" name="ClassificationContentMarkingFooterFontProps">
    <vt:lpwstr>#ff0000,12,Calibri</vt:lpwstr>
  </property>
  <property fmtid="{D5CDD505-2E9C-101B-9397-08002B2CF9AE}" pid="9" name="ClassificationContentMarkingFooterText">
    <vt:lpwstr>OFFICIAL</vt:lpwstr>
  </property>
  <property fmtid="{D5CDD505-2E9C-101B-9397-08002B2CF9AE}" pid="10" name="MSIP_Label_933d8be6-3c40-4052-87a2-9c2adcba8759_Enabled">
    <vt:lpwstr>true</vt:lpwstr>
  </property>
  <property fmtid="{D5CDD505-2E9C-101B-9397-08002B2CF9AE}" pid="11" name="MSIP_Label_933d8be6-3c40-4052-87a2-9c2adcba8759_SetDate">
    <vt:lpwstr>2024-03-26T00:48:39Z</vt:lpwstr>
  </property>
  <property fmtid="{D5CDD505-2E9C-101B-9397-08002B2CF9AE}" pid="12" name="MSIP_Label_933d8be6-3c40-4052-87a2-9c2adcba8759_Method">
    <vt:lpwstr>Privileged</vt:lpwstr>
  </property>
  <property fmtid="{D5CDD505-2E9C-101B-9397-08002B2CF9AE}" pid="13" name="MSIP_Label_933d8be6-3c40-4052-87a2-9c2adcba8759_Name">
    <vt:lpwstr>OFFICIAL</vt:lpwstr>
  </property>
  <property fmtid="{D5CDD505-2E9C-101B-9397-08002B2CF9AE}" pid="14" name="MSIP_Label_933d8be6-3c40-4052-87a2-9c2adcba8759_SiteId">
    <vt:lpwstr>2be67eb7-400c-4b3f-a5a1-1258c0da0696</vt:lpwstr>
  </property>
  <property fmtid="{D5CDD505-2E9C-101B-9397-08002B2CF9AE}" pid="15" name="MSIP_Label_933d8be6-3c40-4052-87a2-9c2adcba8759_ActionId">
    <vt:lpwstr>d816f7e8-daab-4bc6-b657-08443c91ce6f</vt:lpwstr>
  </property>
  <property fmtid="{D5CDD505-2E9C-101B-9397-08002B2CF9AE}" pid="16" name="MSIP_Label_933d8be6-3c40-4052-87a2-9c2adcba8759_ContentBits">
    <vt:lpwstr>3</vt:lpwstr>
  </property>
  <property fmtid="{D5CDD505-2E9C-101B-9397-08002B2CF9AE}" pid="17" name="MediaServiceImageTags">
    <vt:lpwstr/>
  </property>
</Properties>
</file>