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1C" w:rsidRDefault="0031311C" w:rsidP="0031311C">
      <w:r w:rsidRPr="0031311C">
        <w:rPr>
          <w:noProof/>
        </w:rPr>
        <w:drawing>
          <wp:inline distT="0" distB="0" distL="0" distR="0">
            <wp:extent cx="2419350" cy="587821"/>
            <wp:effectExtent l="19050" t="0" r="0" b="0"/>
            <wp:docPr id="6" name="Picture 0" descr="Australian Gover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ster%20Brandmark%20Inline%20-%20JPEG.jpg"/>
                    <pic:cNvPicPr>
                      <a:picLocks noChangeAspect="1" noChangeArrowheads="1"/>
                    </pic:cNvPicPr>
                  </pic:nvPicPr>
                  <pic:blipFill>
                    <a:blip r:embed="rId8" cstate="print"/>
                    <a:srcRect/>
                    <a:stretch>
                      <a:fillRect/>
                    </a:stretch>
                  </pic:blipFill>
                  <pic:spPr bwMode="auto">
                    <a:xfrm>
                      <a:off x="0" y="0"/>
                      <a:ext cx="2416665" cy="587169"/>
                    </a:xfrm>
                    <a:prstGeom prst="rect">
                      <a:avLst/>
                    </a:prstGeom>
                    <a:noFill/>
                    <a:ln w="9525">
                      <a:noFill/>
                      <a:miter lim="800000"/>
                      <a:headEnd/>
                      <a:tailEnd/>
                    </a:ln>
                  </pic:spPr>
                </pic:pic>
              </a:graphicData>
            </a:graphic>
          </wp:inline>
        </w:drawing>
      </w:r>
    </w:p>
    <w:p w:rsidR="00310FF8" w:rsidRPr="0031311C" w:rsidRDefault="00055F5E" w:rsidP="0031311C">
      <w:pPr>
        <w:pStyle w:val="Heading1"/>
        <w:spacing w:before="840"/>
      </w:pPr>
      <w:r w:rsidRPr="0031311C">
        <w:t>National Policy Guidelines for Translocation of Domestic Bait and Berley</w:t>
      </w:r>
    </w:p>
    <w:p w:rsidR="0031311C" w:rsidRPr="0031311C" w:rsidRDefault="00AA63FE" w:rsidP="0031311C">
      <w:pPr>
        <w:jc w:val="center"/>
      </w:pPr>
      <w:r>
        <w:rPr>
          <w:noProof/>
        </w:rPr>
        <w:drawing>
          <wp:inline distT="0" distB="0" distL="0" distR="0">
            <wp:extent cx="4539095" cy="4539095"/>
            <wp:effectExtent l="19050" t="0" r="0" b="0"/>
            <wp:docPr id="1" name="Picture 0" descr="DA1939_0514_National bait biosp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939_0514_National bait biosphere..jpg"/>
                    <pic:cNvPicPr/>
                  </pic:nvPicPr>
                  <pic:blipFill>
                    <a:blip r:embed="rId9" cstate="print"/>
                    <a:stretch>
                      <a:fillRect/>
                    </a:stretch>
                  </pic:blipFill>
                  <pic:spPr>
                    <a:xfrm>
                      <a:off x="0" y="0"/>
                      <a:ext cx="4541199" cy="4541199"/>
                    </a:xfrm>
                    <a:prstGeom prst="rect">
                      <a:avLst/>
                    </a:prstGeom>
                  </pic:spPr>
                </pic:pic>
              </a:graphicData>
            </a:graphic>
          </wp:inline>
        </w:drawing>
      </w:r>
    </w:p>
    <w:p w:rsidR="003C1AF2" w:rsidRPr="0031311C" w:rsidRDefault="003C1AF2" w:rsidP="005B7766">
      <w:pPr>
        <w:spacing w:before="1680"/>
        <w:jc w:val="center"/>
        <w:rPr>
          <w:b/>
        </w:rPr>
      </w:pPr>
      <w:r w:rsidRPr="0031311C">
        <w:rPr>
          <w:b/>
        </w:rPr>
        <w:t xml:space="preserve">Published </w:t>
      </w:r>
      <w:r w:rsidR="00701645" w:rsidRPr="0031311C">
        <w:rPr>
          <w:b/>
        </w:rPr>
        <w:t>May 2015</w:t>
      </w:r>
    </w:p>
    <w:p w:rsidR="005B7766" w:rsidRDefault="002C1749" w:rsidP="005B7766">
      <w:pPr>
        <w:spacing w:before="200"/>
        <w:jc w:val="center"/>
      </w:pPr>
      <w:r>
        <w:t xml:space="preserve">The </w:t>
      </w:r>
      <w:r w:rsidR="00372A62">
        <w:t>N</w:t>
      </w:r>
      <w:r>
        <w:t xml:space="preserve">ational </w:t>
      </w:r>
      <w:r w:rsidR="00372A62">
        <w:t>P</w:t>
      </w:r>
      <w:r>
        <w:t xml:space="preserve">olicy </w:t>
      </w:r>
      <w:r w:rsidR="00372A62">
        <w:t>G</w:t>
      </w:r>
      <w:r>
        <w:t xml:space="preserve">uidelines for </w:t>
      </w:r>
      <w:r w:rsidR="00372A62">
        <w:t>T</w:t>
      </w:r>
      <w:r>
        <w:t xml:space="preserve">ranslocation of </w:t>
      </w:r>
      <w:r w:rsidR="00372A62">
        <w:t>D</w:t>
      </w:r>
      <w:r>
        <w:t xml:space="preserve">omestic </w:t>
      </w:r>
      <w:r w:rsidR="00372A62">
        <w:t>B</w:t>
      </w:r>
      <w:r>
        <w:t xml:space="preserve">ait and </w:t>
      </w:r>
      <w:r w:rsidR="00372A62">
        <w:t>B</w:t>
      </w:r>
      <w:r>
        <w:t xml:space="preserve">erley were produced </w:t>
      </w:r>
      <w:r w:rsidR="007570C2" w:rsidRPr="005D55A7">
        <w:t xml:space="preserve">by the </w:t>
      </w:r>
      <w:r w:rsidR="00931807" w:rsidRPr="005D55A7">
        <w:t xml:space="preserve">Sub-Committee on Aquatic Animal Health </w:t>
      </w:r>
      <w:r w:rsidR="007570C2" w:rsidRPr="005D55A7">
        <w:t>and endorsed by the Animal Health Committee</w:t>
      </w:r>
      <w:r w:rsidR="002C7321">
        <w:t xml:space="preserve"> in </w:t>
      </w:r>
      <w:r w:rsidR="007570C2" w:rsidRPr="005D55A7">
        <w:t>December 2014</w:t>
      </w:r>
      <w:r w:rsidR="00931807" w:rsidRPr="005D55A7">
        <w:t>.</w:t>
      </w:r>
    </w:p>
    <w:p w:rsidR="00341F43" w:rsidRPr="00E97036" w:rsidRDefault="00341F43" w:rsidP="005B7766">
      <w:pPr>
        <w:spacing w:before="200"/>
      </w:pPr>
      <w:r w:rsidRPr="00E97036">
        <w:lastRenderedPageBreak/>
        <w:t>© Commonwealth of Australia 201</w:t>
      </w:r>
      <w:r w:rsidR="000700DC">
        <w:t>5</w:t>
      </w:r>
    </w:p>
    <w:p w:rsidR="002B748F" w:rsidRDefault="00341F43" w:rsidP="002B748F">
      <w:pPr>
        <w:pStyle w:val="BodycopyInsideSpreads"/>
        <w:rPr>
          <w:rFonts w:cs="Cambria-Bold"/>
          <w:b/>
          <w:bCs/>
          <w:spacing w:val="-5"/>
        </w:rPr>
      </w:pPr>
      <w:r w:rsidRPr="00E97036">
        <w:rPr>
          <w:rFonts w:cs="Cambria-Bold"/>
          <w:b/>
          <w:bCs/>
          <w:spacing w:val="-5"/>
        </w:rPr>
        <w:t>Ownership of intellectual property rights</w:t>
      </w:r>
    </w:p>
    <w:p w:rsidR="00341F43" w:rsidRPr="00E97036" w:rsidRDefault="00341F43" w:rsidP="002B748F">
      <w:pPr>
        <w:pStyle w:val="BodycopyInsideSpreads"/>
        <w:rPr>
          <w:spacing w:val="-5"/>
        </w:rPr>
      </w:pPr>
      <w:r w:rsidRPr="00E97036">
        <w:rPr>
          <w:spacing w:val="-5"/>
        </w:rPr>
        <w:t xml:space="preserve">Unless otherwise noted, copyright (and any other intellectual property rights, if any) in this publication is owned by the Commonwealth of Australia (referred to as the Commonwealth). </w:t>
      </w:r>
    </w:p>
    <w:p w:rsidR="002B748F" w:rsidRDefault="00341F43" w:rsidP="002B748F">
      <w:pPr>
        <w:pStyle w:val="BodycopyInsideSpreads"/>
        <w:rPr>
          <w:rFonts w:cs="Cambria-Bold"/>
          <w:b/>
          <w:bCs/>
        </w:rPr>
      </w:pPr>
      <w:proofErr w:type="gramStart"/>
      <w:r w:rsidRPr="00E97036">
        <w:rPr>
          <w:rFonts w:cs="Cambria-Bold"/>
          <w:b/>
          <w:bCs/>
        </w:rPr>
        <w:t>Creative Commons</w:t>
      </w:r>
      <w:proofErr w:type="gramEnd"/>
      <w:r w:rsidRPr="00E97036">
        <w:rPr>
          <w:rFonts w:cs="Cambria-Bold"/>
          <w:b/>
          <w:bCs/>
        </w:rPr>
        <w:t xml:space="preserve"> licence</w:t>
      </w:r>
    </w:p>
    <w:p w:rsidR="00341F43" w:rsidRDefault="00341F43" w:rsidP="002B748F">
      <w:pPr>
        <w:pStyle w:val="BodycopyInsideSpreads"/>
      </w:pPr>
      <w:r w:rsidRPr="00E97036">
        <w:t>All material in this publication is licensed under a Creative Commons Attribution 3.0 Australia Licence, save for content supplied by third parties, logos and the Commonwealth Coat of Ar</w:t>
      </w:r>
      <w:r w:rsidR="002B748F">
        <w:t>ms.</w:t>
      </w:r>
    </w:p>
    <w:p w:rsidR="00341F43" w:rsidRPr="00E97036" w:rsidRDefault="00341F43" w:rsidP="002B748F">
      <w:pPr>
        <w:pStyle w:val="BodycopyInsideSpreads"/>
      </w:pPr>
      <w:r w:rsidRPr="00E97036">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E97036">
        <w:t>deed.en</w:t>
      </w:r>
      <w:proofErr w:type="spellEnd"/>
      <w:r w:rsidRPr="00E97036">
        <w:t>. The full licence terms are available from creativecommons.org/licenses/by/3.0/au/</w:t>
      </w:r>
      <w:proofErr w:type="spellStart"/>
      <w:r w:rsidRPr="00E97036">
        <w:t>legalcode</w:t>
      </w:r>
      <w:proofErr w:type="spellEnd"/>
      <w:r w:rsidRPr="00E97036">
        <w:t>.</w:t>
      </w:r>
    </w:p>
    <w:p w:rsidR="002B748F" w:rsidRDefault="00F47699" w:rsidP="002B748F">
      <w:pPr>
        <w:pStyle w:val="BodycopyInsideSpreads"/>
        <w:rPr>
          <w:rFonts w:cs="Cambria-Bold"/>
          <w:b/>
          <w:bCs/>
        </w:rPr>
      </w:pPr>
      <w:r>
        <w:rPr>
          <w:rFonts w:cs="Cambria-Bold"/>
          <w:b/>
          <w:bCs/>
        </w:rPr>
        <w:t>Cataloguing data</w:t>
      </w:r>
    </w:p>
    <w:p w:rsidR="00167DF0" w:rsidRDefault="00341F43" w:rsidP="002B748F">
      <w:pPr>
        <w:pStyle w:val="BodycopyInsideSpreads"/>
      </w:pPr>
      <w:r w:rsidRPr="00167DF0">
        <w:t>This publication (and any material sourced from it) should be attributed as</w:t>
      </w:r>
      <w:r w:rsidR="00167DF0">
        <w:t>:</w:t>
      </w:r>
    </w:p>
    <w:p w:rsidR="00341F43" w:rsidRPr="00167DF0" w:rsidRDefault="003A1CB3" w:rsidP="002B748F">
      <w:pPr>
        <w:pStyle w:val="BodycopyInsideSpreads"/>
      </w:pPr>
      <w:r w:rsidRPr="00167DF0">
        <w:t xml:space="preserve">Department of Agriculture </w:t>
      </w:r>
      <w:r w:rsidR="00341F43" w:rsidRPr="00167DF0">
        <w:t>201</w:t>
      </w:r>
      <w:r w:rsidRPr="00167DF0">
        <w:t>5</w:t>
      </w:r>
      <w:r w:rsidR="00341F43" w:rsidRPr="00167DF0">
        <w:t xml:space="preserve">, </w:t>
      </w:r>
      <w:r w:rsidRPr="00167DF0">
        <w:rPr>
          <w:rFonts w:cs="Cambria-Italic"/>
          <w:i/>
          <w:iCs/>
          <w:lang w:val="en-AU"/>
        </w:rPr>
        <w:t>National Policy Guidelines for Translocation of Domestic Bait and Berley</w:t>
      </w:r>
      <w:r w:rsidR="00ED4B6E" w:rsidRPr="00167DF0">
        <w:rPr>
          <w:rFonts w:cs="Cambria-Italic"/>
          <w:i/>
          <w:iCs/>
          <w:lang w:val="en-AU"/>
        </w:rPr>
        <w:t>,</w:t>
      </w:r>
      <w:r w:rsidR="000700DC" w:rsidRPr="00167DF0">
        <w:rPr>
          <w:rFonts w:cs="Cambria-Italic"/>
          <w:i/>
          <w:iCs/>
          <w:lang w:val="en-AU"/>
        </w:rPr>
        <w:t xml:space="preserve"> </w:t>
      </w:r>
      <w:r w:rsidR="000700DC" w:rsidRPr="00167DF0">
        <w:rPr>
          <w:rFonts w:cs="Cambria-Italic"/>
          <w:iCs/>
          <w:lang w:val="en-AU"/>
        </w:rPr>
        <w:t xml:space="preserve">Canberra. </w:t>
      </w:r>
      <w:r w:rsidR="002B748F" w:rsidRPr="00167DF0">
        <w:t>CC BY 3.0.</w:t>
      </w:r>
    </w:p>
    <w:p w:rsidR="002B748F" w:rsidRPr="00167DF0" w:rsidRDefault="00341F43" w:rsidP="002B748F">
      <w:pPr>
        <w:pStyle w:val="BodycopyInsideSpreads"/>
      </w:pPr>
      <w:r w:rsidRPr="00167DF0">
        <w:rPr>
          <w:rFonts w:cs="Cambria-Bold"/>
          <w:b/>
          <w:bCs/>
        </w:rPr>
        <w:t>Internet</w:t>
      </w:r>
    </w:p>
    <w:p w:rsidR="00167DF0" w:rsidRDefault="000700DC" w:rsidP="002B748F">
      <w:pPr>
        <w:pStyle w:val="BodycopyInsideSpreads"/>
      </w:pPr>
      <w:r w:rsidRPr="00167DF0">
        <w:rPr>
          <w:rFonts w:cs="Cambria-Italic"/>
          <w:i/>
          <w:iCs/>
          <w:lang w:val="en-AU"/>
        </w:rPr>
        <w:t>National Policy Guidelines for Translocation of Domestic Bait and Berley</w:t>
      </w:r>
      <w:r w:rsidRPr="00167DF0">
        <w:t xml:space="preserve"> </w:t>
      </w:r>
      <w:r w:rsidR="002B748F" w:rsidRPr="00167DF0">
        <w:t xml:space="preserve">is </w:t>
      </w:r>
      <w:r w:rsidR="00341F43" w:rsidRPr="00167DF0">
        <w:t>available at</w:t>
      </w:r>
      <w:r w:rsidR="00167DF0">
        <w:t>:</w:t>
      </w:r>
    </w:p>
    <w:p w:rsidR="00341F43" w:rsidRDefault="00C46866" w:rsidP="002B748F">
      <w:pPr>
        <w:pStyle w:val="BodycopyInsideSpreads"/>
      </w:pPr>
      <w:hyperlink r:id="rId10" w:history="1">
        <w:r w:rsidR="00167DF0" w:rsidRPr="00167DF0">
          <w:rPr>
            <w:rStyle w:val="Hyperlink"/>
          </w:rPr>
          <w:t>agriculture.gov.au/animal/aquatic/guidelines-and-resources</w:t>
        </w:r>
      </w:hyperlink>
    </w:p>
    <w:p w:rsidR="002B748F" w:rsidRPr="00167DF0" w:rsidRDefault="00341F43" w:rsidP="002B748F">
      <w:pPr>
        <w:pStyle w:val="BodycopyInsideSpreads"/>
      </w:pPr>
      <w:r w:rsidRPr="00167DF0">
        <w:rPr>
          <w:rFonts w:cs="Cambria-Bold"/>
          <w:b/>
          <w:bCs/>
        </w:rPr>
        <w:t>Contact</w:t>
      </w:r>
    </w:p>
    <w:p w:rsidR="00341F43" w:rsidRPr="00167DF0" w:rsidRDefault="000700DC" w:rsidP="002B748F">
      <w:pPr>
        <w:pStyle w:val="BodycopyInsideSpreads"/>
      </w:pPr>
      <w:r w:rsidRPr="00167DF0">
        <w:t>Department of Agriculture</w:t>
      </w:r>
    </w:p>
    <w:p w:rsidR="002B748F" w:rsidRPr="00167DF0" w:rsidRDefault="00341F43" w:rsidP="002B748F">
      <w:pPr>
        <w:pStyle w:val="BodycopyInsideSpreads"/>
      </w:pPr>
      <w:r w:rsidRPr="00167DF0">
        <w:t xml:space="preserve">Postal address </w:t>
      </w:r>
      <w:r w:rsidRPr="00167DF0">
        <w:tab/>
        <w:t>GPO Box 858 Canberra ACT 2601</w:t>
      </w:r>
    </w:p>
    <w:p w:rsidR="002B748F" w:rsidRPr="00167DF0" w:rsidRDefault="00341F43" w:rsidP="002B748F">
      <w:pPr>
        <w:pStyle w:val="BodycopyInsideSpreads"/>
      </w:pPr>
      <w:r w:rsidRPr="00167DF0">
        <w:t xml:space="preserve">Switchboard </w:t>
      </w:r>
      <w:r w:rsidRPr="00167DF0">
        <w:tab/>
        <w:t>+61 2 6272 3933</w:t>
      </w:r>
    </w:p>
    <w:p w:rsidR="00341F43" w:rsidRPr="00E97036" w:rsidRDefault="00341F43" w:rsidP="002B748F">
      <w:pPr>
        <w:pStyle w:val="BodycopyInsideSpreads"/>
      </w:pPr>
      <w:r w:rsidRPr="00167DF0">
        <w:t xml:space="preserve">Web </w:t>
      </w:r>
      <w:r w:rsidRPr="00167DF0">
        <w:tab/>
      </w:r>
      <w:hyperlink r:id="rId11" w:history="1">
        <w:r w:rsidR="00167DF0" w:rsidRPr="00167DF0">
          <w:rPr>
            <w:rStyle w:val="Hyperlink"/>
          </w:rPr>
          <w:t>agriculture.gov.au/about/</w:t>
        </w:r>
        <w:proofErr w:type="spellStart"/>
        <w:r w:rsidR="00167DF0" w:rsidRPr="00167DF0">
          <w:rPr>
            <w:rStyle w:val="Hyperlink"/>
          </w:rPr>
          <w:t>contactus</w:t>
        </w:r>
        <w:proofErr w:type="spellEnd"/>
      </w:hyperlink>
    </w:p>
    <w:p w:rsidR="00341F43" w:rsidRPr="00E97036" w:rsidRDefault="00341F43" w:rsidP="002B748F">
      <w:pPr>
        <w:pStyle w:val="BodycopyInsideSpreads"/>
      </w:pPr>
      <w:r w:rsidRPr="00E97036">
        <w:t>Inquiries regarding the licence and any use of this document should be sent to copyright@agriculture.gov.au.</w:t>
      </w:r>
    </w:p>
    <w:p w:rsidR="00341F43" w:rsidRPr="00341F43" w:rsidRDefault="00341F43" w:rsidP="002B748F">
      <w:pPr>
        <w:pStyle w:val="BodycopyInsideSpreads"/>
      </w:pPr>
      <w:r w:rsidRPr="00E97036">
        <w:t xml:space="preserve">The Australian Government acting through the Department of Agriculture has exercised due care and skill in preparing and compiling the information and data in this publication. Notwithstanding, the Department of Agriculture, </w:t>
      </w:r>
      <w:bookmarkStart w:id="0" w:name="_GoBack"/>
      <w:bookmarkEnd w:id="0"/>
      <w:r w:rsidRPr="00E97036">
        <w:t>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w:t>
      </w:r>
      <w:r w:rsidR="0031311C">
        <w:t xml:space="preserve"> </w:t>
      </w:r>
      <w:r w:rsidRPr="00E97036">
        <w:t>law.</w:t>
      </w:r>
    </w:p>
    <w:p w:rsidR="00D3754A" w:rsidRDefault="00D3754A">
      <w:r>
        <w:br w:type="page"/>
      </w:r>
    </w:p>
    <w:sdt>
      <w:sdtPr>
        <w:rPr>
          <w:rFonts w:ascii="Cambria" w:eastAsiaTheme="minorEastAsia" w:hAnsi="Cambria" w:cstheme="minorBidi"/>
          <w:b w:val="0"/>
          <w:bCs/>
          <w:spacing w:val="0"/>
          <w:kern w:val="0"/>
          <w:sz w:val="22"/>
          <w:szCs w:val="22"/>
          <w:lang w:val="en-AU"/>
        </w:rPr>
        <w:id w:val="-883564021"/>
        <w:docPartObj>
          <w:docPartGallery w:val="Table of Contents"/>
          <w:docPartUnique/>
        </w:docPartObj>
      </w:sdtPr>
      <w:sdtEndPr>
        <w:rPr>
          <w:rFonts w:cs="Times New Roman"/>
          <w:bCs w:val="0"/>
          <w:noProof/>
        </w:rPr>
      </w:sdtEndPr>
      <w:sdtContent>
        <w:p w:rsidR="00310FF8" w:rsidRDefault="00055F5E" w:rsidP="0031311C">
          <w:pPr>
            <w:pStyle w:val="TOCHeading"/>
          </w:pPr>
          <w:r>
            <w:t>Table of Contents</w:t>
          </w:r>
        </w:p>
        <w:p w:rsidR="00B55578" w:rsidRDefault="00C46866">
          <w:pPr>
            <w:pStyle w:val="TOC2"/>
            <w:rPr>
              <w:rFonts w:asciiTheme="minorHAnsi" w:hAnsiTheme="minorHAnsi" w:cstheme="minorBidi"/>
              <w:noProof/>
            </w:rPr>
          </w:pPr>
          <w:r w:rsidRPr="003F1205">
            <w:rPr>
              <w:rFonts w:ascii="Times New Roman" w:hAnsi="Times New Roman"/>
            </w:rPr>
            <w:fldChar w:fldCharType="begin"/>
          </w:r>
          <w:r w:rsidR="00C123F1" w:rsidRPr="003F1205">
            <w:rPr>
              <w:rFonts w:ascii="Times New Roman" w:hAnsi="Times New Roman"/>
            </w:rPr>
            <w:instrText xml:space="preserve"> TOC \o "2-4" \h \z \u </w:instrText>
          </w:r>
          <w:r w:rsidRPr="003F1205">
            <w:rPr>
              <w:rFonts w:ascii="Times New Roman" w:hAnsi="Times New Roman"/>
            </w:rPr>
            <w:fldChar w:fldCharType="separate"/>
          </w:r>
          <w:hyperlink w:anchor="_Toc419370623" w:history="1">
            <w:r w:rsidR="00B55578" w:rsidRPr="00803DE4">
              <w:rPr>
                <w:rStyle w:val="Hyperlink"/>
                <w:noProof/>
              </w:rPr>
              <w:t>Summary</w:t>
            </w:r>
            <w:r w:rsidR="00B55578">
              <w:rPr>
                <w:noProof/>
                <w:webHidden/>
              </w:rPr>
              <w:tab/>
            </w:r>
            <w:r>
              <w:rPr>
                <w:noProof/>
                <w:webHidden/>
              </w:rPr>
              <w:fldChar w:fldCharType="begin"/>
            </w:r>
            <w:r w:rsidR="00B55578">
              <w:rPr>
                <w:noProof/>
                <w:webHidden/>
              </w:rPr>
              <w:instrText xml:space="preserve"> PAGEREF _Toc419370623 \h </w:instrText>
            </w:r>
            <w:r>
              <w:rPr>
                <w:noProof/>
                <w:webHidden/>
              </w:rPr>
            </w:r>
            <w:r>
              <w:rPr>
                <w:noProof/>
                <w:webHidden/>
              </w:rPr>
              <w:fldChar w:fldCharType="separate"/>
            </w:r>
            <w:r w:rsidR="00B55546">
              <w:rPr>
                <w:noProof/>
                <w:webHidden/>
              </w:rPr>
              <w:t>1</w:t>
            </w:r>
            <w:r>
              <w:rPr>
                <w:noProof/>
                <w:webHidden/>
              </w:rPr>
              <w:fldChar w:fldCharType="end"/>
            </w:r>
          </w:hyperlink>
        </w:p>
        <w:p w:rsidR="00B55578" w:rsidRDefault="00C46866">
          <w:pPr>
            <w:pStyle w:val="TOC2"/>
            <w:rPr>
              <w:rFonts w:asciiTheme="minorHAnsi" w:hAnsiTheme="minorHAnsi" w:cstheme="minorBidi"/>
              <w:noProof/>
            </w:rPr>
          </w:pPr>
          <w:hyperlink w:anchor="_Toc419370624" w:history="1">
            <w:r w:rsidR="00B55578" w:rsidRPr="00803DE4">
              <w:rPr>
                <w:rStyle w:val="Hyperlink"/>
                <w:noProof/>
              </w:rPr>
              <w:t>1.</w:t>
            </w:r>
            <w:r w:rsidR="00B55578">
              <w:rPr>
                <w:rFonts w:asciiTheme="minorHAnsi" w:hAnsiTheme="minorHAnsi" w:cstheme="minorBidi"/>
                <w:noProof/>
              </w:rPr>
              <w:tab/>
            </w:r>
            <w:r w:rsidR="00B55578" w:rsidRPr="00803DE4">
              <w:rPr>
                <w:rStyle w:val="Hyperlink"/>
                <w:noProof/>
              </w:rPr>
              <w:t>Introduction</w:t>
            </w:r>
            <w:r w:rsidR="00B55578">
              <w:rPr>
                <w:noProof/>
                <w:webHidden/>
              </w:rPr>
              <w:tab/>
            </w:r>
            <w:r>
              <w:rPr>
                <w:noProof/>
                <w:webHidden/>
              </w:rPr>
              <w:fldChar w:fldCharType="begin"/>
            </w:r>
            <w:r w:rsidR="00B55578">
              <w:rPr>
                <w:noProof/>
                <w:webHidden/>
              </w:rPr>
              <w:instrText xml:space="preserve"> PAGEREF _Toc419370624 \h </w:instrText>
            </w:r>
            <w:r>
              <w:rPr>
                <w:noProof/>
                <w:webHidden/>
              </w:rPr>
            </w:r>
            <w:r>
              <w:rPr>
                <w:noProof/>
                <w:webHidden/>
              </w:rPr>
              <w:fldChar w:fldCharType="separate"/>
            </w:r>
            <w:r w:rsidR="00B55546">
              <w:rPr>
                <w:noProof/>
                <w:webHidden/>
              </w:rPr>
              <w:t>2</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25" w:history="1">
            <w:r w:rsidR="00B55578" w:rsidRPr="00803DE4">
              <w:rPr>
                <w:rStyle w:val="Hyperlink"/>
                <w:noProof/>
              </w:rPr>
              <w:t>1.1.</w:t>
            </w:r>
            <w:r w:rsidR="00B55578">
              <w:rPr>
                <w:rFonts w:asciiTheme="minorHAnsi" w:hAnsiTheme="minorHAnsi" w:cstheme="minorBidi"/>
                <w:noProof/>
              </w:rPr>
              <w:tab/>
            </w:r>
            <w:r w:rsidR="00B55578" w:rsidRPr="00803DE4">
              <w:rPr>
                <w:rStyle w:val="Hyperlink"/>
                <w:noProof/>
              </w:rPr>
              <w:t>Scope</w:t>
            </w:r>
            <w:r w:rsidR="00B55578">
              <w:rPr>
                <w:noProof/>
                <w:webHidden/>
              </w:rPr>
              <w:tab/>
            </w:r>
            <w:r>
              <w:rPr>
                <w:noProof/>
                <w:webHidden/>
              </w:rPr>
              <w:fldChar w:fldCharType="begin"/>
            </w:r>
            <w:r w:rsidR="00B55578">
              <w:rPr>
                <w:noProof/>
                <w:webHidden/>
              </w:rPr>
              <w:instrText xml:space="preserve"> PAGEREF _Toc419370625 \h </w:instrText>
            </w:r>
            <w:r>
              <w:rPr>
                <w:noProof/>
                <w:webHidden/>
              </w:rPr>
            </w:r>
            <w:r>
              <w:rPr>
                <w:noProof/>
                <w:webHidden/>
              </w:rPr>
              <w:fldChar w:fldCharType="separate"/>
            </w:r>
            <w:r w:rsidR="00B55546">
              <w:rPr>
                <w:noProof/>
                <w:webHidden/>
              </w:rPr>
              <w:t>3</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26" w:history="1">
            <w:r w:rsidR="00B55578" w:rsidRPr="00803DE4">
              <w:rPr>
                <w:rStyle w:val="Hyperlink"/>
                <w:noProof/>
              </w:rPr>
              <w:t>1.2.</w:t>
            </w:r>
            <w:r w:rsidR="00B55578">
              <w:rPr>
                <w:rFonts w:asciiTheme="minorHAnsi" w:hAnsiTheme="minorHAnsi" w:cstheme="minorBidi"/>
                <w:noProof/>
              </w:rPr>
              <w:tab/>
            </w:r>
            <w:r w:rsidR="00B55578" w:rsidRPr="00803DE4">
              <w:rPr>
                <w:rStyle w:val="Hyperlink"/>
                <w:noProof/>
              </w:rPr>
              <w:t>National context</w:t>
            </w:r>
            <w:r w:rsidR="00B55578">
              <w:rPr>
                <w:noProof/>
                <w:webHidden/>
              </w:rPr>
              <w:tab/>
            </w:r>
            <w:r>
              <w:rPr>
                <w:noProof/>
                <w:webHidden/>
              </w:rPr>
              <w:fldChar w:fldCharType="begin"/>
            </w:r>
            <w:r w:rsidR="00B55578">
              <w:rPr>
                <w:noProof/>
                <w:webHidden/>
              </w:rPr>
              <w:instrText xml:space="preserve"> PAGEREF _Toc419370626 \h </w:instrText>
            </w:r>
            <w:r>
              <w:rPr>
                <w:noProof/>
                <w:webHidden/>
              </w:rPr>
            </w:r>
            <w:r>
              <w:rPr>
                <w:noProof/>
                <w:webHidden/>
              </w:rPr>
              <w:fldChar w:fldCharType="separate"/>
            </w:r>
            <w:r w:rsidR="00B55546">
              <w:rPr>
                <w:noProof/>
                <w:webHidden/>
              </w:rPr>
              <w:t>3</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27" w:history="1">
            <w:r w:rsidR="00B55578" w:rsidRPr="00803DE4">
              <w:rPr>
                <w:rStyle w:val="Hyperlink"/>
                <w:noProof/>
              </w:rPr>
              <w:t>1.3.</w:t>
            </w:r>
            <w:r w:rsidR="00B55578">
              <w:rPr>
                <w:rFonts w:asciiTheme="minorHAnsi" w:hAnsiTheme="minorHAnsi" w:cstheme="minorBidi"/>
                <w:noProof/>
              </w:rPr>
              <w:tab/>
            </w:r>
            <w:r w:rsidR="00B55578" w:rsidRPr="00803DE4">
              <w:rPr>
                <w:rStyle w:val="Hyperlink"/>
                <w:noProof/>
              </w:rPr>
              <w:t>International context</w:t>
            </w:r>
            <w:r w:rsidR="00B55578">
              <w:rPr>
                <w:noProof/>
                <w:webHidden/>
              </w:rPr>
              <w:tab/>
            </w:r>
            <w:r>
              <w:rPr>
                <w:noProof/>
                <w:webHidden/>
              </w:rPr>
              <w:fldChar w:fldCharType="begin"/>
            </w:r>
            <w:r w:rsidR="00B55578">
              <w:rPr>
                <w:noProof/>
                <w:webHidden/>
              </w:rPr>
              <w:instrText xml:space="preserve"> PAGEREF _Toc419370627 \h </w:instrText>
            </w:r>
            <w:r>
              <w:rPr>
                <w:noProof/>
                <w:webHidden/>
              </w:rPr>
            </w:r>
            <w:r>
              <w:rPr>
                <w:noProof/>
                <w:webHidden/>
              </w:rPr>
              <w:fldChar w:fldCharType="separate"/>
            </w:r>
            <w:r w:rsidR="00B55546">
              <w:rPr>
                <w:noProof/>
                <w:webHidden/>
              </w:rPr>
              <w:t>4</w:t>
            </w:r>
            <w:r>
              <w:rPr>
                <w:noProof/>
                <w:webHidden/>
              </w:rPr>
              <w:fldChar w:fldCharType="end"/>
            </w:r>
          </w:hyperlink>
        </w:p>
        <w:p w:rsidR="00B55578" w:rsidRDefault="00C46866">
          <w:pPr>
            <w:pStyle w:val="TOC2"/>
            <w:rPr>
              <w:rFonts w:asciiTheme="minorHAnsi" w:hAnsiTheme="minorHAnsi" w:cstheme="minorBidi"/>
              <w:noProof/>
            </w:rPr>
          </w:pPr>
          <w:hyperlink w:anchor="_Toc419370628" w:history="1">
            <w:r w:rsidR="00B55578" w:rsidRPr="00803DE4">
              <w:rPr>
                <w:rStyle w:val="Hyperlink"/>
                <w:noProof/>
              </w:rPr>
              <w:t>2.</w:t>
            </w:r>
            <w:r w:rsidR="00B55578">
              <w:rPr>
                <w:rFonts w:asciiTheme="minorHAnsi" w:hAnsiTheme="minorHAnsi" w:cstheme="minorBidi"/>
                <w:noProof/>
              </w:rPr>
              <w:tab/>
            </w:r>
            <w:r w:rsidR="00B55578" w:rsidRPr="00803DE4">
              <w:rPr>
                <w:rStyle w:val="Hyperlink"/>
                <w:noProof/>
              </w:rPr>
              <w:t>Bait and Berley Products</w:t>
            </w:r>
            <w:r w:rsidR="00B55578">
              <w:rPr>
                <w:noProof/>
                <w:webHidden/>
              </w:rPr>
              <w:tab/>
            </w:r>
            <w:r>
              <w:rPr>
                <w:noProof/>
                <w:webHidden/>
              </w:rPr>
              <w:fldChar w:fldCharType="begin"/>
            </w:r>
            <w:r w:rsidR="00B55578">
              <w:rPr>
                <w:noProof/>
                <w:webHidden/>
              </w:rPr>
              <w:instrText xml:space="preserve"> PAGEREF _Toc419370628 \h </w:instrText>
            </w:r>
            <w:r>
              <w:rPr>
                <w:noProof/>
                <w:webHidden/>
              </w:rPr>
            </w:r>
            <w:r>
              <w:rPr>
                <w:noProof/>
                <w:webHidden/>
              </w:rPr>
              <w:fldChar w:fldCharType="separate"/>
            </w:r>
            <w:r w:rsidR="00B55546">
              <w:rPr>
                <w:noProof/>
                <w:webHidden/>
              </w:rPr>
              <w:t>6</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29" w:history="1">
            <w:r w:rsidR="00B55578" w:rsidRPr="00803DE4">
              <w:rPr>
                <w:rStyle w:val="Hyperlink"/>
                <w:noProof/>
              </w:rPr>
              <w:t>2.1.</w:t>
            </w:r>
            <w:r w:rsidR="00B55578">
              <w:rPr>
                <w:rFonts w:asciiTheme="minorHAnsi" w:hAnsiTheme="minorHAnsi" w:cstheme="minorBidi"/>
                <w:noProof/>
              </w:rPr>
              <w:tab/>
            </w:r>
            <w:r w:rsidR="00B55578" w:rsidRPr="00803DE4">
              <w:rPr>
                <w:rStyle w:val="Hyperlink"/>
                <w:noProof/>
              </w:rPr>
              <w:t>Live bait</w:t>
            </w:r>
            <w:r w:rsidR="00B55578">
              <w:rPr>
                <w:noProof/>
                <w:webHidden/>
              </w:rPr>
              <w:tab/>
            </w:r>
            <w:r>
              <w:rPr>
                <w:noProof/>
                <w:webHidden/>
              </w:rPr>
              <w:fldChar w:fldCharType="begin"/>
            </w:r>
            <w:r w:rsidR="00B55578">
              <w:rPr>
                <w:noProof/>
                <w:webHidden/>
              </w:rPr>
              <w:instrText xml:space="preserve"> PAGEREF _Toc419370629 \h </w:instrText>
            </w:r>
            <w:r>
              <w:rPr>
                <w:noProof/>
                <w:webHidden/>
              </w:rPr>
            </w:r>
            <w:r>
              <w:rPr>
                <w:noProof/>
                <w:webHidden/>
              </w:rPr>
              <w:fldChar w:fldCharType="separate"/>
            </w:r>
            <w:r w:rsidR="00B55546">
              <w:rPr>
                <w:noProof/>
                <w:webHidden/>
              </w:rPr>
              <w:t>7</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30" w:history="1">
            <w:r w:rsidR="00B55578" w:rsidRPr="00803DE4">
              <w:rPr>
                <w:rStyle w:val="Hyperlink"/>
                <w:noProof/>
              </w:rPr>
              <w:t>2.2.</w:t>
            </w:r>
            <w:r w:rsidR="00B55578">
              <w:rPr>
                <w:rFonts w:asciiTheme="minorHAnsi" w:hAnsiTheme="minorHAnsi" w:cstheme="minorBidi"/>
                <w:noProof/>
              </w:rPr>
              <w:tab/>
            </w:r>
            <w:r w:rsidR="00B55578" w:rsidRPr="00803DE4">
              <w:rPr>
                <w:rStyle w:val="Hyperlink"/>
                <w:noProof/>
              </w:rPr>
              <w:t>Fresh dead bait</w:t>
            </w:r>
            <w:r w:rsidR="00B55578">
              <w:rPr>
                <w:noProof/>
                <w:webHidden/>
              </w:rPr>
              <w:tab/>
            </w:r>
            <w:r>
              <w:rPr>
                <w:noProof/>
                <w:webHidden/>
              </w:rPr>
              <w:fldChar w:fldCharType="begin"/>
            </w:r>
            <w:r w:rsidR="00B55578">
              <w:rPr>
                <w:noProof/>
                <w:webHidden/>
              </w:rPr>
              <w:instrText xml:space="preserve"> PAGEREF _Toc419370630 \h </w:instrText>
            </w:r>
            <w:r>
              <w:rPr>
                <w:noProof/>
                <w:webHidden/>
              </w:rPr>
            </w:r>
            <w:r>
              <w:rPr>
                <w:noProof/>
                <w:webHidden/>
              </w:rPr>
              <w:fldChar w:fldCharType="separate"/>
            </w:r>
            <w:r w:rsidR="00B55546">
              <w:rPr>
                <w:noProof/>
                <w:webHidden/>
              </w:rPr>
              <w:t>8</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31" w:history="1">
            <w:r w:rsidR="00B55578" w:rsidRPr="00803DE4">
              <w:rPr>
                <w:rStyle w:val="Hyperlink"/>
                <w:noProof/>
              </w:rPr>
              <w:t>2.3.</w:t>
            </w:r>
            <w:r w:rsidR="00B55578">
              <w:rPr>
                <w:rFonts w:asciiTheme="minorHAnsi" w:hAnsiTheme="minorHAnsi" w:cstheme="minorBidi"/>
                <w:noProof/>
              </w:rPr>
              <w:tab/>
            </w:r>
            <w:r w:rsidR="00B55578" w:rsidRPr="00803DE4">
              <w:rPr>
                <w:rStyle w:val="Hyperlink"/>
                <w:noProof/>
              </w:rPr>
              <w:t>Frozen bait</w:t>
            </w:r>
            <w:r w:rsidR="00B55578">
              <w:rPr>
                <w:noProof/>
                <w:webHidden/>
              </w:rPr>
              <w:tab/>
            </w:r>
            <w:r>
              <w:rPr>
                <w:noProof/>
                <w:webHidden/>
              </w:rPr>
              <w:fldChar w:fldCharType="begin"/>
            </w:r>
            <w:r w:rsidR="00B55578">
              <w:rPr>
                <w:noProof/>
                <w:webHidden/>
              </w:rPr>
              <w:instrText xml:space="preserve"> PAGEREF _Toc419370631 \h </w:instrText>
            </w:r>
            <w:r>
              <w:rPr>
                <w:noProof/>
                <w:webHidden/>
              </w:rPr>
            </w:r>
            <w:r>
              <w:rPr>
                <w:noProof/>
                <w:webHidden/>
              </w:rPr>
              <w:fldChar w:fldCharType="separate"/>
            </w:r>
            <w:r w:rsidR="00B55546">
              <w:rPr>
                <w:noProof/>
                <w:webHidden/>
              </w:rPr>
              <w:t>9</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32" w:history="1">
            <w:r w:rsidR="00B55578" w:rsidRPr="00803DE4">
              <w:rPr>
                <w:rStyle w:val="Hyperlink"/>
                <w:noProof/>
              </w:rPr>
              <w:t>2.4.</w:t>
            </w:r>
            <w:r w:rsidR="00B55578">
              <w:rPr>
                <w:rFonts w:asciiTheme="minorHAnsi" w:hAnsiTheme="minorHAnsi" w:cstheme="minorBidi"/>
                <w:noProof/>
              </w:rPr>
              <w:tab/>
            </w:r>
            <w:r w:rsidR="00B55578" w:rsidRPr="00803DE4">
              <w:rPr>
                <w:rStyle w:val="Hyperlink"/>
                <w:noProof/>
              </w:rPr>
              <w:t>Processed bait</w:t>
            </w:r>
            <w:r w:rsidR="00B55578">
              <w:rPr>
                <w:noProof/>
                <w:webHidden/>
              </w:rPr>
              <w:tab/>
            </w:r>
            <w:r>
              <w:rPr>
                <w:noProof/>
                <w:webHidden/>
              </w:rPr>
              <w:fldChar w:fldCharType="begin"/>
            </w:r>
            <w:r w:rsidR="00B55578">
              <w:rPr>
                <w:noProof/>
                <w:webHidden/>
              </w:rPr>
              <w:instrText xml:space="preserve"> PAGEREF _Toc419370632 \h </w:instrText>
            </w:r>
            <w:r>
              <w:rPr>
                <w:noProof/>
                <w:webHidden/>
              </w:rPr>
            </w:r>
            <w:r>
              <w:rPr>
                <w:noProof/>
                <w:webHidden/>
              </w:rPr>
              <w:fldChar w:fldCharType="separate"/>
            </w:r>
            <w:r w:rsidR="00B55546">
              <w:rPr>
                <w:noProof/>
                <w:webHidden/>
              </w:rPr>
              <w:t>9</w:t>
            </w:r>
            <w:r>
              <w:rPr>
                <w:noProof/>
                <w:webHidden/>
              </w:rPr>
              <w:fldChar w:fldCharType="end"/>
            </w:r>
          </w:hyperlink>
        </w:p>
        <w:p w:rsidR="00B55578" w:rsidRDefault="00C46866">
          <w:pPr>
            <w:pStyle w:val="TOC2"/>
            <w:rPr>
              <w:rFonts w:asciiTheme="minorHAnsi" w:hAnsiTheme="minorHAnsi" w:cstheme="minorBidi"/>
              <w:noProof/>
            </w:rPr>
          </w:pPr>
          <w:hyperlink w:anchor="_Toc419370633" w:history="1">
            <w:r w:rsidR="00B55578" w:rsidRPr="00803DE4">
              <w:rPr>
                <w:rStyle w:val="Hyperlink"/>
                <w:noProof/>
              </w:rPr>
              <w:t>3.</w:t>
            </w:r>
            <w:r w:rsidR="00B55578">
              <w:rPr>
                <w:rFonts w:asciiTheme="minorHAnsi" w:hAnsiTheme="minorHAnsi" w:cstheme="minorBidi"/>
                <w:noProof/>
              </w:rPr>
              <w:tab/>
            </w:r>
            <w:r w:rsidR="00B55578" w:rsidRPr="00803DE4">
              <w:rPr>
                <w:rStyle w:val="Hyperlink"/>
                <w:noProof/>
              </w:rPr>
              <w:t>Disease Risks</w:t>
            </w:r>
            <w:r w:rsidR="00B55578">
              <w:rPr>
                <w:noProof/>
                <w:webHidden/>
              </w:rPr>
              <w:tab/>
            </w:r>
            <w:r>
              <w:rPr>
                <w:noProof/>
                <w:webHidden/>
              </w:rPr>
              <w:fldChar w:fldCharType="begin"/>
            </w:r>
            <w:r w:rsidR="00B55578">
              <w:rPr>
                <w:noProof/>
                <w:webHidden/>
              </w:rPr>
              <w:instrText xml:space="preserve"> PAGEREF _Toc419370633 \h </w:instrText>
            </w:r>
            <w:r>
              <w:rPr>
                <w:noProof/>
                <w:webHidden/>
              </w:rPr>
            </w:r>
            <w:r>
              <w:rPr>
                <w:noProof/>
                <w:webHidden/>
              </w:rPr>
              <w:fldChar w:fldCharType="separate"/>
            </w:r>
            <w:r w:rsidR="00B55546">
              <w:rPr>
                <w:noProof/>
                <w:webHidden/>
              </w:rPr>
              <w:t>10</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34" w:history="1">
            <w:r w:rsidR="00B55578" w:rsidRPr="00803DE4">
              <w:rPr>
                <w:rStyle w:val="Hyperlink"/>
                <w:noProof/>
              </w:rPr>
              <w:t>3.1.</w:t>
            </w:r>
            <w:r w:rsidR="00B55578">
              <w:rPr>
                <w:rFonts w:asciiTheme="minorHAnsi" w:hAnsiTheme="minorHAnsi" w:cstheme="minorBidi"/>
                <w:noProof/>
              </w:rPr>
              <w:tab/>
            </w:r>
            <w:r w:rsidR="00B55578" w:rsidRPr="00803DE4">
              <w:rPr>
                <w:rStyle w:val="Hyperlink"/>
                <w:noProof/>
              </w:rPr>
              <w:t>Hazard identification</w:t>
            </w:r>
            <w:r w:rsidR="00B55578">
              <w:rPr>
                <w:noProof/>
                <w:webHidden/>
              </w:rPr>
              <w:tab/>
            </w:r>
            <w:r>
              <w:rPr>
                <w:noProof/>
                <w:webHidden/>
              </w:rPr>
              <w:fldChar w:fldCharType="begin"/>
            </w:r>
            <w:r w:rsidR="00B55578">
              <w:rPr>
                <w:noProof/>
                <w:webHidden/>
              </w:rPr>
              <w:instrText xml:space="preserve"> PAGEREF _Toc419370634 \h </w:instrText>
            </w:r>
            <w:r>
              <w:rPr>
                <w:noProof/>
                <w:webHidden/>
              </w:rPr>
            </w:r>
            <w:r>
              <w:rPr>
                <w:noProof/>
                <w:webHidden/>
              </w:rPr>
              <w:fldChar w:fldCharType="separate"/>
            </w:r>
            <w:r w:rsidR="00B55546">
              <w:rPr>
                <w:noProof/>
                <w:webHidden/>
              </w:rPr>
              <w:t>10</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35" w:history="1">
            <w:r w:rsidR="00B55578" w:rsidRPr="00803DE4">
              <w:rPr>
                <w:rStyle w:val="Hyperlink"/>
                <w:noProof/>
              </w:rPr>
              <w:t>3.2.</w:t>
            </w:r>
            <w:r w:rsidR="00B55578">
              <w:rPr>
                <w:rFonts w:asciiTheme="minorHAnsi" w:hAnsiTheme="minorHAnsi" w:cstheme="minorBidi"/>
                <w:noProof/>
              </w:rPr>
              <w:tab/>
            </w:r>
            <w:r w:rsidR="00B55578" w:rsidRPr="00803DE4">
              <w:rPr>
                <w:rStyle w:val="Hyperlink"/>
                <w:noProof/>
              </w:rPr>
              <w:t>Risk assessment</w:t>
            </w:r>
            <w:r w:rsidR="00B55578">
              <w:rPr>
                <w:noProof/>
                <w:webHidden/>
              </w:rPr>
              <w:tab/>
            </w:r>
            <w:r>
              <w:rPr>
                <w:noProof/>
                <w:webHidden/>
              </w:rPr>
              <w:fldChar w:fldCharType="begin"/>
            </w:r>
            <w:r w:rsidR="00B55578">
              <w:rPr>
                <w:noProof/>
                <w:webHidden/>
              </w:rPr>
              <w:instrText xml:space="preserve"> PAGEREF _Toc419370635 \h </w:instrText>
            </w:r>
            <w:r>
              <w:rPr>
                <w:noProof/>
                <w:webHidden/>
              </w:rPr>
            </w:r>
            <w:r>
              <w:rPr>
                <w:noProof/>
                <w:webHidden/>
              </w:rPr>
              <w:fldChar w:fldCharType="separate"/>
            </w:r>
            <w:r w:rsidR="00B55546">
              <w:rPr>
                <w:noProof/>
                <w:webHidden/>
              </w:rPr>
              <w:t>11</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36" w:history="1">
            <w:r w:rsidR="00B55578" w:rsidRPr="00803DE4">
              <w:rPr>
                <w:rStyle w:val="Hyperlink"/>
                <w:noProof/>
              </w:rPr>
              <w:t>3.2.1.</w:t>
            </w:r>
            <w:r w:rsidR="00B55578">
              <w:rPr>
                <w:rFonts w:asciiTheme="minorHAnsi" w:hAnsiTheme="minorHAnsi" w:cstheme="minorBidi"/>
                <w:i w:val="0"/>
                <w:noProof/>
              </w:rPr>
              <w:tab/>
            </w:r>
            <w:r w:rsidR="00B55578" w:rsidRPr="00803DE4">
              <w:rPr>
                <w:rStyle w:val="Hyperlink"/>
                <w:noProof/>
              </w:rPr>
              <w:t>Release assessment</w:t>
            </w:r>
            <w:r w:rsidR="00B55578">
              <w:rPr>
                <w:noProof/>
                <w:webHidden/>
              </w:rPr>
              <w:tab/>
            </w:r>
            <w:r>
              <w:rPr>
                <w:noProof/>
                <w:webHidden/>
              </w:rPr>
              <w:fldChar w:fldCharType="begin"/>
            </w:r>
            <w:r w:rsidR="00B55578">
              <w:rPr>
                <w:noProof/>
                <w:webHidden/>
              </w:rPr>
              <w:instrText xml:space="preserve"> PAGEREF _Toc419370636 \h </w:instrText>
            </w:r>
            <w:r>
              <w:rPr>
                <w:noProof/>
                <w:webHidden/>
              </w:rPr>
            </w:r>
            <w:r>
              <w:rPr>
                <w:noProof/>
                <w:webHidden/>
              </w:rPr>
              <w:fldChar w:fldCharType="separate"/>
            </w:r>
            <w:r w:rsidR="00B55546">
              <w:rPr>
                <w:noProof/>
                <w:webHidden/>
              </w:rPr>
              <w:t>11</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37" w:history="1">
            <w:r w:rsidR="00B55578" w:rsidRPr="00803DE4">
              <w:rPr>
                <w:rStyle w:val="Hyperlink"/>
                <w:noProof/>
              </w:rPr>
              <w:t>3.2.2.</w:t>
            </w:r>
            <w:r w:rsidR="00B55578">
              <w:rPr>
                <w:rFonts w:asciiTheme="minorHAnsi" w:hAnsiTheme="minorHAnsi" w:cstheme="minorBidi"/>
                <w:i w:val="0"/>
                <w:noProof/>
              </w:rPr>
              <w:tab/>
            </w:r>
            <w:r w:rsidR="00B55578" w:rsidRPr="00803DE4">
              <w:rPr>
                <w:rStyle w:val="Hyperlink"/>
                <w:noProof/>
              </w:rPr>
              <w:t>Exposure assessment</w:t>
            </w:r>
            <w:r w:rsidR="00B55578">
              <w:rPr>
                <w:noProof/>
                <w:webHidden/>
              </w:rPr>
              <w:tab/>
            </w:r>
            <w:r>
              <w:rPr>
                <w:noProof/>
                <w:webHidden/>
              </w:rPr>
              <w:fldChar w:fldCharType="begin"/>
            </w:r>
            <w:r w:rsidR="00B55578">
              <w:rPr>
                <w:noProof/>
                <w:webHidden/>
              </w:rPr>
              <w:instrText xml:space="preserve"> PAGEREF _Toc419370637 \h </w:instrText>
            </w:r>
            <w:r>
              <w:rPr>
                <w:noProof/>
                <w:webHidden/>
              </w:rPr>
            </w:r>
            <w:r>
              <w:rPr>
                <w:noProof/>
                <w:webHidden/>
              </w:rPr>
              <w:fldChar w:fldCharType="separate"/>
            </w:r>
            <w:r w:rsidR="00B55546">
              <w:rPr>
                <w:noProof/>
                <w:webHidden/>
              </w:rPr>
              <w:t>11</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38" w:history="1">
            <w:r w:rsidR="00B55578" w:rsidRPr="00803DE4">
              <w:rPr>
                <w:rStyle w:val="Hyperlink"/>
                <w:noProof/>
              </w:rPr>
              <w:t>3.2.3.</w:t>
            </w:r>
            <w:r w:rsidR="00B55578">
              <w:rPr>
                <w:rFonts w:asciiTheme="minorHAnsi" w:hAnsiTheme="minorHAnsi" w:cstheme="minorBidi"/>
                <w:i w:val="0"/>
                <w:noProof/>
              </w:rPr>
              <w:tab/>
            </w:r>
            <w:r w:rsidR="00B55578" w:rsidRPr="00803DE4">
              <w:rPr>
                <w:rStyle w:val="Hyperlink"/>
                <w:noProof/>
              </w:rPr>
              <w:t>Consequence assessment</w:t>
            </w:r>
            <w:r w:rsidR="00B55578">
              <w:rPr>
                <w:noProof/>
                <w:webHidden/>
              </w:rPr>
              <w:tab/>
            </w:r>
            <w:r>
              <w:rPr>
                <w:noProof/>
                <w:webHidden/>
              </w:rPr>
              <w:fldChar w:fldCharType="begin"/>
            </w:r>
            <w:r w:rsidR="00B55578">
              <w:rPr>
                <w:noProof/>
                <w:webHidden/>
              </w:rPr>
              <w:instrText xml:space="preserve"> PAGEREF _Toc419370638 \h </w:instrText>
            </w:r>
            <w:r>
              <w:rPr>
                <w:noProof/>
                <w:webHidden/>
              </w:rPr>
            </w:r>
            <w:r>
              <w:rPr>
                <w:noProof/>
                <w:webHidden/>
              </w:rPr>
              <w:fldChar w:fldCharType="separate"/>
            </w:r>
            <w:r w:rsidR="00B55546">
              <w:rPr>
                <w:noProof/>
                <w:webHidden/>
              </w:rPr>
              <w:t>12</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39" w:history="1">
            <w:r w:rsidR="00B55578" w:rsidRPr="00803DE4">
              <w:rPr>
                <w:rStyle w:val="Hyperlink"/>
                <w:noProof/>
              </w:rPr>
              <w:t>3.2.4.</w:t>
            </w:r>
            <w:r w:rsidR="00B55578">
              <w:rPr>
                <w:rFonts w:asciiTheme="minorHAnsi" w:hAnsiTheme="minorHAnsi" w:cstheme="minorBidi"/>
                <w:i w:val="0"/>
                <w:noProof/>
              </w:rPr>
              <w:tab/>
            </w:r>
            <w:r w:rsidR="00B55578" w:rsidRPr="00803DE4">
              <w:rPr>
                <w:rStyle w:val="Hyperlink"/>
                <w:noProof/>
              </w:rPr>
              <w:t>Risk estimation</w:t>
            </w:r>
            <w:r w:rsidR="00B55578">
              <w:rPr>
                <w:noProof/>
                <w:webHidden/>
              </w:rPr>
              <w:tab/>
            </w:r>
            <w:r>
              <w:rPr>
                <w:noProof/>
                <w:webHidden/>
              </w:rPr>
              <w:fldChar w:fldCharType="begin"/>
            </w:r>
            <w:r w:rsidR="00B55578">
              <w:rPr>
                <w:noProof/>
                <w:webHidden/>
              </w:rPr>
              <w:instrText xml:space="preserve"> PAGEREF _Toc419370639 \h </w:instrText>
            </w:r>
            <w:r>
              <w:rPr>
                <w:noProof/>
                <w:webHidden/>
              </w:rPr>
            </w:r>
            <w:r>
              <w:rPr>
                <w:noProof/>
                <w:webHidden/>
              </w:rPr>
              <w:fldChar w:fldCharType="separate"/>
            </w:r>
            <w:r w:rsidR="00B55546">
              <w:rPr>
                <w:noProof/>
                <w:webHidden/>
              </w:rPr>
              <w:t>12</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40" w:history="1">
            <w:r w:rsidR="00B55578" w:rsidRPr="00803DE4">
              <w:rPr>
                <w:rStyle w:val="Hyperlink"/>
                <w:noProof/>
              </w:rPr>
              <w:t>3.2.5.</w:t>
            </w:r>
            <w:r w:rsidR="00B55578">
              <w:rPr>
                <w:rFonts w:asciiTheme="minorHAnsi" w:hAnsiTheme="minorHAnsi" w:cstheme="minorBidi"/>
                <w:i w:val="0"/>
                <w:noProof/>
              </w:rPr>
              <w:tab/>
            </w:r>
            <w:r w:rsidR="00B55578" w:rsidRPr="00803DE4">
              <w:rPr>
                <w:rStyle w:val="Hyperlink"/>
                <w:noProof/>
              </w:rPr>
              <w:t>Outcomes of combined risk assessments</w:t>
            </w:r>
            <w:r w:rsidR="00B55578">
              <w:rPr>
                <w:noProof/>
                <w:webHidden/>
              </w:rPr>
              <w:tab/>
            </w:r>
            <w:r>
              <w:rPr>
                <w:noProof/>
                <w:webHidden/>
              </w:rPr>
              <w:fldChar w:fldCharType="begin"/>
            </w:r>
            <w:r w:rsidR="00B55578">
              <w:rPr>
                <w:noProof/>
                <w:webHidden/>
              </w:rPr>
              <w:instrText xml:space="preserve"> PAGEREF _Toc419370640 \h </w:instrText>
            </w:r>
            <w:r>
              <w:rPr>
                <w:noProof/>
                <w:webHidden/>
              </w:rPr>
            </w:r>
            <w:r>
              <w:rPr>
                <w:noProof/>
                <w:webHidden/>
              </w:rPr>
              <w:fldChar w:fldCharType="separate"/>
            </w:r>
            <w:r w:rsidR="00B55546">
              <w:rPr>
                <w:noProof/>
                <w:webHidden/>
              </w:rPr>
              <w:t>12</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41" w:history="1">
            <w:r w:rsidR="00B55578" w:rsidRPr="00803DE4">
              <w:rPr>
                <w:rStyle w:val="Hyperlink"/>
                <w:noProof/>
              </w:rPr>
              <w:t>3.3.</w:t>
            </w:r>
            <w:r w:rsidR="00B55578">
              <w:rPr>
                <w:rFonts w:asciiTheme="minorHAnsi" w:hAnsiTheme="minorHAnsi" w:cstheme="minorBidi"/>
                <w:noProof/>
              </w:rPr>
              <w:tab/>
            </w:r>
            <w:r w:rsidR="00B55578" w:rsidRPr="00803DE4">
              <w:rPr>
                <w:rStyle w:val="Hyperlink"/>
                <w:noProof/>
              </w:rPr>
              <w:t>Environmental and ecological issues</w:t>
            </w:r>
            <w:r w:rsidR="00B55578">
              <w:rPr>
                <w:noProof/>
                <w:webHidden/>
              </w:rPr>
              <w:tab/>
            </w:r>
            <w:r>
              <w:rPr>
                <w:noProof/>
                <w:webHidden/>
              </w:rPr>
              <w:fldChar w:fldCharType="begin"/>
            </w:r>
            <w:r w:rsidR="00B55578">
              <w:rPr>
                <w:noProof/>
                <w:webHidden/>
              </w:rPr>
              <w:instrText xml:space="preserve"> PAGEREF _Toc419370641 \h </w:instrText>
            </w:r>
            <w:r>
              <w:rPr>
                <w:noProof/>
                <w:webHidden/>
              </w:rPr>
            </w:r>
            <w:r>
              <w:rPr>
                <w:noProof/>
                <w:webHidden/>
              </w:rPr>
              <w:fldChar w:fldCharType="separate"/>
            </w:r>
            <w:r w:rsidR="00B55546">
              <w:rPr>
                <w:noProof/>
                <w:webHidden/>
              </w:rPr>
              <w:t>13</w:t>
            </w:r>
            <w:r>
              <w:rPr>
                <w:noProof/>
                <w:webHidden/>
              </w:rPr>
              <w:fldChar w:fldCharType="end"/>
            </w:r>
          </w:hyperlink>
        </w:p>
        <w:p w:rsidR="00B55578" w:rsidRDefault="00C46866">
          <w:pPr>
            <w:pStyle w:val="TOC2"/>
            <w:rPr>
              <w:rFonts w:asciiTheme="minorHAnsi" w:hAnsiTheme="minorHAnsi" w:cstheme="minorBidi"/>
              <w:noProof/>
            </w:rPr>
          </w:pPr>
          <w:hyperlink w:anchor="_Toc419370642" w:history="1">
            <w:r w:rsidR="00B55578" w:rsidRPr="00803DE4">
              <w:rPr>
                <w:rStyle w:val="Hyperlink"/>
                <w:noProof/>
              </w:rPr>
              <w:t>4.</w:t>
            </w:r>
            <w:r w:rsidR="00B55578">
              <w:rPr>
                <w:rFonts w:asciiTheme="minorHAnsi" w:hAnsiTheme="minorHAnsi" w:cstheme="minorBidi"/>
                <w:noProof/>
              </w:rPr>
              <w:tab/>
            </w:r>
            <w:r w:rsidR="00B55578" w:rsidRPr="00803DE4">
              <w:rPr>
                <w:rStyle w:val="Hyperlink"/>
                <w:noProof/>
              </w:rPr>
              <w:t>Policy Framework</w:t>
            </w:r>
            <w:r w:rsidR="00B55578">
              <w:rPr>
                <w:noProof/>
                <w:webHidden/>
              </w:rPr>
              <w:tab/>
            </w:r>
            <w:r>
              <w:rPr>
                <w:noProof/>
                <w:webHidden/>
              </w:rPr>
              <w:fldChar w:fldCharType="begin"/>
            </w:r>
            <w:r w:rsidR="00B55578">
              <w:rPr>
                <w:noProof/>
                <w:webHidden/>
              </w:rPr>
              <w:instrText xml:space="preserve"> PAGEREF _Toc419370642 \h </w:instrText>
            </w:r>
            <w:r>
              <w:rPr>
                <w:noProof/>
                <w:webHidden/>
              </w:rPr>
            </w:r>
            <w:r>
              <w:rPr>
                <w:noProof/>
                <w:webHidden/>
              </w:rPr>
              <w:fldChar w:fldCharType="separate"/>
            </w:r>
            <w:r w:rsidR="00B55546">
              <w:rPr>
                <w:noProof/>
                <w:webHidden/>
              </w:rPr>
              <w:t>14</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43" w:history="1">
            <w:r w:rsidR="00B55578" w:rsidRPr="00803DE4">
              <w:rPr>
                <w:rStyle w:val="Hyperlink"/>
                <w:noProof/>
              </w:rPr>
              <w:t>4.1.</w:t>
            </w:r>
            <w:r w:rsidR="00B55578">
              <w:rPr>
                <w:rFonts w:asciiTheme="minorHAnsi" w:hAnsiTheme="minorHAnsi" w:cstheme="minorBidi"/>
                <w:noProof/>
              </w:rPr>
              <w:tab/>
            </w:r>
            <w:r w:rsidR="00B55578" w:rsidRPr="00803DE4">
              <w:rPr>
                <w:rStyle w:val="Hyperlink"/>
                <w:noProof/>
              </w:rPr>
              <w:t>Policy principles</w:t>
            </w:r>
            <w:r w:rsidR="00B55578">
              <w:rPr>
                <w:noProof/>
                <w:webHidden/>
              </w:rPr>
              <w:tab/>
            </w:r>
            <w:r>
              <w:rPr>
                <w:noProof/>
                <w:webHidden/>
              </w:rPr>
              <w:fldChar w:fldCharType="begin"/>
            </w:r>
            <w:r w:rsidR="00B55578">
              <w:rPr>
                <w:noProof/>
                <w:webHidden/>
              </w:rPr>
              <w:instrText xml:space="preserve"> PAGEREF _Toc419370643 \h </w:instrText>
            </w:r>
            <w:r>
              <w:rPr>
                <w:noProof/>
                <w:webHidden/>
              </w:rPr>
            </w:r>
            <w:r>
              <w:rPr>
                <w:noProof/>
                <w:webHidden/>
              </w:rPr>
              <w:fldChar w:fldCharType="separate"/>
            </w:r>
            <w:r w:rsidR="00B55546">
              <w:rPr>
                <w:noProof/>
                <w:webHidden/>
              </w:rPr>
              <w:t>14</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44" w:history="1">
            <w:r w:rsidR="00B55578" w:rsidRPr="00803DE4">
              <w:rPr>
                <w:rStyle w:val="Hyperlink"/>
                <w:noProof/>
              </w:rPr>
              <w:t>4.2.</w:t>
            </w:r>
            <w:r w:rsidR="00B55578">
              <w:rPr>
                <w:rFonts w:asciiTheme="minorHAnsi" w:hAnsiTheme="minorHAnsi" w:cstheme="minorBidi"/>
                <w:noProof/>
              </w:rPr>
              <w:tab/>
            </w:r>
            <w:r w:rsidR="00B55578" w:rsidRPr="00803DE4">
              <w:rPr>
                <w:rStyle w:val="Hyperlink"/>
                <w:noProof/>
              </w:rPr>
              <w:t>Recommendations from the National Risk Analysis</w:t>
            </w:r>
            <w:r w:rsidR="00B55578">
              <w:rPr>
                <w:noProof/>
                <w:webHidden/>
              </w:rPr>
              <w:tab/>
            </w:r>
            <w:r>
              <w:rPr>
                <w:noProof/>
                <w:webHidden/>
              </w:rPr>
              <w:fldChar w:fldCharType="begin"/>
            </w:r>
            <w:r w:rsidR="00B55578">
              <w:rPr>
                <w:noProof/>
                <w:webHidden/>
              </w:rPr>
              <w:instrText xml:space="preserve"> PAGEREF _Toc419370644 \h </w:instrText>
            </w:r>
            <w:r>
              <w:rPr>
                <w:noProof/>
                <w:webHidden/>
              </w:rPr>
            </w:r>
            <w:r>
              <w:rPr>
                <w:noProof/>
                <w:webHidden/>
              </w:rPr>
              <w:fldChar w:fldCharType="separate"/>
            </w:r>
            <w:r w:rsidR="00B55546">
              <w:rPr>
                <w:noProof/>
                <w:webHidden/>
              </w:rPr>
              <w:t>15</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45" w:history="1">
            <w:r w:rsidR="00B55578" w:rsidRPr="00803DE4">
              <w:rPr>
                <w:rStyle w:val="Hyperlink"/>
                <w:noProof/>
              </w:rPr>
              <w:t>4.2.1.</w:t>
            </w:r>
            <w:r w:rsidR="00B55578">
              <w:rPr>
                <w:rFonts w:asciiTheme="minorHAnsi" w:hAnsiTheme="minorHAnsi" w:cstheme="minorBidi"/>
                <w:i w:val="0"/>
                <w:noProof/>
              </w:rPr>
              <w:tab/>
            </w:r>
            <w:r w:rsidR="00B55578" w:rsidRPr="00803DE4">
              <w:rPr>
                <w:rStyle w:val="Hyperlink"/>
                <w:noProof/>
              </w:rPr>
              <w:t>Controls on the use of particular high risk commodities</w:t>
            </w:r>
            <w:r w:rsidR="00B55578">
              <w:rPr>
                <w:noProof/>
                <w:webHidden/>
              </w:rPr>
              <w:tab/>
            </w:r>
            <w:r>
              <w:rPr>
                <w:noProof/>
                <w:webHidden/>
              </w:rPr>
              <w:fldChar w:fldCharType="begin"/>
            </w:r>
            <w:r w:rsidR="00B55578">
              <w:rPr>
                <w:noProof/>
                <w:webHidden/>
              </w:rPr>
              <w:instrText xml:space="preserve"> PAGEREF _Toc419370645 \h </w:instrText>
            </w:r>
            <w:r>
              <w:rPr>
                <w:noProof/>
                <w:webHidden/>
              </w:rPr>
            </w:r>
            <w:r>
              <w:rPr>
                <w:noProof/>
                <w:webHidden/>
              </w:rPr>
              <w:fldChar w:fldCharType="separate"/>
            </w:r>
            <w:r w:rsidR="00B55546">
              <w:rPr>
                <w:noProof/>
                <w:webHidden/>
              </w:rPr>
              <w:t>15</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46" w:history="1">
            <w:r w:rsidR="00B55578" w:rsidRPr="00803DE4">
              <w:rPr>
                <w:rStyle w:val="Hyperlink"/>
                <w:noProof/>
              </w:rPr>
              <w:t>4.2.2.</w:t>
            </w:r>
            <w:r w:rsidR="00B55578">
              <w:rPr>
                <w:rFonts w:asciiTheme="minorHAnsi" w:hAnsiTheme="minorHAnsi" w:cstheme="minorBidi"/>
                <w:i w:val="0"/>
                <w:noProof/>
              </w:rPr>
              <w:tab/>
            </w:r>
            <w:r w:rsidR="00B55578" w:rsidRPr="00803DE4">
              <w:rPr>
                <w:rStyle w:val="Hyperlink"/>
                <w:noProof/>
              </w:rPr>
              <w:t>Controls on use of aquaculture commodities as bait</w:t>
            </w:r>
            <w:r w:rsidR="00B55578">
              <w:rPr>
                <w:noProof/>
                <w:webHidden/>
              </w:rPr>
              <w:tab/>
            </w:r>
            <w:r>
              <w:rPr>
                <w:noProof/>
                <w:webHidden/>
              </w:rPr>
              <w:fldChar w:fldCharType="begin"/>
            </w:r>
            <w:r w:rsidR="00B55578">
              <w:rPr>
                <w:noProof/>
                <w:webHidden/>
              </w:rPr>
              <w:instrText xml:space="preserve"> PAGEREF _Toc419370646 \h </w:instrText>
            </w:r>
            <w:r>
              <w:rPr>
                <w:noProof/>
                <w:webHidden/>
              </w:rPr>
            </w:r>
            <w:r>
              <w:rPr>
                <w:noProof/>
                <w:webHidden/>
              </w:rPr>
              <w:fldChar w:fldCharType="separate"/>
            </w:r>
            <w:r w:rsidR="00B55546">
              <w:rPr>
                <w:noProof/>
                <w:webHidden/>
              </w:rPr>
              <w:t>15</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47" w:history="1">
            <w:r w:rsidR="00B55578" w:rsidRPr="00803DE4">
              <w:rPr>
                <w:rStyle w:val="Hyperlink"/>
                <w:noProof/>
              </w:rPr>
              <w:t>4.2.3.</w:t>
            </w:r>
            <w:r w:rsidR="00B55578">
              <w:rPr>
                <w:rFonts w:asciiTheme="minorHAnsi" w:hAnsiTheme="minorHAnsi" w:cstheme="minorBidi"/>
                <w:i w:val="0"/>
                <w:noProof/>
              </w:rPr>
              <w:tab/>
            </w:r>
            <w:r w:rsidR="00B55578" w:rsidRPr="00803DE4">
              <w:rPr>
                <w:rStyle w:val="Hyperlink"/>
                <w:noProof/>
              </w:rPr>
              <w:t>Control on translocation of live bait</w:t>
            </w:r>
            <w:r w:rsidR="00B55578">
              <w:rPr>
                <w:noProof/>
                <w:webHidden/>
              </w:rPr>
              <w:tab/>
            </w:r>
            <w:r>
              <w:rPr>
                <w:noProof/>
                <w:webHidden/>
              </w:rPr>
              <w:fldChar w:fldCharType="begin"/>
            </w:r>
            <w:r w:rsidR="00B55578">
              <w:rPr>
                <w:noProof/>
                <w:webHidden/>
              </w:rPr>
              <w:instrText xml:space="preserve"> PAGEREF _Toc419370647 \h </w:instrText>
            </w:r>
            <w:r>
              <w:rPr>
                <w:noProof/>
                <w:webHidden/>
              </w:rPr>
            </w:r>
            <w:r>
              <w:rPr>
                <w:noProof/>
                <w:webHidden/>
              </w:rPr>
              <w:fldChar w:fldCharType="separate"/>
            </w:r>
            <w:r w:rsidR="00B55546">
              <w:rPr>
                <w:noProof/>
                <w:webHidden/>
              </w:rPr>
              <w:t>16</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48" w:history="1">
            <w:r w:rsidR="00B55578" w:rsidRPr="00803DE4">
              <w:rPr>
                <w:rStyle w:val="Hyperlink"/>
                <w:noProof/>
              </w:rPr>
              <w:t>4.2.4.</w:t>
            </w:r>
            <w:r w:rsidR="00B55578">
              <w:rPr>
                <w:rFonts w:asciiTheme="minorHAnsi" w:hAnsiTheme="minorHAnsi" w:cstheme="minorBidi"/>
                <w:i w:val="0"/>
                <w:noProof/>
              </w:rPr>
              <w:tab/>
            </w:r>
            <w:r w:rsidR="00B55578" w:rsidRPr="00803DE4">
              <w:rPr>
                <w:rStyle w:val="Hyperlink"/>
                <w:noProof/>
              </w:rPr>
              <w:t>Compulsory freezing or freeze drying of non-live bait commodities</w:t>
            </w:r>
            <w:r w:rsidR="00B55578">
              <w:rPr>
                <w:noProof/>
                <w:webHidden/>
              </w:rPr>
              <w:tab/>
            </w:r>
            <w:r>
              <w:rPr>
                <w:noProof/>
                <w:webHidden/>
              </w:rPr>
              <w:fldChar w:fldCharType="begin"/>
            </w:r>
            <w:r w:rsidR="00B55578">
              <w:rPr>
                <w:noProof/>
                <w:webHidden/>
              </w:rPr>
              <w:instrText xml:space="preserve"> PAGEREF _Toc419370648 \h </w:instrText>
            </w:r>
            <w:r>
              <w:rPr>
                <w:noProof/>
                <w:webHidden/>
              </w:rPr>
            </w:r>
            <w:r>
              <w:rPr>
                <w:noProof/>
                <w:webHidden/>
              </w:rPr>
              <w:fldChar w:fldCharType="separate"/>
            </w:r>
            <w:r w:rsidR="00B55546">
              <w:rPr>
                <w:noProof/>
                <w:webHidden/>
              </w:rPr>
              <w:t>16</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49" w:history="1">
            <w:r w:rsidR="00B55578" w:rsidRPr="00803DE4">
              <w:rPr>
                <w:rStyle w:val="Hyperlink"/>
                <w:noProof/>
              </w:rPr>
              <w:t>4.2.5.</w:t>
            </w:r>
            <w:r w:rsidR="00B55578">
              <w:rPr>
                <w:rFonts w:asciiTheme="minorHAnsi" w:hAnsiTheme="minorHAnsi" w:cstheme="minorBidi"/>
                <w:i w:val="0"/>
                <w:noProof/>
              </w:rPr>
              <w:tab/>
            </w:r>
            <w:r w:rsidR="00B55578" w:rsidRPr="00803DE4">
              <w:rPr>
                <w:rStyle w:val="Hyperlink"/>
                <w:noProof/>
              </w:rPr>
              <w:t>Increased surveillance of bait commodities</w:t>
            </w:r>
            <w:r w:rsidR="00B55578">
              <w:rPr>
                <w:noProof/>
                <w:webHidden/>
              </w:rPr>
              <w:tab/>
            </w:r>
            <w:r>
              <w:rPr>
                <w:noProof/>
                <w:webHidden/>
              </w:rPr>
              <w:fldChar w:fldCharType="begin"/>
            </w:r>
            <w:r w:rsidR="00B55578">
              <w:rPr>
                <w:noProof/>
                <w:webHidden/>
              </w:rPr>
              <w:instrText xml:space="preserve"> PAGEREF _Toc419370649 \h </w:instrText>
            </w:r>
            <w:r>
              <w:rPr>
                <w:noProof/>
                <w:webHidden/>
              </w:rPr>
            </w:r>
            <w:r>
              <w:rPr>
                <w:noProof/>
                <w:webHidden/>
              </w:rPr>
              <w:fldChar w:fldCharType="separate"/>
            </w:r>
            <w:r w:rsidR="00B55546">
              <w:rPr>
                <w:noProof/>
                <w:webHidden/>
              </w:rPr>
              <w:t>16</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50" w:history="1">
            <w:r w:rsidR="00B55578" w:rsidRPr="00803DE4">
              <w:rPr>
                <w:rStyle w:val="Hyperlink"/>
                <w:noProof/>
              </w:rPr>
              <w:t>4.2.6.</w:t>
            </w:r>
            <w:r w:rsidR="00B55578">
              <w:rPr>
                <w:rFonts w:asciiTheme="minorHAnsi" w:hAnsiTheme="minorHAnsi" w:cstheme="minorBidi"/>
                <w:i w:val="0"/>
                <w:noProof/>
              </w:rPr>
              <w:tab/>
            </w:r>
            <w:r w:rsidR="00B55578" w:rsidRPr="00803DE4">
              <w:rPr>
                <w:rStyle w:val="Hyperlink"/>
                <w:noProof/>
              </w:rPr>
              <w:t>Educating fishers to the risks of translocating bait and berley</w:t>
            </w:r>
            <w:r w:rsidR="00B55578">
              <w:rPr>
                <w:noProof/>
                <w:webHidden/>
              </w:rPr>
              <w:tab/>
            </w:r>
            <w:r>
              <w:rPr>
                <w:noProof/>
                <w:webHidden/>
              </w:rPr>
              <w:fldChar w:fldCharType="begin"/>
            </w:r>
            <w:r w:rsidR="00B55578">
              <w:rPr>
                <w:noProof/>
                <w:webHidden/>
              </w:rPr>
              <w:instrText xml:space="preserve"> PAGEREF _Toc419370650 \h </w:instrText>
            </w:r>
            <w:r>
              <w:rPr>
                <w:noProof/>
                <w:webHidden/>
              </w:rPr>
            </w:r>
            <w:r>
              <w:rPr>
                <w:noProof/>
                <w:webHidden/>
              </w:rPr>
              <w:fldChar w:fldCharType="separate"/>
            </w:r>
            <w:r w:rsidR="00B55546">
              <w:rPr>
                <w:noProof/>
                <w:webHidden/>
              </w:rPr>
              <w:t>17</w:t>
            </w:r>
            <w:r>
              <w:rPr>
                <w:noProof/>
                <w:webHidden/>
              </w:rPr>
              <w:fldChar w:fldCharType="end"/>
            </w:r>
          </w:hyperlink>
        </w:p>
        <w:p w:rsidR="00B55578" w:rsidRDefault="00C46866">
          <w:pPr>
            <w:pStyle w:val="TOC2"/>
            <w:rPr>
              <w:rFonts w:asciiTheme="minorHAnsi" w:hAnsiTheme="minorHAnsi" w:cstheme="minorBidi"/>
              <w:noProof/>
            </w:rPr>
          </w:pPr>
          <w:hyperlink w:anchor="_Toc419370651" w:history="1">
            <w:r w:rsidR="00B55578" w:rsidRPr="00803DE4">
              <w:rPr>
                <w:rStyle w:val="Hyperlink"/>
                <w:noProof/>
              </w:rPr>
              <w:t>5.</w:t>
            </w:r>
            <w:r w:rsidR="00B55578">
              <w:rPr>
                <w:rFonts w:asciiTheme="minorHAnsi" w:hAnsiTheme="minorHAnsi" w:cstheme="minorBidi"/>
                <w:noProof/>
              </w:rPr>
              <w:tab/>
            </w:r>
            <w:r w:rsidR="00B55578" w:rsidRPr="00803DE4">
              <w:rPr>
                <w:rStyle w:val="Hyperlink"/>
                <w:noProof/>
              </w:rPr>
              <w:t>Policy Implementation</w:t>
            </w:r>
            <w:r w:rsidR="00B55578">
              <w:rPr>
                <w:noProof/>
                <w:webHidden/>
              </w:rPr>
              <w:tab/>
            </w:r>
            <w:r>
              <w:rPr>
                <w:noProof/>
                <w:webHidden/>
              </w:rPr>
              <w:fldChar w:fldCharType="begin"/>
            </w:r>
            <w:r w:rsidR="00B55578">
              <w:rPr>
                <w:noProof/>
                <w:webHidden/>
              </w:rPr>
              <w:instrText xml:space="preserve"> PAGEREF _Toc419370651 \h </w:instrText>
            </w:r>
            <w:r>
              <w:rPr>
                <w:noProof/>
                <w:webHidden/>
              </w:rPr>
            </w:r>
            <w:r>
              <w:rPr>
                <w:noProof/>
                <w:webHidden/>
              </w:rPr>
              <w:fldChar w:fldCharType="separate"/>
            </w:r>
            <w:r w:rsidR="00B55546">
              <w:rPr>
                <w:noProof/>
                <w:webHidden/>
              </w:rPr>
              <w:t>18</w:t>
            </w:r>
            <w:r>
              <w:rPr>
                <w:noProof/>
                <w:webHidden/>
              </w:rPr>
              <w:fldChar w:fldCharType="end"/>
            </w:r>
          </w:hyperlink>
        </w:p>
        <w:p w:rsidR="00B55578" w:rsidRDefault="00C46866">
          <w:pPr>
            <w:pStyle w:val="TOC3"/>
            <w:tabs>
              <w:tab w:val="left" w:pos="1100"/>
              <w:tab w:val="right" w:leader="dot" w:pos="9016"/>
            </w:tabs>
            <w:rPr>
              <w:rFonts w:asciiTheme="minorHAnsi" w:hAnsiTheme="minorHAnsi" w:cstheme="minorBidi"/>
              <w:noProof/>
            </w:rPr>
          </w:pPr>
          <w:hyperlink w:anchor="_Toc419370652" w:history="1">
            <w:r w:rsidR="00B55578" w:rsidRPr="00803DE4">
              <w:rPr>
                <w:rStyle w:val="Hyperlink"/>
                <w:noProof/>
              </w:rPr>
              <w:t>5.1.</w:t>
            </w:r>
            <w:r w:rsidR="00B55578">
              <w:rPr>
                <w:rFonts w:asciiTheme="minorHAnsi" w:hAnsiTheme="minorHAnsi" w:cstheme="minorBidi"/>
                <w:noProof/>
              </w:rPr>
              <w:tab/>
            </w:r>
            <w:r w:rsidR="00B55578" w:rsidRPr="00803DE4">
              <w:rPr>
                <w:rStyle w:val="Hyperlink"/>
                <w:noProof/>
              </w:rPr>
              <w:t>Possible Instruments</w:t>
            </w:r>
            <w:r w:rsidR="00B55578">
              <w:rPr>
                <w:noProof/>
                <w:webHidden/>
              </w:rPr>
              <w:tab/>
            </w:r>
            <w:r>
              <w:rPr>
                <w:noProof/>
                <w:webHidden/>
              </w:rPr>
              <w:fldChar w:fldCharType="begin"/>
            </w:r>
            <w:r w:rsidR="00B55578">
              <w:rPr>
                <w:noProof/>
                <w:webHidden/>
              </w:rPr>
              <w:instrText xml:space="preserve"> PAGEREF _Toc419370652 \h </w:instrText>
            </w:r>
            <w:r>
              <w:rPr>
                <w:noProof/>
                <w:webHidden/>
              </w:rPr>
            </w:r>
            <w:r>
              <w:rPr>
                <w:noProof/>
                <w:webHidden/>
              </w:rPr>
              <w:fldChar w:fldCharType="separate"/>
            </w:r>
            <w:r w:rsidR="00B55546">
              <w:rPr>
                <w:noProof/>
                <w:webHidden/>
              </w:rPr>
              <w:t>18</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53" w:history="1">
            <w:r w:rsidR="00B55578" w:rsidRPr="00803DE4">
              <w:rPr>
                <w:rStyle w:val="Hyperlink"/>
                <w:noProof/>
              </w:rPr>
              <w:t>5.1.1.</w:t>
            </w:r>
            <w:r w:rsidR="00B55578">
              <w:rPr>
                <w:rFonts w:asciiTheme="minorHAnsi" w:hAnsiTheme="minorHAnsi" w:cstheme="minorBidi"/>
                <w:i w:val="0"/>
                <w:noProof/>
              </w:rPr>
              <w:tab/>
            </w:r>
            <w:r w:rsidR="00B55578" w:rsidRPr="00803DE4">
              <w:rPr>
                <w:rStyle w:val="Hyperlink"/>
                <w:noProof/>
              </w:rPr>
              <w:t>State and territory legislation</w:t>
            </w:r>
            <w:r w:rsidR="00B55578">
              <w:rPr>
                <w:noProof/>
                <w:webHidden/>
              </w:rPr>
              <w:tab/>
            </w:r>
            <w:r>
              <w:rPr>
                <w:noProof/>
                <w:webHidden/>
              </w:rPr>
              <w:fldChar w:fldCharType="begin"/>
            </w:r>
            <w:r w:rsidR="00B55578">
              <w:rPr>
                <w:noProof/>
                <w:webHidden/>
              </w:rPr>
              <w:instrText xml:space="preserve"> PAGEREF _Toc419370653 \h </w:instrText>
            </w:r>
            <w:r>
              <w:rPr>
                <w:noProof/>
                <w:webHidden/>
              </w:rPr>
            </w:r>
            <w:r>
              <w:rPr>
                <w:noProof/>
                <w:webHidden/>
              </w:rPr>
              <w:fldChar w:fldCharType="separate"/>
            </w:r>
            <w:r w:rsidR="00B55546">
              <w:rPr>
                <w:noProof/>
                <w:webHidden/>
              </w:rPr>
              <w:t>18</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54" w:history="1">
            <w:r w:rsidR="00B55578" w:rsidRPr="00803DE4">
              <w:rPr>
                <w:rStyle w:val="Hyperlink"/>
                <w:noProof/>
              </w:rPr>
              <w:t>5.1.2.</w:t>
            </w:r>
            <w:r w:rsidR="00B55578">
              <w:rPr>
                <w:rFonts w:asciiTheme="minorHAnsi" w:hAnsiTheme="minorHAnsi" w:cstheme="minorBidi"/>
                <w:i w:val="0"/>
                <w:noProof/>
              </w:rPr>
              <w:tab/>
            </w:r>
            <w:r w:rsidR="00B55578" w:rsidRPr="00803DE4">
              <w:rPr>
                <w:rStyle w:val="Hyperlink"/>
                <w:noProof/>
              </w:rPr>
              <w:t>License conditions</w:t>
            </w:r>
            <w:r w:rsidR="00B55578">
              <w:rPr>
                <w:noProof/>
                <w:webHidden/>
              </w:rPr>
              <w:tab/>
            </w:r>
            <w:r>
              <w:rPr>
                <w:noProof/>
                <w:webHidden/>
              </w:rPr>
              <w:fldChar w:fldCharType="begin"/>
            </w:r>
            <w:r w:rsidR="00B55578">
              <w:rPr>
                <w:noProof/>
                <w:webHidden/>
              </w:rPr>
              <w:instrText xml:space="preserve"> PAGEREF _Toc419370654 \h </w:instrText>
            </w:r>
            <w:r>
              <w:rPr>
                <w:noProof/>
                <w:webHidden/>
              </w:rPr>
            </w:r>
            <w:r>
              <w:rPr>
                <w:noProof/>
                <w:webHidden/>
              </w:rPr>
              <w:fldChar w:fldCharType="separate"/>
            </w:r>
            <w:r w:rsidR="00B55546">
              <w:rPr>
                <w:noProof/>
                <w:webHidden/>
              </w:rPr>
              <w:t>18</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55" w:history="1">
            <w:r w:rsidR="00B55578" w:rsidRPr="00803DE4">
              <w:rPr>
                <w:rStyle w:val="Hyperlink"/>
                <w:rFonts w:eastAsiaTheme="minorHAnsi"/>
                <w:noProof/>
              </w:rPr>
              <w:t>5.1.3.</w:t>
            </w:r>
            <w:r w:rsidR="00B55578">
              <w:rPr>
                <w:rFonts w:asciiTheme="minorHAnsi" w:hAnsiTheme="minorHAnsi" w:cstheme="minorBidi"/>
                <w:i w:val="0"/>
                <w:noProof/>
              </w:rPr>
              <w:tab/>
            </w:r>
            <w:r w:rsidR="00B55578" w:rsidRPr="00803DE4">
              <w:rPr>
                <w:rStyle w:val="Hyperlink"/>
                <w:rFonts w:eastAsiaTheme="minorHAnsi"/>
                <w:noProof/>
              </w:rPr>
              <w:t>Voluntary guidelines</w:t>
            </w:r>
            <w:r w:rsidR="00B55578">
              <w:rPr>
                <w:noProof/>
                <w:webHidden/>
              </w:rPr>
              <w:tab/>
            </w:r>
            <w:r>
              <w:rPr>
                <w:noProof/>
                <w:webHidden/>
              </w:rPr>
              <w:fldChar w:fldCharType="begin"/>
            </w:r>
            <w:r w:rsidR="00B55578">
              <w:rPr>
                <w:noProof/>
                <w:webHidden/>
              </w:rPr>
              <w:instrText xml:space="preserve"> PAGEREF _Toc419370655 \h </w:instrText>
            </w:r>
            <w:r>
              <w:rPr>
                <w:noProof/>
                <w:webHidden/>
              </w:rPr>
            </w:r>
            <w:r>
              <w:rPr>
                <w:noProof/>
                <w:webHidden/>
              </w:rPr>
              <w:fldChar w:fldCharType="separate"/>
            </w:r>
            <w:r w:rsidR="00B55546">
              <w:rPr>
                <w:noProof/>
                <w:webHidden/>
              </w:rPr>
              <w:t>18</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56" w:history="1">
            <w:r w:rsidR="00B55578" w:rsidRPr="00803DE4">
              <w:rPr>
                <w:rStyle w:val="Hyperlink"/>
                <w:noProof/>
              </w:rPr>
              <w:t>5.1.4.</w:t>
            </w:r>
            <w:r w:rsidR="00B55578">
              <w:rPr>
                <w:rFonts w:asciiTheme="minorHAnsi" w:hAnsiTheme="minorHAnsi" w:cstheme="minorBidi"/>
                <w:i w:val="0"/>
                <w:noProof/>
              </w:rPr>
              <w:tab/>
            </w:r>
            <w:r w:rsidR="00B55578" w:rsidRPr="00803DE4">
              <w:rPr>
                <w:rStyle w:val="Hyperlink"/>
                <w:noProof/>
              </w:rPr>
              <w:t>Education</w:t>
            </w:r>
            <w:r w:rsidR="00B55578">
              <w:rPr>
                <w:noProof/>
                <w:webHidden/>
              </w:rPr>
              <w:tab/>
            </w:r>
            <w:r>
              <w:rPr>
                <w:noProof/>
                <w:webHidden/>
              </w:rPr>
              <w:fldChar w:fldCharType="begin"/>
            </w:r>
            <w:r w:rsidR="00B55578">
              <w:rPr>
                <w:noProof/>
                <w:webHidden/>
              </w:rPr>
              <w:instrText xml:space="preserve"> PAGEREF _Toc419370656 \h </w:instrText>
            </w:r>
            <w:r>
              <w:rPr>
                <w:noProof/>
                <w:webHidden/>
              </w:rPr>
            </w:r>
            <w:r>
              <w:rPr>
                <w:noProof/>
                <w:webHidden/>
              </w:rPr>
              <w:fldChar w:fldCharType="separate"/>
            </w:r>
            <w:r w:rsidR="00B55546">
              <w:rPr>
                <w:noProof/>
                <w:webHidden/>
              </w:rPr>
              <w:t>18</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57" w:history="1">
            <w:r w:rsidR="00B55578" w:rsidRPr="00803DE4">
              <w:rPr>
                <w:rStyle w:val="Hyperlink"/>
                <w:noProof/>
              </w:rPr>
              <w:t>5.1.5.</w:t>
            </w:r>
            <w:r w:rsidR="00B55578">
              <w:rPr>
                <w:rFonts w:asciiTheme="minorHAnsi" w:hAnsiTheme="minorHAnsi" w:cstheme="minorBidi"/>
                <w:i w:val="0"/>
                <w:noProof/>
              </w:rPr>
              <w:tab/>
            </w:r>
            <w:r w:rsidR="00B55578" w:rsidRPr="00803DE4">
              <w:rPr>
                <w:rStyle w:val="Hyperlink"/>
                <w:noProof/>
              </w:rPr>
              <w:t>Compliance</w:t>
            </w:r>
            <w:r w:rsidR="00B55578">
              <w:rPr>
                <w:noProof/>
                <w:webHidden/>
              </w:rPr>
              <w:tab/>
            </w:r>
            <w:r>
              <w:rPr>
                <w:noProof/>
                <w:webHidden/>
              </w:rPr>
              <w:fldChar w:fldCharType="begin"/>
            </w:r>
            <w:r w:rsidR="00B55578">
              <w:rPr>
                <w:noProof/>
                <w:webHidden/>
              </w:rPr>
              <w:instrText xml:space="preserve"> PAGEREF _Toc419370657 \h </w:instrText>
            </w:r>
            <w:r>
              <w:rPr>
                <w:noProof/>
                <w:webHidden/>
              </w:rPr>
            </w:r>
            <w:r>
              <w:rPr>
                <w:noProof/>
                <w:webHidden/>
              </w:rPr>
              <w:fldChar w:fldCharType="separate"/>
            </w:r>
            <w:r w:rsidR="00B55546">
              <w:rPr>
                <w:noProof/>
                <w:webHidden/>
              </w:rPr>
              <w:t>18</w:t>
            </w:r>
            <w:r>
              <w:rPr>
                <w:noProof/>
                <w:webHidden/>
              </w:rPr>
              <w:fldChar w:fldCharType="end"/>
            </w:r>
          </w:hyperlink>
        </w:p>
        <w:p w:rsidR="00B55578" w:rsidRDefault="00C46866">
          <w:pPr>
            <w:pStyle w:val="TOC4"/>
            <w:tabs>
              <w:tab w:val="left" w:pos="1540"/>
              <w:tab w:val="right" w:leader="dot" w:pos="9016"/>
            </w:tabs>
            <w:rPr>
              <w:rFonts w:asciiTheme="minorHAnsi" w:hAnsiTheme="minorHAnsi" w:cstheme="minorBidi"/>
              <w:i w:val="0"/>
              <w:noProof/>
            </w:rPr>
          </w:pPr>
          <w:hyperlink w:anchor="_Toc419370658" w:history="1">
            <w:r w:rsidR="00B55578" w:rsidRPr="00803DE4">
              <w:rPr>
                <w:rStyle w:val="Hyperlink"/>
                <w:noProof/>
              </w:rPr>
              <w:t>5.1.6.</w:t>
            </w:r>
            <w:r w:rsidR="00B55578">
              <w:rPr>
                <w:rFonts w:asciiTheme="minorHAnsi" w:hAnsiTheme="minorHAnsi" w:cstheme="minorBidi"/>
                <w:i w:val="0"/>
                <w:noProof/>
              </w:rPr>
              <w:tab/>
            </w:r>
            <w:r w:rsidR="00B55578" w:rsidRPr="00803DE4">
              <w:rPr>
                <w:rStyle w:val="Hyperlink"/>
                <w:noProof/>
              </w:rPr>
              <w:t>Research activities</w:t>
            </w:r>
            <w:r w:rsidR="00B55578">
              <w:rPr>
                <w:noProof/>
                <w:webHidden/>
              </w:rPr>
              <w:tab/>
            </w:r>
            <w:r>
              <w:rPr>
                <w:noProof/>
                <w:webHidden/>
              </w:rPr>
              <w:fldChar w:fldCharType="begin"/>
            </w:r>
            <w:r w:rsidR="00B55578">
              <w:rPr>
                <w:noProof/>
                <w:webHidden/>
              </w:rPr>
              <w:instrText xml:space="preserve"> PAGEREF _Toc419370658 \h </w:instrText>
            </w:r>
            <w:r>
              <w:rPr>
                <w:noProof/>
                <w:webHidden/>
              </w:rPr>
            </w:r>
            <w:r>
              <w:rPr>
                <w:noProof/>
                <w:webHidden/>
              </w:rPr>
              <w:fldChar w:fldCharType="separate"/>
            </w:r>
            <w:r w:rsidR="00B55546">
              <w:rPr>
                <w:noProof/>
                <w:webHidden/>
              </w:rPr>
              <w:t>19</w:t>
            </w:r>
            <w:r>
              <w:rPr>
                <w:noProof/>
                <w:webHidden/>
              </w:rPr>
              <w:fldChar w:fldCharType="end"/>
            </w:r>
          </w:hyperlink>
        </w:p>
        <w:p w:rsidR="00B55578" w:rsidRDefault="00C46866">
          <w:pPr>
            <w:pStyle w:val="TOC2"/>
            <w:rPr>
              <w:rFonts w:asciiTheme="minorHAnsi" w:hAnsiTheme="minorHAnsi" w:cstheme="minorBidi"/>
              <w:noProof/>
            </w:rPr>
          </w:pPr>
          <w:hyperlink w:anchor="_Toc419370659" w:history="1">
            <w:r w:rsidR="00B55578" w:rsidRPr="00803DE4">
              <w:rPr>
                <w:rStyle w:val="Hyperlink"/>
                <w:noProof/>
              </w:rPr>
              <w:t>6.</w:t>
            </w:r>
            <w:r w:rsidR="00B55578">
              <w:rPr>
                <w:rFonts w:asciiTheme="minorHAnsi" w:hAnsiTheme="minorHAnsi" w:cstheme="minorBidi"/>
                <w:noProof/>
              </w:rPr>
              <w:tab/>
            </w:r>
            <w:r w:rsidR="00B55578" w:rsidRPr="00803DE4">
              <w:rPr>
                <w:rStyle w:val="Hyperlink"/>
                <w:noProof/>
              </w:rPr>
              <w:t>Staged risk assessment and implementation example</w:t>
            </w:r>
            <w:r w:rsidR="00B55578">
              <w:rPr>
                <w:noProof/>
                <w:webHidden/>
              </w:rPr>
              <w:tab/>
            </w:r>
            <w:r>
              <w:rPr>
                <w:noProof/>
                <w:webHidden/>
              </w:rPr>
              <w:fldChar w:fldCharType="begin"/>
            </w:r>
            <w:r w:rsidR="00B55578">
              <w:rPr>
                <w:noProof/>
                <w:webHidden/>
              </w:rPr>
              <w:instrText xml:space="preserve"> PAGEREF _Toc419370659 \h </w:instrText>
            </w:r>
            <w:r>
              <w:rPr>
                <w:noProof/>
                <w:webHidden/>
              </w:rPr>
            </w:r>
            <w:r>
              <w:rPr>
                <w:noProof/>
                <w:webHidden/>
              </w:rPr>
              <w:fldChar w:fldCharType="separate"/>
            </w:r>
            <w:r w:rsidR="00B55546">
              <w:rPr>
                <w:noProof/>
                <w:webHidden/>
              </w:rPr>
              <w:t>20</w:t>
            </w:r>
            <w:r>
              <w:rPr>
                <w:noProof/>
                <w:webHidden/>
              </w:rPr>
              <w:fldChar w:fldCharType="end"/>
            </w:r>
          </w:hyperlink>
        </w:p>
        <w:p w:rsidR="00B55578" w:rsidRDefault="00C46866">
          <w:pPr>
            <w:pStyle w:val="TOC2"/>
            <w:rPr>
              <w:rFonts w:asciiTheme="minorHAnsi" w:hAnsiTheme="minorHAnsi" w:cstheme="minorBidi"/>
              <w:noProof/>
            </w:rPr>
          </w:pPr>
          <w:hyperlink w:anchor="_Toc419370660" w:history="1">
            <w:r w:rsidR="00B55578" w:rsidRPr="00803DE4">
              <w:rPr>
                <w:rStyle w:val="Hyperlink"/>
                <w:noProof/>
              </w:rPr>
              <w:t>7.</w:t>
            </w:r>
            <w:r w:rsidR="00B55578">
              <w:rPr>
                <w:rFonts w:asciiTheme="minorHAnsi" w:hAnsiTheme="minorHAnsi" w:cstheme="minorBidi"/>
                <w:noProof/>
              </w:rPr>
              <w:tab/>
            </w:r>
            <w:r w:rsidR="00B55578" w:rsidRPr="00803DE4">
              <w:rPr>
                <w:rStyle w:val="Hyperlink"/>
                <w:noProof/>
              </w:rPr>
              <w:t>Appendix 1: Jurisdictional policy on the use of domestic bait and berley</w:t>
            </w:r>
            <w:r w:rsidR="00B55578">
              <w:rPr>
                <w:noProof/>
                <w:webHidden/>
              </w:rPr>
              <w:tab/>
            </w:r>
            <w:r>
              <w:rPr>
                <w:noProof/>
                <w:webHidden/>
              </w:rPr>
              <w:fldChar w:fldCharType="begin"/>
            </w:r>
            <w:r w:rsidR="00B55578">
              <w:rPr>
                <w:noProof/>
                <w:webHidden/>
              </w:rPr>
              <w:instrText xml:space="preserve"> PAGEREF _Toc419370660 \h </w:instrText>
            </w:r>
            <w:r>
              <w:rPr>
                <w:noProof/>
                <w:webHidden/>
              </w:rPr>
            </w:r>
            <w:r>
              <w:rPr>
                <w:noProof/>
                <w:webHidden/>
              </w:rPr>
              <w:fldChar w:fldCharType="separate"/>
            </w:r>
            <w:r w:rsidR="00B55546">
              <w:rPr>
                <w:noProof/>
                <w:webHidden/>
              </w:rPr>
              <w:t>21</w:t>
            </w:r>
            <w:r>
              <w:rPr>
                <w:noProof/>
                <w:webHidden/>
              </w:rPr>
              <w:fldChar w:fldCharType="end"/>
            </w:r>
          </w:hyperlink>
        </w:p>
        <w:p w:rsidR="00B55578" w:rsidRDefault="00C46866">
          <w:pPr>
            <w:pStyle w:val="TOC2"/>
            <w:rPr>
              <w:rFonts w:asciiTheme="minorHAnsi" w:hAnsiTheme="minorHAnsi" w:cstheme="minorBidi"/>
              <w:noProof/>
            </w:rPr>
          </w:pPr>
          <w:hyperlink w:anchor="_Toc419370661" w:history="1">
            <w:r w:rsidR="00B55578" w:rsidRPr="00803DE4">
              <w:rPr>
                <w:rStyle w:val="Hyperlink"/>
                <w:noProof/>
              </w:rPr>
              <w:t>8.</w:t>
            </w:r>
            <w:r w:rsidR="00B55578">
              <w:rPr>
                <w:rFonts w:asciiTheme="minorHAnsi" w:hAnsiTheme="minorHAnsi" w:cstheme="minorBidi"/>
                <w:noProof/>
              </w:rPr>
              <w:tab/>
            </w:r>
            <w:r w:rsidR="00B55578" w:rsidRPr="00803DE4">
              <w:rPr>
                <w:rStyle w:val="Hyperlink"/>
                <w:noProof/>
              </w:rPr>
              <w:t>Appendix 2: Summary of disease risks posed by common bait and berley commodities</w:t>
            </w:r>
            <w:r w:rsidR="00B55578">
              <w:rPr>
                <w:noProof/>
                <w:webHidden/>
              </w:rPr>
              <w:tab/>
            </w:r>
            <w:r>
              <w:rPr>
                <w:noProof/>
                <w:webHidden/>
              </w:rPr>
              <w:fldChar w:fldCharType="begin"/>
            </w:r>
            <w:r w:rsidR="00B55578">
              <w:rPr>
                <w:noProof/>
                <w:webHidden/>
              </w:rPr>
              <w:instrText xml:space="preserve"> PAGEREF _Toc419370661 \h </w:instrText>
            </w:r>
            <w:r>
              <w:rPr>
                <w:noProof/>
                <w:webHidden/>
              </w:rPr>
            </w:r>
            <w:r>
              <w:rPr>
                <w:noProof/>
                <w:webHidden/>
              </w:rPr>
              <w:fldChar w:fldCharType="separate"/>
            </w:r>
            <w:r w:rsidR="00B55546">
              <w:rPr>
                <w:noProof/>
                <w:webHidden/>
              </w:rPr>
              <w:t>23</w:t>
            </w:r>
            <w:r>
              <w:rPr>
                <w:noProof/>
                <w:webHidden/>
              </w:rPr>
              <w:fldChar w:fldCharType="end"/>
            </w:r>
          </w:hyperlink>
        </w:p>
        <w:p w:rsidR="00B55578" w:rsidRDefault="00C46866">
          <w:pPr>
            <w:pStyle w:val="TOC2"/>
            <w:rPr>
              <w:rFonts w:asciiTheme="minorHAnsi" w:hAnsiTheme="minorHAnsi" w:cstheme="minorBidi"/>
              <w:noProof/>
            </w:rPr>
          </w:pPr>
          <w:hyperlink w:anchor="_Toc419370662" w:history="1">
            <w:r w:rsidR="00B55578" w:rsidRPr="00803DE4">
              <w:rPr>
                <w:rStyle w:val="Hyperlink"/>
                <w:noProof/>
              </w:rPr>
              <w:t>9.</w:t>
            </w:r>
            <w:r w:rsidR="00B55578">
              <w:rPr>
                <w:rFonts w:asciiTheme="minorHAnsi" w:hAnsiTheme="minorHAnsi" w:cstheme="minorBidi"/>
                <w:noProof/>
              </w:rPr>
              <w:tab/>
            </w:r>
            <w:r w:rsidR="00B55578" w:rsidRPr="00803DE4">
              <w:rPr>
                <w:rStyle w:val="Hyperlink"/>
                <w:noProof/>
              </w:rPr>
              <w:t>References</w:t>
            </w:r>
            <w:r w:rsidR="00B55578">
              <w:rPr>
                <w:noProof/>
                <w:webHidden/>
              </w:rPr>
              <w:tab/>
            </w:r>
            <w:r>
              <w:rPr>
                <w:noProof/>
                <w:webHidden/>
              </w:rPr>
              <w:fldChar w:fldCharType="begin"/>
            </w:r>
            <w:r w:rsidR="00B55578">
              <w:rPr>
                <w:noProof/>
                <w:webHidden/>
              </w:rPr>
              <w:instrText xml:space="preserve"> PAGEREF _Toc419370662 \h </w:instrText>
            </w:r>
            <w:r>
              <w:rPr>
                <w:noProof/>
                <w:webHidden/>
              </w:rPr>
            </w:r>
            <w:r>
              <w:rPr>
                <w:noProof/>
                <w:webHidden/>
              </w:rPr>
              <w:fldChar w:fldCharType="separate"/>
            </w:r>
            <w:r w:rsidR="00B55546">
              <w:rPr>
                <w:noProof/>
                <w:webHidden/>
              </w:rPr>
              <w:t>25</w:t>
            </w:r>
            <w:r>
              <w:rPr>
                <w:noProof/>
                <w:webHidden/>
              </w:rPr>
              <w:fldChar w:fldCharType="end"/>
            </w:r>
          </w:hyperlink>
        </w:p>
        <w:p w:rsidR="00B55578" w:rsidRDefault="00C46866">
          <w:pPr>
            <w:pStyle w:val="TOC2"/>
            <w:rPr>
              <w:rFonts w:asciiTheme="minorHAnsi" w:hAnsiTheme="minorHAnsi" w:cstheme="minorBidi"/>
              <w:noProof/>
            </w:rPr>
          </w:pPr>
          <w:hyperlink w:anchor="_Toc419370663" w:history="1">
            <w:r w:rsidR="00B55578" w:rsidRPr="00803DE4">
              <w:rPr>
                <w:rStyle w:val="Hyperlink"/>
                <w:noProof/>
              </w:rPr>
              <w:t>10.</w:t>
            </w:r>
            <w:r w:rsidR="00B55578">
              <w:rPr>
                <w:rFonts w:asciiTheme="minorHAnsi" w:hAnsiTheme="minorHAnsi" w:cstheme="minorBidi"/>
                <w:noProof/>
              </w:rPr>
              <w:tab/>
            </w:r>
            <w:r w:rsidR="00B55578" w:rsidRPr="00803DE4">
              <w:rPr>
                <w:rStyle w:val="Hyperlink"/>
                <w:noProof/>
              </w:rPr>
              <w:t>Acronyms and definitions</w:t>
            </w:r>
            <w:r w:rsidR="00B55578">
              <w:rPr>
                <w:noProof/>
                <w:webHidden/>
              </w:rPr>
              <w:tab/>
            </w:r>
            <w:r>
              <w:rPr>
                <w:noProof/>
                <w:webHidden/>
              </w:rPr>
              <w:fldChar w:fldCharType="begin"/>
            </w:r>
            <w:r w:rsidR="00B55578">
              <w:rPr>
                <w:noProof/>
                <w:webHidden/>
              </w:rPr>
              <w:instrText xml:space="preserve"> PAGEREF _Toc419370663 \h </w:instrText>
            </w:r>
            <w:r>
              <w:rPr>
                <w:noProof/>
                <w:webHidden/>
              </w:rPr>
            </w:r>
            <w:r>
              <w:rPr>
                <w:noProof/>
                <w:webHidden/>
              </w:rPr>
              <w:fldChar w:fldCharType="separate"/>
            </w:r>
            <w:r w:rsidR="00B55546">
              <w:rPr>
                <w:noProof/>
                <w:webHidden/>
              </w:rPr>
              <w:t>26</w:t>
            </w:r>
            <w:r>
              <w:rPr>
                <w:noProof/>
                <w:webHidden/>
              </w:rPr>
              <w:fldChar w:fldCharType="end"/>
            </w:r>
          </w:hyperlink>
        </w:p>
        <w:p w:rsidR="003F1205" w:rsidRDefault="00C46866" w:rsidP="003F1205">
          <w:pPr>
            <w:rPr>
              <w:noProof/>
            </w:rPr>
          </w:pPr>
          <w:r w:rsidRPr="003F1205">
            <w:rPr>
              <w:rFonts w:ascii="Times New Roman" w:hAnsi="Times New Roman"/>
            </w:rPr>
            <w:fldChar w:fldCharType="end"/>
          </w:r>
        </w:p>
      </w:sdtContent>
    </w:sdt>
    <w:p w:rsidR="003F1205" w:rsidRDefault="003F1205" w:rsidP="00D3754A">
      <w:pPr>
        <w:pStyle w:val="Heading2"/>
        <w:sectPr w:rsidR="003F1205" w:rsidSect="00D3754A">
          <w:headerReference w:type="default" r:id="rId12"/>
          <w:footerReference w:type="even" r:id="rId13"/>
          <w:footerReference w:type="default" r:id="rId14"/>
          <w:pgSz w:w="11906" w:h="16838"/>
          <w:pgMar w:top="1440" w:right="1440" w:bottom="1440" w:left="1440" w:header="708" w:footer="708" w:gutter="0"/>
          <w:pgNumType w:fmt="lowerRoman"/>
          <w:cols w:space="708"/>
          <w:titlePg/>
          <w:docGrid w:linePitch="360"/>
        </w:sectPr>
      </w:pPr>
    </w:p>
    <w:p w:rsidR="00D3754A" w:rsidRDefault="00D3754A" w:rsidP="00D3754A">
      <w:pPr>
        <w:pStyle w:val="Heading2unnumbered"/>
      </w:pPr>
      <w:bookmarkStart w:id="1" w:name="_Toc419370623"/>
      <w:r w:rsidRPr="00B45005">
        <w:lastRenderedPageBreak/>
        <w:t>Summary</w:t>
      </w:r>
      <w:bookmarkEnd w:id="1"/>
    </w:p>
    <w:p w:rsidR="00D3754A" w:rsidRDefault="00D3754A" w:rsidP="00D3754A">
      <w:r w:rsidRPr="00B45005">
        <w:t xml:space="preserve">Bait and berley products are used by fishers to attract a target species towards hooks, nets or cages/pots for capture. Bait and berley is integral to the success of commercial and recreational fisheries. The benefits provided to Australia’s economy through capture commercial and recreational fisheries are significant, employing over 7300 people directly and supporting many other businesses (Skirtun </w:t>
      </w:r>
      <w:r w:rsidRPr="00E04DEF">
        <w:t>et al</w:t>
      </w:r>
      <w:r w:rsidRPr="00B45005">
        <w:rPr>
          <w:i/>
        </w:rPr>
        <w:t>.</w:t>
      </w:r>
      <w:r>
        <w:t xml:space="preserve"> 2012).</w:t>
      </w:r>
    </w:p>
    <w:p w:rsidR="00D3754A" w:rsidRDefault="00D3754A" w:rsidP="00D3754A">
      <w:r>
        <w:t xml:space="preserve">While essential for commercial and recreational fisheries, bait and berley may present an unacceptable risk for transmission of aquatic animal diseases. Diseases may impact on productivity and sustainability of commercial and recreational fisheries, and could threaten aquatic ecosystems and endangered species. </w:t>
      </w:r>
      <w:r w:rsidRPr="00E56461">
        <w:t xml:space="preserve">A risk analysis on aquatic animal diseases associated with translocation </w:t>
      </w:r>
      <w:r>
        <w:t xml:space="preserve">of </w:t>
      </w:r>
      <w:r w:rsidRPr="00E56461">
        <w:t>domestic bait</w:t>
      </w:r>
      <w:r>
        <w:t xml:space="preserve"> and berley (</w:t>
      </w:r>
      <w:proofErr w:type="spellStart"/>
      <w:r>
        <w:t>Diggles</w:t>
      </w:r>
      <w:proofErr w:type="spellEnd"/>
      <w:r>
        <w:t xml:space="preserve"> 2011) has found that there </w:t>
      </w:r>
      <w:proofErr w:type="gramStart"/>
      <w:r>
        <w:t>are</w:t>
      </w:r>
      <w:proofErr w:type="gramEnd"/>
      <w:r>
        <w:t xml:space="preserve"> several unacceptable disease risks associated with bait and berley translocation within Australia.</w:t>
      </w:r>
    </w:p>
    <w:p w:rsidR="00D3754A" w:rsidRDefault="00D3754A" w:rsidP="00D3754A">
      <w:r>
        <w:t xml:space="preserve">The Sub-Committee on Aquatic Animal Health (SCAAH) reviewed measures applied by Australian states and territories to manage the aquatic animal disease risks associated with bait and berley translocation. The committee found that measures were insufficient to manage aquatic animal disease risks associated with translocation of bait and that national policy guidelines were warranted. </w:t>
      </w:r>
    </w:p>
    <w:p w:rsidR="00D3754A" w:rsidRDefault="00D3754A" w:rsidP="00D3754A">
      <w:r>
        <w:t xml:space="preserve">The </w:t>
      </w:r>
      <w:r w:rsidRPr="00673E06">
        <w:t>National Policy Guidelines for Translocation of Domestic Bait and Berley</w:t>
      </w:r>
      <w:r>
        <w:t xml:space="preserve"> aim to provide a national framework for the development of bait translocation policies in Australia’s states and territories. Such policies are necessary to manage disease risks associated with domestic bait and berley use. The national policy guidelines provide information on bait and berley products, the nature of disease risks, principles for policy development, possible instruments for managing identified risks, and a staged approach for policy development.  </w:t>
      </w:r>
    </w:p>
    <w:p w:rsidR="00D3754A" w:rsidRDefault="00D3754A" w:rsidP="00D3754A">
      <w:r>
        <w:t xml:space="preserve">The scope of these policy guidelines extends to bait and berley for commercial and recreational fisheries, but not for other uses such as aquaculture feed. The policy guidelines do not consider imported aquatic animal products. Any risks associated with imported products are assessed by the Australian Government Department of Agriculture and any risk management measures implemented in accordance with the </w:t>
      </w:r>
      <w:r w:rsidRPr="00041B55">
        <w:rPr>
          <w:i/>
        </w:rPr>
        <w:t>Quarantine Act 1908</w:t>
      </w:r>
      <w:r>
        <w:t>.</w:t>
      </w:r>
    </w:p>
    <w:p w:rsidR="00310FF8" w:rsidRDefault="00055F5E" w:rsidP="00D3754A">
      <w:pPr>
        <w:pStyle w:val="Heading2"/>
      </w:pPr>
      <w:bookmarkStart w:id="2" w:name="_Toc419370624"/>
      <w:r w:rsidRPr="005A41EA">
        <w:lastRenderedPageBreak/>
        <w:t>Introduction</w:t>
      </w:r>
      <w:bookmarkEnd w:id="2"/>
    </w:p>
    <w:p w:rsidR="002E2CEB" w:rsidRDefault="00055F5E" w:rsidP="00B45005">
      <w:r>
        <w:t>Bait and berley are widely used by fishers in Australia</w:t>
      </w:r>
      <w:r w:rsidR="004B663D">
        <w:t xml:space="preserve"> </w:t>
      </w:r>
      <w:r>
        <w:t xml:space="preserve">to attract target </w:t>
      </w:r>
      <w:r w:rsidR="000F62F1">
        <w:t xml:space="preserve">aquatic animal </w:t>
      </w:r>
      <w:r>
        <w:t>species towards hooks, nets</w:t>
      </w:r>
      <w:r w:rsidR="0085149F">
        <w:t xml:space="preserve">, </w:t>
      </w:r>
      <w:r>
        <w:t>cages</w:t>
      </w:r>
      <w:r w:rsidR="0085149F">
        <w:t xml:space="preserve"> or </w:t>
      </w:r>
      <w:r>
        <w:t>pots for capture</w:t>
      </w:r>
      <w:r w:rsidR="00FC348C">
        <w:t>. Bait and berley</w:t>
      </w:r>
      <w:r w:rsidR="002E2CEB">
        <w:t xml:space="preserve"> </w:t>
      </w:r>
      <w:r w:rsidR="00203CC3">
        <w:t xml:space="preserve">are </w:t>
      </w:r>
      <w:r w:rsidR="002E2CEB">
        <w:t xml:space="preserve">integral to the success of commercial and recreational fisheries. </w:t>
      </w:r>
      <w:r>
        <w:t>The benefits provided to Australia’s economy through capture fisheries and recreational fishing are significant</w:t>
      </w:r>
      <w:r w:rsidR="00FC348C">
        <w:t>.</w:t>
      </w:r>
      <w:r w:rsidR="002E2CEB">
        <w:t xml:space="preserve"> </w:t>
      </w:r>
      <w:r w:rsidR="00FC348C">
        <w:t>T</w:t>
      </w:r>
      <w:r w:rsidR="002E2CEB">
        <w:t xml:space="preserve">hese sectors </w:t>
      </w:r>
      <w:r>
        <w:t xml:space="preserve">employ </w:t>
      </w:r>
      <w:r w:rsidR="002E2CEB">
        <w:t xml:space="preserve">more than 7300 </w:t>
      </w:r>
      <w:r>
        <w:t xml:space="preserve">people and support many other </w:t>
      </w:r>
      <w:r w:rsidRPr="008E5553">
        <w:t xml:space="preserve">businesses (Skirtun </w:t>
      </w:r>
      <w:r w:rsidRPr="00E04DEF">
        <w:t>et al.</w:t>
      </w:r>
      <w:r w:rsidR="00992270">
        <w:t xml:space="preserve"> </w:t>
      </w:r>
      <w:r w:rsidRPr="008E5553">
        <w:t>2012).</w:t>
      </w:r>
    </w:p>
    <w:p w:rsidR="00203CC3" w:rsidRDefault="002E2CEB" w:rsidP="00B45005">
      <w:r>
        <w:t xml:space="preserve">Numerous species are used as bait or berley in Australia. </w:t>
      </w:r>
      <w:r w:rsidR="00FC348C">
        <w:t xml:space="preserve">Bait and berley </w:t>
      </w:r>
      <w:r w:rsidR="00203CC3">
        <w:t>are</w:t>
      </w:r>
      <w:r>
        <w:t xml:space="preserve"> essential for commercial and recreational fisheries, </w:t>
      </w:r>
      <w:r w:rsidR="00FC348C">
        <w:t xml:space="preserve">however, </w:t>
      </w:r>
      <w:r>
        <w:t xml:space="preserve">the translocation of bait and berley </w:t>
      </w:r>
      <w:r w:rsidR="006219E0">
        <w:t xml:space="preserve">of aquatic animal origin </w:t>
      </w:r>
      <w:r>
        <w:t>may present risk</w:t>
      </w:r>
      <w:r w:rsidR="0085149F">
        <w:t>s</w:t>
      </w:r>
      <w:r>
        <w:t xml:space="preserve"> for transmission of aquatic animal diseases. These diseases may impact on </w:t>
      </w:r>
      <w:r w:rsidR="00FC348C">
        <w:t xml:space="preserve">the </w:t>
      </w:r>
      <w:r>
        <w:t xml:space="preserve">productivity and sustainability of commercial </w:t>
      </w:r>
      <w:r w:rsidR="0085149F">
        <w:t xml:space="preserve">fisheries, </w:t>
      </w:r>
      <w:r>
        <w:t xml:space="preserve">recreational fisheries, </w:t>
      </w:r>
      <w:r w:rsidR="0085149F">
        <w:t xml:space="preserve">and aquaculture; </w:t>
      </w:r>
      <w:r>
        <w:t xml:space="preserve">and could threaten aquatic ecosystems and endangered species. </w:t>
      </w:r>
      <w:r w:rsidR="006219E0">
        <w:t xml:space="preserve">Terrestrial animal or plant products may </w:t>
      </w:r>
      <w:r w:rsidR="00FC348C">
        <w:t xml:space="preserve">also </w:t>
      </w:r>
      <w:r w:rsidR="006219E0">
        <w:t>be used as bait and berley but are unlikely to carry pathogens that are infectious to aquatic animals.</w:t>
      </w:r>
    </w:p>
    <w:p w:rsidR="0085149F" w:rsidRDefault="00FC348C" w:rsidP="00B45005">
      <w:r w:rsidRPr="00E56461">
        <w:t xml:space="preserve">A risk </w:t>
      </w:r>
      <w:r w:rsidR="00203CC3">
        <w:t>assessment</w:t>
      </w:r>
      <w:r w:rsidRPr="00E56461">
        <w:t xml:space="preserve"> on aquatic animal diseases associated with translocation </w:t>
      </w:r>
      <w:r>
        <w:t xml:space="preserve">of </w:t>
      </w:r>
      <w:r w:rsidRPr="00E56461">
        <w:t>domestic bait</w:t>
      </w:r>
      <w:r>
        <w:t xml:space="preserve"> and berley was completed in 2011, </w:t>
      </w:r>
      <w:r w:rsidRPr="00FC348C">
        <w:rPr>
          <w:i/>
        </w:rPr>
        <w:t>A National Risk Analysis–Aquatic Animal Diseases Associated with Domestic Bait Translocation</w:t>
      </w:r>
      <w:r>
        <w:t xml:space="preserve"> (FRDC Project 2009/072; Diggles 2011). The </w:t>
      </w:r>
      <w:r w:rsidRPr="00E56461">
        <w:t xml:space="preserve">risk </w:t>
      </w:r>
      <w:r>
        <w:t>assessment</w:t>
      </w:r>
      <w:r w:rsidRPr="00E56461">
        <w:t xml:space="preserve"> </w:t>
      </w:r>
      <w:r>
        <w:t>found that there are several unacceptable disease risks associated with translocation of domestically sourced ba</w:t>
      </w:r>
      <w:r w:rsidR="00BA0B4B">
        <w:t>it and berley within Australia.</w:t>
      </w:r>
    </w:p>
    <w:p w:rsidR="00E50237" w:rsidRPr="00E50237" w:rsidRDefault="00E50237" w:rsidP="00B45005">
      <w:r w:rsidRPr="00E50237">
        <w:t>Examples of disease emergence associated with translocation of bait and berley products in Australia and internationally include:</w:t>
      </w:r>
    </w:p>
    <w:p w:rsidR="00E50237" w:rsidRPr="00E50237" w:rsidRDefault="00E50237" w:rsidP="0008634A">
      <w:pPr>
        <w:pStyle w:val="ListParagraph"/>
      </w:pPr>
      <w:r w:rsidRPr="00E50237">
        <w:t xml:space="preserve">Epizootic </w:t>
      </w:r>
      <w:r w:rsidR="00787F2A">
        <w:t>U</w:t>
      </w:r>
      <w:r w:rsidRPr="00E50237">
        <w:t xml:space="preserve">lcerative </w:t>
      </w:r>
      <w:r w:rsidR="00787F2A">
        <w:t>S</w:t>
      </w:r>
      <w:r w:rsidRPr="00E50237">
        <w:t>yndrome (EUS) introduced to new waterways in Australia with moveme</w:t>
      </w:r>
      <w:r w:rsidR="00BA0B4B">
        <w:t>nts of live mullet (</w:t>
      </w:r>
      <w:proofErr w:type="spellStart"/>
      <w:r w:rsidR="00BA0B4B">
        <w:t>Mugilidae</w:t>
      </w:r>
      <w:proofErr w:type="spellEnd"/>
      <w:r w:rsidR="00BA0B4B">
        <w:t>).</w:t>
      </w:r>
    </w:p>
    <w:p w:rsidR="00E50237" w:rsidRPr="00E50237" w:rsidRDefault="00E50237" w:rsidP="0008634A">
      <w:pPr>
        <w:pStyle w:val="ListParagraph"/>
      </w:pPr>
      <w:r w:rsidRPr="00E50237">
        <w:t xml:space="preserve">Viral </w:t>
      </w:r>
      <w:r w:rsidR="00787F2A">
        <w:t>H</w:t>
      </w:r>
      <w:r w:rsidRPr="00E50237">
        <w:t xml:space="preserve">aemorrhagic </w:t>
      </w:r>
      <w:r w:rsidR="00787F2A">
        <w:t>S</w:t>
      </w:r>
      <w:r w:rsidRPr="00E50237">
        <w:t xml:space="preserve">epticaemia </w:t>
      </w:r>
      <w:r w:rsidR="00787F2A">
        <w:t>V</w:t>
      </w:r>
      <w:r w:rsidRPr="00E50237">
        <w:t xml:space="preserve">irus </w:t>
      </w:r>
      <w:r w:rsidR="00802A16">
        <w:t>(VHS</w:t>
      </w:r>
      <w:r w:rsidR="00787F2A">
        <w:t>V</w:t>
      </w:r>
      <w:r w:rsidR="00802A16">
        <w:t xml:space="preserve">) </w:t>
      </w:r>
      <w:r w:rsidRPr="00E50237">
        <w:t>spread through the Great Lakes in North America, attributed</w:t>
      </w:r>
      <w:r w:rsidR="00BA0B4B">
        <w:t xml:space="preserve"> to transfer of live bait fish.</w:t>
      </w:r>
    </w:p>
    <w:p w:rsidR="00E50237" w:rsidRPr="00794746" w:rsidRDefault="00E50237" w:rsidP="0008634A">
      <w:pPr>
        <w:pStyle w:val="ListParagraph"/>
      </w:pPr>
      <w:r w:rsidRPr="00E50237">
        <w:t>Crayfish plague (</w:t>
      </w:r>
      <w:r w:rsidRPr="00E50237">
        <w:rPr>
          <w:i/>
        </w:rPr>
        <w:t>Aphanomyces astaci</w:t>
      </w:r>
      <w:r w:rsidRPr="00E50237">
        <w:t>)</w:t>
      </w:r>
      <w:r w:rsidRPr="00E50237">
        <w:rPr>
          <w:i/>
        </w:rPr>
        <w:t xml:space="preserve"> </w:t>
      </w:r>
      <w:r w:rsidRPr="00E50237">
        <w:t xml:space="preserve">could potentially </w:t>
      </w:r>
      <w:r w:rsidR="00AB401E" w:rsidRPr="00E50237">
        <w:t xml:space="preserve">be </w:t>
      </w:r>
      <w:r w:rsidRPr="00E50237">
        <w:t xml:space="preserve">transferred to new crayfish populations via the consumption and subsequent transfer of viable pathogen within the digestive system of live finfish </w:t>
      </w:r>
      <w:r w:rsidRPr="00794746">
        <w:t>(Oidtmann et al</w:t>
      </w:r>
      <w:r w:rsidR="008A3499">
        <w:t>.</w:t>
      </w:r>
      <w:r w:rsidR="00BA0B4B">
        <w:t xml:space="preserve"> 2002).</w:t>
      </w:r>
    </w:p>
    <w:p w:rsidR="00E50237" w:rsidRDefault="00E50237" w:rsidP="00B45005">
      <w:r w:rsidRPr="00E50237">
        <w:t>Some pathogens (e.g. VHS and EUS) can spread rapidly to new hosts in multiple environments (marine, estuary, freshwater) so may present a risk over a wider area than pathogens</w:t>
      </w:r>
      <w:r w:rsidR="001B3583" w:rsidRPr="001B3583">
        <w:t xml:space="preserve"> </w:t>
      </w:r>
      <w:r w:rsidR="001B3583">
        <w:t xml:space="preserve">that are </w:t>
      </w:r>
      <w:r w:rsidR="001B3583" w:rsidRPr="00E50237">
        <w:t>more</w:t>
      </w:r>
      <w:r w:rsidR="001B3583" w:rsidRPr="001B3583">
        <w:t xml:space="preserve"> </w:t>
      </w:r>
      <w:r w:rsidR="001B3583">
        <w:t>host-</w:t>
      </w:r>
      <w:r w:rsidR="001B3583" w:rsidRPr="00E50237">
        <w:t>specific</w:t>
      </w:r>
      <w:r w:rsidR="001B3583">
        <w:t xml:space="preserve"> or have narrower environmental tolerances</w:t>
      </w:r>
      <w:r w:rsidRPr="00E50237">
        <w:t>.</w:t>
      </w:r>
      <w:r w:rsidR="000F222A">
        <w:t xml:space="preserve"> The </w:t>
      </w:r>
      <w:r w:rsidR="001B3583">
        <w:t xml:space="preserve">likelihood of disease spread will depend on the nature of translocation pathways and the </w:t>
      </w:r>
      <w:r w:rsidR="000F222A">
        <w:t xml:space="preserve">distribution of </w:t>
      </w:r>
      <w:r w:rsidR="001B3583">
        <w:t>susceptible hosts</w:t>
      </w:r>
      <w:r w:rsidR="000F222A">
        <w:t>. However</w:t>
      </w:r>
      <w:r w:rsidR="001B3583">
        <w:t>, risk is a product of both likelihood and consequence</w:t>
      </w:r>
      <w:r w:rsidR="00550FA3">
        <w:t>—with a high likelihood of disease spread,</w:t>
      </w:r>
      <w:r w:rsidR="000F222A">
        <w:t xml:space="preserve"> the overall risk of disease may remain low</w:t>
      </w:r>
      <w:r w:rsidR="00550FA3">
        <w:t xml:space="preserve"> </w:t>
      </w:r>
      <w:r w:rsidR="000F222A">
        <w:t xml:space="preserve">if the </w:t>
      </w:r>
      <w:r w:rsidR="00167DF0">
        <w:t>consequences of disease establishment are</w:t>
      </w:r>
      <w:r w:rsidR="00BA0B4B">
        <w:t xml:space="preserve"> low.</w:t>
      </w:r>
    </w:p>
    <w:p w:rsidR="00A93E52" w:rsidRDefault="003F6BCE" w:rsidP="00B45005">
      <w:r>
        <w:t xml:space="preserve">SCAAH reviewed </w:t>
      </w:r>
      <w:r w:rsidR="00550FA3">
        <w:t xml:space="preserve">existing </w:t>
      </w:r>
      <w:r>
        <w:t>measures</w:t>
      </w:r>
      <w:r w:rsidR="000E661D">
        <w:t xml:space="preserve"> </w:t>
      </w:r>
      <w:r>
        <w:t xml:space="preserve">applied by Australian </w:t>
      </w:r>
      <w:r w:rsidR="00283183">
        <w:t>jurisdictions</w:t>
      </w:r>
      <w:r>
        <w:t xml:space="preserve"> to manage the aquatic animal disease risks associated with bait and berley translocation</w:t>
      </w:r>
      <w:r w:rsidR="00B962CA">
        <w:t>s</w:t>
      </w:r>
      <w:r w:rsidR="00550FA3">
        <w:t xml:space="preserve"> (</w:t>
      </w:r>
      <w:r w:rsidR="00550FA3" w:rsidRPr="002A6762">
        <w:t>June 2013</w:t>
      </w:r>
      <w:r w:rsidR="00550FA3">
        <w:t>)</w:t>
      </w:r>
      <w:r>
        <w:t xml:space="preserve">. The committee found that measures </w:t>
      </w:r>
      <w:r w:rsidR="00550FA3">
        <w:t xml:space="preserve">were </w:t>
      </w:r>
      <w:r>
        <w:t>insufficient to manage aquatic animal disease risks</w:t>
      </w:r>
      <w:r w:rsidR="00C61715">
        <w:t xml:space="preserve"> and that these risks are significant</w:t>
      </w:r>
      <w:r>
        <w:t xml:space="preserve">. The committee agreed </w:t>
      </w:r>
      <w:r w:rsidR="0011763D">
        <w:t>there is a need for</w:t>
      </w:r>
      <w:r>
        <w:t xml:space="preserve"> national policy guidelines to provide a consistent national framework for the development of bait translocation policies </w:t>
      </w:r>
      <w:r w:rsidR="00985FDE">
        <w:t>by</w:t>
      </w:r>
      <w:r>
        <w:t xml:space="preserve"> Australia’s states and territories. </w:t>
      </w:r>
      <w:r w:rsidR="0005309A">
        <w:t>The risk assessment (Diggles 2011) provides the scientific basis for recommendations included in these national policy guidelines.</w:t>
      </w:r>
    </w:p>
    <w:p w:rsidR="00A93E52" w:rsidRPr="00A93E52" w:rsidRDefault="00A93E52" w:rsidP="00B45005">
      <w:r w:rsidRPr="00A93E52">
        <w:lastRenderedPageBreak/>
        <w:t xml:space="preserve">The need for managing risks associated with translocation of bait and berley have been recognised for some time. </w:t>
      </w:r>
      <w:r>
        <w:t xml:space="preserve">The </w:t>
      </w:r>
      <w:r w:rsidRPr="00A93E52">
        <w:rPr>
          <w:i/>
        </w:rPr>
        <w:t>National Policy for the Translocation of Live Aquatic Organisms– Issues, Principles and Guidelines for Implementation</w:t>
      </w:r>
      <w:r w:rsidRPr="00A93E52">
        <w:t xml:space="preserve"> (1999) </w:t>
      </w:r>
      <w:r>
        <w:t xml:space="preserve">made recommendations to manage the risks associated with the translocation of live bait. The recommendations </w:t>
      </w:r>
      <w:r w:rsidRPr="00A93E52">
        <w:t>include:</w:t>
      </w:r>
    </w:p>
    <w:p w:rsidR="00A93E52" w:rsidRPr="00FD2DCC" w:rsidRDefault="00A93E52" w:rsidP="0008634A">
      <w:pPr>
        <w:pStyle w:val="ListParagraph"/>
      </w:pPr>
      <w:r>
        <w:t>Treating live bait production facilities in the same manner as closed aquaculture facilities</w:t>
      </w:r>
    </w:p>
    <w:p w:rsidR="00A93E52" w:rsidRPr="00FD2DCC" w:rsidRDefault="00A93E52" w:rsidP="0008634A">
      <w:pPr>
        <w:pStyle w:val="ListParagraph"/>
      </w:pPr>
      <w:r>
        <w:t>Educating anglers and bait suppliers on the implications of unwanted translocations</w:t>
      </w:r>
    </w:p>
    <w:p w:rsidR="00A93E52" w:rsidRPr="00FD2DCC" w:rsidRDefault="00A93E52" w:rsidP="0008634A">
      <w:pPr>
        <w:pStyle w:val="ListParagraph"/>
      </w:pPr>
      <w:r>
        <w:t>Prohibiting the sale and use of high risk species—including exotic species—as live bait</w:t>
      </w:r>
    </w:p>
    <w:p w:rsidR="00A93E52" w:rsidRPr="00FD2DCC" w:rsidRDefault="00A93E52" w:rsidP="0008634A">
      <w:pPr>
        <w:pStyle w:val="ListParagraph"/>
      </w:pPr>
      <w:r>
        <w:t>Restricting ornamental fish retailers f</w:t>
      </w:r>
      <w:r w:rsidR="00FD2DCC">
        <w:t>rom selling fish for a bait end-</w:t>
      </w:r>
      <w:r>
        <w:t>use through imposed licensing conditions.</w:t>
      </w:r>
    </w:p>
    <w:p w:rsidR="00985FDE" w:rsidRDefault="00985FDE" w:rsidP="00B45005">
      <w:r>
        <w:t xml:space="preserve">Any policies proposed to manage the disease risks associated with translocation of bait and berley may impact on the activities of commercial and recreational fisheries, or directly </w:t>
      </w:r>
      <w:r w:rsidR="006B11D4">
        <w:t xml:space="preserve">impact </w:t>
      </w:r>
      <w:r>
        <w:t xml:space="preserve">the bait industry. </w:t>
      </w:r>
      <w:r w:rsidR="0005309A">
        <w:t>Therefore</w:t>
      </w:r>
      <w:r>
        <w:t>, bait translocation policies should be based on scientific demonstration of risk, should propose measures that are the least restrictive to adequately manage the risks, and the benefits of any meas</w:t>
      </w:r>
      <w:r w:rsidR="00BA0B4B">
        <w:t>ures should outweigh the costs.</w:t>
      </w:r>
    </w:p>
    <w:p w:rsidR="005158ED" w:rsidRDefault="005158ED" w:rsidP="00312898">
      <w:pPr>
        <w:pStyle w:val="Heading3"/>
      </w:pPr>
      <w:bookmarkStart w:id="3" w:name="_Toc419370625"/>
      <w:r w:rsidRPr="00B45005">
        <w:t>Scope</w:t>
      </w:r>
      <w:bookmarkEnd w:id="3"/>
    </w:p>
    <w:p w:rsidR="005158ED" w:rsidRDefault="005158ED" w:rsidP="00B45005">
      <w:r>
        <w:t xml:space="preserve">For the purposes of these guidelines, bait and berley includes any product of aquatic animal origin used to attract aquatic animals for the purposes of capture by commercial or recreational fishers. </w:t>
      </w:r>
      <w:r w:rsidR="001C770E">
        <w:t xml:space="preserve">Bait and berley </w:t>
      </w:r>
      <w:r>
        <w:t xml:space="preserve">of terrestrial animal origin are not considered </w:t>
      </w:r>
      <w:r w:rsidR="001C770E">
        <w:t>in these guidelines</w:t>
      </w:r>
      <w:r>
        <w:t xml:space="preserve"> because they are unlikely to contain disease agents that are</w:t>
      </w:r>
      <w:r w:rsidR="00BA0B4B">
        <w:t xml:space="preserve"> infectious to aquatic animals.</w:t>
      </w:r>
    </w:p>
    <w:p w:rsidR="004B1B9D" w:rsidRDefault="004B2903" w:rsidP="00B45005">
      <w:r>
        <w:t xml:space="preserve">These policy guidelines consider bait and berley products of Australian origin. </w:t>
      </w:r>
      <w:r w:rsidR="001637D2">
        <w:t>The</w:t>
      </w:r>
      <w:r w:rsidR="00EB583A">
        <w:t>y</w:t>
      </w:r>
      <w:r w:rsidR="001637D2">
        <w:t xml:space="preserve"> do not consider bait or berley species that have been imported from other countries.</w:t>
      </w:r>
      <w:r w:rsidR="001637D2" w:rsidRPr="001637D2">
        <w:t xml:space="preserve"> </w:t>
      </w:r>
      <w:r w:rsidR="001637D2">
        <w:t xml:space="preserve">Import Risk Analyses </w:t>
      </w:r>
      <w:r w:rsidR="0011763D">
        <w:t xml:space="preserve">(enforced under the </w:t>
      </w:r>
      <w:r w:rsidR="0011763D">
        <w:rPr>
          <w:i/>
        </w:rPr>
        <w:t>Quarantine Act 1908</w:t>
      </w:r>
      <w:r w:rsidR="0011763D">
        <w:t xml:space="preserve">) </w:t>
      </w:r>
      <w:r w:rsidR="001637D2">
        <w:t xml:space="preserve">are conducted by the Department of Agriculture on incoming species </w:t>
      </w:r>
      <w:r w:rsidR="006F3229">
        <w:t>labelled</w:t>
      </w:r>
      <w:r w:rsidR="001637D2">
        <w:t xml:space="preserve"> to be used as bait or berley.</w:t>
      </w:r>
      <w:r w:rsidR="001637D2" w:rsidRPr="001637D2">
        <w:t xml:space="preserve"> </w:t>
      </w:r>
      <w:r w:rsidR="00F4245E">
        <w:t>Import conditions for s</w:t>
      </w:r>
      <w:r w:rsidR="001637D2">
        <w:t xml:space="preserve">eafood </w:t>
      </w:r>
      <w:r w:rsidR="00F4245E">
        <w:t xml:space="preserve">intended </w:t>
      </w:r>
      <w:r w:rsidR="001637D2">
        <w:t xml:space="preserve">for human consumption excludes the use of this product as bait. However, diversion of seafood </w:t>
      </w:r>
      <w:r w:rsidR="00550FA3">
        <w:t xml:space="preserve">intended </w:t>
      </w:r>
      <w:r w:rsidR="001637D2">
        <w:t xml:space="preserve">for human consumption </w:t>
      </w:r>
      <w:r w:rsidR="00550FA3">
        <w:t>for</w:t>
      </w:r>
      <w:r w:rsidR="00534DF4">
        <w:t xml:space="preserve"> </w:t>
      </w:r>
      <w:r w:rsidR="001637D2">
        <w:t xml:space="preserve">use as bait </w:t>
      </w:r>
      <w:r w:rsidR="00550FA3">
        <w:t>may present a disease risk and represents an</w:t>
      </w:r>
      <w:r w:rsidR="001637D2">
        <w:t xml:space="preserve"> enforcement issue. </w:t>
      </w:r>
      <w:r>
        <w:t xml:space="preserve">Similar to seafood, the </w:t>
      </w:r>
      <w:r w:rsidR="00550FA3">
        <w:t xml:space="preserve">diversion of imported </w:t>
      </w:r>
      <w:r>
        <w:t xml:space="preserve">live ornamental fish </w:t>
      </w:r>
      <w:r w:rsidR="00550FA3">
        <w:t>for</w:t>
      </w:r>
      <w:r w:rsidR="00CA0D94">
        <w:t xml:space="preserve"> use as bait also </w:t>
      </w:r>
      <w:r>
        <w:t>presents a disease risk</w:t>
      </w:r>
      <w:r w:rsidR="00CA0D94">
        <w:t xml:space="preserve">. This risk </w:t>
      </w:r>
      <w:r>
        <w:t xml:space="preserve">is addressed through </w:t>
      </w:r>
      <w:r w:rsidR="00C76F3D">
        <w:t xml:space="preserve">relevant </w:t>
      </w:r>
      <w:r w:rsidR="007F345D">
        <w:t>controls</w:t>
      </w:r>
      <w:r w:rsidR="00C76F3D">
        <w:t xml:space="preserve"> and </w:t>
      </w:r>
      <w:r>
        <w:t>education campaigns and is out of scope in th</w:t>
      </w:r>
      <w:r w:rsidR="00155FDF">
        <w:t>ese</w:t>
      </w:r>
      <w:r>
        <w:t xml:space="preserve"> guideline</w:t>
      </w:r>
      <w:r w:rsidR="00155FDF">
        <w:t>s</w:t>
      </w:r>
      <w:r>
        <w:t>.</w:t>
      </w:r>
    </w:p>
    <w:p w:rsidR="005158ED" w:rsidRDefault="005158ED" w:rsidP="00B45005">
      <w:r>
        <w:t>Aquatic animals and their products used for other purposes, such as aquaculture feed, are not considered</w:t>
      </w:r>
      <w:r w:rsidR="00550FA3">
        <w:t xml:space="preserve"> in these guidelines</w:t>
      </w:r>
      <w:r>
        <w:t xml:space="preserve">. The aquatic animal disease risks associated with aquaculture feeds present a different risk profile and </w:t>
      </w:r>
      <w:r w:rsidR="006F3229">
        <w:t xml:space="preserve">different </w:t>
      </w:r>
      <w:r>
        <w:t>control measures. Guidance on the control of aquatic animal health hazards in aquatic animal feeds can be found in Chapter 6.1 of the OIE Aquatic Animal Health Code.</w:t>
      </w:r>
    </w:p>
    <w:p w:rsidR="005158ED" w:rsidRDefault="005158ED" w:rsidP="00B45005">
      <w:r>
        <w:t xml:space="preserve">These guidelines do not </w:t>
      </w:r>
      <w:r w:rsidR="004B2903">
        <w:t xml:space="preserve">include </w:t>
      </w:r>
      <w:r>
        <w:t>other potential impacts of translocating live bait, such as aquatic animal welfare and</w:t>
      </w:r>
      <w:r w:rsidR="00BA0B4B">
        <w:t xml:space="preserve"> noxious species translocation.</w:t>
      </w:r>
    </w:p>
    <w:p w:rsidR="0041654B" w:rsidRDefault="0041654B" w:rsidP="00312898">
      <w:pPr>
        <w:pStyle w:val="Heading3"/>
      </w:pPr>
      <w:bookmarkStart w:id="4" w:name="_Toc419370626"/>
      <w:r>
        <w:t>National context</w:t>
      </w:r>
      <w:bookmarkEnd w:id="4"/>
    </w:p>
    <w:p w:rsidR="00310FF8" w:rsidRDefault="00055F5E" w:rsidP="00B45005">
      <w:pPr>
        <w:rPr>
          <w:b/>
        </w:rPr>
      </w:pPr>
      <w:r>
        <w:t xml:space="preserve">The translocation of bait and berley products </w:t>
      </w:r>
      <w:r w:rsidR="001F6E31">
        <w:t xml:space="preserve">presents </w:t>
      </w:r>
      <w:r>
        <w:t>risk</w:t>
      </w:r>
      <w:r w:rsidR="00116BA7">
        <w:t>s</w:t>
      </w:r>
      <w:r>
        <w:t xml:space="preserve"> for the introduction and establishment of aquatic animal </w:t>
      </w:r>
      <w:r w:rsidR="00874024">
        <w:t xml:space="preserve">disease </w:t>
      </w:r>
      <w:r>
        <w:t xml:space="preserve">into waterways </w:t>
      </w:r>
      <w:r w:rsidR="00CC6898">
        <w:t>where a disease is absent</w:t>
      </w:r>
      <w:r>
        <w:t xml:space="preserve">. </w:t>
      </w:r>
      <w:r w:rsidR="00116BA7">
        <w:t>Translocated bait and berley may provide a direct pathway to na</w:t>
      </w:r>
      <w:r w:rsidR="0044549B" w:rsidRPr="00EE08E1">
        <w:t>ï</w:t>
      </w:r>
      <w:r w:rsidR="00116BA7">
        <w:t xml:space="preserve">ve populations of susceptible species </w:t>
      </w:r>
      <w:r w:rsidR="00116BA7">
        <w:lastRenderedPageBreak/>
        <w:t xml:space="preserve">because they are intentionally placed in waterways and it is expected that they will be ingested by aquatic animals. </w:t>
      </w:r>
      <w:r w:rsidR="00CC6898">
        <w:t xml:space="preserve">Some significant aquatic animal diseases occur in parts of Australia, and there </w:t>
      </w:r>
      <w:r w:rsidR="00FA2407">
        <w:t>are</w:t>
      </w:r>
      <w:r w:rsidR="00CC6898">
        <w:t xml:space="preserve"> clear benefits in controlling their spread to unaffected areas. This </w:t>
      </w:r>
      <w:r w:rsidR="00EA6C3C">
        <w:t>is</w:t>
      </w:r>
      <w:r w:rsidR="00CC6898">
        <w:t xml:space="preserve"> particularly important </w:t>
      </w:r>
      <w:r w:rsidR="00EA6C3C">
        <w:t>because</w:t>
      </w:r>
      <w:r w:rsidR="00CC6898">
        <w:t xml:space="preserve"> </w:t>
      </w:r>
      <w:r>
        <w:t xml:space="preserve">the spread of disease in </w:t>
      </w:r>
      <w:r w:rsidR="00B95943">
        <w:t>open aquatic environments</w:t>
      </w:r>
      <w:r>
        <w:t xml:space="preserve"> is </w:t>
      </w:r>
      <w:r w:rsidR="00EA6C3C">
        <w:t xml:space="preserve">difficult to manage and </w:t>
      </w:r>
      <w:r>
        <w:t>often irreversible.</w:t>
      </w:r>
    </w:p>
    <w:p w:rsidR="00C60809" w:rsidRDefault="00055F5E" w:rsidP="00B45005">
      <w:r>
        <w:t xml:space="preserve">Translocation of bait and berley products </w:t>
      </w:r>
      <w:r w:rsidR="00B95943">
        <w:t xml:space="preserve">in Australia occurs on a local, regional and interstate </w:t>
      </w:r>
      <w:r w:rsidR="00C60809">
        <w:t>scale</w:t>
      </w:r>
      <w:r w:rsidR="00B95943">
        <w:t xml:space="preserve">. These policy guidelines are intended to address policy at any of these scales. Trade </w:t>
      </w:r>
      <w:r>
        <w:t>between Australian states and territories occurs through interstate sales</w:t>
      </w:r>
      <w:r w:rsidR="00B95943">
        <w:t>,</w:t>
      </w:r>
      <w:r>
        <w:t xml:space="preserve"> and </w:t>
      </w:r>
      <w:r w:rsidR="00B95943">
        <w:t xml:space="preserve">through the </w:t>
      </w:r>
      <w:r>
        <w:t xml:space="preserve">movement of fishers. </w:t>
      </w:r>
      <w:r w:rsidR="00B95943">
        <w:t xml:space="preserve">The level of risk </w:t>
      </w:r>
      <w:r w:rsidR="00070504">
        <w:t xml:space="preserve">associated with translocations </w:t>
      </w:r>
      <w:r w:rsidR="00B95943">
        <w:t xml:space="preserve">will depend on </w:t>
      </w:r>
      <w:r w:rsidR="00227481">
        <w:t>many factors including</w:t>
      </w:r>
      <w:r w:rsidR="00436DC5">
        <w:t xml:space="preserve"> the</w:t>
      </w:r>
      <w:r w:rsidR="00EE04A1">
        <w:t>:</w:t>
      </w:r>
    </w:p>
    <w:p w:rsidR="00C60809" w:rsidRDefault="00B95943" w:rsidP="0008634A">
      <w:pPr>
        <w:pStyle w:val="ListParagraph"/>
      </w:pPr>
      <w:r w:rsidRPr="00C60809">
        <w:t xml:space="preserve">disease status at the origin of the </w:t>
      </w:r>
      <w:r w:rsidR="00227481" w:rsidRPr="00C60809">
        <w:t>bait</w:t>
      </w:r>
      <w:r w:rsidRPr="00C60809">
        <w:t xml:space="preserve"> products</w:t>
      </w:r>
    </w:p>
    <w:p w:rsidR="00C60809" w:rsidRDefault="00227481" w:rsidP="0008634A">
      <w:pPr>
        <w:pStyle w:val="ListParagraph"/>
      </w:pPr>
      <w:r w:rsidRPr="00C60809">
        <w:t xml:space="preserve">disease </w:t>
      </w:r>
      <w:r w:rsidR="00B95943" w:rsidRPr="00C60809">
        <w:t>status at the area of intended use</w:t>
      </w:r>
    </w:p>
    <w:p w:rsidR="00C60809" w:rsidRDefault="00B95943" w:rsidP="0008634A">
      <w:pPr>
        <w:pStyle w:val="ListParagraph"/>
      </w:pPr>
      <w:r w:rsidRPr="00C60809">
        <w:t xml:space="preserve">species of aquatic animal </w:t>
      </w:r>
      <w:r w:rsidR="00227481" w:rsidRPr="00C60809">
        <w:t xml:space="preserve">used as bait </w:t>
      </w:r>
      <w:r w:rsidRPr="00C60809">
        <w:t xml:space="preserve">and its susceptibility to </w:t>
      </w:r>
      <w:r w:rsidR="009D01E5" w:rsidRPr="00C60809">
        <w:t xml:space="preserve">the </w:t>
      </w:r>
      <w:r w:rsidRPr="00C60809">
        <w:t>pathogen</w:t>
      </w:r>
      <w:r w:rsidR="009D01E5" w:rsidRPr="00C60809">
        <w:t>(</w:t>
      </w:r>
      <w:r w:rsidRPr="00C60809">
        <w:t>s</w:t>
      </w:r>
      <w:r w:rsidR="009D01E5" w:rsidRPr="00C60809">
        <w:t>)</w:t>
      </w:r>
      <w:r w:rsidRPr="00C60809">
        <w:t xml:space="preserve"> of concern</w:t>
      </w:r>
    </w:p>
    <w:p w:rsidR="00C60809" w:rsidRDefault="00B95943" w:rsidP="0008634A">
      <w:pPr>
        <w:pStyle w:val="ListParagraph"/>
      </w:pPr>
      <w:r w:rsidRPr="00C60809">
        <w:t xml:space="preserve">level of processing </w:t>
      </w:r>
      <w:r w:rsidR="007D38B1" w:rsidRPr="00C60809">
        <w:t xml:space="preserve">and </w:t>
      </w:r>
      <w:r w:rsidRPr="00C60809">
        <w:t xml:space="preserve">nature of the </w:t>
      </w:r>
      <w:r w:rsidR="009D01E5" w:rsidRPr="00C60809">
        <w:t>bait product</w:t>
      </w:r>
    </w:p>
    <w:p w:rsidR="00C60809" w:rsidRDefault="00227481" w:rsidP="0008634A">
      <w:pPr>
        <w:pStyle w:val="ListParagraph"/>
      </w:pPr>
      <w:r w:rsidRPr="00C60809">
        <w:t>presence of susceptible species at the site of use</w:t>
      </w:r>
    </w:p>
    <w:p w:rsidR="00C60809" w:rsidRDefault="00227481" w:rsidP="0008634A">
      <w:pPr>
        <w:pStyle w:val="ListParagraph"/>
      </w:pPr>
      <w:r w:rsidRPr="00C60809">
        <w:t>potential consequences of establishment of the disease</w:t>
      </w:r>
      <w:r w:rsidR="001F6E31" w:rsidRPr="00C60809">
        <w:t>.</w:t>
      </w:r>
    </w:p>
    <w:p w:rsidR="00310FF8" w:rsidRPr="00C60809" w:rsidRDefault="001F6E31" w:rsidP="00B45005">
      <w:r w:rsidRPr="00C60809">
        <w:t xml:space="preserve">These issues are described further in </w:t>
      </w:r>
      <w:r w:rsidR="00070504" w:rsidRPr="00C60809">
        <w:t>s</w:t>
      </w:r>
      <w:r w:rsidRPr="00C60809">
        <w:t>ection 2</w:t>
      </w:r>
      <w:r w:rsidR="00070504" w:rsidRPr="00C60809">
        <w:t xml:space="preserve"> of </w:t>
      </w:r>
      <w:r w:rsidR="00436DC5">
        <w:t>these guidelines</w:t>
      </w:r>
      <w:r w:rsidRPr="00C60809">
        <w:t>.</w:t>
      </w:r>
    </w:p>
    <w:p w:rsidR="00F82E2A" w:rsidRDefault="00055F5E" w:rsidP="00B45005">
      <w:r>
        <w:t xml:space="preserve">Each </w:t>
      </w:r>
      <w:r w:rsidR="00AC5A6A">
        <w:t>jurisdiction</w:t>
      </w:r>
      <w:r>
        <w:t xml:space="preserve"> is responsible for managing aquatic animal health within </w:t>
      </w:r>
      <w:r w:rsidR="00AC5A6A">
        <w:t>its</w:t>
      </w:r>
      <w:r>
        <w:t xml:space="preserve"> borders. </w:t>
      </w:r>
      <w:r w:rsidR="007D38B1">
        <w:t>J</w:t>
      </w:r>
      <w:r>
        <w:t>urisdiction</w:t>
      </w:r>
      <w:r w:rsidR="007D38B1">
        <w:t xml:space="preserve">s have controls in place to manage aquatic animal health risks associated with bait translocation; however, the controls are not comprehensive </w:t>
      </w:r>
      <w:r w:rsidR="00070504">
        <w:t xml:space="preserve">or consistent between jurisdictions. </w:t>
      </w:r>
      <w:r w:rsidR="00F82E2A">
        <w:t xml:space="preserve">Many state and territory controls on live bait have been implemented to manage pest and population genetics issues, </w:t>
      </w:r>
      <w:r w:rsidR="00534DF4">
        <w:t xml:space="preserve">although, </w:t>
      </w:r>
      <w:r w:rsidR="00215490">
        <w:t xml:space="preserve">these controls </w:t>
      </w:r>
      <w:r w:rsidR="00F82E2A">
        <w:t>may also mitigate disease risks.</w:t>
      </w:r>
    </w:p>
    <w:p w:rsidR="00556560" w:rsidRDefault="00070504" w:rsidP="00B45005">
      <w:r>
        <w:t xml:space="preserve">Existing </w:t>
      </w:r>
      <w:r w:rsidR="002A71AD">
        <w:t>jurisdictional</w:t>
      </w:r>
      <w:r w:rsidR="00055F5E">
        <w:t xml:space="preserve"> </w:t>
      </w:r>
      <w:r>
        <w:t xml:space="preserve">controls on the </w:t>
      </w:r>
      <w:r w:rsidR="00055F5E">
        <w:t xml:space="preserve">use of domestic bait and berley in Australia </w:t>
      </w:r>
      <w:r>
        <w:t xml:space="preserve">are summarised </w:t>
      </w:r>
      <w:r w:rsidRPr="00070504">
        <w:t xml:space="preserve">in </w:t>
      </w:r>
      <w:r w:rsidR="00055F5E" w:rsidRPr="00070504">
        <w:t>Appendix 1</w:t>
      </w:r>
      <w:r w:rsidR="00BA0B4B">
        <w:t>.</w:t>
      </w:r>
    </w:p>
    <w:p w:rsidR="00310FF8" w:rsidRDefault="00055F5E" w:rsidP="00B45005">
      <w:pPr>
        <w:rPr>
          <w:b/>
        </w:rPr>
      </w:pPr>
      <w:r>
        <w:t xml:space="preserve">The most commonly shared interstate legislative controls are bans on the use of abalone viscera as bait, </w:t>
      </w:r>
      <w:r w:rsidR="00910092">
        <w:t xml:space="preserve">however, it is important to note the controls were not implemented until </w:t>
      </w:r>
      <w:r w:rsidR="00910092" w:rsidRPr="00E259C8">
        <w:rPr>
          <w:i/>
        </w:rPr>
        <w:t xml:space="preserve">after </w:t>
      </w:r>
      <w:r>
        <w:t xml:space="preserve">the detection of </w:t>
      </w:r>
      <w:r w:rsidR="00787F2A">
        <w:t>A</w:t>
      </w:r>
      <w:r>
        <w:t xml:space="preserve">balone </w:t>
      </w:r>
      <w:r w:rsidR="00787F2A">
        <w:t>V</w:t>
      </w:r>
      <w:r>
        <w:t xml:space="preserve">iral </w:t>
      </w:r>
      <w:r w:rsidR="00787F2A">
        <w:t>G</w:t>
      </w:r>
      <w:r>
        <w:t xml:space="preserve">anglioneuritis (AVG) in Victoria </w:t>
      </w:r>
      <w:r w:rsidR="00F82E2A">
        <w:t>in 2005.</w:t>
      </w:r>
      <w:r w:rsidR="00231906">
        <w:t xml:space="preserve"> </w:t>
      </w:r>
      <w:r w:rsidR="00290A1B">
        <w:t>By the time the controls were implemented, the virus had already</w:t>
      </w:r>
      <w:r w:rsidR="00133144">
        <w:t xml:space="preserve"> had a</w:t>
      </w:r>
      <w:r w:rsidR="00290A1B">
        <w:t xml:space="preserve"> significant impact.</w:t>
      </w:r>
    </w:p>
    <w:p w:rsidR="002E6522" w:rsidRDefault="00055F5E" w:rsidP="00B45005">
      <w:r>
        <w:t xml:space="preserve">These </w:t>
      </w:r>
      <w:r w:rsidR="004A407F">
        <w:t xml:space="preserve">national policy guidelines </w:t>
      </w:r>
      <w:r>
        <w:t xml:space="preserve">are intended to provide a consistent framework </w:t>
      </w:r>
      <w:r w:rsidR="004A407F">
        <w:t>for</w:t>
      </w:r>
      <w:r w:rsidR="002E6522">
        <w:t xml:space="preserve"> </w:t>
      </w:r>
      <w:r>
        <w:t xml:space="preserve">jurisdictions </w:t>
      </w:r>
      <w:r w:rsidR="004A407F">
        <w:t>to</w:t>
      </w:r>
      <w:r w:rsidR="002E6522">
        <w:t xml:space="preserve"> undertake</w:t>
      </w:r>
      <w:r>
        <w:t xml:space="preserve"> risk assessments </w:t>
      </w:r>
      <w:r w:rsidR="002E6522">
        <w:t>and develop appropriate policy to manage any identified disease risks associated with</w:t>
      </w:r>
      <w:r>
        <w:t xml:space="preserve"> translocation of bait and berley products. </w:t>
      </w:r>
      <w:r w:rsidR="002E6522" w:rsidRPr="00B95943">
        <w:t xml:space="preserve">Nationally harmonised bait and berley translocation policy guidelines will </w:t>
      </w:r>
      <w:r w:rsidR="00A9703C" w:rsidRPr="00B95943">
        <w:t xml:space="preserve">minimise the potential for spread of aquatic animal diseases </w:t>
      </w:r>
      <w:r w:rsidR="00A9703C">
        <w:t>and</w:t>
      </w:r>
      <w:r w:rsidR="00A9703C" w:rsidRPr="00B95943">
        <w:t xml:space="preserve"> </w:t>
      </w:r>
      <w:r w:rsidR="002E6522" w:rsidRPr="00B95943">
        <w:t xml:space="preserve">improve Australia’s biosecurity, </w:t>
      </w:r>
      <w:r w:rsidR="00DB3E88">
        <w:t xml:space="preserve">protect </w:t>
      </w:r>
      <w:r w:rsidR="00DB3E88" w:rsidRPr="00B95943">
        <w:t>industr</w:t>
      </w:r>
      <w:r w:rsidR="00DB3E88">
        <w:t>y productivity</w:t>
      </w:r>
      <w:r w:rsidR="00DB3E88" w:rsidRPr="00B95943">
        <w:t xml:space="preserve"> </w:t>
      </w:r>
      <w:r w:rsidR="002E6522" w:rsidRPr="00B95943">
        <w:t xml:space="preserve">and </w:t>
      </w:r>
      <w:r w:rsidR="00DB3E88">
        <w:t xml:space="preserve">maintain </w:t>
      </w:r>
      <w:r w:rsidR="002E6522" w:rsidRPr="00B95943">
        <w:t>ecological sustainability.</w:t>
      </w:r>
    </w:p>
    <w:p w:rsidR="00310FF8" w:rsidRDefault="00055F5E" w:rsidP="00312898">
      <w:pPr>
        <w:pStyle w:val="Heading3"/>
      </w:pPr>
      <w:bookmarkStart w:id="5" w:name="_Toc419370627"/>
      <w:r>
        <w:t>International context</w:t>
      </w:r>
      <w:bookmarkEnd w:id="5"/>
    </w:p>
    <w:p w:rsidR="00FC1A5F" w:rsidRDefault="00FC1A5F" w:rsidP="00B45005">
      <w:r>
        <w:t xml:space="preserve">Australia is a member of the World Trade Organisation and is bound by the Agreement on the Application of Sanitary and Phytosanitary Measures (SPS Agreement). The World Organisation for Animal Health (OIE) </w:t>
      </w:r>
      <w:r w:rsidR="00DB3E88">
        <w:t xml:space="preserve">is recognised by the WTO as the standard setting organisation for aquatic animal sanitary measures. The OIE’s </w:t>
      </w:r>
      <w:r>
        <w:t xml:space="preserve">objectives include ensuring transparency in the </w:t>
      </w:r>
      <w:r>
        <w:lastRenderedPageBreak/>
        <w:t>global animal disease and zoonosis situation, and publishing health standards for trade in animals and animal products. Australia is a member of the OIE and has established and maintained animal disease reporting and surveillance programs which demonstrate Australia’s disease status and informs international trading conditions. It is important to ensure that within Australia</w:t>
      </w:r>
      <w:r w:rsidR="00FB3D41">
        <w:t>,</w:t>
      </w:r>
      <w:r>
        <w:t xml:space="preserve"> </w:t>
      </w:r>
      <w:r w:rsidR="008D7A86">
        <w:t xml:space="preserve">the domestic measures in place for bait and berley translocations </w:t>
      </w:r>
      <w:r w:rsidR="00FB6E56">
        <w:t>are</w:t>
      </w:r>
      <w:r>
        <w:t xml:space="preserve"> </w:t>
      </w:r>
      <w:r w:rsidR="00DB3E88">
        <w:t>not inconsistent with</w:t>
      </w:r>
      <w:r w:rsidR="00FB6E56">
        <w:t xml:space="preserve"> the</w:t>
      </w:r>
      <w:r>
        <w:t xml:space="preserve"> measures applied at Australia’s border.</w:t>
      </w:r>
    </w:p>
    <w:p w:rsidR="00310FF8" w:rsidRDefault="00055F5E" w:rsidP="00B45005">
      <w:r>
        <w:t xml:space="preserve">A coordinated national approach to managing disease risks through controls on translocation of bait and berley products will meet </w:t>
      </w:r>
      <w:r w:rsidR="00291600">
        <w:t xml:space="preserve">Australia’s </w:t>
      </w:r>
      <w:r>
        <w:t>national biosecurity requirements, and support international trading negotiations and declarations of disease freedom.</w:t>
      </w:r>
    </w:p>
    <w:p w:rsidR="00BD133C" w:rsidRDefault="00055F5E" w:rsidP="00B45005">
      <w:r>
        <w:t xml:space="preserve">Risk assessments provide a scientific basis </w:t>
      </w:r>
      <w:r w:rsidR="00267636">
        <w:t>for</w:t>
      </w:r>
      <w:r>
        <w:t xml:space="preserve"> policy recommendations</w:t>
      </w:r>
      <w:r w:rsidR="00267636">
        <w:t xml:space="preserve"> and decisions</w:t>
      </w:r>
      <w:r>
        <w:t xml:space="preserve"> and legislative amendments. Risk assessments </w:t>
      </w:r>
      <w:r w:rsidR="00267636">
        <w:t xml:space="preserve">can </w:t>
      </w:r>
      <w:r>
        <w:t>estimate the likelihood of pathogens being present in bait or berley products, their viability throughout translocation, likelihood of release from the product, and likelihood of establishment in a new location through interaction with a susceptible species, and the estimated consequences of the aquatic animal pathogens establishing in a new area or population.</w:t>
      </w:r>
      <w:r w:rsidR="00DA720E">
        <w:t xml:space="preserve"> </w:t>
      </w:r>
      <w:proofErr w:type="gramStart"/>
      <w:r>
        <w:t>Risk</w:t>
      </w:r>
      <w:proofErr w:type="gramEnd"/>
      <w:r>
        <w:t xml:space="preserve"> assessments help p</w:t>
      </w:r>
      <w:r w:rsidR="00BA0B4B">
        <w:t>rioritise resource allocation.</w:t>
      </w:r>
    </w:p>
    <w:p w:rsidR="00310FF8" w:rsidRDefault="00055F5E" w:rsidP="00D3754A">
      <w:pPr>
        <w:pStyle w:val="Heading2"/>
      </w:pPr>
      <w:bookmarkStart w:id="6" w:name="_Toc419370628"/>
      <w:r w:rsidRPr="00D3754A">
        <w:lastRenderedPageBreak/>
        <w:t>Bait</w:t>
      </w:r>
      <w:r>
        <w:t xml:space="preserve"> and Berley Products</w:t>
      </w:r>
      <w:bookmarkEnd w:id="6"/>
      <w:r>
        <w:t xml:space="preserve"> </w:t>
      </w:r>
    </w:p>
    <w:p w:rsidR="003047D4" w:rsidRDefault="00055F5E" w:rsidP="003047D4">
      <w:r>
        <w:t>Many species of aquatic animals and their products are used for bait or berley in Australia</w:t>
      </w:r>
      <w:r w:rsidR="00215490">
        <w:t xml:space="preserve"> by recreational and commercial fishers</w:t>
      </w:r>
      <w:r w:rsidR="003B2902">
        <w:t xml:space="preserve"> as outlined in</w:t>
      </w:r>
      <w:r w:rsidR="003A1CB3">
        <w:t xml:space="preserve"> Tables 1–4</w:t>
      </w:r>
      <w:r>
        <w:t xml:space="preserve">. The risk assessment </w:t>
      </w:r>
      <w:r w:rsidR="00D27322">
        <w:t xml:space="preserve">(Diggles 2011) </w:t>
      </w:r>
      <w:r>
        <w:t xml:space="preserve">identified a number of </w:t>
      </w:r>
      <w:r w:rsidR="003B2902">
        <w:t xml:space="preserve">these </w:t>
      </w:r>
      <w:r>
        <w:t>bait and berley products with potential to contain aquatic pathogens.</w:t>
      </w:r>
      <w:bookmarkStart w:id="7" w:name="_Ref416705636"/>
    </w:p>
    <w:p w:rsidR="006565CE" w:rsidRPr="00A309F4" w:rsidRDefault="006565CE" w:rsidP="003047D4">
      <w:pPr>
        <w:pStyle w:val="Caption"/>
      </w:pPr>
      <w:r w:rsidRPr="00A309F4">
        <w:t xml:space="preserve">Table </w:t>
      </w:r>
      <w:fldSimple w:instr=" SEQ Table \* ARABIC ">
        <w:r w:rsidR="00B55546">
          <w:rPr>
            <w:noProof/>
          </w:rPr>
          <w:t>1</w:t>
        </w:r>
      </w:fldSimple>
      <w:bookmarkEnd w:id="7"/>
      <w:r w:rsidRPr="00A309F4">
        <w:t xml:space="preserve">: </w:t>
      </w:r>
      <w:r w:rsidR="0089673B">
        <w:t>Live b</w:t>
      </w:r>
      <w:r w:rsidRPr="00A309F4">
        <w:t>ait and berley products and their uses in various fishing activities</w:t>
      </w:r>
    </w:p>
    <w:tbl>
      <w:tblPr>
        <w:tblStyle w:val="TableGrid"/>
        <w:tblW w:w="0" w:type="auto"/>
        <w:tblInd w:w="108" w:type="dxa"/>
        <w:tblLayout w:type="fixed"/>
        <w:tblLook w:val="04A0"/>
      </w:tblPr>
      <w:tblGrid>
        <w:gridCol w:w="1985"/>
        <w:gridCol w:w="2268"/>
        <w:gridCol w:w="2268"/>
        <w:gridCol w:w="2410"/>
      </w:tblGrid>
      <w:tr w:rsidR="00FB4490" w:rsidRPr="0089673B" w:rsidTr="00EE04A1">
        <w:trPr>
          <w:cantSplit/>
          <w:trHeight w:val="284"/>
        </w:trPr>
        <w:tc>
          <w:tcPr>
            <w:tcW w:w="1985" w:type="dxa"/>
            <w:tcBorders>
              <w:top w:val="single" w:sz="12" w:space="0" w:color="auto"/>
            </w:tcBorders>
            <w:shd w:val="clear" w:color="auto" w:fill="F2F2F2" w:themeFill="background1" w:themeFillShade="F2"/>
          </w:tcPr>
          <w:p w:rsidR="00FB4490" w:rsidRPr="0089673B" w:rsidRDefault="00FB4490" w:rsidP="00AE5704">
            <w:pPr>
              <w:rPr>
                <w:b/>
                <w:sz w:val="20"/>
                <w:szCs w:val="20"/>
              </w:rPr>
            </w:pPr>
            <w:r w:rsidRPr="0089673B">
              <w:rPr>
                <w:b/>
                <w:sz w:val="20"/>
                <w:szCs w:val="20"/>
              </w:rPr>
              <w:t xml:space="preserve">Live </w:t>
            </w:r>
            <w:r w:rsidR="0089673B" w:rsidRPr="0089673B">
              <w:rPr>
                <w:b/>
                <w:sz w:val="20"/>
                <w:szCs w:val="20"/>
              </w:rPr>
              <w:t>bait/berley</w:t>
            </w:r>
          </w:p>
        </w:tc>
        <w:tc>
          <w:tcPr>
            <w:tcW w:w="2268" w:type="dxa"/>
            <w:tcBorders>
              <w:top w:val="single" w:sz="12" w:space="0" w:color="auto"/>
            </w:tcBorders>
            <w:shd w:val="clear" w:color="auto" w:fill="F2F2F2" w:themeFill="background1" w:themeFillShade="F2"/>
          </w:tcPr>
          <w:p w:rsidR="0089673B" w:rsidRPr="0089673B" w:rsidRDefault="0089673B" w:rsidP="0089673B">
            <w:pPr>
              <w:rPr>
                <w:b/>
                <w:sz w:val="20"/>
                <w:szCs w:val="20"/>
              </w:rPr>
            </w:pPr>
            <w:r w:rsidRPr="0089673B">
              <w:rPr>
                <w:b/>
                <w:sz w:val="20"/>
                <w:szCs w:val="20"/>
              </w:rPr>
              <w:t>Line fishing</w:t>
            </w:r>
          </w:p>
          <w:p w:rsidR="00FB4490" w:rsidRPr="0089673B" w:rsidRDefault="0089673B" w:rsidP="0089673B">
            <w:pPr>
              <w:rPr>
                <w:sz w:val="20"/>
                <w:szCs w:val="20"/>
              </w:rPr>
            </w:pPr>
            <w:r w:rsidRPr="0089673B">
              <w:rPr>
                <w:b/>
                <w:sz w:val="20"/>
                <w:szCs w:val="20"/>
              </w:rPr>
              <w:t>(Recreational)</w:t>
            </w:r>
          </w:p>
        </w:tc>
        <w:tc>
          <w:tcPr>
            <w:tcW w:w="2268" w:type="dxa"/>
            <w:tcBorders>
              <w:top w:val="single" w:sz="12" w:space="0" w:color="auto"/>
            </w:tcBorders>
            <w:shd w:val="clear" w:color="auto" w:fill="F2F2F2" w:themeFill="background1" w:themeFillShade="F2"/>
          </w:tcPr>
          <w:p w:rsidR="00FB4490" w:rsidRPr="0089673B" w:rsidRDefault="0089673B" w:rsidP="00AE5704">
            <w:pPr>
              <w:rPr>
                <w:sz w:val="20"/>
                <w:szCs w:val="20"/>
              </w:rPr>
            </w:pPr>
            <w:r w:rsidRPr="0089673B">
              <w:rPr>
                <w:b/>
                <w:sz w:val="20"/>
                <w:szCs w:val="20"/>
              </w:rPr>
              <w:t>Longlines and droplines (Commercial)</w:t>
            </w:r>
          </w:p>
        </w:tc>
        <w:tc>
          <w:tcPr>
            <w:tcW w:w="2410" w:type="dxa"/>
            <w:tcBorders>
              <w:top w:val="single" w:sz="12" w:space="0" w:color="auto"/>
            </w:tcBorders>
            <w:shd w:val="clear" w:color="auto" w:fill="F2F2F2" w:themeFill="background1" w:themeFillShade="F2"/>
          </w:tcPr>
          <w:p w:rsidR="00FB4490" w:rsidRPr="0089673B" w:rsidRDefault="0089673B" w:rsidP="00AE5704">
            <w:pPr>
              <w:rPr>
                <w:sz w:val="20"/>
                <w:szCs w:val="20"/>
              </w:rPr>
            </w:pPr>
            <w:r w:rsidRPr="0089673B">
              <w:rPr>
                <w:b/>
                <w:sz w:val="20"/>
                <w:szCs w:val="20"/>
              </w:rPr>
              <w:t>Pots and traps</w:t>
            </w:r>
          </w:p>
        </w:tc>
      </w:tr>
      <w:tr w:rsidR="00FB4490" w:rsidRPr="0089673B" w:rsidTr="006E7846">
        <w:trPr>
          <w:cantSplit/>
          <w:trHeight w:val="284"/>
        </w:trPr>
        <w:tc>
          <w:tcPr>
            <w:tcW w:w="1985" w:type="dxa"/>
            <w:shd w:val="clear" w:color="auto" w:fill="auto"/>
          </w:tcPr>
          <w:p w:rsidR="00FB4490" w:rsidRPr="0089673B" w:rsidRDefault="00FB4490" w:rsidP="00AE5704">
            <w:pPr>
              <w:rPr>
                <w:sz w:val="20"/>
                <w:szCs w:val="20"/>
              </w:rPr>
            </w:pPr>
            <w:r w:rsidRPr="0089673B">
              <w:rPr>
                <w:sz w:val="20"/>
                <w:szCs w:val="20"/>
              </w:rPr>
              <w:t>Finfish</w:t>
            </w:r>
          </w:p>
        </w:tc>
        <w:tc>
          <w:tcPr>
            <w:tcW w:w="2268" w:type="dxa"/>
            <w:shd w:val="clear" w:color="auto" w:fill="auto"/>
          </w:tcPr>
          <w:p w:rsidR="00FB4490" w:rsidRPr="0089673B" w:rsidRDefault="00FB4490" w:rsidP="00AE5704">
            <w:pPr>
              <w:rPr>
                <w:sz w:val="20"/>
                <w:szCs w:val="20"/>
              </w:rPr>
            </w:pPr>
            <w:r w:rsidRPr="0089673B">
              <w:rPr>
                <w:sz w:val="20"/>
                <w:szCs w:val="20"/>
              </w:rPr>
              <w:t xml:space="preserve">many species </w:t>
            </w:r>
          </w:p>
        </w:tc>
        <w:tc>
          <w:tcPr>
            <w:tcW w:w="2268" w:type="dxa"/>
            <w:shd w:val="clear" w:color="auto" w:fill="auto"/>
          </w:tcPr>
          <w:p w:rsidR="00FB4490" w:rsidRPr="0089673B" w:rsidRDefault="00787F2A" w:rsidP="00AE5704">
            <w:pPr>
              <w:rPr>
                <w:sz w:val="20"/>
                <w:szCs w:val="20"/>
              </w:rPr>
            </w:pPr>
            <w:r w:rsidRPr="0089673B">
              <w:rPr>
                <w:sz w:val="20"/>
                <w:szCs w:val="20"/>
              </w:rPr>
              <w:t>n</w:t>
            </w:r>
            <w:r w:rsidR="00FB4490" w:rsidRPr="0089673B">
              <w:rPr>
                <w:sz w:val="20"/>
                <w:szCs w:val="20"/>
              </w:rPr>
              <w:t>ot used</w:t>
            </w:r>
          </w:p>
        </w:tc>
        <w:tc>
          <w:tcPr>
            <w:tcW w:w="2410" w:type="dxa"/>
            <w:shd w:val="clear" w:color="auto" w:fill="auto"/>
          </w:tcPr>
          <w:p w:rsidR="00FB4490" w:rsidRPr="0089673B" w:rsidRDefault="00787F2A" w:rsidP="00AE5704">
            <w:pPr>
              <w:rPr>
                <w:sz w:val="20"/>
                <w:szCs w:val="20"/>
              </w:rPr>
            </w:pPr>
            <w:r w:rsidRPr="0089673B">
              <w:rPr>
                <w:sz w:val="20"/>
                <w:szCs w:val="20"/>
              </w:rPr>
              <w:t>n</w:t>
            </w:r>
            <w:r w:rsidR="00FB4490" w:rsidRPr="0089673B">
              <w:rPr>
                <w:sz w:val="20"/>
                <w:szCs w:val="20"/>
              </w:rPr>
              <w:t>ot used</w:t>
            </w:r>
          </w:p>
        </w:tc>
      </w:tr>
      <w:tr w:rsidR="00FB4490" w:rsidRPr="0089673B" w:rsidTr="006E7846">
        <w:trPr>
          <w:cantSplit/>
          <w:trHeight w:val="347"/>
        </w:trPr>
        <w:tc>
          <w:tcPr>
            <w:tcW w:w="1985" w:type="dxa"/>
            <w:shd w:val="clear" w:color="auto" w:fill="auto"/>
          </w:tcPr>
          <w:p w:rsidR="00FB4490" w:rsidRPr="0089673B" w:rsidRDefault="00FB4490" w:rsidP="00AE5704">
            <w:pPr>
              <w:rPr>
                <w:sz w:val="20"/>
                <w:szCs w:val="20"/>
              </w:rPr>
            </w:pPr>
            <w:r w:rsidRPr="0089673B">
              <w:rPr>
                <w:sz w:val="20"/>
                <w:szCs w:val="20"/>
              </w:rPr>
              <w:t>Crustaceans</w:t>
            </w:r>
          </w:p>
        </w:tc>
        <w:tc>
          <w:tcPr>
            <w:tcW w:w="2268" w:type="dxa"/>
            <w:shd w:val="clear" w:color="auto" w:fill="auto"/>
          </w:tcPr>
          <w:p w:rsidR="00FB4490" w:rsidRPr="0089673B" w:rsidRDefault="00FB4490" w:rsidP="00AE5704">
            <w:pPr>
              <w:rPr>
                <w:sz w:val="20"/>
                <w:szCs w:val="20"/>
              </w:rPr>
            </w:pPr>
            <w:r w:rsidRPr="0089673B">
              <w:rPr>
                <w:sz w:val="20"/>
                <w:szCs w:val="20"/>
              </w:rPr>
              <w:t>prawns, crabs, crayfish</w:t>
            </w:r>
          </w:p>
        </w:tc>
        <w:tc>
          <w:tcPr>
            <w:tcW w:w="2268" w:type="dxa"/>
            <w:shd w:val="clear" w:color="auto" w:fill="auto"/>
          </w:tcPr>
          <w:p w:rsidR="00FB4490" w:rsidRPr="0089673B" w:rsidRDefault="00787F2A" w:rsidP="00AE5704">
            <w:pPr>
              <w:rPr>
                <w:sz w:val="20"/>
                <w:szCs w:val="20"/>
              </w:rPr>
            </w:pPr>
            <w:r w:rsidRPr="0089673B">
              <w:rPr>
                <w:sz w:val="20"/>
                <w:szCs w:val="20"/>
              </w:rPr>
              <w:t>n</w:t>
            </w:r>
            <w:r w:rsidR="00FB4490" w:rsidRPr="0089673B">
              <w:rPr>
                <w:sz w:val="20"/>
                <w:szCs w:val="20"/>
              </w:rPr>
              <w:t>ot used</w:t>
            </w:r>
          </w:p>
        </w:tc>
        <w:tc>
          <w:tcPr>
            <w:tcW w:w="2410" w:type="dxa"/>
            <w:shd w:val="clear" w:color="auto" w:fill="auto"/>
          </w:tcPr>
          <w:p w:rsidR="00FB4490" w:rsidRPr="0089673B" w:rsidRDefault="00787F2A" w:rsidP="00AE5704">
            <w:pPr>
              <w:rPr>
                <w:sz w:val="20"/>
                <w:szCs w:val="20"/>
              </w:rPr>
            </w:pPr>
            <w:r w:rsidRPr="0089673B">
              <w:rPr>
                <w:sz w:val="20"/>
                <w:szCs w:val="20"/>
              </w:rPr>
              <w:t>s</w:t>
            </w:r>
            <w:r w:rsidR="00FB4490" w:rsidRPr="0089673B">
              <w:rPr>
                <w:sz w:val="20"/>
                <w:szCs w:val="20"/>
              </w:rPr>
              <w:t>ometimes used to attract other animals</w:t>
            </w:r>
          </w:p>
        </w:tc>
      </w:tr>
      <w:tr w:rsidR="00FB4490" w:rsidRPr="0089673B" w:rsidTr="006E7846">
        <w:trPr>
          <w:cantSplit/>
          <w:trHeight w:val="284"/>
        </w:trPr>
        <w:tc>
          <w:tcPr>
            <w:tcW w:w="1985" w:type="dxa"/>
            <w:shd w:val="clear" w:color="auto" w:fill="auto"/>
          </w:tcPr>
          <w:p w:rsidR="00FB4490" w:rsidRPr="0089673B" w:rsidRDefault="00FB4490" w:rsidP="00AE5704">
            <w:pPr>
              <w:rPr>
                <w:sz w:val="20"/>
                <w:szCs w:val="20"/>
              </w:rPr>
            </w:pPr>
            <w:r w:rsidRPr="0089673B">
              <w:rPr>
                <w:sz w:val="20"/>
                <w:szCs w:val="20"/>
              </w:rPr>
              <w:t>Molluscs</w:t>
            </w:r>
          </w:p>
        </w:tc>
        <w:tc>
          <w:tcPr>
            <w:tcW w:w="2268" w:type="dxa"/>
            <w:shd w:val="clear" w:color="auto" w:fill="auto"/>
          </w:tcPr>
          <w:p w:rsidR="00FB4490" w:rsidRPr="0089673B" w:rsidRDefault="00FB4490" w:rsidP="00AE5704">
            <w:pPr>
              <w:rPr>
                <w:sz w:val="20"/>
                <w:szCs w:val="20"/>
              </w:rPr>
            </w:pPr>
            <w:r w:rsidRPr="0089673B">
              <w:rPr>
                <w:sz w:val="20"/>
                <w:szCs w:val="20"/>
              </w:rPr>
              <w:t>oysters, other bivalves, abalone, squid</w:t>
            </w:r>
          </w:p>
        </w:tc>
        <w:tc>
          <w:tcPr>
            <w:tcW w:w="2268" w:type="dxa"/>
            <w:shd w:val="clear" w:color="auto" w:fill="auto"/>
          </w:tcPr>
          <w:p w:rsidR="00FB4490" w:rsidRPr="0089673B" w:rsidRDefault="00787F2A" w:rsidP="00AE5704">
            <w:pPr>
              <w:rPr>
                <w:sz w:val="20"/>
                <w:szCs w:val="20"/>
              </w:rPr>
            </w:pPr>
            <w:r w:rsidRPr="0089673B">
              <w:rPr>
                <w:sz w:val="20"/>
                <w:szCs w:val="20"/>
              </w:rPr>
              <w:t>n</w:t>
            </w:r>
            <w:r w:rsidR="00FB4490" w:rsidRPr="0089673B">
              <w:rPr>
                <w:sz w:val="20"/>
                <w:szCs w:val="20"/>
              </w:rPr>
              <w:t>ot used</w:t>
            </w:r>
          </w:p>
        </w:tc>
        <w:tc>
          <w:tcPr>
            <w:tcW w:w="2410" w:type="dxa"/>
            <w:shd w:val="clear" w:color="auto" w:fill="auto"/>
          </w:tcPr>
          <w:p w:rsidR="00FB4490" w:rsidRPr="0089673B" w:rsidRDefault="00787F2A" w:rsidP="00AE5704">
            <w:pPr>
              <w:rPr>
                <w:sz w:val="20"/>
                <w:szCs w:val="20"/>
              </w:rPr>
            </w:pPr>
            <w:r w:rsidRPr="0089673B">
              <w:rPr>
                <w:sz w:val="20"/>
                <w:szCs w:val="20"/>
              </w:rPr>
              <w:t>n</w:t>
            </w:r>
            <w:r w:rsidR="00FB4490" w:rsidRPr="0089673B">
              <w:rPr>
                <w:sz w:val="20"/>
                <w:szCs w:val="20"/>
              </w:rPr>
              <w:t>ot used</w:t>
            </w:r>
          </w:p>
        </w:tc>
      </w:tr>
      <w:tr w:rsidR="00FB4490" w:rsidRPr="0089673B" w:rsidTr="006E7846">
        <w:trPr>
          <w:cantSplit/>
          <w:trHeight w:val="284"/>
        </w:trPr>
        <w:tc>
          <w:tcPr>
            <w:tcW w:w="1985" w:type="dxa"/>
            <w:shd w:val="clear" w:color="auto" w:fill="auto"/>
          </w:tcPr>
          <w:p w:rsidR="00FB4490" w:rsidRPr="0089673B" w:rsidRDefault="00FB4490" w:rsidP="00AE5704">
            <w:pPr>
              <w:rPr>
                <w:sz w:val="20"/>
                <w:szCs w:val="20"/>
              </w:rPr>
            </w:pPr>
            <w:r w:rsidRPr="0089673B">
              <w:rPr>
                <w:sz w:val="20"/>
                <w:szCs w:val="20"/>
              </w:rPr>
              <w:t>Annelids</w:t>
            </w:r>
          </w:p>
        </w:tc>
        <w:tc>
          <w:tcPr>
            <w:tcW w:w="2268" w:type="dxa"/>
            <w:shd w:val="clear" w:color="auto" w:fill="auto"/>
          </w:tcPr>
          <w:p w:rsidR="00FB4490" w:rsidRPr="0089673B" w:rsidRDefault="00FB4490" w:rsidP="00AE5704">
            <w:pPr>
              <w:rPr>
                <w:sz w:val="20"/>
                <w:szCs w:val="20"/>
              </w:rPr>
            </w:pPr>
            <w:r w:rsidRPr="0089673B">
              <w:rPr>
                <w:sz w:val="20"/>
                <w:szCs w:val="20"/>
              </w:rPr>
              <w:t>oligochaetes, polychaetes</w:t>
            </w:r>
          </w:p>
        </w:tc>
        <w:tc>
          <w:tcPr>
            <w:tcW w:w="2268" w:type="dxa"/>
            <w:shd w:val="clear" w:color="auto" w:fill="auto"/>
          </w:tcPr>
          <w:p w:rsidR="00FB4490" w:rsidRPr="0089673B" w:rsidRDefault="00787F2A" w:rsidP="00AE5704">
            <w:pPr>
              <w:rPr>
                <w:sz w:val="20"/>
                <w:szCs w:val="20"/>
              </w:rPr>
            </w:pPr>
            <w:r w:rsidRPr="0089673B">
              <w:rPr>
                <w:sz w:val="20"/>
                <w:szCs w:val="20"/>
              </w:rPr>
              <w:t>n</w:t>
            </w:r>
            <w:r w:rsidR="00FB4490" w:rsidRPr="0089673B">
              <w:rPr>
                <w:sz w:val="20"/>
                <w:szCs w:val="20"/>
              </w:rPr>
              <w:t>ot used</w:t>
            </w:r>
          </w:p>
        </w:tc>
        <w:tc>
          <w:tcPr>
            <w:tcW w:w="2410" w:type="dxa"/>
            <w:shd w:val="clear" w:color="auto" w:fill="auto"/>
          </w:tcPr>
          <w:p w:rsidR="00FB4490" w:rsidRPr="0089673B" w:rsidRDefault="00787F2A" w:rsidP="00AE5704">
            <w:pPr>
              <w:rPr>
                <w:sz w:val="20"/>
                <w:szCs w:val="20"/>
              </w:rPr>
            </w:pPr>
            <w:r w:rsidRPr="0089673B">
              <w:rPr>
                <w:sz w:val="20"/>
                <w:szCs w:val="20"/>
              </w:rPr>
              <w:t>n</w:t>
            </w:r>
            <w:r w:rsidR="00FB4490" w:rsidRPr="0089673B">
              <w:rPr>
                <w:sz w:val="20"/>
                <w:szCs w:val="20"/>
              </w:rPr>
              <w:t>ot used</w:t>
            </w:r>
          </w:p>
        </w:tc>
      </w:tr>
    </w:tbl>
    <w:p w:rsidR="0089673B" w:rsidRDefault="0089673B" w:rsidP="003047D4">
      <w:pPr>
        <w:pStyle w:val="Caption"/>
      </w:pPr>
      <w:r>
        <w:t xml:space="preserve">Table </w:t>
      </w:r>
      <w:fldSimple w:instr=" SEQ Table \* ARABIC ">
        <w:r w:rsidR="00B55546">
          <w:rPr>
            <w:noProof/>
          </w:rPr>
          <w:t>2</w:t>
        </w:r>
      </w:fldSimple>
      <w:r>
        <w:t>: Fresh dead bait/</w:t>
      </w:r>
      <w:r w:rsidRPr="003047D4">
        <w:t>berley</w:t>
      </w:r>
      <w:r>
        <w:t xml:space="preserve"> products and their uses in various fishing activities</w:t>
      </w:r>
    </w:p>
    <w:tbl>
      <w:tblPr>
        <w:tblStyle w:val="TableGrid"/>
        <w:tblW w:w="0" w:type="auto"/>
        <w:tblInd w:w="108" w:type="dxa"/>
        <w:tblLayout w:type="fixed"/>
        <w:tblLook w:val="04A0"/>
      </w:tblPr>
      <w:tblGrid>
        <w:gridCol w:w="1985"/>
        <w:gridCol w:w="2268"/>
        <w:gridCol w:w="2268"/>
        <w:gridCol w:w="2410"/>
      </w:tblGrid>
      <w:tr w:rsidR="0089673B" w:rsidRPr="0089673B" w:rsidTr="00EE04A1">
        <w:trPr>
          <w:cantSplit/>
          <w:trHeight w:val="284"/>
        </w:trPr>
        <w:tc>
          <w:tcPr>
            <w:tcW w:w="1985" w:type="dxa"/>
            <w:shd w:val="clear" w:color="auto" w:fill="F2F2F2" w:themeFill="background1" w:themeFillShade="F2"/>
          </w:tcPr>
          <w:p w:rsidR="0089673B" w:rsidRPr="0089673B" w:rsidRDefault="0089673B" w:rsidP="00AE5704">
            <w:pPr>
              <w:rPr>
                <w:b/>
                <w:sz w:val="20"/>
                <w:szCs w:val="20"/>
              </w:rPr>
            </w:pPr>
            <w:r w:rsidRPr="0089673B">
              <w:rPr>
                <w:b/>
                <w:sz w:val="20"/>
                <w:szCs w:val="20"/>
              </w:rPr>
              <w:t>Fresh dead bait/berley</w:t>
            </w:r>
          </w:p>
        </w:tc>
        <w:tc>
          <w:tcPr>
            <w:tcW w:w="2268" w:type="dxa"/>
            <w:shd w:val="clear" w:color="auto" w:fill="F2F2F2" w:themeFill="background1" w:themeFillShade="F2"/>
          </w:tcPr>
          <w:p w:rsidR="0089673B" w:rsidRPr="0089673B" w:rsidRDefault="0089673B" w:rsidP="0089673B">
            <w:pPr>
              <w:rPr>
                <w:b/>
                <w:sz w:val="20"/>
                <w:szCs w:val="20"/>
              </w:rPr>
            </w:pPr>
            <w:r w:rsidRPr="0089673B">
              <w:rPr>
                <w:b/>
                <w:sz w:val="20"/>
                <w:szCs w:val="20"/>
              </w:rPr>
              <w:t>Line fishing</w:t>
            </w:r>
          </w:p>
          <w:p w:rsidR="0089673B" w:rsidRPr="0089673B" w:rsidRDefault="0089673B" w:rsidP="0089673B">
            <w:pPr>
              <w:rPr>
                <w:sz w:val="20"/>
                <w:szCs w:val="20"/>
              </w:rPr>
            </w:pPr>
            <w:r w:rsidRPr="0089673B">
              <w:rPr>
                <w:b/>
                <w:sz w:val="20"/>
                <w:szCs w:val="20"/>
              </w:rPr>
              <w:t>(Recreational)</w:t>
            </w:r>
          </w:p>
        </w:tc>
        <w:tc>
          <w:tcPr>
            <w:tcW w:w="2268" w:type="dxa"/>
            <w:shd w:val="clear" w:color="auto" w:fill="F2F2F2" w:themeFill="background1" w:themeFillShade="F2"/>
          </w:tcPr>
          <w:p w:rsidR="0089673B" w:rsidRPr="0089673B" w:rsidRDefault="0089673B" w:rsidP="0089673B">
            <w:pPr>
              <w:rPr>
                <w:sz w:val="20"/>
                <w:szCs w:val="20"/>
              </w:rPr>
            </w:pPr>
            <w:r w:rsidRPr="0089673B">
              <w:rPr>
                <w:b/>
                <w:sz w:val="20"/>
                <w:szCs w:val="20"/>
              </w:rPr>
              <w:t>Longlines and droplines (Commercial)</w:t>
            </w:r>
          </w:p>
        </w:tc>
        <w:tc>
          <w:tcPr>
            <w:tcW w:w="2410" w:type="dxa"/>
            <w:shd w:val="clear" w:color="auto" w:fill="F2F2F2" w:themeFill="background1" w:themeFillShade="F2"/>
          </w:tcPr>
          <w:p w:rsidR="0089673B" w:rsidRPr="0089673B" w:rsidRDefault="0089673B" w:rsidP="0089673B">
            <w:pPr>
              <w:rPr>
                <w:sz w:val="20"/>
                <w:szCs w:val="20"/>
              </w:rPr>
            </w:pPr>
            <w:r w:rsidRPr="0089673B">
              <w:rPr>
                <w:b/>
                <w:sz w:val="20"/>
                <w:szCs w:val="20"/>
              </w:rPr>
              <w:t>Pots and traps</w:t>
            </w:r>
          </w:p>
        </w:tc>
      </w:tr>
      <w:tr w:rsidR="0089673B" w:rsidRPr="0089673B" w:rsidTr="006E7846">
        <w:trPr>
          <w:cantSplit/>
          <w:trHeight w:val="284"/>
        </w:trPr>
        <w:tc>
          <w:tcPr>
            <w:tcW w:w="1985" w:type="dxa"/>
            <w:shd w:val="clear" w:color="auto" w:fill="auto"/>
          </w:tcPr>
          <w:p w:rsidR="0089673B" w:rsidRPr="0089673B" w:rsidRDefault="0089673B" w:rsidP="00AE5704">
            <w:pPr>
              <w:rPr>
                <w:sz w:val="20"/>
                <w:szCs w:val="20"/>
              </w:rPr>
            </w:pPr>
            <w:r w:rsidRPr="0089673B">
              <w:rPr>
                <w:sz w:val="20"/>
                <w:szCs w:val="20"/>
              </w:rPr>
              <w:t>Finfish</w:t>
            </w:r>
          </w:p>
        </w:tc>
        <w:tc>
          <w:tcPr>
            <w:tcW w:w="2268" w:type="dxa"/>
            <w:shd w:val="clear" w:color="auto" w:fill="auto"/>
          </w:tcPr>
          <w:p w:rsidR="0089673B" w:rsidRPr="0089673B" w:rsidRDefault="0089673B" w:rsidP="00AE5704">
            <w:pPr>
              <w:rPr>
                <w:sz w:val="20"/>
                <w:szCs w:val="20"/>
              </w:rPr>
            </w:pPr>
            <w:r w:rsidRPr="0089673B">
              <w:rPr>
                <w:sz w:val="20"/>
                <w:szCs w:val="20"/>
              </w:rPr>
              <w:t>many species</w:t>
            </w:r>
          </w:p>
        </w:tc>
        <w:tc>
          <w:tcPr>
            <w:tcW w:w="2268" w:type="dxa"/>
            <w:shd w:val="clear" w:color="auto" w:fill="auto"/>
          </w:tcPr>
          <w:p w:rsidR="0089673B" w:rsidRPr="0089673B" w:rsidRDefault="0089673B" w:rsidP="00AE5704">
            <w:pPr>
              <w:rPr>
                <w:sz w:val="20"/>
                <w:szCs w:val="20"/>
              </w:rPr>
            </w:pPr>
            <w:r w:rsidRPr="0089673B">
              <w:rPr>
                <w:sz w:val="20"/>
                <w:szCs w:val="20"/>
              </w:rPr>
              <w:t>many species</w:t>
            </w:r>
          </w:p>
        </w:tc>
        <w:tc>
          <w:tcPr>
            <w:tcW w:w="2410" w:type="dxa"/>
            <w:shd w:val="clear" w:color="auto" w:fill="auto"/>
          </w:tcPr>
          <w:p w:rsidR="0089673B" w:rsidRPr="0089673B" w:rsidRDefault="0089673B" w:rsidP="00AE5704">
            <w:pPr>
              <w:rPr>
                <w:sz w:val="20"/>
                <w:szCs w:val="20"/>
              </w:rPr>
            </w:pPr>
            <w:r w:rsidRPr="0089673B">
              <w:rPr>
                <w:sz w:val="20"/>
                <w:szCs w:val="20"/>
              </w:rPr>
              <w:t>recreational and commercial; lobster and crab fisheries</w:t>
            </w:r>
          </w:p>
        </w:tc>
      </w:tr>
      <w:tr w:rsidR="0089673B" w:rsidRPr="0089673B" w:rsidTr="006E7846">
        <w:trPr>
          <w:cantSplit/>
          <w:trHeight w:val="284"/>
        </w:trPr>
        <w:tc>
          <w:tcPr>
            <w:tcW w:w="1985" w:type="dxa"/>
            <w:shd w:val="clear" w:color="auto" w:fill="auto"/>
          </w:tcPr>
          <w:p w:rsidR="0089673B" w:rsidRPr="0089673B" w:rsidRDefault="0089673B" w:rsidP="00AE5704">
            <w:pPr>
              <w:rPr>
                <w:sz w:val="20"/>
                <w:szCs w:val="20"/>
              </w:rPr>
            </w:pPr>
            <w:r w:rsidRPr="0089673B">
              <w:rPr>
                <w:sz w:val="20"/>
                <w:szCs w:val="20"/>
              </w:rPr>
              <w:t>Crustaceans</w:t>
            </w:r>
          </w:p>
        </w:tc>
        <w:tc>
          <w:tcPr>
            <w:tcW w:w="2268" w:type="dxa"/>
            <w:shd w:val="clear" w:color="auto" w:fill="auto"/>
          </w:tcPr>
          <w:p w:rsidR="0089673B" w:rsidRPr="0089673B" w:rsidRDefault="0089673B" w:rsidP="00AE5704">
            <w:pPr>
              <w:rPr>
                <w:sz w:val="20"/>
                <w:szCs w:val="20"/>
              </w:rPr>
            </w:pPr>
            <w:r w:rsidRPr="0089673B">
              <w:rPr>
                <w:sz w:val="20"/>
                <w:szCs w:val="20"/>
              </w:rPr>
              <w:t>prawns, crabs, crayfish</w:t>
            </w:r>
          </w:p>
        </w:tc>
        <w:tc>
          <w:tcPr>
            <w:tcW w:w="2268" w:type="dxa"/>
            <w:shd w:val="clear" w:color="auto" w:fill="auto"/>
          </w:tcPr>
          <w:p w:rsidR="0089673B" w:rsidRPr="0089673B" w:rsidRDefault="0089673B" w:rsidP="00AE5704">
            <w:pPr>
              <w:rPr>
                <w:sz w:val="20"/>
                <w:szCs w:val="20"/>
              </w:rPr>
            </w:pPr>
            <w:r w:rsidRPr="0089673B">
              <w:rPr>
                <w:sz w:val="20"/>
                <w:szCs w:val="20"/>
              </w:rPr>
              <w:t>not used</w:t>
            </w:r>
          </w:p>
        </w:tc>
        <w:tc>
          <w:tcPr>
            <w:tcW w:w="2410" w:type="dxa"/>
            <w:shd w:val="clear" w:color="auto" w:fill="auto"/>
          </w:tcPr>
          <w:p w:rsidR="0089673B" w:rsidRPr="0089673B" w:rsidRDefault="0089673B" w:rsidP="00AE5704">
            <w:pPr>
              <w:rPr>
                <w:sz w:val="20"/>
                <w:szCs w:val="20"/>
              </w:rPr>
            </w:pPr>
            <w:r w:rsidRPr="0089673B">
              <w:rPr>
                <w:sz w:val="20"/>
                <w:szCs w:val="20"/>
              </w:rPr>
              <w:t>not generally used</w:t>
            </w:r>
          </w:p>
        </w:tc>
      </w:tr>
      <w:tr w:rsidR="0089673B" w:rsidRPr="0089673B" w:rsidTr="006E7846">
        <w:trPr>
          <w:cantSplit/>
          <w:trHeight w:val="284"/>
        </w:trPr>
        <w:tc>
          <w:tcPr>
            <w:tcW w:w="1985" w:type="dxa"/>
            <w:shd w:val="clear" w:color="auto" w:fill="auto"/>
          </w:tcPr>
          <w:p w:rsidR="0089673B" w:rsidRPr="0089673B" w:rsidRDefault="0089673B" w:rsidP="00AE5704">
            <w:pPr>
              <w:rPr>
                <w:sz w:val="20"/>
                <w:szCs w:val="20"/>
              </w:rPr>
            </w:pPr>
            <w:r w:rsidRPr="0089673B">
              <w:rPr>
                <w:sz w:val="20"/>
                <w:szCs w:val="20"/>
              </w:rPr>
              <w:t>Molluscs</w:t>
            </w:r>
          </w:p>
        </w:tc>
        <w:tc>
          <w:tcPr>
            <w:tcW w:w="2268" w:type="dxa"/>
            <w:shd w:val="clear" w:color="auto" w:fill="auto"/>
          </w:tcPr>
          <w:p w:rsidR="0089673B" w:rsidRPr="0089673B" w:rsidRDefault="0089673B" w:rsidP="00AE5704">
            <w:pPr>
              <w:rPr>
                <w:sz w:val="20"/>
                <w:szCs w:val="20"/>
              </w:rPr>
            </w:pPr>
            <w:r w:rsidRPr="0089673B">
              <w:rPr>
                <w:sz w:val="20"/>
                <w:szCs w:val="20"/>
              </w:rPr>
              <w:t>oysters, other bivalves, abalone, squid, octopus, cuttlefish</w:t>
            </w:r>
          </w:p>
        </w:tc>
        <w:tc>
          <w:tcPr>
            <w:tcW w:w="2268" w:type="dxa"/>
            <w:shd w:val="clear" w:color="auto" w:fill="auto"/>
          </w:tcPr>
          <w:p w:rsidR="0089673B" w:rsidRPr="0089673B" w:rsidRDefault="0089673B" w:rsidP="00AE5704">
            <w:pPr>
              <w:rPr>
                <w:sz w:val="20"/>
                <w:szCs w:val="20"/>
              </w:rPr>
            </w:pPr>
            <w:r w:rsidRPr="0089673B">
              <w:rPr>
                <w:sz w:val="20"/>
                <w:szCs w:val="20"/>
              </w:rPr>
              <w:t>not used</w:t>
            </w:r>
          </w:p>
        </w:tc>
        <w:tc>
          <w:tcPr>
            <w:tcW w:w="2410" w:type="dxa"/>
            <w:shd w:val="clear" w:color="auto" w:fill="auto"/>
          </w:tcPr>
          <w:p w:rsidR="0089673B" w:rsidRPr="0089673B" w:rsidRDefault="0089673B" w:rsidP="00AE5704">
            <w:pPr>
              <w:rPr>
                <w:sz w:val="20"/>
                <w:szCs w:val="20"/>
              </w:rPr>
            </w:pPr>
            <w:r w:rsidRPr="0089673B">
              <w:rPr>
                <w:sz w:val="20"/>
                <w:szCs w:val="20"/>
              </w:rPr>
              <w:t>not generally used</w:t>
            </w:r>
          </w:p>
        </w:tc>
      </w:tr>
      <w:tr w:rsidR="0089673B" w:rsidRPr="0089673B" w:rsidTr="006E7846">
        <w:trPr>
          <w:cantSplit/>
          <w:trHeight w:val="284"/>
        </w:trPr>
        <w:tc>
          <w:tcPr>
            <w:tcW w:w="1985" w:type="dxa"/>
            <w:shd w:val="clear" w:color="auto" w:fill="auto"/>
          </w:tcPr>
          <w:p w:rsidR="0089673B" w:rsidRPr="0089673B" w:rsidRDefault="0089673B" w:rsidP="00AE5704">
            <w:pPr>
              <w:rPr>
                <w:sz w:val="20"/>
                <w:szCs w:val="20"/>
              </w:rPr>
            </w:pPr>
            <w:r w:rsidRPr="0089673B">
              <w:rPr>
                <w:sz w:val="20"/>
                <w:szCs w:val="20"/>
              </w:rPr>
              <w:t>Annelids</w:t>
            </w:r>
          </w:p>
        </w:tc>
        <w:tc>
          <w:tcPr>
            <w:tcW w:w="2268" w:type="dxa"/>
            <w:shd w:val="clear" w:color="auto" w:fill="auto"/>
          </w:tcPr>
          <w:p w:rsidR="0089673B" w:rsidRPr="0089673B" w:rsidRDefault="0089673B" w:rsidP="00AE5704">
            <w:pPr>
              <w:rPr>
                <w:sz w:val="20"/>
                <w:szCs w:val="20"/>
              </w:rPr>
            </w:pPr>
            <w:r w:rsidRPr="0089673B">
              <w:rPr>
                <w:sz w:val="20"/>
                <w:szCs w:val="20"/>
              </w:rPr>
              <w:t>oligochaetes, polychaetes</w:t>
            </w:r>
          </w:p>
        </w:tc>
        <w:tc>
          <w:tcPr>
            <w:tcW w:w="2268" w:type="dxa"/>
            <w:shd w:val="clear" w:color="auto" w:fill="auto"/>
          </w:tcPr>
          <w:p w:rsidR="0089673B" w:rsidRPr="0089673B" w:rsidRDefault="0089673B" w:rsidP="00AE5704">
            <w:pPr>
              <w:rPr>
                <w:sz w:val="20"/>
                <w:szCs w:val="20"/>
              </w:rPr>
            </w:pPr>
            <w:r w:rsidRPr="0089673B">
              <w:rPr>
                <w:sz w:val="20"/>
                <w:szCs w:val="20"/>
              </w:rPr>
              <w:t>not used</w:t>
            </w:r>
          </w:p>
        </w:tc>
        <w:tc>
          <w:tcPr>
            <w:tcW w:w="2410" w:type="dxa"/>
            <w:shd w:val="clear" w:color="auto" w:fill="auto"/>
          </w:tcPr>
          <w:p w:rsidR="0089673B" w:rsidRPr="0089673B" w:rsidRDefault="0089673B" w:rsidP="00AE5704">
            <w:pPr>
              <w:rPr>
                <w:sz w:val="20"/>
                <w:szCs w:val="20"/>
              </w:rPr>
            </w:pPr>
            <w:r w:rsidRPr="0089673B">
              <w:rPr>
                <w:sz w:val="20"/>
                <w:szCs w:val="20"/>
              </w:rPr>
              <w:t>not generally used</w:t>
            </w:r>
          </w:p>
        </w:tc>
      </w:tr>
    </w:tbl>
    <w:p w:rsidR="0089673B" w:rsidRDefault="0089673B" w:rsidP="003047D4">
      <w:pPr>
        <w:pStyle w:val="Caption"/>
      </w:pPr>
      <w:r>
        <w:t xml:space="preserve">Table </w:t>
      </w:r>
      <w:fldSimple w:instr=" SEQ Table \* ARABIC ">
        <w:r w:rsidR="00B55546">
          <w:rPr>
            <w:noProof/>
          </w:rPr>
          <w:t>3</w:t>
        </w:r>
      </w:fldSimple>
      <w:r>
        <w:t xml:space="preserve">: Frozen </w:t>
      </w:r>
      <w:r w:rsidRPr="00BB45BE">
        <w:t>bait/berley products and their uses in various fishing activities</w:t>
      </w:r>
    </w:p>
    <w:tbl>
      <w:tblPr>
        <w:tblStyle w:val="TableGrid"/>
        <w:tblW w:w="0" w:type="auto"/>
        <w:tblInd w:w="108" w:type="dxa"/>
        <w:tblLayout w:type="fixed"/>
        <w:tblLook w:val="04A0"/>
      </w:tblPr>
      <w:tblGrid>
        <w:gridCol w:w="1985"/>
        <w:gridCol w:w="2268"/>
        <w:gridCol w:w="2268"/>
        <w:gridCol w:w="2410"/>
      </w:tblGrid>
      <w:tr w:rsidR="0089673B" w:rsidRPr="0089673B" w:rsidTr="00EE04A1">
        <w:trPr>
          <w:cantSplit/>
          <w:trHeight w:val="284"/>
        </w:trPr>
        <w:tc>
          <w:tcPr>
            <w:tcW w:w="1985" w:type="dxa"/>
            <w:shd w:val="clear" w:color="auto" w:fill="F2F2F2" w:themeFill="background1" w:themeFillShade="F2"/>
          </w:tcPr>
          <w:p w:rsidR="0089673B" w:rsidRPr="0089673B" w:rsidRDefault="0089673B" w:rsidP="00AE5704">
            <w:pPr>
              <w:rPr>
                <w:b/>
                <w:sz w:val="20"/>
                <w:szCs w:val="20"/>
              </w:rPr>
            </w:pPr>
            <w:r w:rsidRPr="0089673B">
              <w:rPr>
                <w:b/>
                <w:sz w:val="20"/>
                <w:szCs w:val="20"/>
              </w:rPr>
              <w:t xml:space="preserve">Frozen </w:t>
            </w:r>
            <w:r>
              <w:rPr>
                <w:b/>
                <w:sz w:val="20"/>
                <w:szCs w:val="20"/>
              </w:rPr>
              <w:t>bait/berley</w:t>
            </w:r>
          </w:p>
        </w:tc>
        <w:tc>
          <w:tcPr>
            <w:tcW w:w="2268" w:type="dxa"/>
            <w:shd w:val="clear" w:color="auto" w:fill="F2F2F2" w:themeFill="background1" w:themeFillShade="F2"/>
          </w:tcPr>
          <w:p w:rsidR="0089673B" w:rsidRPr="0089673B" w:rsidRDefault="0089673B" w:rsidP="0089673B">
            <w:pPr>
              <w:rPr>
                <w:b/>
                <w:sz w:val="20"/>
                <w:szCs w:val="20"/>
              </w:rPr>
            </w:pPr>
            <w:r w:rsidRPr="0089673B">
              <w:rPr>
                <w:b/>
                <w:sz w:val="20"/>
                <w:szCs w:val="20"/>
              </w:rPr>
              <w:t>Line fishing</w:t>
            </w:r>
          </w:p>
          <w:p w:rsidR="0089673B" w:rsidRPr="0089673B" w:rsidRDefault="0089673B" w:rsidP="0089673B">
            <w:pPr>
              <w:rPr>
                <w:sz w:val="20"/>
                <w:szCs w:val="20"/>
              </w:rPr>
            </w:pPr>
            <w:r w:rsidRPr="0089673B">
              <w:rPr>
                <w:b/>
                <w:sz w:val="20"/>
                <w:szCs w:val="20"/>
              </w:rPr>
              <w:t>(Recreational)</w:t>
            </w:r>
          </w:p>
        </w:tc>
        <w:tc>
          <w:tcPr>
            <w:tcW w:w="2268" w:type="dxa"/>
            <w:shd w:val="clear" w:color="auto" w:fill="F2F2F2" w:themeFill="background1" w:themeFillShade="F2"/>
          </w:tcPr>
          <w:p w:rsidR="0089673B" w:rsidRPr="0089673B" w:rsidRDefault="0089673B" w:rsidP="0089673B">
            <w:pPr>
              <w:rPr>
                <w:sz w:val="20"/>
                <w:szCs w:val="20"/>
              </w:rPr>
            </w:pPr>
            <w:r w:rsidRPr="0089673B">
              <w:rPr>
                <w:b/>
                <w:sz w:val="20"/>
                <w:szCs w:val="20"/>
              </w:rPr>
              <w:t>Longlines and droplines (Commercial)</w:t>
            </w:r>
          </w:p>
        </w:tc>
        <w:tc>
          <w:tcPr>
            <w:tcW w:w="2410" w:type="dxa"/>
            <w:shd w:val="clear" w:color="auto" w:fill="F2F2F2" w:themeFill="background1" w:themeFillShade="F2"/>
          </w:tcPr>
          <w:p w:rsidR="0089673B" w:rsidRPr="0089673B" w:rsidRDefault="0089673B" w:rsidP="0089673B">
            <w:pPr>
              <w:rPr>
                <w:sz w:val="20"/>
                <w:szCs w:val="20"/>
              </w:rPr>
            </w:pPr>
            <w:r w:rsidRPr="0089673B">
              <w:rPr>
                <w:b/>
                <w:sz w:val="20"/>
                <w:szCs w:val="20"/>
              </w:rPr>
              <w:t>Pots and traps</w:t>
            </w:r>
          </w:p>
        </w:tc>
      </w:tr>
      <w:tr w:rsidR="00FB4490" w:rsidRPr="0089673B" w:rsidTr="006E7846">
        <w:trPr>
          <w:cantSplit/>
          <w:trHeight w:val="284"/>
        </w:trPr>
        <w:tc>
          <w:tcPr>
            <w:tcW w:w="1985" w:type="dxa"/>
            <w:shd w:val="clear" w:color="auto" w:fill="auto"/>
          </w:tcPr>
          <w:p w:rsidR="00FB4490" w:rsidRPr="0089673B" w:rsidRDefault="00FB4490" w:rsidP="00AE5704">
            <w:pPr>
              <w:rPr>
                <w:sz w:val="20"/>
                <w:szCs w:val="20"/>
              </w:rPr>
            </w:pPr>
            <w:r w:rsidRPr="0089673B">
              <w:rPr>
                <w:sz w:val="20"/>
                <w:szCs w:val="20"/>
              </w:rPr>
              <w:t>Finfish</w:t>
            </w:r>
          </w:p>
        </w:tc>
        <w:tc>
          <w:tcPr>
            <w:tcW w:w="2268" w:type="dxa"/>
            <w:shd w:val="clear" w:color="auto" w:fill="auto"/>
          </w:tcPr>
          <w:p w:rsidR="00FB4490" w:rsidRPr="0089673B" w:rsidRDefault="000D7B39" w:rsidP="00AE5704">
            <w:pPr>
              <w:rPr>
                <w:sz w:val="20"/>
                <w:szCs w:val="20"/>
              </w:rPr>
            </w:pPr>
            <w:r w:rsidRPr="0089673B">
              <w:rPr>
                <w:sz w:val="20"/>
                <w:szCs w:val="20"/>
              </w:rPr>
              <w:t>many species</w:t>
            </w:r>
          </w:p>
        </w:tc>
        <w:tc>
          <w:tcPr>
            <w:tcW w:w="2268" w:type="dxa"/>
            <w:shd w:val="clear" w:color="auto" w:fill="auto"/>
          </w:tcPr>
          <w:p w:rsidR="00FB4490" w:rsidRPr="0089673B" w:rsidRDefault="00FB4490" w:rsidP="00AE5704">
            <w:pPr>
              <w:rPr>
                <w:sz w:val="20"/>
                <w:szCs w:val="20"/>
              </w:rPr>
            </w:pPr>
            <w:r w:rsidRPr="0089673B">
              <w:rPr>
                <w:sz w:val="20"/>
                <w:szCs w:val="20"/>
              </w:rPr>
              <w:t>many species</w:t>
            </w:r>
          </w:p>
        </w:tc>
        <w:tc>
          <w:tcPr>
            <w:tcW w:w="2410" w:type="dxa"/>
            <w:shd w:val="clear" w:color="auto" w:fill="auto"/>
          </w:tcPr>
          <w:p w:rsidR="00FB4490" w:rsidRPr="0089673B" w:rsidRDefault="00787F2A" w:rsidP="00AE5704">
            <w:pPr>
              <w:rPr>
                <w:sz w:val="20"/>
                <w:szCs w:val="20"/>
              </w:rPr>
            </w:pPr>
            <w:r w:rsidRPr="0089673B">
              <w:rPr>
                <w:sz w:val="20"/>
                <w:szCs w:val="20"/>
              </w:rPr>
              <w:t>c</w:t>
            </w:r>
            <w:r w:rsidR="00FB4490" w:rsidRPr="0089673B">
              <w:rPr>
                <w:sz w:val="20"/>
                <w:szCs w:val="20"/>
              </w:rPr>
              <w:t xml:space="preserve">ommercial and recreational; heads, guts </w:t>
            </w:r>
          </w:p>
        </w:tc>
      </w:tr>
      <w:tr w:rsidR="00FB4490" w:rsidRPr="0089673B" w:rsidTr="006E7846">
        <w:trPr>
          <w:cantSplit/>
          <w:trHeight w:val="284"/>
        </w:trPr>
        <w:tc>
          <w:tcPr>
            <w:tcW w:w="1985" w:type="dxa"/>
            <w:shd w:val="clear" w:color="auto" w:fill="auto"/>
          </w:tcPr>
          <w:p w:rsidR="00FB4490" w:rsidRPr="0089673B" w:rsidRDefault="00FB4490" w:rsidP="00AE5704">
            <w:pPr>
              <w:rPr>
                <w:sz w:val="20"/>
                <w:szCs w:val="20"/>
              </w:rPr>
            </w:pPr>
            <w:r w:rsidRPr="0089673B">
              <w:rPr>
                <w:sz w:val="20"/>
                <w:szCs w:val="20"/>
              </w:rPr>
              <w:t>Crustaceans</w:t>
            </w:r>
          </w:p>
        </w:tc>
        <w:tc>
          <w:tcPr>
            <w:tcW w:w="2268" w:type="dxa"/>
            <w:shd w:val="clear" w:color="auto" w:fill="auto"/>
          </w:tcPr>
          <w:p w:rsidR="00FB4490" w:rsidRPr="0089673B" w:rsidRDefault="00721B0D" w:rsidP="00AE5704">
            <w:pPr>
              <w:rPr>
                <w:sz w:val="20"/>
                <w:szCs w:val="20"/>
              </w:rPr>
            </w:pPr>
            <w:r w:rsidRPr="0089673B">
              <w:rPr>
                <w:sz w:val="20"/>
                <w:szCs w:val="20"/>
              </w:rPr>
              <w:t>prawns, crabs, crayfish</w:t>
            </w:r>
          </w:p>
        </w:tc>
        <w:tc>
          <w:tcPr>
            <w:tcW w:w="2268" w:type="dxa"/>
            <w:shd w:val="clear" w:color="auto" w:fill="auto"/>
          </w:tcPr>
          <w:p w:rsidR="00FB4490" w:rsidRPr="0089673B" w:rsidRDefault="00787F2A" w:rsidP="00AE5704">
            <w:pPr>
              <w:rPr>
                <w:sz w:val="20"/>
                <w:szCs w:val="20"/>
              </w:rPr>
            </w:pPr>
            <w:r w:rsidRPr="0089673B">
              <w:rPr>
                <w:sz w:val="20"/>
                <w:szCs w:val="20"/>
              </w:rPr>
              <w:t>n</w:t>
            </w:r>
            <w:r w:rsidR="000D7B39" w:rsidRPr="0089673B">
              <w:rPr>
                <w:sz w:val="20"/>
                <w:szCs w:val="20"/>
              </w:rPr>
              <w:t>ot generally used</w:t>
            </w:r>
          </w:p>
        </w:tc>
        <w:tc>
          <w:tcPr>
            <w:tcW w:w="2410" w:type="dxa"/>
            <w:shd w:val="clear" w:color="auto" w:fill="auto"/>
          </w:tcPr>
          <w:p w:rsidR="00FB4490" w:rsidRPr="0089673B" w:rsidRDefault="00787F2A" w:rsidP="00AE5704">
            <w:pPr>
              <w:rPr>
                <w:sz w:val="20"/>
                <w:szCs w:val="20"/>
              </w:rPr>
            </w:pPr>
            <w:r w:rsidRPr="0089673B">
              <w:rPr>
                <w:sz w:val="20"/>
                <w:szCs w:val="20"/>
              </w:rPr>
              <w:t>n</w:t>
            </w:r>
            <w:r w:rsidR="000D7B39" w:rsidRPr="0089673B">
              <w:rPr>
                <w:sz w:val="20"/>
                <w:szCs w:val="20"/>
              </w:rPr>
              <w:t>ot generally used</w:t>
            </w:r>
          </w:p>
        </w:tc>
      </w:tr>
      <w:tr w:rsidR="00FB4490" w:rsidRPr="0089673B" w:rsidTr="006E7846">
        <w:trPr>
          <w:cantSplit/>
          <w:trHeight w:val="224"/>
        </w:trPr>
        <w:tc>
          <w:tcPr>
            <w:tcW w:w="1985" w:type="dxa"/>
            <w:shd w:val="clear" w:color="auto" w:fill="auto"/>
          </w:tcPr>
          <w:p w:rsidR="00FB4490" w:rsidRPr="0089673B" w:rsidRDefault="00FB4490" w:rsidP="00AE5704">
            <w:pPr>
              <w:rPr>
                <w:sz w:val="20"/>
                <w:szCs w:val="20"/>
              </w:rPr>
            </w:pPr>
            <w:r w:rsidRPr="0089673B">
              <w:rPr>
                <w:sz w:val="20"/>
                <w:szCs w:val="20"/>
              </w:rPr>
              <w:t>Molluscs</w:t>
            </w:r>
          </w:p>
        </w:tc>
        <w:tc>
          <w:tcPr>
            <w:tcW w:w="2268" w:type="dxa"/>
            <w:shd w:val="clear" w:color="auto" w:fill="auto"/>
          </w:tcPr>
          <w:p w:rsidR="00FB4490" w:rsidRPr="0089673B" w:rsidRDefault="00721B0D" w:rsidP="00AE5704">
            <w:pPr>
              <w:rPr>
                <w:sz w:val="20"/>
                <w:szCs w:val="20"/>
              </w:rPr>
            </w:pPr>
            <w:r w:rsidRPr="0089673B">
              <w:rPr>
                <w:sz w:val="20"/>
                <w:szCs w:val="20"/>
              </w:rPr>
              <w:t>other bivalves, abalone, squid, octopus, cuttlefish</w:t>
            </w:r>
          </w:p>
        </w:tc>
        <w:tc>
          <w:tcPr>
            <w:tcW w:w="2268" w:type="dxa"/>
            <w:shd w:val="clear" w:color="auto" w:fill="auto"/>
          </w:tcPr>
          <w:p w:rsidR="00FB4490" w:rsidRPr="0089673B" w:rsidRDefault="00FB4490" w:rsidP="00AE5704">
            <w:pPr>
              <w:rPr>
                <w:sz w:val="20"/>
                <w:szCs w:val="20"/>
              </w:rPr>
            </w:pPr>
            <w:r w:rsidRPr="0089673B">
              <w:rPr>
                <w:sz w:val="20"/>
                <w:szCs w:val="20"/>
              </w:rPr>
              <w:t>squid and octopus</w:t>
            </w:r>
          </w:p>
        </w:tc>
        <w:tc>
          <w:tcPr>
            <w:tcW w:w="2410" w:type="dxa"/>
            <w:shd w:val="clear" w:color="auto" w:fill="auto"/>
          </w:tcPr>
          <w:p w:rsidR="00FB4490" w:rsidRPr="0089673B" w:rsidRDefault="00787F2A" w:rsidP="00AE5704">
            <w:pPr>
              <w:rPr>
                <w:sz w:val="20"/>
                <w:szCs w:val="20"/>
              </w:rPr>
            </w:pPr>
            <w:r w:rsidRPr="0089673B">
              <w:rPr>
                <w:sz w:val="20"/>
                <w:szCs w:val="20"/>
              </w:rPr>
              <w:t>n</w:t>
            </w:r>
            <w:r w:rsidR="000D7B39" w:rsidRPr="0089673B">
              <w:rPr>
                <w:sz w:val="20"/>
                <w:szCs w:val="20"/>
              </w:rPr>
              <w:t>ot generally used</w:t>
            </w:r>
          </w:p>
        </w:tc>
      </w:tr>
      <w:tr w:rsidR="00FB4490" w:rsidRPr="0089673B" w:rsidTr="006E7846">
        <w:trPr>
          <w:cantSplit/>
          <w:trHeight w:val="284"/>
        </w:trPr>
        <w:tc>
          <w:tcPr>
            <w:tcW w:w="1985" w:type="dxa"/>
            <w:shd w:val="clear" w:color="auto" w:fill="auto"/>
          </w:tcPr>
          <w:p w:rsidR="00FB4490" w:rsidRPr="0089673B" w:rsidRDefault="00FB4490" w:rsidP="00AE5704">
            <w:pPr>
              <w:rPr>
                <w:sz w:val="20"/>
                <w:szCs w:val="20"/>
              </w:rPr>
            </w:pPr>
            <w:r w:rsidRPr="0089673B">
              <w:rPr>
                <w:sz w:val="20"/>
                <w:szCs w:val="20"/>
              </w:rPr>
              <w:t>Annelids</w:t>
            </w:r>
          </w:p>
        </w:tc>
        <w:tc>
          <w:tcPr>
            <w:tcW w:w="2268" w:type="dxa"/>
            <w:shd w:val="clear" w:color="auto" w:fill="auto"/>
          </w:tcPr>
          <w:p w:rsidR="00FB4490" w:rsidRPr="0089673B" w:rsidRDefault="00787F2A" w:rsidP="00AE5704">
            <w:pPr>
              <w:rPr>
                <w:sz w:val="20"/>
                <w:szCs w:val="20"/>
              </w:rPr>
            </w:pPr>
            <w:r w:rsidRPr="0089673B">
              <w:rPr>
                <w:sz w:val="20"/>
                <w:szCs w:val="20"/>
              </w:rPr>
              <w:t>n</w:t>
            </w:r>
            <w:r w:rsidR="000D7B39" w:rsidRPr="0089673B">
              <w:rPr>
                <w:sz w:val="20"/>
                <w:szCs w:val="20"/>
              </w:rPr>
              <w:t>ot generally used</w:t>
            </w:r>
          </w:p>
        </w:tc>
        <w:tc>
          <w:tcPr>
            <w:tcW w:w="2268" w:type="dxa"/>
            <w:shd w:val="clear" w:color="auto" w:fill="auto"/>
          </w:tcPr>
          <w:p w:rsidR="00FB4490" w:rsidRPr="0089673B" w:rsidRDefault="00787F2A" w:rsidP="00AE5704">
            <w:pPr>
              <w:rPr>
                <w:sz w:val="20"/>
                <w:szCs w:val="20"/>
              </w:rPr>
            </w:pPr>
            <w:r w:rsidRPr="0089673B">
              <w:rPr>
                <w:sz w:val="20"/>
                <w:szCs w:val="20"/>
              </w:rPr>
              <w:t>n</w:t>
            </w:r>
            <w:r w:rsidR="000D7B39" w:rsidRPr="0089673B">
              <w:rPr>
                <w:sz w:val="20"/>
                <w:szCs w:val="20"/>
              </w:rPr>
              <w:t>ot generally used</w:t>
            </w:r>
          </w:p>
        </w:tc>
        <w:tc>
          <w:tcPr>
            <w:tcW w:w="2410" w:type="dxa"/>
            <w:shd w:val="clear" w:color="auto" w:fill="auto"/>
          </w:tcPr>
          <w:p w:rsidR="00FB4490" w:rsidRPr="0089673B" w:rsidRDefault="00787F2A" w:rsidP="00AE5704">
            <w:pPr>
              <w:rPr>
                <w:sz w:val="20"/>
                <w:szCs w:val="20"/>
              </w:rPr>
            </w:pPr>
            <w:r w:rsidRPr="0089673B">
              <w:rPr>
                <w:sz w:val="20"/>
                <w:szCs w:val="20"/>
              </w:rPr>
              <w:t>n</w:t>
            </w:r>
            <w:r w:rsidR="000D7B39" w:rsidRPr="0089673B">
              <w:rPr>
                <w:sz w:val="20"/>
                <w:szCs w:val="20"/>
              </w:rPr>
              <w:t>ot generally used</w:t>
            </w:r>
          </w:p>
        </w:tc>
      </w:tr>
    </w:tbl>
    <w:p w:rsidR="00BA0B4B" w:rsidRPr="00BA0B4B" w:rsidRDefault="00BA0B4B" w:rsidP="00BA0B4B">
      <w:r>
        <w:br w:type="page"/>
      </w:r>
    </w:p>
    <w:p w:rsidR="0089673B" w:rsidRDefault="0089673B" w:rsidP="003047D4">
      <w:pPr>
        <w:pStyle w:val="Caption"/>
      </w:pPr>
      <w:r>
        <w:lastRenderedPageBreak/>
        <w:t xml:space="preserve">Table </w:t>
      </w:r>
      <w:fldSimple w:instr=" SEQ Table \* ARABIC ">
        <w:r w:rsidR="00B55546">
          <w:rPr>
            <w:noProof/>
          </w:rPr>
          <w:t>4</w:t>
        </w:r>
      </w:fldSimple>
      <w:r>
        <w:t xml:space="preserve">: Processed </w:t>
      </w:r>
      <w:r w:rsidRPr="009721B7">
        <w:t>bait/berley products and their uses in various fishing activities</w:t>
      </w:r>
    </w:p>
    <w:tbl>
      <w:tblPr>
        <w:tblStyle w:val="TableGrid"/>
        <w:tblW w:w="0" w:type="auto"/>
        <w:tblInd w:w="108" w:type="dxa"/>
        <w:tblLayout w:type="fixed"/>
        <w:tblLook w:val="04A0"/>
      </w:tblPr>
      <w:tblGrid>
        <w:gridCol w:w="1985"/>
        <w:gridCol w:w="2268"/>
        <w:gridCol w:w="2268"/>
        <w:gridCol w:w="2410"/>
      </w:tblGrid>
      <w:tr w:rsidR="0089673B" w:rsidRPr="0089673B" w:rsidTr="00BA0B4B">
        <w:trPr>
          <w:cantSplit/>
          <w:trHeight w:val="284"/>
        </w:trPr>
        <w:tc>
          <w:tcPr>
            <w:tcW w:w="1985" w:type="dxa"/>
            <w:shd w:val="clear" w:color="auto" w:fill="F2F2F2" w:themeFill="background1" w:themeFillShade="F2"/>
          </w:tcPr>
          <w:p w:rsidR="0089673B" w:rsidRPr="0089673B" w:rsidRDefault="0089673B" w:rsidP="00AE5704">
            <w:pPr>
              <w:rPr>
                <w:b/>
                <w:sz w:val="20"/>
                <w:szCs w:val="20"/>
              </w:rPr>
            </w:pPr>
            <w:r w:rsidRPr="0089673B">
              <w:rPr>
                <w:b/>
                <w:sz w:val="20"/>
                <w:szCs w:val="20"/>
              </w:rPr>
              <w:t xml:space="preserve">Processed </w:t>
            </w:r>
            <w:r>
              <w:rPr>
                <w:b/>
                <w:sz w:val="20"/>
                <w:szCs w:val="20"/>
              </w:rPr>
              <w:t>bait/berley</w:t>
            </w:r>
          </w:p>
        </w:tc>
        <w:tc>
          <w:tcPr>
            <w:tcW w:w="2268" w:type="dxa"/>
            <w:shd w:val="clear" w:color="auto" w:fill="F2F2F2" w:themeFill="background1" w:themeFillShade="F2"/>
          </w:tcPr>
          <w:p w:rsidR="0089673B" w:rsidRPr="0089673B" w:rsidRDefault="0089673B" w:rsidP="0089673B">
            <w:pPr>
              <w:rPr>
                <w:b/>
                <w:sz w:val="20"/>
                <w:szCs w:val="20"/>
              </w:rPr>
            </w:pPr>
            <w:r w:rsidRPr="0089673B">
              <w:rPr>
                <w:b/>
                <w:sz w:val="20"/>
                <w:szCs w:val="20"/>
              </w:rPr>
              <w:t>Line fishing</w:t>
            </w:r>
          </w:p>
          <w:p w:rsidR="0089673B" w:rsidRPr="0089673B" w:rsidRDefault="0089673B" w:rsidP="0089673B">
            <w:pPr>
              <w:rPr>
                <w:sz w:val="20"/>
                <w:szCs w:val="20"/>
              </w:rPr>
            </w:pPr>
            <w:r w:rsidRPr="0089673B">
              <w:rPr>
                <w:b/>
                <w:sz w:val="20"/>
                <w:szCs w:val="20"/>
              </w:rPr>
              <w:t>(Recreational)</w:t>
            </w:r>
          </w:p>
        </w:tc>
        <w:tc>
          <w:tcPr>
            <w:tcW w:w="2268" w:type="dxa"/>
            <w:shd w:val="clear" w:color="auto" w:fill="F2F2F2" w:themeFill="background1" w:themeFillShade="F2"/>
          </w:tcPr>
          <w:p w:rsidR="0089673B" w:rsidRPr="0089673B" w:rsidRDefault="0089673B" w:rsidP="0089673B">
            <w:pPr>
              <w:rPr>
                <w:sz w:val="20"/>
                <w:szCs w:val="20"/>
              </w:rPr>
            </w:pPr>
            <w:r w:rsidRPr="0089673B">
              <w:rPr>
                <w:b/>
                <w:sz w:val="20"/>
                <w:szCs w:val="20"/>
              </w:rPr>
              <w:t>Longlines and droplines (Commercial)</w:t>
            </w:r>
          </w:p>
        </w:tc>
        <w:tc>
          <w:tcPr>
            <w:tcW w:w="2410" w:type="dxa"/>
            <w:shd w:val="clear" w:color="auto" w:fill="F2F2F2" w:themeFill="background1" w:themeFillShade="F2"/>
          </w:tcPr>
          <w:p w:rsidR="0089673B" w:rsidRPr="0089673B" w:rsidRDefault="0089673B" w:rsidP="0089673B">
            <w:pPr>
              <w:rPr>
                <w:sz w:val="20"/>
                <w:szCs w:val="20"/>
              </w:rPr>
            </w:pPr>
            <w:r w:rsidRPr="0089673B">
              <w:rPr>
                <w:b/>
                <w:sz w:val="20"/>
                <w:szCs w:val="20"/>
              </w:rPr>
              <w:t>Pots and traps</w:t>
            </w:r>
          </w:p>
        </w:tc>
      </w:tr>
      <w:tr w:rsidR="00FB4490" w:rsidRPr="0089673B" w:rsidTr="00BA0B4B">
        <w:trPr>
          <w:cantSplit/>
          <w:trHeight w:val="284"/>
        </w:trPr>
        <w:tc>
          <w:tcPr>
            <w:tcW w:w="1985" w:type="dxa"/>
            <w:shd w:val="clear" w:color="auto" w:fill="auto"/>
          </w:tcPr>
          <w:p w:rsidR="00FB4490" w:rsidRPr="0089673B" w:rsidRDefault="00FB4490" w:rsidP="00AE5704">
            <w:pPr>
              <w:rPr>
                <w:b/>
                <w:sz w:val="20"/>
                <w:szCs w:val="20"/>
              </w:rPr>
            </w:pPr>
            <w:r w:rsidRPr="0089673B">
              <w:rPr>
                <w:sz w:val="20"/>
                <w:szCs w:val="20"/>
              </w:rPr>
              <w:t>Finfish</w:t>
            </w:r>
          </w:p>
        </w:tc>
        <w:tc>
          <w:tcPr>
            <w:tcW w:w="2268" w:type="dxa"/>
            <w:shd w:val="clear" w:color="auto" w:fill="auto"/>
          </w:tcPr>
          <w:p w:rsidR="00FB4490" w:rsidRPr="0089673B" w:rsidRDefault="00DB3E88" w:rsidP="00AE5704">
            <w:pPr>
              <w:rPr>
                <w:sz w:val="20"/>
                <w:szCs w:val="20"/>
              </w:rPr>
            </w:pPr>
            <w:r w:rsidRPr="0089673B">
              <w:rPr>
                <w:sz w:val="20"/>
                <w:szCs w:val="20"/>
              </w:rPr>
              <w:t xml:space="preserve">potentially </w:t>
            </w:r>
            <w:r w:rsidR="000D7B39" w:rsidRPr="0089673B">
              <w:rPr>
                <w:sz w:val="20"/>
                <w:szCs w:val="20"/>
              </w:rPr>
              <w:t>used in berley products</w:t>
            </w:r>
          </w:p>
        </w:tc>
        <w:tc>
          <w:tcPr>
            <w:tcW w:w="2268" w:type="dxa"/>
            <w:shd w:val="clear" w:color="auto" w:fill="auto"/>
          </w:tcPr>
          <w:p w:rsidR="00FB4490" w:rsidRPr="0089673B" w:rsidRDefault="00DB3E88" w:rsidP="00AE5704">
            <w:pPr>
              <w:rPr>
                <w:sz w:val="20"/>
                <w:szCs w:val="20"/>
              </w:rPr>
            </w:pPr>
            <w:r w:rsidRPr="0089673B">
              <w:rPr>
                <w:sz w:val="20"/>
                <w:szCs w:val="20"/>
              </w:rPr>
              <w:t xml:space="preserve">not </w:t>
            </w:r>
            <w:r w:rsidR="000D7B39" w:rsidRPr="0089673B">
              <w:rPr>
                <w:sz w:val="20"/>
                <w:szCs w:val="20"/>
              </w:rPr>
              <w:t>generally used</w:t>
            </w:r>
          </w:p>
        </w:tc>
        <w:tc>
          <w:tcPr>
            <w:tcW w:w="2410" w:type="dxa"/>
            <w:shd w:val="clear" w:color="auto" w:fill="auto"/>
          </w:tcPr>
          <w:p w:rsidR="00FB4490" w:rsidRPr="0089673B" w:rsidRDefault="00DB3E88" w:rsidP="00AE5704">
            <w:pPr>
              <w:rPr>
                <w:sz w:val="20"/>
                <w:szCs w:val="20"/>
              </w:rPr>
            </w:pPr>
            <w:r w:rsidRPr="0089673B">
              <w:rPr>
                <w:sz w:val="20"/>
                <w:szCs w:val="20"/>
              </w:rPr>
              <w:t xml:space="preserve">potentially </w:t>
            </w:r>
            <w:r w:rsidR="003847AC" w:rsidRPr="0089673B">
              <w:rPr>
                <w:sz w:val="20"/>
                <w:szCs w:val="20"/>
              </w:rPr>
              <w:t>used in berley products</w:t>
            </w:r>
          </w:p>
        </w:tc>
      </w:tr>
      <w:tr w:rsidR="00FB4490" w:rsidRPr="0089673B" w:rsidTr="00BA0B4B">
        <w:trPr>
          <w:cantSplit/>
          <w:trHeight w:val="284"/>
        </w:trPr>
        <w:tc>
          <w:tcPr>
            <w:tcW w:w="1985" w:type="dxa"/>
            <w:tcBorders>
              <w:bottom w:val="single" w:sz="4" w:space="0" w:color="auto"/>
            </w:tcBorders>
            <w:shd w:val="clear" w:color="auto" w:fill="auto"/>
          </w:tcPr>
          <w:p w:rsidR="00FB4490" w:rsidRPr="0089673B" w:rsidRDefault="00FB4490" w:rsidP="00AE5704">
            <w:pPr>
              <w:rPr>
                <w:b/>
                <w:sz w:val="20"/>
                <w:szCs w:val="20"/>
              </w:rPr>
            </w:pPr>
            <w:r w:rsidRPr="0089673B">
              <w:rPr>
                <w:sz w:val="20"/>
                <w:szCs w:val="20"/>
              </w:rPr>
              <w:t>Crustaceans</w:t>
            </w:r>
          </w:p>
        </w:tc>
        <w:tc>
          <w:tcPr>
            <w:tcW w:w="2268" w:type="dxa"/>
            <w:tcBorders>
              <w:bottom w:val="single" w:sz="4" w:space="0" w:color="auto"/>
            </w:tcBorders>
            <w:shd w:val="clear" w:color="auto" w:fill="auto"/>
          </w:tcPr>
          <w:p w:rsidR="00FB4490" w:rsidRPr="0089673B" w:rsidRDefault="00DB3E88" w:rsidP="00AE5704">
            <w:pPr>
              <w:rPr>
                <w:sz w:val="20"/>
                <w:szCs w:val="20"/>
              </w:rPr>
            </w:pPr>
            <w:r w:rsidRPr="0089673B">
              <w:rPr>
                <w:sz w:val="20"/>
                <w:szCs w:val="20"/>
              </w:rPr>
              <w:t xml:space="preserve">potentially </w:t>
            </w:r>
            <w:r w:rsidR="000D7B39" w:rsidRPr="0089673B">
              <w:rPr>
                <w:sz w:val="20"/>
                <w:szCs w:val="20"/>
              </w:rPr>
              <w:t>used in berley products</w:t>
            </w:r>
          </w:p>
        </w:tc>
        <w:tc>
          <w:tcPr>
            <w:tcW w:w="2268" w:type="dxa"/>
            <w:tcBorders>
              <w:bottom w:val="single" w:sz="4" w:space="0" w:color="auto"/>
            </w:tcBorders>
            <w:shd w:val="clear" w:color="auto" w:fill="auto"/>
          </w:tcPr>
          <w:p w:rsidR="00FB4490" w:rsidRPr="0089673B" w:rsidRDefault="00DB3E88" w:rsidP="00AE5704">
            <w:pPr>
              <w:rPr>
                <w:sz w:val="20"/>
                <w:szCs w:val="20"/>
              </w:rPr>
            </w:pPr>
            <w:r w:rsidRPr="0089673B">
              <w:rPr>
                <w:sz w:val="20"/>
                <w:szCs w:val="20"/>
              </w:rPr>
              <w:t xml:space="preserve">not </w:t>
            </w:r>
            <w:r w:rsidR="000D7B39" w:rsidRPr="0089673B">
              <w:rPr>
                <w:sz w:val="20"/>
                <w:szCs w:val="20"/>
              </w:rPr>
              <w:t>generally used</w:t>
            </w:r>
          </w:p>
        </w:tc>
        <w:tc>
          <w:tcPr>
            <w:tcW w:w="2410" w:type="dxa"/>
            <w:tcBorders>
              <w:bottom w:val="single" w:sz="4" w:space="0" w:color="auto"/>
            </w:tcBorders>
            <w:shd w:val="clear" w:color="auto" w:fill="auto"/>
          </w:tcPr>
          <w:p w:rsidR="00FB4490" w:rsidRPr="0089673B" w:rsidRDefault="00DB3E88" w:rsidP="00AE5704">
            <w:pPr>
              <w:rPr>
                <w:sz w:val="20"/>
                <w:szCs w:val="20"/>
              </w:rPr>
            </w:pPr>
            <w:r w:rsidRPr="0089673B">
              <w:rPr>
                <w:sz w:val="20"/>
                <w:szCs w:val="20"/>
              </w:rPr>
              <w:t xml:space="preserve">potentially </w:t>
            </w:r>
            <w:r w:rsidR="003847AC" w:rsidRPr="0089673B">
              <w:rPr>
                <w:sz w:val="20"/>
                <w:szCs w:val="20"/>
              </w:rPr>
              <w:t>used in berley products</w:t>
            </w:r>
          </w:p>
        </w:tc>
      </w:tr>
      <w:tr w:rsidR="00FB4490" w:rsidRPr="0089673B" w:rsidTr="00BA0B4B">
        <w:trPr>
          <w:cantSplit/>
          <w:trHeight w:val="284"/>
        </w:trPr>
        <w:tc>
          <w:tcPr>
            <w:tcW w:w="1985" w:type="dxa"/>
            <w:tcBorders>
              <w:bottom w:val="single" w:sz="4" w:space="0" w:color="auto"/>
            </w:tcBorders>
            <w:shd w:val="clear" w:color="auto" w:fill="auto"/>
          </w:tcPr>
          <w:p w:rsidR="00FB4490" w:rsidRPr="0089673B" w:rsidRDefault="00FB4490" w:rsidP="00AE5704">
            <w:pPr>
              <w:rPr>
                <w:b/>
                <w:sz w:val="20"/>
                <w:szCs w:val="20"/>
              </w:rPr>
            </w:pPr>
            <w:r w:rsidRPr="0089673B">
              <w:rPr>
                <w:sz w:val="20"/>
                <w:szCs w:val="20"/>
              </w:rPr>
              <w:t>Molluscs</w:t>
            </w:r>
          </w:p>
        </w:tc>
        <w:tc>
          <w:tcPr>
            <w:tcW w:w="2268" w:type="dxa"/>
            <w:tcBorders>
              <w:bottom w:val="single" w:sz="4" w:space="0" w:color="auto"/>
            </w:tcBorders>
            <w:shd w:val="clear" w:color="auto" w:fill="auto"/>
          </w:tcPr>
          <w:p w:rsidR="00FB4490" w:rsidRPr="0089673B" w:rsidRDefault="00DB3E88" w:rsidP="00AE5704">
            <w:pPr>
              <w:rPr>
                <w:sz w:val="20"/>
                <w:szCs w:val="20"/>
              </w:rPr>
            </w:pPr>
            <w:r w:rsidRPr="0089673B">
              <w:rPr>
                <w:sz w:val="20"/>
                <w:szCs w:val="20"/>
              </w:rPr>
              <w:t xml:space="preserve">potentially </w:t>
            </w:r>
            <w:r w:rsidR="000D7B39" w:rsidRPr="0089673B">
              <w:rPr>
                <w:sz w:val="20"/>
                <w:szCs w:val="20"/>
              </w:rPr>
              <w:t>used in berley products</w:t>
            </w:r>
          </w:p>
        </w:tc>
        <w:tc>
          <w:tcPr>
            <w:tcW w:w="2268" w:type="dxa"/>
            <w:tcBorders>
              <w:bottom w:val="single" w:sz="4" w:space="0" w:color="auto"/>
            </w:tcBorders>
            <w:shd w:val="clear" w:color="auto" w:fill="auto"/>
          </w:tcPr>
          <w:p w:rsidR="00FB4490" w:rsidRPr="0089673B" w:rsidRDefault="00DB3E88" w:rsidP="00AE5704">
            <w:pPr>
              <w:rPr>
                <w:sz w:val="20"/>
                <w:szCs w:val="20"/>
              </w:rPr>
            </w:pPr>
            <w:r w:rsidRPr="0089673B">
              <w:rPr>
                <w:sz w:val="20"/>
                <w:szCs w:val="20"/>
              </w:rPr>
              <w:t xml:space="preserve">not </w:t>
            </w:r>
            <w:r w:rsidR="000D7B39" w:rsidRPr="0089673B">
              <w:rPr>
                <w:sz w:val="20"/>
                <w:szCs w:val="20"/>
              </w:rPr>
              <w:t>generally used</w:t>
            </w:r>
          </w:p>
        </w:tc>
        <w:tc>
          <w:tcPr>
            <w:tcW w:w="2410" w:type="dxa"/>
            <w:tcBorders>
              <w:bottom w:val="single" w:sz="4" w:space="0" w:color="auto"/>
            </w:tcBorders>
            <w:shd w:val="clear" w:color="auto" w:fill="auto"/>
          </w:tcPr>
          <w:p w:rsidR="00FB4490" w:rsidRPr="0089673B" w:rsidRDefault="00DB3E88" w:rsidP="00AE5704">
            <w:pPr>
              <w:rPr>
                <w:sz w:val="20"/>
                <w:szCs w:val="20"/>
              </w:rPr>
            </w:pPr>
            <w:r w:rsidRPr="0089673B">
              <w:rPr>
                <w:sz w:val="20"/>
                <w:szCs w:val="20"/>
              </w:rPr>
              <w:t xml:space="preserve">potentially </w:t>
            </w:r>
            <w:r w:rsidR="003847AC" w:rsidRPr="0089673B">
              <w:rPr>
                <w:sz w:val="20"/>
                <w:szCs w:val="20"/>
              </w:rPr>
              <w:t>used in berley products</w:t>
            </w:r>
          </w:p>
        </w:tc>
      </w:tr>
      <w:tr w:rsidR="00FB4490" w:rsidRPr="0089673B" w:rsidTr="00BA0B4B">
        <w:trPr>
          <w:cantSplit/>
          <w:trHeight w:val="284"/>
        </w:trPr>
        <w:tc>
          <w:tcPr>
            <w:tcW w:w="1985" w:type="dxa"/>
            <w:tcBorders>
              <w:top w:val="single" w:sz="4" w:space="0" w:color="auto"/>
            </w:tcBorders>
            <w:shd w:val="clear" w:color="auto" w:fill="auto"/>
          </w:tcPr>
          <w:p w:rsidR="00FB4490" w:rsidRPr="0089673B" w:rsidRDefault="00FB4490" w:rsidP="00AE5704">
            <w:pPr>
              <w:rPr>
                <w:b/>
                <w:sz w:val="20"/>
                <w:szCs w:val="20"/>
              </w:rPr>
            </w:pPr>
            <w:r w:rsidRPr="0089673B">
              <w:rPr>
                <w:sz w:val="20"/>
                <w:szCs w:val="20"/>
              </w:rPr>
              <w:t>Annelids</w:t>
            </w:r>
          </w:p>
        </w:tc>
        <w:tc>
          <w:tcPr>
            <w:tcW w:w="2268" w:type="dxa"/>
            <w:tcBorders>
              <w:top w:val="single" w:sz="4" w:space="0" w:color="auto"/>
            </w:tcBorders>
            <w:shd w:val="clear" w:color="auto" w:fill="auto"/>
          </w:tcPr>
          <w:p w:rsidR="00FB4490" w:rsidRPr="0089673B" w:rsidRDefault="00DB3E88" w:rsidP="004B1B9D">
            <w:pPr>
              <w:rPr>
                <w:sz w:val="20"/>
                <w:szCs w:val="20"/>
              </w:rPr>
            </w:pPr>
            <w:r w:rsidRPr="0089673B">
              <w:rPr>
                <w:sz w:val="20"/>
                <w:szCs w:val="20"/>
              </w:rPr>
              <w:t xml:space="preserve">potentially </w:t>
            </w:r>
            <w:r w:rsidR="000D7B39" w:rsidRPr="0089673B">
              <w:rPr>
                <w:sz w:val="20"/>
                <w:szCs w:val="20"/>
              </w:rPr>
              <w:t>used in berley products</w:t>
            </w:r>
          </w:p>
        </w:tc>
        <w:tc>
          <w:tcPr>
            <w:tcW w:w="2268" w:type="dxa"/>
            <w:tcBorders>
              <w:top w:val="single" w:sz="4" w:space="0" w:color="auto"/>
            </w:tcBorders>
            <w:shd w:val="clear" w:color="auto" w:fill="auto"/>
          </w:tcPr>
          <w:p w:rsidR="00FB4490" w:rsidRPr="0089673B" w:rsidRDefault="00DB3E88" w:rsidP="00AE5704">
            <w:pPr>
              <w:rPr>
                <w:sz w:val="20"/>
                <w:szCs w:val="20"/>
              </w:rPr>
            </w:pPr>
            <w:r w:rsidRPr="0089673B">
              <w:rPr>
                <w:sz w:val="20"/>
                <w:szCs w:val="20"/>
              </w:rPr>
              <w:t xml:space="preserve">not </w:t>
            </w:r>
            <w:r w:rsidR="000D7B39" w:rsidRPr="0089673B">
              <w:rPr>
                <w:sz w:val="20"/>
                <w:szCs w:val="20"/>
              </w:rPr>
              <w:t>generally used</w:t>
            </w:r>
          </w:p>
        </w:tc>
        <w:tc>
          <w:tcPr>
            <w:tcW w:w="2410" w:type="dxa"/>
            <w:tcBorders>
              <w:top w:val="single" w:sz="4" w:space="0" w:color="auto"/>
            </w:tcBorders>
            <w:shd w:val="clear" w:color="auto" w:fill="auto"/>
          </w:tcPr>
          <w:p w:rsidR="00FB4490" w:rsidRPr="0089673B" w:rsidRDefault="00DB3E88" w:rsidP="00AE5704">
            <w:pPr>
              <w:rPr>
                <w:sz w:val="20"/>
                <w:szCs w:val="20"/>
              </w:rPr>
            </w:pPr>
            <w:r w:rsidRPr="0089673B">
              <w:rPr>
                <w:sz w:val="20"/>
                <w:szCs w:val="20"/>
              </w:rPr>
              <w:t xml:space="preserve">potentially </w:t>
            </w:r>
            <w:r w:rsidR="003847AC" w:rsidRPr="0089673B">
              <w:rPr>
                <w:sz w:val="20"/>
                <w:szCs w:val="20"/>
              </w:rPr>
              <w:t>used in berley products</w:t>
            </w:r>
          </w:p>
        </w:tc>
      </w:tr>
    </w:tbl>
    <w:p w:rsidR="00310FF8" w:rsidRDefault="00055F5E" w:rsidP="004B1B9D">
      <w:pPr>
        <w:spacing w:before="200"/>
      </w:pPr>
      <w:r>
        <w:t xml:space="preserve">As highlighted </w:t>
      </w:r>
      <w:r w:rsidR="001046F6">
        <w:t>in Table</w:t>
      </w:r>
      <w:r w:rsidR="003047D4">
        <w:t>s</w:t>
      </w:r>
      <w:r w:rsidR="001046F6">
        <w:t xml:space="preserve"> 1</w:t>
      </w:r>
      <w:r w:rsidR="003A1CB3">
        <w:t>–</w:t>
      </w:r>
      <w:r w:rsidR="003047D4">
        <w:t>4</w:t>
      </w:r>
      <w:r>
        <w:t xml:space="preserve">, bait and berley products </w:t>
      </w:r>
      <w:r w:rsidR="00F808AD">
        <w:t xml:space="preserve">in Australia </w:t>
      </w:r>
      <w:r>
        <w:t>are available in a variety of forms and preservation methods</w:t>
      </w:r>
      <w:r w:rsidR="00BA000D">
        <w:t xml:space="preserve">. </w:t>
      </w:r>
      <w:r w:rsidR="00F808AD">
        <w:t>The products</w:t>
      </w:r>
      <w:r w:rsidR="00B34C52">
        <w:t xml:space="preserve"> come from a </w:t>
      </w:r>
      <w:r w:rsidR="00BA000D">
        <w:t>wide variety</w:t>
      </w:r>
      <w:r w:rsidR="00B34C52">
        <w:t xml:space="preserve"> of sources ranging from invertebrates </w:t>
      </w:r>
      <w:r w:rsidR="0080390A">
        <w:t xml:space="preserve">(e.g. </w:t>
      </w:r>
      <w:r w:rsidR="00B34C52">
        <w:t>annelids, molluscs, crustaceans and echinoderms</w:t>
      </w:r>
      <w:r w:rsidR="0080390A">
        <w:t>)</w:t>
      </w:r>
      <w:r w:rsidR="00B34C52">
        <w:t xml:space="preserve">, to aquatic vertebrates </w:t>
      </w:r>
      <w:r w:rsidR="0080390A">
        <w:t xml:space="preserve">(e.g. </w:t>
      </w:r>
      <w:r w:rsidR="00B34C52">
        <w:t>goldfish and pilchards</w:t>
      </w:r>
      <w:r w:rsidR="0080390A">
        <w:t>)</w:t>
      </w:r>
      <w:r w:rsidR="00B34C52">
        <w:t>, to insects and terrestrial vertebrates</w:t>
      </w:r>
      <w:r w:rsidR="00BA000D">
        <w:t>.</w:t>
      </w:r>
      <w:r w:rsidR="00B34C52">
        <w:t xml:space="preserve"> Bait and berley </w:t>
      </w:r>
      <w:r w:rsidR="00BA000D">
        <w:t>can</w:t>
      </w:r>
      <w:r w:rsidR="00B34C52">
        <w:t xml:space="preserve"> be uncooked, live, chilled or frozen. </w:t>
      </w:r>
      <w:r w:rsidR="00A90D33">
        <w:t>The form</w:t>
      </w:r>
      <w:r w:rsidR="00DC7751">
        <w:t xml:space="preserve"> of bait product may</w:t>
      </w:r>
      <w:r w:rsidR="00A90D33">
        <w:t xml:space="preserve"> affect the </w:t>
      </w:r>
      <w:r w:rsidR="00DC7751">
        <w:t xml:space="preserve">likelihood </w:t>
      </w:r>
      <w:r w:rsidR="00A90D33">
        <w:t xml:space="preserve">of </w:t>
      </w:r>
      <w:r w:rsidR="00DC7751">
        <w:t>it containing viable pathogens</w:t>
      </w:r>
      <w:r w:rsidR="00A90D33">
        <w:t xml:space="preserve"> and </w:t>
      </w:r>
      <w:r w:rsidR="00DC7751">
        <w:t>the likelihood that</w:t>
      </w:r>
      <w:r w:rsidR="00A90D33">
        <w:t xml:space="preserve"> </w:t>
      </w:r>
      <w:r w:rsidR="00DC7751">
        <w:t xml:space="preserve">the </w:t>
      </w:r>
      <w:r w:rsidR="00A90D33">
        <w:t>pathogens</w:t>
      </w:r>
      <w:r w:rsidR="00DC7751">
        <w:t xml:space="preserve"> will be transferred to susceptible hosts</w:t>
      </w:r>
      <w:r w:rsidR="00A90D33">
        <w:t>.</w:t>
      </w:r>
      <w:r w:rsidR="00BA000D" w:rsidRPr="00BA000D">
        <w:t xml:space="preserve"> </w:t>
      </w:r>
      <w:r w:rsidR="00A90D33">
        <w:t>E</w:t>
      </w:r>
      <w:r>
        <w:t xml:space="preserve">ach jurisdiction </w:t>
      </w:r>
      <w:r w:rsidR="00883854">
        <w:t>has</w:t>
      </w:r>
      <w:r>
        <w:t xml:space="preserve"> its own unique circumstances and risks</w:t>
      </w:r>
      <w:r w:rsidR="00A90D33">
        <w:t xml:space="preserve"> based on the </w:t>
      </w:r>
      <w:r w:rsidR="00A40FC5">
        <w:t xml:space="preserve">fishing activities </w:t>
      </w:r>
      <w:r w:rsidR="00A90D33">
        <w:t>undertaken in that jurisdiction</w:t>
      </w:r>
      <w:r>
        <w:t xml:space="preserve">. </w:t>
      </w:r>
      <w:r w:rsidR="00AA2017">
        <w:t>The types of aquatic bait and berley</w:t>
      </w:r>
      <w:r>
        <w:t xml:space="preserve"> with the potential to </w:t>
      </w:r>
      <w:r w:rsidR="00F13123">
        <w:t xml:space="preserve">transfer </w:t>
      </w:r>
      <w:r>
        <w:t xml:space="preserve">disease are discussed </w:t>
      </w:r>
      <w:r w:rsidR="002410B7">
        <w:t>in the next sections</w:t>
      </w:r>
      <w:r w:rsidR="00BA0B4B">
        <w:t>.</w:t>
      </w:r>
    </w:p>
    <w:p w:rsidR="00BF0EEE" w:rsidRDefault="00BF0EEE" w:rsidP="00B45005">
      <w:r w:rsidRPr="0082700A">
        <w:t xml:space="preserve">A national survey of bait and berley use by recreational fishers was </w:t>
      </w:r>
      <w:r w:rsidR="00DC7751" w:rsidRPr="0082700A">
        <w:t>completed in 2002</w:t>
      </w:r>
      <w:r w:rsidRPr="0082700A">
        <w:t xml:space="preserve"> (</w:t>
      </w:r>
      <w:r w:rsidR="007F0736" w:rsidRPr="0082700A">
        <w:t>Kewagama</w:t>
      </w:r>
      <w:r w:rsidR="00F5344C" w:rsidRPr="0082700A">
        <w:t xml:space="preserve"> Research</w:t>
      </w:r>
      <w:r w:rsidRPr="0082700A">
        <w:t xml:space="preserve">, 2002). This work provided a comprehensive survey of over 8000 Australian homes. There </w:t>
      </w:r>
      <w:r w:rsidR="00DC7751" w:rsidRPr="0082700A">
        <w:t xml:space="preserve">were </w:t>
      </w:r>
      <w:r w:rsidRPr="0082700A">
        <w:t>large variation</w:t>
      </w:r>
      <w:r w:rsidR="00DC7751" w:rsidRPr="0082700A">
        <w:t>s</w:t>
      </w:r>
      <w:r w:rsidRPr="0082700A">
        <w:t xml:space="preserve"> in the type and method of bait and berley use between jurisdictions. The most commonly used bait and </w:t>
      </w:r>
      <w:r>
        <w:t>berley as reported by recreational fishers was prawns, saltwater fish and squid/cuttlefish/octopus in order of decreasing usage. The use of annelids was not reported</w:t>
      </w:r>
      <w:r w:rsidR="00CA6CB2">
        <w:t xml:space="preserve"> </w:t>
      </w:r>
      <w:r>
        <w:t xml:space="preserve">in this survey. The source of the bait/berley in this survey was separated into: “sold as bait”, “sold as seafood” and “personally caught”. The form in which bait was used was also recorded. In general prawns/shrimp were used “whole dead” (67%) or with “head off” (21%). The most commonly used saltwater fish for bait and berley was pilchards (73%) then mullet (28%) then whitebait. </w:t>
      </w:r>
      <w:r w:rsidR="00DC7751">
        <w:t>Sal</w:t>
      </w:r>
      <w:r w:rsidR="0082700A">
        <w:t>t</w:t>
      </w:r>
      <w:r w:rsidR="00DC7751">
        <w:t>water fish were most</w:t>
      </w:r>
      <w:r>
        <w:t xml:space="preserve"> commonly purchased (dead) and on average 37% were caught by the fisher. There was little data available</w:t>
      </w:r>
      <w:r w:rsidR="00BA0B4B">
        <w:t xml:space="preserve"> on cephalopod usage patterns.</w:t>
      </w:r>
    </w:p>
    <w:p w:rsidR="00310FF8" w:rsidRPr="00EB4449" w:rsidRDefault="00055F5E" w:rsidP="00312898">
      <w:pPr>
        <w:pStyle w:val="Heading3"/>
      </w:pPr>
      <w:bookmarkStart w:id="8" w:name="_Toc419370629"/>
      <w:r w:rsidRPr="00EB4449">
        <w:t xml:space="preserve">Live </w:t>
      </w:r>
      <w:r w:rsidR="007570C2">
        <w:t>b</w:t>
      </w:r>
      <w:r w:rsidRPr="00EB4449">
        <w:t>ait</w:t>
      </w:r>
      <w:bookmarkEnd w:id="8"/>
    </w:p>
    <w:p w:rsidR="00116B57" w:rsidRPr="00B63D07" w:rsidRDefault="0092364D" w:rsidP="00B45005">
      <w:r w:rsidRPr="00B63D07">
        <w:t>In Australia, l</w:t>
      </w:r>
      <w:r w:rsidR="00116B57" w:rsidRPr="00B63D07">
        <w:t xml:space="preserve">ive </w:t>
      </w:r>
      <w:r w:rsidRPr="00B63D07">
        <w:t xml:space="preserve">finfish, crustaceans, molluscs, and annelids are used as </w:t>
      </w:r>
      <w:r w:rsidR="00116B57" w:rsidRPr="00B63D07">
        <w:t>bait</w:t>
      </w:r>
      <w:r w:rsidRPr="00B63D07">
        <w:t>. Live bait present</w:t>
      </w:r>
      <w:r w:rsidR="00C75518" w:rsidRPr="00B63D07">
        <w:t>s</w:t>
      </w:r>
      <w:r w:rsidRPr="00B63D07">
        <w:t xml:space="preserve"> a higher exposure risk </w:t>
      </w:r>
      <w:r w:rsidR="00C75518" w:rsidRPr="00B63D07">
        <w:t>compared to</w:t>
      </w:r>
      <w:r w:rsidRPr="00B63D07">
        <w:t xml:space="preserve"> other</w:t>
      </w:r>
      <w:r w:rsidR="00C75518" w:rsidRPr="00B63D07">
        <w:t xml:space="preserve"> bait</w:t>
      </w:r>
      <w:r w:rsidRPr="00B63D07">
        <w:t xml:space="preserve"> categories because the animals may escape or be released into the receiving waterway, remain alive, and expose aquatic animal populations to pathogens of concern over an extended period.</w:t>
      </w:r>
      <w:r w:rsidR="005549D7">
        <w:t xml:space="preserve"> The viability of a potential pathogen is more likely to be higher in a living host when compared with a host that has been frozen or dead for some time. </w:t>
      </w:r>
      <w:r w:rsidR="00A41439" w:rsidRPr="00B63D07">
        <w:t xml:space="preserve">However in Australia there </w:t>
      </w:r>
      <w:r w:rsidR="00DC7751">
        <w:t>is no</w:t>
      </w:r>
      <w:r w:rsidR="00A41439" w:rsidRPr="00B63D07">
        <w:t xml:space="preserve"> significant commercial industry for the supply of live bait</w:t>
      </w:r>
      <w:r w:rsidR="00EB4449">
        <w:t xml:space="preserve"> (</w:t>
      </w:r>
      <w:r w:rsidR="007F0736">
        <w:t>Kewagama</w:t>
      </w:r>
      <w:r w:rsidR="00EB4449">
        <w:t xml:space="preserve"> </w:t>
      </w:r>
      <w:r w:rsidR="00787F2A">
        <w:t xml:space="preserve">Research, </w:t>
      </w:r>
      <w:r w:rsidR="00EB4449">
        <w:t>2002)</w:t>
      </w:r>
      <w:r w:rsidR="00A41439" w:rsidRPr="00B63D07">
        <w:t>.</w:t>
      </w:r>
      <w:r w:rsidR="00EB4449">
        <w:t xml:space="preserve"> It is likely that live annelid use is commonly practiced</w:t>
      </w:r>
      <w:r w:rsidR="00DC7751">
        <w:t>;</w:t>
      </w:r>
      <w:r w:rsidR="00EB4449">
        <w:t xml:space="preserve"> however</w:t>
      </w:r>
      <w:r w:rsidR="00DC7751">
        <w:t>,</w:t>
      </w:r>
      <w:r w:rsidR="00EB4449">
        <w:t xml:space="preserve"> </w:t>
      </w:r>
      <w:r w:rsidR="00143045">
        <w:t xml:space="preserve">data on </w:t>
      </w:r>
      <w:r w:rsidR="00DC7751">
        <w:t>patterns of use are lacking</w:t>
      </w:r>
      <w:r w:rsidR="00143045">
        <w:t xml:space="preserve">. </w:t>
      </w:r>
      <w:r w:rsidR="00DB603F">
        <w:t>For</w:t>
      </w:r>
      <w:r w:rsidR="00EB4449">
        <w:t xml:space="preserve"> live </w:t>
      </w:r>
      <w:r w:rsidR="00DB603F">
        <w:t xml:space="preserve">bait </w:t>
      </w:r>
      <w:r w:rsidR="00EB4449">
        <w:t>fish</w:t>
      </w:r>
      <w:r w:rsidR="00DB603F">
        <w:t>,</w:t>
      </w:r>
      <w:r w:rsidR="00EB4449">
        <w:t xml:space="preserve"> </w:t>
      </w:r>
      <w:r w:rsidR="00DB603F">
        <w:t xml:space="preserve">it is likely that animals </w:t>
      </w:r>
      <w:r w:rsidR="00EB4449">
        <w:t>are not translocated large distances.</w:t>
      </w:r>
    </w:p>
    <w:p w:rsidR="00EC1910" w:rsidRDefault="00EC1910" w:rsidP="00B45005">
      <w:r w:rsidRPr="00B63D07">
        <w:t xml:space="preserve">There are many </w:t>
      </w:r>
      <w:r w:rsidR="00DB603F">
        <w:t xml:space="preserve">overseas examples </w:t>
      </w:r>
      <w:r w:rsidRPr="00B63D07">
        <w:t xml:space="preserve">where diseases of finfish have been translocated, or suspected to have been translocated, with movements of live fish (Diggles 2011). In the United </w:t>
      </w:r>
      <w:r w:rsidRPr="00B63D07">
        <w:lastRenderedPageBreak/>
        <w:t>States</w:t>
      </w:r>
      <w:r w:rsidR="00DB603F">
        <w:t>,</w:t>
      </w:r>
      <w:r w:rsidRPr="00B63D07">
        <w:t xml:space="preserve"> translocations of live baitfish are considered likely to pose significant risks for </w:t>
      </w:r>
      <w:r w:rsidR="0082700A">
        <w:t xml:space="preserve">the </w:t>
      </w:r>
      <w:r w:rsidRPr="00B63D07">
        <w:t>spread of the notifiable pathogens Spring Viraemia of Carp (SVCV) and Viral Haemorrhagic Septicaemia (VHSV), as well as other less pathogenic agents such as aquareoviruses like Golden Shiner Virus (GSV) (Goodwin et al. 2004</w:t>
      </w:r>
      <w:r w:rsidR="009E504C">
        <w:t xml:space="preserve"> cited in Diggles 2011</w:t>
      </w:r>
      <w:r w:rsidRPr="00B63D07">
        <w:t>).</w:t>
      </w:r>
    </w:p>
    <w:p w:rsidR="002D3EC3" w:rsidRDefault="002D3EC3" w:rsidP="00B45005">
      <w:r>
        <w:t>Crustacea are a popular source of bait and are known to harbour a range of viral, bacterial and other diseases</w:t>
      </w:r>
      <w:r w:rsidR="004A0021">
        <w:t xml:space="preserve"> </w:t>
      </w:r>
      <w:r w:rsidR="00EA27E6">
        <w:t>(</w:t>
      </w:r>
      <w:r w:rsidR="004A0021">
        <w:t>Diggles 2011</w:t>
      </w:r>
      <w:r w:rsidR="00EA27E6">
        <w:t>)</w:t>
      </w:r>
      <w:r>
        <w:t xml:space="preserve">. </w:t>
      </w:r>
      <w:r w:rsidR="004A0021">
        <w:t xml:space="preserve">It is believed that the use of the penaeid prawn as bait may have been responsible for the introduction of WSSV into </w:t>
      </w:r>
      <w:r w:rsidR="00EB4449">
        <w:t>the Gulf of Mexico and Texas</w:t>
      </w:r>
      <w:r w:rsidR="00FF6631">
        <w:t xml:space="preserve"> (Hasson et al 2006 </w:t>
      </w:r>
      <w:r w:rsidR="005549D7">
        <w:t xml:space="preserve">cited </w:t>
      </w:r>
      <w:r w:rsidR="00FF6631">
        <w:t>in Diggles 2011)</w:t>
      </w:r>
      <w:r w:rsidR="00EB4449">
        <w:t>.</w:t>
      </w:r>
      <w:r w:rsidR="00CA6CB2">
        <w:t xml:space="preserve"> </w:t>
      </w:r>
      <w:r w:rsidR="00FF6631">
        <w:t xml:space="preserve">The fungi that causes crayfish plague </w:t>
      </w:r>
      <w:r w:rsidR="00FF6631">
        <w:rPr>
          <w:i/>
        </w:rPr>
        <w:t>Aphanomyces astaci</w:t>
      </w:r>
      <w:r w:rsidR="00FF6631">
        <w:t xml:space="preserve"> would cause extreme mortalities in Australian species of crayfish </w:t>
      </w:r>
      <w:r w:rsidR="005549D7">
        <w:t xml:space="preserve">if it should enter our waters </w:t>
      </w:r>
      <w:r w:rsidR="00FF6631">
        <w:t>but shows no clinical signs in North American crayfish. European recreational fishers were implicated in spread of this disease through European waters by the movement of infected crayfish</w:t>
      </w:r>
      <w:r w:rsidR="00E17125">
        <w:t xml:space="preserve"> (Oidtmann 2002</w:t>
      </w:r>
      <w:r w:rsidR="005549D7" w:rsidRPr="005549D7">
        <w:t xml:space="preserve"> </w:t>
      </w:r>
      <w:r w:rsidR="005549D7">
        <w:t>cited</w:t>
      </w:r>
      <w:r w:rsidR="00E17125">
        <w:t xml:space="preserve"> in Diggles 2011)</w:t>
      </w:r>
      <w:r w:rsidR="00FF6631">
        <w:t>.</w:t>
      </w:r>
      <w:r w:rsidR="00E17125">
        <w:t xml:space="preserve"> There are a range of protozoa that can be spread when the</w:t>
      </w:r>
      <w:r w:rsidR="005549D7">
        <w:t xml:space="preserve"> crustacean</w:t>
      </w:r>
      <w:r w:rsidR="00E17125">
        <w:t xml:space="preserve"> host is translocated live. There is often a resistant spore</w:t>
      </w:r>
      <w:r w:rsidR="005549D7">
        <w:t xml:space="preserve"> </w:t>
      </w:r>
      <w:r w:rsidR="00E17125">
        <w:t>stage of the</w:t>
      </w:r>
      <w:r w:rsidR="0082700A">
        <w:t xml:space="preserve"> protozoan</w:t>
      </w:r>
      <w:r w:rsidR="00E17125">
        <w:t xml:space="preserve"> lifecycle that can survive harsh conditions such as freezing and drying.</w:t>
      </w:r>
      <w:r w:rsidR="00EA27E6">
        <w:t xml:space="preserve"> </w:t>
      </w:r>
      <w:r w:rsidR="00E17125">
        <w:t>Those proto</w:t>
      </w:r>
      <w:r w:rsidR="00376254">
        <w:t>z</w:t>
      </w:r>
      <w:r w:rsidR="00E17125">
        <w:t xml:space="preserve">oa with direct lifecycles can </w:t>
      </w:r>
      <w:r w:rsidR="005549D7">
        <w:t>readily</w:t>
      </w:r>
      <w:r w:rsidR="00E17125">
        <w:t xml:space="preserve"> transfer to new populations in new areas. It is speculated that some microsporidia have been spread through the use of y</w:t>
      </w:r>
      <w:r w:rsidR="0082700A">
        <w:t>abbies as live bait</w:t>
      </w:r>
      <w:r w:rsidR="00E17125">
        <w:t xml:space="preserve"> in Western Australia and as a response zoning has been introduced to minimise further spread (Diggles 2011).</w:t>
      </w:r>
    </w:p>
    <w:p w:rsidR="00E17125" w:rsidRPr="00351479" w:rsidRDefault="00E17125" w:rsidP="00B45005">
      <w:r>
        <w:t>Molluscs, particularly cephalopods and bivalves can carry a range of viral, bacterial and parasitic diseases.</w:t>
      </w:r>
      <w:r w:rsidR="00376254">
        <w:t xml:space="preserve"> There are well documented instances where disease transfer occurs when molluscs are moved as part of an aquaculture operation, but there is much less documented evidence</w:t>
      </w:r>
      <w:r w:rsidR="00DB603F" w:rsidRPr="00DB603F">
        <w:t xml:space="preserve"> </w:t>
      </w:r>
      <w:r w:rsidR="00DB603F">
        <w:t>when molluscs are translocated as bait</w:t>
      </w:r>
      <w:r w:rsidR="00376254">
        <w:t xml:space="preserve">. Movement of cultured abalone infected with </w:t>
      </w:r>
      <w:r w:rsidR="00997C50">
        <w:t xml:space="preserve">abalone </w:t>
      </w:r>
      <w:r w:rsidR="00BA4BA6">
        <w:t>herpesvirus in</w:t>
      </w:r>
      <w:r w:rsidR="00376254">
        <w:t xml:space="preserve"> Australia has been responsible for transfer of disease. </w:t>
      </w:r>
      <w:r w:rsidR="00DB603F">
        <w:t>The</w:t>
      </w:r>
      <w:r w:rsidR="00376254">
        <w:t xml:space="preserve"> use of infected abalone for bait </w:t>
      </w:r>
      <w:r w:rsidR="00DB603F">
        <w:t xml:space="preserve">is a plausible pathway for </w:t>
      </w:r>
      <w:r w:rsidR="001543C5">
        <w:t xml:space="preserve">disease </w:t>
      </w:r>
      <w:r w:rsidR="00DB603F">
        <w:t xml:space="preserve">spread </w:t>
      </w:r>
      <w:r w:rsidR="001543C5">
        <w:t>and this risk is reflected in legislative controls over abalone use for bait in some jurisdictions in Australia. It is believed that the r</w:t>
      </w:r>
      <w:r w:rsidR="00D82ACB">
        <w:t>i</w:t>
      </w:r>
      <w:r w:rsidR="001543C5">
        <w:t>ckettsiales – like organism that causes withering syndrome was introduced into Thailand following the translocation of live abalone from the US</w:t>
      </w:r>
      <w:r w:rsidR="00351479">
        <w:t xml:space="preserve"> (Wetchateng et al 2010 </w:t>
      </w:r>
      <w:r w:rsidR="00CB0C49">
        <w:t xml:space="preserve">cited </w:t>
      </w:r>
      <w:r w:rsidR="00351479">
        <w:t>in Diggles 2011)</w:t>
      </w:r>
      <w:r w:rsidR="001543C5">
        <w:t>.</w:t>
      </w:r>
      <w:r w:rsidR="00351479">
        <w:t xml:space="preserve"> Microcell organisms such as </w:t>
      </w:r>
      <w:r w:rsidR="00351479">
        <w:rPr>
          <w:i/>
        </w:rPr>
        <w:t>Bonamia sp</w:t>
      </w:r>
      <w:r w:rsidR="00351479">
        <w:t xml:space="preserve"> with a direct life cycle are a risk for translocation into new geographic areas </w:t>
      </w:r>
      <w:r w:rsidR="00F5344C">
        <w:t xml:space="preserve">along </w:t>
      </w:r>
      <w:r w:rsidR="00351479">
        <w:t xml:space="preserve">with their molluscan hosts. </w:t>
      </w:r>
    </w:p>
    <w:p w:rsidR="002D3EC3" w:rsidRDefault="00D57B9A" w:rsidP="00B45005">
      <w:r>
        <w:t>Annelids (Phylum Annelida) are very popular baits for marine fishing (e</w:t>
      </w:r>
      <w:r w:rsidR="00997C50">
        <w:t>.</w:t>
      </w:r>
      <w:r>
        <w:t>g</w:t>
      </w:r>
      <w:r w:rsidR="00997C50">
        <w:t>.</w:t>
      </w:r>
      <w:r w:rsidR="004A0021">
        <w:t xml:space="preserve"> polychaetes)</w:t>
      </w:r>
      <w:r>
        <w:t xml:space="preserve"> and for freshwater fishing (oligochaetes).</w:t>
      </w:r>
      <w:r w:rsidR="00EB4449">
        <w:t xml:space="preserve"> Anecdotally it can be assumed that annelids are used live when caught by fishers or purchased live however there is little data in this area. </w:t>
      </w:r>
      <w:r w:rsidR="00351479">
        <w:t>Annelids can be infected by a range of protozoan and metazoan parasites and can also act as a mechanical vector for bacteria, viruses and fungi (Diggles 2011).</w:t>
      </w:r>
      <w:r w:rsidR="00F5344C">
        <w:t xml:space="preserve"> </w:t>
      </w:r>
      <w:r w:rsidR="00351479">
        <w:t>A study conducted in India found that up to 75% of polychaetes worms were mechanical vectors for WSSV (Vijayan et al</w:t>
      </w:r>
      <w:r w:rsidR="00997C50">
        <w:t>.</w:t>
      </w:r>
      <w:r w:rsidR="00351479">
        <w:t xml:space="preserve"> 2005 </w:t>
      </w:r>
      <w:r w:rsidR="00CB0C49">
        <w:t xml:space="preserve">cited </w:t>
      </w:r>
      <w:r w:rsidR="00351479">
        <w:t>in Diggl</w:t>
      </w:r>
      <w:r w:rsidR="00CB0C49">
        <w:t>e</w:t>
      </w:r>
      <w:r w:rsidR="00351479">
        <w:t xml:space="preserve">s 2011). The use of these worms for conditioning broodstock was probably responsible for the spread of the virus </w:t>
      </w:r>
      <w:r w:rsidR="003E3418">
        <w:t xml:space="preserve">in </w:t>
      </w:r>
      <w:r w:rsidR="00351479">
        <w:t>th</w:t>
      </w:r>
      <w:r w:rsidR="00CB0C49">
        <w:t xml:space="preserve">e aquaculture industry in India. Protozoan parasites from the genus </w:t>
      </w:r>
      <w:r w:rsidR="00CB0C49">
        <w:rPr>
          <w:i/>
        </w:rPr>
        <w:t xml:space="preserve">Marteillia </w:t>
      </w:r>
      <w:r w:rsidR="00CB0C49">
        <w:t xml:space="preserve">found in sediment dwelling annelids suggests the worms act as either mechanical vectors or intermediate hosts (Cribb 2010 cited in Diggles 2011). </w:t>
      </w:r>
    </w:p>
    <w:p w:rsidR="00310FF8" w:rsidRPr="00BF0EEE" w:rsidRDefault="00055F5E" w:rsidP="00312898">
      <w:pPr>
        <w:pStyle w:val="Heading3"/>
      </w:pPr>
      <w:bookmarkStart w:id="9" w:name="_Toc419370630"/>
      <w:r w:rsidRPr="00BF0EEE">
        <w:t>Fresh dead bait</w:t>
      </w:r>
      <w:bookmarkEnd w:id="9"/>
    </w:p>
    <w:p w:rsidR="00927953" w:rsidRDefault="00FF2730" w:rsidP="00B45005">
      <w:r w:rsidRPr="00FF2730">
        <w:t xml:space="preserve">Finfish </w:t>
      </w:r>
      <w:r>
        <w:t xml:space="preserve">and invertebrates </w:t>
      </w:r>
      <w:r w:rsidRPr="00FF2730">
        <w:t>are widely used as bait throughout Australia, where they are used on h</w:t>
      </w:r>
      <w:r>
        <w:t xml:space="preserve">ooks as live, fresh dead or cut </w:t>
      </w:r>
      <w:r w:rsidRPr="00FF2730">
        <w:t>baits to attract a wide variety of predatory and scavenging species of fish</w:t>
      </w:r>
      <w:r>
        <w:t xml:space="preserve">. </w:t>
      </w:r>
      <w:r w:rsidR="00055F5E" w:rsidRPr="00FF2730">
        <w:t xml:space="preserve">Only small quantities of fresh, unfrozen fish are generally available from </w:t>
      </w:r>
      <w:r w:rsidR="00055F5E" w:rsidRPr="00FF2730">
        <w:lastRenderedPageBreak/>
        <w:t xml:space="preserve">commercial fishing co-operatives for local use as bait. </w:t>
      </w:r>
      <w:r w:rsidR="00495A8E" w:rsidRPr="00FF2730">
        <w:t>However, this category</w:t>
      </w:r>
      <w:r w:rsidR="00647406" w:rsidRPr="00FF2730">
        <w:t xml:space="preserve"> also</w:t>
      </w:r>
      <w:r w:rsidR="00495A8E" w:rsidRPr="00FF2730">
        <w:t xml:space="preserve"> includes the regional movement of bait</w:t>
      </w:r>
      <w:r w:rsidR="00A54FB4" w:rsidRPr="00FF2730">
        <w:t xml:space="preserve"> at a local scale</w:t>
      </w:r>
      <w:r w:rsidR="00495A8E" w:rsidRPr="00FF2730">
        <w:t xml:space="preserve"> by fishers collecting their own bait (for example, </w:t>
      </w:r>
      <w:r w:rsidR="00A54FB4" w:rsidRPr="00FF2730">
        <w:t xml:space="preserve">collecting </w:t>
      </w:r>
      <w:r w:rsidR="0053618F">
        <w:t>bivalves</w:t>
      </w:r>
      <w:r w:rsidR="0082700A">
        <w:t>,</w:t>
      </w:r>
      <w:r w:rsidR="00F154D7">
        <w:t xml:space="preserve"> </w:t>
      </w:r>
      <w:r w:rsidR="0082700A">
        <w:t>such as cockles and pipis,</w:t>
      </w:r>
      <w:r w:rsidR="0053618F">
        <w:t xml:space="preserve"> in one location for use as bait </w:t>
      </w:r>
      <w:r w:rsidR="00A54FB4" w:rsidRPr="00FF2730">
        <w:t>in another location</w:t>
      </w:r>
      <w:r w:rsidR="00495A8E" w:rsidRPr="00FF2730">
        <w:t>).</w:t>
      </w:r>
      <w:r w:rsidR="00BF0EEE" w:rsidRPr="00FF2730">
        <w:t xml:space="preserve"> The risk of pathogen survival (and in some cases multiplication) would appear to be higher in freshly dead whole bait </w:t>
      </w:r>
      <w:r w:rsidR="0053618F">
        <w:t xml:space="preserve">than frozen bait </w:t>
      </w:r>
      <w:r w:rsidR="00BF0EEE" w:rsidRPr="00FF2730">
        <w:t>(Goodwin et al</w:t>
      </w:r>
      <w:r w:rsidR="009E504C" w:rsidRPr="00FF2730">
        <w:t xml:space="preserve"> cited</w:t>
      </w:r>
      <w:r w:rsidR="00BF0EEE" w:rsidRPr="00FF2730">
        <w:t xml:space="preserve"> in Diggles 2011). </w:t>
      </w:r>
      <w:r w:rsidRPr="00FF2730">
        <w:t>Fresh dead fish and invertebrates may have extremely high titres of disease agents in their tissues</w:t>
      </w:r>
      <w:r>
        <w:t xml:space="preserve"> (Diggles 2011) and pose a moderate to </w:t>
      </w:r>
      <w:r w:rsidR="00F079D0">
        <w:t>high</w:t>
      </w:r>
      <w:r>
        <w:t xml:space="preserve"> </w:t>
      </w:r>
      <w:r w:rsidR="0053618F">
        <w:t>likelihood of disease transmission</w:t>
      </w:r>
      <w:r>
        <w:t xml:space="preserve">. </w:t>
      </w:r>
      <w:r w:rsidR="00F079D0">
        <w:t>F</w:t>
      </w:r>
      <w:r>
        <w:t xml:space="preserve">or example, </w:t>
      </w:r>
      <w:r w:rsidR="00F079D0">
        <w:t>m</w:t>
      </w:r>
      <w:r>
        <w:t xml:space="preserve">ullet, whiting and bream are </w:t>
      </w:r>
      <w:r w:rsidR="00F079D0">
        <w:t>commonly</w:t>
      </w:r>
      <w:r>
        <w:t xml:space="preserve"> used as live or fresh dead bait</w:t>
      </w:r>
      <w:r w:rsidR="00F079D0">
        <w:t>, which poses a high risk of spreading EUS.</w:t>
      </w:r>
      <w:r>
        <w:t xml:space="preserve"> </w:t>
      </w:r>
      <w:r w:rsidR="0053618F">
        <w:t xml:space="preserve">Because </w:t>
      </w:r>
      <w:r w:rsidR="00C35A41">
        <w:t xml:space="preserve">most </w:t>
      </w:r>
      <w:r w:rsidR="0053618F">
        <w:t>fresh dead bait is collected by fishers</w:t>
      </w:r>
      <w:r w:rsidR="00C35A41">
        <w:t xml:space="preserve"> for their own use, data on use patterns and volumes is limited and</w:t>
      </w:r>
      <w:r w:rsidR="00BF0EEE">
        <w:t xml:space="preserve"> quantify</w:t>
      </w:r>
      <w:r w:rsidR="00C35A41">
        <w:t>ing</w:t>
      </w:r>
      <w:r w:rsidR="00BF0EEE">
        <w:t xml:space="preserve"> risks </w:t>
      </w:r>
      <w:r w:rsidR="00C35A41">
        <w:t>may involve higher uncertainties</w:t>
      </w:r>
      <w:r w:rsidR="00BF0EEE">
        <w:t>.</w:t>
      </w:r>
    </w:p>
    <w:p w:rsidR="00310FF8" w:rsidRDefault="00055F5E" w:rsidP="00312898">
      <w:pPr>
        <w:pStyle w:val="Heading3"/>
      </w:pPr>
      <w:bookmarkStart w:id="10" w:name="_Toc419370631"/>
      <w:r>
        <w:t>Frozen bait</w:t>
      </w:r>
      <w:bookmarkEnd w:id="10"/>
    </w:p>
    <w:p w:rsidR="00310FF8" w:rsidRDefault="00495A8E" w:rsidP="00B45005">
      <w:r>
        <w:t xml:space="preserve">The vast majority of bait and berley that is translocated throughout the country is frozen whole or processed </w:t>
      </w:r>
      <w:r w:rsidR="00BF0EEE">
        <w:t xml:space="preserve">invertebrates and </w:t>
      </w:r>
      <w:r>
        <w:t>marine fish</w:t>
      </w:r>
      <w:r w:rsidR="00BF0EEE">
        <w:t xml:space="preserve"> </w:t>
      </w:r>
      <w:r w:rsidR="00FF6631">
        <w:t>(</w:t>
      </w:r>
      <w:r w:rsidR="00716BF8" w:rsidRPr="0061644B">
        <w:t>Kewagama</w:t>
      </w:r>
      <w:r w:rsidR="00CB6C9F" w:rsidRPr="0061644B">
        <w:t xml:space="preserve"> Research</w:t>
      </w:r>
      <w:r w:rsidR="00E04DEF">
        <w:t xml:space="preserve">, </w:t>
      </w:r>
      <w:r w:rsidR="00716BF8" w:rsidRPr="0061644B">
        <w:t xml:space="preserve">2002). </w:t>
      </w:r>
      <w:r w:rsidR="00055F5E">
        <w:t>Commonly used commercially available frozen whole bait includes</w:t>
      </w:r>
      <w:r w:rsidR="00BF0EEE">
        <w:t xml:space="preserve"> prawns,</w:t>
      </w:r>
      <w:r w:rsidR="00055F5E">
        <w:t xml:space="preserve"> pilchards, mullet, squid</w:t>
      </w:r>
      <w:r w:rsidR="00BF0EEE">
        <w:t xml:space="preserve"> and </w:t>
      </w:r>
      <w:r w:rsidR="00055F5E">
        <w:t xml:space="preserve">bivalve molluscs. Individuals may use a range of baits or berley frozen for personal use, from a wide variety of sources, usually local. </w:t>
      </w:r>
      <w:r w:rsidR="00692080">
        <w:t xml:space="preserve">The </w:t>
      </w:r>
      <w:r w:rsidR="00C35A41">
        <w:t xml:space="preserve">disease </w:t>
      </w:r>
      <w:r w:rsidR="00692080">
        <w:t xml:space="preserve">risks associated with </w:t>
      </w:r>
      <w:r w:rsidR="00C35A41">
        <w:t>frozen</w:t>
      </w:r>
      <w:r w:rsidR="00692080">
        <w:t xml:space="preserve"> </w:t>
      </w:r>
      <w:r w:rsidR="00C35A41">
        <w:t xml:space="preserve">commodities </w:t>
      </w:r>
      <w:r w:rsidR="00692080">
        <w:t xml:space="preserve">depend on the ability of a pathogen to withstand low </w:t>
      </w:r>
      <w:r w:rsidR="00761245">
        <w:t>temperatures;</w:t>
      </w:r>
      <w:r w:rsidR="00692080">
        <w:t xml:space="preserve"> however Goodwin et al</w:t>
      </w:r>
      <w:r w:rsidR="00C35A41">
        <w:t>.</w:t>
      </w:r>
      <w:r w:rsidR="00692080">
        <w:t xml:space="preserve"> (</w:t>
      </w:r>
      <w:r w:rsidR="009E504C">
        <w:t xml:space="preserve">cited </w:t>
      </w:r>
      <w:r w:rsidR="00692080">
        <w:t>in Diggles 2011) identified a range of viral pathogens</w:t>
      </w:r>
      <w:r w:rsidR="00FF6631">
        <w:t xml:space="preserve"> and </w:t>
      </w:r>
      <w:r w:rsidR="00692080">
        <w:t xml:space="preserve">parasites of finfish that routinely survived freezing. </w:t>
      </w:r>
    </w:p>
    <w:p w:rsidR="00C35A41" w:rsidRPr="00F154D7" w:rsidRDefault="00C35A41" w:rsidP="00312898">
      <w:pPr>
        <w:pStyle w:val="Heading3"/>
      </w:pPr>
      <w:bookmarkStart w:id="11" w:name="_Toc419370632"/>
      <w:r w:rsidRPr="00F154D7">
        <w:t>Processed</w:t>
      </w:r>
      <w:r w:rsidR="007570C2">
        <w:t xml:space="preserve"> bait</w:t>
      </w:r>
      <w:bookmarkEnd w:id="11"/>
    </w:p>
    <w:p w:rsidR="00310FF8" w:rsidRDefault="00055F5E" w:rsidP="00B45005">
      <w:r>
        <w:t xml:space="preserve">Parts of fish </w:t>
      </w:r>
      <w:r w:rsidR="00C35A41">
        <w:t>and</w:t>
      </w:r>
      <w:r w:rsidR="00692080">
        <w:t xml:space="preserve"> invertebrates </w:t>
      </w:r>
      <w:r>
        <w:t xml:space="preserve">may be used as bait or berley. </w:t>
      </w:r>
      <w:r w:rsidR="00572DE6">
        <w:t>M</w:t>
      </w:r>
      <w:r>
        <w:t>ullet gut, pilchard fillets and prawn tails are commonly used for bait</w:t>
      </w:r>
      <w:r w:rsidR="00572DE6">
        <w:t xml:space="preserve"> and a</w:t>
      </w:r>
      <w:r>
        <w:t xml:space="preserve">ll parts of fish </w:t>
      </w:r>
      <w:r w:rsidR="00572DE6">
        <w:t>can be</w:t>
      </w:r>
      <w:r>
        <w:t xml:space="preserve"> used for berley.</w:t>
      </w:r>
      <w:r w:rsidR="00225DD2">
        <w:t xml:space="preserve"> Processed baits are usually sold frozen but are sometimes preserved by other methods; for example, salting.</w:t>
      </w:r>
    </w:p>
    <w:p w:rsidR="00310FF8" w:rsidRDefault="00225DD2" w:rsidP="00B45005">
      <w:r>
        <w:t xml:space="preserve">For frozen processed baits disease </w:t>
      </w:r>
      <w:r w:rsidR="00055F5E">
        <w:t xml:space="preserve">risks </w:t>
      </w:r>
      <w:r>
        <w:t xml:space="preserve">will be </w:t>
      </w:r>
      <w:r w:rsidR="00055F5E">
        <w:t>similar to those identified for frozen whole animals</w:t>
      </w:r>
      <w:r>
        <w:t>. However, the risk profile may differ if processed baits do not contain the tissues or organs in which pathogens normally occur</w:t>
      </w:r>
      <w:r w:rsidR="00055F5E">
        <w:t xml:space="preserve">. </w:t>
      </w:r>
      <w:r w:rsidR="00FE2CC9">
        <w:t>The main r</w:t>
      </w:r>
      <w:r w:rsidR="00055F5E">
        <w:t xml:space="preserve">isks associated with translocating frozen parts of bait are </w:t>
      </w:r>
      <w:r w:rsidR="00FE2CC9">
        <w:t>translocating</w:t>
      </w:r>
      <w:r w:rsidR="00055F5E">
        <w:t xml:space="preserve"> viruses, many of which can survive freezing. </w:t>
      </w:r>
      <w:r w:rsidR="00E45DFF">
        <w:t>M</w:t>
      </w:r>
      <w:r w:rsidR="00055F5E">
        <w:t xml:space="preserve">any fish viruses are concentrated in either nervous or haematopoietic tissues (e.g. kidney, spleen) and may pose a higher risk due to higher potential levels of virus in these tissues. </w:t>
      </w:r>
      <w:r w:rsidR="00E45DFF">
        <w:t>Furthermore, g</w:t>
      </w:r>
      <w:r w:rsidR="00055F5E">
        <w:t>rinding or chopping of these tissues for use as berley may increase liberation of virus particles into the water.</w:t>
      </w:r>
      <w:r w:rsidR="00692080">
        <w:t xml:space="preserve"> As </w:t>
      </w:r>
      <w:r w:rsidR="001C159F">
        <w:t>described previously,</w:t>
      </w:r>
      <w:r w:rsidR="00692080">
        <w:t xml:space="preserve"> </w:t>
      </w:r>
      <w:r>
        <w:t xml:space="preserve">some </w:t>
      </w:r>
      <w:r w:rsidR="00692080">
        <w:t>bacteria and parasites can survive freezing and pose a risk when used as bait or berley.</w:t>
      </w:r>
    </w:p>
    <w:p w:rsidR="00310FF8" w:rsidRDefault="00055F5E" w:rsidP="00D3754A">
      <w:pPr>
        <w:pStyle w:val="Heading2"/>
      </w:pPr>
      <w:bookmarkStart w:id="12" w:name="_Toc419370633"/>
      <w:r>
        <w:lastRenderedPageBreak/>
        <w:t>Disease Risks</w:t>
      </w:r>
      <w:bookmarkEnd w:id="12"/>
    </w:p>
    <w:p w:rsidR="002B506E" w:rsidRDefault="002B506E" w:rsidP="00B45005">
      <w:r w:rsidRPr="002B506E">
        <w:t xml:space="preserve">Disease risk assessment is the evaluation of the likelihood and the biological and economic consequences of entry, establishment, or spread of a pathogenic agent within </w:t>
      </w:r>
      <w:r w:rsidR="00AD4CE9">
        <w:t>a</w:t>
      </w:r>
      <w:r w:rsidR="00225DD2">
        <w:t>n area</w:t>
      </w:r>
      <w:r w:rsidR="00AD4CE9">
        <w:t xml:space="preserve"> </w:t>
      </w:r>
      <w:r w:rsidR="00225DD2">
        <w:t xml:space="preserve">(water body, region, or </w:t>
      </w:r>
      <w:r w:rsidR="00AD4CE9">
        <w:t>state or territory</w:t>
      </w:r>
      <w:r w:rsidR="00225DD2">
        <w:t>)</w:t>
      </w:r>
      <w:r>
        <w:t>. This process can be used to identify risks associated with particular bait commodities and use</w:t>
      </w:r>
      <w:r w:rsidR="00AD4CE9">
        <w:t>s,</w:t>
      </w:r>
      <w:r>
        <w:t xml:space="preserve"> and provides a sound approach to the development of bait translocation policy.</w:t>
      </w:r>
    </w:p>
    <w:p w:rsidR="002B506E" w:rsidRDefault="002B506E" w:rsidP="00B45005">
      <w:r>
        <w:t xml:space="preserve">There are a variety of approaches that can be used </w:t>
      </w:r>
      <w:r w:rsidR="00AD4CE9">
        <w:t xml:space="preserve">for disease risk assessment. This section presents an approach that is consistent with the recommendations of the OIE Aquatic Animal </w:t>
      </w:r>
      <w:r w:rsidR="00CB2818">
        <w:t>H</w:t>
      </w:r>
      <w:r w:rsidR="00AD4CE9">
        <w:t>ealth Code</w:t>
      </w:r>
      <w:r w:rsidR="009B5F02">
        <w:t xml:space="preserve"> </w:t>
      </w:r>
      <w:r w:rsidR="00225DD2">
        <w:t>2014</w:t>
      </w:r>
      <w:r w:rsidR="00AD4CE9">
        <w:t xml:space="preserve">. This approach has been applied successfully to the assessment of risks associated with the translocation of bait and berley products in Australia (Diggles 2011). </w:t>
      </w:r>
    </w:p>
    <w:p w:rsidR="00FD523B" w:rsidRDefault="002B506E" w:rsidP="00B45005">
      <w:r>
        <w:t>Disease risk assessments are based on the following procedures:</w:t>
      </w:r>
    </w:p>
    <w:p w:rsidR="00FD523B" w:rsidRPr="00FD523B" w:rsidRDefault="00B31D52" w:rsidP="003308B6">
      <w:pPr>
        <w:pStyle w:val="Listparanumber"/>
      </w:pPr>
      <w:r>
        <w:t>H</w:t>
      </w:r>
      <w:r w:rsidR="00AD4CE9" w:rsidRPr="00FD523B">
        <w:t>azard identification</w:t>
      </w:r>
    </w:p>
    <w:p w:rsidR="00FD523B" w:rsidRPr="00FD523B" w:rsidRDefault="00B31D52" w:rsidP="003308B6">
      <w:pPr>
        <w:pStyle w:val="Listparanumber"/>
      </w:pPr>
      <w:r>
        <w:t>R</w:t>
      </w:r>
      <w:r w:rsidR="00AD4CE9" w:rsidRPr="00FD523B">
        <w:t>isk assessment (incorporating: release assessment, exposure assessment, consequence assessment and risk estimation)</w:t>
      </w:r>
    </w:p>
    <w:p w:rsidR="00FD523B" w:rsidRPr="00FD523B" w:rsidRDefault="00B31D52" w:rsidP="003308B6">
      <w:pPr>
        <w:pStyle w:val="Listparanumber"/>
      </w:pPr>
      <w:r>
        <w:t>R</w:t>
      </w:r>
      <w:r w:rsidR="00AD4CE9" w:rsidRPr="00FD523B">
        <w:t>isk management</w:t>
      </w:r>
    </w:p>
    <w:p w:rsidR="00FD523B" w:rsidRPr="00FD523B" w:rsidRDefault="00B31D52" w:rsidP="003308B6">
      <w:pPr>
        <w:pStyle w:val="Listparanumber"/>
      </w:pPr>
      <w:r>
        <w:t>R</w:t>
      </w:r>
      <w:r w:rsidR="00BA0B4B">
        <w:t>isk communication.</w:t>
      </w:r>
    </w:p>
    <w:p w:rsidR="00AD4CE9" w:rsidRDefault="0051452E" w:rsidP="00B45005">
      <w:r>
        <w:t>The procedures for hazard identification and risk assessment are described in this section. R</w:t>
      </w:r>
      <w:r w:rsidRPr="00AD4CE9">
        <w:t>isk management</w:t>
      </w:r>
      <w:r>
        <w:t xml:space="preserve"> </w:t>
      </w:r>
      <w:r w:rsidRPr="00AD4CE9">
        <w:t>and</w:t>
      </w:r>
      <w:r>
        <w:t xml:space="preserve"> </w:t>
      </w:r>
      <w:r w:rsidRPr="00AD4CE9">
        <w:t>risk communication</w:t>
      </w:r>
      <w:r w:rsidR="00AD4CE9">
        <w:t xml:space="preserve"> </w:t>
      </w:r>
      <w:r w:rsidR="00FA702C">
        <w:t>are</w:t>
      </w:r>
      <w:r>
        <w:t xml:space="preserve"> considered in sections 4 and 5.</w:t>
      </w:r>
    </w:p>
    <w:p w:rsidR="00310FF8" w:rsidRDefault="008E7149" w:rsidP="00312898">
      <w:pPr>
        <w:pStyle w:val="Heading3"/>
      </w:pPr>
      <w:bookmarkStart w:id="13" w:name="_Toc419370634"/>
      <w:r>
        <w:t xml:space="preserve">Hazard </w:t>
      </w:r>
      <w:r w:rsidR="00B31D52">
        <w:t>identification</w:t>
      </w:r>
      <w:bookmarkEnd w:id="13"/>
    </w:p>
    <w:p w:rsidR="00310FF8" w:rsidRDefault="000F6699" w:rsidP="00B45005">
      <w:r>
        <w:t xml:space="preserve">The first step is </w:t>
      </w:r>
      <w:r w:rsidR="009B0ED4">
        <w:t xml:space="preserve">a </w:t>
      </w:r>
      <w:r>
        <w:t>hazard analysis</w:t>
      </w:r>
      <w:r w:rsidR="009B0ED4">
        <w:t xml:space="preserve"> to identify</w:t>
      </w:r>
      <w:r>
        <w:t xml:space="preserve"> diseases of concern. </w:t>
      </w:r>
      <w:r w:rsidR="00055F5E">
        <w:t xml:space="preserve">To determine hazardous aquatic animal diseases, a number of questions </w:t>
      </w:r>
      <w:r w:rsidR="00367BDE">
        <w:t xml:space="preserve">could be </w:t>
      </w:r>
      <w:r w:rsidR="00055F5E">
        <w:t>considered</w:t>
      </w:r>
      <w:r w:rsidR="005515E6">
        <w:t xml:space="preserve"> for each disease</w:t>
      </w:r>
      <w:r w:rsidR="00055F5E">
        <w:t xml:space="preserve">: </w:t>
      </w:r>
    </w:p>
    <w:p w:rsidR="00310FF8" w:rsidRDefault="00055F5E" w:rsidP="0008634A">
      <w:pPr>
        <w:pStyle w:val="ListParagraph"/>
      </w:pPr>
      <w:r>
        <w:t>Could the bait or berley product potentially introduce the pathogen?</w:t>
      </w:r>
    </w:p>
    <w:p w:rsidR="00310FF8" w:rsidRDefault="00055F5E" w:rsidP="0008634A">
      <w:pPr>
        <w:pStyle w:val="ListParagraph"/>
      </w:pPr>
      <w:r>
        <w:t xml:space="preserve">Is the pathogen </w:t>
      </w:r>
      <w:r w:rsidRPr="00FB1F67">
        <w:t>‘under official control’</w:t>
      </w:r>
      <w:r>
        <w:t xml:space="preserve"> by its listing in state or national lists of reportable diseases?</w:t>
      </w:r>
    </w:p>
    <w:p w:rsidR="00310FF8" w:rsidRDefault="00055F5E" w:rsidP="0008634A">
      <w:pPr>
        <w:pStyle w:val="ListParagraph"/>
      </w:pPr>
      <w:r>
        <w:t>Is the pathogen restricted in its distribution and/or could it cause a detrimental impact to industry or the environment if it were spread?</w:t>
      </w:r>
    </w:p>
    <w:p w:rsidR="00310FF8" w:rsidRDefault="00055F5E" w:rsidP="00B45005">
      <w:r>
        <w:t xml:space="preserve">To determine whether an aquatic animal pathogen </w:t>
      </w:r>
      <w:r w:rsidR="0094431F">
        <w:t xml:space="preserve">should </w:t>
      </w:r>
      <w:r>
        <w:t xml:space="preserve">be classified as a ‘disease of concern’ and require a detailed risk assessment, a further series of questions </w:t>
      </w:r>
      <w:r w:rsidR="001A72E1">
        <w:t xml:space="preserve">could be </w:t>
      </w:r>
      <w:r w:rsidR="00BA0B4B">
        <w:t>considered:</w:t>
      </w:r>
    </w:p>
    <w:p w:rsidR="00310FF8" w:rsidRDefault="00055F5E" w:rsidP="0008634A">
      <w:pPr>
        <w:pStyle w:val="ListParagraph"/>
      </w:pPr>
      <w:r>
        <w:t>Would a disease be expected to cause a distinct pathological ef</w:t>
      </w:r>
      <w:r w:rsidR="00BA0B4B">
        <w:t>fect in an infected population?</w:t>
      </w:r>
    </w:p>
    <w:p w:rsidR="00310FF8" w:rsidRDefault="00055F5E" w:rsidP="0008634A">
      <w:pPr>
        <w:pStyle w:val="ListParagraph"/>
      </w:pPr>
      <w:r>
        <w:t>Would it be expected to cause economic harm (e.g. increased mortality, reduced growth rates, decreased product quality, loss of market access, increased costs)?</w:t>
      </w:r>
    </w:p>
    <w:p w:rsidR="00310FF8" w:rsidRDefault="00055F5E" w:rsidP="0008634A">
      <w:pPr>
        <w:pStyle w:val="ListParagraph"/>
      </w:pPr>
      <w:r>
        <w:t>Would it be expected to cause damage to the environment and/or endemic species? (</w:t>
      </w:r>
      <w:r w:rsidR="00CC3C0A">
        <w:t>Defined</w:t>
      </w:r>
      <w:r>
        <w:t xml:space="preserve"> as either native species that occur</w:t>
      </w:r>
      <w:r w:rsidR="005C2E38">
        <w:t xml:space="preserve"> naturally in Australian waters</w:t>
      </w:r>
      <w:r>
        <w:t xml:space="preserve"> or species that were introduced to Australia and are now considered to be acclimatised but not classed as feral).</w:t>
      </w:r>
    </w:p>
    <w:p w:rsidR="008E7149" w:rsidRDefault="008E7149" w:rsidP="00B45005">
      <w:r>
        <w:t>T</w:t>
      </w:r>
      <w:r w:rsidR="00055F5E">
        <w:t xml:space="preserve">he </w:t>
      </w:r>
      <w:r w:rsidR="00791994">
        <w:t xml:space="preserve">Diggles (2011) </w:t>
      </w:r>
      <w:r w:rsidR="00055F5E">
        <w:t xml:space="preserve">risk </w:t>
      </w:r>
      <w:r w:rsidR="0094431F">
        <w:t>analysis</w:t>
      </w:r>
      <w:r w:rsidR="00A66590">
        <w:t xml:space="preserve"> used this method</w:t>
      </w:r>
      <w:r w:rsidR="0094431F" w:rsidRPr="008E7149">
        <w:t xml:space="preserve"> </w:t>
      </w:r>
      <w:r w:rsidR="00C162C4">
        <w:t xml:space="preserve">and </w:t>
      </w:r>
      <w:r w:rsidR="0094431F">
        <w:t>identified</w:t>
      </w:r>
      <w:r>
        <w:t xml:space="preserve"> 44 diseases of concern</w:t>
      </w:r>
      <w:r w:rsidR="00055F5E">
        <w:t xml:space="preserve">. </w:t>
      </w:r>
      <w:r>
        <w:t xml:space="preserve">These </w:t>
      </w:r>
      <w:r w:rsidR="002E5938">
        <w:t>diseases of concern</w:t>
      </w:r>
      <w:r>
        <w:t xml:space="preserve"> may provide a convenient starting point for a hazard analysis relevant to the circumstances of a state or territory.</w:t>
      </w:r>
    </w:p>
    <w:p w:rsidR="008E7149" w:rsidRDefault="008E7149" w:rsidP="00312898">
      <w:pPr>
        <w:pStyle w:val="Heading3"/>
      </w:pPr>
      <w:bookmarkStart w:id="14" w:name="_Toc419370635"/>
      <w:r>
        <w:lastRenderedPageBreak/>
        <w:t>Risk assessment</w:t>
      </w:r>
      <w:bookmarkEnd w:id="14"/>
    </w:p>
    <w:p w:rsidR="008E7149" w:rsidRPr="00D063ED" w:rsidRDefault="008E7149" w:rsidP="00B45005">
      <w:r>
        <w:t xml:space="preserve">Risk assessment involves a </w:t>
      </w:r>
      <w:r w:rsidR="00BA0B4B">
        <w:t>staged approach that includes:</w:t>
      </w:r>
    </w:p>
    <w:p w:rsidR="00310FF8" w:rsidRPr="00D063ED" w:rsidRDefault="00055F5E" w:rsidP="0008634A">
      <w:pPr>
        <w:pStyle w:val="ListParagraph"/>
      </w:pPr>
      <w:r w:rsidRPr="00D063ED">
        <w:rPr>
          <w:i/>
        </w:rPr>
        <w:t xml:space="preserve">Release assessment: </w:t>
      </w:r>
      <w:r w:rsidR="00D063ED" w:rsidRPr="00D063ED">
        <w:t xml:space="preserve">to </w:t>
      </w:r>
      <w:r w:rsidR="00350149" w:rsidRPr="00D063ED">
        <w:t>determine t</w:t>
      </w:r>
      <w:r w:rsidRPr="00D063ED">
        <w:t>he</w:t>
      </w:r>
      <w:r w:rsidRPr="00D063ED">
        <w:rPr>
          <w:i/>
        </w:rPr>
        <w:t xml:space="preserve"> </w:t>
      </w:r>
      <w:r w:rsidRPr="00D063ED">
        <w:t xml:space="preserve">likelihood that </w:t>
      </w:r>
      <w:r w:rsidR="00350149" w:rsidRPr="00D063ED">
        <w:t>a</w:t>
      </w:r>
      <w:r w:rsidR="00D063ED" w:rsidRPr="00D063ED">
        <w:t xml:space="preserve"> viable</w:t>
      </w:r>
      <w:r w:rsidR="00350149" w:rsidRPr="00D063ED">
        <w:t xml:space="preserve"> disease would be translocated via </w:t>
      </w:r>
      <w:r w:rsidRPr="00D063ED">
        <w:t xml:space="preserve">bait or berley </w:t>
      </w:r>
      <w:r w:rsidR="00D063ED" w:rsidRPr="00D063ED">
        <w:t>into a previously disease</w:t>
      </w:r>
      <w:r w:rsidR="00EF79B0">
        <w:t xml:space="preserve"> -</w:t>
      </w:r>
      <w:r w:rsidR="00D063ED" w:rsidRPr="00D063ED">
        <w:t xml:space="preserve"> free waterway.</w:t>
      </w:r>
    </w:p>
    <w:p w:rsidR="00310FF8" w:rsidRDefault="00055F5E" w:rsidP="0008634A">
      <w:pPr>
        <w:pStyle w:val="ListParagraph"/>
      </w:pPr>
      <w:r w:rsidRPr="00D063ED">
        <w:rPr>
          <w:i/>
        </w:rPr>
        <w:t xml:space="preserve">Exposure assessment: </w:t>
      </w:r>
      <w:r w:rsidR="006A04BC">
        <w:t>to determine t</w:t>
      </w:r>
      <w:r w:rsidR="006A04BC" w:rsidRPr="00D063ED">
        <w:t xml:space="preserve">he </w:t>
      </w:r>
      <w:r w:rsidRPr="00D063ED">
        <w:t>likelihood that wild aquatic animals</w:t>
      </w:r>
      <w:r>
        <w:t xml:space="preserve"> </w:t>
      </w:r>
      <w:r w:rsidRPr="00FA1A89">
        <w:t>are exposed</w:t>
      </w:r>
      <w:r>
        <w:t xml:space="preserve"> to the aquatic animal pathogen</w:t>
      </w:r>
      <w:r w:rsidR="005808D7">
        <w:t xml:space="preserve"> via infected bait or berley, and the likelihood of the establishment of the pathogen</w:t>
      </w:r>
      <w:r>
        <w:t>.</w:t>
      </w:r>
    </w:p>
    <w:p w:rsidR="00310FF8" w:rsidRDefault="00055F5E" w:rsidP="0008634A">
      <w:pPr>
        <w:pStyle w:val="ListParagraph"/>
      </w:pPr>
      <w:r>
        <w:rPr>
          <w:i/>
        </w:rPr>
        <w:t xml:space="preserve">Consequence </w:t>
      </w:r>
      <w:r>
        <w:t xml:space="preserve">assessment: </w:t>
      </w:r>
      <w:r w:rsidR="006A04BC">
        <w:t>to determine t</w:t>
      </w:r>
      <w:r w:rsidR="005808D7">
        <w:t>he likely magnitude of the consequences of establishment and/or spread of a pathogen into a new area, and the possible effects of the pathogen on aquatic animals, the environment, industry and the economy.</w:t>
      </w:r>
    </w:p>
    <w:p w:rsidR="008E7149" w:rsidRDefault="008E7149" w:rsidP="0008634A">
      <w:pPr>
        <w:pStyle w:val="ListParagraph"/>
      </w:pPr>
      <w:r>
        <w:rPr>
          <w:i/>
        </w:rPr>
        <w:t>Risk estimation:</w:t>
      </w:r>
      <w:r w:rsidR="005469B0">
        <w:rPr>
          <w:i/>
        </w:rPr>
        <w:t xml:space="preserve"> </w:t>
      </w:r>
      <w:r w:rsidR="00AE3CDA">
        <w:t xml:space="preserve">to </w:t>
      </w:r>
      <w:r w:rsidR="005469B0">
        <w:t>determine whe</w:t>
      </w:r>
      <w:r w:rsidR="00F843C2">
        <w:t>ther</w:t>
      </w:r>
      <w:r w:rsidR="005469B0">
        <w:t xml:space="preserve"> the </w:t>
      </w:r>
      <w:r w:rsidR="00FA3A62">
        <w:t>extent of the unrestricted risks</w:t>
      </w:r>
      <w:r w:rsidR="005469B0">
        <w:t xml:space="preserve"> (estimated risk if bait and berley are translocated with no risk management) presented by each pathogen to aquatic animals, environment, industries and community of Australia is sufficient to require risk managemen</w:t>
      </w:r>
      <w:r w:rsidR="005469B0" w:rsidRPr="00B177AB">
        <w:t>t</w:t>
      </w:r>
      <w:r w:rsidRPr="00B177AB">
        <w:t>.</w:t>
      </w:r>
    </w:p>
    <w:p w:rsidR="00310FF8" w:rsidRPr="00945AB0" w:rsidRDefault="00055F5E" w:rsidP="00312898">
      <w:pPr>
        <w:pStyle w:val="Heading4"/>
      </w:pPr>
      <w:bookmarkStart w:id="15" w:name="_Toc419370636"/>
      <w:r w:rsidRPr="00945AB0">
        <w:t>Release assessment</w:t>
      </w:r>
      <w:bookmarkEnd w:id="15"/>
    </w:p>
    <w:p w:rsidR="0001697F" w:rsidRDefault="00667FA3" w:rsidP="00B45005">
      <w:r>
        <w:t>The t</w:t>
      </w:r>
      <w:r w:rsidR="00055F5E">
        <w:t xml:space="preserve">ranslocation of infected bait or berley potentially presents a direct transmission pathway for introduction and establishment of a new pathogen (or strain of pathogen) into previously disease free waterways. </w:t>
      </w:r>
      <w:r w:rsidR="0001697F">
        <w:t xml:space="preserve">Release assessment </w:t>
      </w:r>
      <w:r w:rsidR="00055F5E">
        <w:t>determin</w:t>
      </w:r>
      <w:r w:rsidR="00080A30">
        <w:t>e</w:t>
      </w:r>
      <w:r w:rsidR="0001697F">
        <w:t>s</w:t>
      </w:r>
      <w:r w:rsidR="00055F5E">
        <w:t xml:space="preserve"> the likelihood of viable and infective pathogens being released into an uninfected jurisdiction via bait and berley products</w:t>
      </w:r>
      <w:r w:rsidR="0001697F">
        <w:t>. The key factor is that t</w:t>
      </w:r>
      <w:r w:rsidR="00055F5E">
        <w:t>he bait</w:t>
      </w:r>
      <w:r w:rsidR="00203FF3">
        <w:t xml:space="preserve"> or berley</w:t>
      </w:r>
      <w:r w:rsidR="00055F5E">
        <w:t xml:space="preserve"> must be infected with viable pathogen(s). </w:t>
      </w:r>
    </w:p>
    <w:p w:rsidR="00310FF8" w:rsidRDefault="00055F5E" w:rsidP="00B45005">
      <w:r>
        <w:t xml:space="preserve">Live or fresh dead fish and invertebrates may have extremely high titres of pathogens in their tissues. However, prevalence and intensity of infection in bait and berley may vary and would </w:t>
      </w:r>
      <w:r w:rsidR="00080A30">
        <w:t xml:space="preserve">also </w:t>
      </w:r>
      <w:r>
        <w:t xml:space="preserve">be subject to processing and environmental conditions which may or may not promote the </w:t>
      </w:r>
      <w:r w:rsidR="0001697F">
        <w:t xml:space="preserve">proliferation </w:t>
      </w:r>
      <w:r>
        <w:t>of potential pathogens. These ma</w:t>
      </w:r>
      <w:r w:rsidR="00EF79B0">
        <w:t>y include freezing</w:t>
      </w:r>
      <w:r>
        <w:t>, thawing, preservation and long-term storage.</w:t>
      </w:r>
    </w:p>
    <w:p w:rsidR="00310FF8" w:rsidRDefault="00055F5E" w:rsidP="00312898">
      <w:pPr>
        <w:pStyle w:val="Heading4"/>
      </w:pPr>
      <w:bookmarkStart w:id="16" w:name="_Toc419370637"/>
      <w:r>
        <w:t>Exposure assessment</w:t>
      </w:r>
      <w:bookmarkEnd w:id="16"/>
    </w:p>
    <w:p w:rsidR="00310FF8" w:rsidRDefault="00055F5E" w:rsidP="00B45005">
      <w:r>
        <w:t xml:space="preserve">The exposure assessment examines the likelihood that wild aquatic animals in an uninfected population being exposed to an infectious hazard (pathogen) via infected and released bait or berley products, and the likelihood of the establishment of the hazard. Likelihood of exposure will depend on several factors: the capacity of the pathogen to survive in the environment in an infective form, the availability of susceptible hosts, the ease of infection of susceptible hosts and the likelihood of subsequent transmission of infection to </w:t>
      </w:r>
      <w:r w:rsidR="00FF78E5">
        <w:t xml:space="preserve">other hosts </w:t>
      </w:r>
      <w:r>
        <w:t xml:space="preserve">within a population. </w:t>
      </w:r>
      <w:r w:rsidR="000529DD">
        <w:t xml:space="preserve">To </w:t>
      </w:r>
      <w:r>
        <w:t>determin</w:t>
      </w:r>
      <w:r w:rsidR="000529DD">
        <w:t>e</w:t>
      </w:r>
      <w:r>
        <w:t xml:space="preserve"> the likelihood of exposure of susceptible hosts, the following key factors </w:t>
      </w:r>
      <w:r w:rsidR="00944BED">
        <w:t xml:space="preserve">are </w:t>
      </w:r>
      <w:r>
        <w:t>considered relevant:</w:t>
      </w:r>
    </w:p>
    <w:p w:rsidR="00310FF8" w:rsidRDefault="00055F5E" w:rsidP="0008634A">
      <w:pPr>
        <w:pStyle w:val="ListParagraph"/>
      </w:pPr>
      <w:r>
        <w:rPr>
          <w:i/>
        </w:rPr>
        <w:t xml:space="preserve">Route of infection: </w:t>
      </w:r>
      <w:r>
        <w:t xml:space="preserve">The bait containing viable pathogens must be </w:t>
      </w:r>
      <w:r>
        <w:rPr>
          <w:i/>
        </w:rPr>
        <w:t>ingested</w:t>
      </w:r>
      <w:r>
        <w:t xml:space="preserve"> by a susceptible host or otherwise </w:t>
      </w:r>
      <w:r>
        <w:rPr>
          <w:i/>
        </w:rPr>
        <w:t>come into contact</w:t>
      </w:r>
      <w:r>
        <w:t xml:space="preserve"> with susceptibl</w:t>
      </w:r>
      <w:r w:rsidR="00BA0B4B">
        <w:t>e fish or invertebrate species.</w:t>
      </w:r>
    </w:p>
    <w:p w:rsidR="00310FF8" w:rsidRDefault="00055F5E" w:rsidP="0008634A">
      <w:pPr>
        <w:pStyle w:val="ListParagraph"/>
      </w:pPr>
      <w:r>
        <w:rPr>
          <w:i/>
        </w:rPr>
        <w:t>Infective Dose:</w:t>
      </w:r>
      <w:r>
        <w:t xml:space="preserve"> There must be </w:t>
      </w:r>
      <w:r>
        <w:rPr>
          <w:i/>
        </w:rPr>
        <w:t>sufficient quantities</w:t>
      </w:r>
      <w:r>
        <w:t xml:space="preserve"> of viable pathogen to induce an infection following ingestion or contact with the infected bait/berley.</w:t>
      </w:r>
    </w:p>
    <w:p w:rsidR="00310FF8" w:rsidRDefault="00055F5E" w:rsidP="00312898">
      <w:pPr>
        <w:pStyle w:val="Heading4"/>
      </w:pPr>
      <w:bookmarkStart w:id="17" w:name="_Toc419370638"/>
      <w:r>
        <w:lastRenderedPageBreak/>
        <w:t>Consequence assessment</w:t>
      </w:r>
      <w:bookmarkEnd w:id="17"/>
    </w:p>
    <w:p w:rsidR="00310FF8" w:rsidRDefault="00055F5E" w:rsidP="00B45005">
      <w:r>
        <w:t xml:space="preserve">The consequence assessment estimates the likely magnitude of the consequences of establishment and/or spread of a hazard (disease) into a new catchment area, and the possible effects of the pathogen on aquatic animals, the environment, industry and the economy. </w:t>
      </w:r>
      <w:r w:rsidR="00C70829">
        <w:t xml:space="preserve">For each disease, </w:t>
      </w:r>
      <w:r>
        <w:t>two main outbreak scenarios</w:t>
      </w:r>
      <w:r w:rsidR="00C70829">
        <w:t xml:space="preserve"> </w:t>
      </w:r>
      <w:r w:rsidR="00BE145F">
        <w:t>could be</w:t>
      </w:r>
      <w:r w:rsidR="00C70829">
        <w:t xml:space="preserve"> considered</w:t>
      </w:r>
      <w:r>
        <w:t xml:space="preserve">: </w:t>
      </w:r>
    </w:p>
    <w:p w:rsidR="00310FF8" w:rsidRDefault="00055F5E" w:rsidP="0008634A">
      <w:pPr>
        <w:pStyle w:val="ListParagraph"/>
      </w:pPr>
      <w:r>
        <w:t xml:space="preserve">The pathogen </w:t>
      </w:r>
      <w:r>
        <w:rPr>
          <w:i/>
        </w:rPr>
        <w:t>becomes established and spreads</w:t>
      </w:r>
      <w:r>
        <w:t xml:space="preserve"> throughout populations of susceptible host species in a new region of Australia – </w:t>
      </w:r>
      <w:r w:rsidR="00C70829">
        <w:t xml:space="preserve">assuming </w:t>
      </w:r>
      <w:r>
        <w:t>that an agent would eventually spread to its natural geographical limits.</w:t>
      </w:r>
    </w:p>
    <w:p w:rsidR="00310FF8" w:rsidRDefault="00055F5E" w:rsidP="0008634A">
      <w:pPr>
        <w:pStyle w:val="ListParagraph"/>
      </w:pPr>
      <w:r>
        <w:t>An index case occurs and infection may spread to co-habiting animals, but the agent does not persist in the environment.</w:t>
      </w:r>
    </w:p>
    <w:p w:rsidR="00A837FE" w:rsidRPr="000E7059" w:rsidRDefault="00A837FE" w:rsidP="00312898">
      <w:pPr>
        <w:pStyle w:val="Heading4"/>
      </w:pPr>
      <w:bookmarkStart w:id="18" w:name="_Toc419370639"/>
      <w:r w:rsidRPr="000E7059">
        <w:t>Risk estimation</w:t>
      </w:r>
      <w:bookmarkEnd w:id="18"/>
    </w:p>
    <w:p w:rsidR="00A837FE" w:rsidRDefault="00FF78E5" w:rsidP="00B45005">
      <w:r>
        <w:t>R</w:t>
      </w:r>
      <w:r w:rsidR="00CD6DD7">
        <w:t xml:space="preserve">isk </w:t>
      </w:r>
      <w:r>
        <w:t xml:space="preserve">is estimated by using a risk </w:t>
      </w:r>
      <w:r w:rsidR="00CD6DD7">
        <w:t xml:space="preserve">estimation matrix </w:t>
      </w:r>
      <w:r w:rsidR="00365530">
        <w:t>which combine</w:t>
      </w:r>
      <w:r w:rsidR="00915FA7">
        <w:t>s</w:t>
      </w:r>
      <w:r w:rsidR="00365530">
        <w:t xml:space="preserve"> the </w:t>
      </w:r>
      <w:r w:rsidR="00CD6DD7">
        <w:t>likelihood of establishment and spread and the consequences of establishment and spread</w:t>
      </w:r>
      <w:r w:rsidR="00B66492">
        <w:t xml:space="preserve"> (</w:t>
      </w:r>
      <w:r w:rsidR="00C46866">
        <w:fldChar w:fldCharType="begin"/>
      </w:r>
      <w:r w:rsidR="00B66492">
        <w:instrText xml:space="preserve"> REF _Ref416793387 \h </w:instrText>
      </w:r>
      <w:r w:rsidR="00C46866">
        <w:fldChar w:fldCharType="separate"/>
      </w:r>
      <w:r w:rsidR="00B55546" w:rsidRPr="00A309F4">
        <w:t xml:space="preserve">Table </w:t>
      </w:r>
      <w:r w:rsidR="00B55546">
        <w:rPr>
          <w:noProof/>
        </w:rPr>
        <w:t>5</w:t>
      </w:r>
      <w:r w:rsidR="00C46866">
        <w:fldChar w:fldCharType="end"/>
      </w:r>
      <w:r w:rsidR="00B66492">
        <w:t>)</w:t>
      </w:r>
      <w:r>
        <w:t xml:space="preserve">. Risk estimation </w:t>
      </w:r>
      <w:r w:rsidR="00915FA7">
        <w:t>can be used to</w:t>
      </w:r>
      <w:r w:rsidR="002A50AB">
        <w:t xml:space="preserve"> determine whether the risk presented by </w:t>
      </w:r>
      <w:r>
        <w:t>a hazard</w:t>
      </w:r>
      <w:r w:rsidR="002A50AB">
        <w:t xml:space="preserve"> is sufficient to require risk managemen</w:t>
      </w:r>
      <w:r w:rsidR="002A50AB" w:rsidRPr="00B177AB">
        <w:t>t.</w:t>
      </w:r>
      <w:r w:rsidR="00BD619F">
        <w:t xml:space="preserve"> </w:t>
      </w:r>
      <w:r w:rsidR="004C0DA4">
        <w:t>This is a</w:t>
      </w:r>
      <w:r w:rsidR="00BD619F">
        <w:t>lso known as the appropriate level of protection (ALOP).</w:t>
      </w:r>
      <w:r w:rsidR="004C0DA4">
        <w:t xml:space="preserve"> The ALOP is user determined and will differ</w:t>
      </w:r>
      <w:r w:rsidR="003C15A9">
        <w:t xml:space="preserve"> between </w:t>
      </w:r>
      <w:r w:rsidR="004C0DA4">
        <w:t>jurisdictions</w:t>
      </w:r>
      <w:r w:rsidR="003C15A9">
        <w:t xml:space="preserve"> for each disease</w:t>
      </w:r>
      <w:r w:rsidR="004C0DA4">
        <w:t>.</w:t>
      </w:r>
    </w:p>
    <w:p w:rsidR="00B66492" w:rsidRPr="00A309F4" w:rsidRDefault="00B66492" w:rsidP="003047D4">
      <w:pPr>
        <w:pStyle w:val="Caption"/>
      </w:pPr>
      <w:bookmarkStart w:id="19" w:name="_Ref416793387"/>
      <w:r w:rsidRPr="00A309F4">
        <w:t xml:space="preserve">Table </w:t>
      </w:r>
      <w:fldSimple w:instr=" SEQ Table \* ARABIC ">
        <w:r w:rsidR="00B55546">
          <w:rPr>
            <w:noProof/>
          </w:rPr>
          <w:t>5</w:t>
        </w:r>
      </w:fldSimple>
      <w:bookmarkEnd w:id="19"/>
      <w:r w:rsidRPr="00A309F4">
        <w:t>: Risk estimation matrix. The appropriate level of protection is dependent on the user. If the appropriate level of protection is when risk is reduced to a very low level but not to zero, any diseases which fall above “very low risk” will require additional risk management (red font).</w:t>
      </w:r>
    </w:p>
    <w:tbl>
      <w:tblPr>
        <w:tblStyle w:val="TableGrid"/>
        <w:tblW w:w="0" w:type="auto"/>
        <w:jc w:val="center"/>
        <w:tblLook w:val="04A0"/>
      </w:tblPr>
      <w:tblGrid>
        <w:gridCol w:w="411"/>
        <w:gridCol w:w="1235"/>
        <w:gridCol w:w="1240"/>
        <w:gridCol w:w="1239"/>
        <w:gridCol w:w="1240"/>
        <w:gridCol w:w="1239"/>
        <w:gridCol w:w="1239"/>
        <w:gridCol w:w="1236"/>
      </w:tblGrid>
      <w:tr w:rsidR="00B66492" w:rsidRPr="003427A2" w:rsidTr="00BA0B4B">
        <w:trPr>
          <w:jc w:val="center"/>
        </w:trPr>
        <w:tc>
          <w:tcPr>
            <w:tcW w:w="411" w:type="dxa"/>
            <w:vMerge w:val="restart"/>
            <w:tcBorders>
              <w:top w:val="single" w:sz="4" w:space="0" w:color="auto"/>
              <w:left w:val="single" w:sz="4" w:space="0" w:color="auto"/>
              <w:bottom w:val="nil"/>
              <w:right w:val="nil"/>
            </w:tcBorders>
            <w:textDirection w:val="btLr"/>
            <w:vAlign w:val="center"/>
          </w:tcPr>
          <w:p w:rsidR="00B66492" w:rsidRPr="00EB0CD9" w:rsidRDefault="00B66492" w:rsidP="006E7846">
            <w:pPr>
              <w:keepNext/>
              <w:keepLines/>
              <w:ind w:left="113" w:right="113"/>
              <w:jc w:val="center"/>
              <w:rPr>
                <w:rFonts w:ascii="Times New Roman" w:hAnsi="Times New Roman"/>
                <w:b/>
                <w:sz w:val="16"/>
                <w:szCs w:val="16"/>
              </w:rPr>
            </w:pPr>
            <w:r w:rsidRPr="00EB0CD9">
              <w:rPr>
                <w:rFonts w:ascii="Times New Roman" w:hAnsi="Times New Roman"/>
                <w:b/>
                <w:sz w:val="16"/>
                <w:szCs w:val="16"/>
              </w:rPr>
              <w:t>Likelihood of establishment and spread</w:t>
            </w:r>
          </w:p>
        </w:tc>
        <w:tc>
          <w:tcPr>
            <w:tcW w:w="1235" w:type="dxa"/>
            <w:tcBorders>
              <w:top w:val="single" w:sz="4" w:space="0" w:color="auto"/>
              <w:left w:val="nil"/>
              <w:bottom w:val="nil"/>
              <w:right w:val="single" w:sz="4" w:space="0" w:color="auto"/>
            </w:tcBorders>
          </w:tcPr>
          <w:p w:rsidR="00B66492" w:rsidRPr="00EB0CD9" w:rsidRDefault="00B66492" w:rsidP="006E7846">
            <w:pPr>
              <w:keepNext/>
              <w:keepLines/>
              <w:spacing w:before="160" w:after="160"/>
              <w:jc w:val="center"/>
              <w:rPr>
                <w:rFonts w:ascii="Times New Roman" w:hAnsi="Times New Roman"/>
                <w:b/>
                <w:sz w:val="16"/>
                <w:szCs w:val="16"/>
              </w:rPr>
            </w:pPr>
            <w:r w:rsidRPr="00EB0CD9">
              <w:rPr>
                <w:rFonts w:ascii="Times New Roman" w:hAnsi="Times New Roman"/>
                <w:b/>
                <w:sz w:val="16"/>
                <w:szCs w:val="16"/>
              </w:rPr>
              <w:t>High</w:t>
            </w:r>
          </w:p>
        </w:tc>
        <w:tc>
          <w:tcPr>
            <w:tcW w:w="1240" w:type="dxa"/>
            <w:tcBorders>
              <w:top w:val="single" w:sz="4" w:space="0" w:color="auto"/>
              <w:left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tcBorders>
              <w:top w:val="single" w:sz="4" w:space="0" w:color="auto"/>
            </w:tcBorders>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Very low risk</w:t>
            </w:r>
          </w:p>
        </w:tc>
        <w:tc>
          <w:tcPr>
            <w:tcW w:w="1240" w:type="dxa"/>
            <w:tcBorders>
              <w:top w:val="single" w:sz="4" w:space="0" w:color="auto"/>
            </w:tcBorders>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Low risk</w:t>
            </w:r>
          </w:p>
        </w:tc>
        <w:tc>
          <w:tcPr>
            <w:tcW w:w="1239" w:type="dxa"/>
            <w:tcBorders>
              <w:top w:val="single" w:sz="4" w:space="0" w:color="auto"/>
            </w:tcBorders>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Moderate risk</w:t>
            </w:r>
          </w:p>
        </w:tc>
        <w:tc>
          <w:tcPr>
            <w:tcW w:w="1239" w:type="dxa"/>
            <w:tcBorders>
              <w:top w:val="single" w:sz="4" w:space="0" w:color="auto"/>
            </w:tcBorders>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High risk</w:t>
            </w:r>
          </w:p>
        </w:tc>
        <w:tc>
          <w:tcPr>
            <w:tcW w:w="1236" w:type="dxa"/>
            <w:tcBorders>
              <w:top w:val="single" w:sz="4" w:space="0" w:color="auto"/>
            </w:tcBorders>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Extreme risk</w:t>
            </w:r>
          </w:p>
        </w:tc>
      </w:tr>
      <w:tr w:rsidR="00B66492" w:rsidRPr="003427A2" w:rsidTr="00BA0B4B">
        <w:trPr>
          <w:jc w:val="center"/>
        </w:trPr>
        <w:tc>
          <w:tcPr>
            <w:tcW w:w="411" w:type="dxa"/>
            <w:vMerge/>
            <w:tcBorders>
              <w:top w:val="nil"/>
              <w:left w:val="single" w:sz="4" w:space="0" w:color="auto"/>
              <w:bottom w:val="nil"/>
              <w:right w:val="nil"/>
            </w:tcBorders>
          </w:tcPr>
          <w:p w:rsidR="00B66492" w:rsidRPr="00EB0CD9" w:rsidRDefault="00B66492" w:rsidP="006E7846">
            <w:pPr>
              <w:keepNext/>
              <w:keepLines/>
              <w:rPr>
                <w:rFonts w:ascii="Times New Roman" w:hAnsi="Times New Roman"/>
                <w:b/>
                <w:sz w:val="16"/>
                <w:szCs w:val="16"/>
              </w:rPr>
            </w:pPr>
          </w:p>
        </w:tc>
        <w:tc>
          <w:tcPr>
            <w:tcW w:w="1235" w:type="dxa"/>
            <w:tcBorders>
              <w:top w:val="nil"/>
              <w:left w:val="nil"/>
              <w:bottom w:val="nil"/>
              <w:right w:val="single" w:sz="4" w:space="0" w:color="auto"/>
            </w:tcBorders>
          </w:tcPr>
          <w:p w:rsidR="00B66492" w:rsidRPr="00EB0CD9" w:rsidRDefault="00B66492" w:rsidP="006E7846">
            <w:pPr>
              <w:keepNext/>
              <w:keepLines/>
              <w:spacing w:before="160" w:after="160"/>
              <w:jc w:val="center"/>
              <w:rPr>
                <w:rFonts w:ascii="Times New Roman" w:hAnsi="Times New Roman"/>
                <w:b/>
                <w:sz w:val="16"/>
                <w:szCs w:val="16"/>
              </w:rPr>
            </w:pPr>
            <w:r w:rsidRPr="00EB0CD9">
              <w:rPr>
                <w:rFonts w:ascii="Times New Roman" w:hAnsi="Times New Roman"/>
                <w:b/>
                <w:sz w:val="16"/>
                <w:szCs w:val="16"/>
              </w:rPr>
              <w:t>Moderate</w:t>
            </w:r>
          </w:p>
        </w:tc>
        <w:tc>
          <w:tcPr>
            <w:tcW w:w="1240" w:type="dxa"/>
            <w:tcBorders>
              <w:left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tcBorders>
              <w:bottom w:val="single" w:sz="4" w:space="0" w:color="auto"/>
            </w:tcBorders>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Very low risk</w:t>
            </w:r>
          </w:p>
        </w:tc>
        <w:tc>
          <w:tcPr>
            <w:tcW w:w="1240"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Low risk</w:t>
            </w:r>
          </w:p>
        </w:tc>
        <w:tc>
          <w:tcPr>
            <w:tcW w:w="1239"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Moderate risk</w:t>
            </w:r>
          </w:p>
        </w:tc>
        <w:tc>
          <w:tcPr>
            <w:tcW w:w="1239"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High risk</w:t>
            </w:r>
          </w:p>
        </w:tc>
        <w:tc>
          <w:tcPr>
            <w:tcW w:w="1236"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Extreme risk</w:t>
            </w:r>
          </w:p>
        </w:tc>
      </w:tr>
      <w:tr w:rsidR="00B66492" w:rsidRPr="003427A2" w:rsidTr="00BA0B4B">
        <w:trPr>
          <w:jc w:val="center"/>
        </w:trPr>
        <w:tc>
          <w:tcPr>
            <w:tcW w:w="411" w:type="dxa"/>
            <w:vMerge/>
            <w:tcBorders>
              <w:top w:val="nil"/>
              <w:left w:val="single" w:sz="4" w:space="0" w:color="auto"/>
              <w:bottom w:val="nil"/>
              <w:right w:val="nil"/>
            </w:tcBorders>
          </w:tcPr>
          <w:p w:rsidR="00B66492" w:rsidRPr="00EB0CD9" w:rsidRDefault="00B66492" w:rsidP="006E7846">
            <w:pPr>
              <w:keepNext/>
              <w:keepLines/>
              <w:rPr>
                <w:rFonts w:ascii="Times New Roman" w:hAnsi="Times New Roman"/>
                <w:b/>
                <w:sz w:val="16"/>
                <w:szCs w:val="16"/>
              </w:rPr>
            </w:pPr>
          </w:p>
        </w:tc>
        <w:tc>
          <w:tcPr>
            <w:tcW w:w="1235" w:type="dxa"/>
            <w:tcBorders>
              <w:top w:val="nil"/>
              <w:left w:val="nil"/>
              <w:bottom w:val="nil"/>
              <w:right w:val="single" w:sz="4" w:space="0" w:color="auto"/>
            </w:tcBorders>
          </w:tcPr>
          <w:p w:rsidR="00B66492" w:rsidRPr="00EB0CD9" w:rsidRDefault="00B66492" w:rsidP="006E7846">
            <w:pPr>
              <w:keepNext/>
              <w:keepLines/>
              <w:spacing w:before="160" w:after="160"/>
              <w:jc w:val="center"/>
              <w:rPr>
                <w:rFonts w:ascii="Times New Roman" w:hAnsi="Times New Roman"/>
                <w:b/>
                <w:sz w:val="16"/>
                <w:szCs w:val="16"/>
              </w:rPr>
            </w:pPr>
            <w:r w:rsidRPr="00EB0CD9">
              <w:rPr>
                <w:rFonts w:ascii="Times New Roman" w:hAnsi="Times New Roman"/>
                <w:b/>
                <w:sz w:val="16"/>
                <w:szCs w:val="16"/>
              </w:rPr>
              <w:t>Low</w:t>
            </w:r>
          </w:p>
        </w:tc>
        <w:tc>
          <w:tcPr>
            <w:tcW w:w="1240" w:type="dxa"/>
            <w:tcBorders>
              <w:left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40" w:type="dxa"/>
            <w:tcBorders>
              <w:bottom w:val="single" w:sz="4" w:space="0" w:color="auto"/>
            </w:tcBorders>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Very low risk</w:t>
            </w:r>
          </w:p>
        </w:tc>
        <w:tc>
          <w:tcPr>
            <w:tcW w:w="1239"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Low risk</w:t>
            </w:r>
          </w:p>
        </w:tc>
        <w:tc>
          <w:tcPr>
            <w:tcW w:w="1239"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Moderate risk</w:t>
            </w:r>
          </w:p>
        </w:tc>
        <w:tc>
          <w:tcPr>
            <w:tcW w:w="1236"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High risk</w:t>
            </w:r>
          </w:p>
        </w:tc>
      </w:tr>
      <w:tr w:rsidR="00B66492" w:rsidRPr="003427A2" w:rsidTr="00BA0B4B">
        <w:trPr>
          <w:jc w:val="center"/>
        </w:trPr>
        <w:tc>
          <w:tcPr>
            <w:tcW w:w="411" w:type="dxa"/>
            <w:vMerge/>
            <w:tcBorders>
              <w:top w:val="nil"/>
              <w:left w:val="single" w:sz="4" w:space="0" w:color="auto"/>
              <w:bottom w:val="nil"/>
              <w:right w:val="nil"/>
            </w:tcBorders>
          </w:tcPr>
          <w:p w:rsidR="00B66492" w:rsidRPr="00EB0CD9" w:rsidRDefault="00B66492" w:rsidP="006E7846">
            <w:pPr>
              <w:keepNext/>
              <w:keepLines/>
              <w:rPr>
                <w:rFonts w:ascii="Times New Roman" w:hAnsi="Times New Roman"/>
                <w:b/>
                <w:sz w:val="16"/>
                <w:szCs w:val="16"/>
              </w:rPr>
            </w:pPr>
          </w:p>
        </w:tc>
        <w:tc>
          <w:tcPr>
            <w:tcW w:w="1235" w:type="dxa"/>
            <w:tcBorders>
              <w:top w:val="nil"/>
              <w:left w:val="nil"/>
              <w:bottom w:val="nil"/>
              <w:right w:val="single" w:sz="4" w:space="0" w:color="auto"/>
            </w:tcBorders>
          </w:tcPr>
          <w:p w:rsidR="00B66492" w:rsidRPr="00EB0CD9" w:rsidRDefault="00B66492" w:rsidP="006E7846">
            <w:pPr>
              <w:keepNext/>
              <w:keepLines/>
              <w:spacing w:before="160" w:after="160"/>
              <w:jc w:val="center"/>
              <w:rPr>
                <w:rFonts w:ascii="Times New Roman" w:hAnsi="Times New Roman"/>
                <w:b/>
                <w:sz w:val="16"/>
                <w:szCs w:val="16"/>
              </w:rPr>
            </w:pPr>
            <w:r w:rsidRPr="00EB0CD9">
              <w:rPr>
                <w:rFonts w:ascii="Times New Roman" w:hAnsi="Times New Roman"/>
                <w:b/>
                <w:sz w:val="16"/>
                <w:szCs w:val="16"/>
              </w:rPr>
              <w:t>Very low</w:t>
            </w:r>
          </w:p>
        </w:tc>
        <w:tc>
          <w:tcPr>
            <w:tcW w:w="1240" w:type="dxa"/>
            <w:tcBorders>
              <w:left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40" w:type="dxa"/>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tcBorders>
              <w:bottom w:val="single" w:sz="4" w:space="0" w:color="auto"/>
            </w:tcBorders>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Very low risk</w:t>
            </w:r>
          </w:p>
        </w:tc>
        <w:tc>
          <w:tcPr>
            <w:tcW w:w="1239"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Low risk</w:t>
            </w:r>
          </w:p>
        </w:tc>
        <w:tc>
          <w:tcPr>
            <w:tcW w:w="1236"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Moderate risk</w:t>
            </w:r>
          </w:p>
        </w:tc>
      </w:tr>
      <w:tr w:rsidR="00B66492" w:rsidRPr="003427A2" w:rsidTr="00BA0B4B">
        <w:trPr>
          <w:jc w:val="center"/>
        </w:trPr>
        <w:tc>
          <w:tcPr>
            <w:tcW w:w="411" w:type="dxa"/>
            <w:vMerge/>
            <w:tcBorders>
              <w:top w:val="nil"/>
              <w:left w:val="single" w:sz="4" w:space="0" w:color="auto"/>
              <w:bottom w:val="nil"/>
              <w:right w:val="nil"/>
            </w:tcBorders>
          </w:tcPr>
          <w:p w:rsidR="00B66492" w:rsidRPr="00EB0CD9" w:rsidRDefault="00B66492" w:rsidP="006E7846">
            <w:pPr>
              <w:keepNext/>
              <w:keepLines/>
              <w:rPr>
                <w:rFonts w:ascii="Times New Roman" w:hAnsi="Times New Roman"/>
                <w:b/>
                <w:sz w:val="16"/>
                <w:szCs w:val="16"/>
              </w:rPr>
            </w:pPr>
          </w:p>
        </w:tc>
        <w:tc>
          <w:tcPr>
            <w:tcW w:w="1235" w:type="dxa"/>
            <w:tcBorders>
              <w:top w:val="nil"/>
              <w:left w:val="nil"/>
              <w:bottom w:val="nil"/>
              <w:right w:val="single" w:sz="4" w:space="0" w:color="auto"/>
            </w:tcBorders>
          </w:tcPr>
          <w:p w:rsidR="00B66492" w:rsidRPr="00EB0CD9" w:rsidRDefault="00B66492" w:rsidP="006E7846">
            <w:pPr>
              <w:keepNext/>
              <w:keepLines/>
              <w:spacing w:before="160" w:after="160"/>
              <w:jc w:val="center"/>
              <w:rPr>
                <w:rFonts w:ascii="Times New Roman" w:hAnsi="Times New Roman"/>
                <w:b/>
                <w:sz w:val="16"/>
                <w:szCs w:val="16"/>
              </w:rPr>
            </w:pPr>
            <w:r w:rsidRPr="00EB0CD9">
              <w:rPr>
                <w:rFonts w:ascii="Times New Roman" w:hAnsi="Times New Roman"/>
                <w:b/>
                <w:sz w:val="16"/>
                <w:szCs w:val="16"/>
              </w:rPr>
              <w:t>Extremely low</w:t>
            </w:r>
          </w:p>
        </w:tc>
        <w:tc>
          <w:tcPr>
            <w:tcW w:w="1240" w:type="dxa"/>
            <w:tcBorders>
              <w:left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40" w:type="dxa"/>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tcBorders>
              <w:bottom w:val="single" w:sz="4" w:space="0" w:color="auto"/>
            </w:tcBorders>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Very low risk</w:t>
            </w:r>
          </w:p>
        </w:tc>
        <w:tc>
          <w:tcPr>
            <w:tcW w:w="1236" w:type="dxa"/>
            <w:vAlign w:val="center"/>
          </w:tcPr>
          <w:p w:rsidR="00B66492" w:rsidRPr="00500B17" w:rsidRDefault="00B66492" w:rsidP="006E7846">
            <w:pPr>
              <w:keepNext/>
              <w:keepLines/>
              <w:spacing w:before="60" w:after="60"/>
              <w:jc w:val="center"/>
              <w:rPr>
                <w:rFonts w:ascii="Times New Roman" w:hAnsi="Times New Roman"/>
                <w:color w:val="FF0000"/>
                <w:sz w:val="16"/>
                <w:szCs w:val="16"/>
              </w:rPr>
            </w:pPr>
            <w:r w:rsidRPr="00500B17">
              <w:rPr>
                <w:rFonts w:ascii="Times New Roman" w:hAnsi="Times New Roman"/>
                <w:color w:val="FF0000"/>
                <w:sz w:val="16"/>
                <w:szCs w:val="16"/>
              </w:rPr>
              <w:t>Low risk</w:t>
            </w:r>
          </w:p>
        </w:tc>
      </w:tr>
      <w:tr w:rsidR="00B66492" w:rsidRPr="003427A2" w:rsidTr="00BA0B4B">
        <w:trPr>
          <w:jc w:val="center"/>
        </w:trPr>
        <w:tc>
          <w:tcPr>
            <w:tcW w:w="411" w:type="dxa"/>
            <w:vMerge/>
            <w:tcBorders>
              <w:top w:val="nil"/>
              <w:left w:val="single" w:sz="4" w:space="0" w:color="auto"/>
              <w:bottom w:val="nil"/>
              <w:right w:val="nil"/>
            </w:tcBorders>
          </w:tcPr>
          <w:p w:rsidR="00B66492" w:rsidRPr="00EB0CD9" w:rsidRDefault="00B66492" w:rsidP="006E7846">
            <w:pPr>
              <w:keepNext/>
              <w:keepLines/>
              <w:rPr>
                <w:rFonts w:ascii="Times New Roman" w:hAnsi="Times New Roman"/>
                <w:b/>
                <w:sz w:val="16"/>
                <w:szCs w:val="16"/>
              </w:rPr>
            </w:pPr>
          </w:p>
        </w:tc>
        <w:tc>
          <w:tcPr>
            <w:tcW w:w="1235" w:type="dxa"/>
            <w:tcBorders>
              <w:top w:val="nil"/>
              <w:left w:val="nil"/>
              <w:bottom w:val="nil"/>
              <w:right w:val="single" w:sz="4" w:space="0" w:color="auto"/>
            </w:tcBorders>
          </w:tcPr>
          <w:p w:rsidR="00B66492" w:rsidRPr="00EB0CD9" w:rsidRDefault="00B66492" w:rsidP="006E7846">
            <w:pPr>
              <w:keepNext/>
              <w:keepLines/>
              <w:spacing w:before="160" w:after="160"/>
              <w:jc w:val="center"/>
              <w:rPr>
                <w:rFonts w:ascii="Times New Roman" w:hAnsi="Times New Roman"/>
                <w:b/>
                <w:sz w:val="16"/>
                <w:szCs w:val="16"/>
              </w:rPr>
            </w:pPr>
            <w:r w:rsidRPr="00EB0CD9">
              <w:rPr>
                <w:rFonts w:ascii="Times New Roman" w:hAnsi="Times New Roman"/>
                <w:b/>
                <w:sz w:val="16"/>
                <w:szCs w:val="16"/>
              </w:rPr>
              <w:t>Negligible</w:t>
            </w:r>
          </w:p>
        </w:tc>
        <w:tc>
          <w:tcPr>
            <w:tcW w:w="1240" w:type="dxa"/>
            <w:tcBorders>
              <w:left w:val="single" w:sz="4" w:space="0" w:color="auto"/>
              <w:bottom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tcBorders>
              <w:bottom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40" w:type="dxa"/>
            <w:tcBorders>
              <w:bottom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tcBorders>
              <w:bottom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9" w:type="dxa"/>
            <w:tcBorders>
              <w:bottom w:val="single" w:sz="4" w:space="0" w:color="auto"/>
            </w:tcBorders>
            <w:shd w:val="clear" w:color="auto" w:fill="F2F2F2" w:themeFill="background1" w:themeFillShade="F2"/>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Negligible risk</w:t>
            </w:r>
          </w:p>
        </w:tc>
        <w:tc>
          <w:tcPr>
            <w:tcW w:w="1236" w:type="dxa"/>
            <w:tcBorders>
              <w:bottom w:val="single" w:sz="4" w:space="0" w:color="auto"/>
            </w:tcBorders>
            <w:vAlign w:val="center"/>
          </w:tcPr>
          <w:p w:rsidR="00B66492" w:rsidRPr="00500B17" w:rsidRDefault="00B66492" w:rsidP="006E7846">
            <w:pPr>
              <w:keepNext/>
              <w:keepLines/>
              <w:spacing w:before="60" w:after="60"/>
              <w:jc w:val="center"/>
              <w:rPr>
                <w:rFonts w:ascii="Times New Roman" w:hAnsi="Times New Roman"/>
                <w:sz w:val="16"/>
                <w:szCs w:val="16"/>
              </w:rPr>
            </w:pPr>
            <w:r w:rsidRPr="00500B17">
              <w:rPr>
                <w:rFonts w:ascii="Times New Roman" w:hAnsi="Times New Roman"/>
                <w:sz w:val="16"/>
                <w:szCs w:val="16"/>
              </w:rPr>
              <w:t>Very low risk</w:t>
            </w:r>
          </w:p>
        </w:tc>
      </w:tr>
      <w:tr w:rsidR="00B66492" w:rsidRPr="003427A2" w:rsidTr="00B66492">
        <w:trPr>
          <w:jc w:val="center"/>
        </w:trPr>
        <w:tc>
          <w:tcPr>
            <w:tcW w:w="1646" w:type="dxa"/>
            <w:gridSpan w:val="2"/>
            <w:vMerge w:val="restart"/>
            <w:tcBorders>
              <w:top w:val="nil"/>
              <w:left w:val="single" w:sz="4" w:space="0" w:color="auto"/>
              <w:bottom w:val="nil"/>
              <w:right w:val="nil"/>
            </w:tcBorders>
          </w:tcPr>
          <w:p w:rsidR="00B66492" w:rsidRPr="003427A2" w:rsidRDefault="00B66492" w:rsidP="006E7846">
            <w:pPr>
              <w:keepNext/>
              <w:keepLines/>
              <w:jc w:val="center"/>
              <w:rPr>
                <w:rFonts w:ascii="Times New Roman" w:hAnsi="Times New Roman"/>
                <w:sz w:val="16"/>
                <w:szCs w:val="16"/>
              </w:rPr>
            </w:pPr>
          </w:p>
        </w:tc>
        <w:tc>
          <w:tcPr>
            <w:tcW w:w="1240" w:type="dxa"/>
            <w:tcBorders>
              <w:top w:val="single" w:sz="4" w:space="0" w:color="auto"/>
              <w:left w:val="nil"/>
              <w:bottom w:val="nil"/>
              <w:right w:val="nil"/>
            </w:tcBorders>
            <w:vAlign w:val="center"/>
          </w:tcPr>
          <w:p w:rsidR="00B66492" w:rsidRPr="00EB0CD9" w:rsidRDefault="00B66492" w:rsidP="006E7846">
            <w:pPr>
              <w:keepNext/>
              <w:keepLines/>
              <w:spacing w:before="60" w:after="60"/>
              <w:jc w:val="center"/>
              <w:rPr>
                <w:rFonts w:ascii="Times New Roman" w:hAnsi="Times New Roman"/>
                <w:b/>
                <w:sz w:val="16"/>
                <w:szCs w:val="16"/>
              </w:rPr>
            </w:pPr>
            <w:r w:rsidRPr="00EB0CD9">
              <w:rPr>
                <w:rFonts w:ascii="Times New Roman" w:hAnsi="Times New Roman"/>
                <w:b/>
                <w:sz w:val="16"/>
                <w:szCs w:val="16"/>
              </w:rPr>
              <w:t>Negligible</w:t>
            </w:r>
          </w:p>
        </w:tc>
        <w:tc>
          <w:tcPr>
            <w:tcW w:w="1239" w:type="dxa"/>
            <w:tcBorders>
              <w:top w:val="single" w:sz="4" w:space="0" w:color="auto"/>
              <w:left w:val="nil"/>
              <w:bottom w:val="nil"/>
              <w:right w:val="nil"/>
            </w:tcBorders>
            <w:vAlign w:val="center"/>
          </w:tcPr>
          <w:p w:rsidR="00B66492" w:rsidRPr="00EB0CD9" w:rsidRDefault="00B66492" w:rsidP="006E7846">
            <w:pPr>
              <w:keepNext/>
              <w:keepLines/>
              <w:spacing w:before="60" w:after="60"/>
              <w:jc w:val="center"/>
              <w:rPr>
                <w:rFonts w:ascii="Times New Roman" w:hAnsi="Times New Roman"/>
                <w:b/>
                <w:sz w:val="16"/>
                <w:szCs w:val="16"/>
              </w:rPr>
            </w:pPr>
            <w:r w:rsidRPr="00EB0CD9">
              <w:rPr>
                <w:rFonts w:ascii="Times New Roman" w:hAnsi="Times New Roman"/>
                <w:b/>
                <w:sz w:val="16"/>
                <w:szCs w:val="16"/>
              </w:rPr>
              <w:t>Very low</w:t>
            </w:r>
          </w:p>
        </w:tc>
        <w:tc>
          <w:tcPr>
            <w:tcW w:w="1240" w:type="dxa"/>
            <w:tcBorders>
              <w:top w:val="single" w:sz="4" w:space="0" w:color="auto"/>
              <w:left w:val="nil"/>
              <w:bottom w:val="nil"/>
              <w:right w:val="nil"/>
            </w:tcBorders>
            <w:vAlign w:val="center"/>
          </w:tcPr>
          <w:p w:rsidR="00B66492" w:rsidRPr="00EB0CD9" w:rsidRDefault="00B66492" w:rsidP="006E7846">
            <w:pPr>
              <w:keepNext/>
              <w:keepLines/>
              <w:spacing w:before="60" w:after="60"/>
              <w:jc w:val="center"/>
              <w:rPr>
                <w:rFonts w:ascii="Times New Roman" w:hAnsi="Times New Roman"/>
                <w:b/>
                <w:sz w:val="16"/>
                <w:szCs w:val="16"/>
              </w:rPr>
            </w:pPr>
            <w:r w:rsidRPr="00EB0CD9">
              <w:rPr>
                <w:rFonts w:ascii="Times New Roman" w:hAnsi="Times New Roman"/>
                <w:b/>
                <w:sz w:val="16"/>
                <w:szCs w:val="16"/>
              </w:rPr>
              <w:t>Low</w:t>
            </w:r>
          </w:p>
        </w:tc>
        <w:tc>
          <w:tcPr>
            <w:tcW w:w="1239" w:type="dxa"/>
            <w:tcBorders>
              <w:top w:val="single" w:sz="4" w:space="0" w:color="auto"/>
              <w:left w:val="nil"/>
              <w:bottom w:val="nil"/>
              <w:right w:val="nil"/>
            </w:tcBorders>
            <w:vAlign w:val="center"/>
          </w:tcPr>
          <w:p w:rsidR="00B66492" w:rsidRPr="00EB0CD9" w:rsidRDefault="00B66492" w:rsidP="006E7846">
            <w:pPr>
              <w:keepNext/>
              <w:keepLines/>
              <w:spacing w:before="60" w:after="60"/>
              <w:jc w:val="center"/>
              <w:rPr>
                <w:rFonts w:ascii="Times New Roman" w:hAnsi="Times New Roman"/>
                <w:b/>
                <w:sz w:val="16"/>
                <w:szCs w:val="16"/>
              </w:rPr>
            </w:pPr>
            <w:r w:rsidRPr="00EB0CD9">
              <w:rPr>
                <w:rFonts w:ascii="Times New Roman" w:hAnsi="Times New Roman"/>
                <w:b/>
                <w:sz w:val="16"/>
                <w:szCs w:val="16"/>
              </w:rPr>
              <w:t>Moderate</w:t>
            </w:r>
          </w:p>
        </w:tc>
        <w:tc>
          <w:tcPr>
            <w:tcW w:w="1239" w:type="dxa"/>
            <w:tcBorders>
              <w:top w:val="single" w:sz="4" w:space="0" w:color="auto"/>
              <w:left w:val="nil"/>
              <w:bottom w:val="nil"/>
              <w:right w:val="nil"/>
            </w:tcBorders>
            <w:vAlign w:val="center"/>
          </w:tcPr>
          <w:p w:rsidR="00B66492" w:rsidRPr="00EB0CD9" w:rsidRDefault="00B66492" w:rsidP="006E7846">
            <w:pPr>
              <w:keepNext/>
              <w:keepLines/>
              <w:spacing w:before="60" w:after="60"/>
              <w:jc w:val="center"/>
              <w:rPr>
                <w:rFonts w:ascii="Times New Roman" w:hAnsi="Times New Roman"/>
                <w:b/>
                <w:sz w:val="16"/>
                <w:szCs w:val="16"/>
              </w:rPr>
            </w:pPr>
            <w:r w:rsidRPr="00EB0CD9">
              <w:rPr>
                <w:rFonts w:ascii="Times New Roman" w:hAnsi="Times New Roman"/>
                <w:b/>
                <w:sz w:val="16"/>
                <w:szCs w:val="16"/>
              </w:rPr>
              <w:t>High</w:t>
            </w:r>
          </w:p>
        </w:tc>
        <w:tc>
          <w:tcPr>
            <w:tcW w:w="1236" w:type="dxa"/>
            <w:tcBorders>
              <w:top w:val="single" w:sz="4" w:space="0" w:color="auto"/>
              <w:left w:val="nil"/>
              <w:bottom w:val="nil"/>
              <w:right w:val="single" w:sz="4" w:space="0" w:color="auto"/>
            </w:tcBorders>
            <w:vAlign w:val="center"/>
          </w:tcPr>
          <w:p w:rsidR="00B66492" w:rsidRPr="00EB0CD9" w:rsidRDefault="00B66492" w:rsidP="006E7846">
            <w:pPr>
              <w:keepNext/>
              <w:keepLines/>
              <w:spacing w:before="60" w:after="60"/>
              <w:jc w:val="center"/>
              <w:rPr>
                <w:rFonts w:ascii="Times New Roman" w:hAnsi="Times New Roman"/>
                <w:b/>
                <w:sz w:val="16"/>
                <w:szCs w:val="16"/>
              </w:rPr>
            </w:pPr>
            <w:r w:rsidRPr="00EB0CD9">
              <w:rPr>
                <w:rFonts w:ascii="Times New Roman" w:hAnsi="Times New Roman"/>
                <w:b/>
                <w:sz w:val="16"/>
                <w:szCs w:val="16"/>
              </w:rPr>
              <w:t>Extreme</w:t>
            </w:r>
          </w:p>
        </w:tc>
      </w:tr>
      <w:tr w:rsidR="00B66492" w:rsidRPr="003427A2" w:rsidTr="00B66492">
        <w:trPr>
          <w:jc w:val="center"/>
        </w:trPr>
        <w:tc>
          <w:tcPr>
            <w:tcW w:w="1646" w:type="dxa"/>
            <w:gridSpan w:val="2"/>
            <w:vMerge/>
            <w:tcBorders>
              <w:top w:val="nil"/>
              <w:left w:val="single" w:sz="4" w:space="0" w:color="auto"/>
              <w:bottom w:val="single" w:sz="4" w:space="0" w:color="auto"/>
              <w:right w:val="nil"/>
            </w:tcBorders>
          </w:tcPr>
          <w:p w:rsidR="00B66492" w:rsidRPr="003427A2" w:rsidRDefault="00B66492" w:rsidP="006E7846">
            <w:pPr>
              <w:keepNext/>
              <w:keepLines/>
              <w:jc w:val="center"/>
              <w:rPr>
                <w:rFonts w:ascii="Times New Roman" w:hAnsi="Times New Roman"/>
                <w:sz w:val="16"/>
                <w:szCs w:val="16"/>
              </w:rPr>
            </w:pPr>
          </w:p>
        </w:tc>
        <w:tc>
          <w:tcPr>
            <w:tcW w:w="7433" w:type="dxa"/>
            <w:gridSpan w:val="6"/>
            <w:tcBorders>
              <w:top w:val="nil"/>
              <w:left w:val="nil"/>
              <w:bottom w:val="single" w:sz="4" w:space="0" w:color="auto"/>
              <w:right w:val="single" w:sz="4" w:space="0" w:color="auto"/>
            </w:tcBorders>
          </w:tcPr>
          <w:p w:rsidR="00B66492" w:rsidRPr="00EB0CD9" w:rsidRDefault="00B66492" w:rsidP="006E7846">
            <w:pPr>
              <w:keepNext/>
              <w:keepLines/>
              <w:spacing w:before="160" w:after="160"/>
              <w:jc w:val="center"/>
              <w:rPr>
                <w:rFonts w:ascii="Times New Roman" w:hAnsi="Times New Roman"/>
                <w:b/>
                <w:sz w:val="16"/>
                <w:szCs w:val="16"/>
              </w:rPr>
            </w:pPr>
            <w:r w:rsidRPr="00EB0CD9">
              <w:rPr>
                <w:rFonts w:ascii="Times New Roman" w:hAnsi="Times New Roman"/>
                <w:b/>
                <w:sz w:val="16"/>
                <w:szCs w:val="16"/>
              </w:rPr>
              <w:t>Consequences of establishment and spread</w:t>
            </w:r>
          </w:p>
        </w:tc>
      </w:tr>
    </w:tbl>
    <w:p w:rsidR="00310FF8" w:rsidRDefault="00055F5E" w:rsidP="00312898">
      <w:pPr>
        <w:pStyle w:val="Heading4"/>
      </w:pPr>
      <w:bookmarkStart w:id="20" w:name="_Toc419370640"/>
      <w:r>
        <w:t>Outcomes of combined risk assessments</w:t>
      </w:r>
      <w:bookmarkEnd w:id="20"/>
    </w:p>
    <w:p w:rsidR="00310FF8" w:rsidRDefault="000237F2" w:rsidP="00B45005">
      <w:r>
        <w:t xml:space="preserve">The </w:t>
      </w:r>
      <w:r w:rsidR="00824188">
        <w:t>Diggles (20</w:t>
      </w:r>
      <w:r w:rsidR="00492A9A">
        <w:t>1</w:t>
      </w:r>
      <w:r w:rsidR="00824188">
        <w:t xml:space="preserve">1) </w:t>
      </w:r>
      <w:r>
        <w:t xml:space="preserve">risk assessment identified a need </w:t>
      </w:r>
      <w:r w:rsidR="0022263B">
        <w:t>to</w:t>
      </w:r>
      <w:r>
        <w:t xml:space="preserve"> mitigat</w:t>
      </w:r>
      <w:r w:rsidR="0022263B">
        <w:t>e</w:t>
      </w:r>
      <w:r>
        <w:t xml:space="preserve"> the risk </w:t>
      </w:r>
      <w:r w:rsidR="00FF78E5">
        <w:t>associated with</w:t>
      </w:r>
      <w:r>
        <w:t xml:space="preserve"> 21 out of the 44 diseases assessed. </w:t>
      </w:r>
      <w:r w:rsidR="00F73179">
        <w:t>Appendix</w:t>
      </w:r>
      <w:r w:rsidR="00FF78E5">
        <w:t xml:space="preserve"> 2 summarises the generic </w:t>
      </w:r>
      <w:r w:rsidR="00055F5E">
        <w:t xml:space="preserve">risk </w:t>
      </w:r>
      <w:r w:rsidR="00FF78E5">
        <w:t>associated with</w:t>
      </w:r>
      <w:r w:rsidR="00055F5E">
        <w:t xml:space="preserve"> these diseases being translocated through common types of bait and berley commodities used in Australia. </w:t>
      </w:r>
      <w:r w:rsidR="00FF78E5">
        <w:t xml:space="preserve">However, it is important to note that these are generic risks that may not apply to the circumstances of particular jurisdictions. For example, </w:t>
      </w:r>
      <w:r w:rsidR="00C90B99">
        <w:t xml:space="preserve">diseases may be present, </w:t>
      </w:r>
      <w:r w:rsidR="00FF78E5">
        <w:t xml:space="preserve">susceptible </w:t>
      </w:r>
      <w:r w:rsidR="00C90B99">
        <w:t xml:space="preserve">host </w:t>
      </w:r>
      <w:r w:rsidR="00FF78E5">
        <w:t>species</w:t>
      </w:r>
      <w:r w:rsidR="00C90B99">
        <w:t xml:space="preserve"> might not occur</w:t>
      </w:r>
      <w:r w:rsidR="00FF78E5">
        <w:t xml:space="preserve">, </w:t>
      </w:r>
      <w:r w:rsidR="00C90B99">
        <w:t xml:space="preserve">likelihood of transmission may differ due to patterns of bait use or environmental conditions, and </w:t>
      </w:r>
      <w:r w:rsidR="00FF78E5">
        <w:t xml:space="preserve">consequences </w:t>
      </w:r>
      <w:r w:rsidR="00C90B99">
        <w:t>may vary due to the value placed on susceptible populations.</w:t>
      </w:r>
      <w:r w:rsidR="00FF78E5">
        <w:t xml:space="preserve"> </w:t>
      </w:r>
      <w:r w:rsidR="0022263B">
        <w:t xml:space="preserve">The table </w:t>
      </w:r>
      <w:r w:rsidR="00C90B99">
        <w:t xml:space="preserve">should be used as a guide only and </w:t>
      </w:r>
      <w:r w:rsidR="0022263B">
        <w:t xml:space="preserve">jurisdictions should </w:t>
      </w:r>
      <w:r w:rsidR="00C90B99">
        <w:t>conduct risk assessments based on their own circumstances</w:t>
      </w:r>
      <w:r w:rsidR="0022263B">
        <w:t>.</w:t>
      </w:r>
    </w:p>
    <w:p w:rsidR="00310FF8" w:rsidRDefault="00055F5E" w:rsidP="00312898">
      <w:pPr>
        <w:pStyle w:val="Heading3"/>
      </w:pPr>
      <w:bookmarkStart w:id="21" w:name="_Toc419370641"/>
      <w:r>
        <w:lastRenderedPageBreak/>
        <w:t>Environmental and ecological issues</w:t>
      </w:r>
      <w:bookmarkEnd w:id="21"/>
    </w:p>
    <w:p w:rsidR="00310FF8" w:rsidRDefault="00055F5E" w:rsidP="00B45005">
      <w:r>
        <w:t xml:space="preserve">The spread or introduction of pathogens via the translocation of bait and berley species </w:t>
      </w:r>
      <w:r w:rsidR="004A2596">
        <w:t xml:space="preserve">also presents </w:t>
      </w:r>
      <w:r>
        <w:t xml:space="preserve">issues </w:t>
      </w:r>
      <w:r w:rsidR="004A2596">
        <w:t>for</w:t>
      </w:r>
      <w:r>
        <w:t xml:space="preserve"> the conservation and maintenance of biodiversity including:</w:t>
      </w:r>
    </w:p>
    <w:p w:rsidR="006A1D13" w:rsidRPr="006A1D13" w:rsidRDefault="006A1D13" w:rsidP="0008634A">
      <w:pPr>
        <w:pStyle w:val="ListParagraph"/>
      </w:pPr>
      <w:r>
        <w:rPr>
          <w:i/>
        </w:rPr>
        <w:t>Establishment of disease in a previously disease free area</w:t>
      </w:r>
      <w:r>
        <w:t>:</w:t>
      </w:r>
      <w:r w:rsidRPr="006A1D13">
        <w:t xml:space="preserve"> </w:t>
      </w:r>
      <w:r w:rsidR="000331F3">
        <w:t xml:space="preserve">this </w:t>
      </w:r>
      <w:r w:rsidR="004A2596">
        <w:t xml:space="preserve">could </w:t>
      </w:r>
      <w:r>
        <w:t>endanger wild susceptible host species.</w:t>
      </w:r>
      <w:r w:rsidRPr="006A1D13">
        <w:t xml:space="preserve"> </w:t>
      </w:r>
      <w:r>
        <w:t>Na</w:t>
      </w:r>
      <w:r w:rsidRPr="00EE08E1">
        <w:t>ï</w:t>
      </w:r>
      <w:r>
        <w:t>ve species may also be at risk of infection.</w:t>
      </w:r>
    </w:p>
    <w:p w:rsidR="00310FF8" w:rsidRDefault="00055F5E" w:rsidP="0008634A">
      <w:pPr>
        <w:pStyle w:val="ListParagraph"/>
      </w:pPr>
      <w:r>
        <w:rPr>
          <w:i/>
        </w:rPr>
        <w:t>Sustained effects on ecosystem structure</w:t>
      </w:r>
      <w:r>
        <w:t>:</w:t>
      </w:r>
      <w:r>
        <w:rPr>
          <w:i/>
        </w:rPr>
        <w:t xml:space="preserve"> </w:t>
      </w:r>
      <w:r>
        <w:t>the infection of new species with a disease can disrupt the competitiveness of the species or remove dominant elements of the ecosystem (e.g. some oysters)</w:t>
      </w:r>
      <w:r w:rsidR="000331F3">
        <w:t xml:space="preserve">. This </w:t>
      </w:r>
      <w:r>
        <w:t>can have sustained temporal effects on the structure of the ecosystem.</w:t>
      </w:r>
    </w:p>
    <w:p w:rsidR="00310FF8" w:rsidRDefault="00055F5E" w:rsidP="0008634A">
      <w:pPr>
        <w:pStyle w:val="ListParagraph"/>
      </w:pPr>
      <w:r>
        <w:rPr>
          <w:i/>
        </w:rPr>
        <w:t>Impacts on existing diseases</w:t>
      </w:r>
      <w:r>
        <w:t xml:space="preserve">: novel disease transfer may perpetuate or aggravate existing diseases by increasing or decreasing their incidence, virulence, potency and frequency; recombination in bacteria may also change virulence. </w:t>
      </w:r>
    </w:p>
    <w:p w:rsidR="00310FF8" w:rsidRDefault="00055F5E" w:rsidP="00D3754A">
      <w:pPr>
        <w:pStyle w:val="Heading2"/>
      </w:pPr>
      <w:bookmarkStart w:id="22" w:name="_Toc419370642"/>
      <w:r w:rsidRPr="006565CE">
        <w:lastRenderedPageBreak/>
        <w:t>Policy</w:t>
      </w:r>
      <w:r>
        <w:t xml:space="preserve"> Framework</w:t>
      </w:r>
      <w:bookmarkEnd w:id="22"/>
    </w:p>
    <w:p w:rsidR="00CD3024" w:rsidRDefault="00534D3B" w:rsidP="00B45005">
      <w:r w:rsidRPr="00534D3B">
        <w:t>In accordance with the Australian Constitution</w:t>
      </w:r>
      <w:r>
        <w:t>,</w:t>
      </w:r>
      <w:r w:rsidRPr="00534D3B">
        <w:t xml:space="preserve"> </w:t>
      </w:r>
      <w:r>
        <w:t xml:space="preserve">states and territories have responsibility for managing aquatic animal health within their borders. </w:t>
      </w:r>
      <w:r w:rsidR="00CD3024">
        <w:t xml:space="preserve">Each state and territory </w:t>
      </w:r>
      <w:r w:rsidR="00055F5E">
        <w:t>determin</w:t>
      </w:r>
      <w:r w:rsidR="00CD3024">
        <w:t>es</w:t>
      </w:r>
      <w:r w:rsidR="00055F5E">
        <w:t xml:space="preserve"> </w:t>
      </w:r>
      <w:r w:rsidR="00CD3024">
        <w:t xml:space="preserve">the </w:t>
      </w:r>
      <w:r w:rsidR="00055F5E">
        <w:t xml:space="preserve">specific </w:t>
      </w:r>
      <w:r w:rsidR="00CD3024">
        <w:t>policies and policy instruments (including</w:t>
      </w:r>
      <w:r w:rsidR="00055F5E">
        <w:t xml:space="preserve"> </w:t>
      </w:r>
      <w:r w:rsidR="00CD3024">
        <w:t xml:space="preserve">guidelines, and </w:t>
      </w:r>
      <w:r w:rsidR="00055F5E">
        <w:t>legislation</w:t>
      </w:r>
      <w:r w:rsidR="00CD3024">
        <w:t>) required to</w:t>
      </w:r>
      <w:r w:rsidR="00055F5E">
        <w:t xml:space="preserve"> </w:t>
      </w:r>
      <w:r w:rsidR="00CD3024">
        <w:t xml:space="preserve">manage </w:t>
      </w:r>
      <w:r w:rsidR="00BA0B4B">
        <w:t>risks.</w:t>
      </w:r>
    </w:p>
    <w:p w:rsidR="00CD3024" w:rsidRDefault="00055F5E" w:rsidP="00B45005">
      <w:r>
        <w:t xml:space="preserve">Coordinated policy development </w:t>
      </w:r>
      <w:r w:rsidR="00CD3024">
        <w:t xml:space="preserve">through the use of these policy guidelines </w:t>
      </w:r>
      <w:r>
        <w:t xml:space="preserve">will provide </w:t>
      </w:r>
      <w:r w:rsidR="00CD3024">
        <w:t xml:space="preserve">a consistent, science-based approach to bait and berley translocation policies in Australia. It is expected that improved bait and berley risk management will contribute </w:t>
      </w:r>
      <w:r>
        <w:t xml:space="preserve">to </w:t>
      </w:r>
      <w:r w:rsidR="00173B76">
        <w:t xml:space="preserve">and complement </w:t>
      </w:r>
      <w:r w:rsidR="00CD3024">
        <w:t>broader aquatic animal health management measures implemented within and am</w:t>
      </w:r>
      <w:r w:rsidR="00BA0B4B">
        <w:t>ong the states and territories.</w:t>
      </w:r>
    </w:p>
    <w:p w:rsidR="00F5344C" w:rsidRDefault="00055F5E" w:rsidP="00B45005">
      <w:r>
        <w:t>These policy guidelines consider gaps in current state and territory legislation (</w:t>
      </w:r>
      <w:r w:rsidR="006D3FDE">
        <w:t xml:space="preserve">as of </w:t>
      </w:r>
      <w:r w:rsidR="003309B2">
        <w:t xml:space="preserve">June </w:t>
      </w:r>
      <w:r>
        <w:t>201</w:t>
      </w:r>
      <w:r w:rsidR="00F26C91">
        <w:t>4</w:t>
      </w:r>
      <w:r>
        <w:t>) for managing disease risks through bait and berley translocation, and recommend approaches to strengthening risk management.</w:t>
      </w:r>
    </w:p>
    <w:p w:rsidR="00534D3B" w:rsidRPr="00894208" w:rsidRDefault="00534D3B" w:rsidP="00312898">
      <w:pPr>
        <w:pStyle w:val="Heading3"/>
      </w:pPr>
      <w:bookmarkStart w:id="23" w:name="_Toc419370643"/>
      <w:r>
        <w:t>Policy principles</w:t>
      </w:r>
      <w:bookmarkEnd w:id="23"/>
    </w:p>
    <w:p w:rsidR="00173B76" w:rsidRDefault="00173B76" w:rsidP="00B45005">
      <w:r>
        <w:t xml:space="preserve">The following generic policy principles should be applied to the development of policies to manage the disease risks associated with bait and berley translocation. The degree to which </w:t>
      </w:r>
      <w:r w:rsidR="00751F7A">
        <w:t xml:space="preserve">each of these </w:t>
      </w:r>
      <w:r>
        <w:t xml:space="preserve">principles </w:t>
      </w:r>
      <w:r w:rsidR="00751F7A">
        <w:t>is</w:t>
      </w:r>
      <w:r>
        <w:t xml:space="preserve"> applied will depend on the circumstances </w:t>
      </w:r>
      <w:r w:rsidR="00751F7A">
        <w:t>of the jurisdiction, the breadth of the proposed policy, the expected costs a</w:t>
      </w:r>
      <w:r w:rsidR="00BA0B4B">
        <w:t>nd the impacts on stakeholders.</w:t>
      </w:r>
    </w:p>
    <w:p w:rsidR="008764C4" w:rsidRPr="003308B6" w:rsidRDefault="008764C4" w:rsidP="00945AB0">
      <w:pPr>
        <w:pStyle w:val="Listparanumber"/>
        <w:numPr>
          <w:ilvl w:val="0"/>
          <w:numId w:val="5"/>
        </w:numPr>
        <w:rPr>
          <w:rFonts w:eastAsia="Times New Roman"/>
        </w:rPr>
      </w:pPr>
      <w:r w:rsidRPr="003308B6">
        <w:rPr>
          <w:rFonts w:eastAsia="Times New Roman"/>
        </w:rPr>
        <w:t>Any bait translocation policy should be based on scientific demonstration of aquatic animal disease risks determined through an accepted risk assessment methodology.</w:t>
      </w:r>
    </w:p>
    <w:p w:rsidR="008764C4" w:rsidRPr="00AE5704" w:rsidRDefault="008764C4" w:rsidP="003308B6">
      <w:pPr>
        <w:pStyle w:val="Listparanumber"/>
        <w:rPr>
          <w:rFonts w:eastAsia="Times New Roman"/>
        </w:rPr>
      </w:pPr>
      <w:r w:rsidRPr="00AE5704">
        <w:rPr>
          <w:rFonts w:eastAsia="Times New Roman"/>
        </w:rPr>
        <w:t>A bait translocation policy may only be warranted if unacceptable disease risks are identified by the risk assessment. Mitigating these risks should be the purpose of any proposed pol</w:t>
      </w:r>
      <w:r w:rsidR="00BA0B4B">
        <w:rPr>
          <w:rFonts w:eastAsia="Times New Roman"/>
        </w:rPr>
        <w:t>icy.</w:t>
      </w:r>
    </w:p>
    <w:p w:rsidR="008764C4" w:rsidRPr="00AE5704" w:rsidRDefault="008764C4" w:rsidP="003308B6">
      <w:pPr>
        <w:pStyle w:val="Listparanumber"/>
        <w:rPr>
          <w:rFonts w:eastAsia="Times New Roman"/>
        </w:rPr>
      </w:pPr>
      <w:r w:rsidRPr="00AE5704">
        <w:rPr>
          <w:rFonts w:eastAsia="Times New Roman"/>
        </w:rPr>
        <w:t xml:space="preserve">Any policy should propose only the least restrictive measures to adequately mitigate identified disease risks. Policy instruments should be chosen following consideration of the circumstances of the disease risks, pathways, </w:t>
      </w:r>
      <w:proofErr w:type="gramStart"/>
      <w:r w:rsidRPr="00AE5704">
        <w:rPr>
          <w:rFonts w:eastAsia="Times New Roman"/>
        </w:rPr>
        <w:t>impact</w:t>
      </w:r>
      <w:proofErr w:type="gramEnd"/>
      <w:r w:rsidRPr="00AE5704">
        <w:rPr>
          <w:rFonts w:eastAsia="Times New Roman"/>
        </w:rPr>
        <w:t xml:space="preserve"> on stakeholders, fe</w:t>
      </w:r>
      <w:r w:rsidR="00BA0B4B">
        <w:rPr>
          <w:rFonts w:eastAsia="Times New Roman"/>
        </w:rPr>
        <w:t>asibility and cost.</w:t>
      </w:r>
    </w:p>
    <w:p w:rsidR="008764C4" w:rsidRPr="00AE5704" w:rsidRDefault="008764C4" w:rsidP="003308B6">
      <w:pPr>
        <w:pStyle w:val="Listparanumber"/>
        <w:rPr>
          <w:rFonts w:eastAsia="Times New Roman"/>
        </w:rPr>
      </w:pPr>
      <w:r w:rsidRPr="00AE5704">
        <w:rPr>
          <w:rFonts w:eastAsia="Times New Roman"/>
        </w:rPr>
        <w:t>The impact of any proposed policy on stakeholders and disruption to existing trade should be assessed. If regulation is to be imposed, a regulation impact statement may be ne</w:t>
      </w:r>
      <w:r w:rsidR="006D3FDE" w:rsidRPr="00AE5704">
        <w:rPr>
          <w:rFonts w:eastAsia="Times New Roman"/>
        </w:rPr>
        <w:t xml:space="preserve">cessary in accordance with the </w:t>
      </w:r>
      <w:r w:rsidRPr="00AE5704">
        <w:rPr>
          <w:rFonts w:eastAsia="Times New Roman"/>
        </w:rPr>
        <w:t>jurisdiction’s requirements.</w:t>
      </w:r>
    </w:p>
    <w:p w:rsidR="008764C4" w:rsidRPr="00AE5704" w:rsidRDefault="008764C4" w:rsidP="003308B6">
      <w:pPr>
        <w:pStyle w:val="Listparanumber"/>
        <w:rPr>
          <w:rFonts w:eastAsia="Times New Roman"/>
        </w:rPr>
      </w:pPr>
      <w:r w:rsidRPr="00AE5704">
        <w:rPr>
          <w:rFonts w:eastAsia="Times New Roman"/>
        </w:rPr>
        <w:t>The benefits of any measures to manage disease risks should outweigh the costs</w:t>
      </w:r>
      <w:r w:rsidR="00F5344C" w:rsidRPr="00AE5704">
        <w:rPr>
          <w:rFonts w:eastAsia="Times New Roman"/>
        </w:rPr>
        <w:t>.</w:t>
      </w:r>
      <w:r w:rsidRPr="00AE5704">
        <w:rPr>
          <w:rFonts w:eastAsia="Times New Roman"/>
        </w:rPr>
        <w:t xml:space="preserve"> </w:t>
      </w:r>
    </w:p>
    <w:p w:rsidR="008764C4" w:rsidRPr="00AE5704" w:rsidRDefault="008764C4" w:rsidP="003308B6">
      <w:pPr>
        <w:pStyle w:val="Listparanumber"/>
        <w:rPr>
          <w:rFonts w:eastAsia="Times New Roman"/>
        </w:rPr>
      </w:pPr>
      <w:r w:rsidRPr="00AE5704">
        <w:rPr>
          <w:rFonts w:eastAsia="Times New Roman"/>
        </w:rPr>
        <w:t>Unintended consequences for the policy should be considered; for example, changes in trade to alternative high disease risk pathways</w:t>
      </w:r>
      <w:r w:rsidR="00CD3024" w:rsidRPr="00AE5704">
        <w:rPr>
          <w:rFonts w:eastAsia="Times New Roman"/>
        </w:rPr>
        <w:t>.</w:t>
      </w:r>
    </w:p>
    <w:p w:rsidR="008764C4" w:rsidRPr="00AE5704" w:rsidRDefault="008764C4" w:rsidP="003308B6">
      <w:pPr>
        <w:pStyle w:val="Listparanumber"/>
        <w:rPr>
          <w:rFonts w:eastAsia="Times New Roman"/>
        </w:rPr>
      </w:pPr>
      <w:r w:rsidRPr="00AE5704">
        <w:rPr>
          <w:rFonts w:eastAsia="Times New Roman"/>
        </w:rPr>
        <w:t>Meaningful consultation should be undertaken with affected businesses, community</w:t>
      </w:r>
      <w:r w:rsidR="00BA0B4B">
        <w:rPr>
          <w:rFonts w:eastAsia="Times New Roman"/>
        </w:rPr>
        <w:t xml:space="preserve"> organisations and individuals.</w:t>
      </w:r>
    </w:p>
    <w:p w:rsidR="008764C4" w:rsidRPr="00AE5704" w:rsidRDefault="008764C4" w:rsidP="003308B6">
      <w:pPr>
        <w:pStyle w:val="Listparanumber"/>
        <w:rPr>
          <w:rFonts w:eastAsia="Times New Roman"/>
        </w:rPr>
      </w:pPr>
      <w:r w:rsidRPr="00AE5704">
        <w:rPr>
          <w:rFonts w:eastAsia="Times New Roman"/>
        </w:rPr>
        <w:t>Measures to manage translocation of bait and berley should be consistent with Australia’s international obligations</w:t>
      </w:r>
      <w:r w:rsidR="00CD3024" w:rsidRPr="00AE5704">
        <w:rPr>
          <w:rFonts w:eastAsia="Times New Roman"/>
        </w:rPr>
        <w:t>.</w:t>
      </w:r>
    </w:p>
    <w:p w:rsidR="008764C4" w:rsidRPr="00AE5704" w:rsidRDefault="008764C4" w:rsidP="003308B6">
      <w:pPr>
        <w:pStyle w:val="Listparanumber"/>
        <w:rPr>
          <w:rFonts w:eastAsia="Times New Roman"/>
        </w:rPr>
      </w:pPr>
      <w:r w:rsidRPr="00AE5704">
        <w:rPr>
          <w:rFonts w:eastAsia="Times New Roman"/>
        </w:rPr>
        <w:t>An effective stakeholder communication strategy should be developed to facilitate policy implementation</w:t>
      </w:r>
      <w:r w:rsidR="00CD3024" w:rsidRPr="00AE5704">
        <w:rPr>
          <w:rFonts w:eastAsia="Times New Roman"/>
        </w:rPr>
        <w:t>.</w:t>
      </w:r>
    </w:p>
    <w:p w:rsidR="008764C4" w:rsidRPr="00AE5704" w:rsidRDefault="008764C4" w:rsidP="003308B6">
      <w:pPr>
        <w:pStyle w:val="Listparanumber"/>
        <w:rPr>
          <w:rFonts w:eastAsia="Times New Roman"/>
        </w:rPr>
      </w:pPr>
      <w:r w:rsidRPr="00AE5704">
        <w:rPr>
          <w:rFonts w:eastAsia="Times New Roman"/>
        </w:rPr>
        <w:lastRenderedPageBreak/>
        <w:t>The bait translocation policy should be periodically reviewed to ensure it continues to satisfy these policy principles.</w:t>
      </w:r>
    </w:p>
    <w:p w:rsidR="005C25C4" w:rsidRPr="002674EF" w:rsidRDefault="005C25C4" w:rsidP="00312898">
      <w:pPr>
        <w:pStyle w:val="Heading3"/>
      </w:pPr>
      <w:bookmarkStart w:id="24" w:name="_Toc419370644"/>
      <w:r w:rsidRPr="002674EF">
        <w:t xml:space="preserve">Recommendations from </w:t>
      </w:r>
      <w:r w:rsidR="006D3FDE" w:rsidRPr="002674EF">
        <w:t>the National R</w:t>
      </w:r>
      <w:r w:rsidRPr="002674EF">
        <w:t xml:space="preserve">isk </w:t>
      </w:r>
      <w:r w:rsidR="006D3FDE" w:rsidRPr="002674EF">
        <w:t>Analysis</w:t>
      </w:r>
      <w:bookmarkEnd w:id="24"/>
    </w:p>
    <w:p w:rsidR="00630F07" w:rsidRDefault="00630F07" w:rsidP="00B45005">
      <w:r>
        <w:t xml:space="preserve">The following recommendations </w:t>
      </w:r>
      <w:r w:rsidR="00525DF6">
        <w:t xml:space="preserve">and </w:t>
      </w:r>
      <w:r w:rsidR="00173B76">
        <w:t xml:space="preserve">identified </w:t>
      </w:r>
      <w:r w:rsidR="00525DF6">
        <w:t xml:space="preserve">gaps </w:t>
      </w:r>
      <w:r>
        <w:t xml:space="preserve">have been </w:t>
      </w:r>
      <w:r w:rsidR="00CD3024">
        <w:t xml:space="preserve">provided as a guide only. Jurisdictions should consider the applicability of these </w:t>
      </w:r>
      <w:r w:rsidR="00173B76">
        <w:t xml:space="preserve">recommendations to the outcomes of their individual risk assessments and the circumstances of their jurisdiction. </w:t>
      </w:r>
      <w:r w:rsidR="00CD3024">
        <w:t xml:space="preserve"> </w:t>
      </w:r>
    </w:p>
    <w:p w:rsidR="00AE5704" w:rsidRPr="00E50326" w:rsidRDefault="00055F5E" w:rsidP="00312898">
      <w:pPr>
        <w:pStyle w:val="Heading4"/>
        <w:rPr>
          <w:rFonts w:eastAsiaTheme="minorEastAsia"/>
        </w:rPr>
      </w:pPr>
      <w:bookmarkStart w:id="25" w:name="_Toc419370645"/>
      <w:r w:rsidRPr="00E50326">
        <w:rPr>
          <w:rFonts w:eastAsiaTheme="minorEastAsia"/>
        </w:rPr>
        <w:t>Controls on the use of</w:t>
      </w:r>
      <w:r w:rsidR="006D3FDE" w:rsidRPr="00E50326">
        <w:rPr>
          <w:rFonts w:eastAsiaTheme="minorEastAsia"/>
        </w:rPr>
        <w:t xml:space="preserve"> particular</w:t>
      </w:r>
      <w:r w:rsidRPr="00E50326">
        <w:rPr>
          <w:rFonts w:eastAsiaTheme="minorEastAsia"/>
        </w:rPr>
        <w:t xml:space="preserve"> high risk commodities</w:t>
      </w:r>
      <w:bookmarkEnd w:id="25"/>
    </w:p>
    <w:p w:rsidR="00310FF8" w:rsidRPr="002674EF" w:rsidRDefault="00055F5E" w:rsidP="00E50326">
      <w:r>
        <w:t xml:space="preserve">The risk assessment </w:t>
      </w:r>
      <w:r w:rsidR="005E2025">
        <w:t xml:space="preserve">(Diggles 2011) </w:t>
      </w:r>
      <w:r>
        <w:t>classified two diseases as high risk</w:t>
      </w:r>
      <w:r w:rsidR="008C1AF1">
        <w:t xml:space="preserve">: </w:t>
      </w:r>
      <w:r w:rsidR="00525DF6">
        <w:t>Epizootic Haematopoietic Necrosis Virus (</w:t>
      </w:r>
      <w:r>
        <w:t>EHNV</w:t>
      </w:r>
      <w:r w:rsidR="00525DF6">
        <w:t>)</w:t>
      </w:r>
      <w:r>
        <w:t xml:space="preserve"> of finfish and </w:t>
      </w:r>
      <w:r w:rsidR="00C42C22">
        <w:t>abalone viral ganglioneuritis (</w:t>
      </w:r>
      <w:r>
        <w:t>AVG</w:t>
      </w:r>
      <w:r w:rsidR="00C42C22">
        <w:t>)</w:t>
      </w:r>
      <w:r>
        <w:t xml:space="preserve"> of abalone.</w:t>
      </w:r>
    </w:p>
    <w:p w:rsidR="00E50326" w:rsidRDefault="00055F5E" w:rsidP="00E50326">
      <w:r w:rsidRPr="00E50326">
        <w:rPr>
          <w:b/>
        </w:rPr>
        <w:t>Recommendation</w:t>
      </w:r>
      <w:r w:rsidR="007B5B85">
        <w:rPr>
          <w:b/>
        </w:rPr>
        <w:t>s</w:t>
      </w:r>
      <w:r w:rsidRPr="00E50326">
        <w:rPr>
          <w:b/>
        </w:rPr>
        <w:t>:</w:t>
      </w:r>
    </w:p>
    <w:p w:rsidR="006D3FDE" w:rsidRPr="002674EF" w:rsidRDefault="00055F5E" w:rsidP="0008634A">
      <w:pPr>
        <w:pStyle w:val="ListParagraph"/>
      </w:pPr>
      <w:r w:rsidRPr="002674EF">
        <w:t xml:space="preserve">Control </w:t>
      </w:r>
      <w:r w:rsidR="003F7982" w:rsidRPr="002674EF">
        <w:t xml:space="preserve">the </w:t>
      </w:r>
      <w:r w:rsidRPr="002674EF">
        <w:t>movement of aquatic species susceptible to AVG of abalone</w:t>
      </w:r>
      <w:r w:rsidR="00946DDC" w:rsidRPr="002674EF">
        <w:t xml:space="preserve"> and</w:t>
      </w:r>
      <w:r w:rsidRPr="002674EF">
        <w:t xml:space="preserve"> </w:t>
      </w:r>
      <w:r w:rsidR="00946DDC" w:rsidRPr="002674EF">
        <w:t>EHNV of finfish</w:t>
      </w:r>
      <w:r w:rsidR="00E50326">
        <w:t>.</w:t>
      </w:r>
    </w:p>
    <w:p w:rsidR="00B54A8B" w:rsidRPr="002674EF" w:rsidRDefault="00753FE2" w:rsidP="0008634A">
      <w:pPr>
        <w:pStyle w:val="ListParagraph"/>
      </w:pPr>
      <w:r w:rsidRPr="002674EF">
        <w:t>C</w:t>
      </w:r>
      <w:r w:rsidR="00055F5E" w:rsidRPr="002674EF">
        <w:t xml:space="preserve">onsistent jurisdiction controls on use of abalone meat and viscera for bait are recommended to mitigate the risk of translocating AVG in jurisdictions with wild abalone populations. </w:t>
      </w:r>
      <w:r w:rsidR="00F80658" w:rsidRPr="002674EF">
        <w:t>Jurisdiction’s</w:t>
      </w:r>
      <w:r w:rsidR="00055F5E" w:rsidRPr="002674EF">
        <w:t xml:space="preserve"> licensing conditions to sell bait </w:t>
      </w:r>
      <w:r w:rsidR="00F80658" w:rsidRPr="002674EF">
        <w:t>could</w:t>
      </w:r>
      <w:r w:rsidR="00055F5E" w:rsidRPr="002674EF">
        <w:t xml:space="preserve"> incorporate further risk mitigation controls for high risk commo</w:t>
      </w:r>
      <w:r w:rsidR="00BA0B4B">
        <w:t>dities such as abalone viscera.</w:t>
      </w:r>
    </w:p>
    <w:p w:rsidR="009C1090" w:rsidRPr="002674EF" w:rsidRDefault="00055F5E" w:rsidP="0008634A">
      <w:pPr>
        <w:pStyle w:val="ListParagraph"/>
      </w:pPr>
      <w:r w:rsidRPr="002674EF">
        <w:t>NSW</w:t>
      </w:r>
      <w:r w:rsidR="005E2025" w:rsidRPr="002674EF">
        <w:t xml:space="preserve">, </w:t>
      </w:r>
      <w:r w:rsidRPr="002674EF">
        <w:t>WA</w:t>
      </w:r>
      <w:r w:rsidR="005E2025" w:rsidRPr="002674EF">
        <w:t xml:space="preserve"> and </w:t>
      </w:r>
      <w:r w:rsidRPr="002674EF">
        <w:t>Tas</w:t>
      </w:r>
      <w:r w:rsidR="00BA26DD" w:rsidRPr="002674EF">
        <w:t>mania</w:t>
      </w:r>
      <w:r w:rsidRPr="002674EF">
        <w:t xml:space="preserve"> </w:t>
      </w:r>
      <w:r w:rsidR="00BA26DD" w:rsidRPr="002674EF">
        <w:t>already have specific restrictions on the use of abalone</w:t>
      </w:r>
      <w:r w:rsidR="00B54A8B" w:rsidRPr="002674EF">
        <w:t xml:space="preserve"> (Appendix 1)</w:t>
      </w:r>
      <w:r w:rsidRPr="002674EF">
        <w:t xml:space="preserve">. </w:t>
      </w:r>
      <w:r w:rsidR="00504401" w:rsidRPr="002674EF">
        <w:t>O</w:t>
      </w:r>
      <w:r w:rsidRPr="002674EF">
        <w:t>ther</w:t>
      </w:r>
      <w:r w:rsidR="00C43D6A" w:rsidRPr="002674EF">
        <w:t xml:space="preserve"> Australian</w:t>
      </w:r>
      <w:r w:rsidRPr="002674EF">
        <w:t xml:space="preserve"> jurisdictions may have broad restrictions that could include abalone or other high risk commodities</w:t>
      </w:r>
      <w:r w:rsidR="00504401" w:rsidRPr="002674EF">
        <w:t>,</w:t>
      </w:r>
      <w:r w:rsidRPr="002674EF">
        <w:t xml:space="preserve"> although these are not specifically mentioned. </w:t>
      </w:r>
      <w:r w:rsidR="00504401" w:rsidRPr="002674EF">
        <w:t>In this case, w</w:t>
      </w:r>
      <w:r w:rsidRPr="002674EF">
        <w:t xml:space="preserve">ording to specify abalone viscera as prohibited for use as bait </w:t>
      </w:r>
      <w:r w:rsidR="00504401" w:rsidRPr="002674EF">
        <w:t>is</w:t>
      </w:r>
      <w:r w:rsidRPr="002674EF">
        <w:t xml:space="preserve"> needed to avoid ambiguity and maintain consistency across jurisdictions.</w:t>
      </w:r>
    </w:p>
    <w:p w:rsidR="00946DDC" w:rsidRPr="002674EF" w:rsidRDefault="00946DDC" w:rsidP="0008634A">
      <w:pPr>
        <w:pStyle w:val="ListParagraph"/>
      </w:pPr>
      <w:r w:rsidRPr="002674EF">
        <w:t>EHNV of finfish poses a greater challenge as the</w:t>
      </w:r>
      <w:r w:rsidR="00577393" w:rsidRPr="002674EF">
        <w:t>re are only two jurisdictions with legislation restricting the use of “noxious species” such as redfin perch that are implicated in movement of the disease. Such legislation prohibiting the use of redfin perch as bait would substantially lower the risk of this disease being spread via bait or berley. The</w:t>
      </w:r>
      <w:r w:rsidRPr="002674EF">
        <w:t xml:space="preserve"> </w:t>
      </w:r>
      <w:r w:rsidR="00577393" w:rsidRPr="002674EF">
        <w:t>causative virus for this disease is resistant to freezing which removes one possible mechanism to reduce the risk of transfer. Many jurisdictions have requirements prohibiting feeding</w:t>
      </w:r>
      <w:r w:rsidR="00BA0B4B">
        <w:t xml:space="preserve"> of fresh fish for bait/berley.</w:t>
      </w:r>
    </w:p>
    <w:p w:rsidR="002674EF" w:rsidRPr="00E50326" w:rsidRDefault="00055F5E" w:rsidP="00312898">
      <w:pPr>
        <w:pStyle w:val="Heading4"/>
      </w:pPr>
      <w:bookmarkStart w:id="26" w:name="_Toc419370646"/>
      <w:r w:rsidRPr="00E50326">
        <w:t>Controls on use of aquaculture commodities as bait</w:t>
      </w:r>
      <w:bookmarkEnd w:id="26"/>
    </w:p>
    <w:p w:rsidR="00310FF8" w:rsidRPr="002674EF" w:rsidRDefault="00055F5E" w:rsidP="00E50326">
      <w:r>
        <w:t>To reduce the risk of disease transfer from aquaculture facilities, control and/or testing of aquaculture products for b</w:t>
      </w:r>
      <w:r w:rsidR="00BA0B4B">
        <w:t>ait is recommended.</w:t>
      </w:r>
    </w:p>
    <w:p w:rsidR="00E50326" w:rsidRDefault="007B5B85" w:rsidP="00E50326">
      <w:r>
        <w:rPr>
          <w:b/>
        </w:rPr>
        <w:t>Recommendations</w:t>
      </w:r>
      <w:r w:rsidR="00055F5E" w:rsidRPr="00E50326">
        <w:rPr>
          <w:b/>
        </w:rPr>
        <w:t>:</w:t>
      </w:r>
    </w:p>
    <w:p w:rsidR="00310FF8" w:rsidRDefault="00055F5E" w:rsidP="0002726F">
      <w:pPr>
        <w:pStyle w:val="ListParagraph"/>
      </w:pPr>
      <w:r>
        <w:t xml:space="preserve">If risks are identified through the sale of aquaculture commodities for a bait end use, each state and territory would be advised to investigate options to mitigate </w:t>
      </w:r>
      <w:r w:rsidR="007063EA">
        <w:t xml:space="preserve">the risks </w:t>
      </w:r>
      <w:r>
        <w:t>(legislation, licensing restrictions etc). QLD and SA are the only jurisdictions to specifically ban the use of aquaculture product as bait</w:t>
      </w:r>
      <w:r w:rsidR="005E2025">
        <w:t>. N</w:t>
      </w:r>
      <w:r>
        <w:t>o jurisdiction refer</w:t>
      </w:r>
      <w:r w:rsidR="00516C71">
        <w:t>s</w:t>
      </w:r>
      <w:r>
        <w:t xml:space="preserve"> to testing of aquaculture product in </w:t>
      </w:r>
      <w:r w:rsidR="005301CD">
        <w:t xml:space="preserve">the </w:t>
      </w:r>
      <w:r>
        <w:t xml:space="preserve">materials provided. It is likely that the most pragmatic approach is to regulate the supply of bait from aquaculture facilities. In Queensland this is part of the conditions of an aquaculture or fish processor’s </w:t>
      </w:r>
      <w:r>
        <w:lastRenderedPageBreak/>
        <w:t xml:space="preserve">licence, although sale of a few species assessed to be of low risk is permitted. The </w:t>
      </w:r>
      <w:hyperlink r:id="rId15" w:history="1">
        <w:r w:rsidRPr="005D3108">
          <w:rPr>
            <w:rStyle w:val="Hyperlink"/>
          </w:rPr>
          <w:t>Queensland policy</w:t>
        </w:r>
      </w:hyperlink>
      <w:r>
        <w:t xml:space="preserve"> also has the risk assessment process laid out clearly which could be used for guidance in developing</w:t>
      </w:r>
      <w:r w:rsidR="00BA0B4B">
        <w:t xml:space="preserve"> policy in other jurisdictions.</w:t>
      </w:r>
    </w:p>
    <w:p w:rsidR="002674EF" w:rsidRPr="00E50326" w:rsidRDefault="00055F5E" w:rsidP="00312898">
      <w:pPr>
        <w:pStyle w:val="Heading4"/>
        <w:rPr>
          <w:rFonts w:eastAsiaTheme="minorEastAsia"/>
        </w:rPr>
      </w:pPr>
      <w:bookmarkStart w:id="27" w:name="_Toc419370647"/>
      <w:r w:rsidRPr="00E50326">
        <w:rPr>
          <w:rFonts w:eastAsiaTheme="minorEastAsia"/>
        </w:rPr>
        <w:t>Control on translocation of live bait</w:t>
      </w:r>
      <w:bookmarkEnd w:id="27"/>
    </w:p>
    <w:p w:rsidR="00310FF8" w:rsidRPr="00E50326" w:rsidRDefault="00055F5E" w:rsidP="00E50326">
      <w:pPr>
        <w:rPr>
          <w:b/>
        </w:rPr>
      </w:pPr>
      <w:r>
        <w:t xml:space="preserve">The risk assessment </w:t>
      </w:r>
      <w:r w:rsidR="005E2025">
        <w:t xml:space="preserve">(Diggles 2011) </w:t>
      </w:r>
      <w:r>
        <w:t>recommends control over the translocation of live bait</w:t>
      </w:r>
      <w:r w:rsidR="005301CD">
        <w:t xml:space="preserve"> to reduce the risk of the spread of pathogens of concern</w:t>
      </w:r>
      <w:r>
        <w:t xml:space="preserve">. This recommendation may be partially covered in national and </w:t>
      </w:r>
      <w:r w:rsidR="00AB0ED8">
        <w:t>jurisdiction</w:t>
      </w:r>
      <w:r>
        <w:t xml:space="preserve"> translocation policy.</w:t>
      </w:r>
    </w:p>
    <w:p w:rsidR="00E50326" w:rsidRDefault="00055F5E" w:rsidP="00E50326">
      <w:pPr>
        <w:rPr>
          <w:b/>
        </w:rPr>
      </w:pPr>
      <w:r w:rsidRPr="00E50326">
        <w:rPr>
          <w:b/>
        </w:rPr>
        <w:t>Recommendation</w:t>
      </w:r>
      <w:r w:rsidR="007B5B85">
        <w:rPr>
          <w:b/>
        </w:rPr>
        <w:t>s</w:t>
      </w:r>
      <w:r w:rsidR="00BA0B4B">
        <w:rPr>
          <w:b/>
        </w:rPr>
        <w:t>:</w:t>
      </w:r>
    </w:p>
    <w:p w:rsidR="00310FF8" w:rsidRPr="00E50326" w:rsidRDefault="00055F5E" w:rsidP="0002726F">
      <w:pPr>
        <w:pStyle w:val="ListParagraph"/>
        <w:rPr>
          <w:b/>
        </w:rPr>
      </w:pPr>
      <w:r>
        <w:t>Given the high risks associated with the translocation of live bait, regulations on the movement of live species intended for bait should be developed and adapted to be relevant to specific state and territory situations.</w:t>
      </w:r>
      <w:r w:rsidRPr="00E50326">
        <w:rPr>
          <w:b/>
        </w:rPr>
        <w:t xml:space="preserve"> </w:t>
      </w:r>
      <w:r w:rsidR="005E2025">
        <w:t>In many cases, m</w:t>
      </w:r>
      <w:r>
        <w:t xml:space="preserve">ovement of </w:t>
      </w:r>
      <w:r w:rsidR="005301CD">
        <w:t xml:space="preserve">live </w:t>
      </w:r>
      <w:r>
        <w:t xml:space="preserve">fish, particularly noxious fish, is prohibited </w:t>
      </w:r>
      <w:r w:rsidR="003214B3">
        <w:t xml:space="preserve">wholly or partially </w:t>
      </w:r>
      <w:r>
        <w:t xml:space="preserve">by state legislation or regulations. For example in </w:t>
      </w:r>
      <w:r w:rsidR="000363DB" w:rsidRPr="0002726F">
        <w:t>the</w:t>
      </w:r>
      <w:r w:rsidR="000363DB">
        <w:t xml:space="preserve"> Northern Territory </w:t>
      </w:r>
      <w:r>
        <w:t xml:space="preserve">fishing regulations prohibit </w:t>
      </w:r>
      <w:r w:rsidR="000363DB">
        <w:t xml:space="preserve">the movement </w:t>
      </w:r>
      <w:r>
        <w:t xml:space="preserve">of </w:t>
      </w:r>
      <w:r w:rsidR="006A3504">
        <w:t xml:space="preserve">live </w:t>
      </w:r>
      <w:r>
        <w:t xml:space="preserve">fish or their use for bait </w:t>
      </w:r>
      <w:r w:rsidR="006A3504">
        <w:t>from within a water catchment area to a different</w:t>
      </w:r>
      <w:r w:rsidR="000363DB">
        <w:t xml:space="preserve"> water catchment area</w:t>
      </w:r>
      <w:r>
        <w:t>. Realistically, enforcement of translocation regulations or policies for live bait purposes may not be feasible. The existing gaps in state and territory mitigation measures in place for translocation of live aquatic organisms may be best addressed through education and awareness campaigns</w:t>
      </w:r>
      <w:r w:rsidR="001A1DA5">
        <w:t xml:space="preserve"> (see Appendix 2: Diggles 2011)</w:t>
      </w:r>
      <w:r>
        <w:t>.</w:t>
      </w:r>
      <w:r w:rsidR="001A1DA5">
        <w:t xml:space="preserve"> Movement of live bait between jurisdictions and between geographic regions would be the highest risk profiles.</w:t>
      </w:r>
    </w:p>
    <w:p w:rsidR="002674EF" w:rsidRPr="00E50326" w:rsidRDefault="00055F5E" w:rsidP="00312898">
      <w:pPr>
        <w:pStyle w:val="Heading4"/>
        <w:rPr>
          <w:rFonts w:eastAsiaTheme="minorEastAsia"/>
        </w:rPr>
      </w:pPr>
      <w:bookmarkStart w:id="28" w:name="_Toc419370648"/>
      <w:r w:rsidRPr="00E50326">
        <w:rPr>
          <w:rFonts w:eastAsiaTheme="minorEastAsia"/>
        </w:rPr>
        <w:t>Compulsory</w:t>
      </w:r>
      <w:r w:rsidR="002A06F3" w:rsidRPr="00E50326">
        <w:rPr>
          <w:rFonts w:eastAsiaTheme="minorEastAsia"/>
        </w:rPr>
        <w:t xml:space="preserve"> freezing or freeze drying of non-live </w:t>
      </w:r>
      <w:r w:rsidR="002674EF" w:rsidRPr="00E50326">
        <w:rPr>
          <w:rFonts w:eastAsiaTheme="minorEastAsia"/>
        </w:rPr>
        <w:t>bait commodities</w:t>
      </w:r>
      <w:bookmarkEnd w:id="28"/>
    </w:p>
    <w:p w:rsidR="00310FF8" w:rsidRPr="00E50326" w:rsidRDefault="00055F5E" w:rsidP="0002726F">
      <w:pPr>
        <w:rPr>
          <w:b/>
        </w:rPr>
      </w:pPr>
      <w:r>
        <w:t>The risk assessment recommends compulsory freezing</w:t>
      </w:r>
      <w:r w:rsidR="005E2025">
        <w:t xml:space="preserve"> or </w:t>
      </w:r>
      <w:r>
        <w:t>freeze drying of bait</w:t>
      </w:r>
      <w:r w:rsidR="003214B3">
        <w:t xml:space="preserve"> to reduce the risk of </w:t>
      </w:r>
      <w:r w:rsidR="003214B3" w:rsidRPr="0002726F">
        <w:rPr>
          <w:color w:val="000000"/>
          <w:lang w:val="en-US"/>
        </w:rPr>
        <w:t>transfer</w:t>
      </w:r>
      <w:r w:rsidR="003214B3">
        <w:t xml:space="preserve"> of those pathogens rendered inactive by such treatment</w:t>
      </w:r>
      <w:r>
        <w:t xml:space="preserve">. </w:t>
      </w:r>
      <w:r w:rsidR="003214B3">
        <w:t xml:space="preserve">It should be noted that </w:t>
      </w:r>
      <w:r w:rsidR="00510E66">
        <w:t>the vast majority of bait and berley product is already sold frozen for practical reasons. To apply legislative controls over this recommendation</w:t>
      </w:r>
      <w:r w:rsidR="005E2025">
        <w:t xml:space="preserve"> </w:t>
      </w:r>
      <w:r w:rsidR="005A5D32">
        <w:t xml:space="preserve">could </w:t>
      </w:r>
      <w:r>
        <w:t>potentially be difficult to implement and regulate.</w:t>
      </w:r>
    </w:p>
    <w:p w:rsidR="00E50326" w:rsidRPr="00E50326" w:rsidRDefault="007B5B85" w:rsidP="0002726F">
      <w:pPr>
        <w:rPr>
          <w:b/>
        </w:rPr>
      </w:pPr>
      <w:r>
        <w:rPr>
          <w:b/>
        </w:rPr>
        <w:t>Recommendations</w:t>
      </w:r>
      <w:r w:rsidR="00BA0B4B">
        <w:rPr>
          <w:b/>
        </w:rPr>
        <w:t>:</w:t>
      </w:r>
    </w:p>
    <w:p w:rsidR="002674EF" w:rsidRDefault="00055F5E" w:rsidP="0008634A">
      <w:pPr>
        <w:pStyle w:val="ListParagraph"/>
      </w:pPr>
      <w:r>
        <w:t>Education and engagement will play a significant role in addressing identified gaps. The practicality of storing and transporting bait products lends itself to freezing for commercial reasons, with disease control an associated benefit</w:t>
      </w:r>
      <w:r w:rsidRPr="00630F07">
        <w:t>.</w:t>
      </w:r>
    </w:p>
    <w:p w:rsidR="002674EF" w:rsidRPr="00E50326" w:rsidRDefault="00055F5E" w:rsidP="00312898">
      <w:pPr>
        <w:pStyle w:val="Heading4"/>
        <w:rPr>
          <w:rFonts w:eastAsiaTheme="minorEastAsia"/>
        </w:rPr>
      </w:pPr>
      <w:bookmarkStart w:id="29" w:name="_Toc419370649"/>
      <w:r w:rsidRPr="00E50326">
        <w:rPr>
          <w:rFonts w:eastAsiaTheme="minorEastAsia"/>
        </w:rPr>
        <w:t>Increased surveillance of bait commodities</w:t>
      </w:r>
      <w:bookmarkEnd w:id="29"/>
    </w:p>
    <w:p w:rsidR="00510E66" w:rsidRPr="00E50326" w:rsidRDefault="00055F5E" w:rsidP="00E50326">
      <w:pPr>
        <w:rPr>
          <w:color w:val="000000"/>
          <w:lang w:val="en-US"/>
        </w:rPr>
      </w:pPr>
      <w:r>
        <w:t xml:space="preserve">The risk assessment </w:t>
      </w:r>
      <w:r w:rsidR="005E2025">
        <w:t xml:space="preserve">(Diggles 2011) </w:t>
      </w:r>
      <w:r>
        <w:t>recommends increased surveillance of bait commodities</w:t>
      </w:r>
      <w:r w:rsidR="00510E66" w:rsidRPr="00E50326">
        <w:rPr>
          <w:color w:val="000000"/>
          <w:lang w:val="en-US"/>
        </w:rPr>
        <w:t xml:space="preserve">, particularly </w:t>
      </w:r>
      <w:r w:rsidR="00510E66" w:rsidRPr="00E50326">
        <w:rPr>
          <w:color w:val="010101"/>
          <w:lang w:val="en-US"/>
        </w:rPr>
        <w:t>those where data gaps were identified (e.g. pipis, cockles, bait crabs, marine yabbies, cephalopod molluscs, annelids, echinoderms, and ascidians). It was recommended that d</w:t>
      </w:r>
      <w:r w:rsidR="00510E66" w:rsidRPr="00E50326">
        <w:rPr>
          <w:color w:val="000000"/>
          <w:lang w:val="en-US"/>
        </w:rPr>
        <w:t>isease surveillance should also be undertaken in the early stages of development of fisheries for new species likely to be used as bait, and/or whenever significant quantities of bait are being translocated to a new geographical region.</w:t>
      </w:r>
    </w:p>
    <w:p w:rsidR="007B5B85" w:rsidRDefault="00BA0B4B" w:rsidP="007B5B85">
      <w:pPr>
        <w:rPr>
          <w:b/>
        </w:rPr>
      </w:pPr>
      <w:r>
        <w:rPr>
          <w:b/>
        </w:rPr>
        <w:t>Recommendations:</w:t>
      </w:r>
    </w:p>
    <w:p w:rsidR="00E22F4E" w:rsidRPr="00E22F4E" w:rsidRDefault="00055F5E" w:rsidP="0008634A">
      <w:pPr>
        <w:pStyle w:val="ListParagraph"/>
      </w:pPr>
      <w:r>
        <w:t xml:space="preserve">Where states and territories are approached for approvals (through licensing arrangements) to allow trade in new or emerging bait commodities, a risk </w:t>
      </w:r>
      <w:r>
        <w:lastRenderedPageBreak/>
        <w:t xml:space="preserve">assessment is recommended. </w:t>
      </w:r>
      <w:r w:rsidRPr="007B5B85">
        <w:rPr>
          <w:szCs w:val="24"/>
        </w:rPr>
        <w:t>This may include surveillance of wild populations and</w:t>
      </w:r>
      <w:r>
        <w:t xml:space="preserve"> the process would examine existing and future risks associated with movements of a new bait commodities. This component does not require a legislative approach and could be best addressed through research applications dealing with new products. </w:t>
      </w:r>
      <w:r w:rsidR="00EE5FE4">
        <w:t>At the time of writing (June 2014) i</w:t>
      </w:r>
      <w:r>
        <w:t>t is unlikely that states are in a position to put resources towards direct surveillance, but may be able to conduct a qualitative risk analysis based on known facts about the fisheries and industries in the state, and the likely use of the bait commodity in question.</w:t>
      </w:r>
    </w:p>
    <w:p w:rsidR="002674EF" w:rsidRPr="007B5B85" w:rsidRDefault="00E22F4E" w:rsidP="00312898">
      <w:pPr>
        <w:pStyle w:val="Heading4"/>
      </w:pPr>
      <w:bookmarkStart w:id="30" w:name="_Toc419370650"/>
      <w:r w:rsidRPr="007B5B85">
        <w:t>Educating fishers to the risks of translocating bait and berley</w:t>
      </w:r>
      <w:bookmarkEnd w:id="30"/>
    </w:p>
    <w:p w:rsidR="004C4768" w:rsidRPr="00E22F4E" w:rsidRDefault="00E22F4E" w:rsidP="007B5B85">
      <w:r w:rsidRPr="00E22F4E">
        <w:t>An education and engagement program to address disease translocation risks where other risk mitig</w:t>
      </w:r>
      <w:r w:rsidR="00BA0B4B">
        <w:t>ation measures aren’t feasible.</w:t>
      </w:r>
    </w:p>
    <w:p w:rsidR="007B5B85" w:rsidRDefault="00BA0B4B" w:rsidP="007B5B85">
      <w:pPr>
        <w:rPr>
          <w:b/>
        </w:rPr>
      </w:pPr>
      <w:r>
        <w:rPr>
          <w:b/>
        </w:rPr>
        <w:t>Recommendations:</w:t>
      </w:r>
    </w:p>
    <w:p w:rsidR="00E22F4E" w:rsidRPr="007B5B85" w:rsidRDefault="00055F5E" w:rsidP="0008634A">
      <w:pPr>
        <w:pStyle w:val="ListParagraph"/>
        <w:rPr>
          <w:color w:val="000000"/>
          <w:lang w:val="en-US"/>
        </w:rPr>
      </w:pPr>
      <w:r>
        <w:t xml:space="preserve">Each </w:t>
      </w:r>
      <w:r w:rsidR="00E30C01">
        <w:t>jurisdiction</w:t>
      </w:r>
      <w:r>
        <w:t xml:space="preserve"> will have its own suite of risks to address and would be best placed to provide advice on education and awareness campaigns targeting specific groups about high risk bait and berley products. If a national body could be engaged (</w:t>
      </w:r>
      <w:r w:rsidR="00EE5FE4">
        <w:t xml:space="preserve">for example, </w:t>
      </w:r>
      <w:r w:rsidR="0002726F" w:rsidRPr="0002726F">
        <w:t>Recfish Australia</w:t>
      </w:r>
      <w:r>
        <w:t xml:space="preserve">), this would be of benefit to oversee a coordinated rollout in line with national policy guidelines. Additionally, some generic awareness materials could be provided from a central government source to supplement state and territory work in this area. </w:t>
      </w:r>
      <w:r w:rsidR="00E22F4E" w:rsidRPr="007B5B85">
        <w:rPr>
          <w:color w:val="000000"/>
          <w:lang w:val="en-US"/>
        </w:rPr>
        <w:t>Examples of education and extension could include</w:t>
      </w:r>
      <w:r w:rsidR="004C4768" w:rsidRPr="007B5B85">
        <w:rPr>
          <w:color w:val="000000"/>
          <w:lang w:val="en-US"/>
        </w:rPr>
        <w:t>:</w:t>
      </w:r>
      <w:r w:rsidR="00E22F4E" w:rsidRPr="007B5B85">
        <w:rPr>
          <w:color w:val="000000"/>
          <w:lang w:val="en-US"/>
        </w:rPr>
        <w:t xml:space="preserve"> posters erected in tackle shops, pet shops</w:t>
      </w:r>
      <w:r w:rsidR="00935994">
        <w:rPr>
          <w:color w:val="000000"/>
          <w:lang w:val="en-US"/>
        </w:rPr>
        <w:t>,</w:t>
      </w:r>
      <w:r w:rsidR="00E22F4E" w:rsidRPr="007B5B85">
        <w:rPr>
          <w:color w:val="000000"/>
          <w:lang w:val="en-US"/>
        </w:rPr>
        <w:t xml:space="preserve"> fishing co-ops, or boat ramps, educational pamphlets distributed with fishing or boating licenses or at tackle shows, and even signage at re</w:t>
      </w:r>
      <w:r w:rsidR="004C4768" w:rsidRPr="007B5B85">
        <w:rPr>
          <w:color w:val="000000"/>
          <w:lang w:val="en-US"/>
        </w:rPr>
        <w:t>tail points of sale for seafood</w:t>
      </w:r>
      <w:r w:rsidR="00E22F4E" w:rsidRPr="007B5B85">
        <w:rPr>
          <w:color w:val="000000"/>
          <w:lang w:val="en-US"/>
        </w:rPr>
        <w:t xml:space="preserve"> encouraging consumers not to use at risk types of seafood as bait or berley.</w:t>
      </w:r>
      <w:r w:rsidR="001A1DA5" w:rsidRPr="007B5B85">
        <w:rPr>
          <w:color w:val="000000"/>
          <w:lang w:val="en-US"/>
        </w:rPr>
        <w:t xml:space="preserve"> A good example is provided in</w:t>
      </w:r>
      <w:r w:rsidR="001A1DA5">
        <w:t xml:space="preserve"> Appendix 2 of Diggles 2011.</w:t>
      </w:r>
    </w:p>
    <w:p w:rsidR="00310FF8" w:rsidRPr="00FD2DCC" w:rsidRDefault="00055F5E" w:rsidP="00D3754A">
      <w:pPr>
        <w:pStyle w:val="Heading2"/>
      </w:pPr>
      <w:bookmarkStart w:id="31" w:name="_Toc419370651"/>
      <w:r w:rsidRPr="00FD2DCC">
        <w:lastRenderedPageBreak/>
        <w:t>Policy Implementation</w:t>
      </w:r>
      <w:bookmarkEnd w:id="31"/>
    </w:p>
    <w:p w:rsidR="00310FF8" w:rsidRPr="00FD2DCC" w:rsidRDefault="00055F5E" w:rsidP="00312898">
      <w:pPr>
        <w:pStyle w:val="Heading3"/>
      </w:pPr>
      <w:bookmarkStart w:id="32" w:name="_Toc419370652"/>
      <w:r w:rsidRPr="00FD2DCC">
        <w:t>Possible Instruments</w:t>
      </w:r>
      <w:bookmarkEnd w:id="32"/>
    </w:p>
    <w:p w:rsidR="00310FF8" w:rsidRDefault="00055F5E" w:rsidP="00B45005">
      <w:r>
        <w:t xml:space="preserve">The possible instruments to manage identified risks may be applied after careful consideration of the particular species involved, diseases likely to be translocated, current industry activities unique to each jurisdiction and resources available. Priority should be given to addressing any large gaps clearly identifiable within </w:t>
      </w:r>
      <w:r w:rsidR="00504631">
        <w:t>jurisdictions</w:t>
      </w:r>
      <w:r>
        <w:t xml:space="preserve"> for high risk products as identified in the risk analysis. These instruments should take into account the ‘best practice’ approach that is least disruptive to industry. The options for implementation </w:t>
      </w:r>
      <w:r w:rsidR="002410B7">
        <w:t>include:</w:t>
      </w:r>
    </w:p>
    <w:p w:rsidR="00310FF8" w:rsidRPr="00FD2DCC" w:rsidRDefault="00055F5E" w:rsidP="00312898">
      <w:pPr>
        <w:pStyle w:val="Heading4"/>
      </w:pPr>
      <w:bookmarkStart w:id="33" w:name="_Toc419370653"/>
      <w:r w:rsidRPr="00FD2DCC">
        <w:t>State and territory legislation</w:t>
      </w:r>
      <w:bookmarkEnd w:id="33"/>
    </w:p>
    <w:p w:rsidR="00310FF8" w:rsidRDefault="002A65E6" w:rsidP="0008634A">
      <w:pPr>
        <w:pStyle w:val="ListParagraph"/>
      </w:pPr>
      <w:r>
        <w:t>D</w:t>
      </w:r>
      <w:r w:rsidR="00055F5E">
        <w:t>escriptions of current regulations are listed at Appendix 1</w:t>
      </w:r>
      <w:r w:rsidR="008D6491">
        <w:t>.</w:t>
      </w:r>
    </w:p>
    <w:p w:rsidR="00310FF8" w:rsidRDefault="008D6491" w:rsidP="0008634A">
      <w:pPr>
        <w:pStyle w:val="ListParagraph"/>
      </w:pPr>
      <w:r>
        <w:t xml:space="preserve">Regulations should be </w:t>
      </w:r>
      <w:r w:rsidR="00055F5E">
        <w:t>‘</w:t>
      </w:r>
      <w:r>
        <w:t>b</w:t>
      </w:r>
      <w:r w:rsidR="00055F5E">
        <w:t xml:space="preserve">est practice’ </w:t>
      </w:r>
      <w:r>
        <w:t>to</w:t>
      </w:r>
      <w:r w:rsidR="00055F5E">
        <w:t xml:space="preserve"> ensuring that policy principles are upheld around Australia. </w:t>
      </w:r>
    </w:p>
    <w:p w:rsidR="00310FF8" w:rsidRDefault="00366778" w:rsidP="0008634A">
      <w:pPr>
        <w:pStyle w:val="ListParagraph"/>
      </w:pPr>
      <w:r>
        <w:t>Consistent, s</w:t>
      </w:r>
      <w:r w:rsidR="00055F5E">
        <w:t xml:space="preserve">pecific controls </w:t>
      </w:r>
      <w:r w:rsidR="00E50C7B">
        <w:t>of bait and berley</w:t>
      </w:r>
      <w:r w:rsidR="008D6491">
        <w:t xml:space="preserve"> could be used</w:t>
      </w:r>
      <w:r w:rsidR="00E50C7B">
        <w:t xml:space="preserve"> for </w:t>
      </w:r>
      <w:r w:rsidR="00055F5E">
        <w:t xml:space="preserve">high risk aquatic </w:t>
      </w:r>
      <w:r w:rsidR="00E50C7B">
        <w:t xml:space="preserve">diseases </w:t>
      </w:r>
      <w:r w:rsidR="00055F5E">
        <w:t>(</w:t>
      </w:r>
      <w:r w:rsidR="008D6491">
        <w:t xml:space="preserve">e.g. </w:t>
      </w:r>
      <w:r w:rsidR="00055F5E">
        <w:t xml:space="preserve">abalone viscera for AVG and live freshwater fish </w:t>
      </w:r>
      <w:r w:rsidR="00537C83">
        <w:t xml:space="preserve">for </w:t>
      </w:r>
      <w:r w:rsidR="00055F5E">
        <w:t>EHNV).</w:t>
      </w:r>
    </w:p>
    <w:p w:rsidR="00310FF8" w:rsidRPr="00B45005" w:rsidRDefault="00055F5E" w:rsidP="00312898">
      <w:pPr>
        <w:pStyle w:val="Heading4"/>
      </w:pPr>
      <w:bookmarkStart w:id="34" w:name="_Toc419370654"/>
      <w:r w:rsidRPr="00FD2DCC">
        <w:t>License conditions</w:t>
      </w:r>
      <w:bookmarkEnd w:id="34"/>
    </w:p>
    <w:p w:rsidR="00310FF8" w:rsidRPr="0008634A" w:rsidRDefault="00055F5E" w:rsidP="0008634A">
      <w:pPr>
        <w:pStyle w:val="ListParagraph"/>
      </w:pPr>
      <w:r w:rsidRPr="0008634A">
        <w:t xml:space="preserve">Bait industry regulation or contact points could be obtained through licensing. Bait providers could be provided </w:t>
      </w:r>
      <w:r w:rsidR="00357001" w:rsidRPr="0008634A">
        <w:t xml:space="preserve">with </w:t>
      </w:r>
      <w:r w:rsidRPr="0008634A">
        <w:t>information about selling lower risk bait</w:t>
      </w:r>
      <w:r w:rsidR="00E348B5" w:rsidRPr="0008634A">
        <w:t>. Or this could be</w:t>
      </w:r>
      <w:r w:rsidRPr="0008634A">
        <w:t xml:space="preserve"> part of </w:t>
      </w:r>
      <w:r w:rsidR="002E2E2B" w:rsidRPr="0008634A">
        <w:t xml:space="preserve">bait </w:t>
      </w:r>
      <w:r w:rsidRPr="0008634A">
        <w:t>licence conditions.</w:t>
      </w:r>
    </w:p>
    <w:p w:rsidR="00310FF8" w:rsidRPr="0008634A" w:rsidRDefault="00357001" w:rsidP="0008634A">
      <w:pPr>
        <w:pStyle w:val="ListParagraph"/>
      </w:pPr>
      <w:r w:rsidRPr="0008634A">
        <w:t>A</w:t>
      </w:r>
      <w:r w:rsidR="00055F5E" w:rsidRPr="0008634A">
        <w:t xml:space="preserve">quaculture farms selling aquatic animals/ products as bait or berley </w:t>
      </w:r>
      <w:r w:rsidR="00AB0112" w:rsidRPr="0008634A">
        <w:t>could</w:t>
      </w:r>
      <w:r w:rsidR="00055F5E" w:rsidRPr="0008634A">
        <w:t xml:space="preserve"> be stipulated in permits for aquaculture (as done by Queensland)</w:t>
      </w:r>
    </w:p>
    <w:p w:rsidR="00310FF8" w:rsidRPr="0008634A" w:rsidRDefault="00503638" w:rsidP="0008634A">
      <w:pPr>
        <w:pStyle w:val="ListParagraph"/>
      </w:pPr>
      <w:r w:rsidRPr="0008634A">
        <w:t xml:space="preserve">Recreational </w:t>
      </w:r>
      <w:r w:rsidR="00055F5E" w:rsidRPr="0008634A">
        <w:t xml:space="preserve">fishing licences </w:t>
      </w:r>
      <w:r w:rsidRPr="0008634A">
        <w:t xml:space="preserve">could </w:t>
      </w:r>
      <w:r w:rsidR="00055F5E" w:rsidRPr="0008634A">
        <w:t>have information in the conditions of using bait and berley especially relating to live bait, whole fish and molluscs.</w:t>
      </w:r>
    </w:p>
    <w:p w:rsidR="00310FF8" w:rsidRPr="00FF034E" w:rsidRDefault="00055F5E" w:rsidP="00312898">
      <w:pPr>
        <w:pStyle w:val="Heading4"/>
        <w:rPr>
          <w:rFonts w:eastAsiaTheme="minorHAnsi"/>
        </w:rPr>
      </w:pPr>
      <w:bookmarkStart w:id="35" w:name="_Toc419370655"/>
      <w:r w:rsidRPr="00FF034E">
        <w:rPr>
          <w:rFonts w:eastAsiaTheme="minorHAnsi"/>
        </w:rPr>
        <w:t>Voluntary guidelines</w:t>
      </w:r>
      <w:bookmarkEnd w:id="35"/>
    </w:p>
    <w:p w:rsidR="00310FF8" w:rsidRDefault="00055F5E" w:rsidP="0008634A">
      <w:pPr>
        <w:pStyle w:val="ListParagraph"/>
      </w:pPr>
      <w:r>
        <w:t>Codes of practice/best practice for fishing industry members.</w:t>
      </w:r>
    </w:p>
    <w:p w:rsidR="00310FF8" w:rsidRDefault="00055F5E" w:rsidP="0008634A">
      <w:pPr>
        <w:pStyle w:val="ListParagraph"/>
      </w:pPr>
      <w:r>
        <w:t>Recreational fishing codes (through membership of national fishing bodies etc).</w:t>
      </w:r>
    </w:p>
    <w:p w:rsidR="00310FF8" w:rsidRDefault="00055F5E" w:rsidP="0008634A">
      <w:pPr>
        <w:pStyle w:val="ListParagraph"/>
      </w:pPr>
      <w:r>
        <w:t>Re-enforce at all fishing competitions.</w:t>
      </w:r>
    </w:p>
    <w:p w:rsidR="00310FF8" w:rsidRPr="00FD2DCC" w:rsidRDefault="00055F5E" w:rsidP="00312898">
      <w:pPr>
        <w:pStyle w:val="Heading4"/>
      </w:pPr>
      <w:bookmarkStart w:id="36" w:name="_Toc419370656"/>
      <w:r w:rsidRPr="00FD2DCC">
        <w:t>Education</w:t>
      </w:r>
      <w:bookmarkEnd w:id="36"/>
    </w:p>
    <w:p w:rsidR="00310FF8" w:rsidRDefault="00055F5E" w:rsidP="0008634A">
      <w:pPr>
        <w:pStyle w:val="ListParagraph"/>
      </w:pPr>
      <w:r>
        <w:t>Public awareness, education in schools,</w:t>
      </w:r>
      <w:r w:rsidR="00B001DA">
        <w:t xml:space="preserve"> information</w:t>
      </w:r>
      <w:r>
        <w:t xml:space="preserve"> on bait packaging, live bait tanks, cast nets, fishing tackle stores (particularly if not licensed) etc.</w:t>
      </w:r>
    </w:p>
    <w:p w:rsidR="00310FF8" w:rsidRDefault="00055F5E" w:rsidP="0008634A">
      <w:pPr>
        <w:pStyle w:val="ListParagraph"/>
      </w:pPr>
      <w:r>
        <w:t xml:space="preserve">Program to be headed </w:t>
      </w:r>
      <w:r w:rsidR="008B6518">
        <w:t xml:space="preserve">or </w:t>
      </w:r>
      <w:r>
        <w:t>led by a national body</w:t>
      </w:r>
      <w:r w:rsidR="00AB0112">
        <w:t xml:space="preserve"> (e</w:t>
      </w:r>
      <w:r w:rsidR="00751F7A">
        <w:t>.</w:t>
      </w:r>
      <w:r w:rsidR="00AB0112">
        <w:t>g</w:t>
      </w:r>
      <w:r w:rsidR="00751F7A">
        <w:t>.</w:t>
      </w:r>
      <w:r w:rsidR="00AB0112">
        <w:t xml:space="preserve"> </w:t>
      </w:r>
      <w:r w:rsidR="0002726F" w:rsidRPr="0002726F">
        <w:t>Recfish Australia</w:t>
      </w:r>
      <w:r w:rsidR="00AB0112">
        <w:t>)</w:t>
      </w:r>
      <w:r>
        <w:t xml:space="preserve">/agency </w:t>
      </w:r>
      <w:r w:rsidR="00AB0112">
        <w:t xml:space="preserve">or the </w:t>
      </w:r>
      <w:r>
        <w:t>Australian government (Department of Agriculture) and developed and implemented in states and territories with information specific to risks of each jurisdiction. This could involve a poster campaign to be displayed in tackle and bait shops and on jetties and wharves.</w:t>
      </w:r>
    </w:p>
    <w:p w:rsidR="00310FF8" w:rsidRPr="003861DD" w:rsidRDefault="00055F5E" w:rsidP="00312898">
      <w:pPr>
        <w:pStyle w:val="Heading4"/>
      </w:pPr>
      <w:bookmarkStart w:id="37" w:name="_Toc419370657"/>
      <w:r w:rsidRPr="003861DD">
        <w:t>Compliance</w:t>
      </w:r>
      <w:bookmarkEnd w:id="37"/>
    </w:p>
    <w:p w:rsidR="00310FF8" w:rsidRPr="0002726F" w:rsidRDefault="00055F5E" w:rsidP="0002726F">
      <w:pPr>
        <w:pStyle w:val="ListParagraph"/>
      </w:pPr>
      <w:r w:rsidRPr="0002726F">
        <w:t>Fishing inspectors.</w:t>
      </w:r>
    </w:p>
    <w:p w:rsidR="00310FF8" w:rsidRPr="0002726F" w:rsidRDefault="00055F5E" w:rsidP="0002726F">
      <w:pPr>
        <w:pStyle w:val="ListParagraph"/>
      </w:pPr>
      <w:r w:rsidRPr="0002726F">
        <w:t>Regulators of fishing bait and tackle retailer activities.</w:t>
      </w:r>
    </w:p>
    <w:p w:rsidR="00310FF8" w:rsidRPr="0002726F" w:rsidRDefault="00055F5E" w:rsidP="0002726F">
      <w:pPr>
        <w:pStyle w:val="ListParagraph"/>
      </w:pPr>
      <w:r w:rsidRPr="0002726F">
        <w:lastRenderedPageBreak/>
        <w:t>Imposed fines/penalties for breaches.</w:t>
      </w:r>
    </w:p>
    <w:p w:rsidR="00310FF8" w:rsidRPr="00FD2DCC" w:rsidRDefault="00055F5E" w:rsidP="00312898">
      <w:pPr>
        <w:pStyle w:val="Heading4"/>
      </w:pPr>
      <w:bookmarkStart w:id="38" w:name="_Toc419370658"/>
      <w:r w:rsidRPr="00FD2DCC">
        <w:t>Research activities</w:t>
      </w:r>
      <w:bookmarkEnd w:id="38"/>
    </w:p>
    <w:p w:rsidR="00310FF8" w:rsidRDefault="00055F5E" w:rsidP="0002726F">
      <w:pPr>
        <w:pStyle w:val="ListParagraph"/>
      </w:pPr>
      <w:r>
        <w:t>Support universities and research institutions to assess disease risks of existing and novel bait and berley products.</w:t>
      </w:r>
    </w:p>
    <w:p w:rsidR="00E30C01" w:rsidRDefault="00E30C01" w:rsidP="0002726F">
      <w:pPr>
        <w:pStyle w:val="ListParagraph"/>
      </w:pPr>
      <w:r>
        <w:t xml:space="preserve">Some of the proposed control options </w:t>
      </w:r>
      <w:r w:rsidR="00AF616A">
        <w:t>are not easily manageable. F</w:t>
      </w:r>
      <w:r>
        <w:t>urther research</w:t>
      </w:r>
      <w:r w:rsidR="00AF616A">
        <w:t xml:space="preserve"> to identify ways to manage these options could be considered</w:t>
      </w:r>
      <w:r w:rsidR="00BA0B4B">
        <w:t>.</w:t>
      </w:r>
    </w:p>
    <w:p w:rsidR="00310FF8" w:rsidRDefault="00055F5E" w:rsidP="00D3754A">
      <w:pPr>
        <w:pStyle w:val="Heading2"/>
      </w:pPr>
      <w:bookmarkStart w:id="39" w:name="_Toc419370659"/>
      <w:r>
        <w:lastRenderedPageBreak/>
        <w:t>Staged risk assessment and implementation example</w:t>
      </w:r>
      <w:bookmarkEnd w:id="39"/>
    </w:p>
    <w:p w:rsidR="00310FF8" w:rsidRPr="002A7745" w:rsidRDefault="002C0423" w:rsidP="002674EF">
      <w:pPr>
        <w:rPr>
          <w:i/>
        </w:rPr>
      </w:pPr>
      <w:r w:rsidRPr="002A7745">
        <w:rPr>
          <w:i/>
        </w:rPr>
        <w:t>(</w:t>
      </w:r>
      <w:r w:rsidR="00055F5E" w:rsidRPr="002A7745">
        <w:rPr>
          <w:i/>
        </w:rPr>
        <w:t>Use information provided in the Diggles risk assessment</w:t>
      </w:r>
      <w:r w:rsidR="003E1E28" w:rsidRPr="002A7745">
        <w:rPr>
          <w:i/>
        </w:rPr>
        <w:t xml:space="preserve"> (2011)</w:t>
      </w:r>
      <w:r w:rsidR="00055F5E" w:rsidRPr="002A7745">
        <w:rPr>
          <w:i/>
        </w:rPr>
        <w:t xml:space="preserve"> for guidance</w:t>
      </w:r>
      <w:r w:rsidRPr="002A7745">
        <w:rPr>
          <w:i/>
        </w:rPr>
        <w:t>)</w:t>
      </w:r>
      <w:r w:rsidR="00055F5E" w:rsidRPr="002A7745">
        <w:rPr>
          <w:i/>
        </w:rPr>
        <w:t>.</w:t>
      </w:r>
    </w:p>
    <w:p w:rsidR="00310FF8" w:rsidRPr="0008634A" w:rsidRDefault="00055F5E" w:rsidP="00B4399E">
      <w:pPr>
        <w:pStyle w:val="Listpara2"/>
        <w:spacing w:after="40"/>
      </w:pPr>
      <w:r w:rsidRPr="00BE0708">
        <w:rPr>
          <w:b/>
        </w:rPr>
        <w:t>Provide a rationale</w:t>
      </w:r>
      <w:r w:rsidR="00AA1FA4" w:rsidRPr="0008634A">
        <w:t xml:space="preserve"> for why a policy has been developed to manage the translocation of domestic bait and berley. This can be a </w:t>
      </w:r>
      <w:r w:rsidRPr="0008634A">
        <w:t>short paragraph or two</w:t>
      </w:r>
      <w:r w:rsidR="00AA1FA4" w:rsidRPr="0008634A">
        <w:t>. For example, p</w:t>
      </w:r>
      <w:r w:rsidRPr="0008634A">
        <w:t xml:space="preserve">athogens can be moved with live bait in particular, but also unprocessed material. The introduction of new pathogens into a naïve population puts the whole fishery and ecology of an area </w:t>
      </w:r>
      <w:r w:rsidR="004A757D" w:rsidRPr="0008634A">
        <w:t xml:space="preserve">at risk </w:t>
      </w:r>
      <w:r w:rsidRPr="0008634A">
        <w:t>with potentially significant social and economic effects. Measures to minimise the risk of moving pathogens with bait and berley are necessary.</w:t>
      </w:r>
    </w:p>
    <w:p w:rsidR="00310FF8" w:rsidRPr="0008634A" w:rsidRDefault="00055F5E" w:rsidP="00B4399E">
      <w:pPr>
        <w:pStyle w:val="Listpara2"/>
        <w:spacing w:after="40"/>
      </w:pPr>
      <w:r w:rsidRPr="00BE0708">
        <w:rPr>
          <w:b/>
        </w:rPr>
        <w:t xml:space="preserve">What existing information is </w:t>
      </w:r>
      <w:r w:rsidR="00AD2BD6" w:rsidRPr="00BE0708">
        <w:rPr>
          <w:b/>
        </w:rPr>
        <w:t>available</w:t>
      </w:r>
      <w:r w:rsidRPr="00BE0708">
        <w:rPr>
          <w:b/>
        </w:rPr>
        <w:t>?</w:t>
      </w:r>
      <w:r w:rsidRPr="0008634A">
        <w:t xml:space="preserve"> </w:t>
      </w:r>
      <w:r w:rsidR="00AD2BD6" w:rsidRPr="0008634A">
        <w:t>This includes r</w:t>
      </w:r>
      <w:r w:rsidRPr="0008634A">
        <w:t>isk assessments for bait, aquaculture policy, response plans for specific diseases</w:t>
      </w:r>
      <w:r w:rsidR="007719B4" w:rsidRPr="0008634A">
        <w:t xml:space="preserve"> and</w:t>
      </w:r>
      <w:r w:rsidRPr="0008634A">
        <w:t xml:space="preserve"> the </w:t>
      </w:r>
      <w:proofErr w:type="spellStart"/>
      <w:r w:rsidRPr="0008634A">
        <w:t>Diggles</w:t>
      </w:r>
      <w:proofErr w:type="spellEnd"/>
      <w:r w:rsidR="009E504C" w:rsidRPr="0008634A">
        <w:t xml:space="preserve"> (2011)</w:t>
      </w:r>
      <w:r w:rsidRPr="0008634A">
        <w:t xml:space="preserve"> report. </w:t>
      </w:r>
      <w:r w:rsidR="007719B4" w:rsidRPr="0008634A">
        <w:t xml:space="preserve">Jurisdictions will need </w:t>
      </w:r>
      <w:r w:rsidRPr="0008634A">
        <w:t>to be consistent with existing policies and legislation</w:t>
      </w:r>
      <w:r w:rsidR="00B75C01" w:rsidRPr="0008634A">
        <w:t xml:space="preserve"> relevant to their own circumstances</w:t>
      </w:r>
      <w:r w:rsidRPr="0008634A">
        <w:t>.</w:t>
      </w:r>
      <w:r w:rsidR="00B75C01" w:rsidRPr="0008634A">
        <w:t xml:space="preserve"> A list of references is provided at the end of these guidelines.</w:t>
      </w:r>
    </w:p>
    <w:p w:rsidR="00310FF8" w:rsidRPr="0008634A" w:rsidRDefault="00055F5E" w:rsidP="00B4399E">
      <w:pPr>
        <w:pStyle w:val="Listpara2"/>
        <w:spacing w:after="40"/>
      </w:pPr>
      <w:r w:rsidRPr="00BE0708">
        <w:rPr>
          <w:b/>
        </w:rPr>
        <w:t xml:space="preserve">Consider bait use </w:t>
      </w:r>
      <w:r w:rsidR="00495B49" w:rsidRPr="00BE0708">
        <w:rPr>
          <w:b/>
        </w:rPr>
        <w:t xml:space="preserve">and </w:t>
      </w:r>
      <w:r w:rsidRPr="00BE0708">
        <w:rPr>
          <w:b/>
        </w:rPr>
        <w:t>proposed bait use patterns</w:t>
      </w:r>
      <w:r w:rsidR="00495B49" w:rsidRPr="00BE0708">
        <w:rPr>
          <w:b/>
        </w:rPr>
        <w:t>.</w:t>
      </w:r>
      <w:r w:rsidR="00B75C01" w:rsidRPr="0008634A">
        <w:t xml:space="preserve"> Information will need to be gathered about </w:t>
      </w:r>
      <w:r w:rsidR="00A31EC3" w:rsidRPr="0008634A">
        <w:t xml:space="preserve">bait </w:t>
      </w:r>
      <w:r w:rsidR="00B75C01" w:rsidRPr="00BE0708">
        <w:t>products</w:t>
      </w:r>
      <w:r w:rsidR="00B75C01" w:rsidRPr="0008634A">
        <w:t xml:space="preserve"> and patter</w:t>
      </w:r>
      <w:r w:rsidR="00A31EC3" w:rsidRPr="0008634A">
        <w:t>n</w:t>
      </w:r>
      <w:r w:rsidR="00B75C01" w:rsidRPr="0008634A">
        <w:t>s of use for each jurisdiction</w:t>
      </w:r>
      <w:r w:rsidR="00A31EC3" w:rsidRPr="0008634A">
        <w:t xml:space="preserve"> to facilitate a risk assessment and implementation</w:t>
      </w:r>
      <w:r w:rsidR="00B75C01" w:rsidRPr="0008634A">
        <w:t xml:space="preserve">. </w:t>
      </w:r>
      <w:r w:rsidR="00A31EC3" w:rsidRPr="0008634A">
        <w:t>This information may be available from published sources, state authorities or local fishing organisations.</w:t>
      </w:r>
    </w:p>
    <w:p w:rsidR="00AB0112" w:rsidRPr="0008634A" w:rsidRDefault="00055F5E" w:rsidP="00B4399E">
      <w:pPr>
        <w:pStyle w:val="Listpara2"/>
        <w:spacing w:after="40"/>
      </w:pPr>
      <w:r w:rsidRPr="00BE0708">
        <w:rPr>
          <w:b/>
        </w:rPr>
        <w:t>Qualitative Risk assessment</w:t>
      </w:r>
      <w:r w:rsidR="002A7745" w:rsidRPr="00BE0708">
        <w:rPr>
          <w:b/>
        </w:rPr>
        <w:t>.</w:t>
      </w:r>
      <w:r w:rsidR="002A7745" w:rsidRPr="0008634A">
        <w:t xml:space="preserve"> </w:t>
      </w:r>
      <w:r w:rsidR="00A31EC3" w:rsidRPr="0008634A">
        <w:t>Direction on how to undertake a qualitative risk assessment is provided in</w:t>
      </w:r>
      <w:r w:rsidR="00AB0112" w:rsidRPr="0008634A">
        <w:t xml:space="preserve"> Section 3 in this document</w:t>
      </w:r>
      <w:r w:rsidR="00A31EC3" w:rsidRPr="0008634A">
        <w:t>.</w:t>
      </w:r>
    </w:p>
    <w:p w:rsidR="00310FF8" w:rsidRPr="0008634A" w:rsidRDefault="00055F5E" w:rsidP="00B4399E">
      <w:pPr>
        <w:pStyle w:val="Listpara2"/>
        <w:spacing w:after="40"/>
      </w:pPr>
      <w:r w:rsidRPr="00BE0708">
        <w:rPr>
          <w:b/>
        </w:rPr>
        <w:t xml:space="preserve">Consider </w:t>
      </w:r>
      <w:r w:rsidR="000C5138" w:rsidRPr="00BE0708">
        <w:rPr>
          <w:b/>
        </w:rPr>
        <w:t>if</w:t>
      </w:r>
      <w:r w:rsidRPr="00BE0708">
        <w:rPr>
          <w:b/>
        </w:rPr>
        <w:t xml:space="preserve"> current controls</w:t>
      </w:r>
      <w:r w:rsidR="000C5138" w:rsidRPr="00BE0708">
        <w:rPr>
          <w:b/>
        </w:rPr>
        <w:t xml:space="preserve"> are adequate to manage risk</w:t>
      </w:r>
      <w:r w:rsidRPr="00BE0708">
        <w:rPr>
          <w:b/>
        </w:rPr>
        <w:t>.</w:t>
      </w:r>
      <w:r w:rsidRPr="0008634A">
        <w:t xml:space="preserve"> </w:t>
      </w:r>
      <w:r w:rsidR="00A31EC3" w:rsidRPr="0008634A">
        <w:t>Current controls that impact upon domestic bait translocation may be found in a range of legislation and may not appear directly related to the movement of bait per se but can nonetheless be used to manage risk. For example legislation directed at environmental control</w:t>
      </w:r>
      <w:r w:rsidR="007F155D" w:rsidRPr="0008634A">
        <w:t xml:space="preserve"> may also be used in the management of bait movement. In Victoria the use of live carp for bait is prohibited for reasons of noxious species control under fisheries legislation. This provision can clearly be also used for bait translocation control</w:t>
      </w:r>
      <w:r w:rsidRPr="0008634A">
        <w:t>.</w:t>
      </w:r>
      <w:r w:rsidR="007F155D" w:rsidRPr="0008634A">
        <w:t xml:space="preserve"> A sound knowledge of </w:t>
      </w:r>
      <w:r w:rsidR="00153257" w:rsidRPr="0008634A">
        <w:t xml:space="preserve">the full suite </w:t>
      </w:r>
      <w:r w:rsidR="007F155D" w:rsidRPr="0008634A">
        <w:t>of current controls</w:t>
      </w:r>
      <w:r w:rsidR="00153257" w:rsidRPr="0008634A">
        <w:t xml:space="preserve"> existing in each jurisdiction will assist greatly with this process.</w:t>
      </w:r>
    </w:p>
    <w:p w:rsidR="00310FF8" w:rsidRPr="0008634A" w:rsidRDefault="00055F5E" w:rsidP="00B4399E">
      <w:pPr>
        <w:pStyle w:val="Listpara2"/>
        <w:spacing w:after="40"/>
      </w:pPr>
      <w:r w:rsidRPr="00BE0708">
        <w:rPr>
          <w:b/>
        </w:rPr>
        <w:t>Evaluate possible control measures</w:t>
      </w:r>
      <w:r w:rsidR="00153257" w:rsidRPr="00BE0708">
        <w:rPr>
          <w:b/>
        </w:rPr>
        <w:t>.</w:t>
      </w:r>
      <w:r w:rsidRPr="0008634A">
        <w:t xml:space="preserve"> </w:t>
      </w:r>
      <w:r w:rsidR="00153257" w:rsidRPr="0008634A">
        <w:t>The possible ins</w:t>
      </w:r>
      <w:r w:rsidR="008912F0" w:rsidRPr="0008634A">
        <w:t>truments to be used are outlined</w:t>
      </w:r>
      <w:r w:rsidR="00153257" w:rsidRPr="0008634A">
        <w:t xml:space="preserve"> in section 5. When considering these instruments in an individual jurisdiction the following should be contemplated: would the measures be effective; are the measures feasible to implement and are they practical.</w:t>
      </w:r>
    </w:p>
    <w:p w:rsidR="00310FF8" w:rsidRPr="0008634A" w:rsidRDefault="00055F5E" w:rsidP="00B4399E">
      <w:pPr>
        <w:pStyle w:val="Listpara2"/>
        <w:spacing w:after="40"/>
      </w:pPr>
      <w:r w:rsidRPr="00BE0708">
        <w:rPr>
          <w:b/>
        </w:rPr>
        <w:t>Aim for the lowest possible impact</w:t>
      </w:r>
      <w:r w:rsidR="00B45153" w:rsidRPr="00BE0708">
        <w:rPr>
          <w:b/>
        </w:rPr>
        <w:t xml:space="preserve"> on industry (bait and</w:t>
      </w:r>
      <w:r w:rsidR="00F54077" w:rsidRPr="00BE0708">
        <w:rPr>
          <w:b/>
        </w:rPr>
        <w:t xml:space="preserve"> fishing)</w:t>
      </w:r>
      <w:r w:rsidR="00153257" w:rsidRPr="00BE0708">
        <w:rPr>
          <w:b/>
        </w:rPr>
        <w:t>.</w:t>
      </w:r>
      <w:r w:rsidR="00153257" w:rsidRPr="0008634A">
        <w:t xml:space="preserve"> Any proposed control should be created with consideration of</w:t>
      </w:r>
      <w:r w:rsidRPr="0008634A">
        <w:t xml:space="preserve"> impacts on trade, socio-economic impacts, </w:t>
      </w:r>
      <w:r w:rsidR="00153257" w:rsidRPr="0008634A">
        <w:t xml:space="preserve">and any potential </w:t>
      </w:r>
      <w:r w:rsidRPr="0008634A">
        <w:t xml:space="preserve">economic impacts. </w:t>
      </w:r>
      <w:r w:rsidR="00153257" w:rsidRPr="0008634A">
        <w:t>However the controls</w:t>
      </w:r>
      <w:r w:rsidRPr="0008634A">
        <w:t xml:space="preserve"> need to be practical and of value to manage</w:t>
      </w:r>
      <w:r w:rsidR="002B5D5E" w:rsidRPr="0008634A">
        <w:t xml:space="preserve"> any potential identified</w:t>
      </w:r>
      <w:r w:rsidRPr="0008634A">
        <w:t xml:space="preserve"> risks.</w:t>
      </w:r>
    </w:p>
    <w:p w:rsidR="00310FF8" w:rsidRPr="0008634A" w:rsidRDefault="00055F5E" w:rsidP="00B4399E">
      <w:pPr>
        <w:pStyle w:val="Listpara2"/>
        <w:spacing w:after="40"/>
      </w:pPr>
      <w:r w:rsidRPr="00BE0708">
        <w:rPr>
          <w:b/>
        </w:rPr>
        <w:t>Summary statement</w:t>
      </w:r>
      <w:r w:rsidR="002B5D5E" w:rsidRPr="00BE0708">
        <w:rPr>
          <w:b/>
        </w:rPr>
        <w:t>.</w:t>
      </w:r>
      <w:r w:rsidR="002B5D5E" w:rsidRPr="0008634A">
        <w:t xml:space="preserve"> A summary statement </w:t>
      </w:r>
      <w:r w:rsidRPr="0008634A">
        <w:t>of the policy and conditions to be met, practices that are not permitted</w:t>
      </w:r>
      <w:r w:rsidR="002B5D5E" w:rsidRPr="0008634A">
        <w:t xml:space="preserve"> and </w:t>
      </w:r>
      <w:r w:rsidRPr="0008634A">
        <w:t>conditions of sale</w:t>
      </w:r>
      <w:r w:rsidR="002B5D5E" w:rsidRPr="0008634A">
        <w:t xml:space="preserve"> should be created</w:t>
      </w:r>
      <w:r w:rsidRPr="0008634A">
        <w:t>.</w:t>
      </w:r>
      <w:r w:rsidR="002B5D5E" w:rsidRPr="0008634A">
        <w:t xml:space="preserve"> This should be clear and succinct.</w:t>
      </w:r>
    </w:p>
    <w:p w:rsidR="005A41EA" w:rsidRDefault="00055F5E" w:rsidP="00B4399E">
      <w:pPr>
        <w:pStyle w:val="Listpara2"/>
        <w:spacing w:after="40"/>
        <w:sectPr w:rsidR="005A41EA" w:rsidSect="00D3754A">
          <w:pgSz w:w="11906" w:h="16838"/>
          <w:pgMar w:top="1440" w:right="1440" w:bottom="1440" w:left="1440" w:header="708" w:footer="708" w:gutter="0"/>
          <w:pgNumType w:start="1"/>
          <w:cols w:space="708"/>
          <w:docGrid w:linePitch="360"/>
        </w:sectPr>
      </w:pPr>
      <w:r w:rsidRPr="00BE0708">
        <w:rPr>
          <w:b/>
        </w:rPr>
        <w:t>Education program</w:t>
      </w:r>
      <w:r w:rsidR="002B5D5E" w:rsidRPr="00BE0708">
        <w:rPr>
          <w:b/>
        </w:rPr>
        <w:t>.</w:t>
      </w:r>
      <w:r w:rsidR="002B5D5E" w:rsidRPr="0008634A">
        <w:t xml:space="preserve"> An education program</w:t>
      </w:r>
      <w:r w:rsidRPr="0008634A">
        <w:t xml:space="preserve"> </w:t>
      </w:r>
      <w:r w:rsidR="002F3073" w:rsidRPr="0008634A">
        <w:t xml:space="preserve">that outlines the risks </w:t>
      </w:r>
      <w:r w:rsidR="00E418DF" w:rsidRPr="0008634A">
        <w:t xml:space="preserve">involved with transfer of disease (and pests) via </w:t>
      </w:r>
      <w:r w:rsidR="002B5D5E" w:rsidRPr="0008634A">
        <w:t xml:space="preserve">the </w:t>
      </w:r>
      <w:r w:rsidR="00E418DF" w:rsidRPr="0008634A">
        <w:t>translocation of bait</w:t>
      </w:r>
      <w:r w:rsidR="002B5D5E" w:rsidRPr="0008634A">
        <w:t xml:space="preserve"> should be developed</w:t>
      </w:r>
      <w:r w:rsidR="00E418DF" w:rsidRPr="0008634A">
        <w:t>.</w:t>
      </w:r>
      <w:r w:rsidR="002B5D5E" w:rsidRPr="0008634A">
        <w:t xml:space="preserve"> This is aimed at e</w:t>
      </w:r>
      <w:r w:rsidR="00E418DF" w:rsidRPr="0008634A">
        <w:t>ncourag</w:t>
      </w:r>
      <w:r w:rsidR="002B5D5E" w:rsidRPr="0008634A">
        <w:t>ing</w:t>
      </w:r>
      <w:r w:rsidR="00E418DF" w:rsidRPr="0008634A">
        <w:t xml:space="preserve"> the community not to use </w:t>
      </w:r>
      <w:r w:rsidR="002B5D5E" w:rsidRPr="0008634A">
        <w:t>high</w:t>
      </w:r>
      <w:r w:rsidR="00E418DF" w:rsidRPr="0008634A">
        <w:t xml:space="preserve"> risk seafood </w:t>
      </w:r>
      <w:r w:rsidR="002B5D5E" w:rsidRPr="0008634A">
        <w:t xml:space="preserve">commodities </w:t>
      </w:r>
      <w:r w:rsidR="00E418DF" w:rsidRPr="0008634A">
        <w:t xml:space="preserve">as bait or berley. </w:t>
      </w:r>
      <w:r w:rsidR="002F3073" w:rsidRPr="0008634A">
        <w:t>This will help</w:t>
      </w:r>
      <w:r w:rsidRPr="0008634A">
        <w:t xml:space="preserve"> ensure </w:t>
      </w:r>
      <w:r w:rsidR="002F3073" w:rsidRPr="0008634A">
        <w:t xml:space="preserve">the </w:t>
      </w:r>
      <w:r w:rsidRPr="0008634A">
        <w:t xml:space="preserve">bait industry and fishers </w:t>
      </w:r>
      <w:r w:rsidR="002F3073" w:rsidRPr="0008634A">
        <w:t xml:space="preserve">are aware of </w:t>
      </w:r>
      <w:r w:rsidR="002B5D5E" w:rsidRPr="0008634A">
        <w:t xml:space="preserve">any </w:t>
      </w:r>
      <w:r w:rsidRPr="0008634A">
        <w:t>changes and the benefits</w:t>
      </w:r>
      <w:r w:rsidR="002B5D5E" w:rsidRPr="0008634A">
        <w:t xml:space="preserve"> of</w:t>
      </w:r>
      <w:r w:rsidRPr="0008634A">
        <w:t xml:space="preserve"> safeguarding </w:t>
      </w:r>
      <w:r w:rsidR="002F3073" w:rsidRPr="0008634A">
        <w:t>aquatic</w:t>
      </w:r>
      <w:r w:rsidRPr="0008634A">
        <w:t xml:space="preserve"> resources for all to use sustainably.</w:t>
      </w:r>
    </w:p>
    <w:p w:rsidR="00312898" w:rsidRDefault="00055F5E" w:rsidP="00D3754A">
      <w:pPr>
        <w:pStyle w:val="Heading2"/>
      </w:pPr>
      <w:bookmarkStart w:id="40" w:name="_Toc419370660"/>
      <w:r>
        <w:lastRenderedPageBreak/>
        <w:t xml:space="preserve">Appendix 1: </w:t>
      </w:r>
      <w:r w:rsidR="00E30C01" w:rsidRPr="006565CE">
        <w:t>J</w:t>
      </w:r>
      <w:r w:rsidR="004E7F1D" w:rsidRPr="006565CE">
        <w:t>urisdictional</w:t>
      </w:r>
      <w:r w:rsidR="004E7F1D">
        <w:t xml:space="preserve"> policy</w:t>
      </w:r>
      <w:r>
        <w:t xml:space="preserve"> on the use of domestic bait and berley</w:t>
      </w:r>
      <w:bookmarkEnd w:id="40"/>
    </w:p>
    <w:p w:rsidR="006565CE" w:rsidRPr="00A309F4" w:rsidRDefault="006565CE" w:rsidP="00312898">
      <w:pPr>
        <w:pStyle w:val="Caption"/>
      </w:pPr>
      <w:r w:rsidRPr="00A309F4">
        <w:t xml:space="preserve">Table </w:t>
      </w:r>
      <w:fldSimple w:instr=" SEQ Table \* ARABIC ">
        <w:r w:rsidR="00B55546">
          <w:rPr>
            <w:noProof/>
          </w:rPr>
          <w:t>6</w:t>
        </w:r>
      </w:fldSimple>
      <w:r w:rsidRPr="00A309F4">
        <w:t>: Jurisdictional policy on the use of domestic bait and berley (December 2014)</w:t>
      </w:r>
    </w:p>
    <w:tbl>
      <w:tblPr>
        <w:tblStyle w:val="TableGrid"/>
        <w:tblW w:w="0" w:type="auto"/>
        <w:tblLook w:val="04A0"/>
      </w:tblPr>
      <w:tblGrid>
        <w:gridCol w:w="678"/>
        <w:gridCol w:w="5385"/>
        <w:gridCol w:w="3179"/>
      </w:tblGrid>
      <w:tr w:rsidR="00586749" w:rsidRPr="00885464" w:rsidTr="00BA0B4B">
        <w:trPr>
          <w:cantSplit/>
          <w:tblHeader/>
        </w:trPr>
        <w:tc>
          <w:tcPr>
            <w:tcW w:w="675" w:type="dxa"/>
            <w:shd w:val="clear" w:color="auto" w:fill="BFBFBF" w:themeFill="background1" w:themeFillShade="BF"/>
          </w:tcPr>
          <w:p w:rsidR="00586749" w:rsidRPr="00885464" w:rsidRDefault="00586749" w:rsidP="00B45005">
            <w:pPr>
              <w:rPr>
                <w:b/>
                <w:sz w:val="20"/>
                <w:szCs w:val="20"/>
              </w:rPr>
            </w:pPr>
            <w:r w:rsidRPr="00885464">
              <w:rPr>
                <w:b/>
                <w:sz w:val="20"/>
                <w:szCs w:val="20"/>
              </w:rPr>
              <w:t>State</w:t>
            </w:r>
          </w:p>
        </w:tc>
        <w:tc>
          <w:tcPr>
            <w:tcW w:w="5387" w:type="dxa"/>
            <w:shd w:val="clear" w:color="auto" w:fill="BFBFBF" w:themeFill="background1" w:themeFillShade="BF"/>
          </w:tcPr>
          <w:p w:rsidR="00586749" w:rsidRPr="00885464" w:rsidRDefault="00586749" w:rsidP="00236CA0">
            <w:pPr>
              <w:spacing w:after="120"/>
              <w:rPr>
                <w:b/>
                <w:sz w:val="20"/>
                <w:szCs w:val="20"/>
              </w:rPr>
            </w:pPr>
            <w:r w:rsidRPr="00885464">
              <w:rPr>
                <w:b/>
                <w:sz w:val="20"/>
                <w:szCs w:val="20"/>
              </w:rPr>
              <w:t>Regulations</w:t>
            </w:r>
          </w:p>
        </w:tc>
        <w:tc>
          <w:tcPr>
            <w:tcW w:w="3180" w:type="dxa"/>
            <w:shd w:val="clear" w:color="auto" w:fill="BFBFBF" w:themeFill="background1" w:themeFillShade="BF"/>
          </w:tcPr>
          <w:p w:rsidR="00586749" w:rsidRPr="00885464" w:rsidRDefault="00586749" w:rsidP="00B45005">
            <w:pPr>
              <w:rPr>
                <w:b/>
                <w:sz w:val="20"/>
                <w:szCs w:val="20"/>
              </w:rPr>
            </w:pPr>
            <w:r w:rsidRPr="00885464">
              <w:rPr>
                <w:b/>
                <w:sz w:val="20"/>
                <w:szCs w:val="20"/>
              </w:rPr>
              <w:t>Summary</w:t>
            </w:r>
          </w:p>
        </w:tc>
      </w:tr>
      <w:tr w:rsidR="00586749" w:rsidRPr="00885464" w:rsidTr="00BA0B4B">
        <w:trPr>
          <w:cantSplit/>
        </w:trPr>
        <w:tc>
          <w:tcPr>
            <w:tcW w:w="675" w:type="dxa"/>
          </w:tcPr>
          <w:p w:rsidR="00586749" w:rsidRPr="002D3636" w:rsidRDefault="00586749" w:rsidP="00B45005">
            <w:pPr>
              <w:rPr>
                <w:b/>
                <w:sz w:val="20"/>
                <w:szCs w:val="20"/>
              </w:rPr>
            </w:pPr>
            <w:r w:rsidRPr="002D3636">
              <w:rPr>
                <w:b/>
                <w:sz w:val="20"/>
                <w:szCs w:val="20"/>
              </w:rPr>
              <w:t>NSW</w:t>
            </w:r>
          </w:p>
        </w:tc>
        <w:tc>
          <w:tcPr>
            <w:tcW w:w="5387" w:type="dxa"/>
          </w:tcPr>
          <w:p w:rsidR="00586749" w:rsidRPr="00885464" w:rsidRDefault="00586749" w:rsidP="00885464">
            <w:pPr>
              <w:pStyle w:val="Tablelistpara"/>
            </w:pPr>
            <w:r w:rsidRPr="00885464">
              <w:t xml:space="preserve">The Director-General of the Department of Industry and Investment pursuant to sections 8, 227 and 228 of the NSW </w:t>
            </w:r>
            <w:r w:rsidRPr="00885464">
              <w:rPr>
                <w:i/>
              </w:rPr>
              <w:t>Fisheries Management Act</w:t>
            </w:r>
            <w:r w:rsidRPr="00885464">
              <w:t xml:space="preserve"> </w:t>
            </w:r>
            <w:r w:rsidRPr="00885464">
              <w:rPr>
                <w:i/>
              </w:rPr>
              <w:t xml:space="preserve">1994 </w:t>
            </w:r>
            <w:r w:rsidRPr="00885464">
              <w:t>by notification prohibits the taking of all species of fish using abalone viscera as bait or berley, by all persons and in all waters.</w:t>
            </w:r>
          </w:p>
          <w:p w:rsidR="00586749" w:rsidRPr="00885464" w:rsidRDefault="00586749" w:rsidP="00945AB0">
            <w:pPr>
              <w:pStyle w:val="ListParagraph"/>
              <w:numPr>
                <w:ilvl w:val="0"/>
                <w:numId w:val="3"/>
              </w:numPr>
              <w:rPr>
                <w:sz w:val="20"/>
                <w:szCs w:val="20"/>
              </w:rPr>
            </w:pPr>
            <w:r w:rsidRPr="00885464">
              <w:rPr>
                <w:sz w:val="20"/>
                <w:szCs w:val="20"/>
              </w:rPr>
              <w:t xml:space="preserve">Pursuant to Section 216 of the </w:t>
            </w:r>
            <w:r w:rsidRPr="00885464">
              <w:rPr>
                <w:i/>
                <w:sz w:val="20"/>
                <w:szCs w:val="20"/>
              </w:rPr>
              <w:t xml:space="preserve">Fisheries Management Act 1994 </w:t>
            </w:r>
            <w:r w:rsidRPr="00885464">
              <w:rPr>
                <w:sz w:val="20"/>
                <w:szCs w:val="20"/>
              </w:rPr>
              <w:t>a person must not release into any waters any live fish except under the authority of a permit issued by the Minister or an aquaculture permit.</w:t>
            </w:r>
          </w:p>
          <w:p w:rsidR="00586749" w:rsidRPr="00885464" w:rsidRDefault="00586749" w:rsidP="00945AB0">
            <w:pPr>
              <w:pStyle w:val="ListParagraph"/>
              <w:numPr>
                <w:ilvl w:val="0"/>
                <w:numId w:val="3"/>
              </w:numPr>
              <w:rPr>
                <w:sz w:val="20"/>
                <w:szCs w:val="20"/>
              </w:rPr>
            </w:pPr>
            <w:r w:rsidRPr="00885464">
              <w:rPr>
                <w:sz w:val="20"/>
                <w:szCs w:val="20"/>
              </w:rPr>
              <w:t xml:space="preserve">Pursuant to Section </w:t>
            </w:r>
            <w:r w:rsidR="005745DA" w:rsidRPr="00885464">
              <w:rPr>
                <w:sz w:val="20"/>
                <w:szCs w:val="20"/>
              </w:rPr>
              <w:t>209D</w:t>
            </w:r>
            <w:r w:rsidRPr="00885464">
              <w:rPr>
                <w:sz w:val="20"/>
                <w:szCs w:val="20"/>
              </w:rPr>
              <w:t xml:space="preserve"> of the </w:t>
            </w:r>
            <w:r w:rsidRPr="00885464">
              <w:rPr>
                <w:i/>
                <w:sz w:val="20"/>
                <w:szCs w:val="20"/>
              </w:rPr>
              <w:t>Fisheries Management Act 1994</w:t>
            </w:r>
            <w:r w:rsidRPr="00885464">
              <w:rPr>
                <w:sz w:val="20"/>
                <w:szCs w:val="20"/>
              </w:rPr>
              <w:t xml:space="preserve"> a person must not release into any waters any live fish except under the authority of a permit issued by the Minister or an aquaculture permit.</w:t>
            </w:r>
          </w:p>
          <w:p w:rsidR="00586749" w:rsidRPr="00885464" w:rsidRDefault="00586749" w:rsidP="00945AB0">
            <w:pPr>
              <w:pStyle w:val="ListParagraph"/>
              <w:numPr>
                <w:ilvl w:val="0"/>
                <w:numId w:val="3"/>
              </w:numPr>
              <w:rPr>
                <w:sz w:val="20"/>
                <w:szCs w:val="20"/>
              </w:rPr>
            </w:pPr>
            <w:r w:rsidRPr="00885464">
              <w:rPr>
                <w:sz w:val="20"/>
                <w:szCs w:val="20"/>
              </w:rPr>
              <w:t xml:space="preserve">Pursuant to Section 90 subsection 2b of the </w:t>
            </w:r>
            <w:r w:rsidRPr="00885464">
              <w:rPr>
                <w:i/>
                <w:sz w:val="20"/>
                <w:szCs w:val="20"/>
              </w:rPr>
              <w:t>Fisheries Management Regulation 2010</w:t>
            </w:r>
            <w:r w:rsidRPr="00885464">
              <w:rPr>
                <w:sz w:val="20"/>
                <w:szCs w:val="20"/>
              </w:rPr>
              <w:t xml:space="preserve"> a person must not take any fish from inland waters with a lure or bait that is  any fish or any part of a fish not native to the waters of New South Wales (other than dead carp).</w:t>
            </w:r>
          </w:p>
          <w:p w:rsidR="00586749" w:rsidRPr="00885464" w:rsidRDefault="00586749" w:rsidP="00945AB0">
            <w:pPr>
              <w:pStyle w:val="ListParagraph"/>
              <w:numPr>
                <w:ilvl w:val="0"/>
                <w:numId w:val="3"/>
              </w:numPr>
              <w:rPr>
                <w:sz w:val="20"/>
                <w:szCs w:val="20"/>
              </w:rPr>
            </w:pPr>
            <w:r w:rsidRPr="00885464">
              <w:rPr>
                <w:sz w:val="20"/>
                <w:szCs w:val="20"/>
              </w:rPr>
              <w:t xml:space="preserve">Pursuant to Section 90 subsection 3 of the </w:t>
            </w:r>
            <w:r w:rsidRPr="00885464">
              <w:rPr>
                <w:i/>
                <w:sz w:val="20"/>
                <w:szCs w:val="20"/>
              </w:rPr>
              <w:t>Fisheries Management Regulation 2010</w:t>
            </w:r>
            <w:r w:rsidRPr="00885464">
              <w:rPr>
                <w:sz w:val="20"/>
                <w:szCs w:val="20"/>
              </w:rPr>
              <w:t xml:space="preserve"> a person must not take Atlantic salmon or trout with any lure or bait other than natural flies or insects, or their larvae, or worms, shrimps, yabbies or mussels, or artificial lures or baits, or plant matter.</w:t>
            </w:r>
          </w:p>
        </w:tc>
        <w:tc>
          <w:tcPr>
            <w:tcW w:w="3180" w:type="dxa"/>
          </w:tcPr>
          <w:p w:rsidR="00586749" w:rsidRPr="00885464" w:rsidRDefault="00586749" w:rsidP="00945AB0">
            <w:pPr>
              <w:pStyle w:val="ListParagraph"/>
              <w:numPr>
                <w:ilvl w:val="0"/>
                <w:numId w:val="3"/>
              </w:numPr>
              <w:rPr>
                <w:sz w:val="20"/>
                <w:szCs w:val="20"/>
              </w:rPr>
            </w:pPr>
            <w:r w:rsidRPr="00885464">
              <w:rPr>
                <w:sz w:val="20"/>
                <w:szCs w:val="20"/>
              </w:rPr>
              <w:t>Ban on use of abalone viscera as bait</w:t>
            </w:r>
            <w:r w:rsidR="00335E1B" w:rsidRPr="00885464">
              <w:rPr>
                <w:sz w:val="20"/>
                <w:szCs w:val="20"/>
              </w:rPr>
              <w:t>.</w:t>
            </w:r>
          </w:p>
          <w:p w:rsidR="00586749" w:rsidRPr="00885464" w:rsidRDefault="00586749" w:rsidP="00945AB0">
            <w:pPr>
              <w:pStyle w:val="ListParagraph"/>
              <w:numPr>
                <w:ilvl w:val="0"/>
                <w:numId w:val="3"/>
              </w:numPr>
              <w:rPr>
                <w:sz w:val="20"/>
                <w:szCs w:val="20"/>
              </w:rPr>
            </w:pPr>
            <w:r w:rsidRPr="00885464">
              <w:rPr>
                <w:sz w:val="20"/>
                <w:szCs w:val="20"/>
              </w:rPr>
              <w:t>Restriction on using live fish as bait in inland waters</w:t>
            </w:r>
            <w:r w:rsidR="00335E1B" w:rsidRPr="00885464">
              <w:rPr>
                <w:sz w:val="20"/>
                <w:szCs w:val="20"/>
              </w:rPr>
              <w:t>.</w:t>
            </w:r>
          </w:p>
          <w:p w:rsidR="00586749" w:rsidRPr="00885464" w:rsidRDefault="00586749" w:rsidP="00945AB0">
            <w:pPr>
              <w:pStyle w:val="ListParagraph"/>
              <w:numPr>
                <w:ilvl w:val="0"/>
                <w:numId w:val="3"/>
              </w:numPr>
              <w:rPr>
                <w:sz w:val="20"/>
                <w:szCs w:val="20"/>
              </w:rPr>
            </w:pPr>
            <w:r w:rsidRPr="00885464">
              <w:rPr>
                <w:sz w:val="20"/>
                <w:szCs w:val="20"/>
              </w:rPr>
              <w:t xml:space="preserve">Restriction on using non-native fish </w:t>
            </w:r>
            <w:r w:rsidR="005745DA" w:rsidRPr="00885464">
              <w:rPr>
                <w:sz w:val="20"/>
                <w:szCs w:val="20"/>
              </w:rPr>
              <w:t xml:space="preserve">(or parts of fish) </w:t>
            </w:r>
            <w:r w:rsidRPr="00885464">
              <w:rPr>
                <w:sz w:val="20"/>
                <w:szCs w:val="20"/>
              </w:rPr>
              <w:t>as bait (</w:t>
            </w:r>
            <w:r w:rsidR="004D0FB4" w:rsidRPr="00885464">
              <w:rPr>
                <w:sz w:val="20"/>
                <w:szCs w:val="20"/>
              </w:rPr>
              <w:t>except for</w:t>
            </w:r>
            <w:r w:rsidRPr="00885464">
              <w:rPr>
                <w:sz w:val="20"/>
                <w:szCs w:val="20"/>
              </w:rPr>
              <w:t xml:space="preserve"> dead carp)</w:t>
            </w:r>
            <w:r w:rsidR="00335E1B" w:rsidRPr="00885464">
              <w:rPr>
                <w:sz w:val="20"/>
                <w:szCs w:val="20"/>
              </w:rPr>
              <w:t>.</w:t>
            </w:r>
          </w:p>
          <w:p w:rsidR="00586749" w:rsidRPr="00885464" w:rsidRDefault="00586749" w:rsidP="00945AB0">
            <w:pPr>
              <w:pStyle w:val="ListParagraph"/>
              <w:numPr>
                <w:ilvl w:val="0"/>
                <w:numId w:val="3"/>
              </w:numPr>
              <w:rPr>
                <w:sz w:val="20"/>
                <w:szCs w:val="20"/>
              </w:rPr>
            </w:pPr>
            <w:r w:rsidRPr="00885464">
              <w:rPr>
                <w:sz w:val="20"/>
                <w:szCs w:val="20"/>
              </w:rPr>
              <w:t>Restrictions on the type of bait used for taking Atlantic salmon or trout (no fish allowed in this)</w:t>
            </w:r>
            <w:r w:rsidR="00335E1B" w:rsidRPr="00885464">
              <w:rPr>
                <w:sz w:val="20"/>
                <w:szCs w:val="20"/>
              </w:rPr>
              <w:t>.</w:t>
            </w:r>
          </w:p>
          <w:p w:rsidR="004D0FB4" w:rsidRPr="00885464" w:rsidRDefault="004D0FB4" w:rsidP="00945AB0">
            <w:pPr>
              <w:pStyle w:val="ListParagraph"/>
              <w:numPr>
                <w:ilvl w:val="0"/>
                <w:numId w:val="3"/>
              </w:numPr>
              <w:rPr>
                <w:sz w:val="20"/>
                <w:szCs w:val="20"/>
              </w:rPr>
            </w:pPr>
            <w:r w:rsidRPr="00885464">
              <w:rPr>
                <w:sz w:val="20"/>
                <w:szCs w:val="20"/>
              </w:rPr>
              <w:t>Restrictions on releasing live fish into waterways.</w:t>
            </w:r>
          </w:p>
        </w:tc>
      </w:tr>
      <w:tr w:rsidR="00586749" w:rsidRPr="00885464" w:rsidTr="00BA0B4B">
        <w:trPr>
          <w:cantSplit/>
        </w:trPr>
        <w:tc>
          <w:tcPr>
            <w:tcW w:w="675" w:type="dxa"/>
          </w:tcPr>
          <w:p w:rsidR="00586749" w:rsidRPr="002D3636" w:rsidRDefault="00586749" w:rsidP="00B45005">
            <w:pPr>
              <w:rPr>
                <w:b/>
                <w:sz w:val="20"/>
                <w:szCs w:val="20"/>
              </w:rPr>
            </w:pPr>
            <w:r w:rsidRPr="002D3636">
              <w:rPr>
                <w:b/>
                <w:sz w:val="20"/>
                <w:szCs w:val="20"/>
              </w:rPr>
              <w:t>QLD</w:t>
            </w:r>
          </w:p>
        </w:tc>
        <w:tc>
          <w:tcPr>
            <w:tcW w:w="5387" w:type="dxa"/>
          </w:tcPr>
          <w:p w:rsidR="00586749" w:rsidRPr="00885464" w:rsidRDefault="00586749" w:rsidP="00945AB0">
            <w:pPr>
              <w:pStyle w:val="ListParagraph"/>
              <w:numPr>
                <w:ilvl w:val="0"/>
                <w:numId w:val="3"/>
              </w:numPr>
              <w:rPr>
                <w:sz w:val="20"/>
                <w:szCs w:val="20"/>
              </w:rPr>
            </w:pPr>
            <w:r w:rsidRPr="00885464">
              <w:rPr>
                <w:sz w:val="20"/>
                <w:szCs w:val="20"/>
              </w:rPr>
              <w:t>Pursuant to the Queensland DPI Aquaculture Policy FAMOP001 Part 5.3.1 all aquaculture product (dead or alive), unless otherwise exempt, must not knowingly and intentionally be used as bait.</w:t>
            </w:r>
          </w:p>
        </w:tc>
        <w:tc>
          <w:tcPr>
            <w:tcW w:w="3180" w:type="dxa"/>
          </w:tcPr>
          <w:p w:rsidR="00586749" w:rsidRPr="00885464" w:rsidRDefault="00586749" w:rsidP="00945AB0">
            <w:pPr>
              <w:pStyle w:val="ListParagraph"/>
              <w:numPr>
                <w:ilvl w:val="0"/>
                <w:numId w:val="3"/>
              </w:numPr>
              <w:rPr>
                <w:sz w:val="20"/>
                <w:szCs w:val="20"/>
              </w:rPr>
            </w:pPr>
            <w:r w:rsidRPr="00885464">
              <w:rPr>
                <w:sz w:val="20"/>
                <w:szCs w:val="20"/>
              </w:rPr>
              <w:t>No specific regulations in Queensland that deal with bait and berley translocation/inputs.</w:t>
            </w:r>
          </w:p>
          <w:p w:rsidR="00586749" w:rsidRPr="00885464" w:rsidRDefault="00586749" w:rsidP="00945AB0">
            <w:pPr>
              <w:pStyle w:val="ListParagraph"/>
              <w:numPr>
                <w:ilvl w:val="0"/>
                <w:numId w:val="3"/>
              </w:numPr>
              <w:rPr>
                <w:sz w:val="20"/>
                <w:szCs w:val="20"/>
              </w:rPr>
            </w:pPr>
            <w:r w:rsidRPr="00885464">
              <w:rPr>
                <w:sz w:val="20"/>
                <w:szCs w:val="20"/>
              </w:rPr>
              <w:t xml:space="preserve">Condition on the Queensland aquaculture development approvals (i.e. aquaculture licences) which bans farms from </w:t>
            </w:r>
            <w:r w:rsidR="00FD7BA6" w:rsidRPr="00885464">
              <w:rPr>
                <w:sz w:val="20"/>
                <w:szCs w:val="20"/>
              </w:rPr>
              <w:t>selling live</w:t>
            </w:r>
            <w:r w:rsidRPr="00885464">
              <w:rPr>
                <w:sz w:val="20"/>
                <w:szCs w:val="20"/>
              </w:rPr>
              <w:t xml:space="preserve"> or dead aquaculture product for bait.</w:t>
            </w:r>
          </w:p>
        </w:tc>
      </w:tr>
      <w:tr w:rsidR="00586749" w:rsidRPr="00885464" w:rsidTr="00BA0B4B">
        <w:trPr>
          <w:cantSplit/>
        </w:trPr>
        <w:tc>
          <w:tcPr>
            <w:tcW w:w="675" w:type="dxa"/>
          </w:tcPr>
          <w:p w:rsidR="00586749" w:rsidRPr="002D3636" w:rsidRDefault="00586749" w:rsidP="00B45005">
            <w:pPr>
              <w:rPr>
                <w:b/>
                <w:sz w:val="20"/>
                <w:szCs w:val="20"/>
              </w:rPr>
            </w:pPr>
            <w:r w:rsidRPr="002D3636">
              <w:rPr>
                <w:b/>
                <w:sz w:val="20"/>
                <w:szCs w:val="20"/>
              </w:rPr>
              <w:t>WA</w:t>
            </w:r>
          </w:p>
        </w:tc>
        <w:tc>
          <w:tcPr>
            <w:tcW w:w="5387" w:type="dxa"/>
          </w:tcPr>
          <w:p w:rsidR="00586749" w:rsidRPr="00885464" w:rsidRDefault="00586749" w:rsidP="00945AB0">
            <w:pPr>
              <w:pStyle w:val="ListParagraph"/>
              <w:numPr>
                <w:ilvl w:val="0"/>
                <w:numId w:val="3"/>
              </w:numPr>
              <w:rPr>
                <w:sz w:val="20"/>
                <w:szCs w:val="20"/>
              </w:rPr>
            </w:pPr>
            <w:r w:rsidRPr="00885464">
              <w:rPr>
                <w:sz w:val="20"/>
                <w:szCs w:val="20"/>
              </w:rPr>
              <w:t xml:space="preserve">Pursuant to Regulation 38F of the </w:t>
            </w:r>
            <w:r w:rsidRPr="00885464">
              <w:rPr>
                <w:i/>
                <w:sz w:val="20"/>
                <w:szCs w:val="20"/>
              </w:rPr>
              <w:t>Fish Resources Management Regulations 1995</w:t>
            </w:r>
            <w:r w:rsidRPr="00885464">
              <w:rPr>
                <w:sz w:val="20"/>
                <w:szCs w:val="20"/>
              </w:rPr>
              <w:t xml:space="preserve"> a person must not fish for any fish using as bait any abalone material.</w:t>
            </w:r>
          </w:p>
          <w:p w:rsidR="00586749" w:rsidRPr="00885464" w:rsidRDefault="00586749" w:rsidP="00945AB0">
            <w:pPr>
              <w:pStyle w:val="ListParagraph"/>
              <w:numPr>
                <w:ilvl w:val="0"/>
                <w:numId w:val="3"/>
              </w:numPr>
              <w:rPr>
                <w:sz w:val="20"/>
                <w:szCs w:val="20"/>
              </w:rPr>
            </w:pPr>
            <w:r w:rsidRPr="00885464">
              <w:rPr>
                <w:sz w:val="20"/>
                <w:szCs w:val="20"/>
              </w:rPr>
              <w:t xml:space="preserve">Pursuant to Regulation 31A of the </w:t>
            </w:r>
            <w:r w:rsidRPr="00885464">
              <w:rPr>
                <w:i/>
                <w:sz w:val="20"/>
                <w:szCs w:val="20"/>
              </w:rPr>
              <w:t>Fish Resources Management Regulations 1995</w:t>
            </w:r>
            <w:r w:rsidRPr="00885464">
              <w:rPr>
                <w:sz w:val="20"/>
                <w:szCs w:val="20"/>
              </w:rPr>
              <w:t xml:space="preserve"> a person must not fish for rock lobster using as bait any lobster material.</w:t>
            </w:r>
          </w:p>
          <w:p w:rsidR="00586749" w:rsidRPr="00885464" w:rsidRDefault="00586749" w:rsidP="00945AB0">
            <w:pPr>
              <w:pStyle w:val="ListParagraph"/>
              <w:numPr>
                <w:ilvl w:val="0"/>
                <w:numId w:val="3"/>
              </w:numPr>
              <w:rPr>
                <w:sz w:val="20"/>
                <w:szCs w:val="20"/>
              </w:rPr>
            </w:pPr>
            <w:r w:rsidRPr="00885464">
              <w:rPr>
                <w:sz w:val="20"/>
                <w:szCs w:val="20"/>
              </w:rPr>
              <w:t>Pursuant to Section 92A subsection 2 (unless exempt under subsection 4) the CEO may require a MEMP to be prepared with reference to the matters that the CEO considers relevant, including translocation.</w:t>
            </w:r>
          </w:p>
        </w:tc>
        <w:tc>
          <w:tcPr>
            <w:tcW w:w="3180" w:type="dxa"/>
          </w:tcPr>
          <w:p w:rsidR="00586749" w:rsidRPr="00885464" w:rsidRDefault="00586749" w:rsidP="00945AB0">
            <w:pPr>
              <w:pStyle w:val="ListParagraph"/>
              <w:numPr>
                <w:ilvl w:val="0"/>
                <w:numId w:val="3"/>
              </w:numPr>
              <w:rPr>
                <w:sz w:val="20"/>
                <w:szCs w:val="20"/>
              </w:rPr>
            </w:pPr>
            <w:r w:rsidRPr="00885464">
              <w:rPr>
                <w:sz w:val="20"/>
                <w:szCs w:val="20"/>
              </w:rPr>
              <w:t>Abalone material not allowed to be used as bait</w:t>
            </w:r>
            <w:r w:rsidR="00335E1B" w:rsidRPr="00885464">
              <w:rPr>
                <w:sz w:val="20"/>
                <w:szCs w:val="20"/>
              </w:rPr>
              <w:t>.</w:t>
            </w:r>
          </w:p>
          <w:p w:rsidR="00586749" w:rsidRPr="00885464" w:rsidRDefault="00FD7BA6" w:rsidP="00945AB0">
            <w:pPr>
              <w:pStyle w:val="ListParagraph"/>
              <w:numPr>
                <w:ilvl w:val="0"/>
                <w:numId w:val="3"/>
              </w:numPr>
              <w:rPr>
                <w:sz w:val="20"/>
                <w:szCs w:val="20"/>
              </w:rPr>
            </w:pPr>
            <w:r w:rsidRPr="00885464">
              <w:rPr>
                <w:sz w:val="20"/>
                <w:szCs w:val="20"/>
              </w:rPr>
              <w:t>L</w:t>
            </w:r>
            <w:r w:rsidR="00586749" w:rsidRPr="00885464">
              <w:rPr>
                <w:sz w:val="20"/>
                <w:szCs w:val="20"/>
              </w:rPr>
              <w:t xml:space="preserve">obster material </w:t>
            </w:r>
            <w:r w:rsidRPr="00885464">
              <w:rPr>
                <w:sz w:val="20"/>
                <w:szCs w:val="20"/>
              </w:rPr>
              <w:t xml:space="preserve">cannot be used </w:t>
            </w:r>
            <w:r w:rsidR="00586749" w:rsidRPr="00885464">
              <w:rPr>
                <w:sz w:val="20"/>
                <w:szCs w:val="20"/>
              </w:rPr>
              <w:t>as bait for rock lobster</w:t>
            </w:r>
            <w:r w:rsidR="00335E1B" w:rsidRPr="00885464">
              <w:rPr>
                <w:sz w:val="20"/>
                <w:szCs w:val="20"/>
              </w:rPr>
              <w:t>.</w:t>
            </w:r>
          </w:p>
          <w:p w:rsidR="00586749" w:rsidRPr="00885464" w:rsidRDefault="00586749" w:rsidP="00945AB0">
            <w:pPr>
              <w:pStyle w:val="ListParagraph"/>
              <w:numPr>
                <w:ilvl w:val="0"/>
                <w:numId w:val="3"/>
              </w:numPr>
              <w:rPr>
                <w:sz w:val="20"/>
                <w:szCs w:val="20"/>
              </w:rPr>
            </w:pPr>
            <w:r w:rsidRPr="00885464">
              <w:rPr>
                <w:sz w:val="20"/>
                <w:szCs w:val="20"/>
              </w:rPr>
              <w:t>No other restrictions aside from movement of live fish which is covered as a translocation</w:t>
            </w:r>
            <w:r w:rsidR="00023CEF" w:rsidRPr="00885464">
              <w:rPr>
                <w:sz w:val="20"/>
                <w:szCs w:val="20"/>
              </w:rPr>
              <w:t xml:space="preserve"> but is not specifically related to bait</w:t>
            </w:r>
            <w:r w:rsidR="00335E1B" w:rsidRPr="00885464">
              <w:rPr>
                <w:sz w:val="20"/>
                <w:szCs w:val="20"/>
              </w:rPr>
              <w:t>.</w:t>
            </w:r>
          </w:p>
        </w:tc>
      </w:tr>
      <w:tr w:rsidR="00586749" w:rsidRPr="00885464" w:rsidTr="00BA0B4B">
        <w:trPr>
          <w:cantSplit/>
        </w:trPr>
        <w:tc>
          <w:tcPr>
            <w:tcW w:w="675" w:type="dxa"/>
          </w:tcPr>
          <w:p w:rsidR="00586749" w:rsidRPr="002D3636" w:rsidRDefault="00586749" w:rsidP="00B45005">
            <w:pPr>
              <w:rPr>
                <w:b/>
                <w:sz w:val="20"/>
                <w:szCs w:val="20"/>
              </w:rPr>
            </w:pPr>
            <w:r w:rsidRPr="002D3636">
              <w:rPr>
                <w:b/>
                <w:sz w:val="20"/>
                <w:szCs w:val="20"/>
              </w:rPr>
              <w:lastRenderedPageBreak/>
              <w:t>SA</w:t>
            </w:r>
          </w:p>
        </w:tc>
        <w:tc>
          <w:tcPr>
            <w:tcW w:w="5387" w:type="dxa"/>
          </w:tcPr>
          <w:p w:rsidR="00586749" w:rsidRPr="00885464" w:rsidRDefault="00586749" w:rsidP="00945AB0">
            <w:pPr>
              <w:pStyle w:val="ListParagraph"/>
              <w:numPr>
                <w:ilvl w:val="0"/>
                <w:numId w:val="3"/>
              </w:numPr>
              <w:rPr>
                <w:sz w:val="20"/>
                <w:szCs w:val="20"/>
              </w:rPr>
            </w:pPr>
            <w:r w:rsidRPr="00885464">
              <w:rPr>
                <w:sz w:val="20"/>
                <w:szCs w:val="20"/>
              </w:rPr>
              <w:t xml:space="preserve">Fishery Management (General) Regulations 2007 under the </w:t>
            </w:r>
            <w:r w:rsidRPr="00885464">
              <w:rPr>
                <w:i/>
                <w:sz w:val="20"/>
                <w:szCs w:val="20"/>
              </w:rPr>
              <w:t>Fisheries Management Act 2007</w:t>
            </w:r>
            <w:r w:rsidRPr="00885464">
              <w:rPr>
                <w:sz w:val="20"/>
                <w:szCs w:val="20"/>
              </w:rPr>
              <w:t>. Pursuant to Regulation 23 subsection 1 a person must not use blood, bone, meat, offal or skin of an animal as berley (otherwise than in a rock lobster pot or other fish trap) within 2 nautical miles of the mainland of the State or any island or reef that forms part of the State and is exposed at the low water mark.</w:t>
            </w:r>
          </w:p>
          <w:p w:rsidR="00586749" w:rsidRPr="00885464" w:rsidRDefault="00586749" w:rsidP="00945AB0">
            <w:pPr>
              <w:pStyle w:val="ListParagraph"/>
              <w:numPr>
                <w:ilvl w:val="0"/>
                <w:numId w:val="3"/>
              </w:numPr>
              <w:rPr>
                <w:sz w:val="20"/>
                <w:szCs w:val="20"/>
              </w:rPr>
            </w:pPr>
            <w:r w:rsidRPr="00885464">
              <w:rPr>
                <w:sz w:val="20"/>
                <w:szCs w:val="20"/>
              </w:rPr>
              <w:t xml:space="preserve">Pursuant to Section 78 subsection 2 of the </w:t>
            </w:r>
            <w:r w:rsidRPr="00885464">
              <w:rPr>
                <w:i/>
                <w:sz w:val="20"/>
                <w:szCs w:val="20"/>
              </w:rPr>
              <w:t>Fisheries Management Act 2007</w:t>
            </w:r>
            <w:r w:rsidRPr="00885464">
              <w:rPr>
                <w:sz w:val="20"/>
                <w:szCs w:val="20"/>
              </w:rPr>
              <w:t xml:space="preserve"> a person must not, except as authorised by a permit issued by the Minister release or permit to escape into any waters exotic fish, aquaculture fish or fish that have been kept apart from their natural habitat.</w:t>
            </w:r>
          </w:p>
        </w:tc>
        <w:tc>
          <w:tcPr>
            <w:tcW w:w="3180" w:type="dxa"/>
          </w:tcPr>
          <w:p w:rsidR="00586749" w:rsidRPr="00885464" w:rsidRDefault="00586749" w:rsidP="00945AB0">
            <w:pPr>
              <w:pStyle w:val="ListParagraph"/>
              <w:numPr>
                <w:ilvl w:val="0"/>
                <w:numId w:val="3"/>
              </w:numPr>
              <w:rPr>
                <w:spacing w:val="-2"/>
                <w:sz w:val="20"/>
                <w:szCs w:val="20"/>
              </w:rPr>
            </w:pPr>
            <w:r w:rsidRPr="00885464">
              <w:rPr>
                <w:sz w:val="20"/>
                <w:szCs w:val="20"/>
              </w:rPr>
              <w:t>Animals (including aquatic animals) cannot be used as berley within 2 nm of land, although use in rock</w:t>
            </w:r>
            <w:r w:rsidR="00F852C8">
              <w:rPr>
                <w:sz w:val="20"/>
                <w:szCs w:val="20"/>
              </w:rPr>
              <w:t xml:space="preserve"> </w:t>
            </w:r>
            <w:r w:rsidRPr="00885464">
              <w:rPr>
                <w:sz w:val="20"/>
                <w:szCs w:val="20"/>
              </w:rPr>
              <w:t xml:space="preserve">lobster pots and fish traps </w:t>
            </w:r>
            <w:r w:rsidR="00FD7BA6" w:rsidRPr="00885464">
              <w:rPr>
                <w:sz w:val="20"/>
                <w:szCs w:val="20"/>
              </w:rPr>
              <w:t xml:space="preserve">is </w:t>
            </w:r>
            <w:r w:rsidRPr="00885464">
              <w:rPr>
                <w:sz w:val="20"/>
                <w:szCs w:val="20"/>
              </w:rPr>
              <w:t>exempt.</w:t>
            </w:r>
          </w:p>
          <w:p w:rsidR="00586749" w:rsidRPr="00885464" w:rsidRDefault="00586749" w:rsidP="00945AB0">
            <w:pPr>
              <w:pStyle w:val="ListParagraph"/>
              <w:numPr>
                <w:ilvl w:val="0"/>
                <w:numId w:val="3"/>
              </w:numPr>
              <w:rPr>
                <w:sz w:val="20"/>
                <w:szCs w:val="20"/>
              </w:rPr>
            </w:pPr>
            <w:r w:rsidRPr="00885464">
              <w:rPr>
                <w:sz w:val="20"/>
                <w:szCs w:val="20"/>
              </w:rPr>
              <w:t>Exotic or noxious (e</w:t>
            </w:r>
            <w:r w:rsidR="00F852C8">
              <w:rPr>
                <w:sz w:val="20"/>
                <w:szCs w:val="20"/>
              </w:rPr>
              <w:t>.</w:t>
            </w:r>
            <w:r w:rsidRPr="00885464">
              <w:rPr>
                <w:sz w:val="20"/>
                <w:szCs w:val="20"/>
              </w:rPr>
              <w:t>g. carp, redfin perch) species and aquaculture species cannot be deposited into any waters</w:t>
            </w:r>
            <w:r w:rsidR="00335E1B" w:rsidRPr="00885464">
              <w:rPr>
                <w:sz w:val="20"/>
                <w:szCs w:val="20"/>
              </w:rPr>
              <w:t>.</w:t>
            </w:r>
          </w:p>
          <w:p w:rsidR="00586749" w:rsidRPr="00885464" w:rsidRDefault="00586749" w:rsidP="00945AB0">
            <w:pPr>
              <w:pStyle w:val="ListParagraph"/>
              <w:numPr>
                <w:ilvl w:val="0"/>
                <w:numId w:val="3"/>
              </w:numPr>
              <w:rPr>
                <w:sz w:val="20"/>
                <w:szCs w:val="20"/>
              </w:rPr>
            </w:pPr>
            <w:r w:rsidRPr="00885464">
              <w:rPr>
                <w:sz w:val="20"/>
                <w:szCs w:val="20"/>
              </w:rPr>
              <w:t>The Minister has the ability to control the use of aquatic resources that may be affected by disease</w:t>
            </w:r>
            <w:r w:rsidR="00335E1B" w:rsidRPr="00885464">
              <w:rPr>
                <w:sz w:val="20"/>
                <w:szCs w:val="20"/>
              </w:rPr>
              <w:t>.</w:t>
            </w:r>
          </w:p>
        </w:tc>
      </w:tr>
      <w:tr w:rsidR="00586749" w:rsidRPr="00885464" w:rsidTr="00BA0B4B">
        <w:trPr>
          <w:cantSplit/>
        </w:trPr>
        <w:tc>
          <w:tcPr>
            <w:tcW w:w="675" w:type="dxa"/>
          </w:tcPr>
          <w:p w:rsidR="00586749" w:rsidRPr="002D3636" w:rsidRDefault="00586749" w:rsidP="00B45005">
            <w:pPr>
              <w:rPr>
                <w:b/>
                <w:sz w:val="20"/>
                <w:szCs w:val="20"/>
              </w:rPr>
            </w:pPr>
            <w:r w:rsidRPr="002D3636">
              <w:rPr>
                <w:b/>
                <w:sz w:val="20"/>
                <w:szCs w:val="20"/>
              </w:rPr>
              <w:t>NT</w:t>
            </w:r>
          </w:p>
        </w:tc>
        <w:tc>
          <w:tcPr>
            <w:tcW w:w="5387" w:type="dxa"/>
          </w:tcPr>
          <w:p w:rsidR="00586749" w:rsidRPr="00885464" w:rsidRDefault="00586749" w:rsidP="00945AB0">
            <w:pPr>
              <w:pStyle w:val="ListParagraph"/>
              <w:numPr>
                <w:ilvl w:val="0"/>
                <w:numId w:val="3"/>
              </w:numPr>
              <w:rPr>
                <w:sz w:val="20"/>
                <w:szCs w:val="20"/>
              </w:rPr>
            </w:pPr>
            <w:r w:rsidRPr="00885464">
              <w:rPr>
                <w:sz w:val="20"/>
                <w:szCs w:val="20"/>
              </w:rPr>
              <w:t xml:space="preserve">Pursuant to Section 15 subsection 1a of the </w:t>
            </w:r>
            <w:r w:rsidRPr="00885464">
              <w:rPr>
                <w:i/>
                <w:sz w:val="20"/>
                <w:szCs w:val="20"/>
              </w:rPr>
              <w:t xml:space="preserve">Fisheries Act </w:t>
            </w:r>
            <w:r w:rsidRPr="00885464">
              <w:rPr>
                <w:sz w:val="20"/>
                <w:szCs w:val="20"/>
              </w:rPr>
              <w:t>1988</w:t>
            </w:r>
            <w:r w:rsidRPr="00885464">
              <w:rPr>
                <w:i/>
                <w:sz w:val="20"/>
                <w:szCs w:val="20"/>
              </w:rPr>
              <w:t xml:space="preserve"> </w:t>
            </w:r>
            <w:r w:rsidRPr="00885464">
              <w:rPr>
                <w:sz w:val="20"/>
                <w:szCs w:val="20"/>
              </w:rPr>
              <w:t>a person shall not bring into, or release in, the Territory any live aquatic life, live fish, or any live eggs, fry, spat, or larva of fish; unless the person does so under and in accordance with a permit</w:t>
            </w:r>
            <w:r w:rsidR="00335E1B" w:rsidRPr="00885464">
              <w:rPr>
                <w:sz w:val="20"/>
                <w:szCs w:val="20"/>
              </w:rPr>
              <w:t>.</w:t>
            </w:r>
          </w:p>
          <w:p w:rsidR="00586749" w:rsidRPr="00885464" w:rsidRDefault="00586749" w:rsidP="00945AB0">
            <w:pPr>
              <w:pStyle w:val="ListParagraph"/>
              <w:numPr>
                <w:ilvl w:val="0"/>
                <w:numId w:val="3"/>
              </w:numPr>
              <w:rPr>
                <w:sz w:val="20"/>
                <w:szCs w:val="20"/>
              </w:rPr>
            </w:pPr>
            <w:r w:rsidRPr="00885464">
              <w:rPr>
                <w:sz w:val="20"/>
                <w:szCs w:val="20"/>
              </w:rPr>
              <w:t xml:space="preserve">Pursuant to Clause 10(1)(b) of the </w:t>
            </w:r>
            <w:r w:rsidRPr="00885464">
              <w:rPr>
                <w:i/>
                <w:sz w:val="20"/>
                <w:szCs w:val="20"/>
              </w:rPr>
              <w:t>Fisheries Act 1988</w:t>
            </w:r>
            <w:r w:rsidRPr="00885464">
              <w:rPr>
                <w:sz w:val="20"/>
                <w:szCs w:val="20"/>
              </w:rPr>
              <w:t xml:space="preserve"> a person shall not farm, breed, culture, or keep live fish or aquatic life for sale or the purposes of aquaculture (whether they are sold or used live or dead) or for the purpose of exhibiting any of them for profit; unless the person does so under and in accordance with a licence.</w:t>
            </w:r>
          </w:p>
          <w:p w:rsidR="00952C63" w:rsidRPr="00885464" w:rsidRDefault="00952C63" w:rsidP="00945AB0">
            <w:pPr>
              <w:pStyle w:val="ListParagraph"/>
              <w:numPr>
                <w:ilvl w:val="0"/>
                <w:numId w:val="3"/>
              </w:numPr>
              <w:rPr>
                <w:sz w:val="20"/>
                <w:szCs w:val="20"/>
              </w:rPr>
            </w:pPr>
            <w:r w:rsidRPr="00885464">
              <w:rPr>
                <w:sz w:val="20"/>
                <w:szCs w:val="20"/>
              </w:rPr>
              <w:t xml:space="preserve">Pursuant to Clause 24 of the </w:t>
            </w:r>
            <w:r w:rsidRPr="00885464">
              <w:rPr>
                <w:i/>
                <w:sz w:val="20"/>
                <w:szCs w:val="20"/>
              </w:rPr>
              <w:t xml:space="preserve">Fisheries Regulations </w:t>
            </w:r>
            <w:r w:rsidR="00B97005" w:rsidRPr="00885464">
              <w:rPr>
                <w:i/>
                <w:sz w:val="20"/>
                <w:szCs w:val="20"/>
              </w:rPr>
              <w:t>1993</w:t>
            </w:r>
            <w:r w:rsidRPr="00885464">
              <w:rPr>
                <w:sz w:val="20"/>
                <w:szCs w:val="20"/>
              </w:rPr>
              <w:t xml:space="preserve"> a person shall not import or have possession of a noxious fish</w:t>
            </w:r>
          </w:p>
        </w:tc>
        <w:tc>
          <w:tcPr>
            <w:tcW w:w="3180" w:type="dxa"/>
          </w:tcPr>
          <w:p w:rsidR="00586749" w:rsidRPr="00885464" w:rsidRDefault="00586749" w:rsidP="00945AB0">
            <w:pPr>
              <w:pStyle w:val="ListParagraph"/>
              <w:numPr>
                <w:ilvl w:val="0"/>
                <w:numId w:val="3"/>
              </w:numPr>
              <w:rPr>
                <w:sz w:val="20"/>
                <w:szCs w:val="20"/>
              </w:rPr>
            </w:pPr>
            <w:r w:rsidRPr="00885464">
              <w:rPr>
                <w:sz w:val="20"/>
                <w:szCs w:val="20"/>
              </w:rPr>
              <w:t>Live bait use restricted to body of water from which the animal was caught. Translocation restrictions apply for m</w:t>
            </w:r>
            <w:r w:rsidR="00335E1B" w:rsidRPr="00885464">
              <w:rPr>
                <w:sz w:val="20"/>
                <w:szCs w:val="20"/>
              </w:rPr>
              <w:t>ovement of live aquatic animals.</w:t>
            </w:r>
          </w:p>
          <w:p w:rsidR="00586749" w:rsidRPr="00885464" w:rsidRDefault="00586749" w:rsidP="00945AB0">
            <w:pPr>
              <w:pStyle w:val="ListParagraph"/>
              <w:numPr>
                <w:ilvl w:val="0"/>
                <w:numId w:val="3"/>
              </w:numPr>
              <w:rPr>
                <w:sz w:val="20"/>
                <w:szCs w:val="20"/>
              </w:rPr>
            </w:pPr>
            <w:r w:rsidRPr="00885464">
              <w:rPr>
                <w:sz w:val="20"/>
                <w:szCs w:val="20"/>
              </w:rPr>
              <w:t>Capture of bait in commercial quantities is regulated by legislation</w:t>
            </w:r>
            <w:r w:rsidR="00335E1B" w:rsidRPr="00885464">
              <w:rPr>
                <w:sz w:val="20"/>
                <w:szCs w:val="20"/>
              </w:rPr>
              <w:t>.</w:t>
            </w:r>
          </w:p>
          <w:p w:rsidR="00586749" w:rsidRPr="00885464" w:rsidRDefault="00586749" w:rsidP="00945AB0">
            <w:pPr>
              <w:pStyle w:val="ListParagraph"/>
              <w:numPr>
                <w:ilvl w:val="0"/>
                <w:numId w:val="3"/>
              </w:numPr>
              <w:rPr>
                <w:sz w:val="20"/>
                <w:szCs w:val="20"/>
              </w:rPr>
            </w:pPr>
            <w:r w:rsidRPr="00885464">
              <w:rPr>
                <w:sz w:val="20"/>
                <w:szCs w:val="20"/>
              </w:rPr>
              <w:t>Ornamental fish only to be used for aquarium purposes (although licensee has no control over this)</w:t>
            </w:r>
            <w:r w:rsidR="00335E1B" w:rsidRPr="00885464">
              <w:rPr>
                <w:sz w:val="20"/>
                <w:szCs w:val="20"/>
              </w:rPr>
              <w:t>.</w:t>
            </w:r>
          </w:p>
          <w:p w:rsidR="00586749" w:rsidRPr="00885464" w:rsidRDefault="00586749" w:rsidP="00945AB0">
            <w:pPr>
              <w:pStyle w:val="ListParagraph"/>
              <w:numPr>
                <w:ilvl w:val="0"/>
                <w:numId w:val="3"/>
              </w:numPr>
              <w:rPr>
                <w:sz w:val="20"/>
                <w:szCs w:val="20"/>
              </w:rPr>
            </w:pPr>
            <w:r w:rsidRPr="00885464">
              <w:rPr>
                <w:sz w:val="20"/>
                <w:szCs w:val="20"/>
              </w:rPr>
              <w:t xml:space="preserve">No restrictions </w:t>
            </w:r>
            <w:r w:rsidR="00952C63" w:rsidRPr="00885464">
              <w:rPr>
                <w:sz w:val="20"/>
                <w:szCs w:val="20"/>
              </w:rPr>
              <w:t xml:space="preserve">except for noxious species </w:t>
            </w:r>
            <w:r w:rsidRPr="00885464">
              <w:rPr>
                <w:sz w:val="20"/>
                <w:szCs w:val="20"/>
              </w:rPr>
              <w:t>on importation of dead fish from outside NT for use as bait and berley</w:t>
            </w:r>
            <w:r w:rsidR="00335E1B" w:rsidRPr="00885464">
              <w:rPr>
                <w:sz w:val="20"/>
                <w:szCs w:val="20"/>
              </w:rPr>
              <w:t>.</w:t>
            </w:r>
          </w:p>
        </w:tc>
      </w:tr>
      <w:tr w:rsidR="00335E1B" w:rsidRPr="00885464" w:rsidTr="00BA0B4B">
        <w:trPr>
          <w:cantSplit/>
        </w:trPr>
        <w:tc>
          <w:tcPr>
            <w:tcW w:w="675" w:type="dxa"/>
          </w:tcPr>
          <w:p w:rsidR="00335E1B" w:rsidRPr="002D3636" w:rsidRDefault="00335E1B" w:rsidP="00B45005">
            <w:pPr>
              <w:rPr>
                <w:b/>
                <w:sz w:val="20"/>
                <w:szCs w:val="20"/>
              </w:rPr>
            </w:pPr>
            <w:r w:rsidRPr="002D3636">
              <w:rPr>
                <w:b/>
                <w:sz w:val="20"/>
                <w:szCs w:val="20"/>
              </w:rPr>
              <w:t>Vic</w:t>
            </w:r>
          </w:p>
        </w:tc>
        <w:tc>
          <w:tcPr>
            <w:tcW w:w="5387" w:type="dxa"/>
          </w:tcPr>
          <w:p w:rsidR="00951C1B" w:rsidRDefault="00335E1B" w:rsidP="00945AB0">
            <w:pPr>
              <w:pStyle w:val="ListParagraph"/>
              <w:numPr>
                <w:ilvl w:val="0"/>
                <w:numId w:val="3"/>
              </w:numPr>
              <w:rPr>
                <w:sz w:val="20"/>
                <w:szCs w:val="20"/>
              </w:rPr>
            </w:pPr>
            <w:r w:rsidRPr="00951C1B">
              <w:rPr>
                <w:sz w:val="20"/>
                <w:szCs w:val="20"/>
              </w:rPr>
              <w:t xml:space="preserve">Pursuant to section 102 subsection 1 of the </w:t>
            </w:r>
            <w:r w:rsidRPr="00951C1B">
              <w:rPr>
                <w:i/>
                <w:sz w:val="20"/>
                <w:szCs w:val="20"/>
              </w:rPr>
              <w:t>Fisheries Regulations 2009</w:t>
            </w:r>
            <w:r w:rsidRPr="00951C1B">
              <w:rPr>
                <w:sz w:val="20"/>
                <w:szCs w:val="20"/>
              </w:rPr>
              <w:t xml:space="preserve"> a person must not use live fish as bait in Seven Creeks or in any tributary to that system upstream from the Galls Gap Road Bridge which crosses Seven Creeks downstream from its junction with Watchbox Creek.</w:t>
            </w:r>
          </w:p>
          <w:p w:rsidR="00335E1B" w:rsidRPr="00951C1B" w:rsidRDefault="00335E1B" w:rsidP="00945AB0">
            <w:pPr>
              <w:pStyle w:val="ListParagraph"/>
              <w:numPr>
                <w:ilvl w:val="0"/>
                <w:numId w:val="3"/>
              </w:numPr>
              <w:rPr>
                <w:sz w:val="20"/>
                <w:szCs w:val="20"/>
              </w:rPr>
            </w:pPr>
            <w:r w:rsidRPr="00951C1B">
              <w:rPr>
                <w:sz w:val="20"/>
                <w:szCs w:val="20"/>
              </w:rPr>
              <w:t xml:space="preserve">Pursuant to section 102 subsection 2 of the </w:t>
            </w:r>
            <w:r w:rsidRPr="00951C1B">
              <w:rPr>
                <w:i/>
                <w:sz w:val="20"/>
                <w:szCs w:val="20"/>
              </w:rPr>
              <w:t xml:space="preserve">Fisheries Regulations 2009 </w:t>
            </w:r>
            <w:r w:rsidRPr="00951C1B">
              <w:rPr>
                <w:sz w:val="20"/>
                <w:szCs w:val="20"/>
              </w:rPr>
              <w:t>a person must not use live carp as bait.</w:t>
            </w:r>
          </w:p>
          <w:p w:rsidR="00335E1B" w:rsidRPr="00885464" w:rsidRDefault="00335E1B" w:rsidP="00945AB0">
            <w:pPr>
              <w:pStyle w:val="ListParagraph"/>
              <w:numPr>
                <w:ilvl w:val="0"/>
                <w:numId w:val="3"/>
              </w:numPr>
              <w:rPr>
                <w:sz w:val="20"/>
                <w:szCs w:val="20"/>
              </w:rPr>
            </w:pPr>
            <w:r w:rsidRPr="00885464">
              <w:rPr>
                <w:sz w:val="20"/>
                <w:szCs w:val="20"/>
              </w:rPr>
              <w:t xml:space="preserve">Pursuant to section 102 subsection 3 of the </w:t>
            </w:r>
            <w:r w:rsidRPr="00885464">
              <w:rPr>
                <w:i/>
                <w:sz w:val="20"/>
                <w:szCs w:val="20"/>
              </w:rPr>
              <w:t xml:space="preserve">Fisheries Regulations 2009 </w:t>
            </w:r>
            <w:r w:rsidRPr="00885464">
              <w:rPr>
                <w:sz w:val="20"/>
                <w:szCs w:val="20"/>
              </w:rPr>
              <w:t>a person must not use trout or salmon ova, or any form of uncooked trout or salmon, as bait or berley to take or attempt to take fish of any species.</w:t>
            </w:r>
          </w:p>
        </w:tc>
        <w:tc>
          <w:tcPr>
            <w:tcW w:w="3180" w:type="dxa"/>
          </w:tcPr>
          <w:p w:rsidR="00335E1B" w:rsidRPr="00885464" w:rsidRDefault="00335E1B" w:rsidP="00945AB0">
            <w:pPr>
              <w:pStyle w:val="ListParagraph"/>
              <w:numPr>
                <w:ilvl w:val="0"/>
                <w:numId w:val="3"/>
              </w:numPr>
              <w:rPr>
                <w:sz w:val="20"/>
                <w:szCs w:val="20"/>
              </w:rPr>
            </w:pPr>
            <w:r w:rsidRPr="00885464">
              <w:rPr>
                <w:sz w:val="20"/>
                <w:szCs w:val="20"/>
              </w:rPr>
              <w:t xml:space="preserve">Restricted use </w:t>
            </w:r>
            <w:r w:rsidR="00444C02" w:rsidRPr="00885464">
              <w:rPr>
                <w:sz w:val="20"/>
                <w:szCs w:val="20"/>
              </w:rPr>
              <w:t xml:space="preserve">of </w:t>
            </w:r>
            <w:r w:rsidRPr="00885464">
              <w:rPr>
                <w:sz w:val="20"/>
                <w:szCs w:val="20"/>
              </w:rPr>
              <w:t>live bait in</w:t>
            </w:r>
            <w:r w:rsidR="00444C02" w:rsidRPr="00885464">
              <w:rPr>
                <w:sz w:val="20"/>
                <w:szCs w:val="20"/>
              </w:rPr>
              <w:t xml:space="preserve"> the</w:t>
            </w:r>
            <w:r w:rsidRPr="00885464">
              <w:rPr>
                <w:sz w:val="20"/>
                <w:szCs w:val="20"/>
              </w:rPr>
              <w:t xml:space="preserve"> “Seven Creeks” system.</w:t>
            </w:r>
          </w:p>
          <w:p w:rsidR="00335E1B" w:rsidRPr="00885464" w:rsidRDefault="00335E1B" w:rsidP="00945AB0">
            <w:pPr>
              <w:pStyle w:val="ListParagraph"/>
              <w:numPr>
                <w:ilvl w:val="0"/>
                <w:numId w:val="3"/>
              </w:numPr>
              <w:rPr>
                <w:sz w:val="20"/>
                <w:szCs w:val="20"/>
              </w:rPr>
            </w:pPr>
            <w:r w:rsidRPr="00885464">
              <w:rPr>
                <w:sz w:val="20"/>
                <w:szCs w:val="20"/>
              </w:rPr>
              <w:t>No use of live carp</w:t>
            </w:r>
            <w:r w:rsidR="00444C02" w:rsidRPr="00885464">
              <w:rPr>
                <w:sz w:val="20"/>
                <w:szCs w:val="20"/>
              </w:rPr>
              <w:t xml:space="preserve"> as bait</w:t>
            </w:r>
            <w:r w:rsidRPr="00885464">
              <w:rPr>
                <w:sz w:val="20"/>
                <w:szCs w:val="20"/>
              </w:rPr>
              <w:t>.</w:t>
            </w:r>
          </w:p>
          <w:p w:rsidR="00335E1B" w:rsidRPr="00885464" w:rsidRDefault="00335E1B" w:rsidP="00945AB0">
            <w:pPr>
              <w:pStyle w:val="ListParagraph"/>
              <w:numPr>
                <w:ilvl w:val="0"/>
                <w:numId w:val="3"/>
              </w:numPr>
              <w:rPr>
                <w:sz w:val="20"/>
                <w:szCs w:val="20"/>
              </w:rPr>
            </w:pPr>
            <w:r w:rsidRPr="00885464">
              <w:rPr>
                <w:sz w:val="20"/>
                <w:szCs w:val="20"/>
              </w:rPr>
              <w:t>No use of uncooked salmon/trout or ova of salmon/trout</w:t>
            </w:r>
            <w:r w:rsidR="00444C02" w:rsidRPr="00885464">
              <w:rPr>
                <w:sz w:val="20"/>
                <w:szCs w:val="20"/>
              </w:rPr>
              <w:t xml:space="preserve"> as bait or berley</w:t>
            </w:r>
            <w:r w:rsidRPr="00885464">
              <w:rPr>
                <w:sz w:val="20"/>
                <w:szCs w:val="20"/>
              </w:rPr>
              <w:t>.</w:t>
            </w:r>
          </w:p>
        </w:tc>
      </w:tr>
      <w:tr w:rsidR="00335E1B" w:rsidRPr="00885464" w:rsidTr="00BA0B4B">
        <w:trPr>
          <w:cantSplit/>
          <w:trHeight w:val="2065"/>
        </w:trPr>
        <w:tc>
          <w:tcPr>
            <w:tcW w:w="675" w:type="dxa"/>
          </w:tcPr>
          <w:p w:rsidR="00335E1B" w:rsidRPr="002D3636" w:rsidRDefault="00335E1B" w:rsidP="00B45005">
            <w:pPr>
              <w:rPr>
                <w:b/>
                <w:sz w:val="20"/>
                <w:szCs w:val="20"/>
              </w:rPr>
            </w:pPr>
            <w:r w:rsidRPr="002D3636">
              <w:rPr>
                <w:b/>
                <w:sz w:val="20"/>
                <w:szCs w:val="20"/>
              </w:rPr>
              <w:t>Tas</w:t>
            </w:r>
          </w:p>
        </w:tc>
        <w:tc>
          <w:tcPr>
            <w:tcW w:w="5387" w:type="dxa"/>
          </w:tcPr>
          <w:p w:rsidR="00335E1B" w:rsidRPr="00885464" w:rsidRDefault="00335E1B" w:rsidP="00945AB0">
            <w:pPr>
              <w:pStyle w:val="ListParagraph"/>
              <w:numPr>
                <w:ilvl w:val="0"/>
                <w:numId w:val="3"/>
              </w:numPr>
              <w:rPr>
                <w:sz w:val="20"/>
                <w:szCs w:val="20"/>
              </w:rPr>
            </w:pPr>
            <w:r w:rsidRPr="00885464">
              <w:rPr>
                <w:sz w:val="20"/>
                <w:szCs w:val="20"/>
              </w:rPr>
              <w:t xml:space="preserve">Pursuant to section 18 subsection 2 of </w:t>
            </w:r>
            <w:r w:rsidRPr="00885464">
              <w:rPr>
                <w:i/>
                <w:sz w:val="20"/>
                <w:szCs w:val="20"/>
              </w:rPr>
              <w:t>the Fisheries (Abalone) Rules 1997</w:t>
            </w:r>
            <w:r w:rsidRPr="00885464">
              <w:rPr>
                <w:sz w:val="20"/>
                <w:szCs w:val="20"/>
              </w:rPr>
              <w:t xml:space="preserve"> a person must not have possession of, or use, abalone or part of abalone as bait unless authorised under a licence.</w:t>
            </w:r>
          </w:p>
        </w:tc>
        <w:tc>
          <w:tcPr>
            <w:tcW w:w="3180" w:type="dxa"/>
          </w:tcPr>
          <w:p w:rsidR="00335E1B" w:rsidRPr="00885464" w:rsidRDefault="00335E1B" w:rsidP="00945AB0">
            <w:pPr>
              <w:pStyle w:val="ListParagraph"/>
              <w:numPr>
                <w:ilvl w:val="0"/>
                <w:numId w:val="3"/>
              </w:numPr>
              <w:rPr>
                <w:sz w:val="20"/>
                <w:szCs w:val="20"/>
              </w:rPr>
            </w:pPr>
            <w:r w:rsidRPr="00885464">
              <w:rPr>
                <w:sz w:val="20"/>
                <w:szCs w:val="20"/>
              </w:rPr>
              <w:t xml:space="preserve">Abalone </w:t>
            </w:r>
            <w:r w:rsidR="002B746A" w:rsidRPr="00885464">
              <w:rPr>
                <w:sz w:val="20"/>
                <w:szCs w:val="20"/>
              </w:rPr>
              <w:t>cannot</w:t>
            </w:r>
            <w:r w:rsidRPr="00885464">
              <w:rPr>
                <w:sz w:val="20"/>
                <w:szCs w:val="20"/>
              </w:rPr>
              <w:t xml:space="preserve"> </w:t>
            </w:r>
            <w:r w:rsidR="002B746A" w:rsidRPr="00885464">
              <w:rPr>
                <w:sz w:val="20"/>
                <w:szCs w:val="20"/>
              </w:rPr>
              <w:t xml:space="preserve">be </w:t>
            </w:r>
            <w:r w:rsidRPr="00885464">
              <w:rPr>
                <w:sz w:val="20"/>
                <w:szCs w:val="20"/>
              </w:rPr>
              <w:t>use</w:t>
            </w:r>
            <w:r w:rsidR="002B746A" w:rsidRPr="00885464">
              <w:rPr>
                <w:sz w:val="20"/>
                <w:szCs w:val="20"/>
              </w:rPr>
              <w:t>d</w:t>
            </w:r>
            <w:r w:rsidRPr="00885464">
              <w:rPr>
                <w:sz w:val="20"/>
                <w:szCs w:val="20"/>
              </w:rPr>
              <w:t xml:space="preserve"> as bait.</w:t>
            </w:r>
          </w:p>
          <w:p w:rsidR="00335E1B" w:rsidRPr="00885464" w:rsidRDefault="00335E1B" w:rsidP="00945AB0">
            <w:pPr>
              <w:pStyle w:val="ListParagraph"/>
              <w:numPr>
                <w:ilvl w:val="0"/>
                <w:numId w:val="3"/>
              </w:numPr>
              <w:rPr>
                <w:sz w:val="20"/>
                <w:szCs w:val="20"/>
              </w:rPr>
            </w:pPr>
            <w:r w:rsidRPr="00885464">
              <w:rPr>
                <w:sz w:val="20"/>
                <w:szCs w:val="20"/>
              </w:rPr>
              <w:t>There are declared finfish products that may not be brought into Tasmania and may not enter the aquatic environment (as a general disease control measure).</w:t>
            </w:r>
          </w:p>
        </w:tc>
      </w:tr>
    </w:tbl>
    <w:p w:rsidR="00945AB0" w:rsidRDefault="00945AB0" w:rsidP="00D3754A">
      <w:pPr>
        <w:pStyle w:val="Heading2"/>
        <w:sectPr w:rsidR="00945AB0" w:rsidSect="008C778D">
          <w:headerReference w:type="default" r:id="rId16"/>
          <w:pgSz w:w="11906" w:h="16838"/>
          <w:pgMar w:top="1440" w:right="1440" w:bottom="1440" w:left="1440" w:header="708" w:footer="708" w:gutter="0"/>
          <w:cols w:space="708"/>
          <w:docGrid w:linePitch="360"/>
        </w:sectPr>
      </w:pPr>
    </w:p>
    <w:p w:rsidR="00E66B29" w:rsidRDefault="004D2BAB" w:rsidP="00D3754A">
      <w:pPr>
        <w:pStyle w:val="Heading2"/>
      </w:pPr>
      <w:bookmarkStart w:id="41" w:name="_Toc419370661"/>
      <w:r w:rsidRPr="004D2BAB">
        <w:lastRenderedPageBreak/>
        <w:t>Appendix 2</w:t>
      </w:r>
      <w:r w:rsidR="006565CE">
        <w:t>:</w:t>
      </w:r>
      <w:r w:rsidRPr="004D2BAB">
        <w:t xml:space="preserve"> </w:t>
      </w:r>
      <w:r w:rsidRPr="00ED000A">
        <w:t xml:space="preserve">Summary of disease </w:t>
      </w:r>
      <w:r w:rsidR="00E66B29">
        <w:t xml:space="preserve">risks </w:t>
      </w:r>
      <w:r w:rsidRPr="00ED000A">
        <w:t xml:space="preserve">posed by common bait and berley </w:t>
      </w:r>
      <w:r w:rsidRPr="00172329">
        <w:t>commodities</w:t>
      </w:r>
      <w:bookmarkEnd w:id="41"/>
      <w:r w:rsidRPr="00ED000A">
        <w:t xml:space="preserve"> </w:t>
      </w:r>
    </w:p>
    <w:p w:rsidR="004D2BAB" w:rsidRPr="002D3636" w:rsidRDefault="004D2BAB" w:rsidP="00B45005">
      <w:pPr>
        <w:rPr>
          <w:sz w:val="20"/>
          <w:szCs w:val="20"/>
        </w:rPr>
      </w:pPr>
      <w:r w:rsidRPr="002D3636">
        <w:rPr>
          <w:sz w:val="20"/>
          <w:szCs w:val="20"/>
        </w:rPr>
        <w:t>(</w:t>
      </w:r>
      <w:r w:rsidR="00E66B29" w:rsidRPr="002D3636">
        <w:rPr>
          <w:sz w:val="20"/>
          <w:szCs w:val="20"/>
        </w:rPr>
        <w:t xml:space="preserve">* </w:t>
      </w:r>
      <w:r w:rsidRPr="002D3636">
        <w:rPr>
          <w:sz w:val="20"/>
          <w:szCs w:val="20"/>
        </w:rPr>
        <w:t>adapted from Diggles 2011)</w:t>
      </w:r>
    </w:p>
    <w:p w:rsidR="006565CE" w:rsidRPr="00A309F4" w:rsidRDefault="006565CE" w:rsidP="003047D4">
      <w:pPr>
        <w:pStyle w:val="Caption"/>
      </w:pPr>
      <w:r w:rsidRPr="00A309F4">
        <w:t xml:space="preserve">Table </w:t>
      </w:r>
      <w:fldSimple w:instr=" SEQ Table \* ARABIC ">
        <w:r w:rsidR="00B55546">
          <w:rPr>
            <w:noProof/>
          </w:rPr>
          <w:t>7</w:t>
        </w:r>
      </w:fldSimple>
      <w:r w:rsidRPr="00A309F4">
        <w:t xml:space="preserve">: </w:t>
      </w:r>
      <w:r w:rsidR="002A3629">
        <w:t>D</w:t>
      </w:r>
      <w:r w:rsidRPr="00A309F4">
        <w:t xml:space="preserve">isease </w:t>
      </w:r>
      <w:r w:rsidR="00E66B29" w:rsidRPr="00A309F4">
        <w:t xml:space="preserve">risks </w:t>
      </w:r>
      <w:r w:rsidRPr="00A309F4">
        <w:t xml:space="preserve">posed by common </w:t>
      </w:r>
      <w:r w:rsidR="002A3629">
        <w:t xml:space="preserve">live </w:t>
      </w:r>
      <w:r w:rsidRPr="00A309F4">
        <w:t>bait and berley commodities</w:t>
      </w:r>
    </w:p>
    <w:tbl>
      <w:tblPr>
        <w:tblStyle w:val="TableGrid"/>
        <w:tblW w:w="5000" w:type="pct"/>
        <w:jc w:val="center"/>
        <w:tblLayout w:type="fixed"/>
        <w:tblLook w:val="04A0"/>
      </w:tblPr>
      <w:tblGrid>
        <w:gridCol w:w="1527"/>
        <w:gridCol w:w="4336"/>
        <w:gridCol w:w="3379"/>
      </w:tblGrid>
      <w:tr w:rsidR="008B55C8" w:rsidRPr="002A3629" w:rsidTr="00C93ECA">
        <w:trPr>
          <w:tblHeader/>
          <w:jc w:val="center"/>
        </w:trPr>
        <w:tc>
          <w:tcPr>
            <w:tcW w:w="826" w:type="pct"/>
            <w:shd w:val="clear" w:color="auto" w:fill="BFBFBF" w:themeFill="background1" w:themeFillShade="BF"/>
          </w:tcPr>
          <w:p w:rsidR="008B55C8" w:rsidRPr="002A3629" w:rsidRDefault="002A3629" w:rsidP="002A3629">
            <w:pPr>
              <w:spacing w:after="120" w:line="276" w:lineRule="auto"/>
              <w:rPr>
                <w:b/>
                <w:sz w:val="20"/>
                <w:szCs w:val="20"/>
              </w:rPr>
            </w:pPr>
            <w:r w:rsidRPr="002A3629">
              <w:rPr>
                <w:b/>
                <w:sz w:val="20"/>
                <w:szCs w:val="20"/>
              </w:rPr>
              <w:t>Live</w:t>
            </w:r>
          </w:p>
        </w:tc>
        <w:tc>
          <w:tcPr>
            <w:tcW w:w="2346" w:type="pct"/>
            <w:shd w:val="clear" w:color="auto" w:fill="BFBFBF" w:themeFill="background1" w:themeFillShade="BF"/>
          </w:tcPr>
          <w:p w:rsidR="008B55C8" w:rsidRPr="002A3629" w:rsidRDefault="008B55C8" w:rsidP="002A3629">
            <w:pPr>
              <w:spacing w:after="120" w:line="276" w:lineRule="auto"/>
              <w:rPr>
                <w:b/>
                <w:sz w:val="20"/>
                <w:szCs w:val="20"/>
              </w:rPr>
            </w:pPr>
            <w:r w:rsidRPr="002A3629">
              <w:rPr>
                <w:b/>
                <w:sz w:val="20"/>
                <w:szCs w:val="20"/>
              </w:rPr>
              <w:t xml:space="preserve">Potential disease risks </w:t>
            </w:r>
          </w:p>
        </w:tc>
        <w:tc>
          <w:tcPr>
            <w:tcW w:w="1828" w:type="pct"/>
            <w:shd w:val="clear" w:color="auto" w:fill="BFBFBF" w:themeFill="background1" w:themeFillShade="BF"/>
          </w:tcPr>
          <w:p w:rsidR="008B55C8" w:rsidRPr="002A3629" w:rsidRDefault="008B55C8" w:rsidP="002A3629">
            <w:pPr>
              <w:spacing w:after="120"/>
              <w:rPr>
                <w:b/>
                <w:sz w:val="20"/>
                <w:szCs w:val="20"/>
              </w:rPr>
            </w:pPr>
            <w:r w:rsidRPr="002A3629">
              <w:rPr>
                <w:b/>
                <w:sz w:val="20"/>
                <w:szCs w:val="20"/>
              </w:rPr>
              <w:t>Susceptible species or groups</w:t>
            </w:r>
          </w:p>
        </w:tc>
      </w:tr>
      <w:tr w:rsidR="008B55C8" w:rsidRPr="002A3629" w:rsidTr="00C93ECA">
        <w:trPr>
          <w:jc w:val="center"/>
        </w:trPr>
        <w:tc>
          <w:tcPr>
            <w:tcW w:w="826" w:type="pct"/>
          </w:tcPr>
          <w:p w:rsidR="008B55C8" w:rsidRPr="00881F8E" w:rsidRDefault="008B55C8" w:rsidP="00C93ECA">
            <w:pPr>
              <w:spacing w:line="276" w:lineRule="auto"/>
              <w:rPr>
                <w:b/>
                <w:sz w:val="20"/>
                <w:szCs w:val="20"/>
              </w:rPr>
            </w:pPr>
            <w:r w:rsidRPr="00881F8E">
              <w:rPr>
                <w:b/>
                <w:sz w:val="20"/>
                <w:szCs w:val="20"/>
              </w:rPr>
              <w:t>Finfish</w:t>
            </w:r>
          </w:p>
        </w:tc>
        <w:tc>
          <w:tcPr>
            <w:tcW w:w="2346" w:type="pct"/>
          </w:tcPr>
          <w:p w:rsidR="008B55C8" w:rsidRPr="002A3629" w:rsidRDefault="008B55C8" w:rsidP="00C93ECA">
            <w:pPr>
              <w:spacing w:line="276" w:lineRule="auto"/>
              <w:rPr>
                <w:sz w:val="20"/>
                <w:szCs w:val="20"/>
              </w:rPr>
            </w:pPr>
            <w:r w:rsidRPr="002A3629">
              <w:rPr>
                <w:sz w:val="20"/>
                <w:szCs w:val="20"/>
              </w:rPr>
              <w:t>EHNV, EUS, VER, GUD, microsporidians, myxosporeans, digeneans, cestodes, nematodes, copepods</w:t>
            </w:r>
          </w:p>
        </w:tc>
        <w:tc>
          <w:tcPr>
            <w:tcW w:w="1828" w:type="pct"/>
          </w:tcPr>
          <w:p w:rsidR="008B55C8" w:rsidRPr="002A3629" w:rsidRDefault="008B55C8" w:rsidP="00C93ECA">
            <w:pPr>
              <w:rPr>
                <w:sz w:val="20"/>
                <w:szCs w:val="20"/>
              </w:rPr>
            </w:pPr>
            <w:r w:rsidRPr="002A3629">
              <w:rPr>
                <w:sz w:val="20"/>
                <w:szCs w:val="20"/>
              </w:rPr>
              <w:t>Fish</w:t>
            </w:r>
          </w:p>
        </w:tc>
      </w:tr>
      <w:tr w:rsidR="00C93ECA" w:rsidRPr="002A3629" w:rsidTr="00B55546">
        <w:trPr>
          <w:trHeight w:val="322"/>
          <w:jc w:val="center"/>
        </w:trPr>
        <w:tc>
          <w:tcPr>
            <w:tcW w:w="826" w:type="pct"/>
            <w:vMerge w:val="restart"/>
          </w:tcPr>
          <w:p w:rsidR="00C93ECA" w:rsidRPr="00881F8E" w:rsidRDefault="00C93ECA" w:rsidP="00C93ECA">
            <w:pPr>
              <w:spacing w:line="276" w:lineRule="auto"/>
              <w:rPr>
                <w:b/>
                <w:sz w:val="20"/>
                <w:szCs w:val="20"/>
              </w:rPr>
            </w:pPr>
            <w:r w:rsidRPr="00881F8E">
              <w:rPr>
                <w:b/>
                <w:sz w:val="20"/>
                <w:szCs w:val="20"/>
              </w:rPr>
              <w:t>Prawns</w:t>
            </w:r>
          </w:p>
        </w:tc>
        <w:tc>
          <w:tcPr>
            <w:tcW w:w="2346" w:type="pct"/>
            <w:tcBorders>
              <w:bottom w:val="dashed" w:sz="4" w:space="0" w:color="auto"/>
            </w:tcBorders>
          </w:tcPr>
          <w:p w:rsidR="00C93ECA" w:rsidRPr="002A3629" w:rsidRDefault="00C93ECA" w:rsidP="00FE6ED0">
            <w:pPr>
              <w:spacing w:line="276" w:lineRule="auto"/>
              <w:rPr>
                <w:sz w:val="20"/>
                <w:szCs w:val="20"/>
              </w:rPr>
            </w:pPr>
            <w:r w:rsidRPr="002A3629">
              <w:rPr>
                <w:sz w:val="20"/>
                <w:szCs w:val="20"/>
              </w:rPr>
              <w:t xml:space="preserve">GAV, SMV, WTD*; microsporidians; </w:t>
            </w:r>
          </w:p>
        </w:tc>
        <w:tc>
          <w:tcPr>
            <w:tcW w:w="1828" w:type="pct"/>
            <w:tcBorders>
              <w:bottom w:val="dashed" w:sz="4" w:space="0" w:color="auto"/>
            </w:tcBorders>
          </w:tcPr>
          <w:p w:rsidR="00C93ECA" w:rsidRPr="002A3629" w:rsidRDefault="00C93ECA" w:rsidP="00FE6ED0">
            <w:pPr>
              <w:rPr>
                <w:sz w:val="20"/>
                <w:szCs w:val="20"/>
              </w:rPr>
            </w:pPr>
            <w:r w:rsidRPr="002A3629">
              <w:rPr>
                <w:sz w:val="20"/>
                <w:szCs w:val="20"/>
              </w:rPr>
              <w:t xml:space="preserve">Freshwater and marine prawns and crayfish. </w:t>
            </w:r>
          </w:p>
        </w:tc>
      </w:tr>
      <w:tr w:rsidR="00C93ECA" w:rsidRPr="002A3629" w:rsidTr="00B55546">
        <w:trPr>
          <w:trHeight w:val="322"/>
          <w:jc w:val="center"/>
        </w:trPr>
        <w:tc>
          <w:tcPr>
            <w:tcW w:w="826" w:type="pct"/>
            <w:vMerge/>
          </w:tcPr>
          <w:p w:rsidR="00C93ECA" w:rsidRPr="00881F8E" w:rsidRDefault="00C93ECA" w:rsidP="00C93ECA">
            <w:pPr>
              <w:rPr>
                <w:b/>
                <w:sz w:val="20"/>
                <w:szCs w:val="20"/>
              </w:rPr>
            </w:pPr>
          </w:p>
        </w:tc>
        <w:tc>
          <w:tcPr>
            <w:tcW w:w="2346" w:type="pct"/>
            <w:tcBorders>
              <w:top w:val="dashed" w:sz="4" w:space="0" w:color="auto"/>
            </w:tcBorders>
          </w:tcPr>
          <w:p w:rsidR="00C93ECA" w:rsidRPr="002A3629" w:rsidRDefault="00C93ECA" w:rsidP="00C93ECA">
            <w:pPr>
              <w:rPr>
                <w:sz w:val="20"/>
                <w:szCs w:val="20"/>
              </w:rPr>
            </w:pPr>
            <w:r w:rsidRPr="002A3629">
              <w:rPr>
                <w:i/>
                <w:sz w:val="20"/>
                <w:szCs w:val="20"/>
              </w:rPr>
              <w:t xml:space="preserve">Hematodinium </w:t>
            </w:r>
            <w:r w:rsidRPr="002A3629">
              <w:rPr>
                <w:sz w:val="20"/>
                <w:szCs w:val="20"/>
              </w:rPr>
              <w:t xml:space="preserve">spp., </w:t>
            </w:r>
            <w:r w:rsidRPr="002A3629">
              <w:rPr>
                <w:i/>
                <w:sz w:val="20"/>
                <w:szCs w:val="20"/>
              </w:rPr>
              <w:t>Sacculina</w:t>
            </w:r>
            <w:r w:rsidRPr="002A3629">
              <w:rPr>
                <w:sz w:val="20"/>
                <w:szCs w:val="20"/>
              </w:rPr>
              <w:t xml:space="preserve"> spp.</w:t>
            </w:r>
          </w:p>
        </w:tc>
        <w:tc>
          <w:tcPr>
            <w:tcW w:w="1828" w:type="pct"/>
            <w:tcBorders>
              <w:top w:val="dashed" w:sz="4" w:space="0" w:color="auto"/>
            </w:tcBorders>
          </w:tcPr>
          <w:p w:rsidR="00C93ECA" w:rsidRPr="002A3629" w:rsidRDefault="00C93ECA" w:rsidP="00C93ECA">
            <w:pPr>
              <w:rPr>
                <w:sz w:val="20"/>
                <w:szCs w:val="20"/>
              </w:rPr>
            </w:pPr>
            <w:r w:rsidRPr="002A3629">
              <w:rPr>
                <w:sz w:val="20"/>
                <w:szCs w:val="20"/>
              </w:rPr>
              <w:t>Crabs (</w:t>
            </w:r>
            <w:r w:rsidRPr="002A3629">
              <w:rPr>
                <w:i/>
                <w:sz w:val="20"/>
                <w:szCs w:val="20"/>
              </w:rPr>
              <w:t>Hematodinium, Sacculina</w:t>
            </w:r>
            <w:r w:rsidRPr="002A3629">
              <w:rPr>
                <w:sz w:val="20"/>
                <w:szCs w:val="20"/>
              </w:rPr>
              <w:t>)</w:t>
            </w:r>
          </w:p>
        </w:tc>
      </w:tr>
      <w:tr w:rsidR="008B55C8" w:rsidRPr="002A3629" w:rsidTr="00C93ECA">
        <w:trPr>
          <w:jc w:val="center"/>
        </w:trPr>
        <w:tc>
          <w:tcPr>
            <w:tcW w:w="826" w:type="pct"/>
          </w:tcPr>
          <w:p w:rsidR="008B55C8" w:rsidRPr="00881F8E" w:rsidRDefault="008B55C8" w:rsidP="00C93ECA">
            <w:pPr>
              <w:spacing w:line="276" w:lineRule="auto"/>
              <w:rPr>
                <w:b/>
                <w:sz w:val="20"/>
                <w:szCs w:val="20"/>
              </w:rPr>
            </w:pPr>
            <w:r w:rsidRPr="00881F8E">
              <w:rPr>
                <w:b/>
                <w:sz w:val="20"/>
                <w:szCs w:val="20"/>
              </w:rPr>
              <w:t>Crayfish</w:t>
            </w:r>
            <w:r w:rsidR="00C93ECA" w:rsidRPr="00881F8E">
              <w:rPr>
                <w:b/>
                <w:sz w:val="20"/>
                <w:szCs w:val="20"/>
              </w:rPr>
              <w:t xml:space="preserve"> &amp; </w:t>
            </w:r>
            <w:r w:rsidRPr="00881F8E">
              <w:rPr>
                <w:b/>
                <w:sz w:val="20"/>
                <w:szCs w:val="20"/>
              </w:rPr>
              <w:t>lobsters</w:t>
            </w:r>
          </w:p>
        </w:tc>
        <w:tc>
          <w:tcPr>
            <w:tcW w:w="2346" w:type="pct"/>
          </w:tcPr>
          <w:p w:rsidR="008B55C8" w:rsidRPr="002A3629" w:rsidRDefault="008B55C8" w:rsidP="00C93ECA">
            <w:pPr>
              <w:spacing w:line="276" w:lineRule="auto"/>
              <w:rPr>
                <w:i/>
                <w:sz w:val="20"/>
                <w:szCs w:val="20"/>
              </w:rPr>
            </w:pPr>
            <w:r w:rsidRPr="002A3629">
              <w:rPr>
                <w:sz w:val="20"/>
                <w:szCs w:val="20"/>
              </w:rPr>
              <w:t>Viruses of freshwater crayfish, SMV, microsporidians</w:t>
            </w:r>
          </w:p>
        </w:tc>
        <w:tc>
          <w:tcPr>
            <w:tcW w:w="1828" w:type="pct"/>
          </w:tcPr>
          <w:p w:rsidR="008B55C8" w:rsidRPr="002A3629" w:rsidRDefault="008B55C8" w:rsidP="00C93ECA">
            <w:pPr>
              <w:rPr>
                <w:sz w:val="20"/>
                <w:szCs w:val="20"/>
              </w:rPr>
            </w:pPr>
            <w:r w:rsidRPr="002A3629">
              <w:rPr>
                <w:sz w:val="20"/>
                <w:szCs w:val="20"/>
              </w:rPr>
              <w:t>Crayfish, prawns</w:t>
            </w:r>
          </w:p>
        </w:tc>
      </w:tr>
      <w:tr w:rsidR="008B55C8" w:rsidRPr="002A3629" w:rsidTr="00C93ECA">
        <w:trPr>
          <w:jc w:val="center"/>
        </w:trPr>
        <w:tc>
          <w:tcPr>
            <w:tcW w:w="826" w:type="pct"/>
          </w:tcPr>
          <w:p w:rsidR="008B55C8" w:rsidRPr="00881F8E" w:rsidRDefault="008B55C8" w:rsidP="00C93ECA">
            <w:pPr>
              <w:spacing w:line="276" w:lineRule="auto"/>
              <w:rPr>
                <w:b/>
                <w:sz w:val="20"/>
                <w:szCs w:val="20"/>
              </w:rPr>
            </w:pPr>
            <w:r w:rsidRPr="00881F8E">
              <w:rPr>
                <w:b/>
                <w:sz w:val="20"/>
                <w:szCs w:val="20"/>
              </w:rPr>
              <w:t>Crabs</w:t>
            </w:r>
          </w:p>
        </w:tc>
        <w:tc>
          <w:tcPr>
            <w:tcW w:w="2346" w:type="pct"/>
          </w:tcPr>
          <w:p w:rsidR="008B55C8" w:rsidRPr="002A3629" w:rsidRDefault="008B55C8" w:rsidP="00C93ECA">
            <w:pPr>
              <w:spacing w:line="276" w:lineRule="auto"/>
              <w:rPr>
                <w:sz w:val="20"/>
                <w:szCs w:val="20"/>
              </w:rPr>
            </w:pPr>
            <w:r w:rsidRPr="002A3629">
              <w:rPr>
                <w:sz w:val="20"/>
                <w:szCs w:val="20"/>
              </w:rPr>
              <w:t xml:space="preserve">Microsporidians, </w:t>
            </w:r>
            <w:r w:rsidRPr="002A3629">
              <w:rPr>
                <w:i/>
                <w:sz w:val="20"/>
                <w:szCs w:val="20"/>
              </w:rPr>
              <w:t>Hematodinium</w:t>
            </w:r>
            <w:r w:rsidRPr="002A3629">
              <w:rPr>
                <w:sz w:val="20"/>
                <w:szCs w:val="20"/>
              </w:rPr>
              <w:t xml:space="preserve"> spp.,</w:t>
            </w:r>
            <w:r w:rsidR="00951C1B" w:rsidRPr="002A3629">
              <w:rPr>
                <w:sz w:val="20"/>
                <w:szCs w:val="20"/>
              </w:rPr>
              <w:t xml:space="preserve"> </w:t>
            </w:r>
            <w:r w:rsidRPr="002A3629">
              <w:rPr>
                <w:i/>
                <w:sz w:val="20"/>
                <w:szCs w:val="20"/>
              </w:rPr>
              <w:t xml:space="preserve">Sacculina </w:t>
            </w:r>
            <w:r w:rsidRPr="002A3629">
              <w:rPr>
                <w:sz w:val="20"/>
                <w:szCs w:val="20"/>
              </w:rPr>
              <w:t>spp.</w:t>
            </w:r>
          </w:p>
        </w:tc>
        <w:tc>
          <w:tcPr>
            <w:tcW w:w="1828" w:type="pct"/>
          </w:tcPr>
          <w:p w:rsidR="008B55C8" w:rsidRPr="002A3629" w:rsidRDefault="008B55C8" w:rsidP="00C93ECA">
            <w:pPr>
              <w:rPr>
                <w:sz w:val="20"/>
                <w:szCs w:val="20"/>
              </w:rPr>
            </w:pPr>
            <w:r w:rsidRPr="002A3629">
              <w:rPr>
                <w:sz w:val="20"/>
                <w:szCs w:val="20"/>
              </w:rPr>
              <w:t>Crabs</w:t>
            </w:r>
          </w:p>
        </w:tc>
      </w:tr>
      <w:tr w:rsidR="00881F8E" w:rsidRPr="002A3629" w:rsidTr="00B55546">
        <w:trPr>
          <w:trHeight w:val="568"/>
          <w:jc w:val="center"/>
        </w:trPr>
        <w:tc>
          <w:tcPr>
            <w:tcW w:w="826" w:type="pct"/>
            <w:vMerge w:val="restart"/>
          </w:tcPr>
          <w:p w:rsidR="00881F8E" w:rsidRPr="00881F8E" w:rsidRDefault="00881F8E" w:rsidP="00C93ECA">
            <w:pPr>
              <w:spacing w:line="276" w:lineRule="auto"/>
              <w:rPr>
                <w:b/>
                <w:sz w:val="20"/>
                <w:szCs w:val="20"/>
              </w:rPr>
            </w:pPr>
            <w:r w:rsidRPr="00881F8E">
              <w:rPr>
                <w:b/>
                <w:sz w:val="20"/>
                <w:szCs w:val="20"/>
              </w:rPr>
              <w:t>Molluscs</w:t>
            </w:r>
          </w:p>
        </w:tc>
        <w:tc>
          <w:tcPr>
            <w:tcW w:w="2346" w:type="pct"/>
            <w:tcBorders>
              <w:bottom w:val="dashed" w:sz="4" w:space="0" w:color="auto"/>
            </w:tcBorders>
          </w:tcPr>
          <w:p w:rsidR="00881F8E" w:rsidRPr="002A3629" w:rsidRDefault="00881F8E" w:rsidP="00881F8E">
            <w:pPr>
              <w:spacing w:line="276" w:lineRule="auto"/>
              <w:rPr>
                <w:sz w:val="20"/>
                <w:szCs w:val="20"/>
              </w:rPr>
            </w:pPr>
            <w:r w:rsidRPr="002A3629">
              <w:rPr>
                <w:i/>
                <w:sz w:val="20"/>
                <w:szCs w:val="20"/>
              </w:rPr>
              <w:t>Perkinsus olseni</w:t>
            </w:r>
          </w:p>
        </w:tc>
        <w:tc>
          <w:tcPr>
            <w:tcW w:w="1828" w:type="pct"/>
            <w:tcBorders>
              <w:bottom w:val="dashed" w:sz="4" w:space="0" w:color="auto"/>
            </w:tcBorders>
          </w:tcPr>
          <w:p w:rsidR="00881F8E" w:rsidRPr="002A3629" w:rsidRDefault="00881F8E" w:rsidP="00881F8E">
            <w:pPr>
              <w:rPr>
                <w:sz w:val="20"/>
                <w:szCs w:val="20"/>
              </w:rPr>
            </w:pPr>
            <w:r w:rsidRPr="002A3629">
              <w:rPr>
                <w:sz w:val="20"/>
                <w:szCs w:val="20"/>
              </w:rPr>
              <w:t>Abalone, clams, pearl oysters (</w:t>
            </w:r>
            <w:r w:rsidRPr="002A3629">
              <w:rPr>
                <w:i/>
                <w:sz w:val="20"/>
                <w:szCs w:val="20"/>
              </w:rPr>
              <w:t>Perkinsus olseni</w:t>
            </w:r>
            <w:r w:rsidRPr="002A3629">
              <w:rPr>
                <w:sz w:val="20"/>
                <w:szCs w:val="20"/>
              </w:rPr>
              <w:t>)</w:t>
            </w:r>
          </w:p>
        </w:tc>
      </w:tr>
      <w:tr w:rsidR="00881F8E" w:rsidRPr="002A3629" w:rsidTr="00B55546">
        <w:trPr>
          <w:trHeight w:val="567"/>
          <w:jc w:val="center"/>
        </w:trPr>
        <w:tc>
          <w:tcPr>
            <w:tcW w:w="826" w:type="pct"/>
            <w:vMerge/>
          </w:tcPr>
          <w:p w:rsidR="00881F8E" w:rsidRPr="00881F8E" w:rsidRDefault="00881F8E" w:rsidP="00C93ECA">
            <w:pPr>
              <w:rPr>
                <w:b/>
                <w:sz w:val="20"/>
                <w:szCs w:val="20"/>
              </w:rPr>
            </w:pPr>
          </w:p>
        </w:tc>
        <w:tc>
          <w:tcPr>
            <w:tcW w:w="2346" w:type="pct"/>
            <w:tcBorders>
              <w:top w:val="dashed" w:sz="4" w:space="0" w:color="auto"/>
              <w:bottom w:val="dashed" w:sz="4" w:space="0" w:color="auto"/>
            </w:tcBorders>
          </w:tcPr>
          <w:p w:rsidR="00881F8E" w:rsidRPr="002A3629" w:rsidRDefault="00881F8E" w:rsidP="00881F8E">
            <w:pPr>
              <w:spacing w:line="276" w:lineRule="auto"/>
              <w:rPr>
                <w:i/>
                <w:sz w:val="20"/>
                <w:szCs w:val="20"/>
              </w:rPr>
            </w:pPr>
            <w:r w:rsidRPr="002A3629">
              <w:rPr>
                <w:sz w:val="20"/>
                <w:szCs w:val="20"/>
              </w:rPr>
              <w:t xml:space="preserve">Haplosporidians, </w:t>
            </w:r>
          </w:p>
        </w:tc>
        <w:tc>
          <w:tcPr>
            <w:tcW w:w="1828" w:type="pct"/>
            <w:tcBorders>
              <w:top w:val="dashed" w:sz="4" w:space="0" w:color="auto"/>
              <w:bottom w:val="dashed" w:sz="4" w:space="0" w:color="auto"/>
            </w:tcBorders>
          </w:tcPr>
          <w:p w:rsidR="00881F8E" w:rsidRPr="002A3629" w:rsidRDefault="00881F8E" w:rsidP="00881F8E">
            <w:pPr>
              <w:rPr>
                <w:sz w:val="20"/>
                <w:szCs w:val="20"/>
              </w:rPr>
            </w:pPr>
            <w:r w:rsidRPr="002A3629">
              <w:rPr>
                <w:sz w:val="20"/>
                <w:szCs w:val="20"/>
              </w:rPr>
              <w:t xml:space="preserve">Haplosporidians affect edible oysters in particular (e.g. </w:t>
            </w:r>
            <w:r w:rsidRPr="002A3629">
              <w:rPr>
                <w:i/>
                <w:sz w:val="20"/>
                <w:szCs w:val="20"/>
              </w:rPr>
              <w:t>Bonamia</w:t>
            </w:r>
            <w:r w:rsidRPr="002A3629">
              <w:rPr>
                <w:sz w:val="20"/>
                <w:szCs w:val="20"/>
              </w:rPr>
              <w:t xml:space="preserve"> spp) </w:t>
            </w:r>
          </w:p>
        </w:tc>
      </w:tr>
      <w:tr w:rsidR="00881F8E" w:rsidRPr="002A3629" w:rsidTr="00B55546">
        <w:trPr>
          <w:trHeight w:val="567"/>
          <w:jc w:val="center"/>
        </w:trPr>
        <w:tc>
          <w:tcPr>
            <w:tcW w:w="826" w:type="pct"/>
            <w:vMerge/>
          </w:tcPr>
          <w:p w:rsidR="00881F8E" w:rsidRPr="00881F8E" w:rsidRDefault="00881F8E" w:rsidP="00C93ECA">
            <w:pPr>
              <w:rPr>
                <w:b/>
                <w:sz w:val="20"/>
                <w:szCs w:val="20"/>
              </w:rPr>
            </w:pPr>
          </w:p>
        </w:tc>
        <w:tc>
          <w:tcPr>
            <w:tcW w:w="2346" w:type="pct"/>
            <w:tcBorders>
              <w:top w:val="dashed" w:sz="4" w:space="0" w:color="auto"/>
            </w:tcBorders>
          </w:tcPr>
          <w:p w:rsidR="00881F8E" w:rsidRPr="002A3629" w:rsidRDefault="00881F8E" w:rsidP="00C93ECA">
            <w:pPr>
              <w:rPr>
                <w:i/>
                <w:sz w:val="20"/>
                <w:szCs w:val="20"/>
              </w:rPr>
            </w:pPr>
            <w:r w:rsidRPr="002A3629">
              <w:rPr>
                <w:sz w:val="20"/>
                <w:szCs w:val="20"/>
              </w:rPr>
              <w:t>Digeneans</w:t>
            </w:r>
          </w:p>
        </w:tc>
        <w:tc>
          <w:tcPr>
            <w:tcW w:w="1828" w:type="pct"/>
            <w:tcBorders>
              <w:top w:val="dashed" w:sz="4" w:space="0" w:color="auto"/>
            </w:tcBorders>
          </w:tcPr>
          <w:p w:rsidR="00881F8E" w:rsidRPr="002A3629" w:rsidRDefault="00881F8E" w:rsidP="00C93ECA">
            <w:pPr>
              <w:rPr>
                <w:sz w:val="20"/>
                <w:szCs w:val="20"/>
              </w:rPr>
            </w:pPr>
            <w:r w:rsidRPr="002A3629">
              <w:rPr>
                <w:sz w:val="20"/>
                <w:szCs w:val="20"/>
              </w:rPr>
              <w:t>Fish (Digenea use molluscs as intermediate hosts for parasites of fish)</w:t>
            </w:r>
          </w:p>
        </w:tc>
      </w:tr>
      <w:tr w:rsidR="00881F8E" w:rsidRPr="002A3629" w:rsidTr="00B55546">
        <w:trPr>
          <w:trHeight w:val="568"/>
          <w:jc w:val="center"/>
        </w:trPr>
        <w:tc>
          <w:tcPr>
            <w:tcW w:w="826" w:type="pct"/>
            <w:vMerge w:val="restart"/>
          </w:tcPr>
          <w:p w:rsidR="00881F8E" w:rsidRPr="00881F8E" w:rsidRDefault="00881F8E" w:rsidP="00C93ECA">
            <w:pPr>
              <w:spacing w:line="276" w:lineRule="auto"/>
              <w:rPr>
                <w:b/>
                <w:sz w:val="20"/>
                <w:szCs w:val="20"/>
              </w:rPr>
            </w:pPr>
            <w:r w:rsidRPr="00881F8E">
              <w:rPr>
                <w:b/>
                <w:sz w:val="20"/>
                <w:szCs w:val="20"/>
              </w:rPr>
              <w:t>Oysters</w:t>
            </w:r>
          </w:p>
        </w:tc>
        <w:tc>
          <w:tcPr>
            <w:tcW w:w="2346" w:type="pct"/>
            <w:tcBorders>
              <w:bottom w:val="dashed" w:sz="4" w:space="0" w:color="auto"/>
            </w:tcBorders>
          </w:tcPr>
          <w:p w:rsidR="00881F8E" w:rsidRPr="002A3629" w:rsidRDefault="00881F8E" w:rsidP="00881F8E">
            <w:pPr>
              <w:spacing w:line="276" w:lineRule="auto"/>
              <w:rPr>
                <w:sz w:val="20"/>
                <w:szCs w:val="20"/>
              </w:rPr>
            </w:pPr>
            <w:r w:rsidRPr="002A3629">
              <w:rPr>
                <w:i/>
                <w:sz w:val="20"/>
                <w:szCs w:val="20"/>
              </w:rPr>
              <w:t>Perkinsus olseni, Bonamia</w:t>
            </w:r>
            <w:r w:rsidRPr="002A3629">
              <w:rPr>
                <w:sz w:val="20"/>
                <w:szCs w:val="20"/>
              </w:rPr>
              <w:t xml:space="preserve"> spp.</w:t>
            </w:r>
          </w:p>
        </w:tc>
        <w:tc>
          <w:tcPr>
            <w:tcW w:w="1828" w:type="pct"/>
            <w:tcBorders>
              <w:bottom w:val="dashed" w:sz="4" w:space="0" w:color="auto"/>
            </w:tcBorders>
          </w:tcPr>
          <w:p w:rsidR="00881F8E" w:rsidRPr="002A3629" w:rsidRDefault="00881F8E" w:rsidP="00881F8E">
            <w:pPr>
              <w:rPr>
                <w:sz w:val="20"/>
                <w:szCs w:val="20"/>
              </w:rPr>
            </w:pPr>
            <w:r w:rsidRPr="002A3629">
              <w:rPr>
                <w:sz w:val="20"/>
                <w:szCs w:val="20"/>
              </w:rPr>
              <w:t>Abalone clams, pearl oysters (</w:t>
            </w:r>
            <w:r w:rsidRPr="002A3629">
              <w:rPr>
                <w:i/>
                <w:sz w:val="20"/>
                <w:szCs w:val="20"/>
              </w:rPr>
              <w:t>Perkinsus olseni</w:t>
            </w:r>
            <w:r w:rsidRPr="002A3629">
              <w:rPr>
                <w:sz w:val="20"/>
                <w:szCs w:val="20"/>
              </w:rPr>
              <w:t>)</w:t>
            </w:r>
          </w:p>
        </w:tc>
      </w:tr>
      <w:tr w:rsidR="00881F8E" w:rsidRPr="002A3629" w:rsidTr="00B55546">
        <w:trPr>
          <w:trHeight w:val="567"/>
          <w:jc w:val="center"/>
        </w:trPr>
        <w:tc>
          <w:tcPr>
            <w:tcW w:w="826" w:type="pct"/>
            <w:vMerge/>
          </w:tcPr>
          <w:p w:rsidR="00881F8E" w:rsidRPr="00881F8E" w:rsidRDefault="00881F8E" w:rsidP="00C93ECA">
            <w:pPr>
              <w:rPr>
                <w:b/>
                <w:sz w:val="20"/>
                <w:szCs w:val="20"/>
              </w:rPr>
            </w:pPr>
          </w:p>
        </w:tc>
        <w:tc>
          <w:tcPr>
            <w:tcW w:w="2346" w:type="pct"/>
            <w:tcBorders>
              <w:top w:val="dashed" w:sz="4" w:space="0" w:color="auto"/>
              <w:bottom w:val="dashed" w:sz="4" w:space="0" w:color="auto"/>
            </w:tcBorders>
          </w:tcPr>
          <w:p w:rsidR="00881F8E" w:rsidRPr="002A3629" w:rsidRDefault="00881F8E" w:rsidP="00C93ECA">
            <w:pPr>
              <w:rPr>
                <w:i/>
                <w:sz w:val="20"/>
                <w:szCs w:val="20"/>
              </w:rPr>
            </w:pPr>
            <w:r w:rsidRPr="002A3629">
              <w:rPr>
                <w:i/>
                <w:sz w:val="20"/>
                <w:szCs w:val="20"/>
              </w:rPr>
              <w:t>Marteilia sydneyi</w:t>
            </w:r>
            <w:r w:rsidRPr="002A3629">
              <w:rPr>
                <w:sz w:val="20"/>
                <w:szCs w:val="20"/>
              </w:rPr>
              <w:t>, haplosporidians</w:t>
            </w:r>
          </w:p>
        </w:tc>
        <w:tc>
          <w:tcPr>
            <w:tcW w:w="1828" w:type="pct"/>
            <w:tcBorders>
              <w:top w:val="dashed" w:sz="4" w:space="0" w:color="auto"/>
              <w:bottom w:val="dashed" w:sz="4" w:space="0" w:color="auto"/>
            </w:tcBorders>
          </w:tcPr>
          <w:p w:rsidR="00881F8E" w:rsidRPr="002A3629" w:rsidRDefault="00881F8E" w:rsidP="00881F8E">
            <w:pPr>
              <w:rPr>
                <w:sz w:val="20"/>
                <w:szCs w:val="20"/>
              </w:rPr>
            </w:pPr>
            <w:r w:rsidRPr="002A3629">
              <w:rPr>
                <w:sz w:val="20"/>
                <w:szCs w:val="20"/>
              </w:rPr>
              <w:t xml:space="preserve">Haplosporidians affect edible oysters in particular (e.g. </w:t>
            </w:r>
            <w:r w:rsidRPr="002A3629">
              <w:rPr>
                <w:i/>
                <w:sz w:val="20"/>
                <w:szCs w:val="20"/>
              </w:rPr>
              <w:t>Bonamia</w:t>
            </w:r>
            <w:r w:rsidRPr="002A3629">
              <w:rPr>
                <w:sz w:val="20"/>
                <w:szCs w:val="20"/>
              </w:rPr>
              <w:t xml:space="preserve"> spp)</w:t>
            </w:r>
          </w:p>
        </w:tc>
      </w:tr>
      <w:tr w:rsidR="00881F8E" w:rsidRPr="002A3629" w:rsidTr="00B55546">
        <w:trPr>
          <w:trHeight w:val="567"/>
          <w:jc w:val="center"/>
        </w:trPr>
        <w:tc>
          <w:tcPr>
            <w:tcW w:w="826" w:type="pct"/>
            <w:vMerge/>
          </w:tcPr>
          <w:p w:rsidR="00881F8E" w:rsidRPr="00881F8E" w:rsidRDefault="00881F8E" w:rsidP="00C93ECA">
            <w:pPr>
              <w:rPr>
                <w:b/>
                <w:sz w:val="20"/>
                <w:szCs w:val="20"/>
              </w:rPr>
            </w:pPr>
          </w:p>
        </w:tc>
        <w:tc>
          <w:tcPr>
            <w:tcW w:w="2346" w:type="pct"/>
            <w:tcBorders>
              <w:top w:val="dashed" w:sz="4" w:space="0" w:color="auto"/>
            </w:tcBorders>
          </w:tcPr>
          <w:p w:rsidR="00881F8E" w:rsidRPr="002A3629" w:rsidRDefault="00881F8E" w:rsidP="00C93ECA">
            <w:pPr>
              <w:rPr>
                <w:i/>
                <w:sz w:val="20"/>
                <w:szCs w:val="20"/>
              </w:rPr>
            </w:pPr>
            <w:r w:rsidRPr="002A3629">
              <w:rPr>
                <w:sz w:val="20"/>
                <w:szCs w:val="20"/>
              </w:rPr>
              <w:t>Digeneans</w:t>
            </w:r>
          </w:p>
        </w:tc>
        <w:tc>
          <w:tcPr>
            <w:tcW w:w="1828" w:type="pct"/>
            <w:tcBorders>
              <w:top w:val="dashed" w:sz="4" w:space="0" w:color="auto"/>
            </w:tcBorders>
          </w:tcPr>
          <w:p w:rsidR="00881F8E" w:rsidRPr="002A3629" w:rsidRDefault="00881F8E" w:rsidP="00C93ECA">
            <w:pPr>
              <w:rPr>
                <w:sz w:val="20"/>
                <w:szCs w:val="20"/>
              </w:rPr>
            </w:pPr>
            <w:r w:rsidRPr="002A3629">
              <w:rPr>
                <w:sz w:val="20"/>
                <w:szCs w:val="20"/>
              </w:rPr>
              <w:t>Fish (Digenea use molluscs as intermediate hosts for parasites of fish)</w:t>
            </w:r>
          </w:p>
        </w:tc>
      </w:tr>
      <w:tr w:rsidR="00881F8E" w:rsidRPr="002A3629" w:rsidTr="00B55546">
        <w:trPr>
          <w:trHeight w:val="534"/>
          <w:jc w:val="center"/>
        </w:trPr>
        <w:tc>
          <w:tcPr>
            <w:tcW w:w="826" w:type="pct"/>
            <w:vMerge w:val="restart"/>
          </w:tcPr>
          <w:p w:rsidR="00881F8E" w:rsidRPr="00881F8E" w:rsidRDefault="00881F8E" w:rsidP="00C93ECA">
            <w:pPr>
              <w:spacing w:line="276" w:lineRule="auto"/>
              <w:rPr>
                <w:b/>
                <w:sz w:val="20"/>
                <w:szCs w:val="20"/>
              </w:rPr>
            </w:pPr>
            <w:r w:rsidRPr="00881F8E">
              <w:rPr>
                <w:b/>
                <w:sz w:val="20"/>
                <w:szCs w:val="20"/>
              </w:rPr>
              <w:t>Abalone</w:t>
            </w:r>
          </w:p>
        </w:tc>
        <w:tc>
          <w:tcPr>
            <w:tcW w:w="2346" w:type="pct"/>
            <w:tcBorders>
              <w:bottom w:val="dashed" w:sz="4" w:space="0" w:color="auto"/>
            </w:tcBorders>
          </w:tcPr>
          <w:p w:rsidR="00881F8E" w:rsidRPr="002A3629" w:rsidRDefault="00881F8E" w:rsidP="00881F8E">
            <w:pPr>
              <w:spacing w:line="276" w:lineRule="auto"/>
              <w:rPr>
                <w:sz w:val="20"/>
                <w:szCs w:val="20"/>
              </w:rPr>
            </w:pPr>
            <w:r w:rsidRPr="002A3629">
              <w:rPr>
                <w:sz w:val="20"/>
                <w:szCs w:val="20"/>
              </w:rPr>
              <w:t>AVG</w:t>
            </w:r>
          </w:p>
        </w:tc>
        <w:tc>
          <w:tcPr>
            <w:tcW w:w="1828" w:type="pct"/>
            <w:tcBorders>
              <w:bottom w:val="dashed" w:sz="4" w:space="0" w:color="auto"/>
            </w:tcBorders>
          </w:tcPr>
          <w:p w:rsidR="00881F8E" w:rsidRPr="002A3629" w:rsidRDefault="00881F8E" w:rsidP="00881F8E">
            <w:pPr>
              <w:rPr>
                <w:sz w:val="20"/>
                <w:szCs w:val="20"/>
              </w:rPr>
            </w:pPr>
            <w:r w:rsidRPr="002A3629">
              <w:rPr>
                <w:sz w:val="20"/>
                <w:szCs w:val="20"/>
              </w:rPr>
              <w:t>Abalone, particularly greenlip and blacklip</w:t>
            </w:r>
          </w:p>
        </w:tc>
      </w:tr>
      <w:tr w:rsidR="00881F8E" w:rsidRPr="002A3629" w:rsidTr="00B55546">
        <w:trPr>
          <w:trHeight w:val="531"/>
          <w:jc w:val="center"/>
        </w:trPr>
        <w:tc>
          <w:tcPr>
            <w:tcW w:w="826" w:type="pct"/>
            <w:vMerge/>
          </w:tcPr>
          <w:p w:rsidR="00881F8E" w:rsidRPr="00881F8E" w:rsidRDefault="00881F8E" w:rsidP="00C93ECA">
            <w:pPr>
              <w:rPr>
                <w:b/>
                <w:sz w:val="20"/>
                <w:szCs w:val="20"/>
              </w:rPr>
            </w:pPr>
          </w:p>
        </w:tc>
        <w:tc>
          <w:tcPr>
            <w:tcW w:w="2346" w:type="pct"/>
            <w:tcBorders>
              <w:top w:val="dashed" w:sz="4" w:space="0" w:color="auto"/>
              <w:bottom w:val="dashed" w:sz="4" w:space="0" w:color="auto"/>
            </w:tcBorders>
          </w:tcPr>
          <w:p w:rsidR="00881F8E" w:rsidRPr="002A3629" w:rsidRDefault="00881F8E" w:rsidP="00881F8E">
            <w:pPr>
              <w:spacing w:line="276" w:lineRule="auto"/>
              <w:rPr>
                <w:sz w:val="20"/>
                <w:szCs w:val="20"/>
              </w:rPr>
            </w:pPr>
            <w:r w:rsidRPr="002A3629">
              <w:rPr>
                <w:i/>
                <w:sz w:val="20"/>
                <w:szCs w:val="20"/>
              </w:rPr>
              <w:t>Perkinsus olseni</w:t>
            </w:r>
          </w:p>
        </w:tc>
        <w:tc>
          <w:tcPr>
            <w:tcW w:w="1828" w:type="pct"/>
            <w:tcBorders>
              <w:top w:val="dashed" w:sz="4" w:space="0" w:color="auto"/>
              <w:bottom w:val="dashed" w:sz="4" w:space="0" w:color="auto"/>
            </w:tcBorders>
          </w:tcPr>
          <w:p w:rsidR="00881F8E" w:rsidRPr="002A3629" w:rsidRDefault="00881F8E" w:rsidP="00881F8E">
            <w:pPr>
              <w:rPr>
                <w:sz w:val="20"/>
                <w:szCs w:val="20"/>
              </w:rPr>
            </w:pPr>
            <w:r w:rsidRPr="002A3629">
              <w:rPr>
                <w:sz w:val="20"/>
                <w:szCs w:val="20"/>
              </w:rPr>
              <w:t>Abalone clams, pearl oysters (</w:t>
            </w:r>
            <w:r w:rsidRPr="002A3629">
              <w:rPr>
                <w:i/>
                <w:sz w:val="20"/>
                <w:szCs w:val="20"/>
              </w:rPr>
              <w:t>Perkinsus olseni</w:t>
            </w:r>
            <w:r w:rsidRPr="002A3629">
              <w:rPr>
                <w:sz w:val="20"/>
                <w:szCs w:val="20"/>
              </w:rPr>
              <w:t>)</w:t>
            </w:r>
          </w:p>
        </w:tc>
      </w:tr>
      <w:tr w:rsidR="00881F8E" w:rsidRPr="002A3629" w:rsidTr="00B55546">
        <w:trPr>
          <w:trHeight w:val="531"/>
          <w:jc w:val="center"/>
        </w:trPr>
        <w:tc>
          <w:tcPr>
            <w:tcW w:w="826" w:type="pct"/>
            <w:vMerge/>
          </w:tcPr>
          <w:p w:rsidR="00881F8E" w:rsidRPr="00881F8E" w:rsidRDefault="00881F8E" w:rsidP="00C93ECA">
            <w:pPr>
              <w:rPr>
                <w:b/>
                <w:sz w:val="20"/>
                <w:szCs w:val="20"/>
              </w:rPr>
            </w:pPr>
          </w:p>
        </w:tc>
        <w:tc>
          <w:tcPr>
            <w:tcW w:w="2346" w:type="pct"/>
            <w:tcBorders>
              <w:top w:val="dashed" w:sz="4" w:space="0" w:color="auto"/>
              <w:bottom w:val="dashed" w:sz="4" w:space="0" w:color="auto"/>
            </w:tcBorders>
          </w:tcPr>
          <w:p w:rsidR="00881F8E" w:rsidRPr="002A3629" w:rsidRDefault="00881F8E" w:rsidP="00881F8E">
            <w:pPr>
              <w:spacing w:line="276" w:lineRule="auto"/>
              <w:rPr>
                <w:sz w:val="20"/>
                <w:szCs w:val="20"/>
              </w:rPr>
            </w:pPr>
            <w:r w:rsidRPr="002A3629">
              <w:rPr>
                <w:sz w:val="20"/>
                <w:szCs w:val="20"/>
              </w:rPr>
              <w:t xml:space="preserve">Haplosporidians, </w:t>
            </w:r>
          </w:p>
        </w:tc>
        <w:tc>
          <w:tcPr>
            <w:tcW w:w="1828" w:type="pct"/>
            <w:tcBorders>
              <w:top w:val="dashed" w:sz="4" w:space="0" w:color="auto"/>
              <w:bottom w:val="dashed" w:sz="4" w:space="0" w:color="auto"/>
            </w:tcBorders>
          </w:tcPr>
          <w:p w:rsidR="00881F8E" w:rsidRPr="002A3629" w:rsidRDefault="00881F8E" w:rsidP="00881F8E">
            <w:pPr>
              <w:rPr>
                <w:sz w:val="20"/>
                <w:szCs w:val="20"/>
              </w:rPr>
            </w:pPr>
            <w:r w:rsidRPr="002A3629">
              <w:rPr>
                <w:sz w:val="20"/>
                <w:szCs w:val="20"/>
              </w:rPr>
              <w:t xml:space="preserve">Haplosporidians affect edible oysters in particular (e.g. </w:t>
            </w:r>
            <w:r w:rsidRPr="002A3629">
              <w:rPr>
                <w:i/>
                <w:sz w:val="20"/>
                <w:szCs w:val="20"/>
              </w:rPr>
              <w:t>Bonamia</w:t>
            </w:r>
            <w:r w:rsidRPr="002A3629">
              <w:rPr>
                <w:sz w:val="20"/>
                <w:szCs w:val="20"/>
              </w:rPr>
              <w:t xml:space="preserve"> spp)</w:t>
            </w:r>
          </w:p>
        </w:tc>
      </w:tr>
      <w:tr w:rsidR="00881F8E" w:rsidRPr="002A3629" w:rsidTr="00B55546">
        <w:trPr>
          <w:trHeight w:val="531"/>
          <w:jc w:val="center"/>
        </w:trPr>
        <w:tc>
          <w:tcPr>
            <w:tcW w:w="826" w:type="pct"/>
            <w:vMerge/>
          </w:tcPr>
          <w:p w:rsidR="00881F8E" w:rsidRPr="00881F8E" w:rsidRDefault="00881F8E" w:rsidP="00C93ECA">
            <w:pPr>
              <w:rPr>
                <w:b/>
                <w:sz w:val="20"/>
                <w:szCs w:val="20"/>
              </w:rPr>
            </w:pPr>
          </w:p>
        </w:tc>
        <w:tc>
          <w:tcPr>
            <w:tcW w:w="2346" w:type="pct"/>
            <w:tcBorders>
              <w:top w:val="dashed" w:sz="4" w:space="0" w:color="auto"/>
            </w:tcBorders>
          </w:tcPr>
          <w:p w:rsidR="00881F8E" w:rsidRPr="002A3629" w:rsidRDefault="00881F8E" w:rsidP="00C93ECA">
            <w:pPr>
              <w:rPr>
                <w:sz w:val="20"/>
                <w:szCs w:val="20"/>
              </w:rPr>
            </w:pPr>
            <w:r w:rsidRPr="002A3629">
              <w:rPr>
                <w:sz w:val="20"/>
                <w:szCs w:val="20"/>
              </w:rPr>
              <w:t>Digeneans</w:t>
            </w:r>
          </w:p>
        </w:tc>
        <w:tc>
          <w:tcPr>
            <w:tcW w:w="1828" w:type="pct"/>
            <w:tcBorders>
              <w:top w:val="dashed" w:sz="4" w:space="0" w:color="auto"/>
            </w:tcBorders>
          </w:tcPr>
          <w:p w:rsidR="00881F8E" w:rsidRPr="002A3629" w:rsidRDefault="00881F8E" w:rsidP="00C93ECA">
            <w:pPr>
              <w:rPr>
                <w:sz w:val="20"/>
                <w:szCs w:val="20"/>
              </w:rPr>
            </w:pPr>
            <w:r w:rsidRPr="002A3629">
              <w:rPr>
                <w:sz w:val="20"/>
                <w:szCs w:val="20"/>
              </w:rPr>
              <w:t>Fish (Digenea use molluscs as intermediate hosts for parasites of fish)</w:t>
            </w:r>
          </w:p>
        </w:tc>
      </w:tr>
      <w:tr w:rsidR="008B55C8" w:rsidRPr="002A3629" w:rsidTr="00C93ECA">
        <w:trPr>
          <w:jc w:val="center"/>
        </w:trPr>
        <w:tc>
          <w:tcPr>
            <w:tcW w:w="826" w:type="pct"/>
          </w:tcPr>
          <w:p w:rsidR="008B55C8" w:rsidRPr="00881F8E" w:rsidRDefault="008B55C8" w:rsidP="00C93ECA">
            <w:pPr>
              <w:spacing w:line="276" w:lineRule="auto"/>
              <w:rPr>
                <w:b/>
                <w:sz w:val="20"/>
                <w:szCs w:val="20"/>
              </w:rPr>
            </w:pPr>
            <w:r w:rsidRPr="00881F8E">
              <w:rPr>
                <w:b/>
                <w:sz w:val="20"/>
                <w:szCs w:val="20"/>
              </w:rPr>
              <w:t>Annelids</w:t>
            </w:r>
          </w:p>
        </w:tc>
        <w:tc>
          <w:tcPr>
            <w:tcW w:w="2346" w:type="pct"/>
          </w:tcPr>
          <w:p w:rsidR="008B55C8" w:rsidRPr="002A3629" w:rsidRDefault="008B55C8" w:rsidP="00C93ECA">
            <w:pPr>
              <w:spacing w:line="276" w:lineRule="auto"/>
              <w:rPr>
                <w:sz w:val="20"/>
                <w:szCs w:val="20"/>
              </w:rPr>
            </w:pPr>
            <w:r w:rsidRPr="002A3629">
              <w:rPr>
                <w:i/>
                <w:sz w:val="20"/>
                <w:szCs w:val="20"/>
              </w:rPr>
              <w:t>Marteilia sydneyi</w:t>
            </w:r>
            <w:r w:rsidRPr="002A3629">
              <w:rPr>
                <w:sz w:val="20"/>
                <w:szCs w:val="20"/>
              </w:rPr>
              <w:t>, myxosporeans</w:t>
            </w:r>
          </w:p>
        </w:tc>
        <w:tc>
          <w:tcPr>
            <w:tcW w:w="1828" w:type="pct"/>
          </w:tcPr>
          <w:p w:rsidR="008B55C8" w:rsidRPr="002A3629" w:rsidRDefault="008B55C8" w:rsidP="00C93ECA">
            <w:pPr>
              <w:rPr>
                <w:sz w:val="20"/>
                <w:szCs w:val="20"/>
              </w:rPr>
            </w:pPr>
            <w:r w:rsidRPr="002A3629">
              <w:rPr>
                <w:sz w:val="20"/>
                <w:szCs w:val="20"/>
              </w:rPr>
              <w:t>Edible oysters</w:t>
            </w:r>
            <w:r w:rsidR="00836576" w:rsidRPr="002A3629">
              <w:rPr>
                <w:sz w:val="20"/>
                <w:szCs w:val="20"/>
              </w:rPr>
              <w:t xml:space="preserve"> </w:t>
            </w:r>
            <w:r w:rsidRPr="002A3629">
              <w:rPr>
                <w:sz w:val="20"/>
                <w:szCs w:val="20"/>
              </w:rPr>
              <w:t>(some annelids - not those commonly used for bait) are intermediate hosts for this parasite of oysters</w:t>
            </w:r>
          </w:p>
        </w:tc>
      </w:tr>
    </w:tbl>
    <w:p w:rsidR="002525F5" w:rsidRDefault="002525F5">
      <w:pPr>
        <w:rPr>
          <w:rFonts w:asciiTheme="minorHAnsi" w:hAnsiTheme="minorHAnsi"/>
          <w:b/>
          <w:bCs/>
          <w:color w:val="4F81BD" w:themeColor="accent1"/>
          <w:sz w:val="18"/>
          <w:szCs w:val="18"/>
        </w:rPr>
      </w:pPr>
      <w:r w:rsidRPr="002525F5">
        <w:t>* Freshwater prawns (</w:t>
      </w:r>
      <w:r w:rsidRPr="002525F5">
        <w:rPr>
          <w:i/>
        </w:rPr>
        <w:t xml:space="preserve">Macrobrachium </w:t>
      </w:r>
      <w:r w:rsidRPr="002525F5">
        <w:t>spp.) only</w:t>
      </w:r>
      <w:r>
        <w:br w:type="page"/>
      </w:r>
    </w:p>
    <w:p w:rsidR="002A3629" w:rsidRDefault="002A3629" w:rsidP="002525F5">
      <w:pPr>
        <w:pStyle w:val="Caption"/>
      </w:pPr>
      <w:r>
        <w:lastRenderedPageBreak/>
        <w:t xml:space="preserve">Table </w:t>
      </w:r>
      <w:fldSimple w:instr=" SEQ Table \* ARABIC ">
        <w:r w:rsidR="00B55546">
          <w:rPr>
            <w:noProof/>
          </w:rPr>
          <w:t>8</w:t>
        </w:r>
      </w:fldSimple>
      <w:r>
        <w:t xml:space="preserve">: </w:t>
      </w:r>
      <w:r w:rsidRPr="008E13CE">
        <w:t xml:space="preserve">Disease risks posed by common </w:t>
      </w:r>
      <w:r>
        <w:t xml:space="preserve">fresh dead whole </w:t>
      </w:r>
      <w:r w:rsidRPr="008E13CE">
        <w:t>bait and berley commodities</w:t>
      </w:r>
    </w:p>
    <w:tbl>
      <w:tblPr>
        <w:tblStyle w:val="TableGrid"/>
        <w:tblW w:w="5000" w:type="pct"/>
        <w:jc w:val="center"/>
        <w:tblLayout w:type="fixed"/>
        <w:tblLook w:val="04A0"/>
      </w:tblPr>
      <w:tblGrid>
        <w:gridCol w:w="1527"/>
        <w:gridCol w:w="4336"/>
        <w:gridCol w:w="3379"/>
      </w:tblGrid>
      <w:tr w:rsidR="002A3629" w:rsidRPr="002A3629" w:rsidTr="00C93ECA">
        <w:trPr>
          <w:jc w:val="center"/>
        </w:trPr>
        <w:tc>
          <w:tcPr>
            <w:tcW w:w="826" w:type="pct"/>
            <w:shd w:val="clear" w:color="auto" w:fill="BFBFBF" w:themeFill="background1" w:themeFillShade="BF"/>
          </w:tcPr>
          <w:p w:rsidR="002A3629" w:rsidRPr="002A3629" w:rsidRDefault="002A3629" w:rsidP="004733BE">
            <w:pPr>
              <w:rPr>
                <w:sz w:val="20"/>
                <w:szCs w:val="20"/>
              </w:rPr>
            </w:pPr>
            <w:r w:rsidRPr="002A3629">
              <w:rPr>
                <w:b/>
                <w:sz w:val="20"/>
                <w:szCs w:val="20"/>
              </w:rPr>
              <w:t>Fresh Dead – Whole</w:t>
            </w:r>
          </w:p>
        </w:tc>
        <w:tc>
          <w:tcPr>
            <w:tcW w:w="2346" w:type="pct"/>
            <w:shd w:val="clear" w:color="auto" w:fill="BFBFBF" w:themeFill="background1" w:themeFillShade="BF"/>
          </w:tcPr>
          <w:p w:rsidR="002A3629" w:rsidRPr="002A3629" w:rsidRDefault="002A3629" w:rsidP="002A3629">
            <w:pPr>
              <w:spacing w:after="120" w:line="276" w:lineRule="auto"/>
              <w:rPr>
                <w:b/>
                <w:sz w:val="20"/>
                <w:szCs w:val="20"/>
              </w:rPr>
            </w:pPr>
            <w:r w:rsidRPr="002A3629">
              <w:rPr>
                <w:b/>
                <w:sz w:val="20"/>
                <w:szCs w:val="20"/>
              </w:rPr>
              <w:t xml:space="preserve">Potential disease risks </w:t>
            </w:r>
          </w:p>
        </w:tc>
        <w:tc>
          <w:tcPr>
            <w:tcW w:w="1828" w:type="pct"/>
            <w:shd w:val="clear" w:color="auto" w:fill="BFBFBF" w:themeFill="background1" w:themeFillShade="BF"/>
          </w:tcPr>
          <w:p w:rsidR="002A3629" w:rsidRPr="002A3629" w:rsidRDefault="002A3629" w:rsidP="002A3629">
            <w:pPr>
              <w:rPr>
                <w:b/>
                <w:sz w:val="20"/>
                <w:szCs w:val="20"/>
              </w:rPr>
            </w:pPr>
            <w:r w:rsidRPr="002A3629">
              <w:rPr>
                <w:b/>
                <w:sz w:val="20"/>
                <w:szCs w:val="20"/>
              </w:rPr>
              <w:t>Susceptible species or groups</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Finfish</w:t>
            </w:r>
          </w:p>
        </w:tc>
        <w:tc>
          <w:tcPr>
            <w:tcW w:w="2346" w:type="pct"/>
          </w:tcPr>
          <w:p w:rsidR="002A3629" w:rsidRPr="002A3629" w:rsidRDefault="002A3629" w:rsidP="00C93ECA">
            <w:pPr>
              <w:spacing w:line="276" w:lineRule="auto"/>
              <w:rPr>
                <w:sz w:val="20"/>
                <w:szCs w:val="20"/>
              </w:rPr>
            </w:pPr>
            <w:r w:rsidRPr="002A3629">
              <w:rPr>
                <w:sz w:val="20"/>
                <w:szCs w:val="20"/>
              </w:rPr>
              <w:t>EHNV, EUS, VER, GUD, microsporidians, myxosporeans</w:t>
            </w:r>
          </w:p>
        </w:tc>
        <w:tc>
          <w:tcPr>
            <w:tcW w:w="1828" w:type="pct"/>
          </w:tcPr>
          <w:p w:rsidR="002A3629" w:rsidRPr="002A3629" w:rsidRDefault="002A3629" w:rsidP="00C93ECA">
            <w:pPr>
              <w:rPr>
                <w:sz w:val="20"/>
                <w:szCs w:val="20"/>
              </w:rPr>
            </w:pPr>
            <w:r w:rsidRPr="002A3629">
              <w:rPr>
                <w:sz w:val="20"/>
                <w:szCs w:val="20"/>
              </w:rPr>
              <w:t>Fish</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Prawns</w:t>
            </w:r>
          </w:p>
        </w:tc>
        <w:tc>
          <w:tcPr>
            <w:tcW w:w="2346" w:type="pct"/>
          </w:tcPr>
          <w:p w:rsidR="002A3629" w:rsidRPr="002A3629" w:rsidRDefault="002A3629" w:rsidP="00C93ECA">
            <w:pPr>
              <w:spacing w:line="276" w:lineRule="auto"/>
              <w:rPr>
                <w:sz w:val="20"/>
                <w:szCs w:val="20"/>
              </w:rPr>
            </w:pPr>
            <w:r w:rsidRPr="002A3629">
              <w:rPr>
                <w:sz w:val="20"/>
                <w:szCs w:val="20"/>
              </w:rPr>
              <w:t>GAV, SMV, WTD*, microsporidians</w:t>
            </w:r>
          </w:p>
        </w:tc>
        <w:tc>
          <w:tcPr>
            <w:tcW w:w="1828" w:type="pct"/>
          </w:tcPr>
          <w:p w:rsidR="002A3629" w:rsidRPr="002A3629" w:rsidRDefault="002A3629" w:rsidP="00C93ECA">
            <w:pPr>
              <w:rPr>
                <w:sz w:val="20"/>
                <w:szCs w:val="20"/>
              </w:rPr>
            </w:pPr>
            <w:r w:rsidRPr="002A3629">
              <w:rPr>
                <w:sz w:val="20"/>
                <w:szCs w:val="20"/>
              </w:rPr>
              <w:t>Prawns, crayfish</w:t>
            </w:r>
          </w:p>
        </w:tc>
      </w:tr>
      <w:tr w:rsidR="002A3629" w:rsidRPr="002A3629" w:rsidTr="00C93ECA">
        <w:trPr>
          <w:jc w:val="center"/>
        </w:trPr>
        <w:tc>
          <w:tcPr>
            <w:tcW w:w="826" w:type="pct"/>
          </w:tcPr>
          <w:p w:rsidR="002A3629" w:rsidRPr="00236CA0" w:rsidRDefault="00C93ECA" w:rsidP="00C93ECA">
            <w:pPr>
              <w:spacing w:line="276" w:lineRule="auto"/>
              <w:rPr>
                <w:b/>
                <w:sz w:val="20"/>
                <w:szCs w:val="20"/>
              </w:rPr>
            </w:pPr>
            <w:r w:rsidRPr="00236CA0">
              <w:rPr>
                <w:b/>
                <w:sz w:val="20"/>
                <w:szCs w:val="20"/>
              </w:rPr>
              <w:t xml:space="preserve">Crayfish &amp; </w:t>
            </w:r>
            <w:r w:rsidR="002A3629" w:rsidRPr="00236CA0">
              <w:rPr>
                <w:b/>
                <w:sz w:val="20"/>
                <w:szCs w:val="20"/>
              </w:rPr>
              <w:t>lobsters</w:t>
            </w:r>
          </w:p>
        </w:tc>
        <w:tc>
          <w:tcPr>
            <w:tcW w:w="2346" w:type="pct"/>
          </w:tcPr>
          <w:p w:rsidR="002A3629" w:rsidRPr="002A3629" w:rsidRDefault="002A3629" w:rsidP="00C93ECA">
            <w:pPr>
              <w:spacing w:line="276" w:lineRule="auto"/>
              <w:rPr>
                <w:i/>
                <w:sz w:val="20"/>
                <w:szCs w:val="20"/>
              </w:rPr>
            </w:pPr>
            <w:r w:rsidRPr="002A3629">
              <w:rPr>
                <w:sz w:val="20"/>
                <w:szCs w:val="20"/>
              </w:rPr>
              <w:t>Viruses of freshwater crayfish, microsporidians</w:t>
            </w:r>
          </w:p>
        </w:tc>
        <w:tc>
          <w:tcPr>
            <w:tcW w:w="1828" w:type="pct"/>
          </w:tcPr>
          <w:p w:rsidR="002A3629" w:rsidRPr="002A3629" w:rsidRDefault="002A3629" w:rsidP="00C93ECA">
            <w:pPr>
              <w:rPr>
                <w:sz w:val="20"/>
                <w:szCs w:val="20"/>
              </w:rPr>
            </w:pPr>
            <w:r w:rsidRPr="002A3629">
              <w:rPr>
                <w:sz w:val="20"/>
                <w:szCs w:val="20"/>
              </w:rPr>
              <w:t>Prawns, crayfish</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Crabs</w:t>
            </w:r>
          </w:p>
        </w:tc>
        <w:tc>
          <w:tcPr>
            <w:tcW w:w="2346" w:type="pct"/>
          </w:tcPr>
          <w:p w:rsidR="002A3629" w:rsidRPr="002A3629" w:rsidRDefault="002A3629" w:rsidP="00C93ECA">
            <w:pPr>
              <w:spacing w:line="276" w:lineRule="auto"/>
              <w:rPr>
                <w:sz w:val="20"/>
                <w:szCs w:val="20"/>
              </w:rPr>
            </w:pPr>
            <w:r w:rsidRPr="002A3629">
              <w:rPr>
                <w:sz w:val="20"/>
                <w:szCs w:val="20"/>
              </w:rPr>
              <w:t xml:space="preserve">Microsporidians, </w:t>
            </w:r>
            <w:r w:rsidRPr="002A3629">
              <w:rPr>
                <w:i/>
                <w:sz w:val="20"/>
                <w:szCs w:val="20"/>
              </w:rPr>
              <w:t xml:space="preserve">Hematodinium </w:t>
            </w:r>
            <w:r w:rsidRPr="002A3629">
              <w:rPr>
                <w:sz w:val="20"/>
                <w:szCs w:val="20"/>
              </w:rPr>
              <w:t>spp.</w:t>
            </w:r>
          </w:p>
        </w:tc>
        <w:tc>
          <w:tcPr>
            <w:tcW w:w="1828" w:type="pct"/>
          </w:tcPr>
          <w:p w:rsidR="002A3629" w:rsidRPr="002A3629" w:rsidRDefault="002A3629" w:rsidP="00C93ECA">
            <w:pPr>
              <w:rPr>
                <w:sz w:val="20"/>
                <w:szCs w:val="20"/>
              </w:rPr>
            </w:pPr>
            <w:r w:rsidRPr="002A3629">
              <w:rPr>
                <w:sz w:val="20"/>
                <w:szCs w:val="20"/>
              </w:rPr>
              <w:t>Crabs</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Oysters</w:t>
            </w:r>
          </w:p>
        </w:tc>
        <w:tc>
          <w:tcPr>
            <w:tcW w:w="2346" w:type="pct"/>
          </w:tcPr>
          <w:p w:rsidR="002A3629" w:rsidRPr="002A3629" w:rsidRDefault="002A3629" w:rsidP="00C93ECA">
            <w:pPr>
              <w:spacing w:line="276" w:lineRule="auto"/>
              <w:rPr>
                <w:sz w:val="20"/>
                <w:szCs w:val="20"/>
              </w:rPr>
            </w:pPr>
            <w:r w:rsidRPr="002A3629">
              <w:rPr>
                <w:i/>
                <w:sz w:val="20"/>
                <w:szCs w:val="20"/>
              </w:rPr>
              <w:t xml:space="preserve">Perkinsus olseni, Bonamia </w:t>
            </w:r>
            <w:r w:rsidRPr="002A3629">
              <w:rPr>
                <w:sz w:val="20"/>
                <w:szCs w:val="20"/>
              </w:rPr>
              <w:t xml:space="preserve">spp., </w:t>
            </w:r>
            <w:r w:rsidRPr="002A3629">
              <w:rPr>
                <w:i/>
                <w:sz w:val="20"/>
                <w:szCs w:val="20"/>
              </w:rPr>
              <w:t>Marteilia sydneyi</w:t>
            </w:r>
          </w:p>
        </w:tc>
        <w:tc>
          <w:tcPr>
            <w:tcW w:w="1828" w:type="pct"/>
          </w:tcPr>
          <w:p w:rsidR="002A3629" w:rsidRPr="002A3629" w:rsidRDefault="002A3629" w:rsidP="00C93ECA">
            <w:pPr>
              <w:rPr>
                <w:sz w:val="20"/>
                <w:szCs w:val="20"/>
              </w:rPr>
            </w:pPr>
            <w:r w:rsidRPr="002A3629">
              <w:rPr>
                <w:sz w:val="20"/>
                <w:szCs w:val="20"/>
              </w:rPr>
              <w:t>Abalone, clams, pearl oysters, edible oysters</w:t>
            </w:r>
          </w:p>
        </w:tc>
      </w:tr>
      <w:tr w:rsidR="00236CA0" w:rsidRPr="002A3629" w:rsidTr="00B55546">
        <w:trPr>
          <w:trHeight w:val="246"/>
          <w:jc w:val="center"/>
        </w:trPr>
        <w:tc>
          <w:tcPr>
            <w:tcW w:w="826" w:type="pct"/>
            <w:vMerge w:val="restart"/>
          </w:tcPr>
          <w:p w:rsidR="00236CA0" w:rsidRPr="00236CA0" w:rsidRDefault="00236CA0" w:rsidP="00C93ECA">
            <w:pPr>
              <w:spacing w:line="276" w:lineRule="auto"/>
              <w:rPr>
                <w:b/>
                <w:sz w:val="20"/>
                <w:szCs w:val="20"/>
              </w:rPr>
            </w:pPr>
            <w:r w:rsidRPr="00236CA0">
              <w:rPr>
                <w:b/>
                <w:sz w:val="20"/>
                <w:szCs w:val="20"/>
              </w:rPr>
              <w:t>Abalone</w:t>
            </w:r>
          </w:p>
        </w:tc>
        <w:tc>
          <w:tcPr>
            <w:tcW w:w="2346" w:type="pct"/>
            <w:tcBorders>
              <w:bottom w:val="dashed" w:sz="4" w:space="0" w:color="auto"/>
            </w:tcBorders>
          </w:tcPr>
          <w:p w:rsidR="00236CA0" w:rsidRPr="002A3629" w:rsidRDefault="00236CA0" w:rsidP="00236CA0">
            <w:pPr>
              <w:spacing w:line="276" w:lineRule="auto"/>
              <w:rPr>
                <w:sz w:val="20"/>
                <w:szCs w:val="20"/>
              </w:rPr>
            </w:pPr>
            <w:r w:rsidRPr="002A3629">
              <w:rPr>
                <w:sz w:val="20"/>
                <w:szCs w:val="20"/>
              </w:rPr>
              <w:t xml:space="preserve">AVG </w:t>
            </w:r>
          </w:p>
        </w:tc>
        <w:tc>
          <w:tcPr>
            <w:tcW w:w="1828" w:type="pct"/>
            <w:tcBorders>
              <w:bottom w:val="dashed" w:sz="4" w:space="0" w:color="auto"/>
            </w:tcBorders>
          </w:tcPr>
          <w:p w:rsidR="00236CA0" w:rsidRPr="002A3629" w:rsidRDefault="00236CA0" w:rsidP="00236CA0">
            <w:pPr>
              <w:rPr>
                <w:sz w:val="20"/>
                <w:szCs w:val="20"/>
              </w:rPr>
            </w:pPr>
            <w:r w:rsidRPr="002A3629">
              <w:rPr>
                <w:sz w:val="20"/>
                <w:szCs w:val="20"/>
              </w:rPr>
              <w:t>Abalone</w:t>
            </w:r>
          </w:p>
        </w:tc>
      </w:tr>
      <w:tr w:rsidR="00236CA0" w:rsidRPr="002A3629" w:rsidTr="00B55546">
        <w:trPr>
          <w:trHeight w:val="245"/>
          <w:jc w:val="center"/>
        </w:trPr>
        <w:tc>
          <w:tcPr>
            <w:tcW w:w="826" w:type="pct"/>
            <w:vMerge/>
          </w:tcPr>
          <w:p w:rsidR="00236CA0" w:rsidRPr="00236CA0" w:rsidRDefault="00236CA0" w:rsidP="00C93ECA">
            <w:pPr>
              <w:rPr>
                <w:b/>
                <w:sz w:val="20"/>
                <w:szCs w:val="20"/>
              </w:rPr>
            </w:pPr>
          </w:p>
        </w:tc>
        <w:tc>
          <w:tcPr>
            <w:tcW w:w="2346" w:type="pct"/>
            <w:tcBorders>
              <w:top w:val="dashed" w:sz="4" w:space="0" w:color="auto"/>
            </w:tcBorders>
          </w:tcPr>
          <w:p w:rsidR="00236CA0" w:rsidRPr="002A3629" w:rsidRDefault="00236CA0" w:rsidP="00C93ECA">
            <w:pPr>
              <w:rPr>
                <w:sz w:val="20"/>
                <w:szCs w:val="20"/>
              </w:rPr>
            </w:pPr>
            <w:r w:rsidRPr="002A3629">
              <w:rPr>
                <w:i/>
                <w:sz w:val="20"/>
                <w:szCs w:val="20"/>
              </w:rPr>
              <w:t>Perkinsus olseni</w:t>
            </w:r>
          </w:p>
        </w:tc>
        <w:tc>
          <w:tcPr>
            <w:tcW w:w="1828" w:type="pct"/>
            <w:tcBorders>
              <w:top w:val="dashed" w:sz="4" w:space="0" w:color="auto"/>
            </w:tcBorders>
          </w:tcPr>
          <w:p w:rsidR="00236CA0" w:rsidRPr="002A3629" w:rsidRDefault="00236CA0" w:rsidP="00C93ECA">
            <w:pPr>
              <w:rPr>
                <w:sz w:val="20"/>
                <w:szCs w:val="20"/>
              </w:rPr>
            </w:pPr>
            <w:r w:rsidRPr="002A3629">
              <w:rPr>
                <w:sz w:val="20"/>
                <w:szCs w:val="20"/>
              </w:rPr>
              <w:t>Abalone, clams, pearl oysters</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Annelids</w:t>
            </w:r>
          </w:p>
        </w:tc>
        <w:tc>
          <w:tcPr>
            <w:tcW w:w="2346" w:type="pct"/>
          </w:tcPr>
          <w:p w:rsidR="002A3629" w:rsidRPr="002A3629" w:rsidRDefault="002A3629" w:rsidP="00C93ECA">
            <w:pPr>
              <w:spacing w:line="276" w:lineRule="auto"/>
              <w:rPr>
                <w:sz w:val="20"/>
                <w:szCs w:val="20"/>
              </w:rPr>
            </w:pPr>
            <w:r w:rsidRPr="002A3629">
              <w:rPr>
                <w:i/>
                <w:sz w:val="20"/>
                <w:szCs w:val="20"/>
              </w:rPr>
              <w:t>Marteilia sydneyi</w:t>
            </w:r>
            <w:r w:rsidRPr="002A3629">
              <w:rPr>
                <w:sz w:val="20"/>
                <w:szCs w:val="20"/>
              </w:rPr>
              <w:t>, myxosporeans</w:t>
            </w:r>
          </w:p>
        </w:tc>
        <w:tc>
          <w:tcPr>
            <w:tcW w:w="1828" w:type="pct"/>
          </w:tcPr>
          <w:p w:rsidR="002A3629" w:rsidRPr="002A3629" w:rsidRDefault="002A3629" w:rsidP="00C93ECA">
            <w:pPr>
              <w:rPr>
                <w:sz w:val="20"/>
                <w:szCs w:val="20"/>
              </w:rPr>
            </w:pPr>
            <w:r w:rsidRPr="002A3629">
              <w:rPr>
                <w:sz w:val="20"/>
                <w:szCs w:val="20"/>
              </w:rPr>
              <w:t>As intermediate hosts for edible oyster parasites</w:t>
            </w:r>
          </w:p>
        </w:tc>
      </w:tr>
    </w:tbl>
    <w:p w:rsidR="002A3629" w:rsidRDefault="002A3629" w:rsidP="002A3629">
      <w:pPr>
        <w:pStyle w:val="Caption"/>
      </w:pPr>
      <w:r>
        <w:t xml:space="preserve">Table </w:t>
      </w:r>
      <w:fldSimple w:instr=" SEQ Table \* ARABIC ">
        <w:r w:rsidR="00B55546">
          <w:rPr>
            <w:noProof/>
          </w:rPr>
          <w:t>9</w:t>
        </w:r>
      </w:fldSimple>
      <w:r>
        <w:t xml:space="preserve">: </w:t>
      </w:r>
      <w:r w:rsidRPr="005F2CBD">
        <w:t xml:space="preserve">Disease risks posed by common </w:t>
      </w:r>
      <w:r>
        <w:t xml:space="preserve">frozen whole </w:t>
      </w:r>
      <w:r w:rsidRPr="005F2CBD">
        <w:t>bait and berley commodities</w:t>
      </w:r>
    </w:p>
    <w:tbl>
      <w:tblPr>
        <w:tblStyle w:val="TableGrid"/>
        <w:tblW w:w="5000" w:type="pct"/>
        <w:jc w:val="center"/>
        <w:tblLayout w:type="fixed"/>
        <w:tblLook w:val="04A0"/>
      </w:tblPr>
      <w:tblGrid>
        <w:gridCol w:w="1527"/>
        <w:gridCol w:w="4336"/>
        <w:gridCol w:w="3379"/>
      </w:tblGrid>
      <w:tr w:rsidR="002A3629" w:rsidRPr="002A3629" w:rsidTr="00C93ECA">
        <w:trPr>
          <w:jc w:val="center"/>
        </w:trPr>
        <w:tc>
          <w:tcPr>
            <w:tcW w:w="826" w:type="pct"/>
            <w:shd w:val="clear" w:color="auto" w:fill="BFBFBF" w:themeFill="background1" w:themeFillShade="BF"/>
          </w:tcPr>
          <w:p w:rsidR="002A3629" w:rsidRPr="002A3629" w:rsidRDefault="002A3629">
            <w:pPr>
              <w:rPr>
                <w:sz w:val="20"/>
                <w:szCs w:val="20"/>
              </w:rPr>
            </w:pPr>
            <w:r w:rsidRPr="002A3629">
              <w:rPr>
                <w:b/>
                <w:sz w:val="20"/>
                <w:szCs w:val="20"/>
              </w:rPr>
              <w:t>Frozen – Whole</w:t>
            </w:r>
          </w:p>
        </w:tc>
        <w:tc>
          <w:tcPr>
            <w:tcW w:w="2346" w:type="pct"/>
            <w:shd w:val="clear" w:color="auto" w:fill="BFBFBF" w:themeFill="background1" w:themeFillShade="BF"/>
          </w:tcPr>
          <w:p w:rsidR="002A3629" w:rsidRPr="002A3629" w:rsidRDefault="002A3629" w:rsidP="002A3629">
            <w:pPr>
              <w:spacing w:after="120" w:line="276" w:lineRule="auto"/>
              <w:rPr>
                <w:b/>
                <w:sz w:val="20"/>
                <w:szCs w:val="20"/>
              </w:rPr>
            </w:pPr>
            <w:r w:rsidRPr="002A3629">
              <w:rPr>
                <w:b/>
                <w:sz w:val="20"/>
                <w:szCs w:val="20"/>
              </w:rPr>
              <w:t xml:space="preserve">Potential disease risks </w:t>
            </w:r>
          </w:p>
        </w:tc>
        <w:tc>
          <w:tcPr>
            <w:tcW w:w="1828" w:type="pct"/>
            <w:shd w:val="clear" w:color="auto" w:fill="BFBFBF" w:themeFill="background1" w:themeFillShade="BF"/>
          </w:tcPr>
          <w:p w:rsidR="002A3629" w:rsidRPr="002A3629" w:rsidRDefault="002A3629" w:rsidP="002A3629">
            <w:pPr>
              <w:rPr>
                <w:b/>
                <w:sz w:val="20"/>
                <w:szCs w:val="20"/>
              </w:rPr>
            </w:pPr>
            <w:r w:rsidRPr="002A3629">
              <w:rPr>
                <w:b/>
                <w:sz w:val="20"/>
                <w:szCs w:val="20"/>
              </w:rPr>
              <w:t>Susceptible species or groups</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Finfish</w:t>
            </w:r>
          </w:p>
        </w:tc>
        <w:tc>
          <w:tcPr>
            <w:tcW w:w="2346" w:type="pct"/>
          </w:tcPr>
          <w:p w:rsidR="002A3629" w:rsidRPr="002A3629" w:rsidRDefault="002A3629" w:rsidP="00C93ECA">
            <w:pPr>
              <w:spacing w:line="276" w:lineRule="auto"/>
              <w:rPr>
                <w:sz w:val="20"/>
                <w:szCs w:val="20"/>
              </w:rPr>
            </w:pPr>
            <w:r w:rsidRPr="002A3629">
              <w:rPr>
                <w:sz w:val="20"/>
                <w:szCs w:val="20"/>
              </w:rPr>
              <w:t>EHNV, VER</w:t>
            </w:r>
          </w:p>
        </w:tc>
        <w:tc>
          <w:tcPr>
            <w:tcW w:w="1828" w:type="pct"/>
          </w:tcPr>
          <w:p w:rsidR="002A3629" w:rsidRPr="002A3629" w:rsidRDefault="002A3629" w:rsidP="00C93ECA">
            <w:pPr>
              <w:rPr>
                <w:sz w:val="20"/>
                <w:szCs w:val="20"/>
              </w:rPr>
            </w:pPr>
            <w:r w:rsidRPr="002A3629">
              <w:rPr>
                <w:sz w:val="20"/>
                <w:szCs w:val="20"/>
              </w:rPr>
              <w:t>Fish</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Prawns</w:t>
            </w:r>
          </w:p>
        </w:tc>
        <w:tc>
          <w:tcPr>
            <w:tcW w:w="2346" w:type="pct"/>
          </w:tcPr>
          <w:p w:rsidR="002A3629" w:rsidRPr="002A3629" w:rsidRDefault="002A3629" w:rsidP="00C93ECA">
            <w:pPr>
              <w:spacing w:line="276" w:lineRule="auto"/>
              <w:rPr>
                <w:sz w:val="20"/>
                <w:szCs w:val="20"/>
              </w:rPr>
            </w:pPr>
            <w:r w:rsidRPr="002A3629">
              <w:rPr>
                <w:sz w:val="20"/>
                <w:szCs w:val="20"/>
              </w:rPr>
              <w:t>Viruses</w:t>
            </w:r>
          </w:p>
        </w:tc>
        <w:tc>
          <w:tcPr>
            <w:tcW w:w="1828" w:type="pct"/>
          </w:tcPr>
          <w:p w:rsidR="002A3629" w:rsidRPr="002A3629" w:rsidRDefault="002A3629" w:rsidP="00C93ECA">
            <w:pPr>
              <w:rPr>
                <w:sz w:val="20"/>
                <w:szCs w:val="20"/>
              </w:rPr>
            </w:pPr>
            <w:r w:rsidRPr="002A3629">
              <w:rPr>
                <w:sz w:val="20"/>
                <w:szCs w:val="20"/>
              </w:rPr>
              <w:t>Prawns</w:t>
            </w:r>
          </w:p>
        </w:tc>
      </w:tr>
      <w:tr w:rsidR="002A3629" w:rsidRPr="002A3629" w:rsidTr="00C93ECA">
        <w:trPr>
          <w:jc w:val="center"/>
        </w:trPr>
        <w:tc>
          <w:tcPr>
            <w:tcW w:w="826" w:type="pct"/>
          </w:tcPr>
          <w:p w:rsidR="002A3629" w:rsidRPr="00236CA0" w:rsidRDefault="00C93ECA" w:rsidP="00C93ECA">
            <w:pPr>
              <w:spacing w:line="276" w:lineRule="auto"/>
              <w:rPr>
                <w:b/>
                <w:sz w:val="20"/>
                <w:szCs w:val="20"/>
              </w:rPr>
            </w:pPr>
            <w:r w:rsidRPr="00236CA0">
              <w:rPr>
                <w:b/>
                <w:sz w:val="20"/>
                <w:szCs w:val="20"/>
              </w:rPr>
              <w:t xml:space="preserve">Crayfish &amp; </w:t>
            </w:r>
            <w:r w:rsidR="002A3629" w:rsidRPr="00236CA0">
              <w:rPr>
                <w:b/>
                <w:sz w:val="20"/>
                <w:szCs w:val="20"/>
              </w:rPr>
              <w:t>lobsters</w:t>
            </w:r>
          </w:p>
        </w:tc>
        <w:tc>
          <w:tcPr>
            <w:tcW w:w="2346" w:type="pct"/>
          </w:tcPr>
          <w:p w:rsidR="002A3629" w:rsidRPr="002A3629" w:rsidRDefault="002A3629" w:rsidP="00C93ECA">
            <w:pPr>
              <w:spacing w:line="276" w:lineRule="auto"/>
              <w:rPr>
                <w:sz w:val="20"/>
                <w:szCs w:val="20"/>
              </w:rPr>
            </w:pPr>
            <w:r w:rsidRPr="002A3629">
              <w:rPr>
                <w:sz w:val="20"/>
                <w:szCs w:val="20"/>
              </w:rPr>
              <w:t>Viruses</w:t>
            </w:r>
          </w:p>
        </w:tc>
        <w:tc>
          <w:tcPr>
            <w:tcW w:w="1828" w:type="pct"/>
          </w:tcPr>
          <w:p w:rsidR="002A3629" w:rsidRPr="002A3629" w:rsidRDefault="002A3629" w:rsidP="00C93ECA">
            <w:pPr>
              <w:rPr>
                <w:sz w:val="20"/>
                <w:szCs w:val="20"/>
              </w:rPr>
            </w:pPr>
            <w:r w:rsidRPr="002A3629">
              <w:rPr>
                <w:sz w:val="20"/>
                <w:szCs w:val="20"/>
              </w:rPr>
              <w:t>Crayfish/lobsters</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Molluscs</w:t>
            </w:r>
          </w:p>
        </w:tc>
        <w:tc>
          <w:tcPr>
            <w:tcW w:w="2346" w:type="pct"/>
          </w:tcPr>
          <w:p w:rsidR="002A3629" w:rsidRPr="002A3629" w:rsidRDefault="002A3629" w:rsidP="00C93ECA">
            <w:pPr>
              <w:spacing w:line="276" w:lineRule="auto"/>
              <w:rPr>
                <w:sz w:val="20"/>
                <w:szCs w:val="20"/>
              </w:rPr>
            </w:pPr>
            <w:r w:rsidRPr="002A3629">
              <w:rPr>
                <w:i/>
                <w:sz w:val="20"/>
                <w:szCs w:val="20"/>
              </w:rPr>
              <w:t>Perkinsus olseni</w:t>
            </w:r>
          </w:p>
        </w:tc>
        <w:tc>
          <w:tcPr>
            <w:tcW w:w="1828" w:type="pct"/>
          </w:tcPr>
          <w:p w:rsidR="002A3629" w:rsidRPr="002A3629" w:rsidRDefault="002A3629" w:rsidP="00C93ECA">
            <w:pPr>
              <w:rPr>
                <w:sz w:val="20"/>
                <w:szCs w:val="20"/>
              </w:rPr>
            </w:pPr>
            <w:r w:rsidRPr="002A3629">
              <w:rPr>
                <w:sz w:val="20"/>
                <w:szCs w:val="20"/>
              </w:rPr>
              <w:t>Abalone, clams, pearl oysters</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Oysters</w:t>
            </w:r>
          </w:p>
        </w:tc>
        <w:tc>
          <w:tcPr>
            <w:tcW w:w="2346" w:type="pct"/>
          </w:tcPr>
          <w:p w:rsidR="002A3629" w:rsidRPr="002A3629" w:rsidRDefault="002A3629" w:rsidP="00C93ECA">
            <w:pPr>
              <w:spacing w:line="276" w:lineRule="auto"/>
              <w:rPr>
                <w:sz w:val="20"/>
                <w:szCs w:val="20"/>
              </w:rPr>
            </w:pPr>
            <w:r w:rsidRPr="002A3629">
              <w:rPr>
                <w:i/>
                <w:sz w:val="20"/>
                <w:szCs w:val="20"/>
              </w:rPr>
              <w:t>Perkinsus olseni</w:t>
            </w:r>
          </w:p>
        </w:tc>
        <w:tc>
          <w:tcPr>
            <w:tcW w:w="1828" w:type="pct"/>
          </w:tcPr>
          <w:p w:rsidR="002A3629" w:rsidRPr="002A3629" w:rsidRDefault="002A3629" w:rsidP="00C93ECA">
            <w:pPr>
              <w:rPr>
                <w:sz w:val="20"/>
                <w:szCs w:val="20"/>
              </w:rPr>
            </w:pPr>
            <w:r w:rsidRPr="002A3629">
              <w:rPr>
                <w:sz w:val="20"/>
                <w:szCs w:val="20"/>
              </w:rPr>
              <w:t>Abalone, clams, pearl oysters</w:t>
            </w:r>
          </w:p>
        </w:tc>
      </w:tr>
      <w:tr w:rsidR="00236CA0" w:rsidRPr="002A3629" w:rsidTr="00B55546">
        <w:trPr>
          <w:trHeight w:val="246"/>
          <w:jc w:val="center"/>
        </w:trPr>
        <w:tc>
          <w:tcPr>
            <w:tcW w:w="826" w:type="pct"/>
            <w:vMerge w:val="restart"/>
          </w:tcPr>
          <w:p w:rsidR="00236CA0" w:rsidRPr="00236CA0" w:rsidRDefault="00236CA0" w:rsidP="00C93ECA">
            <w:pPr>
              <w:spacing w:line="276" w:lineRule="auto"/>
              <w:rPr>
                <w:b/>
                <w:sz w:val="20"/>
                <w:szCs w:val="20"/>
              </w:rPr>
            </w:pPr>
            <w:r w:rsidRPr="00236CA0">
              <w:rPr>
                <w:b/>
                <w:sz w:val="20"/>
                <w:szCs w:val="20"/>
              </w:rPr>
              <w:t>Abalone</w:t>
            </w:r>
          </w:p>
        </w:tc>
        <w:tc>
          <w:tcPr>
            <w:tcW w:w="2346" w:type="pct"/>
            <w:tcBorders>
              <w:bottom w:val="dashed" w:sz="4" w:space="0" w:color="auto"/>
            </w:tcBorders>
          </w:tcPr>
          <w:p w:rsidR="00236CA0" w:rsidRPr="002A3629" w:rsidRDefault="00236CA0" w:rsidP="00236CA0">
            <w:pPr>
              <w:spacing w:line="276" w:lineRule="auto"/>
              <w:rPr>
                <w:sz w:val="20"/>
                <w:szCs w:val="20"/>
              </w:rPr>
            </w:pPr>
            <w:r w:rsidRPr="002A3629">
              <w:rPr>
                <w:sz w:val="20"/>
                <w:szCs w:val="20"/>
              </w:rPr>
              <w:t>AVG</w:t>
            </w:r>
          </w:p>
        </w:tc>
        <w:tc>
          <w:tcPr>
            <w:tcW w:w="1828" w:type="pct"/>
            <w:tcBorders>
              <w:bottom w:val="dashed" w:sz="4" w:space="0" w:color="auto"/>
            </w:tcBorders>
          </w:tcPr>
          <w:p w:rsidR="00236CA0" w:rsidRPr="002A3629" w:rsidRDefault="00236CA0" w:rsidP="00236CA0">
            <w:pPr>
              <w:rPr>
                <w:sz w:val="20"/>
                <w:szCs w:val="20"/>
              </w:rPr>
            </w:pPr>
            <w:r w:rsidRPr="002A3629">
              <w:rPr>
                <w:sz w:val="20"/>
                <w:szCs w:val="20"/>
              </w:rPr>
              <w:t>Abalone</w:t>
            </w:r>
          </w:p>
        </w:tc>
      </w:tr>
      <w:tr w:rsidR="00236CA0" w:rsidRPr="002A3629" w:rsidTr="00B55546">
        <w:trPr>
          <w:trHeight w:val="245"/>
          <w:jc w:val="center"/>
        </w:trPr>
        <w:tc>
          <w:tcPr>
            <w:tcW w:w="826" w:type="pct"/>
            <w:vMerge/>
          </w:tcPr>
          <w:p w:rsidR="00236CA0" w:rsidRPr="00236CA0" w:rsidRDefault="00236CA0" w:rsidP="00C93ECA">
            <w:pPr>
              <w:rPr>
                <w:b/>
                <w:sz w:val="20"/>
                <w:szCs w:val="20"/>
              </w:rPr>
            </w:pPr>
          </w:p>
        </w:tc>
        <w:tc>
          <w:tcPr>
            <w:tcW w:w="2346" w:type="pct"/>
            <w:tcBorders>
              <w:top w:val="dashed" w:sz="4" w:space="0" w:color="auto"/>
            </w:tcBorders>
          </w:tcPr>
          <w:p w:rsidR="00236CA0" w:rsidRPr="002A3629" w:rsidRDefault="00236CA0" w:rsidP="00C93ECA">
            <w:pPr>
              <w:rPr>
                <w:sz w:val="20"/>
                <w:szCs w:val="20"/>
              </w:rPr>
            </w:pPr>
            <w:r w:rsidRPr="002A3629">
              <w:rPr>
                <w:i/>
                <w:sz w:val="20"/>
                <w:szCs w:val="20"/>
              </w:rPr>
              <w:t>Perkinsus olseni</w:t>
            </w:r>
          </w:p>
        </w:tc>
        <w:tc>
          <w:tcPr>
            <w:tcW w:w="1828" w:type="pct"/>
            <w:tcBorders>
              <w:top w:val="dashed" w:sz="4" w:space="0" w:color="auto"/>
            </w:tcBorders>
          </w:tcPr>
          <w:p w:rsidR="00236CA0" w:rsidRPr="002A3629" w:rsidRDefault="00236CA0" w:rsidP="00C93ECA">
            <w:pPr>
              <w:rPr>
                <w:sz w:val="20"/>
                <w:szCs w:val="20"/>
              </w:rPr>
            </w:pPr>
            <w:r w:rsidRPr="002A3629">
              <w:rPr>
                <w:sz w:val="20"/>
                <w:szCs w:val="20"/>
              </w:rPr>
              <w:t>Abalone, clams, pearl oysters</w:t>
            </w:r>
          </w:p>
        </w:tc>
      </w:tr>
    </w:tbl>
    <w:p w:rsidR="002A3629" w:rsidRDefault="002A3629" w:rsidP="002A3629">
      <w:pPr>
        <w:pStyle w:val="Caption"/>
      </w:pPr>
      <w:r>
        <w:t xml:space="preserve">Table </w:t>
      </w:r>
      <w:fldSimple w:instr=" SEQ Table \* ARABIC ">
        <w:r w:rsidR="00B55546">
          <w:rPr>
            <w:noProof/>
          </w:rPr>
          <w:t>10</w:t>
        </w:r>
      </w:fldSimple>
      <w:r>
        <w:t xml:space="preserve">: </w:t>
      </w:r>
      <w:r w:rsidRPr="002C768C">
        <w:t xml:space="preserve">Disease risks posed by common </w:t>
      </w:r>
      <w:r>
        <w:t xml:space="preserve">frozen portion </w:t>
      </w:r>
      <w:r w:rsidRPr="002C768C">
        <w:t>bait and berley commodities</w:t>
      </w:r>
    </w:p>
    <w:tbl>
      <w:tblPr>
        <w:tblStyle w:val="TableGrid"/>
        <w:tblW w:w="5000" w:type="pct"/>
        <w:jc w:val="center"/>
        <w:tblLayout w:type="fixed"/>
        <w:tblLook w:val="04A0"/>
      </w:tblPr>
      <w:tblGrid>
        <w:gridCol w:w="1527"/>
        <w:gridCol w:w="4336"/>
        <w:gridCol w:w="3379"/>
      </w:tblGrid>
      <w:tr w:rsidR="002A3629" w:rsidRPr="002A3629" w:rsidTr="00C93ECA">
        <w:trPr>
          <w:trHeight w:val="135"/>
          <w:jc w:val="center"/>
        </w:trPr>
        <w:tc>
          <w:tcPr>
            <w:tcW w:w="826" w:type="pct"/>
            <w:shd w:val="clear" w:color="auto" w:fill="BFBFBF" w:themeFill="background1" w:themeFillShade="BF"/>
          </w:tcPr>
          <w:p w:rsidR="002A3629" w:rsidRPr="002A3629" w:rsidRDefault="002A3629" w:rsidP="0045091F">
            <w:pPr>
              <w:rPr>
                <w:b/>
                <w:sz w:val="20"/>
                <w:szCs w:val="20"/>
              </w:rPr>
            </w:pPr>
            <w:r w:rsidRPr="002A3629">
              <w:rPr>
                <w:b/>
                <w:sz w:val="20"/>
                <w:szCs w:val="20"/>
              </w:rPr>
              <w:t>Frozen – Portions</w:t>
            </w:r>
          </w:p>
        </w:tc>
        <w:tc>
          <w:tcPr>
            <w:tcW w:w="2346" w:type="pct"/>
            <w:shd w:val="clear" w:color="auto" w:fill="BFBFBF" w:themeFill="background1" w:themeFillShade="BF"/>
          </w:tcPr>
          <w:p w:rsidR="002A3629" w:rsidRPr="002A3629" w:rsidRDefault="002A3629" w:rsidP="002A3629">
            <w:pPr>
              <w:spacing w:after="120" w:line="276" w:lineRule="auto"/>
              <w:rPr>
                <w:b/>
                <w:sz w:val="20"/>
                <w:szCs w:val="20"/>
              </w:rPr>
            </w:pPr>
            <w:r w:rsidRPr="002A3629">
              <w:rPr>
                <w:b/>
                <w:sz w:val="20"/>
                <w:szCs w:val="20"/>
              </w:rPr>
              <w:t xml:space="preserve">Potential disease risks </w:t>
            </w:r>
          </w:p>
        </w:tc>
        <w:tc>
          <w:tcPr>
            <w:tcW w:w="1828" w:type="pct"/>
            <w:shd w:val="clear" w:color="auto" w:fill="BFBFBF" w:themeFill="background1" w:themeFillShade="BF"/>
          </w:tcPr>
          <w:p w:rsidR="002A3629" w:rsidRPr="002A3629" w:rsidRDefault="002A3629" w:rsidP="002A3629">
            <w:pPr>
              <w:rPr>
                <w:b/>
                <w:sz w:val="20"/>
                <w:szCs w:val="20"/>
              </w:rPr>
            </w:pPr>
            <w:r w:rsidRPr="002A3629">
              <w:rPr>
                <w:b/>
                <w:sz w:val="20"/>
                <w:szCs w:val="20"/>
              </w:rPr>
              <w:t>Susceptible species or groups</w:t>
            </w:r>
          </w:p>
        </w:tc>
      </w:tr>
      <w:tr w:rsidR="002A3629" w:rsidRPr="002A3629" w:rsidTr="00C93ECA">
        <w:trPr>
          <w:trHeight w:val="33"/>
          <w:jc w:val="center"/>
        </w:trPr>
        <w:tc>
          <w:tcPr>
            <w:tcW w:w="826" w:type="pct"/>
            <w:tcBorders>
              <w:top w:val="single" w:sz="2" w:space="0" w:color="auto"/>
              <w:left w:val="single" w:sz="2" w:space="0" w:color="auto"/>
              <w:bottom w:val="single" w:sz="2" w:space="0" w:color="auto"/>
              <w:right w:val="single" w:sz="2" w:space="0" w:color="auto"/>
            </w:tcBorders>
          </w:tcPr>
          <w:p w:rsidR="002A3629" w:rsidRPr="00236CA0" w:rsidRDefault="00C93ECA" w:rsidP="00C93ECA">
            <w:pPr>
              <w:contextualSpacing/>
              <w:rPr>
                <w:b/>
                <w:sz w:val="20"/>
                <w:szCs w:val="20"/>
              </w:rPr>
            </w:pPr>
            <w:r w:rsidRPr="00236CA0">
              <w:rPr>
                <w:b/>
                <w:sz w:val="20"/>
                <w:szCs w:val="20"/>
              </w:rPr>
              <w:t xml:space="preserve">Finfish </w:t>
            </w:r>
            <w:r w:rsidR="002A3629" w:rsidRPr="00236CA0">
              <w:rPr>
                <w:b/>
                <w:sz w:val="20"/>
                <w:szCs w:val="20"/>
              </w:rPr>
              <w:t>Fillets</w:t>
            </w:r>
          </w:p>
        </w:tc>
        <w:tc>
          <w:tcPr>
            <w:tcW w:w="2346" w:type="pct"/>
            <w:tcBorders>
              <w:top w:val="single" w:sz="2" w:space="0" w:color="auto"/>
              <w:left w:val="single" w:sz="2" w:space="0" w:color="auto"/>
              <w:bottom w:val="single" w:sz="2" w:space="0" w:color="auto"/>
              <w:right w:val="single" w:sz="2" w:space="0" w:color="auto"/>
            </w:tcBorders>
          </w:tcPr>
          <w:p w:rsidR="002A3629" w:rsidRPr="002A3629" w:rsidRDefault="002A3629" w:rsidP="00C93ECA">
            <w:pPr>
              <w:spacing w:line="276" w:lineRule="auto"/>
              <w:rPr>
                <w:sz w:val="20"/>
                <w:szCs w:val="20"/>
              </w:rPr>
            </w:pPr>
            <w:r w:rsidRPr="002A3629">
              <w:rPr>
                <w:sz w:val="20"/>
                <w:szCs w:val="20"/>
              </w:rPr>
              <w:t>EHNV</w:t>
            </w:r>
          </w:p>
        </w:tc>
        <w:tc>
          <w:tcPr>
            <w:tcW w:w="1828" w:type="pct"/>
            <w:tcBorders>
              <w:top w:val="single" w:sz="2" w:space="0" w:color="auto"/>
              <w:left w:val="single" w:sz="2" w:space="0" w:color="auto"/>
              <w:bottom w:val="single" w:sz="2" w:space="0" w:color="auto"/>
              <w:right w:val="single" w:sz="2" w:space="0" w:color="auto"/>
            </w:tcBorders>
          </w:tcPr>
          <w:p w:rsidR="002A3629" w:rsidRPr="002A3629" w:rsidRDefault="002A3629" w:rsidP="00C93ECA">
            <w:pPr>
              <w:rPr>
                <w:sz w:val="20"/>
                <w:szCs w:val="20"/>
              </w:rPr>
            </w:pPr>
            <w:r w:rsidRPr="002A3629">
              <w:rPr>
                <w:sz w:val="20"/>
                <w:szCs w:val="20"/>
              </w:rPr>
              <w:t>Fish</w:t>
            </w:r>
          </w:p>
        </w:tc>
      </w:tr>
      <w:tr w:rsidR="002A3629" w:rsidRPr="002A3629" w:rsidTr="00C93ECA">
        <w:trPr>
          <w:trHeight w:val="33"/>
          <w:jc w:val="center"/>
        </w:trPr>
        <w:tc>
          <w:tcPr>
            <w:tcW w:w="826" w:type="pct"/>
            <w:tcBorders>
              <w:top w:val="single" w:sz="2" w:space="0" w:color="auto"/>
              <w:left w:val="single" w:sz="2" w:space="0" w:color="auto"/>
              <w:bottom w:val="single" w:sz="2" w:space="0" w:color="auto"/>
              <w:right w:val="single" w:sz="2" w:space="0" w:color="auto"/>
            </w:tcBorders>
          </w:tcPr>
          <w:p w:rsidR="002A3629" w:rsidRPr="00236CA0" w:rsidRDefault="00C93ECA" w:rsidP="00C93ECA">
            <w:pPr>
              <w:contextualSpacing/>
              <w:rPr>
                <w:b/>
                <w:sz w:val="20"/>
                <w:szCs w:val="20"/>
              </w:rPr>
            </w:pPr>
            <w:r w:rsidRPr="00236CA0">
              <w:rPr>
                <w:b/>
                <w:sz w:val="20"/>
                <w:szCs w:val="20"/>
              </w:rPr>
              <w:t xml:space="preserve">Finfish </w:t>
            </w:r>
            <w:r w:rsidR="002A3629" w:rsidRPr="00236CA0">
              <w:rPr>
                <w:b/>
                <w:sz w:val="20"/>
                <w:szCs w:val="20"/>
              </w:rPr>
              <w:t>Heads</w:t>
            </w:r>
          </w:p>
        </w:tc>
        <w:tc>
          <w:tcPr>
            <w:tcW w:w="2346" w:type="pct"/>
            <w:tcBorders>
              <w:top w:val="single" w:sz="2" w:space="0" w:color="auto"/>
              <w:left w:val="single" w:sz="2" w:space="0" w:color="auto"/>
              <w:bottom w:val="single" w:sz="2" w:space="0" w:color="auto"/>
              <w:right w:val="single" w:sz="2" w:space="0" w:color="auto"/>
            </w:tcBorders>
          </w:tcPr>
          <w:p w:rsidR="002A3629" w:rsidRPr="002A3629" w:rsidRDefault="002A3629" w:rsidP="00C93ECA">
            <w:pPr>
              <w:spacing w:line="276" w:lineRule="auto"/>
              <w:rPr>
                <w:sz w:val="20"/>
                <w:szCs w:val="20"/>
              </w:rPr>
            </w:pPr>
            <w:r w:rsidRPr="002A3629">
              <w:rPr>
                <w:sz w:val="20"/>
                <w:szCs w:val="20"/>
              </w:rPr>
              <w:t>EHNV, VER</w:t>
            </w:r>
          </w:p>
        </w:tc>
        <w:tc>
          <w:tcPr>
            <w:tcW w:w="1828" w:type="pct"/>
            <w:tcBorders>
              <w:top w:val="single" w:sz="2" w:space="0" w:color="auto"/>
              <w:left w:val="single" w:sz="2" w:space="0" w:color="auto"/>
              <w:bottom w:val="single" w:sz="2" w:space="0" w:color="auto"/>
              <w:right w:val="single" w:sz="2" w:space="0" w:color="auto"/>
            </w:tcBorders>
          </w:tcPr>
          <w:p w:rsidR="002A3629" w:rsidRPr="002A3629" w:rsidRDefault="002A3629" w:rsidP="00C93ECA">
            <w:pPr>
              <w:rPr>
                <w:sz w:val="20"/>
                <w:szCs w:val="20"/>
              </w:rPr>
            </w:pPr>
            <w:r w:rsidRPr="002A3629">
              <w:rPr>
                <w:sz w:val="20"/>
                <w:szCs w:val="20"/>
              </w:rPr>
              <w:t>Fish</w:t>
            </w:r>
          </w:p>
        </w:tc>
      </w:tr>
      <w:tr w:rsidR="002A3629" w:rsidRPr="002A3629" w:rsidTr="00C93ECA">
        <w:trPr>
          <w:trHeight w:val="33"/>
          <w:jc w:val="center"/>
        </w:trPr>
        <w:tc>
          <w:tcPr>
            <w:tcW w:w="826" w:type="pct"/>
            <w:tcBorders>
              <w:top w:val="single" w:sz="2" w:space="0" w:color="auto"/>
              <w:left w:val="single" w:sz="2" w:space="0" w:color="auto"/>
              <w:bottom w:val="single" w:sz="2" w:space="0" w:color="auto"/>
              <w:right w:val="single" w:sz="2" w:space="0" w:color="auto"/>
            </w:tcBorders>
          </w:tcPr>
          <w:p w:rsidR="002A3629" w:rsidRPr="00236CA0" w:rsidRDefault="00C93ECA" w:rsidP="00236CA0">
            <w:pPr>
              <w:contextualSpacing/>
              <w:rPr>
                <w:b/>
                <w:sz w:val="20"/>
                <w:szCs w:val="20"/>
              </w:rPr>
            </w:pPr>
            <w:r w:rsidRPr="00236CA0">
              <w:rPr>
                <w:b/>
                <w:sz w:val="20"/>
                <w:szCs w:val="20"/>
              </w:rPr>
              <w:t xml:space="preserve">Finfish </w:t>
            </w:r>
            <w:r w:rsidR="00236CA0">
              <w:rPr>
                <w:b/>
                <w:sz w:val="20"/>
                <w:szCs w:val="20"/>
              </w:rPr>
              <w:t>o</w:t>
            </w:r>
            <w:r w:rsidR="002A3629" w:rsidRPr="00236CA0">
              <w:rPr>
                <w:b/>
                <w:sz w:val="20"/>
                <w:szCs w:val="20"/>
              </w:rPr>
              <w:t>ffal</w:t>
            </w:r>
            <w:r w:rsidRPr="00236CA0">
              <w:rPr>
                <w:b/>
                <w:sz w:val="20"/>
                <w:szCs w:val="20"/>
              </w:rPr>
              <w:t xml:space="preserve"> &amp; </w:t>
            </w:r>
            <w:r w:rsidR="002A3629" w:rsidRPr="00236CA0">
              <w:rPr>
                <w:b/>
                <w:sz w:val="20"/>
                <w:szCs w:val="20"/>
              </w:rPr>
              <w:t>guts</w:t>
            </w:r>
          </w:p>
        </w:tc>
        <w:tc>
          <w:tcPr>
            <w:tcW w:w="2346" w:type="pct"/>
            <w:tcBorders>
              <w:top w:val="single" w:sz="2" w:space="0" w:color="auto"/>
              <w:left w:val="single" w:sz="2" w:space="0" w:color="auto"/>
              <w:bottom w:val="single" w:sz="2" w:space="0" w:color="auto"/>
              <w:right w:val="single" w:sz="2" w:space="0" w:color="auto"/>
            </w:tcBorders>
          </w:tcPr>
          <w:p w:rsidR="002A3629" w:rsidRPr="002A3629" w:rsidRDefault="002A3629" w:rsidP="00C93ECA">
            <w:pPr>
              <w:spacing w:line="276" w:lineRule="auto"/>
              <w:rPr>
                <w:sz w:val="20"/>
                <w:szCs w:val="20"/>
              </w:rPr>
            </w:pPr>
            <w:r w:rsidRPr="002A3629">
              <w:rPr>
                <w:sz w:val="20"/>
                <w:szCs w:val="20"/>
              </w:rPr>
              <w:t>EHNV</w:t>
            </w:r>
          </w:p>
        </w:tc>
        <w:tc>
          <w:tcPr>
            <w:tcW w:w="1828" w:type="pct"/>
            <w:tcBorders>
              <w:top w:val="single" w:sz="2" w:space="0" w:color="auto"/>
              <w:left w:val="single" w:sz="2" w:space="0" w:color="auto"/>
              <w:bottom w:val="single" w:sz="2" w:space="0" w:color="auto"/>
              <w:right w:val="single" w:sz="2" w:space="0" w:color="auto"/>
            </w:tcBorders>
          </w:tcPr>
          <w:p w:rsidR="002A3629" w:rsidRPr="002A3629" w:rsidRDefault="002A3629" w:rsidP="00C93ECA">
            <w:pPr>
              <w:rPr>
                <w:sz w:val="20"/>
                <w:szCs w:val="20"/>
              </w:rPr>
            </w:pPr>
            <w:r w:rsidRPr="002A3629">
              <w:rPr>
                <w:sz w:val="20"/>
                <w:szCs w:val="20"/>
              </w:rPr>
              <w:t>Fish</w:t>
            </w:r>
          </w:p>
        </w:tc>
      </w:tr>
      <w:tr w:rsidR="002A3629" w:rsidRPr="002A3629" w:rsidTr="00C93ECA">
        <w:trPr>
          <w:jc w:val="center"/>
        </w:trPr>
        <w:tc>
          <w:tcPr>
            <w:tcW w:w="826" w:type="pct"/>
            <w:tcBorders>
              <w:top w:val="single" w:sz="2" w:space="0" w:color="auto"/>
              <w:left w:val="single" w:sz="2" w:space="0" w:color="auto"/>
              <w:bottom w:val="single" w:sz="2" w:space="0" w:color="auto"/>
              <w:right w:val="single" w:sz="2" w:space="0" w:color="auto"/>
            </w:tcBorders>
          </w:tcPr>
          <w:p w:rsidR="002A3629" w:rsidRPr="00236CA0" w:rsidRDefault="002A3629" w:rsidP="00C93ECA">
            <w:pPr>
              <w:spacing w:line="276" w:lineRule="auto"/>
              <w:rPr>
                <w:b/>
                <w:sz w:val="20"/>
                <w:szCs w:val="20"/>
              </w:rPr>
            </w:pPr>
            <w:r w:rsidRPr="00236CA0">
              <w:rPr>
                <w:b/>
                <w:sz w:val="20"/>
                <w:szCs w:val="20"/>
              </w:rPr>
              <w:t>Prawns</w:t>
            </w:r>
          </w:p>
        </w:tc>
        <w:tc>
          <w:tcPr>
            <w:tcW w:w="2346" w:type="pct"/>
            <w:tcBorders>
              <w:top w:val="single" w:sz="2" w:space="0" w:color="auto"/>
              <w:left w:val="single" w:sz="2" w:space="0" w:color="auto"/>
              <w:bottom w:val="single" w:sz="2" w:space="0" w:color="auto"/>
              <w:right w:val="single" w:sz="2" w:space="0" w:color="auto"/>
            </w:tcBorders>
          </w:tcPr>
          <w:p w:rsidR="002A3629" w:rsidRPr="002A3629" w:rsidRDefault="002A3629" w:rsidP="00C93ECA">
            <w:pPr>
              <w:spacing w:line="276" w:lineRule="auto"/>
              <w:rPr>
                <w:sz w:val="20"/>
                <w:szCs w:val="20"/>
              </w:rPr>
            </w:pPr>
            <w:r w:rsidRPr="002A3629">
              <w:rPr>
                <w:sz w:val="20"/>
                <w:szCs w:val="20"/>
              </w:rPr>
              <w:t>Viruses</w:t>
            </w:r>
          </w:p>
        </w:tc>
        <w:tc>
          <w:tcPr>
            <w:tcW w:w="1828" w:type="pct"/>
            <w:tcBorders>
              <w:top w:val="single" w:sz="2" w:space="0" w:color="auto"/>
              <w:left w:val="single" w:sz="2" w:space="0" w:color="auto"/>
              <w:bottom w:val="single" w:sz="2" w:space="0" w:color="auto"/>
              <w:right w:val="single" w:sz="2" w:space="0" w:color="auto"/>
            </w:tcBorders>
          </w:tcPr>
          <w:p w:rsidR="002A3629" w:rsidRPr="002A3629" w:rsidRDefault="002A3629" w:rsidP="00C93ECA">
            <w:pPr>
              <w:rPr>
                <w:sz w:val="20"/>
                <w:szCs w:val="20"/>
              </w:rPr>
            </w:pPr>
            <w:r w:rsidRPr="002A3629">
              <w:rPr>
                <w:sz w:val="20"/>
                <w:szCs w:val="20"/>
              </w:rPr>
              <w:t>Prawns</w:t>
            </w:r>
          </w:p>
        </w:tc>
      </w:tr>
      <w:tr w:rsidR="002A3629" w:rsidRPr="002A3629" w:rsidTr="00C93ECA">
        <w:trPr>
          <w:jc w:val="center"/>
        </w:trPr>
        <w:tc>
          <w:tcPr>
            <w:tcW w:w="826" w:type="pct"/>
            <w:tcBorders>
              <w:top w:val="single" w:sz="2" w:space="0" w:color="auto"/>
            </w:tcBorders>
          </w:tcPr>
          <w:p w:rsidR="002A3629" w:rsidRPr="00236CA0" w:rsidRDefault="002A3629" w:rsidP="00C93ECA">
            <w:pPr>
              <w:spacing w:line="276" w:lineRule="auto"/>
              <w:rPr>
                <w:b/>
                <w:sz w:val="20"/>
                <w:szCs w:val="20"/>
              </w:rPr>
            </w:pPr>
            <w:r w:rsidRPr="00236CA0">
              <w:rPr>
                <w:b/>
                <w:sz w:val="20"/>
                <w:szCs w:val="20"/>
              </w:rPr>
              <w:t>Crayfish</w:t>
            </w:r>
            <w:r w:rsidR="00C93ECA" w:rsidRPr="00236CA0">
              <w:rPr>
                <w:b/>
                <w:sz w:val="20"/>
                <w:szCs w:val="20"/>
              </w:rPr>
              <w:t xml:space="preserve"> &amp; </w:t>
            </w:r>
            <w:r w:rsidRPr="00236CA0">
              <w:rPr>
                <w:b/>
                <w:sz w:val="20"/>
                <w:szCs w:val="20"/>
              </w:rPr>
              <w:t>lobsters</w:t>
            </w:r>
          </w:p>
        </w:tc>
        <w:tc>
          <w:tcPr>
            <w:tcW w:w="2346" w:type="pct"/>
            <w:tcBorders>
              <w:top w:val="single" w:sz="2" w:space="0" w:color="auto"/>
            </w:tcBorders>
          </w:tcPr>
          <w:p w:rsidR="002A3629" w:rsidRPr="002A3629" w:rsidRDefault="002A3629" w:rsidP="00C93ECA">
            <w:pPr>
              <w:spacing w:line="276" w:lineRule="auto"/>
              <w:rPr>
                <w:sz w:val="20"/>
                <w:szCs w:val="20"/>
              </w:rPr>
            </w:pPr>
            <w:r w:rsidRPr="002A3629">
              <w:rPr>
                <w:sz w:val="20"/>
                <w:szCs w:val="20"/>
              </w:rPr>
              <w:t>Viruses</w:t>
            </w:r>
          </w:p>
        </w:tc>
        <w:tc>
          <w:tcPr>
            <w:tcW w:w="1828" w:type="pct"/>
            <w:tcBorders>
              <w:top w:val="single" w:sz="2" w:space="0" w:color="auto"/>
            </w:tcBorders>
          </w:tcPr>
          <w:p w:rsidR="002A3629" w:rsidRPr="002A3629" w:rsidRDefault="002A3629" w:rsidP="00C93ECA">
            <w:pPr>
              <w:rPr>
                <w:sz w:val="20"/>
                <w:szCs w:val="20"/>
              </w:rPr>
            </w:pPr>
            <w:r w:rsidRPr="002A3629">
              <w:rPr>
                <w:sz w:val="20"/>
                <w:szCs w:val="20"/>
              </w:rPr>
              <w:t>Crayfish/lobsters</w:t>
            </w:r>
          </w:p>
        </w:tc>
      </w:tr>
      <w:tr w:rsidR="002A3629" w:rsidRPr="002A3629" w:rsidTr="00C93ECA">
        <w:trPr>
          <w:jc w:val="center"/>
        </w:trPr>
        <w:tc>
          <w:tcPr>
            <w:tcW w:w="826" w:type="pct"/>
          </w:tcPr>
          <w:p w:rsidR="002A3629" w:rsidRPr="00236CA0" w:rsidRDefault="002A3629" w:rsidP="00C93ECA">
            <w:pPr>
              <w:spacing w:line="276" w:lineRule="auto"/>
              <w:rPr>
                <w:b/>
                <w:sz w:val="20"/>
                <w:szCs w:val="20"/>
              </w:rPr>
            </w:pPr>
            <w:r w:rsidRPr="00236CA0">
              <w:rPr>
                <w:b/>
                <w:sz w:val="20"/>
                <w:szCs w:val="20"/>
              </w:rPr>
              <w:t>Molluscs</w:t>
            </w:r>
          </w:p>
        </w:tc>
        <w:tc>
          <w:tcPr>
            <w:tcW w:w="2346" w:type="pct"/>
          </w:tcPr>
          <w:p w:rsidR="002A3629" w:rsidRPr="002A3629" w:rsidRDefault="002A3629" w:rsidP="00C93ECA">
            <w:pPr>
              <w:spacing w:line="276" w:lineRule="auto"/>
              <w:rPr>
                <w:sz w:val="20"/>
                <w:szCs w:val="20"/>
              </w:rPr>
            </w:pPr>
            <w:r w:rsidRPr="002A3629">
              <w:rPr>
                <w:i/>
                <w:sz w:val="20"/>
                <w:szCs w:val="20"/>
              </w:rPr>
              <w:t>Perkinsus olseni</w:t>
            </w:r>
          </w:p>
        </w:tc>
        <w:tc>
          <w:tcPr>
            <w:tcW w:w="1828" w:type="pct"/>
          </w:tcPr>
          <w:p w:rsidR="002A3629" w:rsidRPr="002A3629" w:rsidRDefault="002A3629" w:rsidP="00C93ECA">
            <w:pPr>
              <w:rPr>
                <w:sz w:val="20"/>
                <w:szCs w:val="20"/>
              </w:rPr>
            </w:pPr>
            <w:r w:rsidRPr="002A3629">
              <w:rPr>
                <w:sz w:val="20"/>
                <w:szCs w:val="20"/>
              </w:rPr>
              <w:t>Abalone, clams, pearl oysters</w:t>
            </w:r>
          </w:p>
        </w:tc>
      </w:tr>
      <w:tr w:rsidR="00236CA0" w:rsidRPr="002A3629" w:rsidTr="00B55546">
        <w:trPr>
          <w:trHeight w:val="246"/>
          <w:jc w:val="center"/>
        </w:trPr>
        <w:tc>
          <w:tcPr>
            <w:tcW w:w="826" w:type="pct"/>
            <w:vMerge w:val="restart"/>
          </w:tcPr>
          <w:p w:rsidR="00236CA0" w:rsidRPr="00236CA0" w:rsidRDefault="00236CA0" w:rsidP="00C93ECA">
            <w:pPr>
              <w:spacing w:line="276" w:lineRule="auto"/>
              <w:rPr>
                <w:b/>
                <w:sz w:val="20"/>
                <w:szCs w:val="20"/>
              </w:rPr>
            </w:pPr>
            <w:r w:rsidRPr="00236CA0">
              <w:rPr>
                <w:b/>
                <w:sz w:val="20"/>
                <w:szCs w:val="20"/>
              </w:rPr>
              <w:t>Abalone</w:t>
            </w:r>
          </w:p>
        </w:tc>
        <w:tc>
          <w:tcPr>
            <w:tcW w:w="2346" w:type="pct"/>
            <w:tcBorders>
              <w:bottom w:val="dashed" w:sz="4" w:space="0" w:color="auto"/>
            </w:tcBorders>
          </w:tcPr>
          <w:p w:rsidR="00236CA0" w:rsidRPr="002A3629" w:rsidRDefault="00236CA0" w:rsidP="00236CA0">
            <w:pPr>
              <w:spacing w:line="276" w:lineRule="auto"/>
              <w:rPr>
                <w:sz w:val="20"/>
                <w:szCs w:val="20"/>
              </w:rPr>
            </w:pPr>
            <w:r w:rsidRPr="002A3629">
              <w:rPr>
                <w:sz w:val="20"/>
                <w:szCs w:val="20"/>
              </w:rPr>
              <w:t>AVG</w:t>
            </w:r>
          </w:p>
        </w:tc>
        <w:tc>
          <w:tcPr>
            <w:tcW w:w="1828" w:type="pct"/>
            <w:tcBorders>
              <w:bottom w:val="dashed" w:sz="4" w:space="0" w:color="auto"/>
            </w:tcBorders>
          </w:tcPr>
          <w:p w:rsidR="00236CA0" w:rsidRPr="002A3629" w:rsidRDefault="00236CA0" w:rsidP="00236CA0">
            <w:pPr>
              <w:rPr>
                <w:sz w:val="20"/>
                <w:szCs w:val="20"/>
              </w:rPr>
            </w:pPr>
            <w:r w:rsidRPr="002A3629">
              <w:rPr>
                <w:sz w:val="20"/>
                <w:szCs w:val="20"/>
              </w:rPr>
              <w:t>Abalone</w:t>
            </w:r>
          </w:p>
        </w:tc>
      </w:tr>
      <w:tr w:rsidR="00236CA0" w:rsidRPr="002A3629" w:rsidTr="00B55546">
        <w:trPr>
          <w:trHeight w:val="245"/>
          <w:jc w:val="center"/>
        </w:trPr>
        <w:tc>
          <w:tcPr>
            <w:tcW w:w="826" w:type="pct"/>
            <w:vMerge/>
          </w:tcPr>
          <w:p w:rsidR="00236CA0" w:rsidRPr="00236CA0" w:rsidRDefault="00236CA0" w:rsidP="00C93ECA">
            <w:pPr>
              <w:rPr>
                <w:b/>
                <w:sz w:val="20"/>
                <w:szCs w:val="20"/>
              </w:rPr>
            </w:pPr>
          </w:p>
        </w:tc>
        <w:tc>
          <w:tcPr>
            <w:tcW w:w="2346" w:type="pct"/>
            <w:tcBorders>
              <w:top w:val="dashed" w:sz="4" w:space="0" w:color="auto"/>
            </w:tcBorders>
          </w:tcPr>
          <w:p w:rsidR="00236CA0" w:rsidRPr="002A3629" w:rsidRDefault="00236CA0" w:rsidP="00C93ECA">
            <w:pPr>
              <w:rPr>
                <w:sz w:val="20"/>
                <w:szCs w:val="20"/>
              </w:rPr>
            </w:pPr>
            <w:r w:rsidRPr="002A3629">
              <w:rPr>
                <w:i/>
                <w:sz w:val="20"/>
                <w:szCs w:val="20"/>
              </w:rPr>
              <w:t>Perkinsus olseni</w:t>
            </w:r>
          </w:p>
        </w:tc>
        <w:tc>
          <w:tcPr>
            <w:tcW w:w="1828" w:type="pct"/>
            <w:tcBorders>
              <w:top w:val="dashed" w:sz="4" w:space="0" w:color="auto"/>
            </w:tcBorders>
          </w:tcPr>
          <w:p w:rsidR="00236CA0" w:rsidRPr="002A3629" w:rsidRDefault="00236CA0" w:rsidP="00C93ECA">
            <w:pPr>
              <w:rPr>
                <w:sz w:val="20"/>
                <w:szCs w:val="20"/>
              </w:rPr>
            </w:pPr>
            <w:r w:rsidRPr="002A3629">
              <w:rPr>
                <w:sz w:val="20"/>
                <w:szCs w:val="20"/>
              </w:rPr>
              <w:t>Abalone, clams, pearl oysters</w:t>
            </w:r>
          </w:p>
        </w:tc>
      </w:tr>
    </w:tbl>
    <w:p w:rsidR="004D2BAB" w:rsidRPr="002D3636" w:rsidRDefault="004D2BAB" w:rsidP="00B45005">
      <w:pPr>
        <w:rPr>
          <w:sz w:val="20"/>
          <w:szCs w:val="20"/>
        </w:rPr>
      </w:pPr>
      <w:r w:rsidRPr="002D3636">
        <w:rPr>
          <w:b/>
          <w:sz w:val="20"/>
          <w:szCs w:val="20"/>
        </w:rPr>
        <w:t xml:space="preserve"> </w:t>
      </w:r>
    </w:p>
    <w:p w:rsidR="005A41EA" w:rsidRDefault="005A41EA" w:rsidP="00D3754A">
      <w:pPr>
        <w:pStyle w:val="Heading2"/>
        <w:sectPr w:rsidR="005A41EA" w:rsidSect="008C778D">
          <w:pgSz w:w="11906" w:h="16838"/>
          <w:pgMar w:top="1440" w:right="1440" w:bottom="1440" w:left="1440" w:header="708" w:footer="708" w:gutter="0"/>
          <w:cols w:space="708"/>
          <w:docGrid w:linePitch="360"/>
        </w:sectPr>
      </w:pPr>
    </w:p>
    <w:p w:rsidR="005A41EA" w:rsidRDefault="005A41EA" w:rsidP="00D3754A">
      <w:pPr>
        <w:pStyle w:val="Heading2"/>
      </w:pPr>
      <w:bookmarkStart w:id="42" w:name="_Toc419370662"/>
      <w:r>
        <w:lastRenderedPageBreak/>
        <w:t>R</w:t>
      </w:r>
      <w:r w:rsidRPr="006565CE">
        <w:t>eferences</w:t>
      </w:r>
      <w:bookmarkEnd w:id="42"/>
    </w:p>
    <w:p w:rsidR="005A41EA" w:rsidRPr="00567223" w:rsidRDefault="005A41EA" w:rsidP="005A41EA">
      <w:r w:rsidRPr="00567223">
        <w:t>Barlow, C.G., Hogan, A.E., and Rodgers, L.J. 1987 ‘Implication of translocated fishes in the apparent extinction in the wild of the Lake Eacham Rainbowfish,</w:t>
      </w:r>
      <w:r w:rsidRPr="00567223">
        <w:rPr>
          <w:i/>
        </w:rPr>
        <w:t xml:space="preserve"> </w:t>
      </w:r>
      <w:r w:rsidRPr="00567223">
        <w:t>Melanotaenia eachamensis’</w:t>
      </w:r>
      <w:r w:rsidRPr="00567223">
        <w:rPr>
          <w:i/>
        </w:rPr>
        <w:t>.</w:t>
      </w:r>
      <w:r w:rsidRPr="00567223">
        <w:t xml:space="preserve"> </w:t>
      </w:r>
      <w:r w:rsidRPr="00567223">
        <w:rPr>
          <w:i/>
        </w:rPr>
        <w:t>Australian Journal of Marine and Freshwater Research,</w:t>
      </w:r>
      <w:r w:rsidRPr="00567223">
        <w:t xml:space="preserve"> vol. 38, no. 6, pp. 897–902.</w:t>
      </w:r>
    </w:p>
    <w:p w:rsidR="005A41EA" w:rsidRPr="00567223" w:rsidRDefault="005A41EA" w:rsidP="005A41EA">
      <w:r w:rsidRPr="00567223">
        <w:t xml:space="preserve">Department of Agriculture 2010, ‘Prawns and Prawn Products’, Australian Government Department of Agriculture, </w:t>
      </w:r>
      <w:hyperlink r:id="rId17" w:history="1">
        <w:r w:rsidRPr="00567223">
          <w:rPr>
            <w:rStyle w:val="Hyperlink"/>
          </w:rPr>
          <w:t>agriculture.gov.au/biosecurity/risk-analysis/ira/final-animal/prawns</w:t>
        </w:r>
      </w:hyperlink>
      <w:r w:rsidRPr="00567223">
        <w:t>.</w:t>
      </w:r>
    </w:p>
    <w:p w:rsidR="005A41EA" w:rsidRPr="00567223" w:rsidRDefault="005A41EA" w:rsidP="005A41EA">
      <w:r w:rsidRPr="00567223">
        <w:t xml:space="preserve">Diggles, B.K. 2011 </w:t>
      </w:r>
      <w:r w:rsidRPr="00567223">
        <w:rPr>
          <w:i/>
        </w:rPr>
        <w:t>Risk Analysis. Aquatic animal diseases associated with domestic bait translocation</w:t>
      </w:r>
      <w:r w:rsidRPr="00567223">
        <w:t>. Final report prepared for the Australian Government Department of Agriculture, Canberra, FRDC Project No. 2009/072, pp. 296.</w:t>
      </w:r>
    </w:p>
    <w:p w:rsidR="005A41EA" w:rsidRPr="00567223" w:rsidRDefault="005A41EA" w:rsidP="005A41EA">
      <w:r w:rsidRPr="00567223">
        <w:t xml:space="preserve">Kewagama Research (2002). </w:t>
      </w:r>
      <w:r w:rsidRPr="00567223">
        <w:rPr>
          <w:i/>
        </w:rPr>
        <w:t>National Survey of Bait and Berley Use by Recreational Fishers</w:t>
      </w:r>
      <w:r w:rsidRPr="00567223">
        <w:t>. Report to Biosecurity. AFFA December 2002. Kewagama Research Pty Ltd., Noosa Valley, Qld</w:t>
      </w:r>
    </w:p>
    <w:p w:rsidR="005A41EA" w:rsidRPr="00567223" w:rsidRDefault="00C46866" w:rsidP="005A41EA">
      <w:pPr>
        <w:rPr>
          <w:color w:val="000000" w:themeColor="text1"/>
        </w:rPr>
      </w:pPr>
      <w:hyperlink r:id="rId18" w:history="1">
        <w:r w:rsidR="005A41EA" w:rsidRPr="00567223">
          <w:rPr>
            <w:color w:val="000000" w:themeColor="text1"/>
          </w:rPr>
          <w:t>Oidtmann B</w:t>
        </w:r>
      </w:hyperlink>
      <w:r w:rsidR="005A41EA" w:rsidRPr="00567223">
        <w:rPr>
          <w:color w:val="000000" w:themeColor="text1"/>
        </w:rPr>
        <w:t xml:space="preserve">, </w:t>
      </w:r>
      <w:hyperlink r:id="rId19" w:history="1">
        <w:r w:rsidR="005A41EA" w:rsidRPr="00567223">
          <w:rPr>
            <w:color w:val="000000" w:themeColor="text1"/>
          </w:rPr>
          <w:t>Heitz E</w:t>
        </w:r>
      </w:hyperlink>
      <w:r w:rsidR="005A41EA" w:rsidRPr="00567223">
        <w:rPr>
          <w:color w:val="000000" w:themeColor="text1"/>
        </w:rPr>
        <w:t xml:space="preserve">, </w:t>
      </w:r>
      <w:hyperlink r:id="rId20" w:history="1">
        <w:r w:rsidR="005A41EA" w:rsidRPr="00567223">
          <w:rPr>
            <w:color w:val="000000" w:themeColor="text1"/>
          </w:rPr>
          <w:t>Rogers D</w:t>
        </w:r>
      </w:hyperlink>
      <w:r w:rsidR="005A41EA" w:rsidRPr="00567223">
        <w:rPr>
          <w:color w:val="000000" w:themeColor="text1"/>
        </w:rPr>
        <w:t xml:space="preserve">, </w:t>
      </w:r>
      <w:hyperlink r:id="rId21" w:history="1">
        <w:r w:rsidR="005A41EA" w:rsidRPr="00567223">
          <w:rPr>
            <w:color w:val="000000" w:themeColor="text1"/>
          </w:rPr>
          <w:t xml:space="preserve">Hoffmann RW. 2002. Transmission of crayfish plague. </w:t>
        </w:r>
      </w:hyperlink>
      <w:hyperlink r:id="rId22" w:tooltip="Diseases of aquatic organisms." w:history="1">
        <w:r w:rsidR="005A41EA" w:rsidRPr="00567223">
          <w:rPr>
            <w:i/>
            <w:color w:val="000000" w:themeColor="text1"/>
          </w:rPr>
          <w:t>Diseases of Aquatic Organisms</w:t>
        </w:r>
      </w:hyperlink>
      <w:r w:rsidR="005A41EA" w:rsidRPr="00567223">
        <w:t xml:space="preserve">, vol. </w:t>
      </w:r>
      <w:r w:rsidR="005A41EA" w:rsidRPr="00567223">
        <w:rPr>
          <w:color w:val="000000" w:themeColor="text1"/>
        </w:rPr>
        <w:t>52, no. 2, pp. 159–67.</w:t>
      </w:r>
    </w:p>
    <w:p w:rsidR="005A41EA" w:rsidRPr="00567223" w:rsidRDefault="005A41EA" w:rsidP="005A41EA">
      <w:r w:rsidRPr="00567223">
        <w:t xml:space="preserve">Queensland </w:t>
      </w:r>
      <w:r>
        <w:t xml:space="preserve">Government Department of </w:t>
      </w:r>
      <w:r w:rsidRPr="00567223">
        <w:t>Primary Industries and Fisheries 2004, ‘Management arrangements for Aquaculture Developments’</w:t>
      </w:r>
      <w:r>
        <w:t>,</w:t>
      </w:r>
      <w:r w:rsidRPr="00567223">
        <w:t xml:space="preserve"> Queensland Government Department of Agriculture and Fisheries, </w:t>
      </w:r>
      <w:hyperlink r:id="rId23" w:history="1">
        <w:r w:rsidRPr="00567223">
          <w:rPr>
            <w:rStyle w:val="Hyperlink"/>
          </w:rPr>
          <w:t>daff.qld.gov.au/fisheries/aquaculture/management-and-policies/famop001-high-risk-activities</w:t>
        </w:r>
      </w:hyperlink>
    </w:p>
    <w:p w:rsidR="00945AB0" w:rsidRDefault="005A41EA" w:rsidP="00945AB0">
      <w:pPr>
        <w:sectPr w:rsidR="00945AB0" w:rsidSect="008C778D">
          <w:pgSz w:w="11906" w:h="16838"/>
          <w:pgMar w:top="1440" w:right="1440" w:bottom="1440" w:left="1440" w:header="708" w:footer="708" w:gutter="0"/>
          <w:cols w:space="708"/>
          <w:docGrid w:linePitch="360"/>
        </w:sectPr>
      </w:pPr>
      <w:r>
        <w:t>Skirtun, M, Sahlqvist, P</w:t>
      </w:r>
      <w:r w:rsidRPr="00567223">
        <w:t xml:space="preserve">, Curtotti, R, </w:t>
      </w:r>
      <w:r>
        <w:t>&amp;</w:t>
      </w:r>
      <w:r w:rsidRPr="00567223">
        <w:t xml:space="preserve"> Hobsbawn, P</w:t>
      </w:r>
      <w:r>
        <w:t xml:space="preserve"> </w:t>
      </w:r>
      <w:r w:rsidRPr="00567223">
        <w:t>2012</w:t>
      </w:r>
      <w:r w:rsidRPr="009E5672">
        <w:t>,</w:t>
      </w:r>
      <w:r>
        <w:rPr>
          <w:i/>
        </w:rPr>
        <w:t xml:space="preserve"> </w:t>
      </w:r>
      <w:r w:rsidRPr="00567223">
        <w:rPr>
          <w:i/>
        </w:rPr>
        <w:t>Australian fisheries statistics</w:t>
      </w:r>
      <w:r>
        <w:rPr>
          <w:i/>
        </w:rPr>
        <w:t xml:space="preserve"> 2011</w:t>
      </w:r>
      <w:r w:rsidRPr="009E5672">
        <w:t>,</w:t>
      </w:r>
      <w:r>
        <w:rPr>
          <w:i/>
        </w:rPr>
        <w:t xml:space="preserve"> </w:t>
      </w:r>
      <w:r w:rsidRPr="00567223">
        <w:t>ABARES</w:t>
      </w:r>
      <w:r w:rsidRPr="00567223">
        <w:rPr>
          <w:i/>
        </w:rPr>
        <w:t xml:space="preserve">, </w:t>
      </w:r>
      <w:r w:rsidRPr="00567223">
        <w:t>Canberra.</w:t>
      </w:r>
    </w:p>
    <w:p w:rsidR="008C778D" w:rsidRDefault="008C778D" w:rsidP="00D3754A">
      <w:pPr>
        <w:pStyle w:val="Heading2"/>
      </w:pPr>
      <w:bookmarkStart w:id="43" w:name="_Toc419370663"/>
      <w:r w:rsidRPr="006565CE">
        <w:lastRenderedPageBreak/>
        <w:t>Acronyms</w:t>
      </w:r>
      <w:r>
        <w:t xml:space="preserve"> and definitions</w:t>
      </w:r>
      <w:bookmarkEnd w:id="43"/>
    </w:p>
    <w:p w:rsidR="00172329" w:rsidRPr="00172329" w:rsidRDefault="000675D9" w:rsidP="0008634A">
      <w:pPr>
        <w:pStyle w:val="ListParagraph"/>
      </w:pPr>
      <w:r w:rsidRPr="0027429C">
        <w:rPr>
          <w:b/>
        </w:rPr>
        <w:t>ALOP</w:t>
      </w:r>
      <w:r w:rsidR="008073A9" w:rsidRPr="00081549">
        <w:t xml:space="preserve"> – appropriate level of protection, </w:t>
      </w:r>
      <w:r w:rsidR="00D625D9" w:rsidRPr="00081549">
        <w:t>the level of protection deemed appropriate</w:t>
      </w:r>
      <w:r w:rsidR="002F2DD7" w:rsidRPr="00081549">
        <w:t xml:space="preserve"> by Australia to establish </w:t>
      </w:r>
      <w:r w:rsidR="0039663B" w:rsidRPr="00081549">
        <w:t xml:space="preserve">a </w:t>
      </w:r>
      <w:r w:rsidR="002F2DD7" w:rsidRPr="00081549">
        <w:t>sanitary and phytosanitary measure to protect human, animal or plant life or health within Australia.</w:t>
      </w:r>
    </w:p>
    <w:p w:rsidR="000675D9" w:rsidRPr="000675D9" w:rsidRDefault="000675D9" w:rsidP="0008634A">
      <w:pPr>
        <w:pStyle w:val="ListParagraph"/>
      </w:pPr>
      <w:r w:rsidRPr="0027429C">
        <w:rPr>
          <w:b/>
        </w:rPr>
        <w:t>AVG</w:t>
      </w:r>
      <w:r>
        <w:t xml:space="preserve"> – abalone viral ganglioneuritis, a disease of abalone caused by abalone herpes virus. It kills abalone by destroying nervous tissue.</w:t>
      </w:r>
    </w:p>
    <w:p w:rsidR="008C778D" w:rsidRDefault="008C778D" w:rsidP="0008634A">
      <w:pPr>
        <w:pStyle w:val="ListParagraph"/>
      </w:pPr>
      <w:r w:rsidRPr="0027429C">
        <w:rPr>
          <w:b/>
          <w:i/>
        </w:rPr>
        <w:t>Bonamia</w:t>
      </w:r>
      <w:r w:rsidRPr="0027429C">
        <w:rPr>
          <w:b/>
        </w:rPr>
        <w:t xml:space="preserve"> spp.</w:t>
      </w:r>
      <w:r>
        <w:t xml:space="preserve"> – a protozoan parasite of bivalve molluscs, classified within the </w:t>
      </w:r>
      <w:r w:rsidR="00992270">
        <w:t>H</w:t>
      </w:r>
      <w:r>
        <w:t>aplosporidia</w:t>
      </w:r>
      <w:r w:rsidR="00992270">
        <w:t xml:space="preserve"> phylum</w:t>
      </w:r>
      <w:r w:rsidR="002410B7">
        <w:t xml:space="preserve"> at the time of writing (June 2014)</w:t>
      </w:r>
      <w:r>
        <w:t xml:space="preserve">. </w:t>
      </w:r>
      <w:r w:rsidR="00992270">
        <w:t>It c</w:t>
      </w:r>
      <w:r>
        <w:t>an cause sudden and mass mortalities.</w:t>
      </w:r>
    </w:p>
    <w:p w:rsidR="008C778D" w:rsidRDefault="008C778D" w:rsidP="0008634A">
      <w:pPr>
        <w:pStyle w:val="ListParagraph"/>
      </w:pPr>
      <w:r w:rsidRPr="0027429C">
        <w:rPr>
          <w:b/>
        </w:rPr>
        <w:t>Cestodes</w:t>
      </w:r>
      <w:r>
        <w:t xml:space="preserve"> – flatworm parasites commonly known as tapeworms. Adults live in the intestine of </w:t>
      </w:r>
      <w:r w:rsidR="00992270">
        <w:t>fin</w:t>
      </w:r>
      <w:r>
        <w:t>fish</w:t>
      </w:r>
      <w:r w:rsidR="00992270">
        <w:t xml:space="preserve"> and</w:t>
      </w:r>
      <w:r>
        <w:t xml:space="preserve"> larvae may be present in flesh or encysted in other organs. Intermediate stages occur in invertebrates.</w:t>
      </w:r>
    </w:p>
    <w:p w:rsidR="008C778D" w:rsidRDefault="008C778D" w:rsidP="0008634A">
      <w:pPr>
        <w:pStyle w:val="ListParagraph"/>
      </w:pPr>
      <w:r w:rsidRPr="0027429C">
        <w:rPr>
          <w:b/>
        </w:rPr>
        <w:t>Copepods</w:t>
      </w:r>
      <w:r>
        <w:t xml:space="preserve"> – crustacean ectoparasites of </w:t>
      </w:r>
      <w:r w:rsidR="00992270">
        <w:t>fin</w:t>
      </w:r>
      <w:r>
        <w:t xml:space="preserve">fish, including parasites </w:t>
      </w:r>
      <w:r w:rsidR="00992270">
        <w:t xml:space="preserve">commonly </w:t>
      </w:r>
      <w:r>
        <w:t>known as sea lice</w:t>
      </w:r>
      <w:r w:rsidR="00710E6D">
        <w:t xml:space="preserve"> </w:t>
      </w:r>
    </w:p>
    <w:p w:rsidR="008C778D" w:rsidRPr="004E58C1" w:rsidRDefault="008C778D" w:rsidP="0008634A">
      <w:pPr>
        <w:pStyle w:val="ListParagraph"/>
      </w:pPr>
      <w:r w:rsidRPr="0027429C">
        <w:rPr>
          <w:b/>
        </w:rPr>
        <w:t>Digeneans</w:t>
      </w:r>
      <w:r>
        <w:t xml:space="preserve"> – flatworm parasites commonly known as flukes. Adults may colonise the gastrointestinal tract, liver, swim bladder, blood vessels and other organs of </w:t>
      </w:r>
      <w:r w:rsidR="00B44F16">
        <w:t>fin</w:t>
      </w:r>
      <w:r>
        <w:t>fish</w:t>
      </w:r>
      <w:r w:rsidR="00C35A41">
        <w:t xml:space="preserve">. </w:t>
      </w:r>
      <w:r>
        <w:t>Intermediate stages occur in invertebrates.</w:t>
      </w:r>
    </w:p>
    <w:p w:rsidR="008C778D" w:rsidRDefault="008C778D" w:rsidP="0008634A">
      <w:pPr>
        <w:pStyle w:val="ListParagraph"/>
      </w:pPr>
      <w:r w:rsidRPr="0027429C">
        <w:rPr>
          <w:b/>
        </w:rPr>
        <w:t>EHN</w:t>
      </w:r>
      <w:r>
        <w:t xml:space="preserve"> – epizootic haematopoietic necrosis, a disease of fish caused by EHN virus, a member of the </w:t>
      </w:r>
      <w:r>
        <w:rPr>
          <w:i/>
        </w:rPr>
        <w:t>Ranavirus</w:t>
      </w:r>
      <w:r>
        <w:t xml:space="preserve"> genus.</w:t>
      </w:r>
    </w:p>
    <w:p w:rsidR="008C778D" w:rsidRDefault="008C778D" w:rsidP="0008634A">
      <w:pPr>
        <w:pStyle w:val="ListParagraph"/>
      </w:pPr>
      <w:r w:rsidRPr="0027429C">
        <w:rPr>
          <w:b/>
        </w:rPr>
        <w:t>EUS</w:t>
      </w:r>
      <w:r>
        <w:t xml:space="preserve"> – epizootic ulcerative syndrome</w:t>
      </w:r>
      <w:r w:rsidR="00B44F16">
        <w:t>,</w:t>
      </w:r>
      <w:r>
        <w:t xml:space="preserve"> a disease of finfish</w:t>
      </w:r>
      <w:r w:rsidRPr="001A04CB">
        <w:t xml:space="preserve"> </w:t>
      </w:r>
      <w:r>
        <w:t xml:space="preserve">caused by </w:t>
      </w:r>
      <w:r w:rsidR="00B44F16">
        <w:t>the</w:t>
      </w:r>
      <w:r>
        <w:t xml:space="preserve"> fungus </w:t>
      </w:r>
      <w:r w:rsidRPr="001A04CB">
        <w:rPr>
          <w:i/>
        </w:rPr>
        <w:t>Aphanomyces invadans</w:t>
      </w:r>
      <w:r>
        <w:t>. The disease causes ulcers and is known to have spread throughout the world with ornamental finfish.</w:t>
      </w:r>
    </w:p>
    <w:p w:rsidR="008C778D" w:rsidRDefault="008C778D" w:rsidP="0008634A">
      <w:pPr>
        <w:pStyle w:val="ListParagraph"/>
      </w:pPr>
      <w:r w:rsidRPr="0027429C">
        <w:rPr>
          <w:b/>
        </w:rPr>
        <w:t>GUD</w:t>
      </w:r>
      <w:r>
        <w:t xml:space="preserve"> – </w:t>
      </w:r>
      <w:r w:rsidR="00B44F16">
        <w:t>g</w:t>
      </w:r>
      <w:r>
        <w:t xml:space="preserve">oldfish </w:t>
      </w:r>
      <w:r w:rsidR="00B44F16">
        <w:t>u</w:t>
      </w:r>
      <w:r>
        <w:t xml:space="preserve">lcer </w:t>
      </w:r>
      <w:r w:rsidR="00B44F16">
        <w:t>d</w:t>
      </w:r>
      <w:r>
        <w:t>isease</w:t>
      </w:r>
      <w:r w:rsidR="00B44F16">
        <w:t xml:space="preserve">, a disease of finfish caused by atypical strains of the bacterium </w:t>
      </w:r>
      <w:r w:rsidR="00B44F16">
        <w:rPr>
          <w:i/>
        </w:rPr>
        <w:t>Aeromonas salmonicida</w:t>
      </w:r>
      <w:r w:rsidR="00B44F16">
        <w:t>.</w:t>
      </w:r>
    </w:p>
    <w:p w:rsidR="008C778D" w:rsidRDefault="008C778D" w:rsidP="0008634A">
      <w:pPr>
        <w:pStyle w:val="ListParagraph"/>
      </w:pPr>
      <w:r w:rsidRPr="0027429C">
        <w:rPr>
          <w:b/>
        </w:rPr>
        <w:t>Haplosporidians</w:t>
      </w:r>
      <w:r>
        <w:t xml:space="preserve"> – Microcells </w:t>
      </w:r>
      <w:r w:rsidR="00B44F16">
        <w:t>that mainly affect molluscs by infecting cells and may also be</w:t>
      </w:r>
      <w:r>
        <w:t xml:space="preserve"> present in the body cavity</w:t>
      </w:r>
      <w:r w:rsidR="00B44F16">
        <w:t>.</w:t>
      </w:r>
    </w:p>
    <w:p w:rsidR="008C778D" w:rsidRDefault="008C778D" w:rsidP="0008634A">
      <w:pPr>
        <w:pStyle w:val="ListParagraph"/>
      </w:pPr>
      <w:r w:rsidRPr="0027429C">
        <w:rPr>
          <w:b/>
        </w:rPr>
        <w:t>Health status</w:t>
      </w:r>
      <w:r>
        <w:t xml:space="preserve"> – the status of an area in regard to pathogens present or not present. </w:t>
      </w:r>
      <w:r w:rsidR="00B44F16">
        <w:t>This i</w:t>
      </w:r>
      <w:r>
        <w:t>ncludes strains of the same pathogen (as these may cause disease or be benign).</w:t>
      </w:r>
    </w:p>
    <w:p w:rsidR="008C778D" w:rsidRDefault="008C778D" w:rsidP="0008634A">
      <w:pPr>
        <w:pStyle w:val="ListParagraph"/>
      </w:pPr>
      <w:r w:rsidRPr="0027429C">
        <w:rPr>
          <w:b/>
          <w:i/>
        </w:rPr>
        <w:t xml:space="preserve">Hematodininium </w:t>
      </w:r>
      <w:r w:rsidRPr="0027429C">
        <w:rPr>
          <w:b/>
        </w:rPr>
        <w:t>spp.</w:t>
      </w:r>
      <w:r>
        <w:t xml:space="preserve"> – parasitic dinoflagellates </w:t>
      </w:r>
      <w:r w:rsidR="00B44F16">
        <w:t>that affect</w:t>
      </w:r>
      <w:r>
        <w:t xml:space="preserve"> crustaceans</w:t>
      </w:r>
      <w:r w:rsidR="00B44F16">
        <w:t>.</w:t>
      </w:r>
    </w:p>
    <w:p w:rsidR="008C778D" w:rsidRDefault="008C778D" w:rsidP="0008634A">
      <w:pPr>
        <w:pStyle w:val="ListParagraph"/>
      </w:pPr>
      <w:r w:rsidRPr="0027429C">
        <w:rPr>
          <w:b/>
          <w:i/>
        </w:rPr>
        <w:t>ISKNV-like viruses</w:t>
      </w:r>
      <w:r>
        <w:rPr>
          <w:i/>
        </w:rPr>
        <w:t xml:space="preserve"> </w:t>
      </w:r>
      <w:r>
        <w:t>– infections spleen and kidney necrosis viruses. A family of viruses that can cause high mortalities in finfish. The</w:t>
      </w:r>
      <w:r w:rsidR="00B44F16">
        <w:t>re are marine and freshwater species and they have wide variety of host species</w:t>
      </w:r>
      <w:r>
        <w:t>. They have been spread with juvenile fish used for aquaculture, broodstock and aquarium fish.</w:t>
      </w:r>
    </w:p>
    <w:p w:rsidR="00B44F16" w:rsidRPr="00B44F16" w:rsidRDefault="008C778D" w:rsidP="0008634A">
      <w:pPr>
        <w:pStyle w:val="ListParagraph"/>
      </w:pPr>
      <w:r w:rsidRPr="0027429C">
        <w:rPr>
          <w:b/>
          <w:i/>
        </w:rPr>
        <w:t>Marteilia sydneyi</w:t>
      </w:r>
      <w:r>
        <w:t xml:space="preserve"> – a parasite of marine edible oysters</w:t>
      </w:r>
      <w:r w:rsidR="00B44F16">
        <w:t xml:space="preserve">. It </w:t>
      </w:r>
      <w:r>
        <w:t>can cause high</w:t>
      </w:r>
      <w:r w:rsidR="00B44F16">
        <w:t xml:space="preserve"> mortality and</w:t>
      </w:r>
      <w:r>
        <w:t xml:space="preserve"> losses as infected oysters are not marketable due to small size.</w:t>
      </w:r>
    </w:p>
    <w:p w:rsidR="008C778D" w:rsidRPr="00B44F16" w:rsidRDefault="008C778D" w:rsidP="0008634A">
      <w:pPr>
        <w:pStyle w:val="ListParagraph"/>
      </w:pPr>
      <w:r w:rsidRPr="0027429C">
        <w:rPr>
          <w:b/>
          <w:i/>
        </w:rPr>
        <w:t>Microsporidians</w:t>
      </w:r>
      <w:r w:rsidRPr="00B44F16">
        <w:rPr>
          <w:i/>
        </w:rPr>
        <w:t xml:space="preserve"> –</w:t>
      </w:r>
      <w:r w:rsidRPr="00B44F16">
        <w:t xml:space="preserve"> intracellular protozoan parasites which can infect </w:t>
      </w:r>
      <w:r w:rsidR="00B44F16">
        <w:t>fin</w:t>
      </w:r>
      <w:r w:rsidRPr="00B44F16">
        <w:t>fish and crustaceans</w:t>
      </w:r>
      <w:r w:rsidR="00B44F16">
        <w:t>. The parasites have a wide host range and can cause</w:t>
      </w:r>
      <w:r w:rsidRPr="00B44F16">
        <w:t xml:space="preserve"> watery flesh and discolouration.</w:t>
      </w:r>
    </w:p>
    <w:p w:rsidR="008C778D" w:rsidRPr="00B44F16" w:rsidRDefault="008C778D" w:rsidP="0008634A">
      <w:pPr>
        <w:pStyle w:val="ListParagraph"/>
      </w:pPr>
      <w:r w:rsidRPr="0027429C">
        <w:rPr>
          <w:b/>
        </w:rPr>
        <w:t>Myxosporeans</w:t>
      </w:r>
      <w:r w:rsidRPr="00B44F16">
        <w:t xml:space="preserve"> – microparasites</w:t>
      </w:r>
      <w:r w:rsidR="00B44F16">
        <w:t xml:space="preserve"> of finfish that</w:t>
      </w:r>
      <w:r w:rsidRPr="00B44F16">
        <w:t xml:space="preserve"> infecting various organs </w:t>
      </w:r>
      <w:r w:rsidR="00B44F16">
        <w:t>and</w:t>
      </w:r>
      <w:r w:rsidRPr="00B44F16">
        <w:t xml:space="preserve"> can cause flesh to be watery.</w:t>
      </w:r>
    </w:p>
    <w:p w:rsidR="008C778D" w:rsidRDefault="008C778D" w:rsidP="0008634A">
      <w:pPr>
        <w:pStyle w:val="ListParagraph"/>
      </w:pPr>
      <w:r w:rsidRPr="0027429C">
        <w:rPr>
          <w:b/>
        </w:rPr>
        <w:lastRenderedPageBreak/>
        <w:t>Nematodes</w:t>
      </w:r>
      <w:r w:rsidRPr="00B44F16">
        <w:t xml:space="preserve"> – endoparasitic worms </w:t>
      </w:r>
      <w:r w:rsidR="00B44F16" w:rsidRPr="00710E6D">
        <w:t>that mainly affect finfish.</w:t>
      </w:r>
      <w:r w:rsidR="00B44F16">
        <w:t xml:space="preserve"> They</w:t>
      </w:r>
      <w:r w:rsidRPr="00B44F16">
        <w:t xml:space="preserve"> colonise the gastrointestinal tract or </w:t>
      </w:r>
      <w:r>
        <w:t xml:space="preserve">encyst in flesh. </w:t>
      </w:r>
      <w:r>
        <w:rPr>
          <w:i/>
        </w:rPr>
        <w:t xml:space="preserve">Anisakis </w:t>
      </w:r>
      <w:r>
        <w:t>spp are a human health concern.</w:t>
      </w:r>
    </w:p>
    <w:p w:rsidR="008C778D" w:rsidRDefault="008C778D" w:rsidP="0008634A">
      <w:pPr>
        <w:pStyle w:val="ListParagraph"/>
      </w:pPr>
      <w:r w:rsidRPr="0027429C">
        <w:rPr>
          <w:b/>
          <w:i/>
        </w:rPr>
        <w:t>Perkinsus olseni</w:t>
      </w:r>
      <w:r>
        <w:t xml:space="preserve"> – parasitic protozoan of molluscs that causes ulceration and can cause death, particularly in abalone, clams and some oysters.</w:t>
      </w:r>
    </w:p>
    <w:p w:rsidR="008C778D" w:rsidRDefault="008C778D" w:rsidP="0008634A">
      <w:pPr>
        <w:pStyle w:val="ListParagraph"/>
      </w:pPr>
      <w:r w:rsidRPr="0027429C">
        <w:rPr>
          <w:b/>
          <w:i/>
        </w:rPr>
        <w:t>Sacculina</w:t>
      </w:r>
      <w:r w:rsidRPr="0027429C">
        <w:rPr>
          <w:b/>
        </w:rPr>
        <w:t xml:space="preserve"> spp.</w:t>
      </w:r>
      <w:r>
        <w:t xml:space="preserve"> – parasitic barnacles of crustaceans, particularly </w:t>
      </w:r>
      <w:r w:rsidR="00B44F16">
        <w:t xml:space="preserve">of </w:t>
      </w:r>
      <w:r>
        <w:t xml:space="preserve">crabs, </w:t>
      </w:r>
      <w:r w:rsidR="00B44F16">
        <w:t>infection</w:t>
      </w:r>
      <w:r>
        <w:t xml:space="preserve"> results in sterility and </w:t>
      </w:r>
      <w:r w:rsidR="00B44F16">
        <w:t>no</w:t>
      </w:r>
      <w:r>
        <w:t xml:space="preserve"> growth.</w:t>
      </w:r>
    </w:p>
    <w:p w:rsidR="008C778D" w:rsidRDefault="008C778D" w:rsidP="0008634A">
      <w:pPr>
        <w:pStyle w:val="ListParagraph"/>
      </w:pPr>
      <w:r w:rsidRPr="0027429C">
        <w:rPr>
          <w:b/>
        </w:rPr>
        <w:t>SMV</w:t>
      </w:r>
      <w:r>
        <w:t xml:space="preserve"> – </w:t>
      </w:r>
      <w:r w:rsidR="00B44F16">
        <w:t>spawner</w:t>
      </w:r>
      <w:r>
        <w:t xml:space="preserve">-isolated </w:t>
      </w:r>
      <w:r w:rsidR="00F05FED">
        <w:t>mortality virus, a virus of</w:t>
      </w:r>
      <w:r>
        <w:t xml:space="preserve"> prawns, caused by a parvo-like virus</w:t>
      </w:r>
      <w:r w:rsidR="00F05FED">
        <w:t>.</w:t>
      </w:r>
    </w:p>
    <w:p w:rsidR="00371ED3" w:rsidRPr="002A1DE0" w:rsidRDefault="00F05FED" w:rsidP="0008634A">
      <w:pPr>
        <w:pStyle w:val="ListParagraph"/>
      </w:pPr>
      <w:r w:rsidRPr="0027429C">
        <w:rPr>
          <w:b/>
        </w:rPr>
        <w:t>VER</w:t>
      </w:r>
      <w:r w:rsidRPr="002A1DE0">
        <w:t xml:space="preserve"> – viral encephalopathy and retinopathy, a virus of finfish, caused by a virus in the Nodaviridae family. The virus causes brain and retina damage and mortality of juvenile fish.</w:t>
      </w:r>
    </w:p>
    <w:p w:rsidR="00310FF8" w:rsidRDefault="009D03F8" w:rsidP="008D5F69">
      <w:pPr>
        <w:pStyle w:val="ListParagraph"/>
      </w:pPr>
      <w:r w:rsidRPr="0027429C">
        <w:rPr>
          <w:b/>
          <w:sz w:val="20"/>
          <w:szCs w:val="20"/>
        </w:rPr>
        <w:t>WTD</w:t>
      </w:r>
      <w:r w:rsidRPr="002A1DE0">
        <w:t xml:space="preserve"> –</w:t>
      </w:r>
      <w:r>
        <w:t xml:space="preserve"> white tail disease or white muscle disease, a viral infection caused by </w:t>
      </w:r>
      <w:r w:rsidRPr="009D03F8">
        <w:rPr>
          <w:i/>
        </w:rPr>
        <w:t>Macrobrachium rosenbergii</w:t>
      </w:r>
      <w:r>
        <w:t xml:space="preserve"> nodavirus and its associate extra small virus. They cause a milky whitish appearance in larvae/post larvae/early juveniles, and are responsible for large scale mortalities in </w:t>
      </w:r>
      <w:r w:rsidRPr="009D03F8">
        <w:rPr>
          <w:i/>
        </w:rPr>
        <w:t>M. rosenbergii</w:t>
      </w:r>
      <w:r>
        <w:rPr>
          <w:i/>
        </w:rPr>
        <w:t>.</w:t>
      </w:r>
    </w:p>
    <w:sectPr w:rsidR="00310FF8" w:rsidSect="008C778D">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0CC6B9" w15:done="0"/>
  <w15:commentEx w15:paraId="13796860" w15:done="0"/>
  <w15:commentEx w15:paraId="33A5DC54" w15:done="0"/>
  <w15:commentEx w15:paraId="0198B97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0DC" w:rsidRDefault="000700DC" w:rsidP="00B45005">
      <w:r>
        <w:separator/>
      </w:r>
    </w:p>
  </w:endnote>
  <w:endnote w:type="continuationSeparator" w:id="0">
    <w:p w:rsidR="000700DC" w:rsidRDefault="000700DC" w:rsidP="00B45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mbria-Bold">
    <w:altName w:val="Cambria"/>
    <w:panose1 w:val="00000000000000000000"/>
    <w:charset w:val="4D"/>
    <w:family w:val="auto"/>
    <w:notTrueType/>
    <w:pitch w:val="default"/>
    <w:sig w:usb0="00000003" w:usb1="00000000" w:usb2="00000000" w:usb3="00000000" w:csb0="00000001" w:csb1="00000000"/>
  </w:font>
  <w:font w:name="Cambria-Italic">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1509"/>
      <w:docPartObj>
        <w:docPartGallery w:val="Page Numbers (Bottom of Page)"/>
        <w:docPartUnique/>
      </w:docPartObj>
    </w:sdtPr>
    <w:sdtContent>
      <w:p w:rsidR="000700DC" w:rsidRDefault="00C46866">
        <w:pPr>
          <w:pStyle w:val="Footer"/>
        </w:pPr>
        <w:fldSimple w:instr=" PAGE   \* MERGEFORMAT ">
          <w:r w:rsidR="003200EE">
            <w:rPr>
              <w:noProof/>
            </w:rPr>
            <w:t>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1499"/>
      <w:docPartObj>
        <w:docPartGallery w:val="Page Numbers (Bottom of Page)"/>
        <w:docPartUnique/>
      </w:docPartObj>
    </w:sdtPr>
    <w:sdtContent>
      <w:p w:rsidR="000700DC" w:rsidRPr="00D3754A" w:rsidRDefault="00C46866" w:rsidP="00D3754A">
        <w:pPr>
          <w:pStyle w:val="Footer"/>
          <w:jc w:val="right"/>
        </w:pPr>
        <w:fldSimple w:instr=" PAGE   \* MERGEFORMAT ">
          <w:r w:rsidR="003200EE">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0DC" w:rsidRDefault="000700DC" w:rsidP="00B45005">
      <w:r>
        <w:separator/>
      </w:r>
    </w:p>
  </w:footnote>
  <w:footnote w:type="continuationSeparator" w:id="0">
    <w:p w:rsidR="000700DC" w:rsidRDefault="000700DC" w:rsidP="00B45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DC" w:rsidRPr="00D3754A" w:rsidRDefault="000700DC" w:rsidP="00D3754A">
    <w:pPr>
      <w:pStyle w:val="Header"/>
    </w:pPr>
    <w:r w:rsidRPr="00D3754A">
      <w:t>National Policy Guidelines for Translocation of Domestic Bait and Berley – May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0DC" w:rsidRPr="00945AB0" w:rsidRDefault="000700DC" w:rsidP="00D375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B1617D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98CEAC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7C0DA1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9E2CBDC"/>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62B8B0E4"/>
    <w:lvl w:ilvl="0">
      <w:start w:val="1"/>
      <w:numFmt w:val="decimal"/>
      <w:lvlText w:val="%1."/>
      <w:lvlJc w:val="left"/>
      <w:pPr>
        <w:tabs>
          <w:tab w:val="num" w:pos="360"/>
        </w:tabs>
        <w:ind w:left="360" w:hanging="360"/>
      </w:pPr>
    </w:lvl>
  </w:abstractNum>
  <w:abstractNum w:abstractNumId="5">
    <w:nsid w:val="FFFFFF89"/>
    <w:multiLevelType w:val="singleLevel"/>
    <w:tmpl w:val="F11A28FC"/>
    <w:lvl w:ilvl="0">
      <w:start w:val="1"/>
      <w:numFmt w:val="bullet"/>
      <w:lvlText w:val=""/>
      <w:lvlJc w:val="left"/>
      <w:pPr>
        <w:tabs>
          <w:tab w:val="num" w:pos="360"/>
        </w:tabs>
        <w:ind w:left="360" w:hanging="360"/>
      </w:pPr>
      <w:rPr>
        <w:rFonts w:ascii="Symbol" w:hAnsi="Symbol" w:hint="default"/>
      </w:rPr>
    </w:lvl>
  </w:abstractNum>
  <w:abstractNum w:abstractNumId="6">
    <w:nsid w:val="1E363181"/>
    <w:multiLevelType w:val="hybridMultilevel"/>
    <w:tmpl w:val="E0861390"/>
    <w:lvl w:ilvl="0" w:tplc="CBB212BE">
      <w:start w:val="1"/>
      <w:numFmt w:val="decimal"/>
      <w:pStyle w:val="Listpara2"/>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7">
    <w:nsid w:val="28C82ABB"/>
    <w:multiLevelType w:val="hybridMultilevel"/>
    <w:tmpl w:val="82A69FCC"/>
    <w:lvl w:ilvl="0" w:tplc="FC726770">
      <w:start w:val="1"/>
      <w:numFmt w:val="bullet"/>
      <w:pStyle w:val="Tablelistpara"/>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2CB4F5A"/>
    <w:multiLevelType w:val="multilevel"/>
    <w:tmpl w:val="A9B2AD30"/>
    <w:lvl w:ilvl="0">
      <w:start w:val="1"/>
      <w:numFmt w:val="decimal"/>
      <w:pStyle w:val="Heading2"/>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3"/>
      <w:lvlText w:val="%1.%2."/>
      <w:lvlJc w:val="left"/>
      <w:pPr>
        <w:ind w:left="792"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4"/>
      <w:lvlText w:val="%1.%2.%3."/>
      <w:lvlJc w:val="left"/>
      <w:pPr>
        <w:ind w:left="1224" w:hanging="50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DC32C0E"/>
    <w:multiLevelType w:val="hybridMultilevel"/>
    <w:tmpl w:val="6088B710"/>
    <w:lvl w:ilvl="0" w:tplc="8550B000">
      <w:start w:val="1"/>
      <w:numFmt w:val="decimal"/>
      <w:pStyle w:val="Listparanumb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78996460"/>
    <w:multiLevelType w:val="hybridMultilevel"/>
    <w:tmpl w:val="9FE0D888"/>
    <w:lvl w:ilvl="0" w:tplc="72C0B92A">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7"/>
  </w:num>
  <w:num w:numId="4">
    <w:abstractNumId w:val="9"/>
  </w:num>
  <w:num w:numId="5">
    <w:abstractNumId w:val="9"/>
    <w:lvlOverride w:ilvl="0">
      <w:startOverride w:val="1"/>
    </w:lvlOverride>
  </w:num>
  <w:num w:numId="6">
    <w:abstractNumId w:val="8"/>
  </w:num>
  <w:num w:numId="7">
    <w:abstractNumId w:val="8"/>
  </w:num>
  <w:num w:numId="8">
    <w:abstractNumId w:val="8"/>
  </w:num>
  <w:num w:numId="9">
    <w:abstractNumId w:val="8"/>
  </w:num>
  <w:num w:numId="10">
    <w:abstractNumId w:val="5"/>
  </w:num>
  <w:num w:numId="11">
    <w:abstractNumId w:val="3"/>
  </w:num>
  <w:num w:numId="12">
    <w:abstractNumId w:val="2"/>
  </w:num>
  <w:num w:numId="13">
    <w:abstractNumId w:val="1"/>
  </w:num>
  <w:num w:numId="14">
    <w:abstractNumId w:val="0"/>
  </w:num>
  <w:num w:numId="15">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ray Barton">
    <w15:presenceInfo w15:providerId="None" w15:userId=""/>
  </w15:person>
  <w15:person w15:author="Murray Barton [2]">
    <w15:presenceInfo w15:providerId="None" w15:userId="Murray Bart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stylePaneSortMethod w:val="0000"/>
  <w:doNotTrackFormatting/>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
  <w:rsids>
    <w:rsidRoot w:val="00310FF8"/>
    <w:rsid w:val="00003FCE"/>
    <w:rsid w:val="000069A8"/>
    <w:rsid w:val="00007E5D"/>
    <w:rsid w:val="00014346"/>
    <w:rsid w:val="000144DA"/>
    <w:rsid w:val="0001697F"/>
    <w:rsid w:val="000237F2"/>
    <w:rsid w:val="00023CEF"/>
    <w:rsid w:val="0002726F"/>
    <w:rsid w:val="00030A94"/>
    <w:rsid w:val="00031031"/>
    <w:rsid w:val="000331F3"/>
    <w:rsid w:val="000363DB"/>
    <w:rsid w:val="00041B55"/>
    <w:rsid w:val="000429C6"/>
    <w:rsid w:val="000434E9"/>
    <w:rsid w:val="00043FD4"/>
    <w:rsid w:val="0004575E"/>
    <w:rsid w:val="000528B6"/>
    <w:rsid w:val="000529DD"/>
    <w:rsid w:val="0005309A"/>
    <w:rsid w:val="00055F5E"/>
    <w:rsid w:val="00057CE7"/>
    <w:rsid w:val="00060438"/>
    <w:rsid w:val="00060A16"/>
    <w:rsid w:val="000643C1"/>
    <w:rsid w:val="0006481D"/>
    <w:rsid w:val="000675D9"/>
    <w:rsid w:val="000700DC"/>
    <w:rsid w:val="00070504"/>
    <w:rsid w:val="00073A8B"/>
    <w:rsid w:val="00075AD8"/>
    <w:rsid w:val="00076BBA"/>
    <w:rsid w:val="00080A30"/>
    <w:rsid w:val="00081549"/>
    <w:rsid w:val="00082152"/>
    <w:rsid w:val="00082193"/>
    <w:rsid w:val="00083238"/>
    <w:rsid w:val="0008634A"/>
    <w:rsid w:val="00086B45"/>
    <w:rsid w:val="00090357"/>
    <w:rsid w:val="00094653"/>
    <w:rsid w:val="000A0C20"/>
    <w:rsid w:val="000A2115"/>
    <w:rsid w:val="000A4DE8"/>
    <w:rsid w:val="000A5D22"/>
    <w:rsid w:val="000A7D20"/>
    <w:rsid w:val="000C2F2E"/>
    <w:rsid w:val="000C5138"/>
    <w:rsid w:val="000C69F7"/>
    <w:rsid w:val="000C7A13"/>
    <w:rsid w:val="000D12A7"/>
    <w:rsid w:val="000D14AE"/>
    <w:rsid w:val="000D1A59"/>
    <w:rsid w:val="000D7B39"/>
    <w:rsid w:val="000E0930"/>
    <w:rsid w:val="000E0A58"/>
    <w:rsid w:val="000E5F69"/>
    <w:rsid w:val="000E6036"/>
    <w:rsid w:val="000E661D"/>
    <w:rsid w:val="000E7059"/>
    <w:rsid w:val="000F222A"/>
    <w:rsid w:val="000F3671"/>
    <w:rsid w:val="000F4B79"/>
    <w:rsid w:val="000F62F1"/>
    <w:rsid w:val="000F6699"/>
    <w:rsid w:val="001015C6"/>
    <w:rsid w:val="00104175"/>
    <w:rsid w:val="001046F6"/>
    <w:rsid w:val="0011112E"/>
    <w:rsid w:val="00116B57"/>
    <w:rsid w:val="00116BA7"/>
    <w:rsid w:val="00116C95"/>
    <w:rsid w:val="0011763D"/>
    <w:rsid w:val="001241D2"/>
    <w:rsid w:val="00133144"/>
    <w:rsid w:val="00135BF5"/>
    <w:rsid w:val="00137880"/>
    <w:rsid w:val="00143045"/>
    <w:rsid w:val="00143F48"/>
    <w:rsid w:val="0014448E"/>
    <w:rsid w:val="00153257"/>
    <w:rsid w:val="001543C5"/>
    <w:rsid w:val="00154A1E"/>
    <w:rsid w:val="00155FDF"/>
    <w:rsid w:val="00157CA6"/>
    <w:rsid w:val="00163188"/>
    <w:rsid w:val="001637D2"/>
    <w:rsid w:val="00164734"/>
    <w:rsid w:val="0016501C"/>
    <w:rsid w:val="00165345"/>
    <w:rsid w:val="00165E51"/>
    <w:rsid w:val="00167DF0"/>
    <w:rsid w:val="001701E6"/>
    <w:rsid w:val="00171C96"/>
    <w:rsid w:val="00172329"/>
    <w:rsid w:val="00173B76"/>
    <w:rsid w:val="00180303"/>
    <w:rsid w:val="00181243"/>
    <w:rsid w:val="001821C9"/>
    <w:rsid w:val="00190881"/>
    <w:rsid w:val="00196000"/>
    <w:rsid w:val="001A04CB"/>
    <w:rsid w:val="001A1DA5"/>
    <w:rsid w:val="001A233C"/>
    <w:rsid w:val="001A6793"/>
    <w:rsid w:val="001A70CB"/>
    <w:rsid w:val="001A72E1"/>
    <w:rsid w:val="001B1DBE"/>
    <w:rsid w:val="001B3583"/>
    <w:rsid w:val="001B35FB"/>
    <w:rsid w:val="001B56B9"/>
    <w:rsid w:val="001B5CA4"/>
    <w:rsid w:val="001C159F"/>
    <w:rsid w:val="001C30FB"/>
    <w:rsid w:val="001C3DBF"/>
    <w:rsid w:val="001C3FD0"/>
    <w:rsid w:val="001C5E9C"/>
    <w:rsid w:val="001C770E"/>
    <w:rsid w:val="001C7DBF"/>
    <w:rsid w:val="001D1ECF"/>
    <w:rsid w:val="001D5EC2"/>
    <w:rsid w:val="001E0459"/>
    <w:rsid w:val="001E1B8E"/>
    <w:rsid w:val="001E3226"/>
    <w:rsid w:val="001F22A5"/>
    <w:rsid w:val="001F4D7D"/>
    <w:rsid w:val="001F6E31"/>
    <w:rsid w:val="001F73D2"/>
    <w:rsid w:val="00203CC3"/>
    <w:rsid w:val="00203FF3"/>
    <w:rsid w:val="002053D7"/>
    <w:rsid w:val="002073A3"/>
    <w:rsid w:val="00215490"/>
    <w:rsid w:val="00221BEF"/>
    <w:rsid w:val="0022263B"/>
    <w:rsid w:val="00224EFF"/>
    <w:rsid w:val="00225DD2"/>
    <w:rsid w:val="00227481"/>
    <w:rsid w:val="00231906"/>
    <w:rsid w:val="00236CA0"/>
    <w:rsid w:val="00240D76"/>
    <w:rsid w:val="002410B7"/>
    <w:rsid w:val="002525F5"/>
    <w:rsid w:val="00256DE7"/>
    <w:rsid w:val="002572BE"/>
    <w:rsid w:val="002576CE"/>
    <w:rsid w:val="00264101"/>
    <w:rsid w:val="00265045"/>
    <w:rsid w:val="00265EFA"/>
    <w:rsid w:val="002674EF"/>
    <w:rsid w:val="00267636"/>
    <w:rsid w:val="0027340C"/>
    <w:rsid w:val="0027429C"/>
    <w:rsid w:val="002749BC"/>
    <w:rsid w:val="002754D4"/>
    <w:rsid w:val="00283183"/>
    <w:rsid w:val="00283DB1"/>
    <w:rsid w:val="00290A1B"/>
    <w:rsid w:val="00291600"/>
    <w:rsid w:val="00293718"/>
    <w:rsid w:val="002A06F3"/>
    <w:rsid w:val="002A12D9"/>
    <w:rsid w:val="002A1DE0"/>
    <w:rsid w:val="002A2C85"/>
    <w:rsid w:val="002A3629"/>
    <w:rsid w:val="002A4EC8"/>
    <w:rsid w:val="002A50AB"/>
    <w:rsid w:val="002A65E6"/>
    <w:rsid w:val="002A6762"/>
    <w:rsid w:val="002A71AD"/>
    <w:rsid w:val="002A7745"/>
    <w:rsid w:val="002B506E"/>
    <w:rsid w:val="002B5D5E"/>
    <w:rsid w:val="002B746A"/>
    <w:rsid w:val="002B748F"/>
    <w:rsid w:val="002C0423"/>
    <w:rsid w:val="002C1749"/>
    <w:rsid w:val="002C1F94"/>
    <w:rsid w:val="002C2E65"/>
    <w:rsid w:val="002C7321"/>
    <w:rsid w:val="002D290A"/>
    <w:rsid w:val="002D3636"/>
    <w:rsid w:val="002D3EC3"/>
    <w:rsid w:val="002D5520"/>
    <w:rsid w:val="002D75B0"/>
    <w:rsid w:val="002E2CEB"/>
    <w:rsid w:val="002E2E2B"/>
    <w:rsid w:val="002E3020"/>
    <w:rsid w:val="002E5938"/>
    <w:rsid w:val="002E6522"/>
    <w:rsid w:val="002F2DD7"/>
    <w:rsid w:val="002F3073"/>
    <w:rsid w:val="002F3A53"/>
    <w:rsid w:val="003047D4"/>
    <w:rsid w:val="0030491B"/>
    <w:rsid w:val="0030514A"/>
    <w:rsid w:val="00307F58"/>
    <w:rsid w:val="00310FF8"/>
    <w:rsid w:val="00311175"/>
    <w:rsid w:val="003124E1"/>
    <w:rsid w:val="00312898"/>
    <w:rsid w:val="0031311C"/>
    <w:rsid w:val="003136B5"/>
    <w:rsid w:val="003154E8"/>
    <w:rsid w:val="00316255"/>
    <w:rsid w:val="003200EE"/>
    <w:rsid w:val="003214B3"/>
    <w:rsid w:val="00322429"/>
    <w:rsid w:val="003248C5"/>
    <w:rsid w:val="003308B6"/>
    <w:rsid w:val="003309B2"/>
    <w:rsid w:val="00335E1B"/>
    <w:rsid w:val="00341F43"/>
    <w:rsid w:val="003427A2"/>
    <w:rsid w:val="00345D35"/>
    <w:rsid w:val="00350149"/>
    <w:rsid w:val="00350AA1"/>
    <w:rsid w:val="00351479"/>
    <w:rsid w:val="00356D2B"/>
    <w:rsid w:val="00357001"/>
    <w:rsid w:val="00360182"/>
    <w:rsid w:val="00365530"/>
    <w:rsid w:val="00366778"/>
    <w:rsid w:val="00367642"/>
    <w:rsid w:val="00367BDE"/>
    <w:rsid w:val="00367CED"/>
    <w:rsid w:val="00371ED3"/>
    <w:rsid w:val="00372A62"/>
    <w:rsid w:val="00376155"/>
    <w:rsid w:val="00376254"/>
    <w:rsid w:val="003843F9"/>
    <w:rsid w:val="003847AC"/>
    <w:rsid w:val="003861DD"/>
    <w:rsid w:val="003870B1"/>
    <w:rsid w:val="00390DED"/>
    <w:rsid w:val="0039271C"/>
    <w:rsid w:val="0039663B"/>
    <w:rsid w:val="003A0466"/>
    <w:rsid w:val="003A19F9"/>
    <w:rsid w:val="003A1CB3"/>
    <w:rsid w:val="003B0392"/>
    <w:rsid w:val="003B2902"/>
    <w:rsid w:val="003C15A9"/>
    <w:rsid w:val="003C1AF2"/>
    <w:rsid w:val="003C3294"/>
    <w:rsid w:val="003C351E"/>
    <w:rsid w:val="003C4D2A"/>
    <w:rsid w:val="003D0BBB"/>
    <w:rsid w:val="003D267E"/>
    <w:rsid w:val="003E1E28"/>
    <w:rsid w:val="003E3418"/>
    <w:rsid w:val="003E3945"/>
    <w:rsid w:val="003E459E"/>
    <w:rsid w:val="003E6234"/>
    <w:rsid w:val="003E657F"/>
    <w:rsid w:val="003F1205"/>
    <w:rsid w:val="003F646B"/>
    <w:rsid w:val="003F6BCE"/>
    <w:rsid w:val="003F7982"/>
    <w:rsid w:val="00401535"/>
    <w:rsid w:val="00403223"/>
    <w:rsid w:val="0041654B"/>
    <w:rsid w:val="00425E72"/>
    <w:rsid w:val="00427567"/>
    <w:rsid w:val="0043213D"/>
    <w:rsid w:val="00432738"/>
    <w:rsid w:val="00436DC5"/>
    <w:rsid w:val="00441CCB"/>
    <w:rsid w:val="00444C02"/>
    <w:rsid w:val="0044549B"/>
    <w:rsid w:val="0045091F"/>
    <w:rsid w:val="00451381"/>
    <w:rsid w:val="004541CE"/>
    <w:rsid w:val="00457911"/>
    <w:rsid w:val="00457C29"/>
    <w:rsid w:val="004610E7"/>
    <w:rsid w:val="004617AB"/>
    <w:rsid w:val="004662EE"/>
    <w:rsid w:val="004733BE"/>
    <w:rsid w:val="00486423"/>
    <w:rsid w:val="004864BC"/>
    <w:rsid w:val="0048734A"/>
    <w:rsid w:val="0049066B"/>
    <w:rsid w:val="00491E1D"/>
    <w:rsid w:val="00492A9A"/>
    <w:rsid w:val="00494151"/>
    <w:rsid w:val="00495A8E"/>
    <w:rsid w:val="00495B49"/>
    <w:rsid w:val="004A0021"/>
    <w:rsid w:val="004A02F3"/>
    <w:rsid w:val="004A1ACC"/>
    <w:rsid w:val="004A2563"/>
    <w:rsid w:val="004A2596"/>
    <w:rsid w:val="004A407F"/>
    <w:rsid w:val="004A6004"/>
    <w:rsid w:val="004A757D"/>
    <w:rsid w:val="004B1B9D"/>
    <w:rsid w:val="004B2903"/>
    <w:rsid w:val="004B3E9F"/>
    <w:rsid w:val="004B5ED5"/>
    <w:rsid w:val="004B663D"/>
    <w:rsid w:val="004C0DA4"/>
    <w:rsid w:val="004C0DC0"/>
    <w:rsid w:val="004C33D4"/>
    <w:rsid w:val="004C4768"/>
    <w:rsid w:val="004D0FB4"/>
    <w:rsid w:val="004D2BAB"/>
    <w:rsid w:val="004D31E1"/>
    <w:rsid w:val="004D49E3"/>
    <w:rsid w:val="004D6779"/>
    <w:rsid w:val="004E196E"/>
    <w:rsid w:val="004E2453"/>
    <w:rsid w:val="004E2CFF"/>
    <w:rsid w:val="004E5097"/>
    <w:rsid w:val="004E58C1"/>
    <w:rsid w:val="004E7F1D"/>
    <w:rsid w:val="004F2AAD"/>
    <w:rsid w:val="004F421C"/>
    <w:rsid w:val="004F580D"/>
    <w:rsid w:val="004F63E5"/>
    <w:rsid w:val="004F72FF"/>
    <w:rsid w:val="00500B17"/>
    <w:rsid w:val="00503638"/>
    <w:rsid w:val="00503B79"/>
    <w:rsid w:val="00503EFE"/>
    <w:rsid w:val="00504401"/>
    <w:rsid w:val="00504631"/>
    <w:rsid w:val="00506801"/>
    <w:rsid w:val="00510E66"/>
    <w:rsid w:val="0051183E"/>
    <w:rsid w:val="00513F81"/>
    <w:rsid w:val="0051452E"/>
    <w:rsid w:val="005158ED"/>
    <w:rsid w:val="00516C71"/>
    <w:rsid w:val="0052310B"/>
    <w:rsid w:val="00524BA1"/>
    <w:rsid w:val="00525D2B"/>
    <w:rsid w:val="00525DF6"/>
    <w:rsid w:val="005301CD"/>
    <w:rsid w:val="005340A2"/>
    <w:rsid w:val="00534362"/>
    <w:rsid w:val="00534D3B"/>
    <w:rsid w:val="00534DF4"/>
    <w:rsid w:val="0053618F"/>
    <w:rsid w:val="00537C83"/>
    <w:rsid w:val="00545C67"/>
    <w:rsid w:val="005462EF"/>
    <w:rsid w:val="005469B0"/>
    <w:rsid w:val="00550FA3"/>
    <w:rsid w:val="005515E6"/>
    <w:rsid w:val="00551E77"/>
    <w:rsid w:val="00553DB2"/>
    <w:rsid w:val="005549D7"/>
    <w:rsid w:val="00556117"/>
    <w:rsid w:val="00556560"/>
    <w:rsid w:val="0055768D"/>
    <w:rsid w:val="0056055B"/>
    <w:rsid w:val="005655F2"/>
    <w:rsid w:val="00567223"/>
    <w:rsid w:val="005721B2"/>
    <w:rsid w:val="00572DE6"/>
    <w:rsid w:val="005732BA"/>
    <w:rsid w:val="005745DA"/>
    <w:rsid w:val="00577393"/>
    <w:rsid w:val="005808D7"/>
    <w:rsid w:val="00583B16"/>
    <w:rsid w:val="00586749"/>
    <w:rsid w:val="00587F97"/>
    <w:rsid w:val="00590884"/>
    <w:rsid w:val="005964A3"/>
    <w:rsid w:val="005A3F5B"/>
    <w:rsid w:val="005A41EA"/>
    <w:rsid w:val="005A5D32"/>
    <w:rsid w:val="005A6908"/>
    <w:rsid w:val="005A7158"/>
    <w:rsid w:val="005A79B2"/>
    <w:rsid w:val="005B0814"/>
    <w:rsid w:val="005B30AE"/>
    <w:rsid w:val="005B7766"/>
    <w:rsid w:val="005B7E14"/>
    <w:rsid w:val="005C25C4"/>
    <w:rsid w:val="005C2E38"/>
    <w:rsid w:val="005C4530"/>
    <w:rsid w:val="005D239F"/>
    <w:rsid w:val="005D3108"/>
    <w:rsid w:val="005D55A7"/>
    <w:rsid w:val="005D65B5"/>
    <w:rsid w:val="005E2025"/>
    <w:rsid w:val="00601D96"/>
    <w:rsid w:val="0060589F"/>
    <w:rsid w:val="00605ADB"/>
    <w:rsid w:val="00607B63"/>
    <w:rsid w:val="0061644B"/>
    <w:rsid w:val="00620FFF"/>
    <w:rsid w:val="006219E0"/>
    <w:rsid w:val="00622C76"/>
    <w:rsid w:val="00627D7B"/>
    <w:rsid w:val="00630F07"/>
    <w:rsid w:val="006349F1"/>
    <w:rsid w:val="00647406"/>
    <w:rsid w:val="006565CE"/>
    <w:rsid w:val="0065718B"/>
    <w:rsid w:val="00661D8C"/>
    <w:rsid w:val="006634FC"/>
    <w:rsid w:val="006647C2"/>
    <w:rsid w:val="00665366"/>
    <w:rsid w:val="00667FA3"/>
    <w:rsid w:val="00673E06"/>
    <w:rsid w:val="00674AC7"/>
    <w:rsid w:val="0067742E"/>
    <w:rsid w:val="006777E5"/>
    <w:rsid w:val="00684C0E"/>
    <w:rsid w:val="006853DB"/>
    <w:rsid w:val="00692080"/>
    <w:rsid w:val="006920A7"/>
    <w:rsid w:val="006A04BC"/>
    <w:rsid w:val="006A1D13"/>
    <w:rsid w:val="006A3504"/>
    <w:rsid w:val="006A6F51"/>
    <w:rsid w:val="006B11D4"/>
    <w:rsid w:val="006B17CB"/>
    <w:rsid w:val="006B3029"/>
    <w:rsid w:val="006B527E"/>
    <w:rsid w:val="006B562A"/>
    <w:rsid w:val="006C4423"/>
    <w:rsid w:val="006D3FDE"/>
    <w:rsid w:val="006D7521"/>
    <w:rsid w:val="006E7846"/>
    <w:rsid w:val="006F1D71"/>
    <w:rsid w:val="006F3229"/>
    <w:rsid w:val="006F3516"/>
    <w:rsid w:val="006F5605"/>
    <w:rsid w:val="006F6F36"/>
    <w:rsid w:val="00701301"/>
    <w:rsid w:val="00701645"/>
    <w:rsid w:val="00702947"/>
    <w:rsid w:val="0070317F"/>
    <w:rsid w:val="007063EA"/>
    <w:rsid w:val="00710E6D"/>
    <w:rsid w:val="00715B11"/>
    <w:rsid w:val="00716BBE"/>
    <w:rsid w:val="00716BF8"/>
    <w:rsid w:val="00721B0D"/>
    <w:rsid w:val="00721B64"/>
    <w:rsid w:val="00722ACC"/>
    <w:rsid w:val="0073092B"/>
    <w:rsid w:val="00732EAF"/>
    <w:rsid w:val="007363ED"/>
    <w:rsid w:val="00736625"/>
    <w:rsid w:val="00747BDF"/>
    <w:rsid w:val="007503F0"/>
    <w:rsid w:val="00751F7A"/>
    <w:rsid w:val="00753FE2"/>
    <w:rsid w:val="007570C2"/>
    <w:rsid w:val="00761245"/>
    <w:rsid w:val="00761488"/>
    <w:rsid w:val="007634B5"/>
    <w:rsid w:val="0076635F"/>
    <w:rsid w:val="007719B4"/>
    <w:rsid w:val="00771CB8"/>
    <w:rsid w:val="00772970"/>
    <w:rsid w:val="00783DA2"/>
    <w:rsid w:val="007876C1"/>
    <w:rsid w:val="00787F2A"/>
    <w:rsid w:val="007904B3"/>
    <w:rsid w:val="00791994"/>
    <w:rsid w:val="0079296A"/>
    <w:rsid w:val="00794746"/>
    <w:rsid w:val="00796243"/>
    <w:rsid w:val="007A58D6"/>
    <w:rsid w:val="007A7786"/>
    <w:rsid w:val="007B0D20"/>
    <w:rsid w:val="007B12B9"/>
    <w:rsid w:val="007B4A5C"/>
    <w:rsid w:val="007B5B85"/>
    <w:rsid w:val="007C5F9A"/>
    <w:rsid w:val="007C76CA"/>
    <w:rsid w:val="007D38B1"/>
    <w:rsid w:val="007D6678"/>
    <w:rsid w:val="007D74D4"/>
    <w:rsid w:val="007E0847"/>
    <w:rsid w:val="007E48C8"/>
    <w:rsid w:val="007E664C"/>
    <w:rsid w:val="007F0736"/>
    <w:rsid w:val="007F155D"/>
    <w:rsid w:val="007F345D"/>
    <w:rsid w:val="0080036F"/>
    <w:rsid w:val="00800ABD"/>
    <w:rsid w:val="00802A16"/>
    <w:rsid w:val="0080390A"/>
    <w:rsid w:val="008073A9"/>
    <w:rsid w:val="00810B73"/>
    <w:rsid w:val="00811189"/>
    <w:rsid w:val="00813385"/>
    <w:rsid w:val="0082017A"/>
    <w:rsid w:val="008220EF"/>
    <w:rsid w:val="00823CA6"/>
    <w:rsid w:val="00824188"/>
    <w:rsid w:val="00824B9D"/>
    <w:rsid w:val="0082700A"/>
    <w:rsid w:val="00836576"/>
    <w:rsid w:val="00844D6B"/>
    <w:rsid w:val="00845EAD"/>
    <w:rsid w:val="00850FAD"/>
    <w:rsid w:val="0085149F"/>
    <w:rsid w:val="008610E2"/>
    <w:rsid w:val="00872753"/>
    <w:rsid w:val="00874024"/>
    <w:rsid w:val="008764C4"/>
    <w:rsid w:val="0087663A"/>
    <w:rsid w:val="00876E4E"/>
    <w:rsid w:val="008819D0"/>
    <w:rsid w:val="00881F8E"/>
    <w:rsid w:val="00883854"/>
    <w:rsid w:val="00884B1A"/>
    <w:rsid w:val="008853E7"/>
    <w:rsid w:val="00885464"/>
    <w:rsid w:val="00886670"/>
    <w:rsid w:val="00887CF5"/>
    <w:rsid w:val="008912F0"/>
    <w:rsid w:val="00892D44"/>
    <w:rsid w:val="00894208"/>
    <w:rsid w:val="00894408"/>
    <w:rsid w:val="0089673B"/>
    <w:rsid w:val="008A0452"/>
    <w:rsid w:val="008A3499"/>
    <w:rsid w:val="008A6D54"/>
    <w:rsid w:val="008A700F"/>
    <w:rsid w:val="008B55C8"/>
    <w:rsid w:val="008B5B51"/>
    <w:rsid w:val="008B6518"/>
    <w:rsid w:val="008C1AF1"/>
    <w:rsid w:val="008C3020"/>
    <w:rsid w:val="008C778D"/>
    <w:rsid w:val="008D046C"/>
    <w:rsid w:val="008D36C5"/>
    <w:rsid w:val="008D479B"/>
    <w:rsid w:val="008D5F69"/>
    <w:rsid w:val="008D6491"/>
    <w:rsid w:val="008D6748"/>
    <w:rsid w:val="008D7A86"/>
    <w:rsid w:val="008E00BF"/>
    <w:rsid w:val="008E1C73"/>
    <w:rsid w:val="008E5553"/>
    <w:rsid w:val="008E555F"/>
    <w:rsid w:val="008E7149"/>
    <w:rsid w:val="008F0158"/>
    <w:rsid w:val="008F1852"/>
    <w:rsid w:val="008F7D16"/>
    <w:rsid w:val="009053AE"/>
    <w:rsid w:val="0090686B"/>
    <w:rsid w:val="00910092"/>
    <w:rsid w:val="009147D3"/>
    <w:rsid w:val="00915FA7"/>
    <w:rsid w:val="0092004B"/>
    <w:rsid w:val="0092364D"/>
    <w:rsid w:val="00927953"/>
    <w:rsid w:val="00931807"/>
    <w:rsid w:val="0093487C"/>
    <w:rsid w:val="00935994"/>
    <w:rsid w:val="00937860"/>
    <w:rsid w:val="00940DF1"/>
    <w:rsid w:val="00941D1D"/>
    <w:rsid w:val="0094431F"/>
    <w:rsid w:val="00944BED"/>
    <w:rsid w:val="00945AB0"/>
    <w:rsid w:val="00945D88"/>
    <w:rsid w:val="00946DDC"/>
    <w:rsid w:val="00947260"/>
    <w:rsid w:val="00951C1B"/>
    <w:rsid w:val="00952C63"/>
    <w:rsid w:val="00970C9B"/>
    <w:rsid w:val="00970E7B"/>
    <w:rsid w:val="00973298"/>
    <w:rsid w:val="00973D8D"/>
    <w:rsid w:val="0097427A"/>
    <w:rsid w:val="00975C7E"/>
    <w:rsid w:val="00976368"/>
    <w:rsid w:val="00976B17"/>
    <w:rsid w:val="0098176B"/>
    <w:rsid w:val="00984DB0"/>
    <w:rsid w:val="00985FDE"/>
    <w:rsid w:val="0098795C"/>
    <w:rsid w:val="00990485"/>
    <w:rsid w:val="00991183"/>
    <w:rsid w:val="00992270"/>
    <w:rsid w:val="009966DC"/>
    <w:rsid w:val="009976A8"/>
    <w:rsid w:val="00997C50"/>
    <w:rsid w:val="009A0098"/>
    <w:rsid w:val="009A0AE3"/>
    <w:rsid w:val="009A36FE"/>
    <w:rsid w:val="009B0ED4"/>
    <w:rsid w:val="009B5F02"/>
    <w:rsid w:val="009B7B24"/>
    <w:rsid w:val="009C0A5C"/>
    <w:rsid w:val="009C1090"/>
    <w:rsid w:val="009C5980"/>
    <w:rsid w:val="009C7DDC"/>
    <w:rsid w:val="009D01E5"/>
    <w:rsid w:val="009D03F8"/>
    <w:rsid w:val="009D36A2"/>
    <w:rsid w:val="009E504C"/>
    <w:rsid w:val="009E5672"/>
    <w:rsid w:val="009E5F5F"/>
    <w:rsid w:val="009E6D0C"/>
    <w:rsid w:val="009F1013"/>
    <w:rsid w:val="009F2E61"/>
    <w:rsid w:val="009F54C6"/>
    <w:rsid w:val="00A0279F"/>
    <w:rsid w:val="00A14C01"/>
    <w:rsid w:val="00A155FF"/>
    <w:rsid w:val="00A214E4"/>
    <w:rsid w:val="00A309F4"/>
    <w:rsid w:val="00A315D0"/>
    <w:rsid w:val="00A31EC3"/>
    <w:rsid w:val="00A3431B"/>
    <w:rsid w:val="00A34590"/>
    <w:rsid w:val="00A37FEE"/>
    <w:rsid w:val="00A40FC5"/>
    <w:rsid w:val="00A41439"/>
    <w:rsid w:val="00A43AF1"/>
    <w:rsid w:val="00A54FB4"/>
    <w:rsid w:val="00A607BA"/>
    <w:rsid w:val="00A64539"/>
    <w:rsid w:val="00A66590"/>
    <w:rsid w:val="00A67FAA"/>
    <w:rsid w:val="00A70895"/>
    <w:rsid w:val="00A82BA5"/>
    <w:rsid w:val="00A837FE"/>
    <w:rsid w:val="00A860D5"/>
    <w:rsid w:val="00A8799E"/>
    <w:rsid w:val="00A90D33"/>
    <w:rsid w:val="00A93E52"/>
    <w:rsid w:val="00A9703C"/>
    <w:rsid w:val="00AA11D3"/>
    <w:rsid w:val="00AA1FA4"/>
    <w:rsid w:val="00AA2017"/>
    <w:rsid w:val="00AA63FE"/>
    <w:rsid w:val="00AA654F"/>
    <w:rsid w:val="00AA7147"/>
    <w:rsid w:val="00AB0112"/>
    <w:rsid w:val="00AB0ED8"/>
    <w:rsid w:val="00AB1005"/>
    <w:rsid w:val="00AB28C5"/>
    <w:rsid w:val="00AB2E65"/>
    <w:rsid w:val="00AB401E"/>
    <w:rsid w:val="00AC5A6A"/>
    <w:rsid w:val="00AC5F4C"/>
    <w:rsid w:val="00AD2BD6"/>
    <w:rsid w:val="00AD351A"/>
    <w:rsid w:val="00AD4CE9"/>
    <w:rsid w:val="00AD50DB"/>
    <w:rsid w:val="00AE13BD"/>
    <w:rsid w:val="00AE3CDA"/>
    <w:rsid w:val="00AE5704"/>
    <w:rsid w:val="00AE6DA5"/>
    <w:rsid w:val="00AF24DF"/>
    <w:rsid w:val="00AF2E33"/>
    <w:rsid w:val="00AF616A"/>
    <w:rsid w:val="00B001DA"/>
    <w:rsid w:val="00B1337B"/>
    <w:rsid w:val="00B15967"/>
    <w:rsid w:val="00B168C8"/>
    <w:rsid w:val="00B1702C"/>
    <w:rsid w:val="00B177AB"/>
    <w:rsid w:val="00B250C7"/>
    <w:rsid w:val="00B26839"/>
    <w:rsid w:val="00B31D52"/>
    <w:rsid w:val="00B31DFE"/>
    <w:rsid w:val="00B331BD"/>
    <w:rsid w:val="00B34C52"/>
    <w:rsid w:val="00B4192C"/>
    <w:rsid w:val="00B4399E"/>
    <w:rsid w:val="00B44F16"/>
    <w:rsid w:val="00B45005"/>
    <w:rsid w:val="00B45153"/>
    <w:rsid w:val="00B54A8B"/>
    <w:rsid w:val="00B55546"/>
    <w:rsid w:val="00B55578"/>
    <w:rsid w:val="00B60D2D"/>
    <w:rsid w:val="00B63D07"/>
    <w:rsid w:val="00B66492"/>
    <w:rsid w:val="00B71E3A"/>
    <w:rsid w:val="00B73EA6"/>
    <w:rsid w:val="00B75B23"/>
    <w:rsid w:val="00B75C01"/>
    <w:rsid w:val="00B84C1D"/>
    <w:rsid w:val="00B92074"/>
    <w:rsid w:val="00B95943"/>
    <w:rsid w:val="00B962CA"/>
    <w:rsid w:val="00B96DB5"/>
    <w:rsid w:val="00B97005"/>
    <w:rsid w:val="00BA000D"/>
    <w:rsid w:val="00BA0011"/>
    <w:rsid w:val="00BA0B4B"/>
    <w:rsid w:val="00BA26DD"/>
    <w:rsid w:val="00BA4BA6"/>
    <w:rsid w:val="00BB5542"/>
    <w:rsid w:val="00BB5C98"/>
    <w:rsid w:val="00BC58F0"/>
    <w:rsid w:val="00BC6124"/>
    <w:rsid w:val="00BD133C"/>
    <w:rsid w:val="00BD619F"/>
    <w:rsid w:val="00BE0708"/>
    <w:rsid w:val="00BE145F"/>
    <w:rsid w:val="00BE6C83"/>
    <w:rsid w:val="00BE72DE"/>
    <w:rsid w:val="00BF0EEE"/>
    <w:rsid w:val="00BF34DF"/>
    <w:rsid w:val="00BF5BF6"/>
    <w:rsid w:val="00C04478"/>
    <w:rsid w:val="00C06092"/>
    <w:rsid w:val="00C10612"/>
    <w:rsid w:val="00C123F1"/>
    <w:rsid w:val="00C12BE0"/>
    <w:rsid w:val="00C15BD3"/>
    <w:rsid w:val="00C162C4"/>
    <w:rsid w:val="00C23749"/>
    <w:rsid w:val="00C25643"/>
    <w:rsid w:val="00C309C6"/>
    <w:rsid w:val="00C35A41"/>
    <w:rsid w:val="00C41194"/>
    <w:rsid w:val="00C42C22"/>
    <w:rsid w:val="00C436B0"/>
    <w:rsid w:val="00C43D6A"/>
    <w:rsid w:val="00C43D91"/>
    <w:rsid w:val="00C44D3C"/>
    <w:rsid w:val="00C46866"/>
    <w:rsid w:val="00C47B6E"/>
    <w:rsid w:val="00C529A8"/>
    <w:rsid w:val="00C549E5"/>
    <w:rsid w:val="00C5608B"/>
    <w:rsid w:val="00C565D8"/>
    <w:rsid w:val="00C56FD2"/>
    <w:rsid w:val="00C600FA"/>
    <w:rsid w:val="00C60809"/>
    <w:rsid w:val="00C6133B"/>
    <w:rsid w:val="00C61715"/>
    <w:rsid w:val="00C61F8B"/>
    <w:rsid w:val="00C679C3"/>
    <w:rsid w:val="00C70829"/>
    <w:rsid w:val="00C737B3"/>
    <w:rsid w:val="00C75518"/>
    <w:rsid w:val="00C765D5"/>
    <w:rsid w:val="00C76F3D"/>
    <w:rsid w:val="00C77E7E"/>
    <w:rsid w:val="00C90100"/>
    <w:rsid w:val="00C90B99"/>
    <w:rsid w:val="00C90DD8"/>
    <w:rsid w:val="00C93ECA"/>
    <w:rsid w:val="00C948E7"/>
    <w:rsid w:val="00C9790E"/>
    <w:rsid w:val="00CA0D94"/>
    <w:rsid w:val="00CA5FF3"/>
    <w:rsid w:val="00CA6CB2"/>
    <w:rsid w:val="00CB0C49"/>
    <w:rsid w:val="00CB12F9"/>
    <w:rsid w:val="00CB2818"/>
    <w:rsid w:val="00CB6C9F"/>
    <w:rsid w:val="00CC3C0A"/>
    <w:rsid w:val="00CC643D"/>
    <w:rsid w:val="00CC6898"/>
    <w:rsid w:val="00CC797F"/>
    <w:rsid w:val="00CD2F45"/>
    <w:rsid w:val="00CD3024"/>
    <w:rsid w:val="00CD6DD7"/>
    <w:rsid w:val="00CE19AA"/>
    <w:rsid w:val="00CE4B8F"/>
    <w:rsid w:val="00CF1070"/>
    <w:rsid w:val="00CF6C5B"/>
    <w:rsid w:val="00CF7565"/>
    <w:rsid w:val="00D001D5"/>
    <w:rsid w:val="00D063ED"/>
    <w:rsid w:val="00D068D0"/>
    <w:rsid w:val="00D11C05"/>
    <w:rsid w:val="00D176E7"/>
    <w:rsid w:val="00D21A0E"/>
    <w:rsid w:val="00D21C8E"/>
    <w:rsid w:val="00D253C7"/>
    <w:rsid w:val="00D27322"/>
    <w:rsid w:val="00D33834"/>
    <w:rsid w:val="00D3501F"/>
    <w:rsid w:val="00D35FAE"/>
    <w:rsid w:val="00D36500"/>
    <w:rsid w:val="00D3678C"/>
    <w:rsid w:val="00D3754A"/>
    <w:rsid w:val="00D44741"/>
    <w:rsid w:val="00D453C6"/>
    <w:rsid w:val="00D47497"/>
    <w:rsid w:val="00D506A2"/>
    <w:rsid w:val="00D53046"/>
    <w:rsid w:val="00D53C5B"/>
    <w:rsid w:val="00D575EA"/>
    <w:rsid w:val="00D57B9A"/>
    <w:rsid w:val="00D610B4"/>
    <w:rsid w:val="00D61B0B"/>
    <w:rsid w:val="00D625D9"/>
    <w:rsid w:val="00D62CA9"/>
    <w:rsid w:val="00D70251"/>
    <w:rsid w:val="00D70D8A"/>
    <w:rsid w:val="00D76FCA"/>
    <w:rsid w:val="00D8081E"/>
    <w:rsid w:val="00D80C1C"/>
    <w:rsid w:val="00D82ACB"/>
    <w:rsid w:val="00D82FA2"/>
    <w:rsid w:val="00D83E3C"/>
    <w:rsid w:val="00D8484F"/>
    <w:rsid w:val="00D852C1"/>
    <w:rsid w:val="00D905DA"/>
    <w:rsid w:val="00D917CF"/>
    <w:rsid w:val="00D91F06"/>
    <w:rsid w:val="00D94B12"/>
    <w:rsid w:val="00D96553"/>
    <w:rsid w:val="00D96A80"/>
    <w:rsid w:val="00D97AD6"/>
    <w:rsid w:val="00DA2962"/>
    <w:rsid w:val="00DA720E"/>
    <w:rsid w:val="00DB3E88"/>
    <w:rsid w:val="00DB4279"/>
    <w:rsid w:val="00DB603F"/>
    <w:rsid w:val="00DC7751"/>
    <w:rsid w:val="00DD0E27"/>
    <w:rsid w:val="00DD10BA"/>
    <w:rsid w:val="00DD17CD"/>
    <w:rsid w:val="00DD44F8"/>
    <w:rsid w:val="00DD4BFC"/>
    <w:rsid w:val="00DD545D"/>
    <w:rsid w:val="00DE6E1F"/>
    <w:rsid w:val="00DF6079"/>
    <w:rsid w:val="00E0081F"/>
    <w:rsid w:val="00E037F7"/>
    <w:rsid w:val="00E04770"/>
    <w:rsid w:val="00E04DEF"/>
    <w:rsid w:val="00E05129"/>
    <w:rsid w:val="00E100D0"/>
    <w:rsid w:val="00E136A3"/>
    <w:rsid w:val="00E17125"/>
    <w:rsid w:val="00E2036D"/>
    <w:rsid w:val="00E2230E"/>
    <w:rsid w:val="00E22F4E"/>
    <w:rsid w:val="00E2543F"/>
    <w:rsid w:val="00E259C8"/>
    <w:rsid w:val="00E30C01"/>
    <w:rsid w:val="00E30CFF"/>
    <w:rsid w:val="00E348B5"/>
    <w:rsid w:val="00E3722D"/>
    <w:rsid w:val="00E37A26"/>
    <w:rsid w:val="00E411EB"/>
    <w:rsid w:val="00E418DF"/>
    <w:rsid w:val="00E43686"/>
    <w:rsid w:val="00E44152"/>
    <w:rsid w:val="00E45DFF"/>
    <w:rsid w:val="00E50237"/>
    <w:rsid w:val="00E50326"/>
    <w:rsid w:val="00E50C7B"/>
    <w:rsid w:val="00E513C9"/>
    <w:rsid w:val="00E55347"/>
    <w:rsid w:val="00E56461"/>
    <w:rsid w:val="00E6123E"/>
    <w:rsid w:val="00E65E00"/>
    <w:rsid w:val="00E66B29"/>
    <w:rsid w:val="00E70837"/>
    <w:rsid w:val="00E775E7"/>
    <w:rsid w:val="00E80DC0"/>
    <w:rsid w:val="00E8575E"/>
    <w:rsid w:val="00EA27E6"/>
    <w:rsid w:val="00EA6C3C"/>
    <w:rsid w:val="00EA79A2"/>
    <w:rsid w:val="00EB0CD9"/>
    <w:rsid w:val="00EB1A34"/>
    <w:rsid w:val="00EB4449"/>
    <w:rsid w:val="00EB4B85"/>
    <w:rsid w:val="00EB583A"/>
    <w:rsid w:val="00EB6181"/>
    <w:rsid w:val="00EC0099"/>
    <w:rsid w:val="00EC1910"/>
    <w:rsid w:val="00ED000A"/>
    <w:rsid w:val="00ED2287"/>
    <w:rsid w:val="00ED4B6E"/>
    <w:rsid w:val="00EE04A1"/>
    <w:rsid w:val="00EE08E1"/>
    <w:rsid w:val="00EE185B"/>
    <w:rsid w:val="00EE5FE4"/>
    <w:rsid w:val="00EE6BD7"/>
    <w:rsid w:val="00EF783B"/>
    <w:rsid w:val="00EF79B0"/>
    <w:rsid w:val="00F04B82"/>
    <w:rsid w:val="00F051AD"/>
    <w:rsid w:val="00F05FED"/>
    <w:rsid w:val="00F079D0"/>
    <w:rsid w:val="00F10ACF"/>
    <w:rsid w:val="00F13123"/>
    <w:rsid w:val="00F154D7"/>
    <w:rsid w:val="00F20710"/>
    <w:rsid w:val="00F2171E"/>
    <w:rsid w:val="00F26867"/>
    <w:rsid w:val="00F26C91"/>
    <w:rsid w:val="00F27F81"/>
    <w:rsid w:val="00F35BDB"/>
    <w:rsid w:val="00F35C2A"/>
    <w:rsid w:val="00F35D21"/>
    <w:rsid w:val="00F4245E"/>
    <w:rsid w:val="00F4245F"/>
    <w:rsid w:val="00F43081"/>
    <w:rsid w:val="00F43E4C"/>
    <w:rsid w:val="00F47699"/>
    <w:rsid w:val="00F50E9E"/>
    <w:rsid w:val="00F521E5"/>
    <w:rsid w:val="00F5344C"/>
    <w:rsid w:val="00F54077"/>
    <w:rsid w:val="00F67274"/>
    <w:rsid w:val="00F71337"/>
    <w:rsid w:val="00F73130"/>
    <w:rsid w:val="00F73179"/>
    <w:rsid w:val="00F7404C"/>
    <w:rsid w:val="00F80445"/>
    <w:rsid w:val="00F80658"/>
    <w:rsid w:val="00F808AD"/>
    <w:rsid w:val="00F82E2A"/>
    <w:rsid w:val="00F843C2"/>
    <w:rsid w:val="00F852C8"/>
    <w:rsid w:val="00F9031B"/>
    <w:rsid w:val="00FA1A89"/>
    <w:rsid w:val="00FA1C9F"/>
    <w:rsid w:val="00FA2407"/>
    <w:rsid w:val="00FA3A62"/>
    <w:rsid w:val="00FA606E"/>
    <w:rsid w:val="00FA702C"/>
    <w:rsid w:val="00FB1F67"/>
    <w:rsid w:val="00FB20F0"/>
    <w:rsid w:val="00FB3D41"/>
    <w:rsid w:val="00FB4490"/>
    <w:rsid w:val="00FB6E56"/>
    <w:rsid w:val="00FB78DD"/>
    <w:rsid w:val="00FC1A5F"/>
    <w:rsid w:val="00FC348C"/>
    <w:rsid w:val="00FC6757"/>
    <w:rsid w:val="00FC7641"/>
    <w:rsid w:val="00FD0880"/>
    <w:rsid w:val="00FD1795"/>
    <w:rsid w:val="00FD2354"/>
    <w:rsid w:val="00FD2DCC"/>
    <w:rsid w:val="00FD523B"/>
    <w:rsid w:val="00FD6469"/>
    <w:rsid w:val="00FD7393"/>
    <w:rsid w:val="00FD75D9"/>
    <w:rsid w:val="00FD7639"/>
    <w:rsid w:val="00FD7BA6"/>
    <w:rsid w:val="00FE2CC9"/>
    <w:rsid w:val="00FE6ED0"/>
    <w:rsid w:val="00FE7023"/>
    <w:rsid w:val="00FF034E"/>
    <w:rsid w:val="00FF1F5F"/>
    <w:rsid w:val="00FF2730"/>
    <w:rsid w:val="00FF6631"/>
    <w:rsid w:val="00FF7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A1"/>
    <w:rPr>
      <w:rFonts w:ascii="Cambria" w:hAnsi="Cambria" w:cs="Times New Roman"/>
    </w:rPr>
  </w:style>
  <w:style w:type="paragraph" w:styleId="Heading1">
    <w:name w:val="heading 1"/>
    <w:basedOn w:val="Title"/>
    <w:next w:val="Normal"/>
    <w:link w:val="Heading1Char"/>
    <w:uiPriority w:val="9"/>
    <w:qFormat/>
    <w:rsid w:val="0031311C"/>
    <w:pPr>
      <w:pBdr>
        <w:bottom w:val="none" w:sz="0" w:space="0" w:color="auto"/>
      </w:pBdr>
      <w:jc w:val="center"/>
      <w:outlineLvl w:val="0"/>
    </w:pPr>
    <w:rPr>
      <w:b/>
      <w:color w:val="auto"/>
      <w:sz w:val="48"/>
      <w:szCs w:val="48"/>
    </w:rPr>
  </w:style>
  <w:style w:type="paragraph" w:styleId="Heading2">
    <w:name w:val="heading 2"/>
    <w:basedOn w:val="Normal"/>
    <w:next w:val="Normal"/>
    <w:link w:val="Heading2Char"/>
    <w:uiPriority w:val="9"/>
    <w:unhideWhenUsed/>
    <w:qFormat/>
    <w:rsid w:val="00D3754A"/>
    <w:pPr>
      <w:keepNext/>
      <w:keepLines/>
      <w:pageBreakBefore/>
      <w:numPr>
        <w:numId w:val="6"/>
      </w:numPr>
      <w:spacing w:before="200" w:after="0"/>
      <w:ind w:left="567" w:hanging="567"/>
      <w:outlineLvl w:val="1"/>
    </w:pPr>
    <w:rPr>
      <w:rFonts w:ascii="Calibri" w:eastAsiaTheme="majorEastAsia" w:hAnsi="Calibri"/>
      <w:b/>
      <w:bCs/>
      <w:sz w:val="40"/>
      <w:szCs w:val="26"/>
    </w:rPr>
  </w:style>
  <w:style w:type="paragraph" w:styleId="Heading3">
    <w:name w:val="heading 3"/>
    <w:basedOn w:val="Normal"/>
    <w:next w:val="Normal"/>
    <w:link w:val="Heading3Char"/>
    <w:uiPriority w:val="9"/>
    <w:unhideWhenUsed/>
    <w:qFormat/>
    <w:rsid w:val="00D3754A"/>
    <w:pPr>
      <w:keepNext/>
      <w:keepLines/>
      <w:numPr>
        <w:ilvl w:val="1"/>
        <w:numId w:val="6"/>
      </w:numPr>
      <w:spacing w:before="200" w:after="0"/>
      <w:ind w:left="431" w:hanging="431"/>
      <w:outlineLvl w:val="2"/>
    </w:pPr>
    <w:rPr>
      <w:rFonts w:ascii="Calibri" w:eastAsiaTheme="majorEastAsia" w:hAnsi="Calibri" w:cstheme="majorBidi"/>
      <w:b/>
      <w:bCs/>
      <w:color w:val="773141"/>
      <w:sz w:val="32"/>
      <w:szCs w:val="24"/>
    </w:rPr>
  </w:style>
  <w:style w:type="paragraph" w:styleId="Heading4">
    <w:name w:val="heading 4"/>
    <w:basedOn w:val="Heading3"/>
    <w:next w:val="Normal"/>
    <w:link w:val="Heading4Char"/>
    <w:uiPriority w:val="9"/>
    <w:unhideWhenUsed/>
    <w:qFormat/>
    <w:rsid w:val="00BA0B4B"/>
    <w:pPr>
      <w:numPr>
        <w:ilvl w:val="2"/>
      </w:numPr>
      <w:ind w:left="505" w:hanging="505"/>
      <w:outlineLvl w:val="3"/>
    </w:pPr>
    <w:rPr>
      <w:i/>
      <w:sz w:val="28"/>
      <w:szCs w:val="22"/>
    </w:rPr>
  </w:style>
  <w:style w:type="paragraph" w:styleId="Heading5">
    <w:name w:val="heading 5"/>
    <w:basedOn w:val="Heading4"/>
    <w:next w:val="Normal"/>
    <w:link w:val="Heading5Char"/>
    <w:uiPriority w:val="9"/>
    <w:unhideWhenUsed/>
    <w:qFormat/>
    <w:rsid w:val="000E7059"/>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54A"/>
    <w:pPr>
      <w:tabs>
        <w:tab w:val="center" w:pos="4513"/>
        <w:tab w:val="right" w:pos="9026"/>
      </w:tabs>
      <w:spacing w:after="0" w:line="240" w:lineRule="auto"/>
    </w:pPr>
    <w:rPr>
      <w:i/>
      <w:sz w:val="20"/>
    </w:rPr>
  </w:style>
  <w:style w:type="character" w:customStyle="1" w:styleId="HeaderChar">
    <w:name w:val="Header Char"/>
    <w:basedOn w:val="DefaultParagraphFont"/>
    <w:link w:val="Header"/>
    <w:uiPriority w:val="99"/>
    <w:rsid w:val="00D3754A"/>
    <w:rPr>
      <w:rFonts w:ascii="Cambria" w:hAnsi="Cambria" w:cs="Times New Roman"/>
      <w:i/>
      <w:sz w:val="20"/>
    </w:rPr>
  </w:style>
  <w:style w:type="paragraph" w:styleId="Footer">
    <w:name w:val="footer"/>
    <w:basedOn w:val="Normal"/>
    <w:link w:val="FooterChar"/>
    <w:uiPriority w:val="99"/>
    <w:unhideWhenUsed/>
    <w:rsid w:val="00043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BA2"/>
  </w:style>
  <w:style w:type="paragraph" w:styleId="ListParagraph">
    <w:name w:val="List Paragraph"/>
    <w:basedOn w:val="Normal"/>
    <w:link w:val="ListParagraphChar"/>
    <w:uiPriority w:val="34"/>
    <w:qFormat/>
    <w:rsid w:val="0002726F"/>
    <w:pPr>
      <w:numPr>
        <w:numId w:val="1"/>
      </w:numPr>
      <w:spacing w:after="60"/>
      <w:ind w:left="1077" w:hanging="357"/>
    </w:pPr>
  </w:style>
  <w:style w:type="table" w:styleId="TableGrid">
    <w:name w:val="Table Grid"/>
    <w:basedOn w:val="TableNormal"/>
    <w:uiPriority w:val="59"/>
    <w:rsid w:val="002A4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848AA"/>
    <w:rPr>
      <w:sz w:val="16"/>
      <w:szCs w:val="16"/>
    </w:rPr>
  </w:style>
  <w:style w:type="paragraph" w:styleId="CommentSubject">
    <w:name w:val="annotation subject"/>
    <w:basedOn w:val="Normal"/>
    <w:link w:val="CommentSubjectChar"/>
    <w:uiPriority w:val="99"/>
    <w:semiHidden/>
    <w:unhideWhenUsed/>
    <w:rsid w:val="007A58D6"/>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A58D6"/>
    <w:rPr>
      <w:b/>
      <w:bCs/>
      <w:sz w:val="20"/>
      <w:szCs w:val="20"/>
    </w:rPr>
  </w:style>
  <w:style w:type="paragraph" w:styleId="BalloonText">
    <w:name w:val="Balloon Text"/>
    <w:basedOn w:val="Normal"/>
    <w:link w:val="BalloonTextChar"/>
    <w:uiPriority w:val="99"/>
    <w:semiHidden/>
    <w:unhideWhenUsed/>
    <w:rsid w:val="00384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8AA"/>
    <w:rPr>
      <w:rFonts w:ascii="Tahoma" w:hAnsi="Tahoma" w:cs="Tahoma"/>
      <w:sz w:val="16"/>
      <w:szCs w:val="16"/>
    </w:rPr>
  </w:style>
  <w:style w:type="paragraph" w:styleId="Revision">
    <w:name w:val="Revision"/>
    <w:hidden/>
    <w:uiPriority w:val="99"/>
    <w:semiHidden/>
    <w:rsid w:val="00B47122"/>
    <w:pPr>
      <w:spacing w:after="0" w:line="240" w:lineRule="auto"/>
    </w:pPr>
  </w:style>
  <w:style w:type="character" w:customStyle="1" w:styleId="Heading1Char">
    <w:name w:val="Heading 1 Char"/>
    <w:basedOn w:val="DefaultParagraphFont"/>
    <w:link w:val="Heading1"/>
    <w:uiPriority w:val="9"/>
    <w:rsid w:val="0031311C"/>
    <w:rPr>
      <w:rFonts w:eastAsiaTheme="majorEastAsia" w:cstheme="majorBidi"/>
      <w:b/>
      <w:spacing w:val="5"/>
      <w:kern w:val="28"/>
      <w:sz w:val="48"/>
      <w:szCs w:val="48"/>
    </w:rPr>
  </w:style>
  <w:style w:type="paragraph" w:styleId="TOCHeading">
    <w:name w:val="TOC Heading"/>
    <w:basedOn w:val="Heading1"/>
    <w:next w:val="Normal"/>
    <w:uiPriority w:val="39"/>
    <w:unhideWhenUsed/>
    <w:qFormat/>
    <w:rsid w:val="00324BFB"/>
    <w:pPr>
      <w:outlineLvl w:val="9"/>
    </w:pPr>
    <w:rPr>
      <w:lang w:val="en-US"/>
    </w:rPr>
  </w:style>
  <w:style w:type="paragraph" w:styleId="TOC1">
    <w:name w:val="toc 1"/>
    <w:basedOn w:val="Normal"/>
    <w:next w:val="Normal"/>
    <w:autoRedefine/>
    <w:uiPriority w:val="39"/>
    <w:unhideWhenUsed/>
    <w:qFormat/>
    <w:rsid w:val="003D267E"/>
    <w:pPr>
      <w:spacing w:after="100"/>
    </w:pPr>
    <w:rPr>
      <w:b/>
    </w:rPr>
  </w:style>
  <w:style w:type="character" w:styleId="Hyperlink">
    <w:name w:val="Hyperlink"/>
    <w:basedOn w:val="DefaultParagraphFont"/>
    <w:uiPriority w:val="99"/>
    <w:unhideWhenUsed/>
    <w:rsid w:val="00324BFB"/>
    <w:rPr>
      <w:color w:val="0000FF" w:themeColor="hyperlink"/>
      <w:u w:val="single"/>
    </w:rPr>
  </w:style>
  <w:style w:type="character" w:customStyle="1" w:styleId="Heading2Char">
    <w:name w:val="Heading 2 Char"/>
    <w:basedOn w:val="DefaultParagraphFont"/>
    <w:link w:val="Heading2"/>
    <w:uiPriority w:val="9"/>
    <w:rsid w:val="00D3754A"/>
    <w:rPr>
      <w:rFonts w:ascii="Calibri" w:eastAsiaTheme="majorEastAsia" w:hAnsi="Calibri" w:cs="Times New Roman"/>
      <w:b/>
      <w:bCs/>
      <w:sz w:val="40"/>
      <w:szCs w:val="26"/>
    </w:rPr>
  </w:style>
  <w:style w:type="paragraph" w:styleId="TOC2">
    <w:name w:val="toc 2"/>
    <w:basedOn w:val="Normal"/>
    <w:next w:val="Normal"/>
    <w:autoRedefine/>
    <w:uiPriority w:val="39"/>
    <w:unhideWhenUsed/>
    <w:qFormat/>
    <w:rsid w:val="003D267E"/>
    <w:pPr>
      <w:tabs>
        <w:tab w:val="left" w:pos="709"/>
        <w:tab w:val="right" w:leader="dot" w:pos="9016"/>
      </w:tabs>
      <w:spacing w:after="100"/>
      <w:ind w:left="220"/>
    </w:pPr>
  </w:style>
  <w:style w:type="character" w:customStyle="1" w:styleId="Heading3Char">
    <w:name w:val="Heading 3 Char"/>
    <w:basedOn w:val="DefaultParagraphFont"/>
    <w:link w:val="Heading3"/>
    <w:uiPriority w:val="9"/>
    <w:rsid w:val="00D3754A"/>
    <w:rPr>
      <w:rFonts w:ascii="Calibri" w:eastAsiaTheme="majorEastAsia" w:hAnsi="Calibri" w:cstheme="majorBidi"/>
      <w:b/>
      <w:bCs/>
      <w:color w:val="773141"/>
      <w:sz w:val="32"/>
      <w:szCs w:val="24"/>
    </w:rPr>
  </w:style>
  <w:style w:type="paragraph" w:styleId="TOC3">
    <w:name w:val="toc 3"/>
    <w:basedOn w:val="Normal"/>
    <w:next w:val="Normal"/>
    <w:autoRedefine/>
    <w:uiPriority w:val="39"/>
    <w:unhideWhenUsed/>
    <w:qFormat/>
    <w:rsid w:val="003D267E"/>
    <w:pPr>
      <w:spacing w:after="100"/>
      <w:ind w:left="440"/>
    </w:pPr>
  </w:style>
  <w:style w:type="paragraph" w:styleId="NoSpacing">
    <w:name w:val="No Spacing"/>
    <w:uiPriority w:val="1"/>
    <w:qFormat/>
    <w:rsid w:val="00084184"/>
    <w:pPr>
      <w:spacing w:after="0" w:line="240" w:lineRule="auto"/>
    </w:pPr>
  </w:style>
  <w:style w:type="character" w:customStyle="1" w:styleId="Heading4Char">
    <w:name w:val="Heading 4 Char"/>
    <w:basedOn w:val="DefaultParagraphFont"/>
    <w:link w:val="Heading4"/>
    <w:uiPriority w:val="9"/>
    <w:rsid w:val="00BA0B4B"/>
    <w:rPr>
      <w:rFonts w:ascii="Calibri" w:eastAsiaTheme="majorEastAsia" w:hAnsi="Calibri" w:cstheme="majorBidi"/>
      <w:b/>
      <w:bCs/>
      <w:i/>
      <w:color w:val="773141"/>
      <w:sz w:val="28"/>
    </w:rPr>
  </w:style>
  <w:style w:type="paragraph" w:customStyle="1" w:styleId="Default">
    <w:name w:val="Default"/>
    <w:rsid w:val="00BC58F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List-Accent11">
    <w:name w:val="Light List - Accent 11"/>
    <w:basedOn w:val="TableNormal"/>
    <w:uiPriority w:val="61"/>
    <w:rsid w:val="00BC58F0"/>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rPr>
      <w:tblHeader/>
    </w:trPr>
    <w:tblStylePr w:type="firstRow">
      <w:pPr>
        <w:spacing w:before="0" w:after="0" w:line="240" w:lineRule="auto"/>
      </w:pPr>
      <w:rPr>
        <w:b/>
        <w:bCs/>
        <w:i w:val="0"/>
        <w:iCs w:val="0"/>
        <w:color w:val="FFFFFF" w:themeColor="background1"/>
      </w:rPr>
      <w:tblPr/>
      <w:tcPr>
        <w:shd w:val="clear" w:color="auto" w:fill="4F81BD" w:themeFill="accent1"/>
      </w:tcPr>
    </w:tblStylePr>
    <w:tblStylePr w:type="lastRow">
      <w:pPr>
        <w:spacing w:before="0" w:after="0" w:line="240" w:lineRule="auto"/>
      </w:pPr>
      <w:rPr>
        <w:b/>
        <w:bCs/>
        <w:i w:val="0"/>
        <w:iCs w:val="0"/>
        <w:color w:val="FFFFFF" w:themeColor="background1"/>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i w:val="0"/>
        <w:iCs w:val="0"/>
        <w:color w:val="FFFFFF" w:themeColor="background1"/>
      </w:rPr>
    </w:tblStylePr>
    <w:tblStylePr w:type="lastCol">
      <w:rPr>
        <w:b/>
        <w:bCs/>
        <w:i w:val="0"/>
        <w:iCs w:val="0"/>
        <w:color w:val="FFFFFF" w:themeColor="background1"/>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BC58F0"/>
    <w:pPr>
      <w:spacing w:before="100" w:beforeAutospacing="1" w:after="100" w:afterAutospacing="1" w:line="240" w:lineRule="auto"/>
    </w:pPr>
    <w:rPr>
      <w:rFonts w:ascii="Times New Roman" w:eastAsiaTheme="minorHAnsi" w:hAnsi="Times New Roman"/>
      <w:sz w:val="24"/>
      <w:szCs w:val="24"/>
    </w:rPr>
  </w:style>
  <w:style w:type="paragraph" w:styleId="Title">
    <w:name w:val="Title"/>
    <w:basedOn w:val="Normal"/>
    <w:next w:val="Normal"/>
    <w:link w:val="TitleChar"/>
    <w:uiPriority w:val="10"/>
    <w:qFormat/>
    <w:rsid w:val="00B45005"/>
    <w:pPr>
      <w:pBdr>
        <w:bottom w:val="single" w:sz="8" w:space="4" w:color="4F81BD" w:themeColor="accent1"/>
      </w:pBdr>
      <w:spacing w:after="300" w:line="240" w:lineRule="auto"/>
      <w:contextualSpacing/>
    </w:pPr>
    <w:rPr>
      <w:rFonts w:asciiTheme="minorHAnsi" w:eastAsiaTheme="majorEastAsia" w:hAnsiTheme="min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5005"/>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565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65CE"/>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EE04A1"/>
    <w:pPr>
      <w:keepNext/>
      <w:spacing w:before="240" w:after="120" w:line="240" w:lineRule="auto"/>
    </w:pPr>
    <w:rPr>
      <w:rFonts w:asciiTheme="minorHAnsi" w:hAnsiTheme="minorHAnsi"/>
      <w:b/>
      <w:bCs/>
      <w:color w:val="773141"/>
      <w:sz w:val="20"/>
      <w:szCs w:val="18"/>
    </w:rPr>
  </w:style>
  <w:style w:type="paragraph" w:customStyle="1" w:styleId="Listpara2">
    <w:name w:val="List para 2"/>
    <w:basedOn w:val="ListParagraph"/>
    <w:link w:val="Listpara2Char"/>
    <w:qFormat/>
    <w:rsid w:val="00BE0708"/>
    <w:pPr>
      <w:numPr>
        <w:numId w:val="2"/>
      </w:numPr>
    </w:pPr>
  </w:style>
  <w:style w:type="paragraph" w:customStyle="1" w:styleId="Tablelistpara">
    <w:name w:val="Table list para"/>
    <w:basedOn w:val="ListParagraph"/>
    <w:link w:val="TablelistparaChar"/>
    <w:qFormat/>
    <w:rsid w:val="00885464"/>
    <w:pPr>
      <w:numPr>
        <w:numId w:val="3"/>
      </w:numPr>
      <w:spacing w:line="240" w:lineRule="auto"/>
      <w:ind w:left="357" w:hanging="357"/>
    </w:pPr>
    <w:rPr>
      <w:sz w:val="20"/>
      <w:szCs w:val="20"/>
    </w:rPr>
  </w:style>
  <w:style w:type="character" w:customStyle="1" w:styleId="ListParagraphChar">
    <w:name w:val="List Paragraph Char"/>
    <w:basedOn w:val="DefaultParagraphFont"/>
    <w:link w:val="ListParagraph"/>
    <w:uiPriority w:val="34"/>
    <w:rsid w:val="0002726F"/>
    <w:rPr>
      <w:rFonts w:ascii="Cambria" w:hAnsi="Cambria" w:cs="Times New Roman"/>
    </w:rPr>
  </w:style>
  <w:style w:type="character" w:customStyle="1" w:styleId="Listpara2Char">
    <w:name w:val="List para 2 Char"/>
    <w:basedOn w:val="ListParagraphChar"/>
    <w:link w:val="Listpara2"/>
    <w:rsid w:val="00311175"/>
  </w:style>
  <w:style w:type="paragraph" w:customStyle="1" w:styleId="Listparanumber">
    <w:name w:val="List para number"/>
    <w:basedOn w:val="ListParagraph"/>
    <w:link w:val="ListparanumberChar"/>
    <w:qFormat/>
    <w:rsid w:val="003308B6"/>
    <w:pPr>
      <w:numPr>
        <w:numId w:val="4"/>
      </w:numPr>
    </w:pPr>
  </w:style>
  <w:style w:type="character" w:customStyle="1" w:styleId="TablelistparaChar">
    <w:name w:val="Table list para Char"/>
    <w:basedOn w:val="ListParagraphChar"/>
    <w:link w:val="Tablelistpara"/>
    <w:rsid w:val="00885464"/>
    <w:rPr>
      <w:sz w:val="20"/>
      <w:szCs w:val="20"/>
    </w:rPr>
  </w:style>
  <w:style w:type="character" w:customStyle="1" w:styleId="ListparanumberChar">
    <w:name w:val="List para number Char"/>
    <w:basedOn w:val="ListParagraphChar"/>
    <w:link w:val="Listparanumber"/>
    <w:rsid w:val="003308B6"/>
  </w:style>
  <w:style w:type="character" w:styleId="FollowedHyperlink">
    <w:name w:val="FollowedHyperlink"/>
    <w:basedOn w:val="DefaultParagraphFont"/>
    <w:uiPriority w:val="99"/>
    <w:semiHidden/>
    <w:unhideWhenUsed/>
    <w:rsid w:val="0092004B"/>
    <w:rPr>
      <w:color w:val="800080" w:themeColor="followedHyperlink"/>
      <w:u w:val="single"/>
    </w:rPr>
  </w:style>
  <w:style w:type="character" w:customStyle="1" w:styleId="Heading5Char">
    <w:name w:val="Heading 5 Char"/>
    <w:basedOn w:val="DefaultParagraphFont"/>
    <w:link w:val="Heading5"/>
    <w:uiPriority w:val="9"/>
    <w:rsid w:val="000E7059"/>
    <w:rPr>
      <w:rFonts w:ascii="Calibri" w:eastAsiaTheme="majorEastAsia" w:hAnsi="Calibri" w:cstheme="majorBidi"/>
      <w:bCs/>
      <w:i/>
      <w:color w:val="4F81BD" w:themeColor="accent1"/>
    </w:rPr>
  </w:style>
  <w:style w:type="paragraph" w:styleId="TOC4">
    <w:name w:val="toc 4"/>
    <w:basedOn w:val="Normal"/>
    <w:next w:val="Normal"/>
    <w:autoRedefine/>
    <w:uiPriority w:val="39"/>
    <w:unhideWhenUsed/>
    <w:qFormat/>
    <w:rsid w:val="003D267E"/>
    <w:pPr>
      <w:spacing w:after="100"/>
      <w:ind w:left="660"/>
    </w:pPr>
    <w:rPr>
      <w:i/>
    </w:rPr>
  </w:style>
  <w:style w:type="paragraph" w:customStyle="1" w:styleId="Heading2unnumbered">
    <w:name w:val="Heading 2 unnumbered"/>
    <w:basedOn w:val="Heading2"/>
    <w:qFormat/>
    <w:rsid w:val="00D3754A"/>
    <w:pPr>
      <w:numPr>
        <w:numId w:val="0"/>
      </w:numPr>
    </w:pPr>
  </w:style>
  <w:style w:type="paragraph" w:customStyle="1" w:styleId="NoParagraphStyle">
    <w:name w:val="[No Paragraph Style]"/>
    <w:rsid w:val="00341F43"/>
    <w:pPr>
      <w:widowControl w:val="0"/>
      <w:autoSpaceDE w:val="0"/>
      <w:autoSpaceDN w:val="0"/>
      <w:adjustRightInd w:val="0"/>
      <w:spacing w:after="0" w:line="288" w:lineRule="auto"/>
      <w:textAlignment w:val="center"/>
    </w:pPr>
    <w:rPr>
      <w:rFonts w:ascii="Times-Roman" w:hAnsi="Times-Roman" w:cs="Times-Roman"/>
      <w:color w:val="000000"/>
      <w:sz w:val="24"/>
      <w:szCs w:val="24"/>
      <w:lang w:val="en-GB" w:eastAsia="en-US"/>
    </w:rPr>
  </w:style>
  <w:style w:type="paragraph" w:customStyle="1" w:styleId="BodycopyInsideSpreads">
    <w:name w:val="Body copy (Inside Spreads)"/>
    <w:basedOn w:val="NoParagraphStyle"/>
    <w:next w:val="NoParagraphStyle"/>
    <w:uiPriority w:val="99"/>
    <w:rsid w:val="002B748F"/>
    <w:pPr>
      <w:suppressAutoHyphens/>
      <w:spacing w:before="85" w:after="28" w:line="220" w:lineRule="atLeast"/>
    </w:pPr>
    <w:rPr>
      <w:rFonts w:ascii="Cambria" w:hAnsi="Cambria" w:cs="Cambria"/>
      <w:spacing w:val="-4"/>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4B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17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17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75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BA2"/>
  </w:style>
  <w:style w:type="paragraph" w:styleId="Footer">
    <w:name w:val="footer"/>
    <w:basedOn w:val="Normal"/>
    <w:link w:val="FooterChar"/>
    <w:uiPriority w:val="99"/>
    <w:unhideWhenUsed/>
    <w:rsid w:val="00043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BA2"/>
  </w:style>
  <w:style w:type="paragraph" w:styleId="ListParagraph">
    <w:name w:val="List Paragraph"/>
    <w:basedOn w:val="Normal"/>
    <w:uiPriority w:val="34"/>
    <w:qFormat/>
    <w:rsid w:val="000D61D9"/>
    <w:pPr>
      <w:ind w:left="720"/>
      <w:contextualSpacing/>
    </w:pPr>
  </w:style>
  <w:style w:type="table" w:styleId="TableGrid">
    <w:name w:val="Table Grid"/>
    <w:basedOn w:val="TableNormal"/>
    <w:uiPriority w:val="59"/>
    <w:rsid w:val="002A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8AA"/>
    <w:rPr>
      <w:sz w:val="16"/>
      <w:szCs w:val="16"/>
    </w:rPr>
  </w:style>
  <w:style w:type="paragraph" w:styleId="CommentText">
    <w:name w:val="annotation text"/>
    <w:basedOn w:val="Normal"/>
    <w:link w:val="CommentTextChar"/>
    <w:unhideWhenUsed/>
    <w:rsid w:val="003848AA"/>
    <w:pPr>
      <w:spacing w:line="240" w:lineRule="auto"/>
    </w:pPr>
    <w:rPr>
      <w:sz w:val="20"/>
      <w:szCs w:val="20"/>
    </w:rPr>
  </w:style>
  <w:style w:type="character" w:customStyle="1" w:styleId="CommentTextChar">
    <w:name w:val="Comment Text Char"/>
    <w:basedOn w:val="DefaultParagraphFont"/>
    <w:link w:val="CommentText"/>
    <w:rsid w:val="003848AA"/>
    <w:rPr>
      <w:sz w:val="20"/>
      <w:szCs w:val="20"/>
    </w:rPr>
  </w:style>
  <w:style w:type="paragraph" w:styleId="CommentSubject">
    <w:name w:val="annotation subject"/>
    <w:basedOn w:val="CommentText"/>
    <w:next w:val="CommentText"/>
    <w:link w:val="CommentSubjectChar"/>
    <w:uiPriority w:val="99"/>
    <w:semiHidden/>
    <w:unhideWhenUsed/>
    <w:rsid w:val="003848AA"/>
    <w:rPr>
      <w:b/>
      <w:bCs/>
    </w:rPr>
  </w:style>
  <w:style w:type="character" w:customStyle="1" w:styleId="CommentSubjectChar">
    <w:name w:val="Comment Subject Char"/>
    <w:basedOn w:val="CommentTextChar"/>
    <w:link w:val="CommentSubject"/>
    <w:uiPriority w:val="99"/>
    <w:semiHidden/>
    <w:rsid w:val="003848AA"/>
    <w:rPr>
      <w:b/>
      <w:bCs/>
      <w:sz w:val="20"/>
      <w:szCs w:val="20"/>
    </w:rPr>
  </w:style>
  <w:style w:type="paragraph" w:styleId="BalloonText">
    <w:name w:val="Balloon Text"/>
    <w:basedOn w:val="Normal"/>
    <w:link w:val="BalloonTextChar"/>
    <w:uiPriority w:val="99"/>
    <w:semiHidden/>
    <w:unhideWhenUsed/>
    <w:rsid w:val="00384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8AA"/>
    <w:rPr>
      <w:rFonts w:ascii="Tahoma" w:hAnsi="Tahoma" w:cs="Tahoma"/>
      <w:sz w:val="16"/>
      <w:szCs w:val="16"/>
    </w:rPr>
  </w:style>
  <w:style w:type="paragraph" w:customStyle="1" w:styleId="Normalbodytext">
    <w:name w:val="Normal body text"/>
    <w:basedOn w:val="Normal"/>
    <w:link w:val="NormalbodytextChar"/>
    <w:rsid w:val="00245FF1"/>
    <w:pPr>
      <w:spacing w:before="120" w:after="240" w:line="320" w:lineRule="atLeast"/>
      <w:jc w:val="both"/>
    </w:pPr>
    <w:rPr>
      <w:rFonts w:ascii="Times New Roman" w:eastAsia="Times New Roman" w:hAnsi="Times New Roman" w:cs="Times New Roman"/>
      <w:szCs w:val="20"/>
      <w:lang w:val="en-NZ"/>
    </w:rPr>
  </w:style>
  <w:style w:type="character" w:customStyle="1" w:styleId="NormalbodytextChar">
    <w:name w:val="Normal body text Char"/>
    <w:basedOn w:val="DefaultParagraphFont"/>
    <w:link w:val="Normalbodytext"/>
    <w:rsid w:val="00245FF1"/>
    <w:rPr>
      <w:rFonts w:ascii="Times New Roman" w:eastAsia="Times New Roman" w:hAnsi="Times New Roman" w:cs="Times New Roman"/>
      <w:szCs w:val="20"/>
      <w:lang w:val="en-NZ"/>
    </w:rPr>
  </w:style>
  <w:style w:type="paragraph" w:styleId="Revision">
    <w:name w:val="Revision"/>
    <w:hidden/>
    <w:uiPriority w:val="99"/>
    <w:semiHidden/>
    <w:rsid w:val="00B47122"/>
    <w:pPr>
      <w:spacing w:after="0" w:line="240" w:lineRule="auto"/>
    </w:pPr>
  </w:style>
  <w:style w:type="character" w:customStyle="1" w:styleId="Heading1Char">
    <w:name w:val="Heading 1 Char"/>
    <w:basedOn w:val="DefaultParagraphFont"/>
    <w:link w:val="Heading1"/>
    <w:uiPriority w:val="9"/>
    <w:rsid w:val="00324BF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24BFB"/>
    <w:pPr>
      <w:outlineLvl w:val="9"/>
    </w:pPr>
    <w:rPr>
      <w:lang w:val="en-US"/>
    </w:rPr>
  </w:style>
  <w:style w:type="paragraph" w:styleId="TOC1">
    <w:name w:val="toc 1"/>
    <w:basedOn w:val="Normal"/>
    <w:next w:val="Normal"/>
    <w:autoRedefine/>
    <w:uiPriority w:val="39"/>
    <w:unhideWhenUsed/>
    <w:rsid w:val="00324BFB"/>
    <w:pPr>
      <w:spacing w:after="100"/>
    </w:pPr>
  </w:style>
  <w:style w:type="character" w:styleId="Hyperlink">
    <w:name w:val="Hyperlink"/>
    <w:basedOn w:val="DefaultParagraphFont"/>
    <w:uiPriority w:val="99"/>
    <w:unhideWhenUsed/>
    <w:rsid w:val="00324BFB"/>
    <w:rPr>
      <w:color w:val="0000FF" w:themeColor="hyperlink"/>
      <w:u w:val="single"/>
    </w:rPr>
  </w:style>
  <w:style w:type="character" w:customStyle="1" w:styleId="Heading2Char">
    <w:name w:val="Heading 2 Char"/>
    <w:basedOn w:val="DefaultParagraphFont"/>
    <w:link w:val="Heading2"/>
    <w:uiPriority w:val="9"/>
    <w:rsid w:val="008A176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A1767"/>
    <w:pPr>
      <w:spacing w:after="100"/>
      <w:ind w:left="220"/>
    </w:pPr>
  </w:style>
  <w:style w:type="character" w:customStyle="1" w:styleId="Heading3Char">
    <w:name w:val="Heading 3 Char"/>
    <w:basedOn w:val="DefaultParagraphFont"/>
    <w:link w:val="Heading3"/>
    <w:uiPriority w:val="9"/>
    <w:rsid w:val="008A176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92209"/>
    <w:pPr>
      <w:spacing w:after="100"/>
      <w:ind w:left="440"/>
    </w:pPr>
  </w:style>
  <w:style w:type="paragraph" w:styleId="NoSpacing">
    <w:name w:val="No Spacing"/>
    <w:uiPriority w:val="1"/>
    <w:qFormat/>
    <w:rsid w:val="00084184"/>
    <w:pPr>
      <w:spacing w:after="0" w:line="240" w:lineRule="auto"/>
    </w:pPr>
  </w:style>
  <w:style w:type="character" w:customStyle="1" w:styleId="Heading4Char">
    <w:name w:val="Heading 4 Char"/>
    <w:basedOn w:val="DefaultParagraphFont"/>
    <w:link w:val="Heading4"/>
    <w:uiPriority w:val="9"/>
    <w:rsid w:val="00D575EA"/>
    <w:rPr>
      <w:rFonts w:asciiTheme="majorHAnsi" w:eastAsiaTheme="majorEastAsia" w:hAnsiTheme="majorHAnsi" w:cstheme="majorBidi"/>
      <w:b/>
      <w:bCs/>
      <w:i/>
      <w:iCs/>
      <w:color w:val="4F81BD" w:themeColor="accent1"/>
    </w:rPr>
  </w:style>
  <w:style w:type="paragraph" w:customStyle="1" w:styleId="Default">
    <w:name w:val="Default"/>
    <w:rsid w:val="00BC58F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List-Accent11">
    <w:name w:val="Light List - Accent 11"/>
    <w:basedOn w:val="TableNormal"/>
    <w:uiPriority w:val="61"/>
    <w:rsid w:val="00BC58F0"/>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tblHeader/>
    </w:trPr>
    <w:tblStylePr w:type="firstRow">
      <w:pPr>
        <w:spacing w:before="0" w:after="0" w:line="240" w:lineRule="auto"/>
      </w:pPr>
      <w:rPr>
        <w:b/>
        <w:bCs/>
        <w:i w:val="0"/>
        <w:iCs w:val="0"/>
        <w:color w:val="FFFFFF" w:themeColor="background1"/>
      </w:rPr>
      <w:tblPr/>
      <w:tcPr>
        <w:shd w:val="clear" w:color="auto" w:fill="4F81BD" w:themeFill="accent1"/>
      </w:tcPr>
    </w:tblStylePr>
    <w:tblStylePr w:type="lastRow">
      <w:pPr>
        <w:spacing w:before="0" w:after="0" w:line="240" w:lineRule="auto"/>
      </w:pPr>
      <w:rPr>
        <w:b/>
        <w:bCs/>
        <w:i w:val="0"/>
        <w:iCs w:val="0"/>
        <w:color w:val="FFFFFF" w:themeColor="background1"/>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i w:val="0"/>
        <w:iCs w:val="0"/>
        <w:color w:val="FFFFFF" w:themeColor="background1"/>
      </w:rPr>
    </w:tblStylePr>
    <w:tblStylePr w:type="lastCol">
      <w:rPr>
        <w:b/>
        <w:bCs/>
        <w:i w:val="0"/>
        <w:iCs w:val="0"/>
        <w:color w:val="FFFFFF" w:themeColor="background1"/>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BC58F0"/>
    <w:pPr>
      <w:spacing w:before="100" w:beforeAutospacing="1" w:after="100" w:afterAutospacing="1" w:line="240" w:lineRule="auto"/>
    </w:pPr>
    <w:rPr>
      <w:rFonts w:ascii="Times New Roman" w:eastAsiaTheme="minorHAnsi" w:hAnsi="Times New Roman" w:cs="Times New Roman"/>
      <w:sz w:val="24"/>
      <w:szCs w:val="24"/>
    </w:rPr>
  </w:style>
  <w:style w:type="paragraph" w:styleId="BodyText2">
    <w:name w:val="Body Text 2"/>
    <w:basedOn w:val="Normal"/>
    <w:link w:val="BodyText2Char"/>
    <w:rsid w:val="000C69F7"/>
    <w:pPr>
      <w:spacing w:before="40" w:after="0" w:line="240" w:lineRule="auto"/>
      <w:ind w:right="-2"/>
      <w:jc w:val="both"/>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
    <w:rsid w:val="000C69F7"/>
    <w:rPr>
      <w:rFonts w:ascii="Times New Roman" w:eastAsia="Times New Roman" w:hAnsi="Times New Roman" w:cs="Times New Roman"/>
      <w:sz w:val="24"/>
      <w:szCs w:val="20"/>
      <w:lang w:eastAsia="en-US"/>
    </w:rPr>
  </w:style>
</w:styles>
</file>

<file path=word/webSettings.xml><?xml version="1.0" encoding="utf-8"?>
<w:webSettings xmlns:r="http://schemas.openxmlformats.org/officeDocument/2006/relationships" xmlns:w="http://schemas.openxmlformats.org/wordprocessingml/2006/main">
  <w:divs>
    <w:div w:id="1254780712">
      <w:bodyDiv w:val="1"/>
      <w:marLeft w:val="0"/>
      <w:marRight w:val="0"/>
      <w:marTop w:val="0"/>
      <w:marBottom w:val="0"/>
      <w:divBdr>
        <w:top w:val="none" w:sz="0" w:space="0" w:color="auto"/>
        <w:left w:val="none" w:sz="0" w:space="0" w:color="auto"/>
        <w:bottom w:val="none" w:sz="0" w:space="0" w:color="auto"/>
        <w:right w:val="none" w:sz="0" w:space="0" w:color="auto"/>
      </w:divBdr>
    </w:div>
    <w:div w:id="1718358657">
      <w:bodyDiv w:val="1"/>
      <w:marLeft w:val="0"/>
      <w:marRight w:val="0"/>
      <w:marTop w:val="0"/>
      <w:marBottom w:val="0"/>
      <w:divBdr>
        <w:top w:val="none" w:sz="0" w:space="0" w:color="auto"/>
        <w:left w:val="none" w:sz="0" w:space="0" w:color="auto"/>
        <w:bottom w:val="none" w:sz="0" w:space="0" w:color="auto"/>
        <w:right w:val="none" w:sz="0" w:space="0" w:color="auto"/>
      </w:divBdr>
      <w:divsChild>
        <w:div w:id="1404568205">
          <w:marLeft w:val="0"/>
          <w:marRight w:val="1"/>
          <w:marTop w:val="0"/>
          <w:marBottom w:val="0"/>
          <w:divBdr>
            <w:top w:val="none" w:sz="0" w:space="0" w:color="auto"/>
            <w:left w:val="none" w:sz="0" w:space="0" w:color="auto"/>
            <w:bottom w:val="none" w:sz="0" w:space="0" w:color="auto"/>
            <w:right w:val="none" w:sz="0" w:space="0" w:color="auto"/>
          </w:divBdr>
          <w:divsChild>
            <w:div w:id="294918932">
              <w:marLeft w:val="0"/>
              <w:marRight w:val="0"/>
              <w:marTop w:val="0"/>
              <w:marBottom w:val="0"/>
              <w:divBdr>
                <w:top w:val="none" w:sz="0" w:space="0" w:color="auto"/>
                <w:left w:val="none" w:sz="0" w:space="0" w:color="auto"/>
                <w:bottom w:val="none" w:sz="0" w:space="0" w:color="auto"/>
                <w:right w:val="none" w:sz="0" w:space="0" w:color="auto"/>
              </w:divBdr>
              <w:divsChild>
                <w:div w:id="1541212384">
                  <w:marLeft w:val="0"/>
                  <w:marRight w:val="1"/>
                  <w:marTop w:val="0"/>
                  <w:marBottom w:val="0"/>
                  <w:divBdr>
                    <w:top w:val="none" w:sz="0" w:space="0" w:color="auto"/>
                    <w:left w:val="none" w:sz="0" w:space="0" w:color="auto"/>
                    <w:bottom w:val="none" w:sz="0" w:space="0" w:color="auto"/>
                    <w:right w:val="none" w:sz="0" w:space="0" w:color="auto"/>
                  </w:divBdr>
                  <w:divsChild>
                    <w:div w:id="1455711041">
                      <w:marLeft w:val="0"/>
                      <w:marRight w:val="0"/>
                      <w:marTop w:val="0"/>
                      <w:marBottom w:val="0"/>
                      <w:divBdr>
                        <w:top w:val="none" w:sz="0" w:space="0" w:color="auto"/>
                        <w:left w:val="none" w:sz="0" w:space="0" w:color="auto"/>
                        <w:bottom w:val="none" w:sz="0" w:space="0" w:color="auto"/>
                        <w:right w:val="none" w:sz="0" w:space="0" w:color="auto"/>
                      </w:divBdr>
                      <w:divsChild>
                        <w:div w:id="465314430">
                          <w:marLeft w:val="0"/>
                          <w:marRight w:val="0"/>
                          <w:marTop w:val="0"/>
                          <w:marBottom w:val="0"/>
                          <w:divBdr>
                            <w:top w:val="none" w:sz="0" w:space="0" w:color="auto"/>
                            <w:left w:val="none" w:sz="0" w:space="0" w:color="auto"/>
                            <w:bottom w:val="none" w:sz="0" w:space="0" w:color="auto"/>
                            <w:right w:val="none" w:sz="0" w:space="0" w:color="auto"/>
                          </w:divBdr>
                          <w:divsChild>
                            <w:div w:id="1951282564">
                              <w:marLeft w:val="0"/>
                              <w:marRight w:val="0"/>
                              <w:marTop w:val="120"/>
                              <w:marBottom w:val="360"/>
                              <w:divBdr>
                                <w:top w:val="none" w:sz="0" w:space="0" w:color="auto"/>
                                <w:left w:val="none" w:sz="0" w:space="0" w:color="auto"/>
                                <w:bottom w:val="none" w:sz="0" w:space="0" w:color="auto"/>
                                <w:right w:val="none" w:sz="0" w:space="0" w:color="auto"/>
                              </w:divBdr>
                              <w:divsChild>
                                <w:div w:id="107554424">
                                  <w:marLeft w:val="0"/>
                                  <w:marRight w:val="0"/>
                                  <w:marTop w:val="0"/>
                                  <w:marBottom w:val="0"/>
                                  <w:divBdr>
                                    <w:top w:val="none" w:sz="0" w:space="0" w:color="auto"/>
                                    <w:left w:val="none" w:sz="0" w:space="0" w:color="auto"/>
                                    <w:bottom w:val="none" w:sz="0" w:space="0" w:color="auto"/>
                                    <w:right w:val="none" w:sz="0" w:space="0" w:color="auto"/>
                                  </w:divBdr>
                                </w:div>
                                <w:div w:id="1868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6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ncbi.nlm.nih.gov/pubmed?term=Oidtmann%20B%5BAuthor%5D&amp;cauthor=true&amp;cauthor_uid=12542093"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ncbi.nlm.nih.gov/pubmed?term=Hoffmann%20RW%5BAuthor%5D&amp;cauthor=true&amp;cauthor_uid=1254209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agriculture.gov.au/biosecurity/risk-analysis/ira/final-animal/praw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ncbi.nlm.nih.gov/pubmed?term=Rogers%20D%5BAuthor%5D&amp;cauthor=true&amp;cauthor_uid=12542093"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about/contact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f.qld.gov.au/fisheries/aquaculture/management-and-policies/famop001-high-risk-activities" TargetMode="External"/><Relationship Id="rId23" Type="http://schemas.openxmlformats.org/officeDocument/2006/relationships/hyperlink" Target="http://www.daff.qld.gov.au/fisheries/aquaculture/management-and-policies/famop001-high-risk-activities" TargetMode="External"/><Relationship Id="rId28" Type="http://schemas.microsoft.com/office/2007/relationships/stylesWithEffects" Target="stylesWithEffects.xml"/><Relationship Id="rId10" Type="http://schemas.openxmlformats.org/officeDocument/2006/relationships/hyperlink" Target="http://www.agriculture.gov.au/animal/aquatic/guidelines-and-resources" TargetMode="External"/><Relationship Id="rId19" Type="http://schemas.openxmlformats.org/officeDocument/2006/relationships/hyperlink" Target="http://www.ncbi.nlm.nih.gov/pubmed?term=Heitz%20E%5BAuthor%5D&amp;cauthor=true&amp;cauthor_uid=12542093"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ncbi.nlm.nih.gov/pubmed/12542093" TargetMode="External"/><Relationship Id="rId27" Type="http://schemas.microsoft.com/office/2011/relationships/commentsExtended" Target="commentsExtended.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DAD25-2ED4-4601-929C-75356F840377}"/>
</file>

<file path=customXml/itemProps2.xml><?xml version="1.0" encoding="utf-8"?>
<ds:datastoreItem xmlns:ds="http://schemas.openxmlformats.org/officeDocument/2006/customXml" ds:itemID="{F0FAA48B-20FE-427E-BB9C-DEEA416834C6}"/>
</file>

<file path=customXml/itemProps3.xml><?xml version="1.0" encoding="utf-8"?>
<ds:datastoreItem xmlns:ds="http://schemas.openxmlformats.org/officeDocument/2006/customXml" ds:itemID="{C1F9EB74-AD77-467F-AAB0-69045EE74A1A}"/>
</file>

<file path=customXml/itemProps4.xml><?xml version="1.0" encoding="utf-8"?>
<ds:datastoreItem xmlns:ds="http://schemas.openxmlformats.org/officeDocument/2006/customXml" ds:itemID="{05C5558A-628F-44C8-9392-91F82A47FF4B}"/>
</file>

<file path=docProps/app.xml><?xml version="1.0" encoding="utf-8"?>
<Properties xmlns="http://schemas.openxmlformats.org/officeDocument/2006/extended-properties" xmlns:vt="http://schemas.openxmlformats.org/officeDocument/2006/docPropsVTypes">
  <Template>Normal.dotm</Template>
  <TotalTime>1</TotalTime>
  <Pages>31</Pages>
  <Words>10853</Words>
  <Characters>61863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National Policy Guidelines for Translocation of Domestic Bait and Berley</vt:lpstr>
    </vt:vector>
  </TitlesOfParts>
  <Company>Department of Agriculture Fisheries &amp; Forestry</Company>
  <LinksUpToDate>false</LinksUpToDate>
  <CharactersWithSpaces>72571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Policy Guidelines for Translocation of Domestic Bait and Berley</dc:title>
  <dc:subject>Aquatic Animal Biosecurity</dc:subject>
  <dc:creator>Sub-Committee on Aquatic Animal Health</dc:creator>
  <cp:keywords>bait, berley, aquaculture, aquatic, translocation, fish, mollusc, crustacean,</cp:keywords>
  <cp:revision>2</cp:revision>
  <cp:lastPrinted>2015-05-14T02:59:00Z</cp:lastPrinted>
  <dcterms:created xsi:type="dcterms:W3CDTF">2015-05-14T03:15:00Z</dcterms:created>
  <dcterms:modified xsi:type="dcterms:W3CDTF">2015-05-14T03:15:00Z</dcterms:modified>
  <cp:category>Aquatic Animal Biosecurity Policy</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-598539657</vt:i4>
  </property>
  <property fmtid="{D5CDD505-2E9C-101B-9397-08002B2CF9AE}" pid="3" name="ContentTypeId">
    <vt:lpwstr>0x01010078F6B24EF29B14488A4D3E054F39A21B</vt:lpwstr>
  </property>
  <property fmtid="{D5CDD505-2E9C-101B-9397-08002B2CF9AE}" pid="4" name="MediaServiceImageTags">
    <vt:lpwstr/>
  </property>
</Properties>
</file>