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5D9C" w14:textId="5BF384FB" w:rsidR="00FE18AA" w:rsidRDefault="00C07CAA" w:rsidP="00197E8A">
      <w:pPr>
        <w:pStyle w:val="BodyText"/>
        <w:spacing w:before="0"/>
      </w:pPr>
      <w:r>
        <w:rPr>
          <w:noProof/>
        </w:rPr>
        <w:drawing>
          <wp:inline distT="0" distB="0" distL="0" distR="0" wp14:anchorId="621C4B96" wp14:editId="2ACC286D">
            <wp:extent cx="2492375" cy="947981"/>
            <wp:effectExtent l="0" t="0" r="0" b="0"/>
            <wp:docPr id="1" name="Picture 1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Agriculture, Fisheries and Forestr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77" cy="95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E876" w14:textId="77777777" w:rsidR="00CE452E" w:rsidRDefault="00CE452E">
      <w:pPr>
        <w:pStyle w:val="DocumentType-Reference"/>
      </w:pPr>
      <w:bookmarkStart w:id="0" w:name="_Toc360193309"/>
      <w:bookmarkStart w:id="1" w:name="_Toc360194608"/>
      <w:bookmarkStart w:id="2" w:name="_Toc360195179"/>
      <w:r>
        <w:t>REFERENCE</w:t>
      </w:r>
    </w:p>
    <w:bookmarkEnd w:id="0"/>
    <w:bookmarkEnd w:id="1"/>
    <w:bookmarkEnd w:id="2"/>
    <w:p w14:paraId="4EDED8F3" w14:textId="63F0BC59" w:rsidR="00996D3F" w:rsidRDefault="00F80A3E">
      <w:pPr>
        <w:pStyle w:val="Heading1"/>
        <w:rPr>
          <w:sz w:val="22"/>
          <w:szCs w:val="22"/>
        </w:rPr>
      </w:pPr>
      <w:r>
        <w:t>Performance standards—Quality system recognition</w:t>
      </w:r>
    </w:p>
    <w:p w14:paraId="5635B333" w14:textId="2576876A" w:rsidR="00CE452E" w:rsidRPr="00996D3F" w:rsidRDefault="00CE452E" w:rsidP="00996D3F">
      <w:pPr>
        <w:pStyle w:val="BodyText"/>
        <w:rPr>
          <w:highlight w:val="yellow"/>
        </w:rPr>
      </w:pPr>
      <w:r>
        <w:br/>
      </w:r>
      <w:r w:rsidR="00310A2B">
        <w:pict w14:anchorId="0EF94F0C">
          <v:rect id="_x0000_i1025" style="width:451.3pt;height:3pt" o:hralign="center" o:hrstd="t" o:hrnoshade="t" o:hr="t" fillcolor="#d5d2ca" stroked="f"/>
        </w:pict>
      </w:r>
    </w:p>
    <w:p w14:paraId="65288BF5" w14:textId="77777777" w:rsidR="00CE452E" w:rsidRDefault="00CE452E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In this document</w:t>
      </w:r>
    </w:p>
    <w:p w14:paraId="6C72100E" w14:textId="77777777" w:rsidR="00CE452E" w:rsidRDefault="00CE452E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3AB41A01" w14:textId="54F91175" w:rsidR="00F80A3E" w:rsidRDefault="00CE452E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r>
        <w:fldChar w:fldCharType="begin"/>
      </w:r>
      <w:r>
        <w:instrText xml:space="preserve"> TOC \h \z \t "Heading 2,1,Heading 3,2,Heading 4,3,Title of document,1" </w:instrText>
      </w:r>
      <w:r>
        <w:fldChar w:fldCharType="separate"/>
      </w:r>
      <w:hyperlink w:anchor="_Toc127794840" w:history="1">
        <w:r w:rsidR="00F80A3E" w:rsidRPr="00552097">
          <w:rPr>
            <w:rStyle w:val="Hyperlink"/>
            <w:noProof/>
          </w:rPr>
          <w:t>Definitions</w:t>
        </w:r>
        <w:r w:rsidR="00F80A3E">
          <w:rPr>
            <w:noProof/>
            <w:webHidden/>
          </w:rPr>
          <w:tab/>
        </w:r>
        <w:r w:rsidR="00F80A3E">
          <w:rPr>
            <w:noProof/>
            <w:webHidden/>
          </w:rPr>
          <w:fldChar w:fldCharType="begin"/>
        </w:r>
        <w:r w:rsidR="00F80A3E">
          <w:rPr>
            <w:noProof/>
            <w:webHidden/>
          </w:rPr>
          <w:instrText xml:space="preserve"> PAGEREF _Toc127794840 \h </w:instrText>
        </w:r>
        <w:r w:rsidR="00F80A3E">
          <w:rPr>
            <w:noProof/>
            <w:webHidden/>
          </w:rPr>
        </w:r>
        <w:r w:rsidR="00F80A3E">
          <w:rPr>
            <w:noProof/>
            <w:webHidden/>
          </w:rPr>
          <w:fldChar w:fldCharType="separate"/>
        </w:r>
        <w:r w:rsidR="00F80A3E">
          <w:rPr>
            <w:noProof/>
            <w:webHidden/>
          </w:rPr>
          <w:t>2</w:t>
        </w:r>
        <w:r w:rsidR="00F80A3E">
          <w:rPr>
            <w:noProof/>
            <w:webHidden/>
          </w:rPr>
          <w:fldChar w:fldCharType="end"/>
        </w:r>
      </w:hyperlink>
    </w:p>
    <w:p w14:paraId="2A5677F9" w14:textId="0CF5ACD3" w:rsidR="00F80A3E" w:rsidRDefault="00310A2B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127794841" w:history="1">
        <w:r w:rsidR="00F80A3E" w:rsidRPr="00552097">
          <w:rPr>
            <w:rStyle w:val="Hyperlink"/>
            <w:noProof/>
          </w:rPr>
          <w:t>Purpose of this document</w:t>
        </w:r>
        <w:r w:rsidR="00F80A3E">
          <w:rPr>
            <w:noProof/>
            <w:webHidden/>
          </w:rPr>
          <w:tab/>
        </w:r>
        <w:r w:rsidR="00F80A3E">
          <w:rPr>
            <w:noProof/>
            <w:webHidden/>
          </w:rPr>
          <w:fldChar w:fldCharType="begin"/>
        </w:r>
        <w:r w:rsidR="00F80A3E">
          <w:rPr>
            <w:noProof/>
            <w:webHidden/>
          </w:rPr>
          <w:instrText xml:space="preserve"> PAGEREF _Toc127794841 \h </w:instrText>
        </w:r>
        <w:r w:rsidR="00F80A3E">
          <w:rPr>
            <w:noProof/>
            <w:webHidden/>
          </w:rPr>
        </w:r>
        <w:r w:rsidR="00F80A3E">
          <w:rPr>
            <w:noProof/>
            <w:webHidden/>
          </w:rPr>
          <w:fldChar w:fldCharType="separate"/>
        </w:r>
        <w:r w:rsidR="00F80A3E">
          <w:rPr>
            <w:noProof/>
            <w:webHidden/>
          </w:rPr>
          <w:t>2</w:t>
        </w:r>
        <w:r w:rsidR="00F80A3E">
          <w:rPr>
            <w:noProof/>
            <w:webHidden/>
          </w:rPr>
          <w:fldChar w:fldCharType="end"/>
        </w:r>
      </w:hyperlink>
    </w:p>
    <w:p w14:paraId="52455C9B" w14:textId="1D191FF8" w:rsidR="00F80A3E" w:rsidRDefault="00310A2B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127794842" w:history="1">
        <w:r w:rsidR="00F80A3E" w:rsidRPr="00552097">
          <w:rPr>
            <w:rStyle w:val="Hyperlink"/>
            <w:noProof/>
          </w:rPr>
          <w:t>Performance standards</w:t>
        </w:r>
        <w:r w:rsidR="00F80A3E">
          <w:rPr>
            <w:noProof/>
            <w:webHidden/>
          </w:rPr>
          <w:tab/>
        </w:r>
        <w:r w:rsidR="00F80A3E">
          <w:rPr>
            <w:noProof/>
            <w:webHidden/>
          </w:rPr>
          <w:fldChar w:fldCharType="begin"/>
        </w:r>
        <w:r w:rsidR="00F80A3E">
          <w:rPr>
            <w:noProof/>
            <w:webHidden/>
          </w:rPr>
          <w:instrText xml:space="preserve"> PAGEREF _Toc127794842 \h </w:instrText>
        </w:r>
        <w:r w:rsidR="00F80A3E">
          <w:rPr>
            <w:noProof/>
            <w:webHidden/>
          </w:rPr>
        </w:r>
        <w:r w:rsidR="00F80A3E">
          <w:rPr>
            <w:noProof/>
            <w:webHidden/>
          </w:rPr>
          <w:fldChar w:fldCharType="separate"/>
        </w:r>
        <w:r w:rsidR="00F80A3E">
          <w:rPr>
            <w:noProof/>
            <w:webHidden/>
          </w:rPr>
          <w:t>3</w:t>
        </w:r>
        <w:r w:rsidR="00F80A3E">
          <w:rPr>
            <w:noProof/>
            <w:webHidden/>
          </w:rPr>
          <w:fldChar w:fldCharType="end"/>
        </w:r>
      </w:hyperlink>
    </w:p>
    <w:p w14:paraId="49FE7548" w14:textId="4D1E1354" w:rsidR="00F80A3E" w:rsidRDefault="00310A2B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127794843" w:history="1">
        <w:r w:rsidR="00F80A3E" w:rsidRPr="00552097">
          <w:rPr>
            <w:rStyle w:val="Hyperlink"/>
            <w:noProof/>
          </w:rPr>
          <w:t>Related material</w:t>
        </w:r>
        <w:r w:rsidR="00F80A3E">
          <w:rPr>
            <w:noProof/>
            <w:webHidden/>
          </w:rPr>
          <w:tab/>
        </w:r>
        <w:r w:rsidR="00F80A3E">
          <w:rPr>
            <w:noProof/>
            <w:webHidden/>
          </w:rPr>
          <w:fldChar w:fldCharType="begin"/>
        </w:r>
        <w:r w:rsidR="00F80A3E">
          <w:rPr>
            <w:noProof/>
            <w:webHidden/>
          </w:rPr>
          <w:instrText xml:space="preserve"> PAGEREF _Toc127794843 \h </w:instrText>
        </w:r>
        <w:r w:rsidR="00F80A3E">
          <w:rPr>
            <w:noProof/>
            <w:webHidden/>
          </w:rPr>
        </w:r>
        <w:r w:rsidR="00F80A3E">
          <w:rPr>
            <w:noProof/>
            <w:webHidden/>
          </w:rPr>
          <w:fldChar w:fldCharType="separate"/>
        </w:r>
        <w:r w:rsidR="00F80A3E">
          <w:rPr>
            <w:noProof/>
            <w:webHidden/>
          </w:rPr>
          <w:t>5</w:t>
        </w:r>
        <w:r w:rsidR="00F80A3E">
          <w:rPr>
            <w:noProof/>
            <w:webHidden/>
          </w:rPr>
          <w:fldChar w:fldCharType="end"/>
        </w:r>
      </w:hyperlink>
    </w:p>
    <w:p w14:paraId="41E6363B" w14:textId="2CA3E03D" w:rsidR="00F80A3E" w:rsidRDefault="00310A2B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127794844" w:history="1">
        <w:r w:rsidR="00F80A3E" w:rsidRPr="00552097">
          <w:rPr>
            <w:rStyle w:val="Hyperlink"/>
            <w:noProof/>
          </w:rPr>
          <w:t>Document information</w:t>
        </w:r>
        <w:r w:rsidR="00F80A3E">
          <w:rPr>
            <w:noProof/>
            <w:webHidden/>
          </w:rPr>
          <w:tab/>
        </w:r>
        <w:r w:rsidR="00F80A3E">
          <w:rPr>
            <w:noProof/>
            <w:webHidden/>
          </w:rPr>
          <w:fldChar w:fldCharType="begin"/>
        </w:r>
        <w:r w:rsidR="00F80A3E">
          <w:rPr>
            <w:noProof/>
            <w:webHidden/>
          </w:rPr>
          <w:instrText xml:space="preserve"> PAGEREF _Toc127794844 \h </w:instrText>
        </w:r>
        <w:r w:rsidR="00F80A3E">
          <w:rPr>
            <w:noProof/>
            <w:webHidden/>
          </w:rPr>
        </w:r>
        <w:r w:rsidR="00F80A3E">
          <w:rPr>
            <w:noProof/>
            <w:webHidden/>
          </w:rPr>
          <w:fldChar w:fldCharType="separate"/>
        </w:r>
        <w:r w:rsidR="00F80A3E">
          <w:rPr>
            <w:noProof/>
            <w:webHidden/>
          </w:rPr>
          <w:t>5</w:t>
        </w:r>
        <w:r w:rsidR="00F80A3E">
          <w:rPr>
            <w:noProof/>
            <w:webHidden/>
          </w:rPr>
          <w:fldChar w:fldCharType="end"/>
        </w:r>
      </w:hyperlink>
    </w:p>
    <w:p w14:paraId="37BB3E90" w14:textId="1256735B" w:rsidR="00F80A3E" w:rsidRDefault="00310A2B">
      <w:pPr>
        <w:pStyle w:val="TOC1"/>
        <w:rPr>
          <w:rFonts w:asciiTheme="minorHAnsi" w:eastAsiaTheme="minorEastAsia" w:hAnsiTheme="minorHAnsi" w:cstheme="minorBidi"/>
          <w:noProof/>
          <w:lang w:val="en-AU" w:eastAsia="en-AU"/>
        </w:rPr>
      </w:pPr>
      <w:hyperlink w:anchor="_Toc127794845" w:history="1">
        <w:r w:rsidR="00F80A3E" w:rsidRPr="00552097">
          <w:rPr>
            <w:rStyle w:val="Hyperlink"/>
            <w:noProof/>
          </w:rPr>
          <w:t>Version history</w:t>
        </w:r>
        <w:r w:rsidR="00F80A3E">
          <w:rPr>
            <w:noProof/>
            <w:webHidden/>
          </w:rPr>
          <w:tab/>
        </w:r>
        <w:r w:rsidR="00F80A3E">
          <w:rPr>
            <w:noProof/>
            <w:webHidden/>
          </w:rPr>
          <w:fldChar w:fldCharType="begin"/>
        </w:r>
        <w:r w:rsidR="00F80A3E">
          <w:rPr>
            <w:noProof/>
            <w:webHidden/>
          </w:rPr>
          <w:instrText xml:space="preserve"> PAGEREF _Toc127794845 \h </w:instrText>
        </w:r>
        <w:r w:rsidR="00F80A3E">
          <w:rPr>
            <w:noProof/>
            <w:webHidden/>
          </w:rPr>
        </w:r>
        <w:r w:rsidR="00F80A3E">
          <w:rPr>
            <w:noProof/>
            <w:webHidden/>
          </w:rPr>
          <w:fldChar w:fldCharType="separate"/>
        </w:r>
        <w:r w:rsidR="00F80A3E">
          <w:rPr>
            <w:noProof/>
            <w:webHidden/>
          </w:rPr>
          <w:t>5</w:t>
        </w:r>
        <w:r w:rsidR="00F80A3E">
          <w:rPr>
            <w:noProof/>
            <w:webHidden/>
          </w:rPr>
          <w:fldChar w:fldCharType="end"/>
        </w:r>
      </w:hyperlink>
    </w:p>
    <w:p w14:paraId="05255033" w14:textId="255BFEF1" w:rsidR="00F80A3E" w:rsidRDefault="00CE452E" w:rsidP="00F80A3E">
      <w:pPr>
        <w:pStyle w:val="BodyText"/>
        <w:rPr>
          <w:lang w:val="en-US"/>
        </w:rPr>
      </w:pPr>
      <w:r>
        <w:rPr>
          <w:lang w:val="en-US"/>
        </w:rPr>
        <w:fldChar w:fldCharType="end"/>
      </w:r>
      <w:bookmarkStart w:id="3" w:name="_Toc381014281"/>
      <w:r w:rsidR="00F80A3E">
        <w:rPr>
          <w:lang w:val="en-US"/>
        </w:rPr>
        <w:br w:type="page"/>
      </w:r>
    </w:p>
    <w:p w14:paraId="279FDE31" w14:textId="77777777" w:rsidR="00F80A3E" w:rsidRDefault="00F80A3E" w:rsidP="00F80A3E">
      <w:pPr>
        <w:pStyle w:val="Heading2"/>
      </w:pPr>
      <w:bookmarkStart w:id="4" w:name="_Toc114476585"/>
      <w:bookmarkStart w:id="5" w:name="_Toc127794840"/>
      <w:r w:rsidRPr="005A2378">
        <w:lastRenderedPageBreak/>
        <w:t>Definitions</w:t>
      </w:r>
      <w:bookmarkEnd w:id="4"/>
      <w:bookmarkEnd w:id="5"/>
    </w:p>
    <w:p w14:paraId="3B1BCDAD" w14:textId="77777777" w:rsidR="00F80A3E" w:rsidRPr="0024791F" w:rsidRDefault="00F80A3E" w:rsidP="00F80A3E">
      <w:pPr>
        <w:pStyle w:val="BodyText"/>
      </w:pPr>
      <w:r>
        <w:t>The following table defines terms used in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erms and definitions"/>
      </w:tblPr>
      <w:tblGrid>
        <w:gridCol w:w="2268"/>
        <w:gridCol w:w="6746"/>
      </w:tblGrid>
      <w:tr w:rsidR="00F80A3E" w14:paraId="73B6E6D5" w14:textId="77777777" w:rsidTr="00331AAD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34AE3174" w14:textId="77777777" w:rsidR="00F80A3E" w:rsidRDefault="00F80A3E" w:rsidP="00331AAD">
            <w:pPr>
              <w:pStyle w:val="Tableheadings"/>
            </w:pPr>
            <w:r>
              <w:t>Term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9ABED2F" w14:textId="77777777" w:rsidR="00F80A3E" w:rsidRDefault="00F80A3E" w:rsidP="00331AAD">
            <w:pPr>
              <w:pStyle w:val="Tableheadings"/>
            </w:pPr>
            <w:r>
              <w:t>Definition</w:t>
            </w:r>
          </w:p>
        </w:tc>
      </w:tr>
      <w:tr w:rsidR="00F80A3E" w14:paraId="57324275" w14:textId="77777777" w:rsidTr="00331AA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C27383" w14:textId="77777777" w:rsidR="00F80A3E" w:rsidRDefault="00F80A3E" w:rsidP="00331AAD">
            <w:r>
              <w:t>Activity categories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20D6456E" w14:textId="4E3E36AF" w:rsidR="00F80A3E" w:rsidRDefault="00F80A3E" w:rsidP="00331AAD">
            <w:r w:rsidRPr="000A3CF6">
              <w:rPr>
                <w:lang w:val="en-US"/>
              </w:rPr>
              <w:t xml:space="preserve">Requirements from the </w:t>
            </w:r>
            <w:r w:rsidR="001753F6">
              <w:rPr>
                <w:lang w:val="en-US"/>
              </w:rPr>
              <w:t>Departmental Policy</w:t>
            </w:r>
            <w:r w:rsidRPr="000A3CF6">
              <w:rPr>
                <w:lang w:val="en-US"/>
              </w:rPr>
              <w:t xml:space="preserve">: </w:t>
            </w:r>
            <w:hyperlink w:anchor="_Related_material" w:history="1">
              <w:r w:rsidRPr="00BB6ACB">
                <w:rPr>
                  <w:rStyle w:val="Hyperlink"/>
                </w:rPr>
                <w:t>Management of plant export registered establishments</w:t>
              </w:r>
            </w:hyperlink>
            <w:r w:rsidRPr="000A3CF6">
              <w:rPr>
                <w:lang w:val="en-US"/>
              </w:rPr>
              <w:t xml:space="preserve"> grouped by activity. </w:t>
            </w:r>
          </w:p>
        </w:tc>
      </w:tr>
      <w:tr w:rsidR="00F80A3E" w14:paraId="01DC7344" w14:textId="77777777" w:rsidTr="00331AA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2C76DE" w14:textId="77777777" w:rsidR="00F80A3E" w:rsidRDefault="00F80A3E" w:rsidP="00331AAD">
            <w:r>
              <w:t>Checklist item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4AD8FFDC" w14:textId="77777777" w:rsidR="00F80A3E" w:rsidRDefault="00F80A3E" w:rsidP="00331AAD">
            <w:r w:rsidRPr="000A3CF6">
              <w:rPr>
                <w:lang w:val="en-US"/>
              </w:rPr>
              <w:t>Requirements under the activity category that have been grouped by function and assigned a non-compliance rating/s.</w:t>
            </w:r>
          </w:p>
        </w:tc>
      </w:tr>
      <w:tr w:rsidR="00F80A3E" w14:paraId="3976AE5A" w14:textId="77777777" w:rsidTr="00331AA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3EB11A" w14:textId="77777777" w:rsidR="00F80A3E" w:rsidRDefault="00F80A3E" w:rsidP="00331AAD">
            <w:r>
              <w:t>Documented system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5D1CEB2B" w14:textId="77777777" w:rsidR="00F80A3E" w:rsidRDefault="00F80A3E" w:rsidP="00331AAD">
            <w:r w:rsidRPr="000A3CF6">
              <w:rPr>
                <w:lang w:val="en-US"/>
              </w:rPr>
              <w:t>A written process or procedure that defines the steps in a process and who is responsible for those steps. This includes the records used to confirm the process is being followed.</w:t>
            </w:r>
          </w:p>
        </w:tc>
      </w:tr>
      <w:tr w:rsidR="00F80A3E" w14:paraId="7875C84F" w14:textId="77777777" w:rsidTr="00331AA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0B8259" w14:textId="77777777" w:rsidR="00F80A3E" w:rsidRDefault="00F80A3E" w:rsidP="00331AAD">
            <w:r>
              <w:t>Goods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69944707" w14:textId="77777777" w:rsidR="00F80A3E" w:rsidRPr="00B304DF" w:rsidRDefault="00F80A3E" w:rsidP="00331AAD">
            <w:r>
              <w:t xml:space="preserve">Goods declared by the regulations to be prescribed goods for the purposes of the </w:t>
            </w:r>
            <w:r w:rsidRPr="00CE0A1E">
              <w:rPr>
                <w:i/>
                <w:iCs/>
              </w:rPr>
              <w:t>Export Control Act 2020</w:t>
            </w:r>
            <w:r>
              <w:t>.</w:t>
            </w:r>
          </w:p>
        </w:tc>
      </w:tr>
      <w:tr w:rsidR="00F80A3E" w14:paraId="600C208F" w14:textId="77777777" w:rsidTr="00331AA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9266B3" w14:textId="77777777" w:rsidR="00F80A3E" w:rsidRDefault="00F80A3E" w:rsidP="00331AAD">
            <w:r>
              <w:t>Non-compliance rating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607ABF5C" w14:textId="77777777" w:rsidR="00F80A3E" w:rsidRDefault="00F80A3E" w:rsidP="00331AAD">
            <w:r>
              <w:t xml:space="preserve">Ratings of minor, major and critical applied to a non-compliance to indicate the degree of seriousness. </w:t>
            </w:r>
          </w:p>
        </w:tc>
      </w:tr>
      <w:tr w:rsidR="00F80A3E" w14:paraId="6E28AA14" w14:textId="77777777" w:rsidTr="00331AAD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49FC9E" w14:textId="77777777" w:rsidR="00F80A3E" w:rsidRDefault="00F80A3E" w:rsidP="00331AAD">
            <w:r>
              <w:t>Performance standards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4D6D1E1A" w14:textId="77777777" w:rsidR="00F80A3E" w:rsidRDefault="00F80A3E" w:rsidP="00331AAD">
            <w:r w:rsidRPr="000A3CF6">
              <w:t>A benchmark derived from legislation and departmental requirements against which actual performance is measured.</w:t>
            </w:r>
          </w:p>
        </w:tc>
      </w:tr>
    </w:tbl>
    <w:p w14:paraId="2911AAEB" w14:textId="77777777" w:rsidR="00F80A3E" w:rsidRPr="00C759A9" w:rsidRDefault="00F80A3E" w:rsidP="00F80A3E">
      <w:pPr>
        <w:pStyle w:val="Heading2"/>
        <w:rPr>
          <w:lang w:val="en-US"/>
        </w:rPr>
      </w:pPr>
      <w:bookmarkStart w:id="6" w:name="_Toc114476586"/>
      <w:bookmarkStart w:id="7" w:name="_Toc127794841"/>
      <w:r w:rsidRPr="00C759A9">
        <w:rPr>
          <w:lang w:val="en-US"/>
        </w:rPr>
        <w:t>Purpose of this document</w:t>
      </w:r>
      <w:bookmarkEnd w:id="6"/>
      <w:bookmarkEnd w:id="7"/>
    </w:p>
    <w:p w14:paraId="25D6B158" w14:textId="77777777" w:rsidR="00F80A3E" w:rsidRPr="00C759A9" w:rsidRDefault="00F80A3E" w:rsidP="00F80A3E">
      <w:pPr>
        <w:pStyle w:val="BodyText"/>
        <w:rPr>
          <w:bCs/>
        </w:rPr>
      </w:pPr>
      <w:r w:rsidRPr="00C759A9">
        <w:rPr>
          <w:bCs/>
        </w:rPr>
        <w:t>This document:</w:t>
      </w:r>
    </w:p>
    <w:p w14:paraId="385E4ABF" w14:textId="77777777" w:rsidR="00F80A3E" w:rsidRPr="00F80A3E" w:rsidRDefault="00F80A3E" w:rsidP="00F80A3E">
      <w:pPr>
        <w:pStyle w:val="ListBullet"/>
        <w:numPr>
          <w:ilvl w:val="0"/>
          <w:numId w:val="21"/>
        </w:numPr>
        <w:spacing w:before="120"/>
      </w:pPr>
      <w:r w:rsidRPr="00F80A3E">
        <w:t>outlines the performance standards a Quality Systems Recognition (QSR) operation must meet to maintain registration</w:t>
      </w:r>
      <w:r w:rsidRPr="00F80A3E">
        <w:rPr>
          <w:szCs w:val="22"/>
        </w:rPr>
        <w:t>.</w:t>
      </w:r>
    </w:p>
    <w:p w14:paraId="146649B2" w14:textId="77777777" w:rsidR="00F80A3E" w:rsidRPr="00C759A9" w:rsidRDefault="00F80A3E" w:rsidP="00F80A3E">
      <w:pPr>
        <w:pStyle w:val="ListBullet"/>
        <w:numPr>
          <w:ilvl w:val="0"/>
          <w:numId w:val="21"/>
        </w:numPr>
        <w:spacing w:before="120"/>
      </w:pPr>
      <w:r w:rsidRPr="00C759A9">
        <w:t xml:space="preserve">sets the non-compliance ratings for those performance </w:t>
      </w:r>
      <w:proofErr w:type="gramStart"/>
      <w:r w:rsidRPr="00C759A9">
        <w:t>standards</w:t>
      </w:r>
      <w:proofErr w:type="gramEnd"/>
    </w:p>
    <w:p w14:paraId="3325F001" w14:textId="77777777" w:rsidR="00F80A3E" w:rsidRPr="00C759A9" w:rsidRDefault="00F80A3E" w:rsidP="00BB6ACB">
      <w:pPr>
        <w:pStyle w:val="BodyText"/>
      </w:pPr>
      <w:r w:rsidRPr="00C759A9">
        <w:rPr>
          <w:b/>
          <w:bCs/>
        </w:rPr>
        <w:t xml:space="preserve">Note: </w:t>
      </w:r>
      <w:r w:rsidRPr="00C759A9">
        <w:t>Where more than one non-compliance rating is provided, the auditor can choose the rating depending on the severity of the non-compliance.</w:t>
      </w:r>
    </w:p>
    <w:p w14:paraId="517534FF" w14:textId="77777777" w:rsidR="00F80A3E" w:rsidRPr="00C759A9" w:rsidRDefault="00F80A3E" w:rsidP="00F80A3E">
      <w:pPr>
        <w:pStyle w:val="ListBullet"/>
        <w:numPr>
          <w:ilvl w:val="0"/>
          <w:numId w:val="21"/>
        </w:numPr>
        <w:spacing w:before="120"/>
      </w:pPr>
      <w:r w:rsidRPr="00C759A9">
        <w:t>does not replace the base performance standards for a registered establishment.</w:t>
      </w:r>
    </w:p>
    <w:p w14:paraId="187F044A" w14:textId="43C4B7A2" w:rsidR="00F80A3E" w:rsidRDefault="00F80A3E" w:rsidP="00F80A3E">
      <w:pPr>
        <w:pStyle w:val="ListBullet"/>
        <w:numPr>
          <w:ilvl w:val="0"/>
          <w:numId w:val="21"/>
        </w:numPr>
        <w:spacing w:before="120"/>
      </w:pPr>
      <w:r w:rsidRPr="00C759A9">
        <w:t>must be read in conjunction with</w:t>
      </w:r>
      <w:r>
        <w:t xml:space="preserve"> the</w:t>
      </w:r>
    </w:p>
    <w:p w14:paraId="59834428" w14:textId="77777777" w:rsidR="00B36DEC" w:rsidRPr="00BB6ACB" w:rsidRDefault="00B36DEC" w:rsidP="00F80A3E">
      <w:pPr>
        <w:pStyle w:val="ListBullet"/>
        <w:numPr>
          <w:ilvl w:val="0"/>
          <w:numId w:val="22"/>
        </w:numPr>
        <w:spacing w:before="120"/>
        <w:rPr>
          <w:rStyle w:val="Hyperlink"/>
          <w:color w:val="auto"/>
          <w:u w:val="none"/>
        </w:rPr>
      </w:pPr>
      <w:r>
        <w:t xml:space="preserve">Departmental Policy: </w:t>
      </w:r>
      <w:hyperlink w:anchor="_Related_material" w:history="1">
        <w:r w:rsidRPr="00BB6ACB">
          <w:rPr>
            <w:rStyle w:val="Hyperlink"/>
          </w:rPr>
          <w:t>Management of plant export registered establishments</w:t>
        </w:r>
      </w:hyperlink>
    </w:p>
    <w:p w14:paraId="5BD442B4" w14:textId="168D3BB4" w:rsidR="00F80A3E" w:rsidRDefault="00A9676F" w:rsidP="00F80A3E">
      <w:pPr>
        <w:pStyle w:val="ListBullet"/>
        <w:numPr>
          <w:ilvl w:val="0"/>
          <w:numId w:val="22"/>
        </w:numPr>
        <w:spacing w:before="120"/>
      </w:pPr>
      <w:r>
        <w:t xml:space="preserve">Guideline: </w:t>
      </w:r>
      <w:hyperlink w:anchor="_Related_material" w:history="1">
        <w:r>
          <w:rPr>
            <w:rStyle w:val="Hyperlink"/>
          </w:rPr>
          <w:t>Quality System Recognition of highly processed plant products for export</w:t>
        </w:r>
      </w:hyperlink>
      <w:r w:rsidR="00F80A3E">
        <w:t xml:space="preserve"> (the QSR Guideline)</w:t>
      </w:r>
    </w:p>
    <w:p w14:paraId="6A1C21D4" w14:textId="126161A4" w:rsidR="00B36DEC" w:rsidRDefault="00B36DEC" w:rsidP="00F80A3E">
      <w:pPr>
        <w:pStyle w:val="ListBullet"/>
        <w:numPr>
          <w:ilvl w:val="0"/>
          <w:numId w:val="22"/>
        </w:numPr>
        <w:spacing w:before="120"/>
      </w:pPr>
      <w:r w:rsidRPr="00C759A9">
        <w:t xml:space="preserve">Guideline: </w:t>
      </w:r>
      <w:hyperlink w:anchor="_Related_material" w:history="1">
        <w:r w:rsidRPr="00BB6ACB">
          <w:rPr>
            <w:rStyle w:val="Hyperlink"/>
          </w:rPr>
          <w:t>Audit of plant export registered establishments</w:t>
        </w:r>
      </w:hyperlink>
      <w:r>
        <w:rPr>
          <w:rStyle w:val="Hyperlink"/>
          <w:i/>
        </w:rPr>
        <w:t xml:space="preserve"> </w:t>
      </w:r>
      <w:r w:rsidRPr="00C759A9">
        <w:t>and</w:t>
      </w:r>
    </w:p>
    <w:p w14:paraId="790FD997" w14:textId="77777777" w:rsidR="00F80A3E" w:rsidRDefault="00F80A3E" w:rsidP="00F80A3E">
      <w:pPr>
        <w:pStyle w:val="ListBullet"/>
        <w:numPr>
          <w:ilvl w:val="0"/>
          <w:numId w:val="22"/>
        </w:numPr>
        <w:spacing w:before="120"/>
      </w:pPr>
      <w:r>
        <w:t>relevant commodity instructional material (Guidelines and Work Instructions).</w:t>
      </w:r>
    </w:p>
    <w:p w14:paraId="67287F3B" w14:textId="77777777" w:rsidR="00F80A3E" w:rsidRDefault="00F80A3E" w:rsidP="00BB6ACB">
      <w:pPr>
        <w:pStyle w:val="ListBullet"/>
        <w:numPr>
          <w:ilvl w:val="0"/>
          <w:numId w:val="25"/>
        </w:numPr>
        <w:spacing w:before="120"/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14:paraId="17A5E728" w14:textId="77777777" w:rsidR="00F80A3E" w:rsidRPr="00C759A9" w:rsidRDefault="00F80A3E" w:rsidP="00F80A3E">
      <w:pPr>
        <w:pStyle w:val="Heading2"/>
        <w:rPr>
          <w:lang w:val="en-US"/>
        </w:rPr>
      </w:pPr>
      <w:bookmarkStart w:id="8" w:name="_Toc114476587"/>
      <w:bookmarkStart w:id="9" w:name="_Toc127794842"/>
      <w:r w:rsidRPr="00C759A9">
        <w:rPr>
          <w:lang w:val="en-US"/>
        </w:rPr>
        <w:lastRenderedPageBreak/>
        <w:t>Performance standards</w:t>
      </w:r>
      <w:bookmarkEnd w:id="8"/>
      <w:bookmarkEnd w:id="9"/>
    </w:p>
    <w:p w14:paraId="52A1B283" w14:textId="77777777" w:rsidR="00F80A3E" w:rsidRPr="00C759A9" w:rsidRDefault="00F80A3E" w:rsidP="00F80A3E">
      <w:pPr>
        <w:pStyle w:val="BodyText"/>
      </w:pPr>
      <w:r w:rsidRPr="00C759A9">
        <w:t>The following table describes the performance standards and non-compliance ratings for Quality Systems Recognition.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94"/>
        <w:gridCol w:w="2359"/>
      </w:tblGrid>
      <w:tr w:rsidR="00B36DEC" w:rsidRPr="00CE1311" w14:paraId="3A837539" w14:textId="77777777" w:rsidTr="00BB6ACB">
        <w:trPr>
          <w:cantSplit/>
        </w:trPr>
        <w:tc>
          <w:tcPr>
            <w:tcW w:w="5000" w:type="pct"/>
            <w:gridSpan w:val="3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7AAC2E91" w14:textId="77777777" w:rsidR="00B36DEC" w:rsidRPr="00CE1311" w:rsidRDefault="00B36DEC" w:rsidP="00217F7F">
            <w:pPr>
              <w:rPr>
                <w:highlight w:val="yellow"/>
                <w:lang w:val="en-US"/>
              </w:rPr>
            </w:pPr>
            <w:r w:rsidRPr="008E1855">
              <w:rPr>
                <w:rFonts w:asciiTheme="minorHAnsi" w:hAnsiTheme="minorHAnsi" w:cstheme="minorHAnsi"/>
                <w:b/>
              </w:rPr>
              <w:t>Record keeping</w:t>
            </w:r>
          </w:p>
        </w:tc>
      </w:tr>
      <w:tr w:rsidR="00F80A3E" w:rsidRPr="00CE1311" w14:paraId="5C02BE3B" w14:textId="77777777" w:rsidTr="00BB6ACB">
        <w:trPr>
          <w:cantSplit/>
          <w:tblHeader/>
        </w:trPr>
        <w:tc>
          <w:tcPr>
            <w:tcW w:w="1255" w:type="pct"/>
            <w:tcBorders>
              <w:top w:val="single" w:sz="4" w:space="0" w:color="FFFFFF" w:themeColor="background1"/>
              <w:right w:val="single" w:sz="4" w:space="0" w:color="FFFFFF"/>
            </w:tcBorders>
            <w:shd w:val="clear" w:color="auto" w:fill="000000"/>
          </w:tcPr>
          <w:p w14:paraId="204A2249" w14:textId="77777777" w:rsidR="00F80A3E" w:rsidRPr="00C759A9" w:rsidRDefault="00F80A3E" w:rsidP="00331AAD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Checklist items</w:t>
            </w:r>
          </w:p>
        </w:tc>
        <w:tc>
          <w:tcPr>
            <w:tcW w:w="2437" w:type="pct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57120410" w14:textId="77777777" w:rsidR="00F80A3E" w:rsidRPr="00C759A9" w:rsidRDefault="00F80A3E" w:rsidP="00331AAD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Performance standards</w:t>
            </w:r>
          </w:p>
        </w:tc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000000"/>
          </w:tcPr>
          <w:p w14:paraId="6932C6D5" w14:textId="77777777" w:rsidR="00F80A3E" w:rsidRPr="00C759A9" w:rsidRDefault="00F80A3E" w:rsidP="00331AAD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Non-compliance rating</w:t>
            </w:r>
          </w:p>
        </w:tc>
      </w:tr>
      <w:tr w:rsidR="00F80A3E" w:rsidRPr="00CE1311" w14:paraId="6FB92FA4" w14:textId="77777777" w:rsidTr="00BB6ACB">
        <w:trPr>
          <w:cantSplit/>
        </w:trPr>
        <w:tc>
          <w:tcPr>
            <w:tcW w:w="1255" w:type="pct"/>
          </w:tcPr>
          <w:p w14:paraId="7A38897F" w14:textId="77777777" w:rsidR="00F80A3E" w:rsidRPr="00CB7614" w:rsidRDefault="00F80A3E" w:rsidP="00331AAD">
            <w:pPr>
              <w:rPr>
                <w:lang w:val="en-US"/>
              </w:rPr>
            </w:pPr>
            <w:r w:rsidRPr="00CB7614">
              <w:rPr>
                <w:lang w:val="en-US"/>
              </w:rPr>
              <w:t>1.1</w:t>
            </w:r>
            <w:r w:rsidRPr="00CB7614">
              <w:rPr>
                <w:rFonts w:asciiTheme="minorHAnsi" w:hAnsiTheme="minorHAnsi" w:cstheme="minorHAnsi"/>
                <w:b/>
              </w:rPr>
              <w:t xml:space="preserve"> Quality system</w:t>
            </w:r>
            <w:r>
              <w:rPr>
                <w:rFonts w:asciiTheme="minorHAnsi" w:hAnsiTheme="minorHAnsi" w:cstheme="minorHAnsi"/>
                <w:b/>
              </w:rPr>
              <w:t xml:space="preserve"> audit</w:t>
            </w:r>
            <w:r w:rsidRPr="00CB7614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437" w:type="pct"/>
          </w:tcPr>
          <w:p w14:paraId="65FFD2A8" w14:textId="77777777" w:rsidR="00F80A3E" w:rsidRDefault="00F80A3E" w:rsidP="00BB6ACB">
            <w:pPr>
              <w:pStyle w:val="ListBullet"/>
              <w:numPr>
                <w:ilvl w:val="0"/>
                <w:numId w:val="0"/>
              </w:numPr>
              <w:ind w:left="284" w:hanging="284"/>
            </w:pPr>
            <w:r>
              <w:t>The occupier must:</w:t>
            </w:r>
          </w:p>
          <w:p w14:paraId="22416B3F" w14:textId="3ED1DD6B" w:rsidR="00F80A3E" w:rsidRDefault="00F80A3E" w:rsidP="00F80A3E">
            <w:pPr>
              <w:pStyle w:val="ListBullet"/>
              <w:numPr>
                <w:ilvl w:val="0"/>
                <w:numId w:val="23"/>
              </w:numPr>
              <w:spacing w:before="120"/>
            </w:pPr>
            <w:r>
              <w:t xml:space="preserve">provide previous QMS audit reports and results/outcomes from previous audit date (at first audit, occupier to provide </w:t>
            </w:r>
            <w:r w:rsidR="00A9676F">
              <w:t xml:space="preserve">2 </w:t>
            </w:r>
            <w:r>
              <w:t xml:space="preserve">years of </w:t>
            </w:r>
            <w:proofErr w:type="gramStart"/>
            <w:r w:rsidR="00A9676F">
              <w:t xml:space="preserve">third </w:t>
            </w:r>
            <w:r>
              <w:t>party</w:t>
            </w:r>
            <w:proofErr w:type="gramEnd"/>
            <w:r>
              <w:t xml:space="preserve"> audit reports and results)</w:t>
            </w:r>
          </w:p>
          <w:p w14:paraId="42BC1F29" w14:textId="5D8965E0" w:rsidR="00F80A3E" w:rsidRDefault="00F80A3E" w:rsidP="00F80A3E">
            <w:pPr>
              <w:pStyle w:val="ListBullet"/>
              <w:numPr>
                <w:ilvl w:val="0"/>
                <w:numId w:val="23"/>
              </w:numPr>
              <w:spacing w:before="120"/>
            </w:pPr>
            <w:r>
              <w:t xml:space="preserve">provide the </w:t>
            </w:r>
            <w:r w:rsidRPr="00C95ADD">
              <w:t xml:space="preserve">existing </w:t>
            </w:r>
            <w:proofErr w:type="gramStart"/>
            <w:r w:rsidR="00A9676F">
              <w:t>third</w:t>
            </w:r>
            <w:r w:rsidR="00A9676F" w:rsidRPr="00C95ADD">
              <w:t xml:space="preserve"> </w:t>
            </w:r>
            <w:r w:rsidRPr="00C95ADD">
              <w:t>party</w:t>
            </w:r>
            <w:proofErr w:type="gramEnd"/>
            <w:r w:rsidRPr="00C95ADD">
              <w:t xml:space="preserve"> audit schedule and confirm </w:t>
            </w:r>
            <w:r w:rsidR="00A9676F">
              <w:t>third</w:t>
            </w:r>
            <w:r w:rsidR="00A9676F" w:rsidRPr="00C95ADD">
              <w:t xml:space="preserve"> </w:t>
            </w:r>
            <w:r w:rsidRPr="00C95ADD">
              <w:t>party audits have taken place</w:t>
            </w:r>
          </w:p>
          <w:p w14:paraId="4604487A" w14:textId="669EF439" w:rsidR="00F80A3E" w:rsidRDefault="00F80A3E" w:rsidP="00F80A3E">
            <w:pPr>
              <w:pStyle w:val="ListBullet"/>
              <w:numPr>
                <w:ilvl w:val="0"/>
                <w:numId w:val="23"/>
              </w:numPr>
              <w:spacing w:before="120"/>
            </w:pPr>
            <w:r>
              <w:t xml:space="preserve">provide written submissions to the department if there are any Corrective Action Requests issued because of </w:t>
            </w:r>
            <w:r w:rsidR="00A9676F">
              <w:t xml:space="preserve">third </w:t>
            </w:r>
            <w:r>
              <w:t>party audit outcomes—submissions must outline how the establishment is managing the corrective action.</w:t>
            </w:r>
          </w:p>
        </w:tc>
        <w:tc>
          <w:tcPr>
            <w:tcW w:w="1308" w:type="pct"/>
          </w:tcPr>
          <w:p w14:paraId="2D5D4F55" w14:textId="77777777" w:rsidR="00F80A3E" w:rsidRPr="00AB1676" w:rsidRDefault="00F80A3E" w:rsidP="00331AAD">
            <w:pPr>
              <w:rPr>
                <w:lang w:val="en-US"/>
              </w:rPr>
            </w:pPr>
            <w:r w:rsidRPr="00AB1676">
              <w:rPr>
                <w:lang w:val="en-US"/>
              </w:rPr>
              <w:t>Critical</w:t>
            </w:r>
          </w:p>
        </w:tc>
      </w:tr>
      <w:tr w:rsidR="00F80A3E" w:rsidRPr="00CE1311" w14:paraId="102A954A" w14:textId="77777777" w:rsidTr="00BB6ACB">
        <w:trPr>
          <w:cantSplit/>
        </w:trPr>
        <w:tc>
          <w:tcPr>
            <w:tcW w:w="1255" w:type="pct"/>
          </w:tcPr>
          <w:p w14:paraId="2E659686" w14:textId="77777777" w:rsidR="00F80A3E" w:rsidRPr="00CB7614" w:rsidRDefault="00F80A3E" w:rsidP="00331AAD">
            <w:pPr>
              <w:pStyle w:val="ListParagraph"/>
              <w:numPr>
                <w:ilvl w:val="1"/>
                <w:numId w:val="20"/>
              </w:numPr>
              <w:rPr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Organisation chart</w:t>
            </w:r>
          </w:p>
        </w:tc>
        <w:tc>
          <w:tcPr>
            <w:tcW w:w="2437" w:type="pct"/>
          </w:tcPr>
          <w:p w14:paraId="230A2244" w14:textId="77777777" w:rsidR="00A9676F" w:rsidRDefault="00F80A3E" w:rsidP="00A9676F">
            <w:pPr>
              <w:pStyle w:val="ListBullet"/>
              <w:numPr>
                <w:ilvl w:val="0"/>
                <w:numId w:val="0"/>
              </w:numPr>
              <w:spacing w:before="0" w:after="0"/>
              <w:ind w:left="284" w:hanging="284"/>
              <w:rPr>
                <w:lang w:val="en-US"/>
              </w:rPr>
            </w:pPr>
            <w:r w:rsidRPr="00F80A3E">
              <w:rPr>
                <w:lang w:val="en-US"/>
              </w:rPr>
              <w:t>The occupier must</w:t>
            </w:r>
            <w:r w:rsidR="00A9676F">
              <w:rPr>
                <w:lang w:val="en-US"/>
              </w:rPr>
              <w:t>:</w:t>
            </w:r>
          </w:p>
          <w:p w14:paraId="0A4C548C" w14:textId="7B0C19DA" w:rsidR="00F80A3E" w:rsidRPr="00BB6ACB" w:rsidRDefault="00F80A3E" w:rsidP="00BB6ACB">
            <w:pPr>
              <w:pStyle w:val="ListBullet"/>
            </w:pPr>
            <w:r w:rsidRPr="00BB6ACB">
              <w:t>demonstrate that the organisational chart is current, showing key positions and occupants involved in the establishment.</w:t>
            </w:r>
          </w:p>
        </w:tc>
        <w:tc>
          <w:tcPr>
            <w:tcW w:w="1308" w:type="pct"/>
          </w:tcPr>
          <w:p w14:paraId="2D542560" w14:textId="77777777" w:rsidR="00F80A3E" w:rsidRPr="00CE1311" w:rsidRDefault="00F80A3E" w:rsidP="00331AAD">
            <w:pPr>
              <w:rPr>
                <w:highlight w:val="yellow"/>
                <w:lang w:val="en-US"/>
              </w:rPr>
            </w:pPr>
            <w:r w:rsidRPr="00AB1676">
              <w:rPr>
                <w:lang w:val="en-US"/>
              </w:rPr>
              <w:t>Major</w:t>
            </w:r>
            <w:r>
              <w:rPr>
                <w:lang w:val="en-US"/>
              </w:rPr>
              <w:t>/minor</w:t>
            </w:r>
          </w:p>
        </w:tc>
      </w:tr>
      <w:tr w:rsidR="00F80A3E" w:rsidRPr="00CE1311" w14:paraId="489E7FCF" w14:textId="77777777" w:rsidTr="00BB6ACB">
        <w:trPr>
          <w:cantSplit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0150" w14:textId="77777777" w:rsidR="00F80A3E" w:rsidRPr="00CB7614" w:rsidRDefault="00F80A3E" w:rsidP="00331AAD">
            <w:pPr>
              <w:rPr>
                <w:lang w:val="en-US"/>
              </w:rPr>
            </w:pPr>
            <w:r w:rsidRPr="00CB7614">
              <w:rPr>
                <w:rFonts w:asciiTheme="minorHAnsi" w:hAnsiTheme="minorHAnsi" w:cstheme="minorHAnsi"/>
                <w:b/>
              </w:rPr>
              <w:t xml:space="preserve">1.3 Equipment and machinery </w:t>
            </w:r>
            <w:r>
              <w:rPr>
                <w:rFonts w:asciiTheme="minorHAnsi" w:hAnsiTheme="minorHAnsi" w:cstheme="minorHAnsi"/>
                <w:b/>
              </w:rPr>
              <w:t>records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0BE" w14:textId="77777777" w:rsidR="00A9676F" w:rsidRDefault="00F80A3E" w:rsidP="00A9676F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 w:rsidRPr="00F80A3E">
              <w:rPr>
                <w:lang w:val="en-US"/>
              </w:rPr>
              <w:t>The occupier must</w:t>
            </w:r>
            <w:r w:rsidR="00A9676F">
              <w:rPr>
                <w:lang w:val="en-US"/>
              </w:rPr>
              <w:t>:</w:t>
            </w:r>
          </w:p>
          <w:p w14:paraId="4A753433" w14:textId="72942B9C" w:rsidR="00F80A3E" w:rsidRPr="00BB6ACB" w:rsidRDefault="00F80A3E" w:rsidP="00BB6ACB">
            <w:pPr>
              <w:pStyle w:val="ListBullet"/>
            </w:pPr>
            <w:r w:rsidRPr="00BB6ACB">
              <w:t xml:space="preserve">keep the cleaning and maintenance records of equipment and machinery for the past </w:t>
            </w:r>
            <w:r w:rsidR="00A9676F">
              <w:t>2</w:t>
            </w:r>
            <w:r w:rsidR="00A9676F" w:rsidRPr="00BB6ACB">
              <w:t xml:space="preserve"> </w:t>
            </w:r>
            <w:r w:rsidRPr="00BB6ACB">
              <w:t>years.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613" w14:textId="77777777" w:rsidR="00F80A3E" w:rsidRPr="00CE1311" w:rsidRDefault="00F80A3E" w:rsidP="00331AAD">
            <w:pPr>
              <w:rPr>
                <w:highlight w:val="yellow"/>
                <w:lang w:val="en-US"/>
              </w:rPr>
            </w:pPr>
            <w:r w:rsidRPr="00AB1676">
              <w:rPr>
                <w:lang w:val="en-US"/>
              </w:rPr>
              <w:t>Major</w:t>
            </w:r>
          </w:p>
        </w:tc>
      </w:tr>
      <w:tr w:rsidR="00F80A3E" w:rsidRPr="00CE1311" w14:paraId="22C6CA6D" w14:textId="77777777" w:rsidTr="00BB6ACB">
        <w:trPr>
          <w:cantSplit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F7ED" w14:textId="77777777" w:rsidR="00F80A3E" w:rsidRPr="00CB7614" w:rsidRDefault="00F80A3E" w:rsidP="00331AAD">
            <w:pPr>
              <w:rPr>
                <w:lang w:val="en-US"/>
              </w:rPr>
            </w:pPr>
            <w:r w:rsidRPr="00CB7614">
              <w:rPr>
                <w:rFonts w:asciiTheme="minorHAnsi" w:hAnsiTheme="minorHAnsi" w:cstheme="minorHAnsi"/>
                <w:b/>
              </w:rPr>
              <w:t xml:space="preserve">1.4 </w:t>
            </w:r>
            <w:r>
              <w:rPr>
                <w:rFonts w:asciiTheme="minorHAnsi" w:hAnsiTheme="minorHAnsi" w:cstheme="minorHAnsi"/>
                <w:b/>
              </w:rPr>
              <w:t>Treatment records (if applicable)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A47F" w14:textId="395A050C" w:rsidR="00A9676F" w:rsidRDefault="00F80A3E" w:rsidP="00A9676F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 w:rsidRPr="00F80A3E">
              <w:rPr>
                <w:lang w:val="en-US"/>
              </w:rPr>
              <w:t>The occupier must</w:t>
            </w:r>
            <w:r w:rsidR="00A9676F">
              <w:rPr>
                <w:lang w:val="en-US"/>
              </w:rPr>
              <w:t>:</w:t>
            </w:r>
          </w:p>
          <w:p w14:paraId="44C8FCC4" w14:textId="0DBDDC00" w:rsidR="00F80A3E" w:rsidRPr="00BB6ACB" w:rsidRDefault="00F80A3E" w:rsidP="00BB6ACB">
            <w:pPr>
              <w:pStyle w:val="ListBullet"/>
            </w:pPr>
            <w:r w:rsidRPr="00BB6ACB">
              <w:t>keep records and certificates of treatments (if applicable).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17C" w14:textId="77777777" w:rsidR="00F80A3E" w:rsidRPr="00CE1311" w:rsidRDefault="00F80A3E" w:rsidP="00331AAD">
            <w:pPr>
              <w:rPr>
                <w:highlight w:val="yellow"/>
                <w:lang w:val="en-US"/>
              </w:rPr>
            </w:pPr>
            <w:r w:rsidRPr="00D11335">
              <w:rPr>
                <w:lang w:val="en-US"/>
              </w:rPr>
              <w:t>Major</w:t>
            </w:r>
          </w:p>
        </w:tc>
      </w:tr>
      <w:tr w:rsidR="00F80A3E" w:rsidRPr="00CE1311" w14:paraId="393B8DD0" w14:textId="77777777" w:rsidTr="00BB6ACB">
        <w:trPr>
          <w:cantSplit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C1F" w14:textId="77777777" w:rsidR="00F80A3E" w:rsidRPr="00CB7614" w:rsidRDefault="00F80A3E" w:rsidP="00331AAD">
            <w:pPr>
              <w:rPr>
                <w:lang w:val="en-US"/>
              </w:rPr>
            </w:pPr>
            <w:r w:rsidRPr="00CB7614">
              <w:rPr>
                <w:rFonts w:asciiTheme="minorHAnsi" w:hAnsiTheme="minorHAnsi" w:cstheme="minorHAnsi"/>
                <w:b/>
              </w:rPr>
              <w:t xml:space="preserve">1.5 </w:t>
            </w:r>
            <w:r>
              <w:rPr>
                <w:rFonts w:asciiTheme="minorHAnsi" w:hAnsiTheme="minorHAnsi" w:cstheme="minorHAnsi"/>
                <w:b/>
              </w:rPr>
              <w:t>Automatic sampling system (if applicable)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2647" w14:textId="77777777" w:rsidR="00A9676F" w:rsidRDefault="00F80A3E" w:rsidP="00A9676F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 w:rsidRPr="00F80A3E">
              <w:rPr>
                <w:lang w:val="en-US"/>
              </w:rPr>
              <w:t>If an automatic sampling system is employed, the occupier must</w:t>
            </w:r>
            <w:r w:rsidR="00A9676F">
              <w:rPr>
                <w:lang w:val="en-US"/>
              </w:rPr>
              <w:t>:</w:t>
            </w:r>
            <w:r w:rsidRPr="00F80A3E">
              <w:rPr>
                <w:lang w:val="en-US"/>
              </w:rPr>
              <w:t xml:space="preserve"> </w:t>
            </w:r>
          </w:p>
          <w:p w14:paraId="0B50C7C4" w14:textId="4D805D1F" w:rsidR="00F80A3E" w:rsidRPr="00BB6ACB" w:rsidRDefault="00F80A3E" w:rsidP="00BB6ACB">
            <w:pPr>
              <w:pStyle w:val="ListBullet"/>
            </w:pPr>
            <w:r w:rsidRPr="00BB6ACB">
              <w:t>demonstrate that the calibration records for automatic sampling systems meets the QSR policy in relation to frequency of calibration and evidence of compliance (</w:t>
            </w:r>
            <w:r w:rsidR="00A9676F">
              <w:t>for example,</w:t>
            </w:r>
            <w:r w:rsidRPr="00BB6ACB">
              <w:t xml:space="preserve"> calibration certificates).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043" w14:textId="77777777" w:rsidR="00F80A3E" w:rsidRPr="00CE1311" w:rsidRDefault="00F80A3E" w:rsidP="00331AAD">
            <w:pPr>
              <w:rPr>
                <w:highlight w:val="yellow"/>
                <w:lang w:val="en-US"/>
              </w:rPr>
            </w:pPr>
            <w:r w:rsidRPr="00423130">
              <w:rPr>
                <w:lang w:val="en-US"/>
              </w:rPr>
              <w:t>Major</w:t>
            </w:r>
          </w:p>
        </w:tc>
      </w:tr>
      <w:tr w:rsidR="00F80A3E" w14:paraId="0BEF47E4" w14:textId="77777777" w:rsidTr="00BB6ACB">
        <w:trPr>
          <w:cantSplit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560" w14:textId="77777777" w:rsidR="00F80A3E" w:rsidRPr="00CB7614" w:rsidRDefault="00F80A3E" w:rsidP="00331AAD">
            <w:pPr>
              <w:rPr>
                <w:lang w:val="en-US"/>
              </w:rPr>
            </w:pPr>
            <w:r w:rsidRPr="00CB7614">
              <w:rPr>
                <w:rFonts w:asciiTheme="minorHAnsi" w:hAnsiTheme="minorHAnsi" w:cstheme="minorHAnsi"/>
                <w:b/>
              </w:rPr>
              <w:t>1.6</w:t>
            </w:r>
            <w:r>
              <w:rPr>
                <w:rFonts w:asciiTheme="minorHAnsi" w:hAnsiTheme="minorHAnsi" w:cstheme="minorHAnsi"/>
                <w:b/>
              </w:rPr>
              <w:t xml:space="preserve"> Traceability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D7B" w14:textId="77777777" w:rsidR="00A9676F" w:rsidRDefault="00F80A3E" w:rsidP="00A9676F">
            <w:pPr>
              <w:pStyle w:val="BodyText"/>
              <w:rPr>
                <w:lang w:val="en-US"/>
              </w:rPr>
            </w:pPr>
            <w:r w:rsidRPr="00F80A3E">
              <w:rPr>
                <w:lang w:val="en-US"/>
              </w:rPr>
              <w:t>The occupier must</w:t>
            </w:r>
            <w:r w:rsidR="00A9676F">
              <w:rPr>
                <w:lang w:val="en-US"/>
              </w:rPr>
              <w:t>:</w:t>
            </w:r>
          </w:p>
          <w:p w14:paraId="18F2B24A" w14:textId="50815E34" w:rsidR="00F80A3E" w:rsidRPr="00F80A3E" w:rsidRDefault="00F80A3E" w:rsidP="00BB6ACB">
            <w:pPr>
              <w:pStyle w:val="ListBullet"/>
              <w:rPr>
                <w:lang w:val="en-US"/>
              </w:rPr>
            </w:pPr>
            <w:r w:rsidRPr="00F80A3E">
              <w:rPr>
                <w:lang w:val="en-US"/>
              </w:rPr>
              <w:t xml:space="preserve">demonstrate traceability of earlier exported approved products, through the process documented in the product flow chart provided to the department, such as receipt of goods, processing, packaging, </w:t>
            </w:r>
            <w:proofErr w:type="gramStart"/>
            <w:r w:rsidRPr="00F80A3E">
              <w:rPr>
                <w:lang w:val="en-US"/>
              </w:rPr>
              <w:t>storage</w:t>
            </w:r>
            <w:proofErr w:type="gramEnd"/>
            <w:r w:rsidRPr="00F80A3E">
              <w:rPr>
                <w:lang w:val="en-US"/>
              </w:rPr>
              <w:t xml:space="preserve"> and dispatch of goods.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F44" w14:textId="77777777" w:rsidR="00F80A3E" w:rsidRDefault="00F80A3E" w:rsidP="00331AAD">
            <w:pPr>
              <w:rPr>
                <w:lang w:val="en-US"/>
              </w:rPr>
            </w:pPr>
            <w:r>
              <w:rPr>
                <w:lang w:val="en-US"/>
              </w:rPr>
              <w:t>Major</w:t>
            </w:r>
          </w:p>
        </w:tc>
      </w:tr>
    </w:tbl>
    <w:p w14:paraId="31A8521F" w14:textId="77777777" w:rsidR="00B36DEC" w:rsidRDefault="00B36D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4111"/>
        <w:gridCol w:w="2359"/>
      </w:tblGrid>
      <w:tr w:rsidR="00F80A3E" w14:paraId="710C139B" w14:textId="77777777" w:rsidTr="00BB6AC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75A5B48A" w14:textId="77777777" w:rsidR="00F80A3E" w:rsidRDefault="00F80A3E" w:rsidP="00331AAD">
            <w:pPr>
              <w:rPr>
                <w:lang w:val="en-US"/>
              </w:rPr>
            </w:pPr>
            <w:r w:rsidRPr="008E1855">
              <w:rPr>
                <w:rFonts w:asciiTheme="minorHAnsi" w:hAnsiTheme="minorHAnsi" w:cstheme="minorHAnsi"/>
                <w:b/>
              </w:rPr>
              <w:t>Plans and Specifications</w:t>
            </w:r>
          </w:p>
        </w:tc>
      </w:tr>
      <w:tr w:rsidR="00B36DEC" w:rsidRPr="00CE1311" w14:paraId="4B222EC4" w14:textId="77777777" w:rsidTr="00BB6ACB">
        <w:trPr>
          <w:cantSplit/>
          <w:tblHeader/>
        </w:trPr>
        <w:tc>
          <w:tcPr>
            <w:tcW w:w="1412" w:type="pct"/>
            <w:tcBorders>
              <w:top w:val="single" w:sz="4" w:space="0" w:color="FFFFFF" w:themeColor="background1"/>
              <w:right w:val="single" w:sz="4" w:space="0" w:color="FFFFFF"/>
            </w:tcBorders>
            <w:shd w:val="clear" w:color="auto" w:fill="000000"/>
          </w:tcPr>
          <w:p w14:paraId="7B091BBC" w14:textId="77777777" w:rsidR="00B36DEC" w:rsidRPr="00C759A9" w:rsidRDefault="00B36DEC" w:rsidP="00217F7F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Checklist items</w:t>
            </w:r>
          </w:p>
        </w:tc>
        <w:tc>
          <w:tcPr>
            <w:tcW w:w="2280" w:type="pct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2779EC11" w14:textId="77777777" w:rsidR="00B36DEC" w:rsidRPr="00C759A9" w:rsidRDefault="00B36DEC" w:rsidP="00217F7F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Performance standards</w:t>
            </w:r>
          </w:p>
        </w:tc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000000"/>
          </w:tcPr>
          <w:p w14:paraId="0B6209E4" w14:textId="77777777" w:rsidR="00B36DEC" w:rsidRPr="00C759A9" w:rsidRDefault="00B36DEC" w:rsidP="00217F7F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Non-compliance rating</w:t>
            </w:r>
          </w:p>
        </w:tc>
      </w:tr>
      <w:tr w:rsidR="00F80A3E" w14:paraId="2B4777F2" w14:textId="77777777" w:rsidTr="00BB6ACB"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CB6" w14:textId="77777777" w:rsidR="00F80A3E" w:rsidRPr="00CB7614" w:rsidRDefault="00F80A3E" w:rsidP="00331AA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2.1 Establishment layout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5AC" w14:textId="0E07D8F8" w:rsidR="00A9676F" w:rsidRDefault="00F80A3E" w:rsidP="00A9676F">
            <w:pPr>
              <w:pStyle w:val="ListBullet"/>
              <w:numPr>
                <w:ilvl w:val="0"/>
                <w:numId w:val="0"/>
              </w:numPr>
              <w:spacing w:before="0" w:after="0"/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The occupier must</w:t>
            </w:r>
            <w:r w:rsidR="00A9676F">
              <w:rPr>
                <w:lang w:val="en-US"/>
              </w:rPr>
              <w:t>:</w:t>
            </w:r>
          </w:p>
          <w:p w14:paraId="30AF789D" w14:textId="1BFDBA5C" w:rsidR="00F80A3E" w:rsidRPr="00BB6ACB" w:rsidRDefault="00F80A3E" w:rsidP="00BB6ACB">
            <w:pPr>
              <w:pStyle w:val="ListBullet"/>
            </w:pPr>
            <w:r w:rsidRPr="00BB6ACB">
              <w:t>demonstrate that the layout map presented at application is consistent with actual layout of the establishment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AAC" w14:textId="77777777" w:rsidR="00F80A3E" w:rsidRDefault="00F80A3E" w:rsidP="00331AAD">
            <w:pPr>
              <w:rPr>
                <w:lang w:val="en-US"/>
              </w:rPr>
            </w:pPr>
            <w:r>
              <w:rPr>
                <w:lang w:val="en-US"/>
              </w:rPr>
              <w:t>Major/minor</w:t>
            </w:r>
          </w:p>
        </w:tc>
      </w:tr>
    </w:tbl>
    <w:p w14:paraId="2F08780B" w14:textId="77777777" w:rsidR="00B36DEC" w:rsidRDefault="00B36D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4111"/>
        <w:gridCol w:w="2359"/>
      </w:tblGrid>
      <w:tr w:rsidR="00F80A3E" w14:paraId="49E29CD7" w14:textId="77777777" w:rsidTr="00BB6AC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6FD1421F" w14:textId="77777777" w:rsidR="00F80A3E" w:rsidRDefault="00F80A3E" w:rsidP="00331AAD">
            <w:pPr>
              <w:rPr>
                <w:lang w:val="en-US"/>
              </w:rPr>
            </w:pPr>
            <w:r w:rsidRPr="008E1855">
              <w:rPr>
                <w:rFonts w:asciiTheme="minorHAnsi" w:hAnsiTheme="minorHAnsi" w:cstheme="minorHAnsi"/>
                <w:b/>
              </w:rPr>
              <w:t>Hygiene and pest control</w:t>
            </w:r>
          </w:p>
        </w:tc>
      </w:tr>
      <w:tr w:rsidR="00B36DEC" w:rsidRPr="00CE1311" w14:paraId="2AEB08D1" w14:textId="77777777" w:rsidTr="00BB6ACB">
        <w:trPr>
          <w:cantSplit/>
          <w:tblHeader/>
        </w:trPr>
        <w:tc>
          <w:tcPr>
            <w:tcW w:w="1412" w:type="pct"/>
            <w:tcBorders>
              <w:top w:val="single" w:sz="4" w:space="0" w:color="FFFFFF" w:themeColor="background1"/>
              <w:right w:val="single" w:sz="4" w:space="0" w:color="FFFFFF"/>
            </w:tcBorders>
            <w:shd w:val="clear" w:color="auto" w:fill="000000"/>
          </w:tcPr>
          <w:p w14:paraId="32BDEDE7" w14:textId="77777777" w:rsidR="00B36DEC" w:rsidRPr="00C759A9" w:rsidRDefault="00B36DEC" w:rsidP="00217F7F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Checklist items</w:t>
            </w:r>
          </w:p>
        </w:tc>
        <w:tc>
          <w:tcPr>
            <w:tcW w:w="2280" w:type="pct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3B5C8A2A" w14:textId="77777777" w:rsidR="00B36DEC" w:rsidRPr="00C759A9" w:rsidRDefault="00B36DEC" w:rsidP="00217F7F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Performance standards</w:t>
            </w:r>
          </w:p>
        </w:tc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000000"/>
          </w:tcPr>
          <w:p w14:paraId="682D3F87" w14:textId="77777777" w:rsidR="00B36DEC" w:rsidRPr="00C759A9" w:rsidRDefault="00B36DEC" w:rsidP="00217F7F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Non-compliance rating</w:t>
            </w:r>
          </w:p>
        </w:tc>
      </w:tr>
      <w:tr w:rsidR="00F80A3E" w14:paraId="0AE3EDF0" w14:textId="77777777" w:rsidTr="00BB6ACB"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CE6E" w14:textId="77777777" w:rsidR="00F80A3E" w:rsidRPr="00CB7614" w:rsidRDefault="00F80A3E" w:rsidP="00331AA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3.1 Product </w:t>
            </w:r>
            <w:r w:rsidRPr="00995001">
              <w:rPr>
                <w:rFonts w:asciiTheme="minorHAnsi" w:hAnsiTheme="minorHAnsi" w:cstheme="minorHAnsi"/>
                <w:b/>
              </w:rPr>
              <w:t>processing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A23" w14:textId="77777777" w:rsidR="00A9676F" w:rsidRDefault="00F80A3E" w:rsidP="00A9676F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The occupier must</w:t>
            </w:r>
            <w:r w:rsidR="00A9676F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14:paraId="61A72222" w14:textId="21C5F7B0" w:rsidR="00F80A3E" w:rsidRPr="00BB6ACB" w:rsidRDefault="00F80A3E" w:rsidP="00BB6ACB">
            <w:pPr>
              <w:pStyle w:val="ListBullet"/>
            </w:pPr>
            <w:r w:rsidRPr="00BB6ACB">
              <w:t>demonstrate that the process removes or destroys pests and contaminants in raw materials and is consistent with the approved quality system.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9D3" w14:textId="77777777" w:rsidR="00F80A3E" w:rsidRDefault="00F80A3E" w:rsidP="00331AAD">
            <w:pPr>
              <w:rPr>
                <w:lang w:val="en-US"/>
              </w:rPr>
            </w:pPr>
            <w:r>
              <w:rPr>
                <w:lang w:val="en-US"/>
              </w:rPr>
              <w:t>Critical</w:t>
            </w:r>
          </w:p>
        </w:tc>
      </w:tr>
      <w:tr w:rsidR="00F80A3E" w14:paraId="20C90B58" w14:textId="77777777" w:rsidTr="00BB6ACB"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D472" w14:textId="77777777" w:rsidR="00F80A3E" w:rsidRPr="00CB7614" w:rsidRDefault="00F80A3E" w:rsidP="00331AA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3.2 Storage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0E3" w14:textId="77777777" w:rsidR="00A9676F" w:rsidRDefault="00F80A3E" w:rsidP="00A9676F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The occupier must</w:t>
            </w:r>
            <w:r w:rsidR="00A9676F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14:paraId="5D820576" w14:textId="6D7F944B" w:rsidR="00F80A3E" w:rsidRPr="00BB6ACB" w:rsidRDefault="00F80A3E" w:rsidP="00BB6ACB">
            <w:pPr>
              <w:pStyle w:val="ListBullet"/>
            </w:pPr>
            <w:r w:rsidRPr="00BB6ACB">
              <w:t>demonstrate that storage facilities are maintained in a hygienic condition and free from pests and contaminants.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6DB" w14:textId="77777777" w:rsidR="00F80A3E" w:rsidRDefault="00F80A3E" w:rsidP="00331AAD">
            <w:pPr>
              <w:rPr>
                <w:lang w:val="en-US"/>
              </w:rPr>
            </w:pPr>
            <w:r>
              <w:rPr>
                <w:lang w:val="en-US"/>
              </w:rPr>
              <w:t>Critical/major</w:t>
            </w:r>
          </w:p>
        </w:tc>
      </w:tr>
    </w:tbl>
    <w:p w14:paraId="7834AAB8" w14:textId="77777777" w:rsidR="00B36DEC" w:rsidRDefault="00B36D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4111"/>
        <w:gridCol w:w="2359"/>
      </w:tblGrid>
      <w:tr w:rsidR="00F80A3E" w14:paraId="2B977C6F" w14:textId="77777777" w:rsidTr="00BB6ACB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14:paraId="5BC4E524" w14:textId="77777777" w:rsidR="00F80A3E" w:rsidRPr="008E1855" w:rsidRDefault="00F80A3E" w:rsidP="00331AAD">
            <w:pPr>
              <w:rPr>
                <w:b/>
                <w:bCs/>
                <w:lang w:val="en-US"/>
              </w:rPr>
            </w:pPr>
            <w:r w:rsidRPr="008E1855">
              <w:rPr>
                <w:b/>
                <w:bCs/>
                <w:lang w:val="en-US"/>
              </w:rPr>
              <w:t>QSR Approval</w:t>
            </w:r>
          </w:p>
        </w:tc>
      </w:tr>
      <w:tr w:rsidR="00B36DEC" w:rsidRPr="00CE1311" w14:paraId="22D914F7" w14:textId="77777777" w:rsidTr="00BB6ACB">
        <w:trPr>
          <w:cantSplit/>
          <w:tblHeader/>
        </w:trPr>
        <w:tc>
          <w:tcPr>
            <w:tcW w:w="1412" w:type="pct"/>
            <w:tcBorders>
              <w:top w:val="single" w:sz="4" w:space="0" w:color="FFFFFF" w:themeColor="background1"/>
              <w:right w:val="single" w:sz="4" w:space="0" w:color="FFFFFF"/>
            </w:tcBorders>
            <w:shd w:val="clear" w:color="auto" w:fill="000000"/>
          </w:tcPr>
          <w:p w14:paraId="40C4A33D" w14:textId="77777777" w:rsidR="00B36DEC" w:rsidRPr="00C759A9" w:rsidRDefault="00B36DEC" w:rsidP="00217F7F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Checklist items</w:t>
            </w:r>
          </w:p>
        </w:tc>
        <w:tc>
          <w:tcPr>
            <w:tcW w:w="2280" w:type="pct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52B72AA9" w14:textId="77777777" w:rsidR="00B36DEC" w:rsidRPr="00C759A9" w:rsidRDefault="00B36DEC" w:rsidP="00217F7F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Performance standards</w:t>
            </w:r>
          </w:p>
        </w:tc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/>
            </w:tcBorders>
            <w:shd w:val="clear" w:color="auto" w:fill="000000"/>
          </w:tcPr>
          <w:p w14:paraId="57EC6485" w14:textId="77777777" w:rsidR="00B36DEC" w:rsidRPr="00C759A9" w:rsidRDefault="00B36DEC" w:rsidP="00217F7F">
            <w:pPr>
              <w:pStyle w:val="Tableheadings"/>
              <w:rPr>
                <w:lang w:val="en-US"/>
              </w:rPr>
            </w:pPr>
            <w:r w:rsidRPr="00C759A9">
              <w:rPr>
                <w:lang w:val="en-US"/>
              </w:rPr>
              <w:t>Non-compliance rating</w:t>
            </w:r>
          </w:p>
        </w:tc>
      </w:tr>
      <w:tr w:rsidR="00F80A3E" w14:paraId="38A28EB6" w14:textId="77777777" w:rsidTr="00BB6ACB"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6671" w14:textId="77777777" w:rsidR="00F80A3E" w:rsidRPr="00CB7614" w:rsidRDefault="00F80A3E" w:rsidP="00331AA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5.1 QSR approval check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FF20" w14:textId="5E1B6108" w:rsidR="00F80A3E" w:rsidRDefault="00F80A3E" w:rsidP="00BB6ACB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The occupier must demonstrate:</w:t>
            </w:r>
          </w:p>
          <w:p w14:paraId="690B550D" w14:textId="77777777" w:rsidR="00F80A3E" w:rsidRPr="00BB6ACB" w:rsidRDefault="00F80A3E" w:rsidP="00BB6ACB">
            <w:pPr>
              <w:pStyle w:val="ListBullet"/>
            </w:pPr>
            <w:r w:rsidRPr="00BB6ACB">
              <w:t>the products are approved in the latest issued QSR approval letter.</w:t>
            </w:r>
          </w:p>
          <w:p w14:paraId="72CAB92C" w14:textId="77777777" w:rsidR="00F80A3E" w:rsidRPr="00BB6ACB" w:rsidRDefault="00F80A3E" w:rsidP="00BB6ACB">
            <w:pPr>
              <w:pStyle w:val="ListBullet"/>
            </w:pPr>
            <w:r w:rsidRPr="00BB6ACB">
              <w:t xml:space="preserve">the packaging of the products </w:t>
            </w:r>
            <w:proofErr w:type="gramStart"/>
            <w:r w:rsidRPr="00BB6ACB">
              <w:t>are</w:t>
            </w:r>
            <w:proofErr w:type="gramEnd"/>
            <w:r w:rsidRPr="00BB6ACB">
              <w:t xml:space="preserve"> approved in the latest issued QSR approval letter.</w:t>
            </w:r>
          </w:p>
          <w:p w14:paraId="44DBB3DC" w14:textId="77777777" w:rsidR="00A9676F" w:rsidRPr="00BB6ACB" w:rsidRDefault="00F80A3E" w:rsidP="00A9676F">
            <w:pPr>
              <w:pStyle w:val="ListBullet"/>
              <w:rPr>
                <w:lang w:val="en-US"/>
              </w:rPr>
            </w:pPr>
            <w:r w:rsidRPr="00BB6ACB">
              <w:t xml:space="preserve">the package weights of the products are approved in the latest issued QSR approval letter. </w:t>
            </w:r>
          </w:p>
          <w:p w14:paraId="662ECAF0" w14:textId="5B665FEC" w:rsidR="00F80A3E" w:rsidRPr="008E1855" w:rsidRDefault="00F80A3E" w:rsidP="00BB6ACB">
            <w:pPr>
              <w:pStyle w:val="ListBullet"/>
              <w:numPr>
                <w:ilvl w:val="0"/>
                <w:numId w:val="0"/>
              </w:numPr>
              <w:ind w:left="284"/>
              <w:rPr>
                <w:lang w:val="en-US"/>
              </w:rPr>
            </w:pPr>
            <w:r w:rsidRPr="00BB6ACB">
              <w:rPr>
                <w:b/>
                <w:bCs/>
              </w:rPr>
              <w:t>Note</w:t>
            </w:r>
            <w:r w:rsidR="00A9676F" w:rsidRPr="00BB6ACB">
              <w:rPr>
                <w:b/>
                <w:bCs/>
              </w:rPr>
              <w:t>:</w:t>
            </w:r>
            <w:r w:rsidRPr="00BB6ACB">
              <w:t xml:space="preserve"> </w:t>
            </w:r>
            <w:r w:rsidR="00A9676F">
              <w:t>I</w:t>
            </w:r>
            <w:r w:rsidRPr="00BB6ACB">
              <w:t>ndividual weights must be correctly matched to their respective packaging.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4011" w14:textId="77777777" w:rsidR="00F80A3E" w:rsidRDefault="00F80A3E" w:rsidP="00331AAD">
            <w:pPr>
              <w:rPr>
                <w:lang w:val="en-US"/>
              </w:rPr>
            </w:pPr>
            <w:r>
              <w:rPr>
                <w:lang w:val="en-US"/>
              </w:rPr>
              <w:t>Critical</w:t>
            </w:r>
          </w:p>
        </w:tc>
      </w:tr>
      <w:tr w:rsidR="00F80A3E" w14:paraId="6303D034" w14:textId="77777777" w:rsidTr="00BB6ACB"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158" w14:textId="77777777" w:rsidR="00F80A3E" w:rsidRPr="00CB7614" w:rsidRDefault="00F80A3E" w:rsidP="00331AA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5.2 Packaging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103" w14:textId="017ACFC8" w:rsidR="00A9676F" w:rsidRDefault="00F80A3E" w:rsidP="00A9676F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The occupier must demonstrate</w:t>
            </w:r>
            <w:r w:rsidR="00A9676F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14:paraId="5B8B3604" w14:textId="74CDC7B8" w:rsidR="00F80A3E" w:rsidRPr="00BB6ACB" w:rsidRDefault="00F80A3E" w:rsidP="00BB6ACB">
            <w:pPr>
              <w:pStyle w:val="ListBullet"/>
            </w:pPr>
            <w:r w:rsidRPr="00BB6ACB">
              <w:t>the product is secure and maintains phytosanitary status when packaged.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A9F" w14:textId="77777777" w:rsidR="00F80A3E" w:rsidRDefault="00F80A3E" w:rsidP="00331AAD">
            <w:pPr>
              <w:rPr>
                <w:lang w:val="en-US"/>
              </w:rPr>
            </w:pPr>
            <w:r>
              <w:rPr>
                <w:lang w:val="en-US"/>
              </w:rPr>
              <w:t>Critical</w:t>
            </w:r>
          </w:p>
        </w:tc>
      </w:tr>
      <w:tr w:rsidR="00F80A3E" w14:paraId="62F161D0" w14:textId="77777777" w:rsidTr="00BB6ACB">
        <w:trPr>
          <w:cantSplit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ECF" w14:textId="77777777" w:rsidR="00F80A3E" w:rsidRPr="00CB7614" w:rsidRDefault="00F80A3E" w:rsidP="00331AA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5.3 Sampling system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B72B" w14:textId="1573A05B" w:rsidR="00A9676F" w:rsidRDefault="00F80A3E" w:rsidP="00A9676F">
            <w:pPr>
              <w:pStyle w:val="ListBullet"/>
              <w:numPr>
                <w:ilvl w:val="0"/>
                <w:numId w:val="0"/>
              </w:numPr>
              <w:spacing w:before="0" w:after="0"/>
            </w:pPr>
            <w:r>
              <w:rPr>
                <w:lang w:val="en-US"/>
              </w:rPr>
              <w:t>The occupier must demonstrate</w:t>
            </w:r>
            <w:r w:rsidR="00A9676F">
              <w:rPr>
                <w:lang w:val="en-US"/>
              </w:rPr>
              <w:t>:</w:t>
            </w:r>
          </w:p>
          <w:p w14:paraId="44770E9A" w14:textId="6EBBB96D" w:rsidR="00F80A3E" w:rsidRPr="00BB6ACB" w:rsidRDefault="00F80A3E" w:rsidP="00BB6ACB">
            <w:pPr>
              <w:pStyle w:val="ListBullet"/>
            </w:pPr>
            <w:r w:rsidRPr="00BB6ACB">
              <w:t>the sampling collection system delivers a representative sample and is consistent with approved quality system sampling arrangements</w:t>
            </w:r>
            <w:r w:rsidR="00A9676F" w:rsidRPr="00BB6ACB">
              <w:t>.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4A7" w14:textId="77777777" w:rsidR="00F80A3E" w:rsidRDefault="00F80A3E" w:rsidP="00331AAD">
            <w:pPr>
              <w:rPr>
                <w:lang w:val="en-US"/>
              </w:rPr>
            </w:pPr>
            <w:r>
              <w:rPr>
                <w:lang w:val="en-US"/>
              </w:rPr>
              <w:t>Critical/major</w:t>
            </w:r>
          </w:p>
        </w:tc>
      </w:tr>
    </w:tbl>
    <w:p w14:paraId="41D6D589" w14:textId="77777777" w:rsidR="00B36DEC" w:rsidRDefault="00B36DEC">
      <w:pPr>
        <w:spacing w:before="0" w:after="0"/>
        <w:rPr>
          <w:rFonts w:eastAsia="Times New Roman"/>
          <w:b/>
          <w:bCs/>
          <w:sz w:val="30"/>
          <w:szCs w:val="26"/>
        </w:rPr>
      </w:pPr>
      <w:bookmarkStart w:id="10" w:name="_Related_material"/>
      <w:bookmarkStart w:id="11" w:name="_Toc114476588"/>
      <w:bookmarkStart w:id="12" w:name="_Toc127794843"/>
      <w:bookmarkEnd w:id="10"/>
      <w:r>
        <w:br w:type="page"/>
      </w:r>
    </w:p>
    <w:p w14:paraId="61425CC6" w14:textId="08AF22CD" w:rsidR="00F80A3E" w:rsidRPr="00423130" w:rsidRDefault="00F80A3E" w:rsidP="00F80A3E">
      <w:pPr>
        <w:pStyle w:val="Heading2"/>
      </w:pPr>
      <w:r w:rsidRPr="00423130">
        <w:lastRenderedPageBreak/>
        <w:t>Related material</w:t>
      </w:r>
      <w:bookmarkEnd w:id="11"/>
      <w:bookmarkEnd w:id="12"/>
    </w:p>
    <w:p w14:paraId="49EE0D91" w14:textId="6282DF56" w:rsidR="00F80A3E" w:rsidRPr="00423130" w:rsidRDefault="00F80A3E" w:rsidP="00F80A3E">
      <w:pPr>
        <w:pStyle w:val="BodyText"/>
        <w:spacing w:after="60"/>
      </w:pPr>
      <w:r w:rsidRPr="00423130">
        <w:t xml:space="preserve">The following related material is available on the </w:t>
      </w:r>
      <w:hyperlink r:id="rId13" w:history="1">
        <w:r w:rsidRPr="00423130">
          <w:rPr>
            <w:rStyle w:val="Hyperlink"/>
          </w:rPr>
          <w:t>Plant Export Operations Manual</w:t>
        </w:r>
      </w:hyperlink>
      <w:r w:rsidRPr="00423130">
        <w:t>:</w:t>
      </w:r>
    </w:p>
    <w:p w14:paraId="4C8B5442" w14:textId="7109E2E3" w:rsidR="00F80A3E" w:rsidRPr="00423130" w:rsidRDefault="00A9676F" w:rsidP="00F80A3E">
      <w:pPr>
        <w:pStyle w:val="ListBullet"/>
      </w:pPr>
      <w:r>
        <w:t>Departmental Policy</w:t>
      </w:r>
      <w:r w:rsidR="00F80A3E" w:rsidRPr="00423130">
        <w:t xml:space="preserve">: </w:t>
      </w:r>
      <w:r w:rsidR="00F80A3E" w:rsidRPr="00423130">
        <w:rPr>
          <w:i/>
          <w:iCs/>
        </w:rPr>
        <w:t>Management of plant export registered establishments</w:t>
      </w:r>
    </w:p>
    <w:p w14:paraId="182C46FD" w14:textId="77777777" w:rsidR="00F80A3E" w:rsidRPr="00423130" w:rsidRDefault="00F80A3E" w:rsidP="00F80A3E">
      <w:pPr>
        <w:pStyle w:val="ListBullet"/>
      </w:pPr>
      <w:r w:rsidRPr="00423130">
        <w:rPr>
          <w:iCs/>
        </w:rPr>
        <w:t>Guideline:</w:t>
      </w:r>
      <w:r w:rsidRPr="00423130">
        <w:rPr>
          <w:i/>
        </w:rPr>
        <w:t xml:space="preserve"> </w:t>
      </w:r>
      <w:r w:rsidRPr="00423130">
        <w:rPr>
          <w:i/>
          <w:iCs/>
        </w:rPr>
        <w:t>Audit of plant export registered establishments</w:t>
      </w:r>
    </w:p>
    <w:p w14:paraId="75AC17AC" w14:textId="50C5BAA9" w:rsidR="00F80A3E" w:rsidRPr="00423130" w:rsidRDefault="00F80A3E" w:rsidP="00F80A3E">
      <w:pPr>
        <w:pStyle w:val="ListBullet"/>
      </w:pPr>
      <w:r w:rsidRPr="00423130">
        <w:t xml:space="preserve">Guideline: </w:t>
      </w:r>
      <w:r w:rsidRPr="00423130">
        <w:rPr>
          <w:i/>
          <w:iCs/>
        </w:rPr>
        <w:t xml:space="preserve">Quality system recognition of </w:t>
      </w:r>
      <w:r w:rsidR="00A9676F">
        <w:rPr>
          <w:i/>
          <w:iCs/>
        </w:rPr>
        <w:t xml:space="preserve">highly </w:t>
      </w:r>
      <w:r w:rsidRPr="00423130">
        <w:rPr>
          <w:i/>
          <w:iCs/>
        </w:rPr>
        <w:t>processed plant products for export</w:t>
      </w:r>
      <w:r w:rsidR="001753F6">
        <w:rPr>
          <w:i/>
          <w:iCs/>
        </w:rPr>
        <w:t>.</w:t>
      </w:r>
    </w:p>
    <w:p w14:paraId="6615116D" w14:textId="77777777" w:rsidR="00F80A3E" w:rsidRPr="00423130" w:rsidRDefault="00F80A3E" w:rsidP="00F80A3E">
      <w:pPr>
        <w:pStyle w:val="Heading2"/>
      </w:pPr>
      <w:bookmarkStart w:id="13" w:name="_Toc114476589"/>
      <w:bookmarkStart w:id="14" w:name="_Toc127794844"/>
      <w:r w:rsidRPr="00423130">
        <w:t>Document information</w:t>
      </w:r>
      <w:bookmarkEnd w:id="13"/>
      <w:bookmarkEnd w:id="14"/>
    </w:p>
    <w:p w14:paraId="514A6AD2" w14:textId="77777777" w:rsidR="00F80A3E" w:rsidRDefault="00F80A3E" w:rsidP="00F80A3E">
      <w:pPr>
        <w:pStyle w:val="BodyText"/>
      </w:pPr>
      <w:r w:rsidRPr="00423130">
        <w:t>The following table contains administrative metadata.</w:t>
      </w:r>
    </w:p>
    <w:tbl>
      <w:tblPr>
        <w:tblStyle w:val="TableGrid"/>
        <w:tblW w:w="9014" w:type="dxa"/>
        <w:tblLook w:val="04A0" w:firstRow="1" w:lastRow="0" w:firstColumn="1" w:lastColumn="0" w:noHBand="0" w:noVBand="1"/>
        <w:tblDescription w:val="Document information"/>
      </w:tblPr>
      <w:tblGrid>
        <w:gridCol w:w="2268"/>
        <w:gridCol w:w="6746"/>
      </w:tblGrid>
      <w:tr w:rsidR="00F80A3E" w14:paraId="6E64B0B7" w14:textId="77777777" w:rsidTr="00331AAD">
        <w:trPr>
          <w:tblHeader/>
        </w:trPr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2EF0ED88" w14:textId="77777777" w:rsidR="00F80A3E" w:rsidRDefault="00F80A3E" w:rsidP="00331AAD">
            <w:pPr>
              <w:pStyle w:val="Tableheadings"/>
            </w:pPr>
            <w:r>
              <w:t>Instructional Material Library document ID</w:t>
            </w:r>
          </w:p>
        </w:tc>
        <w:tc>
          <w:tcPr>
            <w:tcW w:w="674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6BD53BD1" w14:textId="77777777" w:rsidR="00F80A3E" w:rsidRDefault="00F80A3E" w:rsidP="00331AAD">
            <w:pPr>
              <w:pStyle w:val="Tableheadings"/>
            </w:pPr>
            <w:r>
              <w:t>Instructional material owner</w:t>
            </w:r>
          </w:p>
        </w:tc>
      </w:tr>
      <w:tr w:rsidR="00F80A3E" w14:paraId="59986DB8" w14:textId="77777777" w:rsidTr="00331AAD">
        <w:sdt>
          <w:sdtPr>
            <w:rPr>
              <w:rFonts w:asciiTheme="minorHAnsi" w:hAnsiTheme="minorHAnsi"/>
            </w:rPr>
            <w:alias w:val="Document ID Value"/>
            <w:tag w:val="_dlc_DocId"/>
            <w:id w:val="1515423241"/>
            <w:lock w:val="contentLocked"/>
            <w:placeholder>
              <w:docPart w:val="7AACEC63AD484114A4B60E4CE909AC7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6CA1D96F-3187-4579-A00F-3149D8046899}"/>
            <w:text/>
          </w:sdtPr>
          <w:sdtEndPr/>
          <w:sdtContent>
            <w:tc>
              <w:tcPr>
                <w:tcW w:w="2268" w:type="dxa"/>
              </w:tcPr>
              <w:p w14:paraId="27DC5CFC" w14:textId="2F3B84E2" w:rsidR="00F80A3E" w:rsidRPr="00B47A50" w:rsidRDefault="00F80A3E" w:rsidP="00331AAD">
                <w:r>
                  <w:rPr>
                    <w:rFonts w:asciiTheme="minorHAnsi" w:hAnsiTheme="minorHAnsi"/>
                  </w:rPr>
                  <w:t>IMLS-9-9067</w:t>
                </w:r>
              </w:p>
            </w:tc>
          </w:sdtContent>
        </w:sdt>
        <w:tc>
          <w:tcPr>
            <w:tcW w:w="6746" w:type="dxa"/>
          </w:tcPr>
          <w:p w14:paraId="4BE7F6CE" w14:textId="77777777" w:rsidR="00F80A3E" w:rsidRDefault="00F80A3E" w:rsidP="00331AAD">
            <w:r w:rsidRPr="00FC2ED3">
              <w:t xml:space="preserve">Director, </w:t>
            </w:r>
            <w:proofErr w:type="gramStart"/>
            <w:r w:rsidRPr="00FC2ED3">
              <w:t>Grain</w:t>
            </w:r>
            <w:proofErr w:type="gramEnd"/>
            <w:r w:rsidRPr="00FC2ED3">
              <w:t xml:space="preserve"> and Seed Exports</w:t>
            </w:r>
            <w:r>
              <w:t xml:space="preserve"> Program</w:t>
            </w:r>
          </w:p>
          <w:p w14:paraId="1CF40CB6" w14:textId="77777777" w:rsidR="00F80A3E" w:rsidRDefault="00F80A3E" w:rsidP="00331AAD"/>
        </w:tc>
      </w:tr>
    </w:tbl>
    <w:p w14:paraId="47B6103F" w14:textId="77777777" w:rsidR="00F80A3E" w:rsidRDefault="00F80A3E" w:rsidP="00F80A3E">
      <w:pPr>
        <w:pStyle w:val="Heading2"/>
      </w:pPr>
      <w:bookmarkStart w:id="15" w:name="_Toc114476590"/>
      <w:bookmarkStart w:id="16" w:name="_Toc127794845"/>
      <w:r>
        <w:t>Version history</w:t>
      </w:r>
      <w:bookmarkEnd w:id="15"/>
      <w:bookmarkEnd w:id="16"/>
    </w:p>
    <w:p w14:paraId="2E9A2A03" w14:textId="77777777" w:rsidR="00F80A3E" w:rsidRDefault="00F80A3E" w:rsidP="00F80A3E">
      <w:pPr>
        <w:pStyle w:val="BodyText"/>
      </w:pPr>
      <w:r>
        <w:t>The following table details the published date and amendment details for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Version history"/>
      </w:tblPr>
      <w:tblGrid>
        <w:gridCol w:w="963"/>
        <w:gridCol w:w="1501"/>
        <w:gridCol w:w="6550"/>
      </w:tblGrid>
      <w:tr w:rsidR="00F80A3E" w14:paraId="195375B3" w14:textId="77777777" w:rsidTr="00331AAD">
        <w:trPr>
          <w:cantSplit/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6B4A88DB" w14:textId="77777777" w:rsidR="00F80A3E" w:rsidRDefault="00F80A3E" w:rsidP="00331AAD">
            <w:pPr>
              <w:pStyle w:val="Tableheadings"/>
              <w:jc w:val="center"/>
            </w:pPr>
            <w:r>
              <w:t>Version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25713C9C" w14:textId="77777777" w:rsidR="00F80A3E" w:rsidRDefault="00F80A3E" w:rsidP="00331AAD">
            <w:pPr>
              <w:pStyle w:val="Tableheadings"/>
              <w:jc w:val="center"/>
            </w:pPr>
            <w:r>
              <w:t>Date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42EFAAD" w14:textId="77777777" w:rsidR="00F80A3E" w:rsidRDefault="00F80A3E" w:rsidP="00331AAD">
            <w:pPr>
              <w:pStyle w:val="Tableheadings"/>
            </w:pPr>
            <w:r>
              <w:t>Amendment details</w:t>
            </w:r>
          </w:p>
        </w:tc>
      </w:tr>
      <w:tr w:rsidR="00F80A3E" w14:paraId="18F582A3" w14:textId="77777777" w:rsidTr="00331AAD">
        <w:trPr>
          <w:cantSplit/>
        </w:trPr>
        <w:sdt>
          <w:sdtPr>
            <w:alias w:val="IML version"/>
            <w:tag w:val="RevisionNumber"/>
            <w:id w:val="205154676"/>
            <w:placeholder>
              <w:docPart w:val="EE2E27C47A414681923761CC102A393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6CA1D96F-3187-4579-A00F-3149D8046899}"/>
            <w:text/>
          </w:sdtPr>
          <w:sdtEndPr/>
          <w:sdtContent>
            <w:tc>
              <w:tcPr>
                <w:tcW w:w="963" w:type="dxa"/>
                <w:tcBorders>
                  <w:top w:val="single" w:sz="4" w:space="0" w:color="auto"/>
                </w:tcBorders>
              </w:tcPr>
              <w:p w14:paraId="31D70601" w14:textId="6EB17253" w:rsidR="00F80A3E" w:rsidRPr="00BB6ACB" w:rsidRDefault="00130DB1" w:rsidP="00331AAD">
                <w:pPr>
                  <w:jc w:val="center"/>
                  <w:rPr>
                    <w:highlight w:val="yellow"/>
                  </w:rPr>
                </w:pPr>
                <w:r>
                  <w:t>1</w:t>
                </w:r>
              </w:p>
            </w:tc>
          </w:sdtContent>
        </w:sdt>
        <w:sdt>
          <w:sdtPr>
            <w:alias w:val="Date published"/>
            <w:tag w:val="DatePublished"/>
            <w:id w:val="622666291"/>
            <w:placeholder>
              <w:docPart w:val="6DBA3235464E4BA4BCBEB1710BDAAD3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6CA1D96F-3187-4579-A00F-3149D8046899}"/>
            <w:date w:fullDate="2023-07-17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01" w:type="dxa"/>
                <w:tcBorders>
                  <w:top w:val="single" w:sz="4" w:space="0" w:color="auto"/>
                </w:tcBorders>
              </w:tcPr>
              <w:p w14:paraId="210E3420" w14:textId="0C2BDFE7" w:rsidR="00F80A3E" w:rsidRPr="00BB6ACB" w:rsidRDefault="00130DB1" w:rsidP="00331AAD">
                <w:pPr>
                  <w:jc w:val="center"/>
                  <w:rPr>
                    <w:highlight w:val="yellow"/>
                  </w:rPr>
                </w:pPr>
                <w:r>
                  <w:t>17/07/2023</w:t>
                </w:r>
              </w:p>
            </w:tc>
          </w:sdtContent>
        </w:sdt>
        <w:tc>
          <w:tcPr>
            <w:tcW w:w="6550" w:type="dxa"/>
            <w:tcBorders>
              <w:top w:val="single" w:sz="4" w:space="0" w:color="auto"/>
            </w:tcBorders>
          </w:tcPr>
          <w:p w14:paraId="38F26859" w14:textId="77777777" w:rsidR="00F80A3E" w:rsidRPr="00423130" w:rsidRDefault="00F80A3E" w:rsidP="00331AAD">
            <w:r w:rsidRPr="00423130">
              <w:t>First publication of this reference.</w:t>
            </w:r>
          </w:p>
          <w:p w14:paraId="4699E510" w14:textId="77777777" w:rsidR="00F80A3E" w:rsidRPr="00FC2ED3" w:rsidRDefault="00F80A3E" w:rsidP="00331AAD">
            <w:pPr>
              <w:rPr>
                <w:highlight w:val="yellow"/>
              </w:rPr>
            </w:pPr>
            <w:r w:rsidRPr="00FC2ED3">
              <w:rPr>
                <w:highlight w:val="yellow"/>
              </w:rPr>
              <w:t xml:space="preserve"> </w:t>
            </w:r>
          </w:p>
        </w:tc>
      </w:tr>
    </w:tbl>
    <w:p w14:paraId="1DA1694E" w14:textId="77777777" w:rsidR="00F80A3E" w:rsidRPr="00797E98" w:rsidRDefault="00F80A3E" w:rsidP="00F80A3E"/>
    <w:bookmarkEnd w:id="3"/>
    <w:sectPr w:rsidR="00F80A3E" w:rsidRPr="00797E98">
      <w:footerReference w:type="default" r:id="rId14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1307" w14:textId="77777777" w:rsidR="00055C72" w:rsidRDefault="00055C72">
      <w:pPr>
        <w:spacing w:after="0"/>
      </w:pPr>
      <w:r>
        <w:separator/>
      </w:r>
    </w:p>
  </w:endnote>
  <w:endnote w:type="continuationSeparator" w:id="0">
    <w:p w14:paraId="617645E9" w14:textId="77777777" w:rsidR="00055C72" w:rsidRDefault="00055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2DD2" w14:textId="77777777" w:rsidR="001753F6" w:rsidRDefault="001753F6" w:rsidP="001753F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73C800C" w14:textId="3E795BC2" w:rsidR="001753F6" w:rsidRDefault="00310A2B" w:rsidP="001753F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sz w:val="18"/>
      </w:rPr>
    </w:pPr>
    <w:sdt>
      <w:sdtPr>
        <w:rPr>
          <w:i/>
          <w:sz w:val="18"/>
        </w:rPr>
        <w:alias w:val="Title"/>
        <w:tag w:val=""/>
        <w:id w:val="-304245255"/>
        <w:placeholder>
          <w:docPart w:val="201CF346B2F44CEDACE17688E8FE7DB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  <w:sz w:val="18"/>
          </w:rPr>
          <w:t>Reference: performance standards - quality system recognition</w:t>
        </w:r>
      </w:sdtContent>
    </w:sdt>
    <w:r w:rsidR="001753F6">
      <w:rPr>
        <w:i/>
        <w:sz w:val="18"/>
      </w:rPr>
      <w:tab/>
    </w:r>
    <w:r w:rsidR="001753F6">
      <w:rPr>
        <w:sz w:val="18"/>
      </w:rPr>
      <w:t xml:space="preserve">Version no.: </w:t>
    </w:r>
    <w:sdt>
      <w:sdtPr>
        <w:rPr>
          <w:sz w:val="18"/>
        </w:rPr>
        <w:alias w:val="IML version"/>
        <w:tag w:val="RevisionNumber"/>
        <w:id w:val="1399333750"/>
        <w:placeholder>
          <w:docPart w:val="9C4F2D84BA4E41B197715B120E78C90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6CA1D96F-3187-4579-A00F-3149D8046899}"/>
        <w:text/>
      </w:sdtPr>
      <w:sdtEndPr/>
      <w:sdtContent>
        <w:r w:rsidR="00130DB1">
          <w:rPr>
            <w:sz w:val="18"/>
          </w:rPr>
          <w:t>1</w:t>
        </w:r>
      </w:sdtContent>
    </w:sdt>
  </w:p>
  <w:p w14:paraId="07090D07" w14:textId="55D1BF10" w:rsidR="001753F6" w:rsidRDefault="001753F6" w:rsidP="001753F6">
    <w:pPr>
      <w:pStyle w:val="Footer"/>
      <w:tabs>
        <w:tab w:val="clear" w:pos="9026"/>
        <w:tab w:val="right" w:pos="9356"/>
      </w:tabs>
      <w:ind w:left="-567"/>
    </w:pPr>
    <w:r>
      <w:rPr>
        <w:sz w:val="18"/>
      </w:rPr>
      <w:t xml:space="preserve">Date published: </w:t>
    </w:r>
    <w:sdt>
      <w:sdtPr>
        <w:rPr>
          <w:sz w:val="18"/>
        </w:rPr>
        <w:alias w:val="Date published"/>
        <w:tag w:val="DatePublished"/>
        <w:id w:val="-1683805751"/>
        <w:placeholder>
          <w:docPart w:val="2B85449A706C4B42B6C37A216583809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6CA1D96F-3187-4579-A00F-3149D8046899}"/>
        <w:date w:fullDate="2023-07-1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130DB1">
          <w:rPr>
            <w:sz w:val="18"/>
          </w:rPr>
          <w:t>17/07/2023</w:t>
        </w:r>
      </w:sdtContent>
    </w:sdt>
    <w:r>
      <w:rPr>
        <w:sz w:val="18"/>
      </w:rPr>
      <w:tab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  <w:p w14:paraId="5AFA0DD4" w14:textId="77777777" w:rsidR="001753F6" w:rsidRDefault="00175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45A5" w14:textId="77777777" w:rsidR="00055C72" w:rsidRDefault="00055C72">
      <w:pPr>
        <w:spacing w:after="0"/>
      </w:pPr>
      <w:r>
        <w:separator/>
      </w:r>
    </w:p>
  </w:footnote>
  <w:footnote w:type="continuationSeparator" w:id="0">
    <w:p w14:paraId="23E24775" w14:textId="77777777" w:rsidR="00055C72" w:rsidRDefault="00055C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469EB"/>
    <w:multiLevelType w:val="hybridMultilevel"/>
    <w:tmpl w:val="5ED45E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E1F0B"/>
    <w:multiLevelType w:val="hybridMultilevel"/>
    <w:tmpl w:val="54DE53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10D0"/>
    <w:multiLevelType w:val="hybridMultilevel"/>
    <w:tmpl w:val="6B9A5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33E88"/>
    <w:multiLevelType w:val="hybridMultilevel"/>
    <w:tmpl w:val="5D9472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2" w15:restartNumberingAfterBreak="0">
    <w:nsid w:val="3141550F"/>
    <w:multiLevelType w:val="hybridMultilevel"/>
    <w:tmpl w:val="CD666C32"/>
    <w:lvl w:ilvl="0" w:tplc="45F8C5B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311B6"/>
    <w:multiLevelType w:val="multilevel"/>
    <w:tmpl w:val="3C644B3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  <w:b/>
      </w:rPr>
    </w:lvl>
  </w:abstractNum>
  <w:abstractNum w:abstractNumId="15" w15:restartNumberingAfterBreak="0">
    <w:nsid w:val="3C067C0C"/>
    <w:multiLevelType w:val="hybridMultilevel"/>
    <w:tmpl w:val="41FA97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84000"/>
    <w:multiLevelType w:val="hybridMultilevel"/>
    <w:tmpl w:val="CFBAAE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40032">
    <w:abstractNumId w:val="3"/>
  </w:num>
  <w:num w:numId="2" w16cid:durableId="247618802">
    <w:abstractNumId w:val="18"/>
  </w:num>
  <w:num w:numId="3" w16cid:durableId="1784029903">
    <w:abstractNumId w:val="7"/>
  </w:num>
  <w:num w:numId="4" w16cid:durableId="525558606">
    <w:abstractNumId w:val="22"/>
  </w:num>
  <w:num w:numId="5" w16cid:durableId="1993368820">
    <w:abstractNumId w:val="0"/>
  </w:num>
  <w:num w:numId="6" w16cid:durableId="644746092">
    <w:abstractNumId w:val="22"/>
  </w:num>
  <w:num w:numId="7" w16cid:durableId="1673020668">
    <w:abstractNumId w:val="24"/>
  </w:num>
  <w:num w:numId="8" w16cid:durableId="703822111">
    <w:abstractNumId w:val="10"/>
  </w:num>
  <w:num w:numId="9" w16cid:durableId="1504008776">
    <w:abstractNumId w:val="6"/>
  </w:num>
  <w:num w:numId="10" w16cid:durableId="845053238">
    <w:abstractNumId w:val="13"/>
  </w:num>
  <w:num w:numId="11" w16cid:durableId="1179857130">
    <w:abstractNumId w:val="23"/>
  </w:num>
  <w:num w:numId="12" w16cid:durableId="1026171302">
    <w:abstractNumId w:val="8"/>
  </w:num>
  <w:num w:numId="13" w16cid:durableId="581179506">
    <w:abstractNumId w:val="11"/>
  </w:num>
  <w:num w:numId="14" w16cid:durableId="169490273">
    <w:abstractNumId w:val="17"/>
  </w:num>
  <w:num w:numId="15" w16cid:durableId="1009256407">
    <w:abstractNumId w:val="20"/>
  </w:num>
  <w:num w:numId="16" w16cid:durableId="1799182716">
    <w:abstractNumId w:val="2"/>
  </w:num>
  <w:num w:numId="17" w16cid:durableId="544215634">
    <w:abstractNumId w:val="16"/>
  </w:num>
  <w:num w:numId="18" w16cid:durableId="11759553">
    <w:abstractNumId w:val="19"/>
  </w:num>
  <w:num w:numId="19" w16cid:durableId="515047987">
    <w:abstractNumId w:val="12"/>
  </w:num>
  <w:num w:numId="20" w16cid:durableId="762804471">
    <w:abstractNumId w:val="14"/>
  </w:num>
  <w:num w:numId="21" w16cid:durableId="1859462974">
    <w:abstractNumId w:val="21"/>
  </w:num>
  <w:num w:numId="22" w16cid:durableId="1085607802">
    <w:abstractNumId w:val="4"/>
  </w:num>
  <w:num w:numId="23" w16cid:durableId="1750536592">
    <w:abstractNumId w:val="15"/>
  </w:num>
  <w:num w:numId="24" w16cid:durableId="1951083164">
    <w:abstractNumId w:val="5"/>
  </w:num>
  <w:num w:numId="25" w16cid:durableId="1532112682">
    <w:abstractNumId w:val="9"/>
  </w:num>
  <w:num w:numId="26" w16cid:durableId="25903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2E"/>
    <w:rsid w:val="00055C72"/>
    <w:rsid w:val="00056861"/>
    <w:rsid w:val="0008543B"/>
    <w:rsid w:val="000A6091"/>
    <w:rsid w:val="00130DB1"/>
    <w:rsid w:val="001566E3"/>
    <w:rsid w:val="001753F6"/>
    <w:rsid w:val="001866CA"/>
    <w:rsid w:val="00197E8A"/>
    <w:rsid w:val="001D5692"/>
    <w:rsid w:val="001E4573"/>
    <w:rsid w:val="002D42CC"/>
    <w:rsid w:val="002D73FF"/>
    <w:rsid w:val="00310A2B"/>
    <w:rsid w:val="0034404B"/>
    <w:rsid w:val="003854A8"/>
    <w:rsid w:val="003E71A4"/>
    <w:rsid w:val="00417D88"/>
    <w:rsid w:val="00440161"/>
    <w:rsid w:val="00460907"/>
    <w:rsid w:val="004A0D75"/>
    <w:rsid w:val="004B4729"/>
    <w:rsid w:val="00530935"/>
    <w:rsid w:val="00591758"/>
    <w:rsid w:val="005A6893"/>
    <w:rsid w:val="00600AF8"/>
    <w:rsid w:val="006B2492"/>
    <w:rsid w:val="006D2E3F"/>
    <w:rsid w:val="0072088C"/>
    <w:rsid w:val="00722596"/>
    <w:rsid w:val="0072708B"/>
    <w:rsid w:val="0075297A"/>
    <w:rsid w:val="00776D79"/>
    <w:rsid w:val="007D038E"/>
    <w:rsid w:val="0084609D"/>
    <w:rsid w:val="008879D5"/>
    <w:rsid w:val="008F3465"/>
    <w:rsid w:val="00912793"/>
    <w:rsid w:val="00944F6C"/>
    <w:rsid w:val="00967A2B"/>
    <w:rsid w:val="00975411"/>
    <w:rsid w:val="00996D3F"/>
    <w:rsid w:val="009A1918"/>
    <w:rsid w:val="009A7032"/>
    <w:rsid w:val="009B6C69"/>
    <w:rsid w:val="009F2DAB"/>
    <w:rsid w:val="00A179B7"/>
    <w:rsid w:val="00A31640"/>
    <w:rsid w:val="00A9676F"/>
    <w:rsid w:val="00AE07CD"/>
    <w:rsid w:val="00AE263A"/>
    <w:rsid w:val="00B13FE1"/>
    <w:rsid w:val="00B36DEC"/>
    <w:rsid w:val="00B5723D"/>
    <w:rsid w:val="00B913C7"/>
    <w:rsid w:val="00BB6ACB"/>
    <w:rsid w:val="00C06769"/>
    <w:rsid w:val="00C07CAA"/>
    <w:rsid w:val="00CD795D"/>
    <w:rsid w:val="00CE452E"/>
    <w:rsid w:val="00D37452"/>
    <w:rsid w:val="00D44A02"/>
    <w:rsid w:val="00D5592C"/>
    <w:rsid w:val="00D6512F"/>
    <w:rsid w:val="00D9343B"/>
    <w:rsid w:val="00E02AF2"/>
    <w:rsid w:val="00E1290E"/>
    <w:rsid w:val="00E32FDD"/>
    <w:rsid w:val="00E94DA3"/>
    <w:rsid w:val="00EB7300"/>
    <w:rsid w:val="00EB798E"/>
    <w:rsid w:val="00EC544A"/>
    <w:rsid w:val="00EC6D44"/>
    <w:rsid w:val="00EF5C5E"/>
    <w:rsid w:val="00F13BFB"/>
    <w:rsid w:val="00F2551D"/>
    <w:rsid w:val="00F80A3E"/>
    <w:rsid w:val="00F963F7"/>
    <w:rsid w:val="00F978DC"/>
    <w:rsid w:val="00FD600D"/>
    <w:rsid w:val="00FE18AA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0D5254"/>
  <w15:chartTrackingRefBased/>
  <w15:docId w15:val="{EED40F9F-DEC0-43D1-9AB8-3E45B22E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591758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pPr>
      <w:spacing w:after="0"/>
    </w:pPr>
    <w:rPr>
      <w:color w:val="auto"/>
    </w:rPr>
  </w:style>
  <w:style w:type="character" w:customStyle="1" w:styleId="DocumenttitleChar">
    <w:name w:val="Document title 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  <w:color w:val="auto"/>
      <w:sz w:val="22"/>
    </w:rPr>
  </w:style>
  <w:style w:type="character" w:customStyle="1" w:styleId="Heading2-BulletlistChar">
    <w:name w:val="Heading 2 - Bullet list 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basedOn w:val="Heading2-Bulletlist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color w:val="776F65"/>
      <w:sz w:val="24"/>
      <w:szCs w:val="24"/>
    </w:rPr>
  </w:style>
  <w:style w:type="character" w:customStyle="1" w:styleId="Heading2-InstructionChar">
    <w:name w:val="Heading 2 - Instruction 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Pr>
      <w:rFonts w:eastAsia="Times New Roman"/>
      <w:sz w:val="22"/>
      <w:szCs w:val="24"/>
      <w:lang w:val="en-AU" w:eastAsia="en-US" w:bidi="ar-SA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before="60" w:after="60"/>
      <w:ind w:left="284" w:hanging="284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link w:val="Summaryheading"/>
    <w:rPr>
      <w:rFonts w:eastAsia="Times New Roman"/>
      <w:b/>
      <w:sz w:val="22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</w:style>
  <w:style w:type="character" w:customStyle="1" w:styleId="Documenttype-PracticeStatementChar">
    <w:name w:val="Document type - Practice Statement 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Pr>
      <w:b/>
      <w:color w:val="FFFFFF"/>
    </w:rPr>
  </w:style>
  <w:style w:type="paragraph" w:customStyle="1" w:styleId="Titleofdocument">
    <w:name w:val="Title of document"/>
    <w:basedOn w:val="Heading1"/>
    <w:link w:val="TitleofdocumentChar"/>
    <w:pPr>
      <w:spacing w:line="276" w:lineRule="auto"/>
    </w:pPr>
  </w:style>
  <w:style w:type="character" w:customStyle="1" w:styleId="TitleofdocumentChar">
    <w:name w:val="Title of document 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DocumentType-Reference">
    <w:name w:val="Document Type - Reference"/>
    <w:basedOn w:val="Documenttype"/>
    <w:link w:val="DocumentType-ReferenceChar"/>
    <w:pPr>
      <w:shd w:val="clear" w:color="auto" w:fill="00759A"/>
    </w:pPr>
  </w:style>
  <w:style w:type="character" w:customStyle="1" w:styleId="DocumentType-ReferenceChar">
    <w:name w:val="Document Type - Reference Char"/>
    <w:link w:val="Document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pPr>
      <w:spacing w:before="120"/>
    </w:pPr>
    <w:rPr>
      <w:rFonts w:ascii="Verdana" w:eastAsia="Times New Roman" w:hAnsi="Verdana"/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rPr>
      <w:rFonts w:ascii="Verdana" w:eastAsia="Times New Roman" w:hAnsi="Verdana"/>
    </w:rPr>
  </w:style>
  <w:style w:type="character" w:styleId="FollowedHyperlink">
    <w:name w:val="FollowedHyperlink"/>
    <w:uiPriority w:val="99"/>
    <w:semiHidden/>
    <w:unhideWhenUsed/>
    <w:rsid w:val="00FE18AA"/>
    <w:rPr>
      <w:color w:val="954F72"/>
      <w:u w:val="single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Verdana" w:eastAsia="Times New Roman" w:hAnsi="Verdana"/>
      <w:b/>
      <w:bCs/>
      <w:lang w:eastAsia="en-US"/>
    </w:rPr>
  </w:style>
  <w:style w:type="paragraph" w:customStyle="1" w:styleId="Numberedlist">
    <w:name w:val="Numbered list"/>
    <w:basedOn w:val="ListBullet"/>
    <w:rsid w:val="00600AF8"/>
    <w:pPr>
      <w:numPr>
        <w:numId w:val="19"/>
      </w:numPr>
      <w:tabs>
        <w:tab w:val="left" w:pos="0"/>
      </w:tabs>
      <w:ind w:left="426" w:hanging="426"/>
    </w:pPr>
  </w:style>
  <w:style w:type="character" w:styleId="CommentReference">
    <w:name w:val="annotation reference"/>
    <w:uiPriority w:val="99"/>
    <w:semiHidden/>
    <w:unhideWhenUsed/>
    <w:rsid w:val="00F80A3E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0A3E"/>
    <w:rPr>
      <w:color w:val="808080"/>
    </w:rPr>
  </w:style>
  <w:style w:type="paragraph" w:styleId="Revision">
    <w:name w:val="Revision"/>
    <w:hidden/>
    <w:uiPriority w:val="99"/>
    <w:semiHidden/>
    <w:rsid w:val="00B36DE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griculture.gov.au/export/controlled-goods/plants-plant-products/plantexportsmanual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CEC63AD484114A4B60E4CE909A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5631-2882-40DB-982F-8F553E61FA2C}"/>
      </w:docPartPr>
      <w:docPartBody>
        <w:p w:rsidR="008F42E4" w:rsidRDefault="00886921" w:rsidP="00886921">
          <w:pPr>
            <w:pStyle w:val="7AACEC63AD484114A4B60E4CE909AC72"/>
          </w:pPr>
          <w:r w:rsidRPr="000B2434">
            <w:rPr>
              <w:rStyle w:val="PlaceholderText"/>
            </w:rPr>
            <w:t>[Document ID Value]</w:t>
          </w:r>
        </w:p>
      </w:docPartBody>
    </w:docPart>
    <w:docPart>
      <w:docPartPr>
        <w:name w:val="EE2E27C47A414681923761CC102A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99E0-CD9C-49A9-B660-1E4B09316BA5}"/>
      </w:docPartPr>
      <w:docPartBody>
        <w:p w:rsidR="008F42E4" w:rsidRDefault="00886921" w:rsidP="00886921">
          <w:pPr>
            <w:pStyle w:val="EE2E27C47A414681923761CC102A3939"/>
          </w:pPr>
          <w:r w:rsidRPr="00AB332D">
            <w:rPr>
              <w:rStyle w:val="PlaceholderText"/>
            </w:rPr>
            <w:t>[IML version]</w:t>
          </w:r>
        </w:p>
      </w:docPartBody>
    </w:docPart>
    <w:docPart>
      <w:docPartPr>
        <w:name w:val="6DBA3235464E4BA4BCBEB1710BDA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DDAF-B2D0-4B15-90C7-DA6C32751DF7}"/>
      </w:docPartPr>
      <w:docPartBody>
        <w:p w:rsidR="008F42E4" w:rsidRDefault="00886921" w:rsidP="00886921">
          <w:pPr>
            <w:pStyle w:val="6DBA3235464E4BA4BCBEB1710BDAAD33"/>
          </w:pPr>
          <w:r w:rsidRPr="00AB332D">
            <w:rPr>
              <w:rStyle w:val="PlaceholderText"/>
            </w:rPr>
            <w:t>[Date published]</w:t>
          </w:r>
        </w:p>
      </w:docPartBody>
    </w:docPart>
    <w:docPart>
      <w:docPartPr>
        <w:name w:val="9C4F2D84BA4E41B197715B120E78C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145B-CB10-4CCF-957E-8BE0217E0260}"/>
      </w:docPartPr>
      <w:docPartBody>
        <w:p w:rsidR="004A0FEA" w:rsidRDefault="001A3EB2">
          <w:r w:rsidRPr="00C551DF">
            <w:rPr>
              <w:rStyle w:val="PlaceholderText"/>
            </w:rPr>
            <w:t>[IML version]</w:t>
          </w:r>
        </w:p>
      </w:docPartBody>
    </w:docPart>
    <w:docPart>
      <w:docPartPr>
        <w:name w:val="201CF346B2F44CEDACE17688E8FE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F15A-B9F2-4AB2-B2CB-86977FFA78BB}"/>
      </w:docPartPr>
      <w:docPartBody>
        <w:p w:rsidR="004A0FEA" w:rsidRDefault="001A3EB2">
          <w:r w:rsidRPr="00C551DF">
            <w:rPr>
              <w:rStyle w:val="PlaceholderText"/>
            </w:rPr>
            <w:t>[Title]</w:t>
          </w:r>
        </w:p>
      </w:docPartBody>
    </w:docPart>
    <w:docPart>
      <w:docPartPr>
        <w:name w:val="2B85449A706C4B42B6C37A216583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307A-6F03-4ED0-B350-42CC1A331BC7}"/>
      </w:docPartPr>
      <w:docPartBody>
        <w:p w:rsidR="004A0FEA" w:rsidRDefault="001A3EB2">
          <w:r w:rsidRPr="00C551DF">
            <w:rPr>
              <w:rStyle w:val="PlaceholderText"/>
            </w:rPr>
            <w:t>[Date published]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21"/>
    <w:rsid w:val="001A3EB2"/>
    <w:rsid w:val="004A0FEA"/>
    <w:rsid w:val="00886921"/>
    <w:rsid w:val="008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EB2"/>
    <w:rPr>
      <w:color w:val="808080"/>
    </w:rPr>
  </w:style>
  <w:style w:type="paragraph" w:customStyle="1" w:styleId="7AACEC63AD484114A4B60E4CE909AC72">
    <w:name w:val="7AACEC63AD484114A4B60E4CE909AC72"/>
    <w:rsid w:val="00886921"/>
  </w:style>
  <w:style w:type="paragraph" w:customStyle="1" w:styleId="EE2E27C47A414681923761CC102A3939">
    <w:name w:val="EE2E27C47A414681923761CC102A3939"/>
    <w:rsid w:val="00886921"/>
  </w:style>
  <w:style w:type="paragraph" w:customStyle="1" w:styleId="6DBA3235464E4BA4BCBEB1710BDAAD33">
    <w:name w:val="6DBA3235464E4BA4BCBEB1710BDAAD33"/>
    <w:rsid w:val="00886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CA1D96F-3187-4579-A00F-3149D8046899}">
  <ds:schemaRefs>
    <ds:schemaRef ds:uri="http://schemas.microsoft.com/office/2006/metadata/properties"/>
    <ds:schemaRef ds:uri="c95b51c2-b2ac-4224-a5b5-069909057829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2b53c995-2120-4bc0-8922-c25044d37f65"/>
    <ds:schemaRef ds:uri="http://www.w3.org/XML/1998/namespace"/>
    <ds:schemaRef ds:uri="http://schemas.openxmlformats.org/package/2006/metadata/core-properties"/>
    <ds:schemaRef ds:uri="81c01dc6-2c49-4730-b140-874c95cac37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3F9266-96C7-46B7-BE66-E086AC76F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37DF6-8FB2-4735-B87C-5335516DC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FC6883-A72E-4F8D-B67B-CE3281F9C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2734BC-88E0-46A3-A18A-30DBD07F6E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Reference: performance standards - quality system recognition</vt:lpstr>
    </vt:vector>
  </TitlesOfParts>
  <Company/>
  <LinksUpToDate>false</LinksUpToDate>
  <CharactersWithSpaces>6684</CharactersWithSpaces>
  <SharedDoc>false</SharedDoc>
  <HLinks>
    <vt:vector size="54" baseType="variant">
      <vt:variant>
        <vt:i4>65624</vt:i4>
      </vt:variant>
      <vt:variant>
        <vt:i4>51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_Toc407107659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_Toc407107658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_Toc407107657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_Toc407107656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_Toc407107655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_Toc407107654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_Toc407107653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_Toc407107652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 performance standards - quality system recognition</dc:title>
  <dc:subject/>
  <dc:creator>Department of Agriculture, Fisheries and Forestry</dc:creator>
  <cp:keywords/>
  <dc:description/>
  <cp:lastModifiedBy>Fiona Goggins</cp:lastModifiedBy>
  <cp:revision>3</cp:revision>
  <cp:lastPrinted>2014-12-23T02:48:00Z</cp:lastPrinted>
  <dcterms:created xsi:type="dcterms:W3CDTF">2023-07-17T00:35:00Z</dcterms:created>
  <dcterms:modified xsi:type="dcterms:W3CDTF">2023-07-17T05:22:00Z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Template No">
    <vt:lpwstr>5.00000000000000</vt:lpwstr>
  </property>
  <property fmtid="{D5CDD505-2E9C-101B-9397-08002B2CF9AE}" pid="4" name="ContentTypeId">
    <vt:lpwstr>0x010100C8B04A66FC9C6E4C9192AC8DD4BD954B020060FBC3538CDEAB43918D73C5BBBED7060037A2B077E2E94D49A11838000C2D48C2</vt:lpwstr>
  </property>
  <property fmtid="{D5CDD505-2E9C-101B-9397-08002B2CF9AE}" pid="5" name="Section">
    <vt:lpwstr>846;#Authorised Officer Program|e975f904-4f58-450d-97ea-5fa5b07b4338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Branch">
    <vt:lpwstr>845;#Plant Export Operations|49af6338-80ee-4dde-8d87-ab0f74deea08</vt:lpwstr>
  </property>
  <property fmtid="{D5CDD505-2E9C-101B-9397-08002B2CF9AE}" pid="8" name="CDMSDocumentType">
    <vt:lpwstr>119;#3.1 Reference|3f6e3ac3-4b14-47d9-844b-4f1a5b7aca54</vt:lpwstr>
  </property>
  <property fmtid="{D5CDD505-2E9C-101B-9397-08002B2CF9AE}" pid="9" name="Function1">
    <vt:lpwstr>941;#Establishments|2be632ab-e155-450e-9808-1f82007b337e</vt:lpwstr>
  </property>
  <property fmtid="{D5CDD505-2E9C-101B-9397-08002B2CF9AE}" pid="10" name="BusinessService">
    <vt:lpwstr/>
  </property>
  <property fmtid="{D5CDD505-2E9C-101B-9397-08002B2CF9AE}" pid="11" name="Legislation">
    <vt:lpwstr/>
  </property>
  <property fmtid="{D5CDD505-2E9C-101B-9397-08002B2CF9AE}" pid="12" name="Activities">
    <vt:lpwstr>949;#Quality systems recognition|3ad89387-0434-4810-ad34-1a8ac0a6b4db</vt:lpwstr>
  </property>
  <property fmtid="{D5CDD505-2E9C-101B-9397-08002B2CF9AE}" pid="13" name="TopicPage">
    <vt:lpwstr>625;#Plant Exports|8c351e2c-f5e8-402e-aa15-87b507a326f3</vt:lpwstr>
  </property>
  <property fmtid="{D5CDD505-2E9C-101B-9397-08002B2CF9AE}" pid="14" name="Systems">
    <vt:lpwstr/>
  </property>
  <property fmtid="{D5CDD505-2E9C-101B-9397-08002B2CF9AE}" pid="15" name="Division">
    <vt:lpwstr>1339;#Traceability, Plant and Live Animal Exports|48b05eac-f983-4082-a4e5-acb65f518ff6</vt:lpwstr>
  </property>
  <property fmtid="{D5CDD505-2E9C-101B-9397-08002B2CF9AE}" pid="16" name="_dlc_DocIdItemGuid">
    <vt:lpwstr>cc9a1c79-a5c9-42e5-9232-cddf08ad2c81</vt:lpwstr>
  </property>
  <property fmtid="{D5CDD505-2E9C-101B-9397-08002B2CF9AE}" pid="17" name="WorkflowCreationPath">
    <vt:lpwstr>680f5786-0236-4809-a685-d604790e1d93;9e2f4e14-c6c4-45ca-85db-7fff077991e9;</vt:lpwstr>
  </property>
  <property fmtid="{D5CDD505-2E9C-101B-9397-08002B2CF9AE}" pid="18" name="GUID">
    <vt:lpwstr>eeab4dc6-f1f9-4468-a74f-fb4717958780</vt:lpwstr>
  </property>
  <property fmtid="{D5CDD505-2E9C-101B-9397-08002B2CF9AE}" pid="19" name="WorkflowChangePath">
    <vt:lpwstr>a8d67450-57fc-47f9-817c-5932e8697eee,22;a8d67450-57fc-47f9-817c-5932e8697eee,24;c04ed195-4b0d-4bb7-bc61-291d0849d450,26;c04ed195-4b0d-4bb7-bc61-291d0849d450,28;c04ed195-4b0d-4bb7-bc61-291d0849d450,28;c04ed195-4b0d-4bb7-bc61-291d0849d450,30;c04ed195-4b0d-4bb7-bc61-291d0849d450,38;babb39b6-1b95-440b-aa0f-bc9b98c8239c,42;babb39b6-1b95-440b-aa0f-bc9b98c8239c,46;af504333-a212-4141-acb6-da331c1e6aa8,60;af504333-a212-4141-acb6-da331c1e6aa8,60;af504333-a212-4141-acb6-da331c1e6aa8,60;af504333-a212-4141-acb6-da331c1e6aa8,62;af504333-a212-4141-acb6-da331c1e6aa8,62;</vt:lpwstr>
  </property>
  <property fmtid="{D5CDD505-2E9C-101B-9397-08002B2CF9AE}" pid="20" name="MediaServiceImageTags">
    <vt:lpwstr/>
  </property>
</Properties>
</file>