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175C" w14:textId="77777777" w:rsidR="005A076E" w:rsidRPr="00E9312E" w:rsidRDefault="005A076E"/>
    <w:p w14:paraId="25A6175D" w14:textId="77777777" w:rsidR="0018616F" w:rsidRDefault="009308E1" w:rsidP="00A818BC">
      <w:pPr>
        <w:jc w:val="center"/>
      </w:pPr>
      <w:r w:rsidRPr="00755FDA">
        <w:rPr>
          <w:noProof/>
          <w:sz w:val="40"/>
          <w:szCs w:val="40"/>
          <w:lang w:eastAsia="en-AU"/>
        </w:rPr>
        <w:t xml:space="preserve">Offshore Installations </w:t>
      </w:r>
      <w:r w:rsidR="00E378F8" w:rsidRPr="00755FDA">
        <w:rPr>
          <w:noProof/>
          <w:sz w:val="40"/>
          <w:szCs w:val="40"/>
          <w:lang w:eastAsia="en-AU"/>
        </w:rPr>
        <w:t xml:space="preserve">- </w:t>
      </w:r>
      <w:r w:rsidR="00B05DC1" w:rsidRPr="00755FDA">
        <w:rPr>
          <w:noProof/>
          <w:sz w:val="40"/>
          <w:szCs w:val="40"/>
          <w:lang w:eastAsia="en-AU"/>
        </w:rPr>
        <w:t xml:space="preserve">Biosecurity </w:t>
      </w:r>
      <w:r w:rsidRPr="00755FDA">
        <w:rPr>
          <w:noProof/>
          <w:sz w:val="40"/>
          <w:szCs w:val="40"/>
          <w:lang w:eastAsia="en-AU"/>
        </w:rPr>
        <w:t>Guide</w:t>
      </w:r>
      <w:r>
        <w:pict w14:anchorId="25A6181C">
          <v:rect id="_x0000_i1025" style="width:451.3pt;height:3pt" o:hralign="center" o:hrstd="t" o:hrnoshade="t" o:hr="t" fillcolor="#d5d2ca" stroked="f"/>
        </w:pict>
      </w:r>
    </w:p>
    <w:p w14:paraId="25A6175E" w14:textId="77777777" w:rsidR="005A076E" w:rsidRPr="00755FDA" w:rsidRDefault="009308E1">
      <w:pPr>
        <w:pStyle w:val="Heading1"/>
        <w:numPr>
          <w:ilvl w:val="0"/>
          <w:numId w:val="0"/>
        </w:numPr>
        <w:ind w:left="432" w:right="56" w:hanging="432"/>
        <w:rPr>
          <w:rFonts w:ascii="Calibri" w:hAnsi="Calibri"/>
          <w:color w:val="auto"/>
        </w:rPr>
      </w:pPr>
      <w:bookmarkStart w:id="0" w:name="_Toc285661054"/>
      <w:bookmarkStart w:id="1" w:name="_Toc285707844"/>
      <w:bookmarkStart w:id="2" w:name="_Toc285720500"/>
      <w:bookmarkStart w:id="3" w:name="_Toc285720664"/>
      <w:bookmarkStart w:id="4" w:name="_Toc300584856"/>
      <w:bookmarkStart w:id="5" w:name="_Toc300584904"/>
      <w:bookmarkStart w:id="6" w:name="_Toc301169550"/>
      <w:bookmarkStart w:id="7" w:name="_Toc55472620"/>
      <w:r w:rsidRPr="00755FDA">
        <w:rPr>
          <w:rFonts w:ascii="Calibri" w:hAnsi="Calibri"/>
          <w:color w:val="auto"/>
        </w:rPr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5A6175F" w14:textId="77777777" w:rsidR="007505E4" w:rsidRDefault="009308E1">
      <w:pPr>
        <w:pStyle w:val="TOC1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r w:rsidRPr="00755FDA">
        <w:rPr>
          <w:b/>
          <w:bCs/>
        </w:rPr>
        <w:fldChar w:fldCharType="begin"/>
      </w:r>
      <w:r w:rsidR="00205378" w:rsidRPr="00E9312E">
        <w:rPr>
          <w:b/>
          <w:bCs/>
        </w:rPr>
        <w:instrText xml:space="preserve"> TOC \o "1-3" \h \z \u </w:instrText>
      </w:r>
      <w:r w:rsidRPr="00755FDA">
        <w:rPr>
          <w:b/>
          <w:bCs/>
        </w:rPr>
        <w:fldChar w:fldCharType="separate"/>
      </w:r>
      <w:hyperlink w:anchor="_Toc55472620" w:history="1">
        <w:r w:rsidRPr="008C49B2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A61760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1" w:history="1">
        <w:r w:rsidRPr="008C49B2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5A61761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2" w:history="1">
        <w:r w:rsidRPr="008C49B2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5A61762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3" w:history="1">
        <w:r w:rsidRPr="008C49B2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Regulatory framew</w:t>
        </w:r>
        <w:r w:rsidRPr="008C49B2">
          <w:rPr>
            <w:rStyle w:val="Hyperlink"/>
            <w:noProof/>
          </w:rPr>
          <w:t>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A61763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4" w:history="1">
        <w:r w:rsidRPr="008C49B2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Installations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A61764" w14:textId="77777777" w:rsidR="007505E4" w:rsidRDefault="009308E1">
      <w:pPr>
        <w:pStyle w:val="TOC2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5" w:history="1">
        <w:r w:rsidRPr="008C49B2">
          <w:rPr>
            <w:rStyle w:val="Hyperlink"/>
            <w:rFonts w:cstheme="minorHAnsi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Management of a conveyance’s exposure to an 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A61765" w14:textId="77777777" w:rsidR="007505E4" w:rsidRDefault="009308E1">
      <w:pPr>
        <w:pStyle w:val="TOC2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6" w:history="1">
        <w:r w:rsidRPr="008C49B2">
          <w:rPr>
            <w:rStyle w:val="Hyperlink"/>
            <w:rFonts w:cstheme="minorHAnsi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Installations outside of Australian territory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A61766" w14:textId="77777777" w:rsidR="007505E4" w:rsidRDefault="009308E1">
      <w:pPr>
        <w:pStyle w:val="TOC3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7" w:history="1">
        <w:r w:rsidRPr="008C49B2">
          <w:rPr>
            <w:rStyle w:val="Hyperlink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Low risk 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A61767" w14:textId="77777777" w:rsidR="007505E4" w:rsidRDefault="009308E1">
      <w:pPr>
        <w:pStyle w:val="TOC3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8" w:history="1">
        <w:r w:rsidRPr="008C49B2">
          <w:rPr>
            <w:rStyle w:val="Hyperlink"/>
            <w:noProof/>
          </w:rPr>
          <w:t>4.2.2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Approved Arrangement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A61768" w14:textId="77777777" w:rsidR="007505E4" w:rsidRDefault="009308E1">
      <w:pPr>
        <w:pStyle w:val="TOC2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29" w:history="1">
        <w:r w:rsidRPr="008C49B2">
          <w:rPr>
            <w:rStyle w:val="Hyperlink"/>
            <w:rFonts w:cstheme="minorHAnsi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 xml:space="preserve">Installations inside Australian </w:t>
        </w:r>
        <w:r w:rsidRPr="008C49B2">
          <w:rPr>
            <w:rStyle w:val="Hyperlink"/>
            <w:noProof/>
          </w:rPr>
          <w:t>territory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A61769" w14:textId="77777777" w:rsidR="007505E4" w:rsidRDefault="009308E1">
      <w:pPr>
        <w:pStyle w:val="TOC2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0" w:history="1">
        <w:r w:rsidRPr="008C49B2">
          <w:rPr>
            <w:rStyle w:val="Hyperlink"/>
            <w:rFonts w:cstheme="minorHAnsi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Disinsection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A6176A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1" w:history="1">
        <w:r w:rsidRPr="008C49B2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General conveyance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A6176B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2" w:history="1">
        <w:r w:rsidRPr="008C49B2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Vessel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A6176C" w14:textId="77777777" w:rsidR="007505E4" w:rsidRDefault="009308E1">
      <w:pPr>
        <w:pStyle w:val="TOC2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3" w:history="1">
        <w:r w:rsidRPr="008C49B2">
          <w:rPr>
            <w:rStyle w:val="Hyperlink"/>
            <w:rFonts w:cstheme="minorHAnsi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Ballast water management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A6176D" w14:textId="77777777" w:rsidR="007505E4" w:rsidRDefault="009308E1">
      <w:pPr>
        <w:pStyle w:val="TOC2"/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4" w:history="1">
        <w:r w:rsidRPr="008C49B2">
          <w:rPr>
            <w:rStyle w:val="Hyperlink"/>
            <w:rFonts w:cstheme="minorHAnsi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Biofouling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A6176E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5" w:history="1">
        <w:r w:rsidRPr="008C49B2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Contact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A6176F" w14:textId="77777777" w:rsidR="007505E4" w:rsidRDefault="009308E1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lang w:val="en-AU" w:eastAsia="en-AU" w:bidi="ar-SA"/>
        </w:rPr>
      </w:pPr>
      <w:hyperlink w:anchor="_Toc55472636" w:history="1">
        <w:r w:rsidRPr="008C49B2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lang w:val="en-AU" w:eastAsia="en-AU" w:bidi="ar-SA"/>
          </w:rPr>
          <w:tab/>
        </w:r>
        <w:r w:rsidRPr="008C49B2">
          <w:rPr>
            <w:rStyle w:val="Hyperlink"/>
            <w:noProof/>
          </w:rPr>
          <w:t>Version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_Toc55472636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A61770" w14:textId="77777777" w:rsidR="007367AC" w:rsidRDefault="009308E1" w:rsidP="007367AC">
      <w:pPr>
        <w:pStyle w:val="Heading1"/>
        <w:numPr>
          <w:ilvl w:val="0"/>
          <w:numId w:val="0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 w:rsidRPr="00755FDA">
        <w:rPr>
          <w:rFonts w:ascii="Calibri" w:hAnsi="Calibri"/>
          <w:b w:val="0"/>
          <w:bCs w:val="0"/>
          <w:color w:val="auto"/>
          <w:sz w:val="22"/>
          <w:szCs w:val="22"/>
        </w:rPr>
        <w:fldChar w:fldCharType="end"/>
      </w:r>
      <w:bookmarkStart w:id="8" w:name="_Toc300584857"/>
      <w:bookmarkStart w:id="9" w:name="_Toc300584905"/>
      <w:bookmarkStart w:id="10" w:name="_Toc301169551"/>
    </w:p>
    <w:p w14:paraId="25A61771" w14:textId="77777777" w:rsidR="002E6CB6" w:rsidRPr="00755FDA" w:rsidRDefault="009308E1" w:rsidP="002E6CB6">
      <w:pPr>
        <w:pStyle w:val="Heading1"/>
        <w:rPr>
          <w:rFonts w:ascii="Calibri" w:hAnsi="Calibri"/>
          <w:color w:val="auto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br w:type="page"/>
      </w:r>
      <w:bookmarkStart w:id="11" w:name="_Toc55472621"/>
      <w:r w:rsidRPr="00755FDA">
        <w:rPr>
          <w:rFonts w:ascii="Calibri" w:hAnsi="Calibri"/>
          <w:color w:val="auto"/>
        </w:rPr>
        <w:lastRenderedPageBreak/>
        <w:t>Purpose</w:t>
      </w:r>
      <w:bookmarkEnd w:id="11"/>
    </w:p>
    <w:p w14:paraId="25A61772" w14:textId="77777777" w:rsidR="002E6CB6" w:rsidRPr="00E9312E" w:rsidRDefault="009308E1" w:rsidP="002E6CB6">
      <w:pPr>
        <w:rPr>
          <w:rStyle w:val="Hyperlink"/>
          <w:color w:val="auto"/>
        </w:rPr>
      </w:pPr>
      <w:r w:rsidRPr="00E9312E">
        <w:rPr>
          <w:rFonts w:cs="Arial"/>
        </w:rPr>
        <w:t xml:space="preserve">This document provides guidance to the offshore petroleum industry on Australian biosecurity </w:t>
      </w:r>
      <w:r w:rsidR="00A319D6">
        <w:rPr>
          <w:rFonts w:cs="Arial"/>
        </w:rPr>
        <w:t xml:space="preserve">reporting </w:t>
      </w:r>
      <w:r w:rsidRPr="00E9312E">
        <w:rPr>
          <w:rFonts w:cs="Arial"/>
        </w:rPr>
        <w:t xml:space="preserve">requirements. It provides information </w:t>
      </w:r>
      <w:r w:rsidRPr="00E9312E">
        <w:rPr>
          <w:rFonts w:cs="Arial"/>
        </w:rPr>
        <w:t>specific to operators of installations</w:t>
      </w:r>
      <w:r>
        <w:rPr>
          <w:rFonts w:cs="Arial"/>
        </w:rPr>
        <w:t>/petroleum industry vessels (PIVs)</w:t>
      </w:r>
      <w:r w:rsidRPr="00E9312E">
        <w:rPr>
          <w:rFonts w:cs="Arial"/>
        </w:rPr>
        <w:t xml:space="preserve"> and operators of conveyances which are exposed to installations</w:t>
      </w:r>
      <w:r>
        <w:rPr>
          <w:rFonts w:cs="Arial"/>
        </w:rPr>
        <w:t>/PIVs</w:t>
      </w:r>
      <w:r w:rsidRPr="00E9312E">
        <w:rPr>
          <w:rFonts w:cs="Arial"/>
        </w:rPr>
        <w:t>.</w:t>
      </w:r>
    </w:p>
    <w:p w14:paraId="25A61773" w14:textId="77777777" w:rsidR="005A076E" w:rsidRPr="00687090" w:rsidRDefault="009308E1" w:rsidP="007367AC">
      <w:pPr>
        <w:pStyle w:val="Heading1"/>
        <w:rPr>
          <w:rFonts w:ascii="Calibri" w:hAnsi="Calibri"/>
          <w:color w:val="auto"/>
        </w:rPr>
      </w:pPr>
      <w:bookmarkStart w:id="12" w:name="_Toc55472622"/>
      <w:r w:rsidRPr="00687090">
        <w:rPr>
          <w:rFonts w:ascii="Calibri" w:hAnsi="Calibri"/>
          <w:color w:val="auto"/>
        </w:rPr>
        <w:t>G</w:t>
      </w:r>
      <w:r w:rsidR="00B748CC" w:rsidRPr="00687090">
        <w:rPr>
          <w:rFonts w:ascii="Calibri" w:hAnsi="Calibri"/>
          <w:color w:val="auto"/>
        </w:rPr>
        <w:t>lossary</w:t>
      </w:r>
      <w:bookmarkEnd w:id="8"/>
      <w:bookmarkEnd w:id="9"/>
      <w:bookmarkEnd w:id="10"/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990"/>
      </w:tblGrid>
      <w:tr w:rsidR="003C736D" w14:paraId="25A61776" w14:textId="77777777" w:rsidTr="00687090">
        <w:trPr>
          <w:cantSplit/>
        </w:trPr>
        <w:tc>
          <w:tcPr>
            <w:tcW w:w="2660" w:type="dxa"/>
            <w:shd w:val="clear" w:color="auto" w:fill="BFBFBF" w:themeFill="background1" w:themeFillShade="BF"/>
          </w:tcPr>
          <w:p w14:paraId="25A61774" w14:textId="77777777" w:rsidR="005A076E" w:rsidRPr="009067D7" w:rsidRDefault="009308E1" w:rsidP="009067D7">
            <w:pPr>
              <w:spacing w:before="60" w:afterLines="60" w:after="144" w:line="240" w:lineRule="auto"/>
              <w:rPr>
                <w:rFonts w:cs="Arial"/>
                <w:b/>
                <w:bCs/>
              </w:rPr>
            </w:pPr>
            <w:r w:rsidRPr="009067D7">
              <w:rPr>
                <w:rFonts w:cs="Arial"/>
                <w:b/>
                <w:bCs/>
              </w:rPr>
              <w:t xml:space="preserve">Term 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25A61775" w14:textId="77777777" w:rsidR="005A076E" w:rsidRPr="009067D7" w:rsidRDefault="009308E1" w:rsidP="009067D7">
            <w:pPr>
              <w:spacing w:before="60" w:afterLines="60" w:after="144" w:line="240" w:lineRule="auto"/>
              <w:rPr>
                <w:rFonts w:cs="Arial"/>
                <w:b/>
                <w:bCs/>
              </w:rPr>
            </w:pPr>
            <w:r w:rsidRPr="009067D7">
              <w:rPr>
                <w:rFonts w:cs="Arial"/>
                <w:b/>
                <w:bCs/>
              </w:rPr>
              <w:t>Definition</w:t>
            </w:r>
          </w:p>
        </w:tc>
      </w:tr>
      <w:tr w:rsidR="003C736D" w14:paraId="25A61779" w14:textId="77777777" w:rsidTr="00687090">
        <w:trPr>
          <w:cantSplit/>
        </w:trPr>
        <w:tc>
          <w:tcPr>
            <w:tcW w:w="2660" w:type="dxa"/>
          </w:tcPr>
          <w:p w14:paraId="25A61777" w14:textId="77777777" w:rsidR="00633C25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Approved Arrangement</w:t>
            </w:r>
          </w:p>
        </w:tc>
        <w:tc>
          <w:tcPr>
            <w:tcW w:w="7087" w:type="dxa"/>
          </w:tcPr>
          <w:p w14:paraId="25A61778" w14:textId="77777777" w:rsidR="00633C25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 xml:space="preserve">An arrangement to provide for a person to carry out </w:t>
            </w:r>
            <w:r w:rsidRPr="00755FDA">
              <w:rPr>
                <w:rFonts w:cs="Arial"/>
              </w:rPr>
              <w:t>specified activities to manage biosecurity risk</w:t>
            </w:r>
            <w:r w:rsidR="00373B09" w:rsidRPr="00755FDA">
              <w:rPr>
                <w:rFonts w:cs="Arial"/>
              </w:rPr>
              <w:t xml:space="preserve">s associated with specific goods, </w:t>
            </w:r>
            <w:proofErr w:type="gramStart"/>
            <w:r w:rsidR="00373B09" w:rsidRPr="00755FDA">
              <w:rPr>
                <w:rFonts w:cs="Arial"/>
              </w:rPr>
              <w:t>premises</w:t>
            </w:r>
            <w:proofErr w:type="gramEnd"/>
            <w:r w:rsidR="00373B09" w:rsidRPr="00755FDA">
              <w:rPr>
                <w:rFonts w:cs="Arial"/>
              </w:rPr>
              <w:t xml:space="preserve"> or other things.</w:t>
            </w:r>
          </w:p>
        </w:tc>
      </w:tr>
      <w:tr w:rsidR="003C736D" w14:paraId="25A6177F" w14:textId="77777777" w:rsidTr="00687090">
        <w:trPr>
          <w:cantSplit/>
        </w:trPr>
        <w:tc>
          <w:tcPr>
            <w:tcW w:w="2660" w:type="dxa"/>
          </w:tcPr>
          <w:p w14:paraId="25A6177A" w14:textId="77777777" w:rsidR="008B259E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Australian territory</w:t>
            </w:r>
          </w:p>
        </w:tc>
        <w:tc>
          <w:tcPr>
            <w:tcW w:w="7087" w:type="dxa"/>
          </w:tcPr>
          <w:p w14:paraId="25A6177B" w14:textId="77777777" w:rsidR="008B259E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Australian territory is a reference to:</w:t>
            </w:r>
          </w:p>
          <w:p w14:paraId="25A6177C" w14:textId="77777777" w:rsidR="00255BEB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 xml:space="preserve">(a) Australia, Christmas Island, Cocos (Keeling) Islands and </w:t>
            </w:r>
            <w:r w:rsidR="00B10D3E">
              <w:rPr>
                <w:rFonts w:cs="Arial"/>
              </w:rPr>
              <w:t>Norfolk Island</w:t>
            </w:r>
            <w:r w:rsidRPr="00755FDA">
              <w:rPr>
                <w:rFonts w:cs="Arial"/>
              </w:rPr>
              <w:t>; and</w:t>
            </w:r>
          </w:p>
          <w:p w14:paraId="25A6177D" w14:textId="77777777" w:rsidR="00255BEB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(b) the airspace over an area covered by paragraph (a); and</w:t>
            </w:r>
          </w:p>
          <w:p w14:paraId="25A6177E" w14:textId="77777777" w:rsidR="00255BEB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 xml:space="preserve">(c) the coastal sea of Australia, of Christmas Island, of Cocos (Keeling) Islands and </w:t>
            </w:r>
            <w:r w:rsidR="00B10D3E">
              <w:rPr>
                <w:rFonts w:cs="Arial"/>
              </w:rPr>
              <w:t>N</w:t>
            </w:r>
            <w:r w:rsidR="00BA2DA6">
              <w:rPr>
                <w:rFonts w:cs="Arial"/>
              </w:rPr>
              <w:t>orfolk I</w:t>
            </w:r>
            <w:r w:rsidR="00B10D3E">
              <w:rPr>
                <w:rFonts w:cs="Arial"/>
              </w:rPr>
              <w:t>sland</w:t>
            </w:r>
            <w:r w:rsidR="00BA2DA6">
              <w:rPr>
                <w:rFonts w:cs="Arial"/>
              </w:rPr>
              <w:t xml:space="preserve"> </w:t>
            </w:r>
            <w:r w:rsidRPr="00755FDA">
              <w:rPr>
                <w:rFonts w:cs="Arial"/>
              </w:rPr>
              <w:t xml:space="preserve">to which </w:t>
            </w:r>
            <w:r w:rsidRPr="00755FDA">
              <w:rPr>
                <w:rFonts w:cs="Arial"/>
              </w:rPr>
              <w:t>the provision extends.</w:t>
            </w:r>
          </w:p>
        </w:tc>
      </w:tr>
      <w:tr w:rsidR="003C736D" w14:paraId="25A61782" w14:textId="77777777" w:rsidTr="00687090">
        <w:trPr>
          <w:cantSplit/>
        </w:trPr>
        <w:tc>
          <w:tcPr>
            <w:tcW w:w="2660" w:type="dxa"/>
          </w:tcPr>
          <w:p w14:paraId="25A61780" w14:textId="77777777" w:rsidR="008B259E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Biosecurity control</w:t>
            </w:r>
          </w:p>
        </w:tc>
        <w:tc>
          <w:tcPr>
            <w:tcW w:w="7087" w:type="dxa"/>
          </w:tcPr>
          <w:p w14:paraId="25A61781" w14:textId="77777777" w:rsidR="008B259E" w:rsidRPr="00755FDA" w:rsidRDefault="009308E1" w:rsidP="009067D7">
            <w:pPr>
              <w:pStyle w:val="NormalWeb"/>
              <w:spacing w:before="60" w:beforeAutospacing="0" w:afterLines="60" w:after="144" w:afterAutospacing="0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 xml:space="preserve">Conveyances (aircraft and vessels) and goods become subject to biosecurity control when they enter Australian territory during a flight or voyage that commenced outside Australian territory. </w:t>
            </w:r>
            <w:r w:rsidR="0002441B" w:rsidRPr="00755FDA">
              <w:rPr>
                <w:rFonts w:cs="Arial"/>
              </w:rPr>
              <w:t>A</w:t>
            </w:r>
            <w:r w:rsidRPr="00755FDA">
              <w:rPr>
                <w:rFonts w:cs="Arial"/>
              </w:rPr>
              <w:t xml:space="preserve"> biosecurity officer</w:t>
            </w:r>
            <w:r w:rsidRPr="00755FDA">
              <w:rPr>
                <w:rFonts w:cs="Arial"/>
              </w:rPr>
              <w:t xml:space="preserve"> has the authority to assess the biosecurity risk </w:t>
            </w:r>
            <w:r w:rsidR="0002441B" w:rsidRPr="00755FDA">
              <w:rPr>
                <w:rFonts w:cs="Arial"/>
              </w:rPr>
              <w:t xml:space="preserve">of these conveyances and goods </w:t>
            </w:r>
            <w:r w:rsidRPr="00755FDA">
              <w:rPr>
                <w:rFonts w:cs="Arial"/>
              </w:rPr>
              <w:t xml:space="preserve">and if the </w:t>
            </w:r>
            <w:r w:rsidR="00776EF1" w:rsidRPr="00755FDA">
              <w:rPr>
                <w:rFonts w:cs="Arial"/>
              </w:rPr>
              <w:t>risk is unacceptable can exercise management powers.</w:t>
            </w:r>
          </w:p>
        </w:tc>
      </w:tr>
      <w:tr w:rsidR="003C736D" w14:paraId="25A61785" w14:textId="77777777" w:rsidTr="00687090">
        <w:trPr>
          <w:cantSplit/>
        </w:trPr>
        <w:tc>
          <w:tcPr>
            <w:tcW w:w="2660" w:type="dxa"/>
          </w:tcPr>
          <w:p w14:paraId="25A61783" w14:textId="77777777" w:rsidR="00866B7B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Conveyance</w:t>
            </w:r>
          </w:p>
        </w:tc>
        <w:tc>
          <w:tcPr>
            <w:tcW w:w="7087" w:type="dxa"/>
          </w:tcPr>
          <w:p w14:paraId="25A61784" w14:textId="77777777" w:rsidR="00866B7B" w:rsidRPr="00755FDA" w:rsidRDefault="009308E1" w:rsidP="009067D7">
            <w:pPr>
              <w:pStyle w:val="NormalWeb"/>
              <w:spacing w:before="60" w:beforeAutospacing="0" w:afterLines="60" w:after="144" w:afterAutospacing="0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For the purposes of this document a conveyance is a</w:t>
            </w:r>
            <w:r w:rsidR="00A82D08">
              <w:rPr>
                <w:rFonts w:cs="Arial"/>
              </w:rPr>
              <w:t>ny</w:t>
            </w:r>
            <w:r w:rsidRPr="00755FDA">
              <w:rPr>
                <w:rFonts w:cs="Arial"/>
              </w:rPr>
              <w:t xml:space="preserve"> vessel or </w:t>
            </w:r>
            <w:r w:rsidR="00DE4579">
              <w:rPr>
                <w:rFonts w:cs="Arial"/>
              </w:rPr>
              <w:t>aircraft</w:t>
            </w:r>
            <w:r w:rsidRPr="00755FDA">
              <w:rPr>
                <w:rFonts w:cs="Arial"/>
              </w:rPr>
              <w:t>.</w:t>
            </w:r>
          </w:p>
        </w:tc>
      </w:tr>
      <w:tr w:rsidR="003C736D" w14:paraId="25A61789" w14:textId="77777777" w:rsidTr="00687090">
        <w:trPr>
          <w:cantSplit/>
        </w:trPr>
        <w:tc>
          <w:tcPr>
            <w:tcW w:w="2660" w:type="dxa"/>
          </w:tcPr>
          <w:p w14:paraId="25A61786" w14:textId="77777777" w:rsidR="00395B75" w:rsidRPr="00755FDA" w:rsidRDefault="009308E1" w:rsidP="009067D7">
            <w:pPr>
              <w:spacing w:before="60" w:afterLines="60" w:after="144" w:line="240" w:lineRule="auto"/>
            </w:pPr>
            <w:r w:rsidRPr="00755FDA">
              <w:t xml:space="preserve">Exposed to (as defined in Section 17 of the </w:t>
            </w:r>
            <w:r w:rsidRPr="00755FDA">
              <w:rPr>
                <w:i/>
              </w:rPr>
              <w:t>Biosecurity Act 2015</w:t>
            </w:r>
            <w:r w:rsidRPr="00755FDA">
              <w:t>)</w:t>
            </w:r>
          </w:p>
        </w:tc>
        <w:tc>
          <w:tcPr>
            <w:tcW w:w="7087" w:type="dxa"/>
          </w:tcPr>
          <w:p w14:paraId="25A61787" w14:textId="77777777" w:rsidR="000B11A4" w:rsidRPr="00755FDA" w:rsidRDefault="009308E1" w:rsidP="009067D7">
            <w:pPr>
              <w:spacing w:before="60" w:afterLines="60" w:after="144" w:line="240" w:lineRule="auto"/>
            </w:pPr>
            <w:r w:rsidRPr="00755FDA">
              <w:t>(1) A person or thing is taken to have been exposed to another person or thing if the first-mentioned person or thing has been, or is likely to have been:</w:t>
            </w:r>
            <w:r w:rsidR="001C514F" w:rsidRPr="00755FDA">
              <w:br/>
            </w:r>
            <w:r w:rsidRPr="00755FDA">
              <w:t>(a) in physical contact with; or</w:t>
            </w:r>
            <w:r w:rsidR="001C514F" w:rsidRPr="00755FDA">
              <w:br/>
            </w:r>
            <w:r w:rsidRPr="00755FDA">
              <w:t>(b</w:t>
            </w:r>
            <w:r w:rsidRPr="00755FDA">
              <w:t>) in close proximity to; or</w:t>
            </w:r>
            <w:r w:rsidR="001C514F" w:rsidRPr="00755FDA">
              <w:br/>
            </w:r>
            <w:r w:rsidRPr="00755FDA">
              <w:t xml:space="preserve">(c) exposed to contamination, infestation or infection </w:t>
            </w:r>
            <w:proofErr w:type="gramStart"/>
            <w:r w:rsidRPr="00755FDA">
              <w:t>from;</w:t>
            </w:r>
            <w:proofErr w:type="gramEnd"/>
          </w:p>
          <w:p w14:paraId="25A61788" w14:textId="77777777" w:rsidR="00395B75" w:rsidRPr="00755FDA" w:rsidRDefault="009308E1" w:rsidP="009067D7">
            <w:pPr>
              <w:spacing w:before="60" w:afterLines="60" w:after="144" w:line="240" w:lineRule="auto"/>
            </w:pPr>
            <w:r w:rsidRPr="00755FDA">
              <w:t>the other person or thing.</w:t>
            </w:r>
          </w:p>
        </w:tc>
      </w:tr>
      <w:tr w:rsidR="003C736D" w14:paraId="25A6178E" w14:textId="77777777" w:rsidTr="00687090">
        <w:trPr>
          <w:cantSplit/>
        </w:trPr>
        <w:tc>
          <w:tcPr>
            <w:tcW w:w="2660" w:type="dxa"/>
          </w:tcPr>
          <w:p w14:paraId="25A6178A" w14:textId="77777777" w:rsidR="00B63BAA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t xml:space="preserve">Installation (as defined in Section 20 of the </w:t>
            </w:r>
            <w:r w:rsidRPr="00755FDA">
              <w:rPr>
                <w:i/>
              </w:rPr>
              <w:t>Biosecurity Act 2015)</w:t>
            </w:r>
          </w:p>
        </w:tc>
        <w:tc>
          <w:tcPr>
            <w:tcW w:w="7087" w:type="dxa"/>
          </w:tcPr>
          <w:p w14:paraId="25A6178B" w14:textId="77777777" w:rsidR="00395B75" w:rsidRPr="00755FDA" w:rsidRDefault="009308E1" w:rsidP="009067D7">
            <w:pPr>
              <w:spacing w:before="60" w:afterLines="60" w:after="144" w:line="240" w:lineRule="auto"/>
            </w:pPr>
            <w:r w:rsidRPr="00755FDA">
              <w:t>An installation is a structure that:</w:t>
            </w:r>
            <w:r w:rsidR="001C514F" w:rsidRPr="00755FDA">
              <w:br/>
            </w:r>
            <w:r w:rsidRPr="00755FDA">
              <w:t>(a) is able:</w:t>
            </w:r>
            <w:r w:rsidR="001C514F" w:rsidRPr="00755FDA">
              <w:br/>
            </w:r>
            <w:r w:rsidRPr="00755FDA">
              <w:t>(</w:t>
            </w:r>
            <w:proofErr w:type="spellStart"/>
            <w:r w:rsidRPr="00755FDA">
              <w:t>i</w:t>
            </w:r>
            <w:proofErr w:type="spellEnd"/>
            <w:r w:rsidRPr="00755FDA">
              <w:t xml:space="preserve">) to float or to </w:t>
            </w:r>
            <w:r w:rsidRPr="00755FDA">
              <w:t>be floated; and</w:t>
            </w:r>
            <w:r w:rsidR="001C514F" w:rsidRPr="00755FDA">
              <w:br/>
            </w:r>
            <w:r w:rsidRPr="00755FDA">
              <w:t>(ii) to move, or to be moved, as an entity from one place to another; and</w:t>
            </w:r>
          </w:p>
          <w:p w14:paraId="25A6178C" w14:textId="77777777" w:rsidR="00395B75" w:rsidRPr="00755FDA" w:rsidRDefault="009308E1" w:rsidP="009067D7">
            <w:pPr>
              <w:spacing w:before="60" w:afterLines="60" w:after="144" w:line="240" w:lineRule="auto"/>
            </w:pPr>
            <w:r w:rsidRPr="00755FDA">
              <w:t>(b) is, or is to be, used wholly or principally in:</w:t>
            </w:r>
            <w:r w:rsidR="001C514F" w:rsidRPr="00755FDA">
              <w:br/>
            </w:r>
            <w:r w:rsidRPr="00755FDA">
              <w:t>(</w:t>
            </w:r>
            <w:proofErr w:type="spellStart"/>
            <w:r w:rsidRPr="00755FDA">
              <w:t>i</w:t>
            </w:r>
            <w:proofErr w:type="spellEnd"/>
            <w:r w:rsidRPr="00755FDA">
              <w:t>) exploring or exploiting natural resources (such as fish or minerals) with equipment on, or forming part of, th</w:t>
            </w:r>
            <w:r w:rsidRPr="00755FDA">
              <w:t>e structure; or</w:t>
            </w:r>
            <w:r w:rsidR="001C514F" w:rsidRPr="00755FDA">
              <w:br/>
            </w:r>
            <w:r w:rsidRPr="00755FDA">
              <w:t>(ii) operations or activities associated with, or incidental to, activities of the kind referred to in (b)(</w:t>
            </w:r>
            <w:proofErr w:type="spellStart"/>
            <w:r w:rsidRPr="00755FDA">
              <w:t>i</w:t>
            </w:r>
            <w:proofErr w:type="spellEnd"/>
            <w:r w:rsidRPr="00755FDA">
              <w:t>); and</w:t>
            </w:r>
          </w:p>
          <w:p w14:paraId="25A6178D" w14:textId="77777777" w:rsidR="00B63BAA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t>(c) either:</w:t>
            </w:r>
            <w:r w:rsidR="001C514F" w:rsidRPr="00755FDA">
              <w:br/>
            </w:r>
            <w:r w:rsidRPr="00755FDA">
              <w:t>(</w:t>
            </w:r>
            <w:proofErr w:type="spellStart"/>
            <w:r w:rsidRPr="00755FDA">
              <w:t>i</w:t>
            </w:r>
            <w:proofErr w:type="spellEnd"/>
            <w:r w:rsidRPr="00755FDA">
              <w:t>) is attached to, or resting on, the seabed; or</w:t>
            </w:r>
            <w:r w:rsidR="001C514F" w:rsidRPr="00755FDA">
              <w:br/>
            </w:r>
            <w:r w:rsidRPr="00755FDA">
              <w:t xml:space="preserve">(ii) is attached </w:t>
            </w:r>
            <w:r w:rsidR="00E9312E" w:rsidRPr="00755FDA">
              <w:t>semi permanently</w:t>
            </w:r>
            <w:r w:rsidRPr="00755FDA">
              <w:t xml:space="preserve"> or permanently to a structure</w:t>
            </w:r>
            <w:r w:rsidRPr="00755FDA">
              <w:t xml:space="preserve"> that is attached to, or resting on, the seabed.</w:t>
            </w:r>
          </w:p>
        </w:tc>
      </w:tr>
      <w:tr w:rsidR="003C736D" w14:paraId="25A61791" w14:textId="77777777" w:rsidTr="00687090">
        <w:trPr>
          <w:cantSplit/>
        </w:trPr>
        <w:tc>
          <w:tcPr>
            <w:tcW w:w="2660" w:type="dxa"/>
          </w:tcPr>
          <w:p w14:paraId="25A6178F" w14:textId="77777777" w:rsidR="00B63BAA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lastRenderedPageBreak/>
              <w:t>Petroleum Industry Vessel</w:t>
            </w:r>
            <w:r w:rsidR="00A82D08">
              <w:rPr>
                <w:rFonts w:cs="Arial"/>
              </w:rPr>
              <w:t xml:space="preserve"> (PIV)</w:t>
            </w:r>
          </w:p>
        </w:tc>
        <w:tc>
          <w:tcPr>
            <w:tcW w:w="7087" w:type="dxa"/>
          </w:tcPr>
          <w:p w14:paraId="25A61790" w14:textId="77777777" w:rsidR="00B63BAA" w:rsidRPr="00755FDA" w:rsidRDefault="009308E1" w:rsidP="009067D7">
            <w:pPr>
              <w:spacing w:before="60" w:afterLines="60" w:after="144" w:line="240" w:lineRule="auto"/>
            </w:pPr>
            <w:r w:rsidRPr="00755FDA">
              <w:t xml:space="preserve">A </w:t>
            </w:r>
            <w:r w:rsidR="001C514F" w:rsidRPr="00755FDA">
              <w:t>vessel (other than an installation) that is, or is to be, used wholly or principally for, or in connection with:</w:t>
            </w:r>
            <w:r w:rsidRPr="00755FDA">
              <w:br/>
            </w:r>
            <w:r w:rsidR="001C514F" w:rsidRPr="00755FDA">
              <w:t>(a)</w:t>
            </w:r>
            <w:r w:rsidRPr="00755FDA">
              <w:t xml:space="preserve"> </w:t>
            </w:r>
            <w:r w:rsidR="001C514F" w:rsidRPr="00755FDA">
              <w:t>exploring for, or exploiting, petroleum with equipment on, or forming part of, the vessel; or</w:t>
            </w:r>
            <w:r w:rsidRPr="00755FDA">
              <w:br/>
            </w:r>
            <w:r w:rsidR="001C514F" w:rsidRPr="00755FDA">
              <w:t>(b)</w:t>
            </w:r>
            <w:r w:rsidRPr="00755FDA">
              <w:t xml:space="preserve"> </w:t>
            </w:r>
            <w:r w:rsidR="001C514F" w:rsidRPr="00755FDA">
              <w:t>operations or activities associated with, or incidental to, activities of the kind referred to in paragraph</w:t>
            </w:r>
            <w:r w:rsidRPr="00755FDA">
              <w:t xml:space="preserve"> </w:t>
            </w:r>
            <w:r w:rsidR="001C514F" w:rsidRPr="00755FDA">
              <w:t>(a).</w:t>
            </w:r>
          </w:p>
        </w:tc>
      </w:tr>
      <w:tr w:rsidR="003C736D" w14:paraId="25A61794" w14:textId="77777777" w:rsidTr="00687090">
        <w:trPr>
          <w:cantSplit/>
        </w:trPr>
        <w:tc>
          <w:tcPr>
            <w:tcW w:w="2660" w:type="dxa"/>
          </w:tcPr>
          <w:p w14:paraId="25A61792" w14:textId="77777777" w:rsidR="005A076E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Pre</w:t>
            </w:r>
            <w:r w:rsidR="007C08B5" w:rsidRPr="00755FDA">
              <w:rPr>
                <w:rFonts w:cs="Arial"/>
              </w:rPr>
              <w:t>-a</w:t>
            </w:r>
            <w:r w:rsidRPr="00755FDA">
              <w:rPr>
                <w:rFonts w:cs="Arial"/>
              </w:rPr>
              <w:t xml:space="preserve">rrival </w:t>
            </w:r>
            <w:r w:rsidR="007C08B5" w:rsidRPr="00755FDA">
              <w:rPr>
                <w:rFonts w:cs="Arial"/>
              </w:rPr>
              <w:t>r</w:t>
            </w:r>
            <w:r w:rsidRPr="00755FDA">
              <w:rPr>
                <w:rFonts w:cs="Arial"/>
              </w:rPr>
              <w:t>eport</w:t>
            </w:r>
            <w:r w:rsidR="00A82D08">
              <w:rPr>
                <w:rFonts w:cs="Arial"/>
              </w:rPr>
              <w:t xml:space="preserve"> (PAR)</w:t>
            </w:r>
          </w:p>
        </w:tc>
        <w:tc>
          <w:tcPr>
            <w:tcW w:w="7087" w:type="dxa"/>
          </w:tcPr>
          <w:p w14:paraId="25A61793" w14:textId="77777777" w:rsidR="00A82D08" w:rsidRPr="00755FDA" w:rsidRDefault="009308E1" w:rsidP="009067D7">
            <w:pPr>
              <w:spacing w:before="60" w:afterLines="60" w:after="144" w:line="240" w:lineRule="auto"/>
              <w:rPr>
                <w:rFonts w:cs="Arial"/>
              </w:rPr>
            </w:pPr>
            <w:r w:rsidRPr="00755FDA">
              <w:rPr>
                <w:rFonts w:cs="Arial"/>
              </w:rPr>
              <w:t>A document used by the department to assist with initial risk as</w:t>
            </w:r>
            <w:r w:rsidRPr="00755FDA">
              <w:rPr>
                <w:rFonts w:cs="Arial"/>
              </w:rPr>
              <w:t xml:space="preserve">sessment of </w:t>
            </w:r>
            <w:r w:rsidR="00FF6ED2" w:rsidRPr="00755FDA">
              <w:rPr>
                <w:rFonts w:cs="Arial"/>
              </w:rPr>
              <w:t>a conveyance</w:t>
            </w:r>
            <w:r w:rsidRPr="00755FDA">
              <w:rPr>
                <w:rFonts w:cs="Arial"/>
              </w:rPr>
              <w:t xml:space="preserve">. </w:t>
            </w:r>
            <w:r w:rsidR="00E378F8" w:rsidRPr="00755FDA">
              <w:rPr>
                <w:rFonts w:cs="Arial"/>
              </w:rPr>
              <w:t>The report must be s</w:t>
            </w:r>
            <w:r w:rsidRPr="00755FDA">
              <w:rPr>
                <w:rFonts w:cs="Arial"/>
              </w:rPr>
              <w:t>ubmitted by a shipping agent or master 96 to 12 hours prior to a vessel’s arrival.</w:t>
            </w:r>
          </w:p>
        </w:tc>
      </w:tr>
    </w:tbl>
    <w:p w14:paraId="25A61795" w14:textId="77777777" w:rsidR="005A076E" w:rsidRPr="00755FDA" w:rsidRDefault="009308E1" w:rsidP="00C7420E">
      <w:pPr>
        <w:pStyle w:val="Heading1"/>
        <w:spacing w:before="240"/>
        <w:ind w:left="431" w:hanging="431"/>
        <w:rPr>
          <w:rFonts w:ascii="Calibri" w:hAnsi="Calibri"/>
          <w:color w:val="auto"/>
        </w:rPr>
      </w:pPr>
      <w:bookmarkStart w:id="13" w:name="_Toc448927145"/>
      <w:bookmarkStart w:id="14" w:name="_Toc448927600"/>
      <w:bookmarkStart w:id="15" w:name="_Toc449969988"/>
      <w:bookmarkStart w:id="16" w:name="_Toc448927146"/>
      <w:bookmarkStart w:id="17" w:name="_Toc448927601"/>
      <w:bookmarkStart w:id="18" w:name="_Toc449969989"/>
      <w:bookmarkStart w:id="19" w:name="_Toc448927147"/>
      <w:bookmarkStart w:id="20" w:name="_Toc448927602"/>
      <w:bookmarkStart w:id="21" w:name="_Toc449969990"/>
      <w:bookmarkStart w:id="22" w:name="_Toc448927148"/>
      <w:bookmarkStart w:id="23" w:name="_Toc448927603"/>
      <w:bookmarkStart w:id="24" w:name="_Toc449969991"/>
      <w:bookmarkStart w:id="25" w:name="_Toc448927149"/>
      <w:bookmarkStart w:id="26" w:name="_Toc448927604"/>
      <w:bookmarkStart w:id="27" w:name="_Toc449969992"/>
      <w:bookmarkStart w:id="28" w:name="_Toc448927150"/>
      <w:bookmarkStart w:id="29" w:name="_Toc448927605"/>
      <w:bookmarkStart w:id="30" w:name="_Toc449969993"/>
      <w:bookmarkStart w:id="31" w:name="_Toc448927151"/>
      <w:bookmarkStart w:id="32" w:name="_Toc448927606"/>
      <w:bookmarkStart w:id="33" w:name="_Toc449969994"/>
      <w:bookmarkStart w:id="34" w:name="_Toc448927152"/>
      <w:bookmarkStart w:id="35" w:name="_Toc448927607"/>
      <w:bookmarkStart w:id="36" w:name="_Toc449969995"/>
      <w:bookmarkStart w:id="37" w:name="_Toc448927153"/>
      <w:bookmarkStart w:id="38" w:name="_Toc448927608"/>
      <w:bookmarkStart w:id="39" w:name="_Toc449969996"/>
      <w:bookmarkStart w:id="40" w:name="_Toc448927154"/>
      <w:bookmarkStart w:id="41" w:name="_Toc448927609"/>
      <w:bookmarkStart w:id="42" w:name="_Toc449969997"/>
      <w:bookmarkStart w:id="43" w:name="_Toc448927155"/>
      <w:bookmarkStart w:id="44" w:name="_Toc448927610"/>
      <w:bookmarkStart w:id="45" w:name="_Toc449969998"/>
      <w:bookmarkStart w:id="46" w:name="_Toc448927156"/>
      <w:bookmarkStart w:id="47" w:name="_Toc448927611"/>
      <w:bookmarkStart w:id="48" w:name="_Toc449969999"/>
      <w:bookmarkStart w:id="49" w:name="_Toc448927157"/>
      <w:bookmarkStart w:id="50" w:name="_Toc448927612"/>
      <w:bookmarkStart w:id="51" w:name="_Toc449970000"/>
      <w:bookmarkStart w:id="52" w:name="_Toc448927158"/>
      <w:bookmarkStart w:id="53" w:name="_Toc448927613"/>
      <w:bookmarkStart w:id="54" w:name="_Toc449970001"/>
      <w:bookmarkStart w:id="55" w:name="_Toc448927159"/>
      <w:bookmarkStart w:id="56" w:name="_Toc448927614"/>
      <w:bookmarkStart w:id="57" w:name="_Toc449970002"/>
      <w:bookmarkStart w:id="58" w:name="_Toc448927160"/>
      <w:bookmarkStart w:id="59" w:name="_Toc448927615"/>
      <w:bookmarkStart w:id="60" w:name="_Toc449970003"/>
      <w:bookmarkStart w:id="61" w:name="_Toc300584859"/>
      <w:bookmarkStart w:id="62" w:name="_Toc300584907"/>
      <w:bookmarkStart w:id="63" w:name="_Toc301169553"/>
      <w:bookmarkStart w:id="64" w:name="_Toc5547262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755FDA">
        <w:rPr>
          <w:rFonts w:ascii="Calibri" w:hAnsi="Calibri"/>
          <w:color w:val="auto"/>
        </w:rPr>
        <w:t>R</w:t>
      </w:r>
      <w:r w:rsidR="00B748CC" w:rsidRPr="00755FDA">
        <w:rPr>
          <w:rFonts w:ascii="Calibri" w:hAnsi="Calibri"/>
          <w:color w:val="auto"/>
        </w:rPr>
        <w:t>egulatory</w:t>
      </w:r>
      <w:r w:rsidRPr="00755FDA">
        <w:rPr>
          <w:rFonts w:ascii="Calibri" w:hAnsi="Calibri"/>
          <w:color w:val="auto"/>
        </w:rPr>
        <w:t xml:space="preserve"> </w:t>
      </w:r>
      <w:bookmarkEnd w:id="61"/>
      <w:bookmarkEnd w:id="62"/>
      <w:bookmarkEnd w:id="63"/>
      <w:r w:rsidR="00517F13" w:rsidRPr="00755FDA">
        <w:rPr>
          <w:rFonts w:ascii="Calibri" w:hAnsi="Calibri"/>
          <w:color w:val="auto"/>
        </w:rPr>
        <w:t>framework</w:t>
      </w:r>
      <w:bookmarkEnd w:id="64"/>
    </w:p>
    <w:p w14:paraId="25A61796" w14:textId="77777777" w:rsidR="00167322" w:rsidRPr="00E9312E" w:rsidRDefault="009308E1">
      <w:pPr>
        <w:pStyle w:val="NormalWeb"/>
        <w:spacing w:before="0" w:beforeAutospacing="0" w:after="200" w:afterAutospacing="0"/>
        <w:rPr>
          <w:rFonts w:cs="Arial"/>
        </w:rPr>
      </w:pPr>
      <w:r w:rsidRPr="00E9312E">
        <w:rPr>
          <w:rFonts w:cs="Arial"/>
        </w:rPr>
        <w:t xml:space="preserve">The primary objective of the </w:t>
      </w:r>
      <w:r w:rsidRPr="00E9312E">
        <w:rPr>
          <w:rFonts w:cs="Arial"/>
          <w:i/>
        </w:rPr>
        <w:t>Biosecurity Act 2015</w:t>
      </w:r>
      <w:r w:rsidRPr="00E9312E">
        <w:rPr>
          <w:rFonts w:cs="Arial"/>
        </w:rPr>
        <w:t xml:space="preserve"> (the Act) is to manage biosecurity risk. </w:t>
      </w:r>
      <w:r w:rsidR="00F31394" w:rsidRPr="00E9312E">
        <w:rPr>
          <w:rFonts w:cs="Arial"/>
        </w:rPr>
        <w:t xml:space="preserve">The </w:t>
      </w:r>
      <w:r w:rsidR="000B7CC2" w:rsidRPr="00E9312E">
        <w:rPr>
          <w:rFonts w:cs="Arial"/>
        </w:rPr>
        <w:t xml:space="preserve">Act </w:t>
      </w:r>
      <w:r w:rsidRPr="00E9312E">
        <w:rPr>
          <w:rFonts w:cs="Arial"/>
        </w:rPr>
        <w:t xml:space="preserve">(supported by </w:t>
      </w:r>
      <w:r w:rsidR="0002441B">
        <w:rPr>
          <w:rFonts w:cs="Arial"/>
        </w:rPr>
        <w:t>delegated</w:t>
      </w:r>
      <w:r w:rsidRPr="00E9312E">
        <w:rPr>
          <w:rFonts w:cs="Arial"/>
        </w:rPr>
        <w:t xml:space="preserve"> legislation) </w:t>
      </w:r>
      <w:r w:rsidR="000B7CC2" w:rsidRPr="00E9312E">
        <w:rPr>
          <w:rFonts w:cs="Arial"/>
        </w:rPr>
        <w:t xml:space="preserve">provides for a strong and modern regulatory framework for the management of </w:t>
      </w:r>
      <w:r w:rsidRPr="00E9312E">
        <w:rPr>
          <w:rFonts w:cs="Arial"/>
        </w:rPr>
        <w:t xml:space="preserve">biosecurity </w:t>
      </w:r>
      <w:r w:rsidR="000B7CC2" w:rsidRPr="00E9312E">
        <w:rPr>
          <w:rFonts w:cs="Arial"/>
        </w:rPr>
        <w:t>risk</w:t>
      </w:r>
      <w:r w:rsidRPr="00E9312E">
        <w:rPr>
          <w:rFonts w:cs="Arial"/>
          <w:i/>
        </w:rPr>
        <w:t>.</w:t>
      </w:r>
    </w:p>
    <w:p w14:paraId="25A61797" w14:textId="77777777" w:rsidR="005A076E" w:rsidRPr="00E9312E" w:rsidRDefault="009308E1" w:rsidP="00F72448">
      <w:pPr>
        <w:pStyle w:val="NormalWeb"/>
        <w:spacing w:before="0" w:beforeAutospacing="0" w:after="200" w:afterAutospacing="0"/>
        <w:rPr>
          <w:rFonts w:cs="Arial"/>
        </w:rPr>
      </w:pPr>
      <w:r w:rsidRPr="00E9312E">
        <w:rPr>
          <w:rFonts w:cs="Arial"/>
        </w:rPr>
        <w:t>C</w:t>
      </w:r>
      <w:r w:rsidR="0042542F" w:rsidRPr="00E9312E">
        <w:rPr>
          <w:rFonts w:cs="Arial"/>
        </w:rPr>
        <w:t>onveyances</w:t>
      </w:r>
      <w:r w:rsidR="00847CE5" w:rsidRPr="00E9312E">
        <w:rPr>
          <w:rFonts w:cs="Arial"/>
        </w:rPr>
        <w:t xml:space="preserve">, </w:t>
      </w:r>
      <w:proofErr w:type="gramStart"/>
      <w:r w:rsidR="00847CE5" w:rsidRPr="00E9312E">
        <w:rPr>
          <w:rFonts w:cs="Arial"/>
        </w:rPr>
        <w:t>pe</w:t>
      </w:r>
      <w:r w:rsidR="006647D1" w:rsidRPr="00E9312E">
        <w:rPr>
          <w:rFonts w:cs="Arial"/>
        </w:rPr>
        <w:t>ople</w:t>
      </w:r>
      <w:proofErr w:type="gramEnd"/>
      <w:r w:rsidR="0042542F" w:rsidRPr="00E9312E">
        <w:rPr>
          <w:rFonts w:cs="Arial"/>
        </w:rPr>
        <w:t xml:space="preserve"> and</w:t>
      </w:r>
      <w:r w:rsidR="00847CE5" w:rsidRPr="00E9312E">
        <w:rPr>
          <w:rFonts w:cs="Arial"/>
        </w:rPr>
        <w:t xml:space="preserve"> goods </w:t>
      </w:r>
      <w:r w:rsidRPr="00E9312E">
        <w:rPr>
          <w:rFonts w:cs="Arial"/>
        </w:rPr>
        <w:t xml:space="preserve">which </w:t>
      </w:r>
      <w:r w:rsidR="00847CE5" w:rsidRPr="00E9312E">
        <w:rPr>
          <w:rFonts w:cs="Arial"/>
        </w:rPr>
        <w:t>arriv</w:t>
      </w:r>
      <w:r w:rsidR="006647D1" w:rsidRPr="00E9312E">
        <w:rPr>
          <w:rFonts w:cs="Arial"/>
        </w:rPr>
        <w:t>e</w:t>
      </w:r>
      <w:r w:rsidR="00847CE5" w:rsidRPr="00E9312E">
        <w:rPr>
          <w:rFonts w:cs="Arial"/>
        </w:rPr>
        <w:t xml:space="preserve"> at installations </w:t>
      </w:r>
      <w:r w:rsidR="006647D1" w:rsidRPr="00E9312E">
        <w:rPr>
          <w:rFonts w:cs="Arial"/>
        </w:rPr>
        <w:t xml:space="preserve">can </w:t>
      </w:r>
      <w:r w:rsidR="00847CE5" w:rsidRPr="00E9312E">
        <w:rPr>
          <w:rFonts w:cs="Arial"/>
        </w:rPr>
        <w:t xml:space="preserve">present possible pathways for pests and diseases to enter Australia. All </w:t>
      </w:r>
      <w:r w:rsidR="0042542F" w:rsidRPr="00E9312E">
        <w:rPr>
          <w:rFonts w:cs="Arial"/>
        </w:rPr>
        <w:t>con</w:t>
      </w:r>
      <w:r w:rsidR="00B13BE8" w:rsidRPr="00E9312E">
        <w:rPr>
          <w:rFonts w:cs="Arial"/>
        </w:rPr>
        <w:t>ve</w:t>
      </w:r>
      <w:r w:rsidR="0042542F" w:rsidRPr="00E9312E">
        <w:rPr>
          <w:rFonts w:cs="Arial"/>
        </w:rPr>
        <w:t>yances</w:t>
      </w:r>
      <w:r w:rsidR="00847CE5" w:rsidRPr="00E9312E">
        <w:rPr>
          <w:rFonts w:cs="Arial"/>
        </w:rPr>
        <w:t xml:space="preserve"> </w:t>
      </w:r>
      <w:r w:rsidR="006647D1" w:rsidRPr="00E9312E">
        <w:rPr>
          <w:rFonts w:cs="Arial"/>
        </w:rPr>
        <w:t xml:space="preserve">which commence their journey outside Australian territory become subject to biosecurity control when entering </w:t>
      </w:r>
      <w:r w:rsidR="0042542F" w:rsidRPr="00E9312E">
        <w:rPr>
          <w:rFonts w:cs="Arial"/>
        </w:rPr>
        <w:t>Australian territory</w:t>
      </w:r>
      <w:r w:rsidR="007A274C" w:rsidRPr="00E9312E">
        <w:rPr>
          <w:rFonts w:cs="Arial"/>
        </w:rPr>
        <w:t>.</w:t>
      </w:r>
      <w:r w:rsidR="006647D1" w:rsidRPr="00E9312E">
        <w:rPr>
          <w:rFonts w:cs="Arial"/>
        </w:rPr>
        <w:t xml:space="preserve"> </w:t>
      </w:r>
      <w:proofErr w:type="gramStart"/>
      <w:r w:rsidR="00847CE5" w:rsidRPr="00E9312E">
        <w:rPr>
          <w:rFonts w:cs="Arial"/>
        </w:rPr>
        <w:t>In order to</w:t>
      </w:r>
      <w:proofErr w:type="gramEnd"/>
      <w:r w:rsidR="00847CE5" w:rsidRPr="00E9312E">
        <w:rPr>
          <w:rFonts w:cs="Arial"/>
        </w:rPr>
        <w:t xml:space="preserve"> assess the risk, </w:t>
      </w:r>
      <w:r w:rsidR="00843D2C" w:rsidRPr="00E9312E">
        <w:rPr>
          <w:rFonts w:cs="Arial"/>
        </w:rPr>
        <w:t xml:space="preserve">biosecurity </w:t>
      </w:r>
      <w:r w:rsidR="00847CE5" w:rsidRPr="00E9312E">
        <w:rPr>
          <w:rFonts w:cs="Arial"/>
        </w:rPr>
        <w:t xml:space="preserve">officers use powers under the Act to gather information. Based on this information, a </w:t>
      </w:r>
      <w:r w:rsidR="00843D2C" w:rsidRPr="00E9312E">
        <w:rPr>
          <w:rFonts w:cs="Arial"/>
        </w:rPr>
        <w:t xml:space="preserve">biosecurity </w:t>
      </w:r>
      <w:r w:rsidR="00847CE5" w:rsidRPr="00E9312E">
        <w:rPr>
          <w:rFonts w:cs="Arial"/>
        </w:rPr>
        <w:t xml:space="preserve">officer </w:t>
      </w:r>
      <w:r w:rsidR="00284F89" w:rsidRPr="00E9312E">
        <w:rPr>
          <w:rFonts w:cs="Arial"/>
        </w:rPr>
        <w:t>will</w:t>
      </w:r>
      <w:r w:rsidR="00847CE5" w:rsidRPr="00E9312E">
        <w:rPr>
          <w:rFonts w:cs="Arial"/>
        </w:rPr>
        <w:t xml:space="preserve"> decide </w:t>
      </w:r>
      <w:r w:rsidR="006647D1" w:rsidRPr="00E9312E">
        <w:rPr>
          <w:rFonts w:cs="Arial"/>
        </w:rPr>
        <w:t>if</w:t>
      </w:r>
      <w:r w:rsidR="00847CE5" w:rsidRPr="00E9312E">
        <w:rPr>
          <w:rFonts w:cs="Arial"/>
        </w:rPr>
        <w:t xml:space="preserve"> the </w:t>
      </w:r>
      <w:r w:rsidR="00284F89" w:rsidRPr="00E9312E">
        <w:rPr>
          <w:rFonts w:cs="Arial"/>
        </w:rPr>
        <w:t>conveyance</w:t>
      </w:r>
      <w:r w:rsidR="006647D1" w:rsidRPr="00E9312E">
        <w:rPr>
          <w:rFonts w:cs="Arial"/>
        </w:rPr>
        <w:t xml:space="preserve"> and its goods or people present </w:t>
      </w:r>
      <w:r w:rsidR="00847CE5" w:rsidRPr="00E9312E">
        <w:rPr>
          <w:rFonts w:cs="Arial"/>
        </w:rPr>
        <w:t>an unacceptabl</w:t>
      </w:r>
      <w:r w:rsidR="00284F89" w:rsidRPr="00E9312E">
        <w:rPr>
          <w:rFonts w:cs="Arial"/>
        </w:rPr>
        <w:t>e</w:t>
      </w:r>
      <w:r w:rsidR="00847CE5" w:rsidRPr="00E9312E">
        <w:rPr>
          <w:rFonts w:cs="Arial"/>
        </w:rPr>
        <w:t xml:space="preserve"> level of biosecurity risk </w:t>
      </w:r>
      <w:r w:rsidR="00A4421B" w:rsidRPr="00E9312E">
        <w:rPr>
          <w:rFonts w:cs="Arial"/>
        </w:rPr>
        <w:t xml:space="preserve">and whether </w:t>
      </w:r>
      <w:r w:rsidR="00847CE5" w:rsidRPr="00E9312E">
        <w:rPr>
          <w:rFonts w:cs="Arial"/>
        </w:rPr>
        <w:t xml:space="preserve">further action </w:t>
      </w:r>
      <w:r w:rsidR="00A4421B" w:rsidRPr="00E9312E">
        <w:rPr>
          <w:rFonts w:cs="Arial"/>
        </w:rPr>
        <w:t xml:space="preserve">is required </w:t>
      </w:r>
      <w:r w:rsidR="00847CE5" w:rsidRPr="00E9312E">
        <w:rPr>
          <w:rFonts w:cs="Arial"/>
        </w:rPr>
        <w:t xml:space="preserve">to </w:t>
      </w:r>
      <w:r w:rsidR="00C85128" w:rsidRPr="00E9312E">
        <w:rPr>
          <w:rFonts w:cs="Arial"/>
        </w:rPr>
        <w:t xml:space="preserve">mitigate </w:t>
      </w:r>
      <w:r w:rsidR="00847CE5" w:rsidRPr="00E9312E">
        <w:rPr>
          <w:rFonts w:cs="Arial"/>
        </w:rPr>
        <w:t>the risk.</w:t>
      </w:r>
    </w:p>
    <w:p w14:paraId="25A61798" w14:textId="77777777" w:rsidR="00840B72" w:rsidRPr="00755FDA" w:rsidRDefault="009308E1" w:rsidP="00C7420E">
      <w:pPr>
        <w:pStyle w:val="Heading1"/>
        <w:spacing w:before="240"/>
        <w:ind w:left="431" w:hanging="431"/>
        <w:rPr>
          <w:rFonts w:ascii="Calibri" w:hAnsi="Calibri"/>
          <w:color w:val="auto"/>
        </w:rPr>
      </w:pPr>
      <w:bookmarkStart w:id="65" w:name="_Toc448927163"/>
      <w:bookmarkStart w:id="66" w:name="_Toc448927618"/>
      <w:bookmarkStart w:id="67" w:name="_Toc449970006"/>
      <w:bookmarkStart w:id="68" w:name="_Toc55472624"/>
      <w:bookmarkEnd w:id="65"/>
      <w:bookmarkEnd w:id="66"/>
      <w:bookmarkEnd w:id="67"/>
      <w:r w:rsidRPr="00755FDA">
        <w:rPr>
          <w:rFonts w:ascii="Calibri" w:hAnsi="Calibri"/>
          <w:color w:val="auto"/>
        </w:rPr>
        <w:t>I</w:t>
      </w:r>
      <w:r w:rsidR="00B63BAA" w:rsidRPr="00755FDA">
        <w:rPr>
          <w:rFonts w:ascii="Calibri" w:hAnsi="Calibri"/>
          <w:color w:val="auto"/>
        </w:rPr>
        <w:t>nstallations</w:t>
      </w:r>
      <w:bookmarkEnd w:id="68"/>
    </w:p>
    <w:p w14:paraId="25A61799" w14:textId="77777777" w:rsidR="007A6DC7" w:rsidRPr="00755FDA" w:rsidRDefault="009308E1" w:rsidP="007A6DC7">
      <w:pPr>
        <w:pStyle w:val="Heading2"/>
        <w:rPr>
          <w:rFonts w:ascii="Calibri" w:hAnsi="Calibri"/>
          <w:color w:val="auto"/>
        </w:rPr>
      </w:pPr>
      <w:bookmarkStart w:id="69" w:name="_Toc55472625"/>
      <w:r w:rsidRPr="00755FDA">
        <w:rPr>
          <w:rFonts w:ascii="Calibri" w:hAnsi="Calibri"/>
          <w:color w:val="auto"/>
        </w:rPr>
        <w:t xml:space="preserve">Management of </w:t>
      </w:r>
      <w:r w:rsidR="00AE21EB" w:rsidRPr="00755FDA">
        <w:rPr>
          <w:rFonts w:ascii="Calibri" w:hAnsi="Calibri"/>
          <w:color w:val="auto"/>
        </w:rPr>
        <w:t xml:space="preserve">a </w:t>
      </w:r>
      <w:r w:rsidRPr="00755FDA">
        <w:rPr>
          <w:rFonts w:ascii="Calibri" w:hAnsi="Calibri"/>
          <w:color w:val="auto"/>
        </w:rPr>
        <w:t>conveyance</w:t>
      </w:r>
      <w:r w:rsidR="00AE21EB" w:rsidRPr="00755FDA">
        <w:rPr>
          <w:rFonts w:ascii="Calibri" w:hAnsi="Calibri"/>
          <w:color w:val="auto"/>
        </w:rPr>
        <w:t>’s</w:t>
      </w:r>
      <w:r w:rsidRPr="00755FDA">
        <w:rPr>
          <w:rFonts w:ascii="Calibri" w:hAnsi="Calibri"/>
          <w:color w:val="auto"/>
        </w:rPr>
        <w:t xml:space="preserve"> exposure to an installation</w:t>
      </w:r>
      <w:bookmarkEnd w:id="69"/>
    </w:p>
    <w:p w14:paraId="25A6179A" w14:textId="77777777" w:rsidR="007A6DC7" w:rsidRPr="00E9312E" w:rsidRDefault="009308E1" w:rsidP="007A6DC7">
      <w:pPr>
        <w:tabs>
          <w:tab w:val="left" w:pos="0"/>
        </w:tabs>
      </w:pPr>
      <w:r w:rsidRPr="00E9312E">
        <w:t>A conveyance not subject to biosecurity control which leaves Australian territory</w:t>
      </w:r>
      <w:r w:rsidR="001D1C70">
        <w:t xml:space="preserve"> (</w:t>
      </w:r>
      <w:proofErr w:type="gramStart"/>
      <w:r w:rsidR="001D1C70">
        <w:t>e.g.</w:t>
      </w:r>
      <w:proofErr w:type="gramEnd"/>
      <w:r w:rsidR="001D1C70">
        <w:t xml:space="preserve"> a domestic conveyance or an international conveyance which has been released from biosecurity control)</w:t>
      </w:r>
      <w:r w:rsidRPr="00E9312E">
        <w:t>, and which interacts with an installation/PIV will become an exposed conveyance. A conveyance becomes exposed by being in physical contact with, i</w:t>
      </w:r>
      <w:r w:rsidRPr="00E9312E">
        <w:t>n close proximately to or being contaminated by another conveyance</w:t>
      </w:r>
      <w:r w:rsidR="00103037">
        <w:t xml:space="preserve"> (including an installation)</w:t>
      </w:r>
      <w:r w:rsidRPr="00E9312E">
        <w:t>. When the exposed conveyance returns to Australian territory it becomes subject to biosecurity control and it must</w:t>
      </w:r>
      <w:r w:rsidR="001F6362">
        <w:t xml:space="preserve"> submit a</w:t>
      </w:r>
      <w:r w:rsidRPr="00E9312E">
        <w:t xml:space="preserve"> pre-arrival report and notify </w:t>
      </w:r>
      <w:r w:rsidR="00103037">
        <w:t xml:space="preserve">the department </w:t>
      </w:r>
      <w:r w:rsidRPr="00E9312E">
        <w:t>if it intends to unload goods</w:t>
      </w:r>
      <w:r w:rsidR="00A12B5A">
        <w:t xml:space="preserve"> that were brought on board from the installation</w:t>
      </w:r>
      <w:r w:rsidRPr="00E9312E">
        <w:t>.</w:t>
      </w:r>
    </w:p>
    <w:p w14:paraId="25A6179B" w14:textId="77777777" w:rsidR="007A6DC7" w:rsidRPr="00E9312E" w:rsidRDefault="009308E1" w:rsidP="007A6DC7">
      <w:pPr>
        <w:tabs>
          <w:tab w:val="left" w:pos="0"/>
        </w:tabs>
      </w:pPr>
      <w:r w:rsidRPr="00E9312E">
        <w:t xml:space="preserve">The department acknowledges that there are many interactions </w:t>
      </w:r>
      <w:r w:rsidR="007C08B5" w:rsidRPr="00E9312E">
        <w:t>conveyance</w:t>
      </w:r>
      <w:r w:rsidR="007C08B5">
        <w:t>s have with installations/PIVs</w:t>
      </w:r>
      <w:r w:rsidR="007C08B5" w:rsidRPr="00E9312E">
        <w:t xml:space="preserve"> </w:t>
      </w:r>
      <w:r w:rsidRPr="00E9312E">
        <w:t xml:space="preserve">outside Australian territory that </w:t>
      </w:r>
      <w:r w:rsidR="00A12B5A">
        <w:t xml:space="preserve">do not </w:t>
      </w:r>
      <w:r w:rsidRPr="00E9312E">
        <w:t xml:space="preserve">present </w:t>
      </w:r>
      <w:r w:rsidR="00A12B5A">
        <w:t>unacceptable</w:t>
      </w:r>
      <w:r w:rsidRPr="00E9312E">
        <w:t xml:space="preserve"> biosecurity risk. As such, the department’s policy approach is that when these </w:t>
      </w:r>
      <w:r w:rsidR="00A12B5A">
        <w:t xml:space="preserve">exposures do not pose </w:t>
      </w:r>
      <w:r w:rsidR="00BD1A6F">
        <w:t xml:space="preserve">an </w:t>
      </w:r>
      <w:r w:rsidR="00A12B5A">
        <w:t>unacceptable biosecurity</w:t>
      </w:r>
      <w:r w:rsidRPr="00E9312E">
        <w:t xml:space="preserve"> </w:t>
      </w:r>
      <w:r w:rsidR="006010A5">
        <w:t xml:space="preserve">risk </w:t>
      </w:r>
      <w:r w:rsidRPr="00E9312E">
        <w:t>the exposed conveyance should not become subject to biosecur</w:t>
      </w:r>
      <w:r w:rsidRPr="00E9312E">
        <w:t xml:space="preserve">ity control on return to Australian </w:t>
      </w:r>
      <w:proofErr w:type="gramStart"/>
      <w:r w:rsidRPr="00E9312E">
        <w:t>territory, or</w:t>
      </w:r>
      <w:proofErr w:type="gramEnd"/>
      <w:r w:rsidRPr="00E9312E">
        <w:t xml:space="preserve"> </w:t>
      </w:r>
      <w:r w:rsidR="001F6362">
        <w:t>be required</w:t>
      </w:r>
      <w:r w:rsidR="001F6362" w:rsidRPr="00E9312E">
        <w:t xml:space="preserve"> </w:t>
      </w:r>
      <w:r w:rsidRPr="00E9312E">
        <w:t xml:space="preserve">to </w:t>
      </w:r>
      <w:r w:rsidR="001F6362">
        <w:t>submit a</w:t>
      </w:r>
      <w:r w:rsidR="001F6362" w:rsidRPr="00E9312E">
        <w:t xml:space="preserve"> </w:t>
      </w:r>
      <w:r w:rsidRPr="00E9312E">
        <w:t>pre-arrival report or notify</w:t>
      </w:r>
      <w:r w:rsidR="001F6362">
        <w:t xml:space="preserve"> its intent</w:t>
      </w:r>
      <w:r w:rsidRPr="00E9312E">
        <w:t xml:space="preserve"> to unload goods.</w:t>
      </w:r>
    </w:p>
    <w:p w14:paraId="25A6179C" w14:textId="77777777" w:rsidR="007A6DC7" w:rsidRPr="00E9312E" w:rsidRDefault="009308E1" w:rsidP="007A6DC7">
      <w:pPr>
        <w:tabs>
          <w:tab w:val="left" w:pos="0"/>
        </w:tabs>
      </w:pPr>
      <w:r w:rsidRPr="00E9312E">
        <w:t xml:space="preserve">The </w:t>
      </w:r>
      <w:r w:rsidRPr="00E9312E">
        <w:rPr>
          <w:i/>
        </w:rPr>
        <w:t>Biosecurity (Exposed Conveyance – Exceptions from Biosecurity Control) Determination 2016</w:t>
      </w:r>
      <w:r w:rsidRPr="00E9312E">
        <w:t xml:space="preserve"> (the Determination) gives effec</w:t>
      </w:r>
      <w:r w:rsidRPr="00E9312E">
        <w:t xml:space="preserve">t to the department’s policy approach. The Determination is a legislative instrument made </w:t>
      </w:r>
      <w:r w:rsidR="00F81F43">
        <w:t xml:space="preserve">by </w:t>
      </w:r>
      <w:r w:rsidR="00F81F43" w:rsidRPr="00E9312E">
        <w:t xml:space="preserve">the Director of Biosecurity </w:t>
      </w:r>
      <w:r w:rsidRPr="00E9312E">
        <w:t>under Section 196(2) of the Act.</w:t>
      </w:r>
    </w:p>
    <w:p w14:paraId="25A6179D" w14:textId="77777777" w:rsidR="007A6DC7" w:rsidRPr="00633C25" w:rsidRDefault="009308E1" w:rsidP="007A6DC7">
      <w:pPr>
        <w:tabs>
          <w:tab w:val="left" w:pos="0"/>
        </w:tabs>
      </w:pPr>
      <w:r w:rsidRPr="00633C25">
        <w:t xml:space="preserve">The Determination </w:t>
      </w:r>
      <w:r w:rsidR="00103037">
        <w:t xml:space="preserve">provides </w:t>
      </w:r>
      <w:r w:rsidRPr="00633C25">
        <w:t xml:space="preserve">three </w:t>
      </w:r>
      <w:r w:rsidR="00F81F43">
        <w:t xml:space="preserve">options to meet the </w:t>
      </w:r>
      <w:r w:rsidRPr="00633C25">
        <w:t>exceptions</w:t>
      </w:r>
      <w:r w:rsidR="00F81F43">
        <w:t xml:space="preserve"> from biosecurity control</w:t>
      </w:r>
      <w:r w:rsidR="00103037">
        <w:t xml:space="preserve"> for conveyances moving between Australian territory and installations/PIVs</w:t>
      </w:r>
      <w:r w:rsidRPr="00633C25">
        <w:t>. Where a conveyance meet</w:t>
      </w:r>
      <w:r w:rsidR="008A62E6" w:rsidRPr="00633C25">
        <w:t>s</w:t>
      </w:r>
      <w:r w:rsidRPr="00633C25">
        <w:t xml:space="preserve"> one of these</w:t>
      </w:r>
      <w:r w:rsidR="008A62E6" w:rsidRPr="00633C25">
        <w:t xml:space="preserve"> </w:t>
      </w:r>
      <w:proofErr w:type="gramStart"/>
      <w:r w:rsidR="008A62E6" w:rsidRPr="00633C25">
        <w:t>exceptions</w:t>
      </w:r>
      <w:proofErr w:type="gramEnd"/>
      <w:r w:rsidRPr="00633C25">
        <w:t xml:space="preserve"> they </w:t>
      </w:r>
      <w:r w:rsidR="008A62E6" w:rsidRPr="00633C25">
        <w:t xml:space="preserve">will not be </w:t>
      </w:r>
      <w:r w:rsidRPr="00633C25">
        <w:t xml:space="preserve">subject to biosecurity control when returning to Australian territory. </w:t>
      </w:r>
      <w:r w:rsidR="008A62E6" w:rsidRPr="00633C25">
        <w:t xml:space="preserve">As they are </w:t>
      </w:r>
      <w:r w:rsidR="008A62E6" w:rsidRPr="00633C25">
        <w:lastRenderedPageBreak/>
        <w:t>not considered to be subject to biosecurity control</w:t>
      </w:r>
      <w:r w:rsidRPr="00633C25">
        <w:t xml:space="preserve">, the conveyance </w:t>
      </w:r>
      <w:r w:rsidR="008A62E6" w:rsidRPr="00633C25">
        <w:t xml:space="preserve">is not required </w:t>
      </w:r>
      <w:r w:rsidRPr="00633C25">
        <w:t>to</w:t>
      </w:r>
      <w:r w:rsidR="001F6362" w:rsidRPr="001F6362">
        <w:t xml:space="preserve"> </w:t>
      </w:r>
      <w:r w:rsidR="001F6362">
        <w:t>submit a</w:t>
      </w:r>
      <w:r w:rsidRPr="00633C25">
        <w:t xml:space="preserve"> pre-arrival report </w:t>
      </w:r>
      <w:r w:rsidR="008A62E6" w:rsidRPr="00633C25">
        <w:t xml:space="preserve">or provide </w:t>
      </w:r>
      <w:r w:rsidRPr="00633C25">
        <w:t xml:space="preserve">notification to unload goods under the </w:t>
      </w:r>
      <w:r w:rsidRPr="00633C25">
        <w:rPr>
          <w:i/>
        </w:rPr>
        <w:t>Biosecurity Regulation 2016</w:t>
      </w:r>
      <w:r w:rsidRPr="00633C25">
        <w:t>.</w:t>
      </w:r>
    </w:p>
    <w:p w14:paraId="25A6179E" w14:textId="77777777" w:rsidR="007A6DC7" w:rsidRPr="00373B09" w:rsidRDefault="009308E1" w:rsidP="007A6DC7">
      <w:pPr>
        <w:tabs>
          <w:tab w:val="left" w:pos="0"/>
        </w:tabs>
      </w:pPr>
      <w:r w:rsidRPr="00373B09">
        <w:t xml:space="preserve">The three </w:t>
      </w:r>
      <w:r w:rsidR="00080BC0">
        <w:t xml:space="preserve">options to meet </w:t>
      </w:r>
      <w:r w:rsidRPr="00373B09">
        <w:t xml:space="preserve">exception </w:t>
      </w:r>
      <w:r w:rsidR="00080BC0">
        <w:t xml:space="preserve">conditions are </w:t>
      </w:r>
      <w:r w:rsidR="00405E65" w:rsidRPr="00373B09">
        <w:t>when a conveyance is exposed to an</w:t>
      </w:r>
      <w:r w:rsidRPr="00373B09">
        <w:t>:</w:t>
      </w:r>
    </w:p>
    <w:p w14:paraId="25A6179F" w14:textId="77777777" w:rsidR="007A6DC7" w:rsidRPr="00E9312E" w:rsidRDefault="009308E1" w:rsidP="007367AC">
      <w:pPr>
        <w:keepNext/>
        <w:keepLines/>
        <w:numPr>
          <w:ilvl w:val="0"/>
          <w:numId w:val="24"/>
        </w:numPr>
        <w:spacing w:after="0"/>
        <w:rPr>
          <w:rFonts w:cs="Arial"/>
        </w:rPr>
      </w:pPr>
      <w:r>
        <w:rPr>
          <w:rFonts w:cs="Arial"/>
        </w:rPr>
        <w:t>i</w:t>
      </w:r>
      <w:r w:rsidRPr="00E9312E">
        <w:rPr>
          <w:rFonts w:cs="Arial"/>
        </w:rPr>
        <w:t xml:space="preserve">nstallation/PIV in a </w:t>
      </w:r>
      <w:r w:rsidR="00633C25">
        <w:rPr>
          <w:rFonts w:cs="Arial"/>
        </w:rPr>
        <w:t>limited</w:t>
      </w:r>
      <w:r w:rsidRPr="00E9312E">
        <w:rPr>
          <w:rFonts w:cs="Arial"/>
        </w:rPr>
        <w:t xml:space="preserve"> way</w:t>
      </w:r>
      <w:r w:rsidR="00080BC0">
        <w:rPr>
          <w:rFonts w:cs="Arial"/>
        </w:rPr>
        <w:t>, for example, towing or off-loading of goods from the exposed conveyance to the installation (</w:t>
      </w:r>
      <w:r w:rsidRPr="00E9312E">
        <w:rPr>
          <w:rFonts w:cs="Arial"/>
        </w:rPr>
        <w:t>section 6(f)(</w:t>
      </w:r>
      <w:proofErr w:type="spellStart"/>
      <w:r w:rsidRPr="00E9312E">
        <w:rPr>
          <w:rFonts w:cs="Arial"/>
        </w:rPr>
        <w:t>i</w:t>
      </w:r>
      <w:proofErr w:type="spellEnd"/>
      <w:r w:rsidRPr="00E9312E">
        <w:rPr>
          <w:rFonts w:cs="Arial"/>
        </w:rPr>
        <w:t>) of the Determination)</w:t>
      </w:r>
    </w:p>
    <w:p w14:paraId="25A617A0" w14:textId="77777777" w:rsidR="007A6DC7" w:rsidRPr="00E9312E" w:rsidRDefault="009308E1" w:rsidP="007367AC">
      <w:pPr>
        <w:keepNext/>
        <w:keepLines/>
        <w:numPr>
          <w:ilvl w:val="0"/>
          <w:numId w:val="24"/>
        </w:numPr>
        <w:spacing w:after="0"/>
        <w:rPr>
          <w:rFonts w:cs="Arial"/>
        </w:rPr>
      </w:pPr>
      <w:r>
        <w:rPr>
          <w:rFonts w:cs="Arial"/>
        </w:rPr>
        <w:t>i</w:t>
      </w:r>
      <w:r w:rsidRPr="00E9312E">
        <w:rPr>
          <w:rFonts w:cs="Arial"/>
        </w:rPr>
        <w:t xml:space="preserve">nstallation/PIV that has satisfied the Director of Biosecurity that its </w:t>
      </w:r>
      <w:r w:rsidR="00080BC0">
        <w:rPr>
          <w:rFonts w:cs="Arial"/>
        </w:rPr>
        <w:t xml:space="preserve">biosecurity </w:t>
      </w:r>
      <w:r w:rsidRPr="00E9312E">
        <w:rPr>
          <w:rFonts w:cs="Arial"/>
        </w:rPr>
        <w:t>risk i</w:t>
      </w:r>
      <w:r w:rsidRPr="00E9312E">
        <w:rPr>
          <w:rFonts w:cs="Arial"/>
        </w:rPr>
        <w:t>s acceptable (section 6(f)(ii) of the Determination</w:t>
      </w:r>
      <w:r w:rsidR="00080BC0">
        <w:rPr>
          <w:rFonts w:cs="Arial"/>
        </w:rPr>
        <w:t xml:space="preserve"> – low risk installation/PIV</w:t>
      </w:r>
      <w:r w:rsidRPr="00E9312E">
        <w:rPr>
          <w:rFonts w:cs="Arial"/>
        </w:rPr>
        <w:t>)</w:t>
      </w:r>
    </w:p>
    <w:p w14:paraId="25A617A1" w14:textId="77777777" w:rsidR="007A6DC7" w:rsidRPr="00E9312E" w:rsidRDefault="009308E1" w:rsidP="007367AC">
      <w:pPr>
        <w:keepNext/>
        <w:keepLines/>
        <w:numPr>
          <w:ilvl w:val="0"/>
          <w:numId w:val="24"/>
        </w:numPr>
        <w:spacing w:after="0"/>
        <w:rPr>
          <w:rFonts w:cs="Arial"/>
        </w:rPr>
      </w:pPr>
      <w:r>
        <w:rPr>
          <w:rFonts w:cs="Arial"/>
        </w:rPr>
        <w:t>i</w:t>
      </w:r>
      <w:r w:rsidRPr="00E9312E">
        <w:rPr>
          <w:rFonts w:cs="Arial"/>
        </w:rPr>
        <w:t>nstallation/PIV that is operating under an Approved Arrangement with the department (section 6(f)(iii) of the Determination).</w:t>
      </w:r>
    </w:p>
    <w:p w14:paraId="25A617A2" w14:textId="77777777" w:rsidR="007A6DC7" w:rsidRPr="00E9312E" w:rsidRDefault="007A6DC7" w:rsidP="007A6DC7">
      <w:pPr>
        <w:keepNext/>
        <w:keepLines/>
        <w:spacing w:after="0"/>
        <w:rPr>
          <w:rFonts w:cs="Arial"/>
        </w:rPr>
      </w:pPr>
    </w:p>
    <w:p w14:paraId="25A617A3" w14:textId="77777777" w:rsidR="007A6DC7" w:rsidRPr="00373B09" w:rsidRDefault="009308E1" w:rsidP="007A6DC7">
      <w:pPr>
        <w:tabs>
          <w:tab w:val="left" w:pos="0"/>
        </w:tabs>
      </w:pPr>
      <w:r w:rsidRPr="00373B09">
        <w:t>A conveyance that meets one of the above except</w:t>
      </w:r>
      <w:r w:rsidRPr="00373B09">
        <w:t>ions will not need to apply to the department</w:t>
      </w:r>
      <w:r w:rsidR="00550504" w:rsidRPr="00373B09">
        <w:t xml:space="preserve"> for confirmation (that an exception has been met</w:t>
      </w:r>
      <w:proofErr w:type="gramStart"/>
      <w:r w:rsidR="00550504" w:rsidRPr="00373B09">
        <w:t>)</w:t>
      </w:r>
      <w:r w:rsidRPr="00373B09">
        <w:t>, but</w:t>
      </w:r>
      <w:proofErr w:type="gramEnd"/>
      <w:r w:rsidRPr="00373B09">
        <w:t xml:space="preserve"> must be aware of the conditions of the </w:t>
      </w:r>
      <w:r w:rsidR="00550504" w:rsidRPr="00373B09">
        <w:t>D</w:t>
      </w:r>
      <w:r w:rsidRPr="00373B09">
        <w:t xml:space="preserve">etermination and comply with them. </w:t>
      </w:r>
      <w:r w:rsidR="00080BC0">
        <w:t xml:space="preserve">The operator of the </w:t>
      </w:r>
      <w:r w:rsidRPr="00373B09">
        <w:t xml:space="preserve">conveyance </w:t>
      </w:r>
      <w:r w:rsidR="00080BC0">
        <w:t xml:space="preserve">should also be aware that </w:t>
      </w:r>
      <w:r w:rsidRPr="00373B09">
        <w:t>that the installation/P</w:t>
      </w:r>
      <w:r w:rsidRPr="00373B09">
        <w:t xml:space="preserve">IV </w:t>
      </w:r>
      <w:r w:rsidR="00BD1A6F">
        <w:t xml:space="preserve">must </w:t>
      </w:r>
      <w:r w:rsidRPr="00373B09">
        <w:t>meet its own particular conditions</w:t>
      </w:r>
      <w:r w:rsidR="00550504" w:rsidRPr="00373B09">
        <w:t xml:space="preserve"> </w:t>
      </w:r>
      <w:r w:rsidR="00F81635" w:rsidRPr="00373B09">
        <w:t xml:space="preserve">(such as having an Approved </w:t>
      </w:r>
      <w:proofErr w:type="gramStart"/>
      <w:r w:rsidR="00F81635" w:rsidRPr="00373B09">
        <w:t>A</w:t>
      </w:r>
      <w:r w:rsidR="00550504" w:rsidRPr="00373B09">
        <w:t>rrangement, or</w:t>
      </w:r>
      <w:proofErr w:type="gramEnd"/>
      <w:r w:rsidR="00550504" w:rsidRPr="00373B09">
        <w:t xml:space="preserve"> having been considered by the Director of Biosecurity as presenting an acceptable risk)</w:t>
      </w:r>
      <w:r w:rsidR="00080BC0">
        <w:t xml:space="preserve">, </w:t>
      </w:r>
      <w:r w:rsidR="00BD1A6F">
        <w:t xml:space="preserve">and </w:t>
      </w:r>
      <w:r w:rsidR="00080BC0">
        <w:t>confirm this with the operator of the installation/PIV</w:t>
      </w:r>
      <w:r w:rsidRPr="00373B09">
        <w:t>.</w:t>
      </w:r>
    </w:p>
    <w:p w14:paraId="25A617A4" w14:textId="77777777" w:rsidR="007A6DC7" w:rsidRPr="00E9312E" w:rsidRDefault="009308E1" w:rsidP="007A6DC7">
      <w:pPr>
        <w:pStyle w:val="NormalWeb"/>
        <w:spacing w:before="0" w:beforeAutospacing="0" w:after="200" w:afterAutospacing="0"/>
        <w:rPr>
          <w:rFonts w:cs="Arial"/>
        </w:rPr>
      </w:pPr>
      <w:r w:rsidRPr="00E9312E">
        <w:rPr>
          <w:rFonts w:cs="Arial"/>
        </w:rPr>
        <w:t>There is no requirem</w:t>
      </w:r>
      <w:r w:rsidRPr="00E9312E">
        <w:rPr>
          <w:rFonts w:cs="Arial"/>
        </w:rPr>
        <w:t xml:space="preserve">ent for conveyances which commenced their journey outside Australian territory to seek permission to arrive at or land goods on an installation/PIV outside of Australian territory. However, the operator of a </w:t>
      </w:r>
      <w:proofErr w:type="gramStart"/>
      <w:r w:rsidRPr="00E9312E">
        <w:rPr>
          <w:rFonts w:cs="Arial"/>
        </w:rPr>
        <w:t>low risk</w:t>
      </w:r>
      <w:proofErr w:type="gramEnd"/>
      <w:r w:rsidRPr="00E9312E">
        <w:rPr>
          <w:rFonts w:cs="Arial"/>
        </w:rPr>
        <w:t xml:space="preserve"> installation/PIV, or an installation/PI</w:t>
      </w:r>
      <w:r w:rsidRPr="00E9312E">
        <w:rPr>
          <w:rFonts w:cs="Arial"/>
        </w:rPr>
        <w:t xml:space="preserve">V operating under an Approved Arrangement, must ensure </w:t>
      </w:r>
      <w:r w:rsidR="00E378F8">
        <w:rPr>
          <w:rFonts w:cs="Arial"/>
        </w:rPr>
        <w:t xml:space="preserve">that their interactions with these conveyances </w:t>
      </w:r>
      <w:r w:rsidRPr="00E9312E">
        <w:rPr>
          <w:rFonts w:cs="Arial"/>
        </w:rPr>
        <w:t>do not breach the conditions of the Determination</w:t>
      </w:r>
      <w:r w:rsidR="004F42CF">
        <w:rPr>
          <w:rFonts w:cs="Arial"/>
        </w:rPr>
        <w:t xml:space="preserve">, and, if they are operating under an Approved Arrangement, </w:t>
      </w:r>
      <w:r w:rsidR="007C08B5">
        <w:rPr>
          <w:rFonts w:cs="Arial"/>
        </w:rPr>
        <w:t xml:space="preserve">the </w:t>
      </w:r>
      <w:r w:rsidRPr="00E9312E">
        <w:rPr>
          <w:rFonts w:cs="Arial"/>
        </w:rPr>
        <w:t>requirements of their Approved Arrangemen</w:t>
      </w:r>
      <w:r w:rsidRPr="00E9312E">
        <w:rPr>
          <w:rFonts w:cs="Arial"/>
        </w:rPr>
        <w:t>t.</w:t>
      </w:r>
    </w:p>
    <w:p w14:paraId="25A617A5" w14:textId="77777777" w:rsidR="00284F89" w:rsidRPr="00755FDA" w:rsidRDefault="009308E1" w:rsidP="00C7420E">
      <w:pPr>
        <w:pStyle w:val="Heading2"/>
        <w:rPr>
          <w:rFonts w:ascii="Calibri" w:hAnsi="Calibri"/>
          <w:color w:val="auto"/>
        </w:rPr>
      </w:pPr>
      <w:bookmarkStart w:id="70" w:name="_Toc55472626"/>
      <w:r w:rsidRPr="00755FDA">
        <w:rPr>
          <w:rFonts w:ascii="Calibri" w:hAnsi="Calibri"/>
          <w:color w:val="auto"/>
        </w:rPr>
        <w:t>Installation</w:t>
      </w:r>
      <w:r w:rsidR="00913E4A" w:rsidRPr="00755FDA">
        <w:rPr>
          <w:rFonts w:ascii="Calibri" w:hAnsi="Calibri"/>
          <w:color w:val="auto"/>
        </w:rPr>
        <w:t>s</w:t>
      </w:r>
      <w:r w:rsidRPr="00755FDA">
        <w:rPr>
          <w:rFonts w:ascii="Calibri" w:hAnsi="Calibri"/>
          <w:color w:val="auto"/>
        </w:rPr>
        <w:t xml:space="preserve"> </w:t>
      </w:r>
      <w:r w:rsidR="00913E4A" w:rsidRPr="00755FDA">
        <w:rPr>
          <w:rFonts w:ascii="Calibri" w:hAnsi="Calibri"/>
          <w:color w:val="auto"/>
        </w:rPr>
        <w:t>outside of Australian territory</w:t>
      </w:r>
      <w:bookmarkEnd w:id="70"/>
    </w:p>
    <w:p w14:paraId="25A617A6" w14:textId="77777777" w:rsidR="00284F89" w:rsidRPr="00373B09" w:rsidRDefault="009308E1" w:rsidP="00284F89">
      <w:pPr>
        <w:tabs>
          <w:tab w:val="left" w:pos="0"/>
        </w:tabs>
      </w:pPr>
      <w:r w:rsidRPr="00373B09">
        <w:t>Under the Act the Commonwealth’s jurisdiction extends to 12 nautical miles</w:t>
      </w:r>
      <w:r w:rsidR="007C36D3">
        <w:t xml:space="preserve"> (nm)</w:t>
      </w:r>
      <w:r w:rsidRPr="00373B09">
        <w:t xml:space="preserve">. Installations operating outside of Australian territory will not </w:t>
      </w:r>
      <w:r w:rsidR="00F81635" w:rsidRPr="00373B09">
        <w:t>be subject to provisions of the Act</w:t>
      </w:r>
      <w:r w:rsidRPr="00373B09">
        <w:t xml:space="preserve">. </w:t>
      </w:r>
      <w:r w:rsidR="00F81635" w:rsidRPr="00373B09">
        <w:t>However, a</w:t>
      </w:r>
      <w:r w:rsidRPr="00373B09">
        <w:t xml:space="preserve">ny conveyance which </w:t>
      </w:r>
      <w:r w:rsidR="00F81635" w:rsidRPr="00373B09">
        <w:t xml:space="preserve">is </w:t>
      </w:r>
      <w:r w:rsidRPr="00373B09">
        <w:t>not subject to biosecurity control</w:t>
      </w:r>
      <w:r w:rsidR="00F81635" w:rsidRPr="00373B09">
        <w:t xml:space="preserve"> when it leaves Australian territory</w:t>
      </w:r>
      <w:r w:rsidRPr="00373B09">
        <w:t xml:space="preserve">, </w:t>
      </w:r>
      <w:r w:rsidR="00F81635" w:rsidRPr="00373B09">
        <w:t xml:space="preserve">but </w:t>
      </w:r>
      <w:r w:rsidRPr="00373B09">
        <w:t xml:space="preserve">which </w:t>
      </w:r>
      <w:r w:rsidR="00395B75" w:rsidRPr="00373B09">
        <w:t>is exposed to an installation</w:t>
      </w:r>
      <w:r w:rsidR="007C08B5" w:rsidRPr="00373B09">
        <w:t>/PIV</w:t>
      </w:r>
      <w:r w:rsidR="00395B75" w:rsidRPr="00373B09">
        <w:t xml:space="preserve"> </w:t>
      </w:r>
      <w:r w:rsidR="00F81635" w:rsidRPr="00373B09">
        <w:t xml:space="preserve">once outside </w:t>
      </w:r>
      <w:r w:rsidR="00373B09" w:rsidRPr="00373B09">
        <w:t xml:space="preserve">Australian </w:t>
      </w:r>
      <w:r w:rsidR="00F81635" w:rsidRPr="00373B09">
        <w:t>territor</w:t>
      </w:r>
      <w:r w:rsidR="00373B09" w:rsidRPr="00373B09">
        <w:t>y</w:t>
      </w:r>
      <w:r w:rsidR="00F81635" w:rsidRPr="00373B09">
        <w:t xml:space="preserve">, </w:t>
      </w:r>
      <w:r w:rsidRPr="00373B09">
        <w:t xml:space="preserve">will become an exposed conveyance. When the exposed conveyance returns to Australian territory, it </w:t>
      </w:r>
      <w:r w:rsidR="00114C50" w:rsidRPr="00373B09">
        <w:t xml:space="preserve">will </w:t>
      </w:r>
      <w:r w:rsidRPr="00373B09">
        <w:t>become subject to biosecurity control and must pre-arrival report and notify if it intends to unload goods.</w:t>
      </w:r>
    </w:p>
    <w:p w14:paraId="25A617A7" w14:textId="77777777" w:rsidR="00284F89" w:rsidRPr="00E9312E" w:rsidRDefault="009308E1" w:rsidP="00C7420E">
      <w:r w:rsidRPr="00446635">
        <w:t>To avoid the</w:t>
      </w:r>
      <w:r w:rsidRPr="00446635">
        <w:t xml:space="preserve"> above situation, and d</w:t>
      </w:r>
      <w:r w:rsidR="00E92ED2" w:rsidRPr="00446635">
        <w:t>epending on operational circumstances</w:t>
      </w:r>
      <w:r w:rsidRPr="00446635">
        <w:t>,</w:t>
      </w:r>
      <w:r w:rsidR="00E92ED2" w:rsidRPr="00446635">
        <w:t xml:space="preserve"> </w:t>
      </w:r>
      <w:r w:rsidR="004B5007" w:rsidRPr="00446635">
        <w:t xml:space="preserve">the operator </w:t>
      </w:r>
      <w:r w:rsidR="004B5007" w:rsidRPr="00E9312E">
        <w:t>of an installation</w:t>
      </w:r>
      <w:r w:rsidR="007C08B5">
        <w:t>/PIV</w:t>
      </w:r>
      <w:r w:rsidR="004B5007" w:rsidRPr="00E9312E">
        <w:t xml:space="preserve"> </w:t>
      </w:r>
      <w:r w:rsidR="00E92ED2" w:rsidRPr="00E9312E">
        <w:t>may seek</w:t>
      </w:r>
      <w:r w:rsidR="004B5007" w:rsidRPr="00E9312E">
        <w:t xml:space="preserve"> </w:t>
      </w:r>
      <w:proofErr w:type="gramStart"/>
      <w:r w:rsidR="004B5007" w:rsidRPr="00E9312E">
        <w:t>to</w:t>
      </w:r>
      <w:proofErr w:type="gramEnd"/>
      <w:r w:rsidR="004B5007" w:rsidRPr="00E9312E">
        <w:t xml:space="preserve"> either:</w:t>
      </w:r>
    </w:p>
    <w:p w14:paraId="25A617A8" w14:textId="77777777" w:rsidR="004B5007" w:rsidRPr="0015450B" w:rsidRDefault="009308E1" w:rsidP="007367AC">
      <w:pPr>
        <w:keepNext/>
        <w:keepLines/>
        <w:numPr>
          <w:ilvl w:val="0"/>
          <w:numId w:val="23"/>
        </w:numPr>
        <w:spacing w:after="0"/>
        <w:rPr>
          <w:rFonts w:cs="Arial"/>
        </w:rPr>
      </w:pPr>
      <w:r w:rsidRPr="0015450B">
        <w:rPr>
          <w:rFonts w:cs="Arial"/>
        </w:rPr>
        <w:t>satisfy the Director of Biosecurity that the level of biosecurity risk associated with the installation is acceptable (</w:t>
      </w:r>
      <w:proofErr w:type="gramStart"/>
      <w:r w:rsidRPr="0015450B">
        <w:rPr>
          <w:rFonts w:cs="Arial"/>
        </w:rPr>
        <w:t>i.e.</w:t>
      </w:r>
      <w:proofErr w:type="gramEnd"/>
      <w:r w:rsidRPr="0015450B">
        <w:rPr>
          <w:rFonts w:cs="Arial"/>
        </w:rPr>
        <w:t xml:space="preserve"> </w:t>
      </w:r>
      <w:r w:rsidR="00961CB7" w:rsidRPr="0015450B">
        <w:rPr>
          <w:rFonts w:cs="Arial"/>
        </w:rPr>
        <w:t>be classified as a low-risk</w:t>
      </w:r>
      <w:r w:rsidRPr="0015450B">
        <w:rPr>
          <w:rFonts w:cs="Arial"/>
        </w:rPr>
        <w:t xml:space="preserve"> installation); or</w:t>
      </w:r>
    </w:p>
    <w:p w14:paraId="25A617A9" w14:textId="77777777" w:rsidR="004B5007" w:rsidRPr="0015450B" w:rsidRDefault="009308E1" w:rsidP="007367AC">
      <w:pPr>
        <w:keepNext/>
        <w:keepLines/>
        <w:numPr>
          <w:ilvl w:val="0"/>
          <w:numId w:val="23"/>
        </w:numPr>
        <w:spacing w:after="0"/>
        <w:rPr>
          <w:rFonts w:cs="Arial"/>
        </w:rPr>
      </w:pPr>
      <w:proofErr w:type="gramStart"/>
      <w:r w:rsidRPr="0015450B">
        <w:rPr>
          <w:rFonts w:cs="Arial"/>
        </w:rPr>
        <w:t>enter into</w:t>
      </w:r>
      <w:proofErr w:type="gramEnd"/>
      <w:r w:rsidRPr="0015450B">
        <w:rPr>
          <w:rFonts w:cs="Arial"/>
        </w:rPr>
        <w:t xml:space="preserve"> an Approved Arrangement with the department to manage the biosecurity risk</w:t>
      </w:r>
      <w:r w:rsidR="00DC1D4D">
        <w:rPr>
          <w:rFonts w:cs="Arial"/>
        </w:rPr>
        <w:t xml:space="preserve"> to an acceptable level</w:t>
      </w:r>
      <w:r w:rsidRPr="0015450B">
        <w:rPr>
          <w:rFonts w:cs="Arial"/>
        </w:rPr>
        <w:t>.</w:t>
      </w:r>
    </w:p>
    <w:p w14:paraId="25A617AA" w14:textId="77777777" w:rsidR="00D2594C" w:rsidRPr="0015450B" w:rsidRDefault="009308E1" w:rsidP="00C7420E">
      <w:pPr>
        <w:pStyle w:val="NormalWeb"/>
        <w:spacing w:before="200" w:beforeAutospacing="0" w:after="200" w:afterAutospacing="0"/>
        <w:rPr>
          <w:rFonts w:cs="Arial"/>
        </w:rPr>
      </w:pPr>
      <w:r w:rsidRPr="0015450B">
        <w:rPr>
          <w:rFonts w:cs="Arial"/>
        </w:rPr>
        <w:t xml:space="preserve">The above options </w:t>
      </w:r>
      <w:r w:rsidR="00AB50A2" w:rsidRPr="0015450B">
        <w:rPr>
          <w:rFonts w:cs="Arial"/>
        </w:rPr>
        <w:t>are provided</w:t>
      </w:r>
      <w:r w:rsidRPr="0015450B">
        <w:rPr>
          <w:rFonts w:cs="Arial"/>
        </w:rPr>
        <w:t xml:space="preserve"> </w:t>
      </w:r>
      <w:r w:rsidR="00AB50A2" w:rsidRPr="0015450B">
        <w:rPr>
          <w:rFonts w:cs="Arial"/>
        </w:rPr>
        <w:t>through</w:t>
      </w:r>
      <w:r w:rsidRPr="0015450B">
        <w:rPr>
          <w:rFonts w:cs="Arial"/>
        </w:rPr>
        <w:t xml:space="preserve"> the </w:t>
      </w:r>
      <w:r w:rsidR="00185D3E" w:rsidRPr="0015450B">
        <w:rPr>
          <w:rFonts w:cs="Arial"/>
        </w:rPr>
        <w:t>Determination</w:t>
      </w:r>
      <w:r w:rsidRPr="0015450B">
        <w:rPr>
          <w:rFonts w:cs="Arial"/>
          <w:i/>
        </w:rPr>
        <w:t xml:space="preserve">, </w:t>
      </w:r>
      <w:r w:rsidRPr="0015450B">
        <w:rPr>
          <w:rFonts w:cs="Arial"/>
        </w:rPr>
        <w:t xml:space="preserve">specifically section 6(1)(f)(ii) </w:t>
      </w:r>
      <w:r w:rsidR="00DC1D4D">
        <w:rPr>
          <w:rFonts w:cs="Arial"/>
        </w:rPr>
        <w:t>[</w:t>
      </w:r>
      <w:r w:rsidRPr="0015450B">
        <w:rPr>
          <w:rFonts w:cs="Arial"/>
        </w:rPr>
        <w:t xml:space="preserve">and </w:t>
      </w:r>
      <w:r w:rsidR="00DC1D4D">
        <w:rPr>
          <w:rFonts w:cs="Arial"/>
        </w:rPr>
        <w:t>sub</w:t>
      </w:r>
      <w:r w:rsidRPr="0015450B">
        <w:rPr>
          <w:rFonts w:cs="Arial"/>
        </w:rPr>
        <w:t xml:space="preserve">section 6(2) </w:t>
      </w:r>
      <w:r w:rsidR="00DC1D4D">
        <w:rPr>
          <w:rFonts w:cs="Arial"/>
        </w:rPr>
        <w:t>or</w:t>
      </w:r>
      <w:r w:rsidRPr="0015450B">
        <w:rPr>
          <w:rFonts w:cs="Arial"/>
        </w:rPr>
        <w:t xml:space="preserve"> (3)</w:t>
      </w:r>
      <w:r w:rsidR="00DC1D4D">
        <w:rPr>
          <w:rFonts w:cs="Arial"/>
        </w:rPr>
        <w:t>] or section 6(1)(f)(iii) [and subsection 6(4), (5), (6) or (7)]</w:t>
      </w:r>
      <w:r w:rsidRPr="0015450B">
        <w:rPr>
          <w:rFonts w:cs="Arial"/>
        </w:rPr>
        <w:t xml:space="preserve">. </w:t>
      </w:r>
      <w:r w:rsidR="00961CB7" w:rsidRPr="0015450B">
        <w:rPr>
          <w:rFonts w:cs="Arial"/>
        </w:rPr>
        <w:t xml:space="preserve">If </w:t>
      </w:r>
      <w:r w:rsidR="004B5007" w:rsidRPr="0015450B">
        <w:rPr>
          <w:rFonts w:cs="Arial"/>
        </w:rPr>
        <w:t xml:space="preserve">either of the above </w:t>
      </w:r>
      <w:r w:rsidR="00291950" w:rsidRPr="0015450B">
        <w:rPr>
          <w:rFonts w:cs="Arial"/>
        </w:rPr>
        <w:t xml:space="preserve">criteria </w:t>
      </w:r>
      <w:r w:rsidR="00961CB7" w:rsidRPr="0015450B">
        <w:rPr>
          <w:rFonts w:cs="Arial"/>
        </w:rPr>
        <w:t>are met by</w:t>
      </w:r>
      <w:r w:rsidR="00185D3E" w:rsidRPr="0015450B">
        <w:rPr>
          <w:rFonts w:cs="Arial"/>
        </w:rPr>
        <w:t xml:space="preserve"> the installation</w:t>
      </w:r>
      <w:r w:rsidR="007C08B5" w:rsidRPr="0015450B">
        <w:rPr>
          <w:rFonts w:cs="Arial"/>
        </w:rPr>
        <w:t>/PIV</w:t>
      </w:r>
      <w:r w:rsidR="00961CB7" w:rsidRPr="0015450B">
        <w:rPr>
          <w:rFonts w:cs="Arial"/>
        </w:rPr>
        <w:t>, any</w:t>
      </w:r>
      <w:r w:rsidR="00185D3E" w:rsidRPr="0015450B">
        <w:rPr>
          <w:rFonts w:cs="Arial"/>
        </w:rPr>
        <w:t xml:space="preserve"> conveyance which </w:t>
      </w:r>
      <w:r w:rsidR="00E378F8">
        <w:rPr>
          <w:rFonts w:cs="Arial"/>
        </w:rPr>
        <w:t>is</w:t>
      </w:r>
      <w:r w:rsidR="00201833" w:rsidRPr="0015450B">
        <w:rPr>
          <w:rFonts w:cs="Arial"/>
        </w:rPr>
        <w:t xml:space="preserve"> exposed to </w:t>
      </w:r>
      <w:r w:rsidR="00185D3E" w:rsidRPr="0015450B">
        <w:rPr>
          <w:rFonts w:cs="Arial"/>
        </w:rPr>
        <w:t xml:space="preserve">it </w:t>
      </w:r>
      <w:r w:rsidR="00961CB7" w:rsidRPr="0015450B">
        <w:rPr>
          <w:rFonts w:cs="Arial"/>
        </w:rPr>
        <w:t xml:space="preserve">will be considered to have met one of the </w:t>
      </w:r>
      <w:proofErr w:type="gramStart"/>
      <w:r w:rsidR="00185D3E" w:rsidRPr="0015450B">
        <w:rPr>
          <w:rFonts w:cs="Arial"/>
        </w:rPr>
        <w:t>exception</w:t>
      </w:r>
      <w:r w:rsidR="00961CB7" w:rsidRPr="0015450B">
        <w:rPr>
          <w:rFonts w:cs="Arial"/>
        </w:rPr>
        <w:t>s, and</w:t>
      </w:r>
      <w:proofErr w:type="gramEnd"/>
      <w:r w:rsidR="00961CB7" w:rsidRPr="0015450B">
        <w:rPr>
          <w:rFonts w:cs="Arial"/>
        </w:rPr>
        <w:t xml:space="preserve"> will not</w:t>
      </w:r>
      <w:r w:rsidR="00185D3E" w:rsidRPr="0015450B">
        <w:rPr>
          <w:rFonts w:cs="Arial"/>
        </w:rPr>
        <w:t xml:space="preserve"> becom</w:t>
      </w:r>
      <w:r w:rsidR="00961CB7" w:rsidRPr="0015450B">
        <w:rPr>
          <w:rFonts w:cs="Arial"/>
        </w:rPr>
        <w:t>e</w:t>
      </w:r>
      <w:r w:rsidR="00185D3E" w:rsidRPr="0015450B">
        <w:rPr>
          <w:rFonts w:cs="Arial"/>
        </w:rPr>
        <w:t xml:space="preserve"> subject to biosecurity control when returning to Australian territory.</w:t>
      </w:r>
      <w:r w:rsidR="00105460" w:rsidRPr="0015450B">
        <w:rPr>
          <w:rFonts w:cs="Arial"/>
        </w:rPr>
        <w:t xml:space="preserve"> </w:t>
      </w:r>
      <w:r w:rsidR="001F6362">
        <w:rPr>
          <w:rFonts w:cs="Arial"/>
        </w:rPr>
        <w:t>T</w:t>
      </w:r>
      <w:r w:rsidR="00E378F8">
        <w:rPr>
          <w:rFonts w:cs="Arial"/>
        </w:rPr>
        <w:t xml:space="preserve">he </w:t>
      </w:r>
      <w:r w:rsidR="00114C50" w:rsidRPr="0015450B">
        <w:rPr>
          <w:rFonts w:cs="Arial"/>
        </w:rPr>
        <w:t xml:space="preserve">exposed </w:t>
      </w:r>
      <w:r w:rsidR="00105460" w:rsidRPr="0015450B">
        <w:rPr>
          <w:rFonts w:cs="Arial"/>
        </w:rPr>
        <w:t xml:space="preserve">conveyance will also need to meet </w:t>
      </w:r>
      <w:r w:rsidR="00DC1D4D">
        <w:rPr>
          <w:rFonts w:cs="Arial"/>
        </w:rPr>
        <w:t xml:space="preserve">other relevant </w:t>
      </w:r>
      <w:r w:rsidR="00105460" w:rsidRPr="0015450B">
        <w:rPr>
          <w:rFonts w:cs="Arial"/>
        </w:rPr>
        <w:t xml:space="preserve">conditions </w:t>
      </w:r>
      <w:r w:rsidR="00DC1D4D">
        <w:rPr>
          <w:rFonts w:cs="Arial"/>
        </w:rPr>
        <w:t xml:space="preserve">(paragraphs 6(1)(a), (b), (c) and (d)) </w:t>
      </w:r>
      <w:r w:rsidR="00105460" w:rsidRPr="0015450B">
        <w:rPr>
          <w:rFonts w:cs="Arial"/>
        </w:rPr>
        <w:t xml:space="preserve">of </w:t>
      </w:r>
      <w:r w:rsidR="00105460" w:rsidRPr="0015450B">
        <w:rPr>
          <w:rFonts w:cs="Arial"/>
        </w:rPr>
        <w:lastRenderedPageBreak/>
        <w:t>the Determination</w:t>
      </w:r>
      <w:r w:rsidR="00DC1D4D">
        <w:rPr>
          <w:rFonts w:cs="Arial"/>
        </w:rPr>
        <w:t>, otherwise, it will become subject to biosecurity control when it enters Australian territory</w:t>
      </w:r>
      <w:r w:rsidR="00105460" w:rsidRPr="0015450B">
        <w:rPr>
          <w:rFonts w:cs="Arial"/>
        </w:rPr>
        <w:t>.</w:t>
      </w:r>
    </w:p>
    <w:p w14:paraId="25A617AB" w14:textId="77777777" w:rsidR="00D2594C" w:rsidRPr="00755FDA" w:rsidRDefault="009308E1" w:rsidP="00D2594C">
      <w:pPr>
        <w:pStyle w:val="Heading3"/>
        <w:rPr>
          <w:rFonts w:ascii="Calibri" w:hAnsi="Calibri"/>
          <w:color w:val="auto"/>
        </w:rPr>
      </w:pPr>
      <w:bookmarkStart w:id="71" w:name="_Toc55472627"/>
      <w:r w:rsidRPr="00755FDA">
        <w:rPr>
          <w:rFonts w:ascii="Calibri" w:hAnsi="Calibri"/>
          <w:color w:val="auto"/>
        </w:rPr>
        <w:t>Low risk installation</w:t>
      </w:r>
      <w:bookmarkEnd w:id="71"/>
    </w:p>
    <w:p w14:paraId="25A617AC" w14:textId="77777777" w:rsidR="0022695A" w:rsidRPr="00297046" w:rsidRDefault="009308E1" w:rsidP="0022695A">
      <w:pPr>
        <w:pStyle w:val="NormalWeb"/>
        <w:spacing w:before="0" w:beforeAutospacing="0" w:after="200" w:afterAutospacing="0"/>
        <w:rPr>
          <w:rFonts w:cs="Arial"/>
        </w:rPr>
      </w:pPr>
      <w:r w:rsidRPr="00297046">
        <w:rPr>
          <w:rFonts w:cs="Arial"/>
        </w:rPr>
        <w:t xml:space="preserve">For </w:t>
      </w:r>
      <w:r w:rsidR="00044E57" w:rsidRPr="00297046">
        <w:rPr>
          <w:rFonts w:cs="Arial"/>
        </w:rPr>
        <w:t>a</w:t>
      </w:r>
      <w:r w:rsidRPr="00297046">
        <w:rPr>
          <w:rFonts w:cs="Arial"/>
        </w:rPr>
        <w:t xml:space="preserve">n operator to satisfy the Director of Biosecurity that </w:t>
      </w:r>
      <w:r w:rsidR="00316D55" w:rsidRPr="00297046">
        <w:rPr>
          <w:rFonts w:cs="Arial"/>
        </w:rPr>
        <w:t>the</w:t>
      </w:r>
      <w:r w:rsidRPr="00297046">
        <w:rPr>
          <w:rFonts w:cs="Arial"/>
        </w:rPr>
        <w:t xml:space="preserve"> </w:t>
      </w:r>
      <w:r w:rsidR="00B63F43">
        <w:rPr>
          <w:rFonts w:cs="Arial"/>
        </w:rPr>
        <w:t xml:space="preserve">biosecurity </w:t>
      </w:r>
      <w:r w:rsidRPr="00297046">
        <w:rPr>
          <w:rFonts w:cs="Arial"/>
        </w:rPr>
        <w:t xml:space="preserve">risk </w:t>
      </w:r>
      <w:r w:rsidR="00316D55" w:rsidRPr="00297046">
        <w:rPr>
          <w:rFonts w:cs="Arial"/>
        </w:rPr>
        <w:t xml:space="preserve">of their installation/PIV </w:t>
      </w:r>
      <w:r w:rsidRPr="00297046">
        <w:rPr>
          <w:rFonts w:cs="Arial"/>
        </w:rPr>
        <w:t xml:space="preserve">is acceptable and therefore low risk </w:t>
      </w:r>
      <w:r w:rsidR="00C905C7" w:rsidRPr="00297046">
        <w:rPr>
          <w:rFonts w:cs="Arial"/>
        </w:rPr>
        <w:t>they</w:t>
      </w:r>
      <w:r w:rsidRPr="00297046">
        <w:rPr>
          <w:rFonts w:cs="Arial"/>
        </w:rPr>
        <w:t xml:space="preserve"> must be:</w:t>
      </w:r>
    </w:p>
    <w:p w14:paraId="25A617AD" w14:textId="77777777" w:rsidR="0022695A" w:rsidRPr="00297046" w:rsidRDefault="009308E1" w:rsidP="007367AC">
      <w:pPr>
        <w:keepNext/>
        <w:keepLines/>
        <w:numPr>
          <w:ilvl w:val="0"/>
          <w:numId w:val="14"/>
        </w:numPr>
        <w:spacing w:after="0"/>
        <w:rPr>
          <w:rFonts w:cs="Arial"/>
        </w:rPr>
      </w:pPr>
      <w:r w:rsidRPr="00297046">
        <w:rPr>
          <w:rFonts w:cs="Arial"/>
        </w:rPr>
        <w:t xml:space="preserve">willing to </w:t>
      </w:r>
      <w:r w:rsidR="00291950" w:rsidRPr="00297046">
        <w:rPr>
          <w:rFonts w:cs="Arial"/>
        </w:rPr>
        <w:t xml:space="preserve">provide relevant information to </w:t>
      </w:r>
      <w:r w:rsidRPr="00297046">
        <w:rPr>
          <w:rFonts w:cs="Arial"/>
        </w:rPr>
        <w:t xml:space="preserve">the Director of Biosecurity </w:t>
      </w:r>
      <w:r w:rsidR="00291950" w:rsidRPr="00297046">
        <w:rPr>
          <w:rFonts w:cs="Arial"/>
        </w:rPr>
        <w:t xml:space="preserve">and accept that the process (of satisfying the Director of Biosecurity that the </w:t>
      </w:r>
      <w:r w:rsidR="00B63F43">
        <w:rPr>
          <w:rFonts w:cs="Arial"/>
        </w:rPr>
        <w:t xml:space="preserve">biosecurity </w:t>
      </w:r>
      <w:r w:rsidR="00291950" w:rsidRPr="00297046">
        <w:rPr>
          <w:rFonts w:cs="Arial"/>
        </w:rPr>
        <w:t xml:space="preserve">risk status of the installation is low) </w:t>
      </w:r>
      <w:r w:rsidRPr="00297046">
        <w:rPr>
          <w:rFonts w:cs="Arial"/>
        </w:rPr>
        <w:t>ma</w:t>
      </w:r>
      <w:r w:rsidRPr="00297046">
        <w:rPr>
          <w:rFonts w:cs="Arial"/>
        </w:rPr>
        <w:t xml:space="preserve">y involve departmental inspection, documentary assessment and assurances or inspection by a third </w:t>
      </w:r>
      <w:proofErr w:type="gramStart"/>
      <w:r w:rsidRPr="00297046">
        <w:rPr>
          <w:rFonts w:cs="Arial"/>
        </w:rPr>
        <w:t>party</w:t>
      </w:r>
      <w:proofErr w:type="gramEnd"/>
    </w:p>
    <w:p w14:paraId="25A617AE" w14:textId="77777777" w:rsidR="005E5E99" w:rsidRDefault="009308E1" w:rsidP="007367AC">
      <w:pPr>
        <w:keepNext/>
        <w:keepLines/>
        <w:numPr>
          <w:ilvl w:val="0"/>
          <w:numId w:val="14"/>
        </w:numPr>
        <w:spacing w:after="0"/>
        <w:rPr>
          <w:rFonts w:cs="Arial"/>
        </w:rPr>
      </w:pPr>
      <w:r w:rsidRPr="00297046">
        <w:rPr>
          <w:rFonts w:cs="Arial"/>
        </w:rPr>
        <w:t xml:space="preserve">confident </w:t>
      </w:r>
      <w:r w:rsidR="00291950" w:rsidRPr="00297046">
        <w:rPr>
          <w:rFonts w:cs="Arial"/>
        </w:rPr>
        <w:t xml:space="preserve">that </w:t>
      </w:r>
      <w:r>
        <w:rPr>
          <w:rFonts w:cs="Arial"/>
        </w:rPr>
        <w:t xml:space="preserve">from the </w:t>
      </w:r>
      <w:r w:rsidR="001F6362">
        <w:rPr>
          <w:rFonts w:cs="Arial"/>
        </w:rPr>
        <w:t xml:space="preserve">time at which </w:t>
      </w:r>
      <w:r>
        <w:rPr>
          <w:rFonts w:cs="Arial"/>
        </w:rPr>
        <w:t xml:space="preserve">the Director of Biosecurity is satisfied, </w:t>
      </w:r>
      <w:r w:rsidR="00E378F8">
        <w:rPr>
          <w:rFonts w:cs="Arial"/>
        </w:rPr>
        <w:t xml:space="preserve">that </w:t>
      </w:r>
      <w:r>
        <w:rPr>
          <w:rFonts w:cs="Arial"/>
        </w:rPr>
        <w:t xml:space="preserve">the </w:t>
      </w:r>
      <w:r w:rsidR="00291950" w:rsidRPr="00297046">
        <w:rPr>
          <w:rFonts w:cs="Arial"/>
        </w:rPr>
        <w:t>installation</w:t>
      </w:r>
      <w:r w:rsidR="00307F76" w:rsidRPr="00297046">
        <w:rPr>
          <w:rFonts w:cs="Arial"/>
        </w:rPr>
        <w:t>/PIV</w:t>
      </w:r>
      <w:r>
        <w:rPr>
          <w:rFonts w:cs="Arial"/>
        </w:rPr>
        <w:t>:</w:t>
      </w:r>
    </w:p>
    <w:p w14:paraId="25A617AF" w14:textId="77777777" w:rsidR="005E5E99" w:rsidRDefault="009308E1" w:rsidP="007367AC">
      <w:pPr>
        <w:keepNext/>
        <w:keepLines/>
        <w:numPr>
          <w:ilvl w:val="1"/>
          <w:numId w:val="14"/>
        </w:numPr>
        <w:spacing w:after="0"/>
        <w:rPr>
          <w:rFonts w:cs="Arial"/>
        </w:rPr>
      </w:pPr>
      <w:r>
        <w:rPr>
          <w:rFonts w:cs="Arial"/>
        </w:rPr>
        <w:t xml:space="preserve">will </w:t>
      </w:r>
      <w:r w:rsidRPr="005E5E99">
        <w:rPr>
          <w:rFonts w:cs="Arial"/>
        </w:rPr>
        <w:t xml:space="preserve">only </w:t>
      </w:r>
      <w:r>
        <w:rPr>
          <w:rFonts w:cs="Arial"/>
        </w:rPr>
        <w:t xml:space="preserve">be </w:t>
      </w:r>
      <w:r w:rsidR="0022695A" w:rsidRPr="005E5E99">
        <w:rPr>
          <w:rFonts w:cs="Arial"/>
        </w:rPr>
        <w:t xml:space="preserve">domestically crewed and that this will be </w:t>
      </w:r>
      <w:proofErr w:type="gramStart"/>
      <w:r w:rsidR="0022695A" w:rsidRPr="005E5E99">
        <w:rPr>
          <w:rFonts w:cs="Arial"/>
        </w:rPr>
        <w:t>maintained</w:t>
      </w:r>
      <w:proofErr w:type="gramEnd"/>
    </w:p>
    <w:p w14:paraId="25A617B0" w14:textId="77777777" w:rsidR="0022695A" w:rsidRPr="005E5E99" w:rsidRDefault="009308E1" w:rsidP="007367AC">
      <w:pPr>
        <w:keepNext/>
        <w:keepLines/>
        <w:numPr>
          <w:ilvl w:val="1"/>
          <w:numId w:val="14"/>
        </w:numPr>
        <w:spacing w:after="0"/>
        <w:rPr>
          <w:rFonts w:cs="Arial"/>
        </w:rPr>
      </w:pPr>
      <w:r>
        <w:rPr>
          <w:rFonts w:cs="Arial"/>
        </w:rPr>
        <w:t xml:space="preserve">will </w:t>
      </w:r>
      <w:r w:rsidR="005E5E99">
        <w:rPr>
          <w:rFonts w:cs="Arial"/>
        </w:rPr>
        <w:t>only</w:t>
      </w:r>
      <w:r w:rsidRPr="005E5E99">
        <w:rPr>
          <w:rFonts w:cs="Arial"/>
        </w:rPr>
        <w:t xml:space="preserve"> </w:t>
      </w:r>
      <w:r>
        <w:rPr>
          <w:rFonts w:cs="Arial"/>
        </w:rPr>
        <w:t xml:space="preserve">be </w:t>
      </w:r>
      <w:r w:rsidRPr="005E5E99">
        <w:rPr>
          <w:rFonts w:cs="Arial"/>
        </w:rPr>
        <w:t xml:space="preserve">domestically provisioned and that this will be </w:t>
      </w:r>
      <w:proofErr w:type="gramStart"/>
      <w:r w:rsidRPr="005E5E99">
        <w:rPr>
          <w:rFonts w:cs="Arial"/>
        </w:rPr>
        <w:t>maintained</w:t>
      </w:r>
      <w:proofErr w:type="gramEnd"/>
    </w:p>
    <w:p w14:paraId="25A617B1" w14:textId="77777777" w:rsidR="0022695A" w:rsidRPr="00297046" w:rsidRDefault="009308E1" w:rsidP="007367AC">
      <w:pPr>
        <w:keepNext/>
        <w:keepLines/>
        <w:numPr>
          <w:ilvl w:val="0"/>
          <w:numId w:val="14"/>
        </w:numPr>
        <w:spacing w:after="0"/>
        <w:rPr>
          <w:rFonts w:cs="Arial"/>
        </w:rPr>
      </w:pPr>
      <w:r w:rsidRPr="00297046">
        <w:rPr>
          <w:rFonts w:cs="Arial"/>
        </w:rPr>
        <w:t>confident that the installation will not be receiving any international goods (excluding those to be deployed to the sea or seabe</w:t>
      </w:r>
      <w:r w:rsidR="00C905C7" w:rsidRPr="00297046">
        <w:rPr>
          <w:rFonts w:cs="Arial"/>
        </w:rPr>
        <w:t>d)</w:t>
      </w:r>
      <w:r w:rsidRPr="00297046">
        <w:rPr>
          <w:rFonts w:cs="Arial"/>
        </w:rPr>
        <w:t>.</w:t>
      </w:r>
    </w:p>
    <w:p w14:paraId="25A617B2" w14:textId="77777777" w:rsidR="00C905C7" w:rsidRDefault="00C905C7" w:rsidP="00FF68E6">
      <w:pPr>
        <w:keepNext/>
        <w:keepLines/>
        <w:spacing w:after="0"/>
        <w:rPr>
          <w:rFonts w:cs="Arial"/>
        </w:rPr>
      </w:pPr>
    </w:p>
    <w:p w14:paraId="25A617B3" w14:textId="77777777" w:rsidR="00297046" w:rsidRPr="00E9312E" w:rsidRDefault="009308E1" w:rsidP="00297046">
      <w:pPr>
        <w:pStyle w:val="NormalWeb"/>
        <w:spacing w:before="0" w:beforeAutospacing="0" w:after="200" w:afterAutospacing="0"/>
        <w:rPr>
          <w:rFonts w:cs="Arial"/>
        </w:rPr>
      </w:pPr>
      <w:r w:rsidRPr="00E9312E">
        <w:rPr>
          <w:rFonts w:cs="Arial"/>
        </w:rPr>
        <w:t xml:space="preserve">Where an installation has satisfied the Director of Biosecurity that its </w:t>
      </w:r>
      <w:r w:rsidR="00B63F43">
        <w:rPr>
          <w:rFonts w:cs="Arial"/>
        </w:rPr>
        <w:t xml:space="preserve">biosecurity </w:t>
      </w:r>
      <w:r w:rsidRPr="00E9312E">
        <w:rPr>
          <w:rFonts w:cs="Arial"/>
        </w:rPr>
        <w:t xml:space="preserve">risk is acceptable, the department will issue a letter to the operator of the installation indicating that the installation achieved a </w:t>
      </w:r>
      <w:proofErr w:type="gramStart"/>
      <w:r w:rsidRPr="00E9312E">
        <w:rPr>
          <w:rFonts w:cs="Arial"/>
        </w:rPr>
        <w:t>low risk</w:t>
      </w:r>
      <w:proofErr w:type="gramEnd"/>
      <w:r w:rsidRPr="00E9312E">
        <w:rPr>
          <w:rFonts w:cs="Arial"/>
        </w:rPr>
        <w:t xml:space="preserve"> status. This letter can be </w:t>
      </w:r>
      <w:r w:rsidRPr="00E9312E">
        <w:rPr>
          <w:rFonts w:cs="Arial"/>
        </w:rPr>
        <w:t>used by the operator of the installation to provide confidence to the operator of an exposed conveyance as to the installation’s status.</w:t>
      </w:r>
    </w:p>
    <w:p w14:paraId="25A617B4" w14:textId="77777777" w:rsidR="0022695A" w:rsidRPr="00297046" w:rsidRDefault="009308E1" w:rsidP="0022695A">
      <w:pPr>
        <w:pStyle w:val="NormalWeb"/>
        <w:spacing w:before="0" w:beforeAutospacing="0" w:after="200" w:afterAutospacing="0"/>
        <w:rPr>
          <w:rFonts w:cs="Arial"/>
        </w:rPr>
      </w:pPr>
      <w:r w:rsidRPr="00297046">
        <w:rPr>
          <w:rFonts w:cs="Arial"/>
        </w:rPr>
        <w:t>Where an installation</w:t>
      </w:r>
      <w:r w:rsidR="000737D4" w:rsidRPr="00297046">
        <w:rPr>
          <w:rFonts w:cs="Arial"/>
        </w:rPr>
        <w:t>/</w:t>
      </w:r>
      <w:r w:rsidRPr="00297046">
        <w:rPr>
          <w:rFonts w:cs="Arial"/>
        </w:rPr>
        <w:t>P</w:t>
      </w:r>
      <w:r w:rsidR="00031CF2" w:rsidRPr="00297046">
        <w:rPr>
          <w:rFonts w:cs="Arial"/>
        </w:rPr>
        <w:t xml:space="preserve">IV </w:t>
      </w:r>
      <w:r w:rsidRPr="00297046">
        <w:rPr>
          <w:rFonts w:cs="Arial"/>
        </w:rPr>
        <w:t xml:space="preserve">has satisfied the Director of Biosecurity that its </w:t>
      </w:r>
      <w:r w:rsidR="00B63F43">
        <w:rPr>
          <w:rFonts w:cs="Arial"/>
        </w:rPr>
        <w:t xml:space="preserve">biosecurity </w:t>
      </w:r>
      <w:r w:rsidRPr="00297046">
        <w:rPr>
          <w:rFonts w:cs="Arial"/>
        </w:rPr>
        <w:t xml:space="preserve">risk is acceptable, to ensure </w:t>
      </w:r>
      <w:r w:rsidRPr="00297046">
        <w:rPr>
          <w:rFonts w:cs="Arial"/>
        </w:rPr>
        <w:t xml:space="preserve">its </w:t>
      </w:r>
      <w:proofErr w:type="gramStart"/>
      <w:r w:rsidRPr="00297046">
        <w:rPr>
          <w:rFonts w:cs="Arial"/>
        </w:rPr>
        <w:t>low risk</w:t>
      </w:r>
      <w:proofErr w:type="gramEnd"/>
      <w:r w:rsidRPr="00297046">
        <w:rPr>
          <w:rFonts w:cs="Arial"/>
        </w:rPr>
        <w:t xml:space="preserve"> </w:t>
      </w:r>
      <w:r w:rsidR="00B63F43">
        <w:rPr>
          <w:rFonts w:cs="Arial"/>
        </w:rPr>
        <w:t xml:space="preserve">status </w:t>
      </w:r>
      <w:r w:rsidRPr="00297046">
        <w:rPr>
          <w:rFonts w:cs="Arial"/>
        </w:rPr>
        <w:t xml:space="preserve">is maintained, the operator must continue to meet conditions of the Determination. These conditions are found in the Determination </w:t>
      </w:r>
      <w:r w:rsidR="00EF6B86">
        <w:rPr>
          <w:rFonts w:cs="Arial"/>
        </w:rPr>
        <w:t>under</w:t>
      </w:r>
      <w:r w:rsidRPr="00297046">
        <w:rPr>
          <w:rFonts w:cs="Arial"/>
        </w:rPr>
        <w:t xml:space="preserve"> section 6(3)(b). Where these conditions are not met, the installation</w:t>
      </w:r>
      <w:r w:rsidR="000737D4" w:rsidRPr="00297046">
        <w:rPr>
          <w:rFonts w:cs="Arial"/>
        </w:rPr>
        <w:t>/</w:t>
      </w:r>
      <w:r w:rsidRPr="00297046">
        <w:rPr>
          <w:rFonts w:cs="Arial"/>
        </w:rPr>
        <w:t>P</w:t>
      </w:r>
      <w:r w:rsidR="00031CF2" w:rsidRPr="00297046">
        <w:rPr>
          <w:rFonts w:cs="Arial"/>
        </w:rPr>
        <w:t>IV</w:t>
      </w:r>
      <w:r w:rsidRPr="00297046">
        <w:rPr>
          <w:rFonts w:cs="Arial"/>
        </w:rPr>
        <w:t xml:space="preserve"> will no longer be conside</w:t>
      </w:r>
      <w:r w:rsidRPr="00297046">
        <w:rPr>
          <w:rFonts w:cs="Arial"/>
        </w:rPr>
        <w:t xml:space="preserve">red low risk and </w:t>
      </w:r>
      <w:r w:rsidR="00F8419A" w:rsidRPr="00297046">
        <w:rPr>
          <w:rFonts w:cs="Arial"/>
        </w:rPr>
        <w:t xml:space="preserve">any </w:t>
      </w:r>
      <w:r w:rsidRPr="00297046">
        <w:rPr>
          <w:rFonts w:cs="Arial"/>
        </w:rPr>
        <w:t>conveyance</w:t>
      </w:r>
      <w:r w:rsidR="000737D4" w:rsidRPr="00297046">
        <w:rPr>
          <w:rFonts w:cs="Arial"/>
        </w:rPr>
        <w:t>s</w:t>
      </w:r>
      <w:r w:rsidRPr="00297046">
        <w:rPr>
          <w:rFonts w:cs="Arial"/>
        </w:rPr>
        <w:t xml:space="preserve"> which are exposed to it </w:t>
      </w:r>
      <w:r w:rsidR="00F8419A" w:rsidRPr="00297046">
        <w:rPr>
          <w:rFonts w:cs="Arial"/>
        </w:rPr>
        <w:t xml:space="preserve">will be </w:t>
      </w:r>
      <w:r w:rsidRPr="00297046">
        <w:rPr>
          <w:rFonts w:cs="Arial"/>
        </w:rPr>
        <w:t>subject to biosecurity control when returning to Australian territory. Where an installation</w:t>
      </w:r>
      <w:r w:rsidR="000737D4" w:rsidRPr="00297046">
        <w:rPr>
          <w:rFonts w:cs="Arial"/>
        </w:rPr>
        <w:t>/</w:t>
      </w:r>
      <w:r w:rsidRPr="00297046">
        <w:rPr>
          <w:rFonts w:cs="Arial"/>
        </w:rPr>
        <w:t>P</w:t>
      </w:r>
      <w:r w:rsidR="00031CF2" w:rsidRPr="00297046">
        <w:rPr>
          <w:rFonts w:cs="Arial"/>
        </w:rPr>
        <w:t>IV</w:t>
      </w:r>
      <w:r w:rsidRPr="00297046">
        <w:rPr>
          <w:rFonts w:cs="Arial"/>
        </w:rPr>
        <w:t xml:space="preserve"> loses its </w:t>
      </w:r>
      <w:proofErr w:type="gramStart"/>
      <w:r w:rsidRPr="00297046">
        <w:rPr>
          <w:rFonts w:cs="Arial"/>
        </w:rPr>
        <w:t>low risk</w:t>
      </w:r>
      <w:proofErr w:type="gramEnd"/>
      <w:r w:rsidRPr="00297046">
        <w:rPr>
          <w:rFonts w:cs="Arial"/>
        </w:rPr>
        <w:t xml:space="preserve"> </w:t>
      </w:r>
      <w:r w:rsidR="00C905C7" w:rsidRPr="00297046">
        <w:rPr>
          <w:rFonts w:cs="Arial"/>
        </w:rPr>
        <w:t xml:space="preserve">status </w:t>
      </w:r>
      <w:r w:rsidRPr="00297046">
        <w:rPr>
          <w:rFonts w:cs="Arial"/>
        </w:rPr>
        <w:t xml:space="preserve">it can seek to re-establish </w:t>
      </w:r>
      <w:r w:rsidR="00C905C7" w:rsidRPr="00297046">
        <w:rPr>
          <w:rFonts w:cs="Arial"/>
        </w:rPr>
        <w:t>this status</w:t>
      </w:r>
      <w:r w:rsidRPr="00297046">
        <w:rPr>
          <w:rFonts w:cs="Arial"/>
        </w:rPr>
        <w:t xml:space="preserve"> by once again satisfying the</w:t>
      </w:r>
      <w:r w:rsidRPr="00297046">
        <w:rPr>
          <w:rFonts w:cs="Arial"/>
        </w:rPr>
        <w:t xml:space="preserve"> Director of Biosecurity that its </w:t>
      </w:r>
      <w:r w:rsidR="00B63F43">
        <w:rPr>
          <w:rFonts w:cs="Arial"/>
        </w:rPr>
        <w:t xml:space="preserve">biosecurity </w:t>
      </w:r>
      <w:r w:rsidRPr="00297046">
        <w:rPr>
          <w:rFonts w:cs="Arial"/>
        </w:rPr>
        <w:t>risk is acceptable.</w:t>
      </w:r>
    </w:p>
    <w:p w14:paraId="25A617B5" w14:textId="77777777" w:rsidR="00C775DA" w:rsidRPr="00CE7293" w:rsidRDefault="009308E1" w:rsidP="00C7420E">
      <w:pPr>
        <w:pStyle w:val="NormalWeb"/>
        <w:spacing w:before="0" w:beforeAutospacing="0" w:after="200" w:afterAutospacing="0"/>
        <w:rPr>
          <w:rFonts w:cs="Arial"/>
          <w:b/>
          <w:i/>
        </w:rPr>
      </w:pPr>
      <w:r w:rsidRPr="00297046">
        <w:rPr>
          <w:rFonts w:cs="Arial"/>
        </w:rPr>
        <w:t>An exposed conveyance return</w:t>
      </w:r>
      <w:r w:rsidR="000737D4" w:rsidRPr="00297046">
        <w:rPr>
          <w:rFonts w:cs="Arial"/>
        </w:rPr>
        <w:t>ing</w:t>
      </w:r>
      <w:r w:rsidRPr="00297046">
        <w:rPr>
          <w:rFonts w:cs="Arial"/>
        </w:rPr>
        <w:t xml:space="preserve"> from a </w:t>
      </w:r>
      <w:proofErr w:type="gramStart"/>
      <w:r w:rsidRPr="00297046">
        <w:rPr>
          <w:rFonts w:cs="Arial"/>
        </w:rPr>
        <w:t>low risk</w:t>
      </w:r>
      <w:proofErr w:type="gramEnd"/>
      <w:r w:rsidRPr="00297046">
        <w:rPr>
          <w:rFonts w:cs="Arial"/>
        </w:rPr>
        <w:t xml:space="preserve"> installation </w:t>
      </w:r>
      <w:r w:rsidR="00077396" w:rsidRPr="00297046">
        <w:rPr>
          <w:rFonts w:cs="Arial"/>
        </w:rPr>
        <w:t xml:space="preserve">will not be </w:t>
      </w:r>
      <w:r w:rsidR="000737D4" w:rsidRPr="00297046">
        <w:rPr>
          <w:rFonts w:cs="Arial"/>
        </w:rPr>
        <w:t>subject to biosecurity control</w:t>
      </w:r>
      <w:r w:rsidR="00077396" w:rsidRPr="00297046">
        <w:rPr>
          <w:rFonts w:cs="Arial"/>
        </w:rPr>
        <w:t xml:space="preserve"> and</w:t>
      </w:r>
      <w:r w:rsidR="000737D4" w:rsidRPr="00297046">
        <w:rPr>
          <w:rFonts w:cs="Arial"/>
        </w:rPr>
        <w:t xml:space="preserve"> can </w:t>
      </w:r>
      <w:r w:rsidRPr="00297046">
        <w:rPr>
          <w:rFonts w:cs="Arial"/>
        </w:rPr>
        <w:t xml:space="preserve">return to any port </w:t>
      </w:r>
      <w:r w:rsidR="001C41D5">
        <w:rPr>
          <w:rFonts w:cs="Arial"/>
        </w:rPr>
        <w:t xml:space="preserve">or landing place </w:t>
      </w:r>
      <w:r w:rsidRPr="00297046">
        <w:rPr>
          <w:rFonts w:cs="Arial"/>
        </w:rPr>
        <w:t>in Australia. There is no requirement to r</w:t>
      </w:r>
      <w:r w:rsidRPr="00297046">
        <w:rPr>
          <w:rFonts w:cs="Arial"/>
        </w:rPr>
        <w:t>eturn to a first point of entry.</w:t>
      </w:r>
    </w:p>
    <w:p w14:paraId="25A617B6" w14:textId="77777777" w:rsidR="0022695A" w:rsidRPr="00755FDA" w:rsidRDefault="009308E1" w:rsidP="0022695A">
      <w:pPr>
        <w:pStyle w:val="Heading3"/>
        <w:rPr>
          <w:rFonts w:ascii="Calibri" w:hAnsi="Calibri"/>
          <w:color w:val="auto"/>
        </w:rPr>
      </w:pPr>
      <w:bookmarkStart w:id="72" w:name="_Toc55472628"/>
      <w:r w:rsidRPr="00755FDA">
        <w:rPr>
          <w:rFonts w:ascii="Calibri" w:hAnsi="Calibri"/>
          <w:color w:val="auto"/>
        </w:rPr>
        <w:t xml:space="preserve">Approved </w:t>
      </w:r>
      <w:r w:rsidR="00E05354" w:rsidRPr="00755FDA">
        <w:rPr>
          <w:rFonts w:ascii="Calibri" w:hAnsi="Calibri"/>
          <w:color w:val="auto"/>
        </w:rPr>
        <w:t>A</w:t>
      </w:r>
      <w:r w:rsidRPr="00755FDA">
        <w:rPr>
          <w:rFonts w:ascii="Calibri" w:hAnsi="Calibri"/>
          <w:color w:val="auto"/>
        </w:rPr>
        <w:t>rrangement</w:t>
      </w:r>
      <w:bookmarkEnd w:id="72"/>
    </w:p>
    <w:p w14:paraId="25A617B7" w14:textId="77777777" w:rsidR="00CB607E" w:rsidRDefault="009308E1" w:rsidP="00E41CA8">
      <w:pPr>
        <w:pStyle w:val="NormalWeb"/>
        <w:spacing w:before="0" w:beforeAutospacing="0" w:after="200" w:afterAutospacing="0"/>
        <w:rPr>
          <w:rFonts w:cs="Arial"/>
        </w:rPr>
      </w:pPr>
      <w:r w:rsidRPr="00E9312E">
        <w:rPr>
          <w:rFonts w:cs="Arial"/>
        </w:rPr>
        <w:t>Where an installation</w:t>
      </w:r>
      <w:r w:rsidR="000737D4" w:rsidRPr="00E9312E">
        <w:rPr>
          <w:rFonts w:cs="Arial"/>
        </w:rPr>
        <w:t>/</w:t>
      </w:r>
      <w:r w:rsidRPr="00E9312E">
        <w:rPr>
          <w:rFonts w:cs="Arial"/>
        </w:rPr>
        <w:t>P</w:t>
      </w:r>
      <w:r w:rsidR="00031CF2" w:rsidRPr="00E9312E">
        <w:rPr>
          <w:rFonts w:cs="Arial"/>
        </w:rPr>
        <w:t>IV</w:t>
      </w:r>
      <w:r w:rsidRPr="00E9312E">
        <w:rPr>
          <w:rFonts w:cs="Arial"/>
        </w:rPr>
        <w:t xml:space="preserve"> has </w:t>
      </w:r>
      <w:proofErr w:type="gramStart"/>
      <w:r w:rsidRPr="00E9312E">
        <w:rPr>
          <w:rFonts w:cs="Arial"/>
        </w:rPr>
        <w:t>entered into</w:t>
      </w:r>
      <w:proofErr w:type="gramEnd"/>
      <w:r w:rsidRPr="00E9312E">
        <w:rPr>
          <w:rFonts w:cs="Arial"/>
        </w:rPr>
        <w:t xml:space="preserve"> an Approved Arrangement, the operator will </w:t>
      </w:r>
      <w:r w:rsidR="00031CF2" w:rsidRPr="00E9312E">
        <w:rPr>
          <w:rFonts w:cs="Arial"/>
        </w:rPr>
        <w:t>undertake biosecurity functions on behalf of the department.</w:t>
      </w:r>
      <w:r w:rsidR="00416708" w:rsidRPr="00E9312E">
        <w:rPr>
          <w:rFonts w:cs="Arial"/>
        </w:rPr>
        <w:t xml:space="preserve"> The operator </w:t>
      </w:r>
      <w:r w:rsidR="00C905C7" w:rsidRPr="00E9312E">
        <w:rPr>
          <w:rFonts w:cs="Arial"/>
        </w:rPr>
        <w:t>will be</w:t>
      </w:r>
      <w:r w:rsidR="00416708" w:rsidRPr="00E9312E">
        <w:rPr>
          <w:rFonts w:cs="Arial"/>
        </w:rPr>
        <w:t xml:space="preserve"> subject to applicable fees and on-going auditing requirements.</w:t>
      </w:r>
      <w:r>
        <w:rPr>
          <w:rFonts w:cs="Arial"/>
        </w:rPr>
        <w:t xml:space="preserve"> </w:t>
      </w:r>
    </w:p>
    <w:p w14:paraId="25A617B8" w14:textId="77777777" w:rsidR="00736276" w:rsidRDefault="009308E1" w:rsidP="00E41CA8">
      <w:pPr>
        <w:pStyle w:val="NormalWeb"/>
        <w:spacing w:before="0" w:beforeAutospacing="0" w:after="200" w:afterAutospacing="0"/>
        <w:rPr>
          <w:rFonts w:cs="Arial"/>
        </w:rPr>
      </w:pPr>
      <w:r>
        <w:rPr>
          <w:rFonts w:cs="Arial"/>
        </w:rPr>
        <w:t>A</w:t>
      </w:r>
      <w:r w:rsidR="008D6F59" w:rsidRPr="00E9312E">
        <w:rPr>
          <w:rFonts w:cs="Arial"/>
        </w:rPr>
        <w:t xml:space="preserve">n operator may opt to </w:t>
      </w:r>
      <w:r w:rsidR="00031CF2" w:rsidRPr="00E9312E">
        <w:rPr>
          <w:rFonts w:cs="Arial"/>
        </w:rPr>
        <w:t xml:space="preserve">apply to </w:t>
      </w:r>
      <w:proofErr w:type="gramStart"/>
      <w:r w:rsidR="00031CF2" w:rsidRPr="00E9312E">
        <w:rPr>
          <w:rFonts w:cs="Arial"/>
        </w:rPr>
        <w:t>enter into</w:t>
      </w:r>
      <w:proofErr w:type="gramEnd"/>
      <w:r w:rsidR="00031CF2" w:rsidRPr="00E9312E">
        <w:rPr>
          <w:rFonts w:cs="Arial"/>
        </w:rPr>
        <w:t xml:space="preserve"> an Approved Arrangement when </w:t>
      </w:r>
      <w:r w:rsidR="001B4749" w:rsidRPr="00E9312E">
        <w:rPr>
          <w:rFonts w:cs="Arial"/>
        </w:rPr>
        <w:t>they</w:t>
      </w:r>
      <w:r w:rsidR="00031CF2" w:rsidRPr="00E9312E">
        <w:rPr>
          <w:rFonts w:cs="Arial"/>
        </w:rPr>
        <w:t>:</w:t>
      </w:r>
    </w:p>
    <w:p w14:paraId="25A617B9" w14:textId="77777777" w:rsidR="00736276" w:rsidRPr="00736276" w:rsidRDefault="009308E1" w:rsidP="007367AC">
      <w:pPr>
        <w:keepNext/>
        <w:keepLines/>
        <w:numPr>
          <w:ilvl w:val="0"/>
          <w:numId w:val="15"/>
        </w:numPr>
        <w:spacing w:after="0"/>
        <w:rPr>
          <w:rFonts w:cs="Arial"/>
        </w:rPr>
      </w:pPr>
      <w:r w:rsidRPr="00736276">
        <w:rPr>
          <w:rFonts w:cs="Arial"/>
        </w:rPr>
        <w:lastRenderedPageBreak/>
        <w:t xml:space="preserve">anticipate receiving international goods (note that the scope of goods </w:t>
      </w:r>
      <w:proofErr w:type="gramStart"/>
      <w:r w:rsidRPr="00736276">
        <w:rPr>
          <w:rFonts w:cs="Arial"/>
        </w:rPr>
        <w:t>are</w:t>
      </w:r>
      <w:proofErr w:type="gramEnd"/>
      <w:r w:rsidRPr="00736276">
        <w:rPr>
          <w:rFonts w:cs="Arial"/>
        </w:rPr>
        <w:t xml:space="preserve"> limited in the Approved</w:t>
      </w:r>
      <w:r>
        <w:rPr>
          <w:rFonts w:cs="Arial"/>
        </w:rPr>
        <w:t xml:space="preserve"> A</w:t>
      </w:r>
      <w:r w:rsidRPr="00736276">
        <w:rPr>
          <w:rFonts w:cs="Arial"/>
        </w:rPr>
        <w:t>rrangement)</w:t>
      </w:r>
    </w:p>
    <w:p w14:paraId="25A617BA" w14:textId="77777777" w:rsidR="00736276" w:rsidRPr="00635794" w:rsidRDefault="009308E1" w:rsidP="007367AC">
      <w:pPr>
        <w:keepNext/>
        <w:keepLines/>
        <w:numPr>
          <w:ilvl w:val="0"/>
          <w:numId w:val="15"/>
        </w:numPr>
        <w:spacing w:after="0"/>
        <w:rPr>
          <w:rFonts w:cs="Arial"/>
        </w:rPr>
      </w:pPr>
      <w:r w:rsidRPr="00635794">
        <w:rPr>
          <w:rFonts w:cs="Arial"/>
        </w:rPr>
        <w:t xml:space="preserve">anticipate receiving international </w:t>
      </w:r>
      <w:proofErr w:type="gramStart"/>
      <w:r w:rsidRPr="00635794">
        <w:rPr>
          <w:rFonts w:cs="Arial"/>
        </w:rPr>
        <w:t>persons</w:t>
      </w:r>
      <w:proofErr w:type="gramEnd"/>
    </w:p>
    <w:p w14:paraId="25A617BB" w14:textId="77777777" w:rsidR="00E85FB7" w:rsidRDefault="009308E1" w:rsidP="007367AC">
      <w:pPr>
        <w:keepNext/>
        <w:keepLines/>
        <w:numPr>
          <w:ilvl w:val="0"/>
          <w:numId w:val="15"/>
        </w:numPr>
        <w:spacing w:after="0"/>
        <w:rPr>
          <w:rFonts w:cs="Arial"/>
        </w:rPr>
      </w:pPr>
      <w:r w:rsidRPr="00635794">
        <w:rPr>
          <w:rFonts w:cs="Arial"/>
        </w:rPr>
        <w:t>want to be able to collect, store, treat and transport biosecurity waste generated by and related to biosecurity activities performed on the installation/PIV.</w:t>
      </w:r>
    </w:p>
    <w:p w14:paraId="25A617BC" w14:textId="77777777" w:rsidR="00635794" w:rsidRPr="00635794" w:rsidRDefault="00635794" w:rsidP="00F5198D">
      <w:pPr>
        <w:keepNext/>
        <w:keepLines/>
        <w:spacing w:after="0"/>
        <w:ind w:left="786"/>
        <w:rPr>
          <w:rFonts w:cs="Arial"/>
        </w:rPr>
      </w:pPr>
    </w:p>
    <w:p w14:paraId="25A617BD" w14:textId="77777777" w:rsidR="00E85FB7" w:rsidRDefault="009308E1" w:rsidP="00F5198D">
      <w:pPr>
        <w:keepNext/>
        <w:keepLines/>
        <w:spacing w:after="0"/>
        <w:rPr>
          <w:rFonts w:cs="Arial"/>
        </w:rPr>
      </w:pPr>
      <w:r w:rsidRPr="00E9312E">
        <w:rPr>
          <w:rFonts w:cs="Arial"/>
        </w:rPr>
        <w:t>An exposed conveyance returning from an i</w:t>
      </w:r>
      <w:r w:rsidRPr="00E9312E">
        <w:rPr>
          <w:rFonts w:cs="Arial"/>
        </w:rPr>
        <w:t xml:space="preserve">nstallation operating under an Approved Arrangement </w:t>
      </w:r>
      <w:r w:rsidR="00E378F8">
        <w:rPr>
          <w:rFonts w:cs="Arial"/>
        </w:rPr>
        <w:t xml:space="preserve">will not be subject to biosecurity control, but </w:t>
      </w:r>
      <w:r w:rsidRPr="00E9312E">
        <w:rPr>
          <w:rFonts w:cs="Arial"/>
        </w:rPr>
        <w:t xml:space="preserve">must return to a first point of entry, unless it has permission </w:t>
      </w:r>
      <w:r w:rsidR="008D6F59" w:rsidRPr="00E9312E">
        <w:rPr>
          <w:rFonts w:cs="Arial"/>
        </w:rPr>
        <w:t xml:space="preserve">from the department </w:t>
      </w:r>
      <w:r w:rsidRPr="00E9312E">
        <w:rPr>
          <w:rFonts w:cs="Arial"/>
        </w:rPr>
        <w:t>to arrive at a non-first point of entry.</w:t>
      </w:r>
    </w:p>
    <w:p w14:paraId="25A617BE" w14:textId="77777777" w:rsidR="008E5656" w:rsidRPr="00755FDA" w:rsidRDefault="009308E1" w:rsidP="00C7420E">
      <w:pPr>
        <w:pStyle w:val="Heading2"/>
        <w:rPr>
          <w:rFonts w:ascii="Calibri" w:hAnsi="Calibri"/>
          <w:color w:val="auto"/>
        </w:rPr>
      </w:pPr>
      <w:bookmarkStart w:id="73" w:name="_Toc55472629"/>
      <w:r w:rsidRPr="00755FDA">
        <w:rPr>
          <w:rFonts w:ascii="Calibri" w:hAnsi="Calibri"/>
          <w:color w:val="auto"/>
        </w:rPr>
        <w:t xml:space="preserve">Installations inside </w:t>
      </w:r>
      <w:r w:rsidRPr="00755FDA">
        <w:rPr>
          <w:rFonts w:ascii="Calibri" w:hAnsi="Calibri"/>
          <w:color w:val="auto"/>
        </w:rPr>
        <w:t>Australian territory</w:t>
      </w:r>
      <w:bookmarkEnd w:id="73"/>
    </w:p>
    <w:p w14:paraId="25A617BF" w14:textId="77777777" w:rsidR="006274A6" w:rsidRPr="00E9312E" w:rsidRDefault="009308E1" w:rsidP="006274A6">
      <w:r w:rsidRPr="00E9312E">
        <w:rPr>
          <w:rFonts w:cs="Arial"/>
        </w:rPr>
        <w:t xml:space="preserve">If an installation </w:t>
      </w:r>
      <w:r w:rsidRPr="00165416">
        <w:rPr>
          <w:rFonts w:cs="Arial"/>
        </w:rPr>
        <w:t>commences it</w:t>
      </w:r>
      <w:r w:rsidR="00E05354" w:rsidRPr="00165416">
        <w:rPr>
          <w:rFonts w:cs="Arial"/>
        </w:rPr>
        <w:t>s</w:t>
      </w:r>
      <w:r w:rsidRPr="00165416">
        <w:rPr>
          <w:rFonts w:cs="Arial"/>
        </w:rPr>
        <w:t xml:space="preserve"> </w:t>
      </w:r>
      <w:r w:rsidRPr="00E9312E">
        <w:rPr>
          <w:rFonts w:cs="Arial"/>
        </w:rPr>
        <w:t>journey outside Australian territory and is moved to a field location within Australian territory</w:t>
      </w:r>
      <w:r w:rsidR="00100FE1">
        <w:rPr>
          <w:rFonts w:cs="Arial"/>
        </w:rPr>
        <w:t>,</w:t>
      </w:r>
      <w:r w:rsidRPr="00E9312E">
        <w:rPr>
          <w:rFonts w:cs="Arial"/>
        </w:rPr>
        <w:t xml:space="preserve"> it will become subject to biosecurity control. </w:t>
      </w:r>
      <w:r w:rsidRPr="00E9312E">
        <w:t>Depending on operational circumstances an installation m</w:t>
      </w:r>
      <w:r w:rsidRPr="00E9312E">
        <w:t>ay either</w:t>
      </w:r>
      <w:r w:rsidR="00416708" w:rsidRPr="00E9312E">
        <w:t xml:space="preserve"> be</w:t>
      </w:r>
      <w:r w:rsidRPr="00E9312E">
        <w:t>:</w:t>
      </w:r>
    </w:p>
    <w:p w14:paraId="25A617C0" w14:textId="77777777" w:rsidR="008E5656" w:rsidRPr="00E9312E" w:rsidRDefault="009308E1" w:rsidP="007367AC">
      <w:pPr>
        <w:keepNext/>
        <w:keepLines/>
        <w:numPr>
          <w:ilvl w:val="0"/>
          <w:numId w:val="16"/>
        </w:numPr>
        <w:spacing w:after="0"/>
        <w:rPr>
          <w:rFonts w:cs="Arial"/>
        </w:rPr>
      </w:pPr>
      <w:r w:rsidRPr="00E9312E">
        <w:rPr>
          <w:rFonts w:cs="Arial"/>
        </w:rPr>
        <w:t>released from biosecurity control; or</w:t>
      </w:r>
    </w:p>
    <w:p w14:paraId="25A617C1" w14:textId="77777777" w:rsidR="005B0212" w:rsidRPr="00E9312E" w:rsidRDefault="009308E1" w:rsidP="007367AC">
      <w:pPr>
        <w:keepNext/>
        <w:keepLines/>
        <w:numPr>
          <w:ilvl w:val="0"/>
          <w:numId w:val="16"/>
        </w:numPr>
        <w:spacing w:after="0"/>
        <w:rPr>
          <w:rFonts w:cs="Arial"/>
        </w:rPr>
      </w:pPr>
      <w:r w:rsidRPr="00E9312E">
        <w:rPr>
          <w:rFonts w:cs="Arial"/>
        </w:rPr>
        <w:t>remain subject to biosecurity control.</w:t>
      </w:r>
    </w:p>
    <w:p w14:paraId="25A617C2" w14:textId="77777777" w:rsidR="00A86C5F" w:rsidRDefault="00A86C5F" w:rsidP="00C7420E">
      <w:pPr>
        <w:keepNext/>
        <w:keepLines/>
        <w:spacing w:after="0"/>
        <w:rPr>
          <w:rFonts w:cs="Arial"/>
        </w:rPr>
      </w:pPr>
    </w:p>
    <w:p w14:paraId="25A617C3" w14:textId="77777777" w:rsidR="00093D84" w:rsidRPr="00165416" w:rsidRDefault="009308E1" w:rsidP="00093D84">
      <w:r w:rsidRPr="00165416">
        <w:t>Where an installation is released from biosecurity control, any conveyance that is not subject to biosecurity control which is exposed to the installation is not im</w:t>
      </w:r>
      <w:r w:rsidRPr="00165416">
        <w:t>pacted</w:t>
      </w:r>
      <w:r w:rsidR="00165416" w:rsidRPr="00165416">
        <w:t>.</w:t>
      </w:r>
      <w:r w:rsidRPr="00165416">
        <w:t xml:space="preserve"> </w:t>
      </w:r>
      <w:r w:rsidR="00165416" w:rsidRPr="00165416">
        <w:t>T</w:t>
      </w:r>
      <w:r w:rsidRPr="00165416">
        <w:t xml:space="preserve">hat is, the status of the conveyance remains ‘not subject to biosecurity control’ and the conveyance is not required to pre-arrival report or </w:t>
      </w:r>
      <w:r w:rsidR="00502426">
        <w:t>arrive at a first point of entry for the conveyance</w:t>
      </w:r>
      <w:r w:rsidR="00DB2644" w:rsidRPr="00165416">
        <w:t>.</w:t>
      </w:r>
    </w:p>
    <w:p w14:paraId="25A617C4" w14:textId="77777777" w:rsidR="00093D84" w:rsidRPr="00054DF0" w:rsidRDefault="009308E1" w:rsidP="00DB2644">
      <w:pPr>
        <w:rPr>
          <w:rFonts w:cs="Arial"/>
        </w:rPr>
      </w:pPr>
      <w:r w:rsidRPr="00054DF0">
        <w:t>However, where a conveyance that is not subject to b</w:t>
      </w:r>
      <w:r w:rsidRPr="00054DF0">
        <w:t>iosecurity control is exposed to an installation that is subject to biosecurity control, the exposed conveyance becomes subject to biosecurity control</w:t>
      </w:r>
      <w:r w:rsidR="00502426">
        <w:t xml:space="preserve">, unless it meets all the relevant conditions for an exception from biosecurity control in the Determination. If the exposed conveyance is subject to biosecurity </w:t>
      </w:r>
      <w:proofErr w:type="gramStart"/>
      <w:r w:rsidR="00502426">
        <w:t>control</w:t>
      </w:r>
      <w:proofErr w:type="gramEnd"/>
      <w:r w:rsidR="00502426">
        <w:t xml:space="preserve"> it</w:t>
      </w:r>
      <w:r w:rsidRPr="00054DF0">
        <w:t xml:space="preserve"> must</w:t>
      </w:r>
      <w:r w:rsidR="001F6362">
        <w:t xml:space="preserve"> submit a</w:t>
      </w:r>
      <w:r w:rsidRPr="00054DF0">
        <w:t xml:space="preserve"> </w:t>
      </w:r>
      <w:r w:rsidR="00502426">
        <w:t xml:space="preserve">pre-arrival report and </w:t>
      </w:r>
      <w:r w:rsidRPr="00054DF0">
        <w:t xml:space="preserve">return to a first point of entry </w:t>
      </w:r>
      <w:r w:rsidR="00502426">
        <w:t>for the conveyance or seek permission to arrive at a non-first point of entry</w:t>
      </w:r>
      <w:r w:rsidRPr="00054DF0">
        <w:t>.</w:t>
      </w:r>
    </w:p>
    <w:p w14:paraId="25A617C5" w14:textId="77777777" w:rsidR="000E6D67" w:rsidRDefault="009308E1" w:rsidP="00C7420E">
      <w:r w:rsidRPr="00054DF0">
        <w:t xml:space="preserve">Regardless of whether </w:t>
      </w:r>
      <w:r w:rsidR="005215C2" w:rsidRPr="00054DF0">
        <w:t>an i</w:t>
      </w:r>
      <w:r w:rsidRPr="00054DF0">
        <w:t>nstallation in</w:t>
      </w:r>
      <w:r w:rsidRPr="00054DF0">
        <w:t xml:space="preserve">side Australian </w:t>
      </w:r>
      <w:r w:rsidR="00054DF0" w:rsidRPr="00054DF0">
        <w:t>t</w:t>
      </w:r>
      <w:r w:rsidRPr="00054DF0">
        <w:t xml:space="preserve">erritory </w:t>
      </w:r>
      <w:r w:rsidR="005215C2" w:rsidRPr="00054DF0">
        <w:t>is</w:t>
      </w:r>
      <w:r w:rsidRPr="00054DF0">
        <w:t xml:space="preserve"> released from biosecurity control or remain</w:t>
      </w:r>
      <w:r w:rsidR="005215C2" w:rsidRPr="00054DF0">
        <w:t>s</w:t>
      </w:r>
      <w:r w:rsidRPr="00054DF0">
        <w:t xml:space="preserve"> subject to biosecurity control, </w:t>
      </w:r>
      <w:r w:rsidR="005B0212" w:rsidRPr="00054DF0">
        <w:t xml:space="preserve">a conveyance which commenced its journey outside of Australian territory </w:t>
      </w:r>
      <w:r w:rsidRPr="00054DF0">
        <w:t xml:space="preserve">and </w:t>
      </w:r>
      <w:r w:rsidR="00E378F8">
        <w:t xml:space="preserve">which </w:t>
      </w:r>
      <w:r w:rsidR="00100FE1">
        <w:t>intends</w:t>
      </w:r>
      <w:r w:rsidRPr="00054DF0">
        <w:t xml:space="preserve"> to arrive at the installation </w:t>
      </w:r>
      <w:r w:rsidR="005B0212" w:rsidRPr="00054DF0">
        <w:t>must seek permission</w:t>
      </w:r>
      <w:r w:rsidR="005215C2" w:rsidRPr="00054DF0">
        <w:t xml:space="preserve"> from the department</w:t>
      </w:r>
      <w:r w:rsidRPr="00054DF0">
        <w:t>:</w:t>
      </w:r>
    </w:p>
    <w:p w14:paraId="25A617C6" w14:textId="77777777" w:rsidR="00A82D08" w:rsidRPr="00054DF0" w:rsidRDefault="009308E1" w:rsidP="00A82D08">
      <w:pPr>
        <w:keepNext/>
        <w:keepLines/>
        <w:numPr>
          <w:ilvl w:val="0"/>
          <w:numId w:val="17"/>
        </w:numPr>
        <w:spacing w:after="0"/>
        <w:rPr>
          <w:rFonts w:cs="Arial"/>
        </w:rPr>
      </w:pPr>
      <w:r w:rsidRPr="00054DF0">
        <w:rPr>
          <w:rFonts w:cs="Arial"/>
        </w:rPr>
        <w:t xml:space="preserve">to moor at a port or land at a landing place that is a non-first point of entry; and </w:t>
      </w:r>
    </w:p>
    <w:p w14:paraId="25A617C7" w14:textId="77777777" w:rsidR="00A82D08" w:rsidRPr="00054DF0" w:rsidRDefault="009308E1" w:rsidP="00A82D08">
      <w:pPr>
        <w:keepNext/>
        <w:keepLines/>
        <w:numPr>
          <w:ilvl w:val="0"/>
          <w:numId w:val="17"/>
        </w:numPr>
        <w:spacing w:after="0"/>
        <w:rPr>
          <w:rFonts w:cs="Arial"/>
        </w:rPr>
      </w:pPr>
      <w:r w:rsidRPr="00054DF0">
        <w:rPr>
          <w:rFonts w:cs="Arial"/>
        </w:rPr>
        <w:t>to unload goods at a port or landing place other than a first point of entry for the goods (if th</w:t>
      </w:r>
      <w:r w:rsidRPr="00054DF0">
        <w:rPr>
          <w:rFonts w:cs="Arial"/>
        </w:rPr>
        <w:t>e conveyance intends to unload goods).</w:t>
      </w:r>
      <w:r w:rsidR="00687090">
        <w:rPr>
          <w:rFonts w:cs="Arial"/>
        </w:rPr>
        <w:br/>
      </w:r>
    </w:p>
    <w:p w14:paraId="25A617C8" w14:textId="77777777" w:rsidR="00A82D08" w:rsidRPr="00E9312E" w:rsidRDefault="009308E1" w:rsidP="00A82D08">
      <w:pPr>
        <w:keepNext/>
        <w:keepLines/>
        <w:spacing w:after="0"/>
        <w:rPr>
          <w:rFonts w:cs="Arial"/>
        </w:rPr>
      </w:pPr>
      <w:r w:rsidRPr="00E9312E">
        <w:rPr>
          <w:rFonts w:cs="Arial"/>
        </w:rPr>
        <w:t>Application</w:t>
      </w:r>
      <w:r>
        <w:rPr>
          <w:rFonts w:cs="Arial"/>
        </w:rPr>
        <w:t>s</w:t>
      </w:r>
      <w:r w:rsidRPr="00E9312E">
        <w:rPr>
          <w:rFonts w:cs="Arial"/>
        </w:rPr>
        <w:t xml:space="preserve"> must be made to the department prior to arrival </w:t>
      </w:r>
      <w:r>
        <w:rPr>
          <w:rFonts w:cs="Arial"/>
        </w:rPr>
        <w:t xml:space="preserve">at </w:t>
      </w:r>
      <w:r w:rsidRPr="00E9312E">
        <w:rPr>
          <w:rFonts w:cs="Arial"/>
        </w:rPr>
        <w:t>the installation.</w:t>
      </w:r>
    </w:p>
    <w:p w14:paraId="25A617C9" w14:textId="77777777" w:rsidR="00A82D08" w:rsidRPr="00054DF0" w:rsidRDefault="00A82D08" w:rsidP="00C7420E"/>
    <w:p w14:paraId="25A617CA" w14:textId="77777777" w:rsidR="00D349F9" w:rsidRPr="00755FDA" w:rsidRDefault="009308E1" w:rsidP="00C7420E">
      <w:pPr>
        <w:pStyle w:val="Heading2"/>
        <w:rPr>
          <w:rFonts w:ascii="Calibri" w:hAnsi="Calibri"/>
          <w:color w:val="auto"/>
        </w:rPr>
      </w:pPr>
      <w:bookmarkStart w:id="74" w:name="_Toc55472630"/>
      <w:proofErr w:type="spellStart"/>
      <w:r w:rsidRPr="00755FDA">
        <w:rPr>
          <w:rFonts w:ascii="Calibri" w:hAnsi="Calibri"/>
          <w:color w:val="auto"/>
        </w:rPr>
        <w:t>Disinsection</w:t>
      </w:r>
      <w:proofErr w:type="spellEnd"/>
      <w:r w:rsidRPr="00755FDA">
        <w:rPr>
          <w:rFonts w:ascii="Calibri" w:hAnsi="Calibri"/>
          <w:color w:val="auto"/>
        </w:rPr>
        <w:t xml:space="preserve"> requirements</w:t>
      </w:r>
      <w:bookmarkEnd w:id="74"/>
    </w:p>
    <w:p w14:paraId="25A617CB" w14:textId="77777777" w:rsidR="008E5656" w:rsidRPr="00E9312E" w:rsidRDefault="009308E1" w:rsidP="00C7420E">
      <w:pPr>
        <w:tabs>
          <w:tab w:val="left" w:pos="0"/>
        </w:tabs>
      </w:pPr>
      <w:r>
        <w:t>T</w:t>
      </w:r>
      <w:r w:rsidR="000A0C4E" w:rsidRPr="00E9312E">
        <w:t xml:space="preserve">here is no requirement for the </w:t>
      </w:r>
      <w:proofErr w:type="spellStart"/>
      <w:r w:rsidR="000A0C4E" w:rsidRPr="00E9312E">
        <w:t>disinsection</w:t>
      </w:r>
      <w:proofErr w:type="spellEnd"/>
      <w:r w:rsidR="000A0C4E" w:rsidRPr="00E9312E">
        <w:t xml:space="preserve"> of exposed conveyances (aircraft) which return to Australian territory after interaction with a </w:t>
      </w:r>
      <w:proofErr w:type="gramStart"/>
      <w:r w:rsidR="000A0C4E" w:rsidRPr="00E9312E">
        <w:t>low risk</w:t>
      </w:r>
      <w:proofErr w:type="gramEnd"/>
      <w:r w:rsidR="000A0C4E" w:rsidRPr="00E9312E">
        <w:t xml:space="preserve"> installation/PIV or installation/PIV operating </w:t>
      </w:r>
      <w:r w:rsidR="007C08B5">
        <w:t>under an Approved Arrangement</w:t>
      </w:r>
      <w:r w:rsidR="000A0C4E" w:rsidRPr="00E9312E">
        <w:t>.</w:t>
      </w:r>
    </w:p>
    <w:p w14:paraId="25A617CC" w14:textId="77777777" w:rsidR="000A0C4E" w:rsidRPr="00E9312E" w:rsidRDefault="009308E1" w:rsidP="00C7420E">
      <w:pPr>
        <w:tabs>
          <w:tab w:val="left" w:pos="0"/>
        </w:tabs>
      </w:pPr>
      <w:r w:rsidRPr="00E9312E">
        <w:t>The Approved Arrangement whic</w:t>
      </w:r>
      <w:r w:rsidRPr="00E9312E">
        <w:t>h is available to operators of an installation/PIV does allow for the transfer of international personnel onto the installation/PIV.</w:t>
      </w:r>
      <w:r w:rsidR="004E186C" w:rsidRPr="00E9312E">
        <w:t xml:space="preserve"> As a result</w:t>
      </w:r>
      <w:r w:rsidR="00100FE1">
        <w:t>,</w:t>
      </w:r>
      <w:r w:rsidR="004E186C" w:rsidRPr="00E9312E">
        <w:t xml:space="preserve"> the Approved Arrangement contains requirements for the operator to perform vector monitoring and control. It should be noted that the </w:t>
      </w:r>
      <w:r w:rsidR="004E186C" w:rsidRPr="00E9312E">
        <w:lastRenderedPageBreak/>
        <w:t xml:space="preserve">Approved Arrangement also contains </w:t>
      </w:r>
      <w:proofErr w:type="spellStart"/>
      <w:r w:rsidR="004E186C" w:rsidRPr="00E9312E">
        <w:t>disinsection</w:t>
      </w:r>
      <w:proofErr w:type="spellEnd"/>
      <w:r w:rsidR="004E186C" w:rsidRPr="00E9312E">
        <w:t xml:space="preserve"> requirements for aircraft (which commenced </w:t>
      </w:r>
      <w:r w:rsidR="004E186C" w:rsidRPr="00054DF0">
        <w:t xml:space="preserve">their </w:t>
      </w:r>
      <w:r w:rsidR="00DB2644" w:rsidRPr="00054DF0">
        <w:t>journey</w:t>
      </w:r>
      <w:r w:rsidR="00D23BF4">
        <w:t>s</w:t>
      </w:r>
      <w:r w:rsidR="00DB2644" w:rsidRPr="00054DF0">
        <w:t xml:space="preserve"> </w:t>
      </w:r>
      <w:r w:rsidR="004E186C" w:rsidRPr="00054DF0">
        <w:t xml:space="preserve">outside Australian territory) which transfer international personnel onto the </w:t>
      </w:r>
      <w:r w:rsidR="004E186C" w:rsidRPr="00E9312E">
        <w:t>installation/PIV.</w:t>
      </w:r>
    </w:p>
    <w:p w14:paraId="25A617CD" w14:textId="77777777" w:rsidR="001528CD" w:rsidRPr="00755FDA" w:rsidRDefault="009308E1" w:rsidP="00C7420E">
      <w:pPr>
        <w:pStyle w:val="Heading1"/>
        <w:spacing w:before="240"/>
        <w:ind w:left="431" w:hanging="431"/>
        <w:rPr>
          <w:rFonts w:ascii="Calibri" w:hAnsi="Calibri"/>
          <w:color w:val="auto"/>
        </w:rPr>
      </w:pPr>
      <w:bookmarkStart w:id="75" w:name="_Toc55472631"/>
      <w:r w:rsidRPr="00755FDA">
        <w:rPr>
          <w:rFonts w:ascii="Calibri" w:hAnsi="Calibri"/>
          <w:color w:val="auto"/>
        </w:rPr>
        <w:t xml:space="preserve">General </w:t>
      </w:r>
      <w:bookmarkStart w:id="76" w:name="_Toc285707847"/>
      <w:bookmarkStart w:id="77" w:name="_Toc285720503"/>
      <w:bookmarkStart w:id="78" w:name="_Toc285720667"/>
      <w:bookmarkStart w:id="79" w:name="_Toc285661059"/>
      <w:bookmarkStart w:id="80" w:name="_Toc285661109"/>
      <w:bookmarkStart w:id="81" w:name="_Toc285707849"/>
      <w:bookmarkStart w:id="82" w:name="_Toc285720505"/>
      <w:bookmarkStart w:id="83" w:name="_Toc285720669"/>
      <w:bookmarkStart w:id="84" w:name="_Toc285661060"/>
      <w:bookmarkStart w:id="85" w:name="_Toc285661110"/>
      <w:bookmarkStart w:id="86" w:name="_Toc285707850"/>
      <w:bookmarkStart w:id="87" w:name="_Toc285720506"/>
      <w:bookmarkStart w:id="88" w:name="_Toc285720670"/>
      <w:bookmarkStart w:id="89" w:name="_Toc300584860"/>
      <w:bookmarkStart w:id="90" w:name="_Toc300584908"/>
      <w:bookmarkStart w:id="91" w:name="_Toc301169554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517F13" w:rsidRPr="00755FDA">
        <w:rPr>
          <w:rFonts w:ascii="Calibri" w:hAnsi="Calibri"/>
          <w:color w:val="auto"/>
        </w:rPr>
        <w:t xml:space="preserve">conveyance </w:t>
      </w:r>
      <w:bookmarkEnd w:id="89"/>
      <w:bookmarkEnd w:id="90"/>
      <w:bookmarkEnd w:id="91"/>
      <w:r w:rsidR="00517F13" w:rsidRPr="00755FDA">
        <w:rPr>
          <w:rFonts w:ascii="Calibri" w:hAnsi="Calibri"/>
          <w:color w:val="auto"/>
        </w:rPr>
        <w:t>reporting</w:t>
      </w:r>
      <w:bookmarkEnd w:id="75"/>
    </w:p>
    <w:p w14:paraId="25A617CE" w14:textId="77777777" w:rsidR="00255BEB" w:rsidRDefault="009308E1" w:rsidP="00255BEB">
      <w:pPr>
        <w:tabs>
          <w:tab w:val="left" w:pos="0"/>
        </w:tabs>
      </w:pPr>
      <w:r w:rsidRPr="00054DF0">
        <w:t xml:space="preserve">Where </w:t>
      </w:r>
      <w:r w:rsidR="00866B7B" w:rsidRPr="00054DF0">
        <w:t>a</w:t>
      </w:r>
      <w:r w:rsidR="004E186C" w:rsidRPr="00054DF0">
        <w:t>n exposed</w:t>
      </w:r>
      <w:r w:rsidR="00DA45D6" w:rsidRPr="00054DF0">
        <w:t xml:space="preserve"> conveyance does not meet </w:t>
      </w:r>
      <w:r w:rsidR="00D23BF4">
        <w:t xml:space="preserve">any of the </w:t>
      </w:r>
      <w:r w:rsidR="00D23BF4" w:rsidRPr="00373B09">
        <w:t xml:space="preserve">three </w:t>
      </w:r>
      <w:r w:rsidR="00D23BF4">
        <w:t xml:space="preserve">options to meet </w:t>
      </w:r>
      <w:r w:rsidR="00D23BF4" w:rsidRPr="00373B09">
        <w:t xml:space="preserve">exceptions </w:t>
      </w:r>
      <w:r w:rsidR="00D23BF4">
        <w:t>conditions</w:t>
      </w:r>
      <w:r w:rsidR="00866B7B" w:rsidRPr="00054DF0">
        <w:t xml:space="preserve">, </w:t>
      </w:r>
      <w:r w:rsidR="00D23BF4">
        <w:t xml:space="preserve">or </w:t>
      </w:r>
      <w:r w:rsidR="00BD1A6F">
        <w:t>a</w:t>
      </w:r>
      <w:r w:rsidR="00D23BF4">
        <w:t xml:space="preserve"> conveyance commenced its flight or voyage outside Australian territory, </w:t>
      </w:r>
      <w:r w:rsidR="00E44311" w:rsidRPr="00054DF0">
        <w:t>stand</w:t>
      </w:r>
      <w:r w:rsidR="001E299C" w:rsidRPr="00054DF0">
        <w:t>ard</w:t>
      </w:r>
      <w:r w:rsidR="00E44311" w:rsidRPr="00054DF0">
        <w:t xml:space="preserve"> </w:t>
      </w:r>
      <w:r w:rsidR="007A62CB" w:rsidRPr="00E9312E">
        <w:t>biosecurity</w:t>
      </w:r>
      <w:r w:rsidR="00E44311" w:rsidRPr="00E9312E">
        <w:t xml:space="preserve"> requirements apply. The exposed conveyance</w:t>
      </w:r>
      <w:r w:rsidR="00D23BF4">
        <w:t xml:space="preserve"> or conveyance</w:t>
      </w:r>
      <w:r w:rsidR="007A62CB" w:rsidRPr="00E9312E">
        <w:t xml:space="preserve"> will</w:t>
      </w:r>
      <w:r w:rsidR="00E44311" w:rsidRPr="00E9312E">
        <w:t>:</w:t>
      </w:r>
    </w:p>
    <w:p w14:paraId="25A617CF" w14:textId="77777777" w:rsidR="00255BEB" w:rsidRPr="000D6E6E" w:rsidRDefault="009308E1" w:rsidP="007367AC">
      <w:pPr>
        <w:keepNext/>
        <w:keepLines/>
        <w:numPr>
          <w:ilvl w:val="0"/>
          <w:numId w:val="18"/>
        </w:numPr>
        <w:spacing w:after="0"/>
        <w:rPr>
          <w:rFonts w:cs="Arial"/>
        </w:rPr>
      </w:pPr>
      <w:r w:rsidRPr="000D6E6E">
        <w:rPr>
          <w:rFonts w:cs="Arial"/>
        </w:rPr>
        <w:t>become subject to biosecurity control (s192 of the Act)</w:t>
      </w:r>
    </w:p>
    <w:p w14:paraId="25A617D0" w14:textId="77777777" w:rsidR="007A62CB" w:rsidRPr="000D6E6E" w:rsidRDefault="009308E1" w:rsidP="007367AC">
      <w:pPr>
        <w:keepNext/>
        <w:keepLines/>
        <w:numPr>
          <w:ilvl w:val="0"/>
          <w:numId w:val="18"/>
        </w:numPr>
        <w:spacing w:after="0"/>
        <w:rPr>
          <w:rFonts w:cs="Arial"/>
        </w:rPr>
      </w:pPr>
      <w:r w:rsidRPr="000D6E6E">
        <w:rPr>
          <w:rFonts w:cs="Arial"/>
        </w:rPr>
        <w:t>need to arrive at a first point of entry (s237 or s245 of the Act) or seek permission to arrive at a non-first point of entry (s239 or s247 of the Act)</w:t>
      </w:r>
    </w:p>
    <w:p w14:paraId="25A617D1" w14:textId="77777777" w:rsidR="00E44311" w:rsidRPr="000D6E6E" w:rsidRDefault="009308E1" w:rsidP="007367AC">
      <w:pPr>
        <w:keepNext/>
        <w:keepLines/>
        <w:numPr>
          <w:ilvl w:val="0"/>
          <w:numId w:val="18"/>
        </w:numPr>
        <w:spacing w:after="0"/>
        <w:rPr>
          <w:rFonts w:cs="Arial"/>
        </w:rPr>
      </w:pPr>
      <w:r w:rsidRPr="000D6E6E">
        <w:rPr>
          <w:rFonts w:cs="Arial"/>
        </w:rPr>
        <w:t xml:space="preserve">need to </w:t>
      </w:r>
      <w:r w:rsidR="001F6362" w:rsidRPr="000D6E6E">
        <w:rPr>
          <w:rFonts w:cs="Arial"/>
        </w:rPr>
        <w:t xml:space="preserve">submit a </w:t>
      </w:r>
      <w:r w:rsidRPr="000D6E6E">
        <w:rPr>
          <w:rFonts w:cs="Arial"/>
        </w:rPr>
        <w:t xml:space="preserve">pre-arrival </w:t>
      </w:r>
      <w:r w:rsidRPr="000D6E6E">
        <w:rPr>
          <w:rFonts w:cs="Arial"/>
        </w:rPr>
        <w:t>report (s193 of the Act)</w:t>
      </w:r>
    </w:p>
    <w:p w14:paraId="25A617D2" w14:textId="77777777" w:rsidR="001E299C" w:rsidRPr="00F24BCE" w:rsidRDefault="009308E1" w:rsidP="007367AC">
      <w:pPr>
        <w:keepNext/>
        <w:keepLines/>
        <w:numPr>
          <w:ilvl w:val="0"/>
          <w:numId w:val="18"/>
        </w:numPr>
        <w:spacing w:after="0"/>
        <w:rPr>
          <w:rFonts w:cs="Arial"/>
        </w:rPr>
      </w:pPr>
      <w:r w:rsidRPr="00F24BCE">
        <w:rPr>
          <w:rFonts w:cs="Arial"/>
        </w:rPr>
        <w:t xml:space="preserve">need to notify </w:t>
      </w:r>
      <w:r w:rsidR="007A62CB" w:rsidRPr="00F24BCE">
        <w:rPr>
          <w:rFonts w:cs="Arial"/>
        </w:rPr>
        <w:t xml:space="preserve">(if applicable) </w:t>
      </w:r>
      <w:r w:rsidRPr="00F24BCE">
        <w:rPr>
          <w:rFonts w:cs="Arial"/>
        </w:rPr>
        <w:t>to unload goods in Australian territory (s120 of the Act)</w:t>
      </w:r>
    </w:p>
    <w:p w14:paraId="25A617D3" w14:textId="77777777" w:rsidR="005A076E" w:rsidRPr="00DE4579" w:rsidRDefault="009308E1" w:rsidP="007367AC">
      <w:pPr>
        <w:keepNext/>
        <w:keepLines/>
        <w:numPr>
          <w:ilvl w:val="0"/>
          <w:numId w:val="18"/>
        </w:numPr>
        <w:spacing w:after="0"/>
        <w:rPr>
          <w:rFonts w:cs="Arial"/>
        </w:rPr>
      </w:pPr>
      <w:r w:rsidRPr="00DE4579">
        <w:rPr>
          <w:rFonts w:cs="Arial"/>
        </w:rPr>
        <w:t xml:space="preserve">need to seek </w:t>
      </w:r>
      <w:r w:rsidR="00DA45D6" w:rsidRPr="00DE4579">
        <w:rPr>
          <w:rFonts w:cs="Arial"/>
        </w:rPr>
        <w:t xml:space="preserve">(if applicable) </w:t>
      </w:r>
      <w:r w:rsidRPr="00DE4579">
        <w:rPr>
          <w:rFonts w:cs="Arial"/>
        </w:rPr>
        <w:t xml:space="preserve">permission </w:t>
      </w:r>
      <w:r w:rsidR="00FF68E6" w:rsidRPr="00DE4579">
        <w:rPr>
          <w:rFonts w:cs="Arial"/>
        </w:rPr>
        <w:t xml:space="preserve">to unload goods at a non-first point </w:t>
      </w:r>
      <w:r w:rsidR="009C76A1" w:rsidRPr="00DE4579">
        <w:rPr>
          <w:rFonts w:cs="Arial"/>
        </w:rPr>
        <w:t xml:space="preserve">of entry </w:t>
      </w:r>
      <w:r w:rsidR="00FF68E6" w:rsidRPr="00DE4579">
        <w:rPr>
          <w:rFonts w:cs="Arial"/>
        </w:rPr>
        <w:t>(s145 of the Act)</w:t>
      </w:r>
    </w:p>
    <w:p w14:paraId="25A617D4" w14:textId="77777777" w:rsidR="00E44311" w:rsidRPr="009740FD" w:rsidRDefault="009308E1" w:rsidP="007367AC">
      <w:pPr>
        <w:keepNext/>
        <w:keepLines/>
        <w:numPr>
          <w:ilvl w:val="0"/>
          <w:numId w:val="18"/>
        </w:numPr>
        <w:spacing w:after="0"/>
        <w:rPr>
          <w:rFonts w:cs="Arial"/>
        </w:rPr>
      </w:pPr>
      <w:r w:rsidRPr="00DE4579">
        <w:rPr>
          <w:rFonts w:cs="Arial"/>
        </w:rPr>
        <w:t xml:space="preserve">need to meet </w:t>
      </w:r>
      <w:proofErr w:type="spellStart"/>
      <w:r w:rsidRPr="00DE4579">
        <w:rPr>
          <w:rFonts w:cs="Arial"/>
        </w:rPr>
        <w:t>disinsection</w:t>
      </w:r>
      <w:proofErr w:type="spellEnd"/>
      <w:r w:rsidRPr="00DE4579">
        <w:rPr>
          <w:rFonts w:cs="Arial"/>
        </w:rPr>
        <w:t xml:space="preserve"> requirements</w:t>
      </w:r>
      <w:r w:rsidR="001E299C" w:rsidRPr="00DE4579">
        <w:rPr>
          <w:rFonts w:cs="Arial"/>
        </w:rPr>
        <w:t xml:space="preserve"> as set-out in the Schedule of Aircraft </w:t>
      </w:r>
      <w:proofErr w:type="spellStart"/>
      <w:r w:rsidR="001E299C" w:rsidRPr="00DE4579">
        <w:rPr>
          <w:rFonts w:cs="Arial"/>
        </w:rPr>
        <w:t>Disinsection</w:t>
      </w:r>
      <w:proofErr w:type="spellEnd"/>
      <w:r w:rsidR="001E299C" w:rsidRPr="00DE4579">
        <w:rPr>
          <w:rFonts w:cs="Arial"/>
        </w:rPr>
        <w:t xml:space="preserve"> Procedures for flights into Australia and New Zealand</w:t>
      </w:r>
    </w:p>
    <w:p w14:paraId="25A617D5" w14:textId="77777777" w:rsidR="005A076E" w:rsidRPr="00755FDA" w:rsidRDefault="009308E1" w:rsidP="00C7420E">
      <w:pPr>
        <w:pStyle w:val="Heading1"/>
        <w:spacing w:before="240"/>
        <w:ind w:left="431" w:hanging="431"/>
        <w:rPr>
          <w:rFonts w:ascii="Calibri" w:hAnsi="Calibri"/>
          <w:color w:val="auto"/>
        </w:rPr>
      </w:pPr>
      <w:bookmarkStart w:id="92" w:name="_Toc449970019"/>
      <w:bookmarkStart w:id="93" w:name="_Toc449970023"/>
      <w:bookmarkStart w:id="94" w:name="_Toc449970024"/>
      <w:bookmarkStart w:id="95" w:name="_Toc449970027"/>
      <w:bookmarkStart w:id="96" w:name="_Toc285720513"/>
      <w:bookmarkStart w:id="97" w:name="_Toc285720677"/>
      <w:bookmarkStart w:id="98" w:name="_Toc285720514"/>
      <w:bookmarkStart w:id="99" w:name="_Toc285720678"/>
      <w:bookmarkStart w:id="100" w:name="_Toc285720522"/>
      <w:bookmarkStart w:id="101" w:name="_Toc285720686"/>
      <w:bookmarkStart w:id="102" w:name="_Toc285720524"/>
      <w:bookmarkStart w:id="103" w:name="_Toc285720688"/>
      <w:bookmarkStart w:id="104" w:name="_Toc285720526"/>
      <w:bookmarkStart w:id="105" w:name="_Toc285720690"/>
      <w:bookmarkStart w:id="106" w:name="_Toc285720536"/>
      <w:bookmarkStart w:id="107" w:name="_Toc285720700"/>
      <w:bookmarkStart w:id="108" w:name="_Toc285720701"/>
      <w:bookmarkStart w:id="109" w:name="_Toc300584874"/>
      <w:bookmarkStart w:id="110" w:name="_Toc300584922"/>
      <w:bookmarkStart w:id="111" w:name="_Toc301169567"/>
      <w:bookmarkStart w:id="112" w:name="_Toc55472632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755FDA">
        <w:rPr>
          <w:rFonts w:ascii="Calibri" w:hAnsi="Calibri"/>
          <w:color w:val="auto"/>
        </w:rPr>
        <w:t>V</w:t>
      </w:r>
      <w:r w:rsidR="00B748CC" w:rsidRPr="00755FDA">
        <w:rPr>
          <w:rFonts w:ascii="Calibri" w:hAnsi="Calibri"/>
          <w:color w:val="auto"/>
        </w:rPr>
        <w:t xml:space="preserve">essel </w:t>
      </w:r>
      <w:bookmarkEnd w:id="108"/>
      <w:r w:rsidRPr="00755FDA">
        <w:rPr>
          <w:rFonts w:ascii="Calibri" w:hAnsi="Calibri"/>
          <w:color w:val="auto"/>
        </w:rPr>
        <w:t>M</w:t>
      </w:r>
      <w:r w:rsidR="00B748CC" w:rsidRPr="00755FDA">
        <w:rPr>
          <w:rFonts w:ascii="Calibri" w:hAnsi="Calibri"/>
          <w:color w:val="auto"/>
        </w:rPr>
        <w:t>anagement</w:t>
      </w:r>
      <w:bookmarkEnd w:id="109"/>
      <w:bookmarkEnd w:id="110"/>
      <w:bookmarkEnd w:id="111"/>
      <w:bookmarkEnd w:id="112"/>
    </w:p>
    <w:p w14:paraId="25A617D6" w14:textId="77777777" w:rsidR="00F72448" w:rsidRPr="00755FDA" w:rsidRDefault="009308E1" w:rsidP="00F72448">
      <w:pPr>
        <w:pStyle w:val="Heading2"/>
        <w:rPr>
          <w:rFonts w:ascii="Calibri" w:hAnsi="Calibri"/>
          <w:color w:val="auto"/>
        </w:rPr>
      </w:pPr>
      <w:bookmarkStart w:id="113" w:name="_Toc55472633"/>
      <w:bookmarkStart w:id="114" w:name="_Toc300584875"/>
      <w:bookmarkStart w:id="115" w:name="_Toc300584923"/>
      <w:bookmarkStart w:id="116" w:name="_Toc301169568"/>
      <w:bookmarkStart w:id="117" w:name="OLE_LINK1"/>
      <w:r w:rsidRPr="00755FDA">
        <w:rPr>
          <w:rFonts w:ascii="Calibri" w:hAnsi="Calibri"/>
          <w:color w:val="auto"/>
        </w:rPr>
        <w:t>Ballast water management summary</w:t>
      </w:r>
      <w:bookmarkEnd w:id="113"/>
    </w:p>
    <w:p w14:paraId="25A617D7" w14:textId="77777777" w:rsidR="00FE22A2" w:rsidRPr="00E9312E" w:rsidRDefault="009308E1" w:rsidP="00FE22A2">
      <w:pPr>
        <w:keepNext/>
        <w:keepLines/>
        <w:rPr>
          <w:rFonts w:cs="Arial"/>
        </w:rPr>
      </w:pPr>
      <w:r w:rsidRPr="00E9312E">
        <w:rPr>
          <w:rFonts w:cs="Arial"/>
        </w:rPr>
        <w:t xml:space="preserve">The department is responsible for ensuring that </w:t>
      </w:r>
      <w:r>
        <w:rPr>
          <w:rFonts w:cs="Arial"/>
        </w:rPr>
        <w:t>high risk international</w:t>
      </w:r>
      <w:r w:rsidRPr="00E9312E">
        <w:rPr>
          <w:rFonts w:cs="Arial"/>
        </w:rPr>
        <w:t xml:space="preserve"> ballast water </w:t>
      </w:r>
      <w:r>
        <w:rPr>
          <w:rFonts w:cs="Arial"/>
        </w:rPr>
        <w:t>is</w:t>
      </w:r>
      <w:r w:rsidRPr="00E9312E">
        <w:rPr>
          <w:rFonts w:cs="Arial"/>
        </w:rPr>
        <w:t xml:space="preserve"> managed i</w:t>
      </w:r>
      <w:r w:rsidRPr="00E9312E">
        <w:rPr>
          <w:rFonts w:cs="Arial"/>
        </w:rPr>
        <w:t>n accordance with the</w:t>
      </w:r>
      <w:r>
        <w:rPr>
          <w:rFonts w:cs="Arial"/>
        </w:rPr>
        <w:t xml:space="preserve"> </w:t>
      </w:r>
      <w:r>
        <w:t>Act</w:t>
      </w:r>
      <w:r w:rsidRPr="00E9312E">
        <w:rPr>
          <w:rFonts w:cs="Arial"/>
        </w:rPr>
        <w:t xml:space="preserve"> </w:t>
      </w:r>
      <w:r>
        <w:rPr>
          <w:rFonts w:cs="Arial"/>
        </w:rPr>
        <w:t xml:space="preserve">prior to </w:t>
      </w:r>
      <w:r w:rsidRPr="00E9312E">
        <w:rPr>
          <w:rFonts w:cs="Arial"/>
        </w:rPr>
        <w:t>discharge inside Australia's territorial sea.</w:t>
      </w:r>
    </w:p>
    <w:p w14:paraId="25A617D8" w14:textId="77777777" w:rsidR="00FE22A2" w:rsidRPr="00E9312E" w:rsidRDefault="009308E1" w:rsidP="00FE22A2">
      <w:pPr>
        <w:rPr>
          <w:rFonts w:cs="Arial"/>
        </w:rPr>
      </w:pPr>
      <w:r w:rsidRPr="00E9312E">
        <w:rPr>
          <w:rFonts w:cs="Arial"/>
        </w:rPr>
        <w:t xml:space="preserve">All international vessels arriving within Australian </w:t>
      </w:r>
      <w:r w:rsidR="00F577A2">
        <w:rPr>
          <w:rFonts w:cs="Arial"/>
        </w:rPr>
        <w:t>s</w:t>
      </w:r>
      <w:r w:rsidR="00A73A6A">
        <w:rPr>
          <w:rFonts w:cs="Arial"/>
        </w:rPr>
        <w:t>eas</w:t>
      </w:r>
      <w:r w:rsidR="00A73A6A" w:rsidRPr="00E9312E">
        <w:rPr>
          <w:rFonts w:cs="Arial"/>
        </w:rPr>
        <w:t xml:space="preserve"> </w:t>
      </w:r>
      <w:r w:rsidRPr="00E9312E">
        <w:rPr>
          <w:rFonts w:cs="Arial"/>
        </w:rPr>
        <w:t xml:space="preserve">must </w:t>
      </w:r>
      <w:r w:rsidR="00A73A6A">
        <w:rPr>
          <w:rFonts w:cs="Arial"/>
        </w:rPr>
        <w:t xml:space="preserve">have </w:t>
      </w:r>
      <w:r>
        <w:rPr>
          <w:rFonts w:cs="Arial"/>
        </w:rPr>
        <w:t xml:space="preserve">managed </w:t>
      </w:r>
      <w:r w:rsidR="00A73A6A">
        <w:rPr>
          <w:rFonts w:cs="Arial"/>
        </w:rPr>
        <w:t>their ballast water in compliance with</w:t>
      </w:r>
      <w:r>
        <w:rPr>
          <w:rFonts w:cs="Arial"/>
        </w:rPr>
        <w:t xml:space="preserve"> the Act</w:t>
      </w:r>
      <w:r w:rsidRPr="00E9312E">
        <w:rPr>
          <w:rFonts w:cs="Arial"/>
        </w:rPr>
        <w:t xml:space="preserve">. </w:t>
      </w:r>
      <w:r>
        <w:rPr>
          <w:rFonts w:cs="Arial"/>
        </w:rPr>
        <w:t xml:space="preserve">Further guidance regarding acceptable methods of ballast water management </w:t>
      </w:r>
      <w:proofErr w:type="gramStart"/>
      <w:r>
        <w:rPr>
          <w:rFonts w:cs="Arial"/>
        </w:rPr>
        <w:t>are</w:t>
      </w:r>
      <w:proofErr w:type="gramEnd"/>
      <w:r>
        <w:rPr>
          <w:rFonts w:cs="Arial"/>
        </w:rPr>
        <w:t xml:space="preserve"> available in the </w:t>
      </w:r>
      <w:r w:rsidRPr="008444A3">
        <w:t>Australian Ballast Water Management Requirements</w:t>
      </w:r>
      <w:r>
        <w:rPr>
          <w:rStyle w:val="FootnoteReference"/>
          <w:sz w:val="16"/>
          <w:szCs w:val="16"/>
        </w:rPr>
        <w:footnoteReference w:id="1"/>
      </w:r>
      <w:r>
        <w:rPr>
          <w:rFonts w:cs="Arial"/>
        </w:rPr>
        <w:t xml:space="preserve">. </w:t>
      </w:r>
      <w:r w:rsidRPr="00E9312E">
        <w:rPr>
          <w:rFonts w:cs="Arial"/>
        </w:rPr>
        <w:t xml:space="preserve">Australia’s Ballast Water Management Requirements </w:t>
      </w:r>
      <w:r w:rsidR="00A73A6A">
        <w:rPr>
          <w:rFonts w:cs="Arial"/>
        </w:rPr>
        <w:t>reflect the requirements of</w:t>
      </w:r>
      <w:r w:rsidRPr="00E9312E">
        <w:rPr>
          <w:rFonts w:cs="Arial"/>
        </w:rPr>
        <w:t xml:space="preserve"> the International Maritime </w:t>
      </w:r>
      <w:proofErr w:type="spellStart"/>
      <w:r w:rsidRPr="00E9312E">
        <w:rPr>
          <w:rFonts w:cs="Arial"/>
        </w:rPr>
        <w:t>Orga</w:t>
      </w:r>
      <w:r w:rsidRPr="00E9312E">
        <w:rPr>
          <w:rFonts w:cs="Arial"/>
        </w:rPr>
        <w:t>nisation</w:t>
      </w:r>
      <w:proofErr w:type="spellEnd"/>
      <w:r w:rsidRPr="00E9312E">
        <w:rPr>
          <w:rFonts w:cs="Arial"/>
        </w:rPr>
        <w:t xml:space="preserve"> (IMO) Convention for the Control and Management of Ships’ Ballast Water and Sediments (2004) (the BWM Convention)</w:t>
      </w:r>
      <w:r w:rsidR="00A73A6A">
        <w:rPr>
          <w:rFonts w:cs="Arial"/>
        </w:rPr>
        <w:t>, which came into force on 8</w:t>
      </w:r>
      <w:r w:rsidR="00A73A6A" w:rsidRPr="00E155F5">
        <w:rPr>
          <w:rFonts w:cs="Arial"/>
          <w:vertAlign w:val="superscript"/>
        </w:rPr>
        <w:t>th</w:t>
      </w:r>
      <w:r w:rsidR="00A73A6A">
        <w:rPr>
          <w:rFonts w:cs="Arial"/>
        </w:rPr>
        <w:t xml:space="preserve"> September 2017</w:t>
      </w:r>
      <w:r w:rsidRPr="00E9312E">
        <w:rPr>
          <w:rFonts w:cs="Arial"/>
        </w:rPr>
        <w:t>.</w:t>
      </w:r>
    </w:p>
    <w:p w14:paraId="25A617D9" w14:textId="77777777" w:rsidR="00A82D08" w:rsidRDefault="009308E1" w:rsidP="00A82D08">
      <w:pPr>
        <w:keepNext/>
        <w:keepLines/>
        <w:spacing w:after="0"/>
        <w:rPr>
          <w:rFonts w:cs="Arial"/>
        </w:rPr>
      </w:pPr>
      <w:r w:rsidRPr="006729A6">
        <w:t>Ve</w:t>
      </w:r>
      <w:r w:rsidR="00A73A6A">
        <w:t>ssels will be required to carry</w:t>
      </w:r>
      <w:r w:rsidR="00597E0C">
        <w:t>:</w:t>
      </w:r>
      <w:r w:rsidRPr="00A82D08">
        <w:rPr>
          <w:rFonts w:cs="Arial"/>
        </w:rPr>
        <w:t xml:space="preserve"> </w:t>
      </w:r>
    </w:p>
    <w:p w14:paraId="25A617DA" w14:textId="77777777" w:rsidR="00A82D08" w:rsidRPr="000D6E6E" w:rsidRDefault="009308E1" w:rsidP="00A82D08">
      <w:pPr>
        <w:keepNext/>
        <w:keepLines/>
        <w:numPr>
          <w:ilvl w:val="0"/>
          <w:numId w:val="19"/>
        </w:numPr>
        <w:spacing w:after="0"/>
        <w:rPr>
          <w:rFonts w:cs="Arial"/>
        </w:rPr>
      </w:pPr>
      <w:r w:rsidRPr="000D6E6E">
        <w:rPr>
          <w:rFonts w:cs="Arial"/>
        </w:rPr>
        <w:t>Approved ballast water management plan (BWMP</w:t>
      </w:r>
      <w:proofErr w:type="gramStart"/>
      <w:r w:rsidRPr="000D6E6E">
        <w:rPr>
          <w:rFonts w:cs="Arial"/>
        </w:rPr>
        <w:t>);</w:t>
      </w:r>
      <w:proofErr w:type="gramEnd"/>
    </w:p>
    <w:p w14:paraId="25A617DB" w14:textId="77777777" w:rsidR="00A82D08" w:rsidRPr="000D6E6E" w:rsidRDefault="009308E1" w:rsidP="00A82D08">
      <w:pPr>
        <w:keepNext/>
        <w:keepLines/>
        <w:numPr>
          <w:ilvl w:val="0"/>
          <w:numId w:val="19"/>
        </w:numPr>
        <w:spacing w:after="0"/>
        <w:rPr>
          <w:rFonts w:cs="Arial"/>
        </w:rPr>
      </w:pPr>
      <w:r w:rsidRPr="000D6E6E">
        <w:rPr>
          <w:rFonts w:cs="Arial"/>
        </w:rPr>
        <w:t>Approved ballast water management certificate (IBWMC</w:t>
      </w:r>
      <w:proofErr w:type="gramStart"/>
      <w:r w:rsidRPr="000D6E6E">
        <w:rPr>
          <w:rFonts w:cs="Arial"/>
        </w:rPr>
        <w:t>);</w:t>
      </w:r>
      <w:proofErr w:type="gramEnd"/>
    </w:p>
    <w:p w14:paraId="25A617DC" w14:textId="77777777" w:rsidR="00A82D08" w:rsidRPr="00F24BCE" w:rsidRDefault="009308E1" w:rsidP="00A82D08">
      <w:pPr>
        <w:keepNext/>
        <w:keepLines/>
        <w:numPr>
          <w:ilvl w:val="0"/>
          <w:numId w:val="19"/>
        </w:numPr>
        <w:spacing w:after="0"/>
        <w:rPr>
          <w:rFonts w:cs="Arial"/>
        </w:rPr>
      </w:pPr>
      <w:r w:rsidRPr="00F24BCE">
        <w:rPr>
          <w:rFonts w:cs="Arial"/>
        </w:rPr>
        <w:t>Ballast water records.</w:t>
      </w:r>
    </w:p>
    <w:p w14:paraId="25A617DD" w14:textId="77777777" w:rsidR="006729A6" w:rsidRPr="006729A6" w:rsidRDefault="006729A6" w:rsidP="006729A6"/>
    <w:p w14:paraId="25A617DE" w14:textId="77777777" w:rsidR="00A73A6A" w:rsidRDefault="009308E1" w:rsidP="006729A6">
      <w:r w:rsidRPr="006729A6">
        <w:t xml:space="preserve">Vessels arriving at installations within 200nm from the Australian coastline will be required to manage their ballast water prior to arrival. </w:t>
      </w:r>
      <w:r>
        <w:t>Submission of a Ballast Water Repor</w:t>
      </w:r>
      <w:r>
        <w:t>t will only be required if entering within the Territorial Sea.</w:t>
      </w:r>
    </w:p>
    <w:p w14:paraId="25A617DF" w14:textId="77777777" w:rsidR="006729A6" w:rsidRPr="006729A6" w:rsidRDefault="009308E1" w:rsidP="006729A6">
      <w:r w:rsidRPr="006729A6">
        <w:t xml:space="preserve">Vessels moving between Australian ports and offshore installations, </w:t>
      </w:r>
      <w:r w:rsidR="00A73A6A">
        <w:t>within 200 nm from the Australian</w:t>
      </w:r>
      <w:r w:rsidR="00597E0C">
        <w:t xml:space="preserve"> coastline, </w:t>
      </w:r>
      <w:r w:rsidRPr="006729A6">
        <w:t>will be required to manage ballast water in accordance with Australia</w:t>
      </w:r>
      <w:r w:rsidR="00597E0C">
        <w:t xml:space="preserve">’s domestic ballast water </w:t>
      </w:r>
      <w:r w:rsidRPr="006729A6">
        <w:t>requirements.</w:t>
      </w:r>
      <w:r w:rsidR="00597E0C">
        <w:t xml:space="preserve"> Submission of a Ballast Water Report is not required for domestic journeys.</w:t>
      </w:r>
    </w:p>
    <w:p w14:paraId="25A617E0" w14:textId="77777777" w:rsidR="006729A6" w:rsidRPr="006729A6" w:rsidRDefault="009308E1" w:rsidP="006729A6">
      <w:r w:rsidRPr="006729A6">
        <w:lastRenderedPageBreak/>
        <w:t>Ballast water management will not be required between Australian ports and offshore installations if:</w:t>
      </w:r>
    </w:p>
    <w:p w14:paraId="25A617E1" w14:textId="77777777" w:rsidR="006729A6" w:rsidRPr="000D6E6E" w:rsidRDefault="009308E1" w:rsidP="007367AC">
      <w:pPr>
        <w:keepNext/>
        <w:keepLines/>
        <w:numPr>
          <w:ilvl w:val="0"/>
          <w:numId w:val="20"/>
        </w:numPr>
        <w:spacing w:after="0"/>
        <w:rPr>
          <w:rFonts w:cs="Arial"/>
        </w:rPr>
      </w:pPr>
      <w:r w:rsidRPr="000D6E6E">
        <w:rPr>
          <w:rFonts w:cs="Arial"/>
        </w:rPr>
        <w:t xml:space="preserve">ballast water is taken up and </w:t>
      </w:r>
      <w:r w:rsidRPr="000D6E6E">
        <w:rPr>
          <w:rFonts w:cs="Arial"/>
        </w:rPr>
        <w:t xml:space="preserve">discharged in the same </w:t>
      </w:r>
      <w:proofErr w:type="gramStart"/>
      <w:r w:rsidRPr="000D6E6E">
        <w:rPr>
          <w:rFonts w:cs="Arial"/>
        </w:rPr>
        <w:t>place</w:t>
      </w:r>
      <w:proofErr w:type="gramEnd"/>
    </w:p>
    <w:p w14:paraId="25A617E2" w14:textId="77777777" w:rsidR="006729A6" w:rsidRPr="00F24BCE" w:rsidRDefault="009308E1" w:rsidP="007367AC">
      <w:pPr>
        <w:keepNext/>
        <w:keepLines/>
        <w:numPr>
          <w:ilvl w:val="0"/>
          <w:numId w:val="20"/>
        </w:numPr>
        <w:spacing w:after="0"/>
        <w:rPr>
          <w:rFonts w:cs="Arial"/>
        </w:rPr>
      </w:pPr>
      <w:r w:rsidRPr="00F24BCE">
        <w:rPr>
          <w:rFonts w:cs="Arial"/>
        </w:rPr>
        <w:t xml:space="preserve">potable water is used as </w:t>
      </w:r>
      <w:proofErr w:type="gramStart"/>
      <w:r w:rsidRPr="00F24BCE">
        <w:rPr>
          <w:rFonts w:cs="Arial"/>
        </w:rPr>
        <w:t>ballast</w:t>
      </w:r>
      <w:proofErr w:type="gramEnd"/>
    </w:p>
    <w:p w14:paraId="25A617E3" w14:textId="77777777" w:rsidR="006729A6" w:rsidRPr="00DE4579" w:rsidRDefault="009308E1" w:rsidP="007367AC">
      <w:pPr>
        <w:keepNext/>
        <w:keepLines/>
        <w:numPr>
          <w:ilvl w:val="0"/>
          <w:numId w:val="20"/>
        </w:numPr>
        <w:spacing w:after="0"/>
        <w:rPr>
          <w:rFonts w:cs="Arial"/>
        </w:rPr>
      </w:pPr>
      <w:r w:rsidRPr="00F24BCE">
        <w:rPr>
          <w:rFonts w:cs="Arial"/>
        </w:rPr>
        <w:t xml:space="preserve">ballast water </w:t>
      </w:r>
      <w:r w:rsidR="00597E0C" w:rsidRPr="00DE4579">
        <w:rPr>
          <w:rFonts w:cs="Arial"/>
        </w:rPr>
        <w:t xml:space="preserve">was taken up </w:t>
      </w:r>
      <w:r w:rsidRPr="00DE4579">
        <w:rPr>
          <w:rFonts w:cs="Arial"/>
        </w:rPr>
        <w:t xml:space="preserve">on the high seas </w:t>
      </w:r>
      <w:proofErr w:type="gramStart"/>
      <w:r w:rsidRPr="00DE4579">
        <w:rPr>
          <w:rFonts w:cs="Arial"/>
        </w:rPr>
        <w:t>only</w:t>
      </w:r>
      <w:proofErr w:type="gramEnd"/>
    </w:p>
    <w:p w14:paraId="25A617E4" w14:textId="77777777" w:rsidR="006729A6" w:rsidRPr="00194158" w:rsidRDefault="009308E1" w:rsidP="007367AC">
      <w:pPr>
        <w:keepNext/>
        <w:keepLines/>
        <w:numPr>
          <w:ilvl w:val="0"/>
          <w:numId w:val="20"/>
        </w:numPr>
        <w:spacing w:after="0"/>
        <w:rPr>
          <w:rFonts w:cs="Arial"/>
        </w:rPr>
      </w:pPr>
      <w:r w:rsidRPr="009740FD">
        <w:rPr>
          <w:rFonts w:cs="Arial"/>
        </w:rPr>
        <w:t>the vessel receives a risk-based exemption from</w:t>
      </w:r>
      <w:r w:rsidRPr="00194158">
        <w:rPr>
          <w:rFonts w:cs="Arial"/>
        </w:rPr>
        <w:t xml:space="preserve"> ballast water management.</w:t>
      </w:r>
      <w:r w:rsidR="00687090">
        <w:rPr>
          <w:rFonts w:cs="Arial"/>
        </w:rPr>
        <w:br/>
      </w:r>
    </w:p>
    <w:p w14:paraId="25A617E5" w14:textId="77777777" w:rsidR="006729A6" w:rsidRPr="006729A6" w:rsidRDefault="009308E1" w:rsidP="006729A6">
      <w:r>
        <w:t>S</w:t>
      </w:r>
      <w:r w:rsidRPr="006729A6">
        <w:t>ee Australian ballast water management requirements for further detai</w:t>
      </w:r>
      <w:r w:rsidRPr="006729A6">
        <w:t>l</w:t>
      </w:r>
      <w:r>
        <w:rPr>
          <w:rStyle w:val="FootnoteReference"/>
        </w:rPr>
        <w:footnoteReference w:id="2"/>
      </w:r>
      <w:r w:rsidRPr="006729A6">
        <w:t>.</w:t>
      </w:r>
    </w:p>
    <w:p w14:paraId="25A617E6" w14:textId="77777777" w:rsidR="006729A6" w:rsidRPr="006729A6" w:rsidRDefault="009308E1" w:rsidP="006729A6">
      <w:r>
        <w:t>The use of b</w:t>
      </w:r>
      <w:r w:rsidRPr="006729A6">
        <w:t xml:space="preserve">allast water exchange (BWE) </w:t>
      </w:r>
      <w:r>
        <w:t xml:space="preserve">as a management method </w:t>
      </w:r>
      <w:r w:rsidRPr="006729A6">
        <w:t xml:space="preserve">will be phased out over the next </w:t>
      </w:r>
      <w:r w:rsidR="00F577A2">
        <w:t>nine</w:t>
      </w:r>
      <w:r w:rsidRPr="006729A6">
        <w:t xml:space="preserve"> years in accordance with </w:t>
      </w:r>
      <w:r>
        <w:t xml:space="preserve">the amended schedule for </w:t>
      </w:r>
      <w:r w:rsidRPr="006729A6">
        <w:t>Regulation B-3 of the Convention. This will require some vessels to install and use an International</w:t>
      </w:r>
      <w:r w:rsidRPr="006729A6">
        <w:t xml:space="preserve"> Maritime Organization (IMO) Type Approved Ballast Water Treatment System </w:t>
      </w:r>
      <w:proofErr w:type="gramStart"/>
      <w:r w:rsidRPr="006729A6">
        <w:t>in order to</w:t>
      </w:r>
      <w:proofErr w:type="gramEnd"/>
      <w:r w:rsidRPr="006729A6">
        <w:t xml:space="preserve"> meet the D-2 discharge standard. </w:t>
      </w:r>
      <w:r>
        <w:t>Some v</w:t>
      </w:r>
      <w:r w:rsidRPr="006729A6">
        <w:t>essels in the offshore industry</w:t>
      </w:r>
      <w:r>
        <w:t xml:space="preserve">, such as </w:t>
      </w:r>
      <w:r w:rsidR="00DE4579">
        <w:t>floating production, storage and offshore (F</w:t>
      </w:r>
      <w:r>
        <w:t>PSOs</w:t>
      </w:r>
      <w:r w:rsidR="00DE4579">
        <w:t>) vessels</w:t>
      </w:r>
      <w:r>
        <w:t xml:space="preserve">, </w:t>
      </w:r>
      <w:r w:rsidR="009740FD">
        <w:t>floating storage units (</w:t>
      </w:r>
      <w:r>
        <w:t>FSUs</w:t>
      </w:r>
      <w:r w:rsidR="009740FD">
        <w:t>)</w:t>
      </w:r>
      <w:r>
        <w:t xml:space="preserve"> a</w:t>
      </w:r>
      <w:r>
        <w:t>nd floating platforms,</w:t>
      </w:r>
      <w:r w:rsidRPr="006729A6">
        <w:t xml:space="preserve"> may be eligible for exemptions from the requirements to install a ballast water treatment</w:t>
      </w:r>
      <w:r>
        <w:t xml:space="preserve"> system</w:t>
      </w:r>
      <w:r w:rsidRPr="006729A6">
        <w:t xml:space="preserve">. </w:t>
      </w:r>
      <w:r>
        <w:t>More information is available on the department’s website.</w:t>
      </w:r>
    </w:p>
    <w:p w14:paraId="25A617E7" w14:textId="77777777" w:rsidR="006729A6" w:rsidRPr="006729A6" w:rsidRDefault="009308E1" w:rsidP="006729A6">
      <w:r w:rsidRPr="006729A6">
        <w:t xml:space="preserve">For further information please </w:t>
      </w:r>
      <w:r w:rsidR="00597E0C">
        <w:t>refer to</w:t>
      </w:r>
      <w:r w:rsidRPr="006729A6">
        <w:t xml:space="preserve"> the available the Australian ballast</w:t>
      </w:r>
      <w:r w:rsidRPr="006729A6">
        <w:t xml:space="preserve"> water management requirements </w:t>
      </w:r>
      <w:r w:rsidRPr="006729A6">
        <w:rPr>
          <w:rFonts w:cs="Arial"/>
        </w:rPr>
        <w:t xml:space="preserve">- published on the </w:t>
      </w:r>
      <w:r w:rsidRPr="006729A6">
        <w:rPr>
          <w:color w:val="0000FF"/>
          <w:u w:val="single"/>
        </w:rPr>
        <w:t>department’s website</w:t>
      </w:r>
      <w:r>
        <w:rPr>
          <w:vertAlign w:val="superscript"/>
        </w:rPr>
        <w:footnoteReference w:id="3"/>
      </w:r>
      <w:r w:rsidRPr="006729A6">
        <w:rPr>
          <w:rFonts w:cs="Arial"/>
        </w:rPr>
        <w:t xml:space="preserve">. </w:t>
      </w:r>
    </w:p>
    <w:p w14:paraId="25A617E8" w14:textId="77777777" w:rsidR="005A076E" w:rsidRPr="00755FDA" w:rsidRDefault="009308E1">
      <w:pPr>
        <w:pStyle w:val="Heading2"/>
        <w:rPr>
          <w:rFonts w:ascii="Calibri" w:hAnsi="Calibri"/>
          <w:color w:val="auto"/>
        </w:rPr>
      </w:pPr>
      <w:bookmarkStart w:id="118" w:name="_Toc504395906"/>
      <w:bookmarkStart w:id="119" w:name="_Toc504395908"/>
      <w:bookmarkStart w:id="120" w:name="_Toc504395909"/>
      <w:bookmarkStart w:id="121" w:name="_Toc55472634"/>
      <w:bookmarkEnd w:id="118"/>
      <w:bookmarkEnd w:id="119"/>
      <w:bookmarkEnd w:id="120"/>
      <w:r w:rsidRPr="00755FDA">
        <w:rPr>
          <w:rFonts w:ascii="Calibri" w:hAnsi="Calibri"/>
          <w:color w:val="auto"/>
        </w:rPr>
        <w:t>Biofouling management</w:t>
      </w:r>
      <w:bookmarkEnd w:id="114"/>
      <w:bookmarkEnd w:id="115"/>
      <w:bookmarkEnd w:id="116"/>
      <w:bookmarkEnd w:id="121"/>
    </w:p>
    <w:p w14:paraId="25A617E9" w14:textId="77777777" w:rsidR="005A076E" w:rsidRPr="00E9312E" w:rsidRDefault="009308E1">
      <w:pPr>
        <w:rPr>
          <w:rFonts w:cs="Arial"/>
        </w:rPr>
      </w:pPr>
      <w:r w:rsidRPr="00E9312E">
        <w:rPr>
          <w:rFonts w:cs="Arial"/>
        </w:rPr>
        <w:t xml:space="preserve">The petroleum production and exploration industry </w:t>
      </w:r>
      <w:proofErr w:type="gramStart"/>
      <w:r w:rsidRPr="00E9312E">
        <w:rPr>
          <w:rFonts w:cs="Arial"/>
        </w:rPr>
        <w:t>has</w:t>
      </w:r>
      <w:proofErr w:type="gramEnd"/>
      <w:r w:rsidRPr="00E9312E">
        <w:rPr>
          <w:rFonts w:cs="Arial"/>
        </w:rPr>
        <w:t xml:space="preserve"> an important role in Australia's fight against </w:t>
      </w:r>
      <w:r w:rsidRPr="00E9312E">
        <w:rPr>
          <w:rFonts w:cs="Arial"/>
        </w:rPr>
        <w:t>marine pests</w:t>
      </w:r>
      <w:r>
        <w:rPr>
          <w:rStyle w:val="FootnoteReference"/>
        </w:rPr>
        <w:footnoteReference w:id="4"/>
      </w:r>
      <w:r w:rsidRPr="00E9312E">
        <w:rPr>
          <w:rFonts w:cs="Arial"/>
        </w:rPr>
        <w:t>.</w:t>
      </w:r>
    </w:p>
    <w:p w14:paraId="25A617EA" w14:textId="77777777" w:rsidR="005A076E" w:rsidRPr="00E9312E" w:rsidRDefault="009308E1">
      <w:pPr>
        <w:spacing w:after="0"/>
        <w:rPr>
          <w:rFonts w:cs="Arial"/>
        </w:rPr>
      </w:pPr>
      <w:r w:rsidRPr="00E9312E">
        <w:rPr>
          <w:rFonts w:cs="Arial"/>
        </w:rPr>
        <w:t xml:space="preserve">Operators of vessels, </w:t>
      </w:r>
      <w:r w:rsidR="00C404FF" w:rsidRPr="00E9312E">
        <w:rPr>
          <w:rFonts w:cs="Arial"/>
        </w:rPr>
        <w:t>submersible</w:t>
      </w:r>
      <w:r w:rsidRPr="00E9312E">
        <w:rPr>
          <w:rFonts w:cs="Arial"/>
        </w:rPr>
        <w:t xml:space="preserve"> equipment and infrastructure involved in petroleum production and exploration operations can help prevent</w:t>
      </w:r>
      <w:r w:rsidRPr="00E9312E">
        <w:rPr>
          <w:rFonts w:cs="Arial"/>
        </w:rPr>
        <w:t xml:space="preserve"> the introduction and spread of marine pests by implementing the following measures:</w:t>
      </w:r>
    </w:p>
    <w:p w14:paraId="25A617EB" w14:textId="77777777" w:rsidR="005A076E" w:rsidRPr="00E9312E" w:rsidRDefault="005A076E">
      <w:pPr>
        <w:spacing w:after="0"/>
        <w:rPr>
          <w:rFonts w:cs="Arial"/>
        </w:rPr>
      </w:pPr>
    </w:p>
    <w:p w14:paraId="25A617EC" w14:textId="77777777" w:rsidR="005A076E" w:rsidRPr="000D6E6E" w:rsidRDefault="009308E1" w:rsidP="007367AC">
      <w:pPr>
        <w:keepNext/>
        <w:keepLines/>
        <w:numPr>
          <w:ilvl w:val="0"/>
          <w:numId w:val="21"/>
        </w:numPr>
        <w:spacing w:after="0"/>
        <w:rPr>
          <w:rFonts w:cs="Arial"/>
        </w:rPr>
      </w:pPr>
      <w:proofErr w:type="spellStart"/>
      <w:r w:rsidRPr="000D6E6E">
        <w:rPr>
          <w:rFonts w:cs="Arial"/>
        </w:rPr>
        <w:t>Minimis</w:t>
      </w:r>
      <w:r w:rsidR="002514ED" w:rsidRPr="000D6E6E">
        <w:rPr>
          <w:rFonts w:cs="Arial"/>
        </w:rPr>
        <w:t>ing</w:t>
      </w:r>
      <w:proofErr w:type="spellEnd"/>
      <w:r w:rsidRPr="000D6E6E">
        <w:rPr>
          <w:rFonts w:cs="Arial"/>
        </w:rPr>
        <w:t xml:space="preserve"> the amount of biofouling through a high standard of cleaning and maintenance. </w:t>
      </w:r>
    </w:p>
    <w:p w14:paraId="25A617ED" w14:textId="77777777" w:rsidR="005A076E" w:rsidRPr="000D6E6E" w:rsidRDefault="009308E1" w:rsidP="007367AC">
      <w:pPr>
        <w:keepNext/>
        <w:keepLines/>
        <w:numPr>
          <w:ilvl w:val="0"/>
          <w:numId w:val="21"/>
        </w:numPr>
        <w:spacing w:after="0"/>
        <w:rPr>
          <w:rFonts w:cs="Arial"/>
        </w:rPr>
      </w:pPr>
      <w:r w:rsidRPr="000D6E6E">
        <w:rPr>
          <w:rFonts w:cs="Arial"/>
        </w:rPr>
        <w:t>Comply</w:t>
      </w:r>
      <w:r w:rsidR="002514ED" w:rsidRPr="000D6E6E">
        <w:rPr>
          <w:rFonts w:cs="Arial"/>
        </w:rPr>
        <w:t>ing</w:t>
      </w:r>
      <w:r w:rsidRPr="000D6E6E">
        <w:rPr>
          <w:rFonts w:cs="Arial"/>
        </w:rPr>
        <w:t xml:space="preserve"> with any international and domestic biofouling requirements.</w:t>
      </w:r>
    </w:p>
    <w:p w14:paraId="25A617EE" w14:textId="77777777" w:rsidR="001464EB" w:rsidRPr="00E9312E" w:rsidRDefault="001464EB" w:rsidP="00C7420E">
      <w:pPr>
        <w:keepNext/>
        <w:keepLines/>
        <w:spacing w:after="0"/>
        <w:ind w:left="426"/>
        <w:rPr>
          <w:rFonts w:cs="Arial"/>
        </w:rPr>
      </w:pPr>
    </w:p>
    <w:p w14:paraId="25A617EF" w14:textId="77777777" w:rsidR="005A076E" w:rsidRPr="00E9312E" w:rsidRDefault="009308E1" w:rsidP="00C7420E">
      <w:pPr>
        <w:rPr>
          <w:rFonts w:cs="Arial"/>
        </w:rPr>
      </w:pPr>
      <w:r w:rsidRPr="007C36D3">
        <w:rPr>
          <w:rFonts w:cs="Arial"/>
        </w:rPr>
        <w:t>Note:</w:t>
      </w:r>
      <w:r w:rsidRPr="00E9312E">
        <w:rPr>
          <w:rFonts w:cs="Arial"/>
          <w:b/>
        </w:rPr>
        <w:t xml:space="preserve"> </w:t>
      </w:r>
      <w:r w:rsidRPr="00E9312E">
        <w:rPr>
          <w:rFonts w:cs="Arial"/>
        </w:rPr>
        <w:t xml:space="preserve">Incorporating practices that </w:t>
      </w:r>
      <w:proofErr w:type="spellStart"/>
      <w:r w:rsidRPr="00E9312E">
        <w:rPr>
          <w:rFonts w:cs="Arial"/>
        </w:rPr>
        <w:t>minimise</w:t>
      </w:r>
      <w:proofErr w:type="spellEnd"/>
      <w:r w:rsidRPr="00E9312E">
        <w:rPr>
          <w:rFonts w:cs="Arial"/>
        </w:rPr>
        <w:t xml:space="preserve"> the build-up of biofouling into routine cleaning and maintenance programs significantly reduces marine biosecurity risks.</w:t>
      </w:r>
    </w:p>
    <w:p w14:paraId="25A617F0" w14:textId="77777777" w:rsidR="00E9312E" w:rsidRDefault="009308E1" w:rsidP="009B5A19">
      <w:pPr>
        <w:pStyle w:val="NormalWeb"/>
        <w:spacing w:before="0" w:beforeAutospacing="0" w:after="240" w:afterAutospacing="0"/>
        <w:rPr>
          <w:rFonts w:cs="Arial"/>
        </w:rPr>
      </w:pPr>
      <w:r w:rsidRPr="00E9312E">
        <w:rPr>
          <w:rFonts w:cs="Arial"/>
        </w:rPr>
        <w:t xml:space="preserve">Operators of petroleum </w:t>
      </w:r>
      <w:r w:rsidR="001F6362">
        <w:rPr>
          <w:rFonts w:cs="Arial"/>
        </w:rPr>
        <w:t xml:space="preserve">industry </w:t>
      </w:r>
      <w:r w:rsidRPr="00E9312E">
        <w:rPr>
          <w:rFonts w:cs="Arial"/>
        </w:rPr>
        <w:t>related vessels, equipment and infrastructure should refer</w:t>
      </w:r>
      <w:r w:rsidRPr="00E9312E">
        <w:rPr>
          <w:rFonts w:cs="Arial"/>
        </w:rPr>
        <w:t xml:space="preserve"> to the '</w:t>
      </w:r>
      <w:r w:rsidRPr="00E9312E">
        <w:rPr>
          <w:rFonts w:cs="Arial"/>
        </w:rPr>
        <w:t>National biofouling management guidance for the petroleum production and exploration industry</w:t>
      </w:r>
      <w:r>
        <w:rPr>
          <w:rStyle w:val="FootnoteReference"/>
        </w:rPr>
        <w:footnoteReference w:id="5"/>
      </w:r>
      <w:r w:rsidRPr="00E9312E">
        <w:rPr>
          <w:rFonts w:cs="Arial"/>
        </w:rPr>
        <w:t>' for practical guidance on managing biofouling.  These recommendations have been developed in conjunction with the petroleum production and exploration</w:t>
      </w:r>
      <w:r w:rsidRPr="00E9312E">
        <w:rPr>
          <w:rFonts w:cs="Arial"/>
        </w:rPr>
        <w:t xml:space="preserve"> industry and apply to the following vessel types:</w:t>
      </w:r>
      <w:r w:rsidR="006A3595">
        <w:rPr>
          <w:rFonts w:cs="Arial"/>
        </w:rPr>
        <w:t xml:space="preserve"> </w:t>
      </w:r>
    </w:p>
    <w:p w14:paraId="25A617F1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lastRenderedPageBreak/>
        <w:t xml:space="preserve">offshore support vessels including utility support vessels, platform supply vessels and anchor handling tug supply </w:t>
      </w:r>
      <w:proofErr w:type="gramStart"/>
      <w:r w:rsidRPr="00E9312E">
        <w:rPr>
          <w:rFonts w:cs="Arial"/>
        </w:rPr>
        <w:t>vessels</w:t>
      </w:r>
      <w:proofErr w:type="gramEnd"/>
      <w:r w:rsidRPr="00E9312E">
        <w:rPr>
          <w:rFonts w:cs="Arial"/>
        </w:rPr>
        <w:t xml:space="preserve"> </w:t>
      </w:r>
    </w:p>
    <w:p w14:paraId="25A617F2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>mobile offshore drilling units including jack-up units, drilling barges and semi</w:t>
      </w:r>
      <w:r w:rsidRPr="00E9312E">
        <w:rPr>
          <w:rFonts w:cs="Arial"/>
        </w:rPr>
        <w:t xml:space="preserve">-submersible </w:t>
      </w:r>
      <w:proofErr w:type="gramStart"/>
      <w:r w:rsidRPr="00E9312E">
        <w:rPr>
          <w:rFonts w:cs="Arial"/>
        </w:rPr>
        <w:t>ships</w:t>
      </w:r>
      <w:proofErr w:type="gramEnd"/>
      <w:r w:rsidRPr="00E9312E">
        <w:rPr>
          <w:rFonts w:cs="Arial"/>
        </w:rPr>
        <w:t xml:space="preserve"> </w:t>
      </w:r>
    </w:p>
    <w:p w14:paraId="25A617F3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crew transfer vessels </w:t>
      </w:r>
    </w:p>
    <w:p w14:paraId="25A617F4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diving support vessels </w:t>
      </w:r>
    </w:p>
    <w:p w14:paraId="25A617F5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accommodation vessels </w:t>
      </w:r>
    </w:p>
    <w:p w14:paraId="25A617F6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seismic survey vessels </w:t>
      </w:r>
    </w:p>
    <w:p w14:paraId="25A617F7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landing craft </w:t>
      </w:r>
    </w:p>
    <w:p w14:paraId="25A617F8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pipe laying ships and barges </w:t>
      </w:r>
    </w:p>
    <w:p w14:paraId="25A617F9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floating production, </w:t>
      </w:r>
      <w:proofErr w:type="gramStart"/>
      <w:r w:rsidRPr="00E9312E">
        <w:rPr>
          <w:rFonts w:cs="Arial"/>
        </w:rPr>
        <w:t>storage</w:t>
      </w:r>
      <w:proofErr w:type="gramEnd"/>
      <w:r w:rsidRPr="00E9312E">
        <w:rPr>
          <w:rFonts w:cs="Arial"/>
        </w:rPr>
        <w:t xml:space="preserve"> and offloading vessels (FPSO) and floating storage and </w:t>
      </w:r>
      <w:r w:rsidRPr="00E9312E">
        <w:rPr>
          <w:rFonts w:cs="Arial"/>
        </w:rPr>
        <w:t>offloading vessels (FSO)</w:t>
      </w:r>
    </w:p>
    <w:p w14:paraId="25A617FA" w14:textId="77777777" w:rsidR="00E9312E" w:rsidRPr="00E9312E" w:rsidRDefault="009308E1" w:rsidP="007367AC">
      <w:pPr>
        <w:keepNext/>
        <w:keepLines/>
        <w:numPr>
          <w:ilvl w:val="0"/>
          <w:numId w:val="22"/>
        </w:numPr>
        <w:spacing w:after="0"/>
        <w:rPr>
          <w:rFonts w:cs="Arial"/>
        </w:rPr>
      </w:pPr>
      <w:r w:rsidRPr="00E9312E">
        <w:rPr>
          <w:rFonts w:cs="Arial"/>
        </w:rPr>
        <w:t xml:space="preserve">related submersible equipment and infrastructure. </w:t>
      </w:r>
    </w:p>
    <w:p w14:paraId="25A617FB" w14:textId="77777777" w:rsidR="005A076E" w:rsidRPr="00E9312E" w:rsidRDefault="009308E1">
      <w:pPr>
        <w:pStyle w:val="NormalWeb"/>
        <w:rPr>
          <w:rFonts w:cs="Arial"/>
        </w:rPr>
      </w:pPr>
      <w:r w:rsidRPr="00E9312E">
        <w:rPr>
          <w:rFonts w:cs="Arial"/>
        </w:rPr>
        <w:t>Operators of oil tankers and gas carriers should refer to the '</w:t>
      </w:r>
      <w:r w:rsidRPr="00E9312E">
        <w:rPr>
          <w:rFonts w:cs="Arial"/>
        </w:rPr>
        <w:t>National biofouling management guidelines for commercial vessels</w:t>
      </w:r>
      <w:r>
        <w:rPr>
          <w:rStyle w:val="FootnoteReference"/>
        </w:rPr>
        <w:footnoteReference w:id="6"/>
      </w:r>
      <w:r w:rsidRPr="00E9312E">
        <w:rPr>
          <w:rFonts w:cs="Arial"/>
        </w:rPr>
        <w:t>' for guidance on managing biofouling.</w:t>
      </w:r>
    </w:p>
    <w:p w14:paraId="25A617FC" w14:textId="77777777" w:rsidR="005A076E" w:rsidRDefault="009308E1">
      <w:pPr>
        <w:pStyle w:val="NormalWeb"/>
        <w:spacing w:after="360" w:afterAutospacing="0"/>
        <w:rPr>
          <w:rFonts w:cs="Arial"/>
        </w:rPr>
      </w:pPr>
      <w:r w:rsidRPr="00E9312E">
        <w:rPr>
          <w:rFonts w:cs="Arial"/>
        </w:rPr>
        <w:t>Operators of</w:t>
      </w:r>
      <w:r w:rsidRPr="00E9312E">
        <w:rPr>
          <w:rFonts w:cs="Arial"/>
        </w:rPr>
        <w:t xml:space="preserve"> heavy lift vessels and dredges (including rock dumping ships) should refer to the '</w:t>
      </w:r>
      <w:r w:rsidRPr="00E9312E">
        <w:rPr>
          <w:rFonts w:cs="Arial"/>
        </w:rPr>
        <w:t>National biofouling management guidance for non-trading vessels</w:t>
      </w:r>
      <w:r>
        <w:rPr>
          <w:rStyle w:val="FootnoteReference"/>
        </w:rPr>
        <w:footnoteReference w:id="7"/>
      </w:r>
      <w:r w:rsidRPr="00E9312E">
        <w:rPr>
          <w:rFonts w:cs="Arial"/>
        </w:rPr>
        <w:t>'</w:t>
      </w:r>
      <w:r w:rsidR="00C404FF" w:rsidRPr="00E9312E">
        <w:rPr>
          <w:rFonts w:cs="Arial"/>
        </w:rPr>
        <w:t xml:space="preserve"> </w:t>
      </w:r>
      <w:r w:rsidRPr="00E9312E">
        <w:rPr>
          <w:rFonts w:cs="Arial"/>
        </w:rPr>
        <w:t>for</w:t>
      </w:r>
      <w:r w:rsidR="00C404FF" w:rsidRPr="00E9312E">
        <w:rPr>
          <w:rFonts w:cs="Arial"/>
        </w:rPr>
        <w:t xml:space="preserve"> </w:t>
      </w:r>
      <w:r w:rsidRPr="00E9312E">
        <w:rPr>
          <w:rFonts w:cs="Arial"/>
        </w:rPr>
        <w:t>guidance</w:t>
      </w:r>
      <w:r w:rsidR="00C404FF" w:rsidRPr="00E9312E">
        <w:rPr>
          <w:rFonts w:cs="Arial"/>
        </w:rPr>
        <w:t xml:space="preserve"> </w:t>
      </w:r>
      <w:r w:rsidRPr="00E9312E">
        <w:rPr>
          <w:rFonts w:cs="Arial"/>
        </w:rPr>
        <w:t>on managing biofouling.</w:t>
      </w:r>
    </w:p>
    <w:p w14:paraId="25A617FD" w14:textId="77777777" w:rsidR="005A076E" w:rsidRPr="00755FDA" w:rsidRDefault="009308E1" w:rsidP="00C7420E">
      <w:pPr>
        <w:pStyle w:val="Heading1"/>
        <w:spacing w:before="240"/>
        <w:ind w:left="431" w:hanging="431"/>
        <w:rPr>
          <w:rFonts w:ascii="Calibri" w:hAnsi="Calibri"/>
          <w:color w:val="auto"/>
        </w:rPr>
      </w:pPr>
      <w:bookmarkStart w:id="122" w:name="_Toc452637665"/>
      <w:bookmarkStart w:id="123" w:name="_Toc285720544"/>
      <w:bookmarkStart w:id="124" w:name="_Toc285720708"/>
      <w:bookmarkStart w:id="125" w:name="_Toc401224814"/>
      <w:bookmarkStart w:id="126" w:name="_Toc401224857"/>
      <w:bookmarkStart w:id="127" w:name="_Toc401224970"/>
      <w:bookmarkStart w:id="128" w:name="_Toc285661078"/>
      <w:bookmarkStart w:id="129" w:name="_Toc285661128"/>
      <w:bookmarkStart w:id="130" w:name="_Toc285707871"/>
      <w:bookmarkStart w:id="131" w:name="_Toc285720551"/>
      <w:bookmarkStart w:id="132" w:name="_Toc285720715"/>
      <w:bookmarkStart w:id="133" w:name="_Toc300584889"/>
      <w:bookmarkStart w:id="134" w:name="_Toc300584937"/>
      <w:bookmarkStart w:id="135" w:name="_Toc301169582"/>
      <w:bookmarkStart w:id="136" w:name="_Toc55472635"/>
      <w:bookmarkEnd w:id="117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755FDA">
        <w:rPr>
          <w:rFonts w:ascii="Calibri" w:hAnsi="Calibri"/>
          <w:color w:val="auto"/>
        </w:rPr>
        <w:t>C</w:t>
      </w:r>
      <w:r w:rsidR="00B748CC" w:rsidRPr="00755FDA">
        <w:rPr>
          <w:rFonts w:ascii="Calibri" w:hAnsi="Calibri"/>
          <w:color w:val="auto"/>
        </w:rPr>
        <w:t>ontact Details</w:t>
      </w:r>
      <w:bookmarkEnd w:id="133"/>
      <w:bookmarkEnd w:id="134"/>
      <w:bookmarkEnd w:id="135"/>
      <w:bookmarkEnd w:id="136"/>
    </w:p>
    <w:p w14:paraId="25A617FE" w14:textId="77777777" w:rsidR="005A076E" w:rsidRPr="00BB2B8D" w:rsidRDefault="009308E1" w:rsidP="00BB2B8D">
      <w:pPr>
        <w:spacing w:after="0" w:line="240" w:lineRule="auto"/>
        <w:rPr>
          <w:rFonts w:cs="Arial"/>
        </w:rPr>
      </w:pPr>
      <w:r w:rsidRPr="00BB2B8D">
        <w:rPr>
          <w:rFonts w:cs="Arial"/>
        </w:rPr>
        <w:t>Department of Agriculture</w:t>
      </w:r>
      <w:r w:rsidR="00BB2B8D" w:rsidRPr="00BB2B8D">
        <w:rPr>
          <w:rFonts w:cs="Arial"/>
        </w:rPr>
        <w:t xml:space="preserve">, </w:t>
      </w:r>
      <w:r w:rsidR="009679F1">
        <w:rPr>
          <w:rFonts w:cs="Arial"/>
        </w:rPr>
        <w:t>Fisheries and Forestry</w:t>
      </w:r>
    </w:p>
    <w:p w14:paraId="25A617FF" w14:textId="77777777" w:rsidR="005A076E" w:rsidRPr="00E9312E" w:rsidRDefault="009308E1" w:rsidP="00BB2B8D">
      <w:pPr>
        <w:spacing w:after="0" w:line="240" w:lineRule="auto"/>
        <w:rPr>
          <w:rFonts w:cs="Arial"/>
        </w:rPr>
      </w:pPr>
      <w:r>
        <w:rPr>
          <w:rFonts w:cs="Arial"/>
        </w:rPr>
        <w:t>70 Northbourne Avenue</w:t>
      </w:r>
      <w:r w:rsidR="00BB2B8D">
        <w:rPr>
          <w:rFonts w:cs="Arial"/>
        </w:rPr>
        <w:t>, Canberra</w:t>
      </w:r>
      <w:r w:rsidR="00A82D08">
        <w:rPr>
          <w:rFonts w:cs="Arial"/>
        </w:rPr>
        <w:t xml:space="preserve"> or </w:t>
      </w:r>
      <w:r w:rsidR="00847CE5" w:rsidRPr="00E9312E">
        <w:rPr>
          <w:rFonts w:cs="Arial"/>
        </w:rPr>
        <w:t xml:space="preserve">GPO Box 858, </w:t>
      </w:r>
      <w:proofErr w:type="gramStart"/>
      <w:r w:rsidR="00847CE5" w:rsidRPr="00E9312E">
        <w:rPr>
          <w:rFonts w:cs="Arial"/>
        </w:rPr>
        <w:t xml:space="preserve">Canberra </w:t>
      </w:r>
      <w:r w:rsidR="007367AC">
        <w:rPr>
          <w:rFonts w:cs="Arial"/>
        </w:rPr>
        <w:t xml:space="preserve"> </w:t>
      </w:r>
      <w:r w:rsidR="00847CE5" w:rsidRPr="00E9312E">
        <w:rPr>
          <w:rFonts w:cs="Arial"/>
        </w:rPr>
        <w:t>ACT</w:t>
      </w:r>
      <w:proofErr w:type="gramEnd"/>
      <w:r w:rsidR="00847CE5" w:rsidRPr="00E9312E">
        <w:rPr>
          <w:rFonts w:cs="Arial"/>
        </w:rPr>
        <w:t xml:space="preserve"> </w:t>
      </w:r>
      <w:r w:rsidR="007367AC">
        <w:rPr>
          <w:rFonts w:cs="Arial"/>
        </w:rPr>
        <w:t xml:space="preserve"> </w:t>
      </w:r>
      <w:r w:rsidR="00847CE5" w:rsidRPr="00E9312E">
        <w:rPr>
          <w:rFonts w:cs="Arial"/>
        </w:rPr>
        <w:t>260</w:t>
      </w:r>
      <w:r w:rsidR="00BB2B8D">
        <w:rPr>
          <w:rFonts w:cs="Arial"/>
        </w:rPr>
        <w:t>1</w:t>
      </w:r>
      <w:r w:rsidR="00847CE5" w:rsidRPr="00E9312E">
        <w:rPr>
          <w:rFonts w:cs="Arial"/>
        </w:rPr>
        <w:br/>
      </w:r>
      <w:r w:rsidR="00A82D08">
        <w:rPr>
          <w:rFonts w:cs="Arial"/>
        </w:rPr>
        <w:t xml:space="preserve">Phone: </w:t>
      </w:r>
      <w:r w:rsidR="004029C2" w:rsidRPr="00E9312E">
        <w:rPr>
          <w:rFonts w:cs="Arial"/>
        </w:rPr>
        <w:t>1800 900 090 (from within Australia</w:t>
      </w:r>
      <w:r w:rsidR="004029C2">
        <w:rPr>
          <w:rFonts w:cs="Arial"/>
        </w:rPr>
        <w:t>)</w:t>
      </w:r>
      <w:r w:rsidR="00847CE5" w:rsidRPr="00E9312E">
        <w:rPr>
          <w:rFonts w:cs="Arial"/>
        </w:rPr>
        <w:br/>
      </w:r>
      <w:r w:rsidR="00A82D08">
        <w:t>Web address: agriculture.gov.au/biosecurity/</w:t>
      </w:r>
      <w:proofErr w:type="spellStart"/>
      <w:r w:rsidR="00A82D08">
        <w:t>avm</w:t>
      </w:r>
      <w:proofErr w:type="spellEnd"/>
      <w:r w:rsidR="00A82D08">
        <w:t>/vessels</w:t>
      </w:r>
    </w:p>
    <w:p w14:paraId="25A61800" w14:textId="77777777" w:rsidR="007C36D3" w:rsidRDefault="009308E1" w:rsidP="007C36D3">
      <w:pPr>
        <w:rPr>
          <w:rFonts w:cs="Arial"/>
          <w:b/>
          <w:bCs/>
          <w:iCs/>
        </w:rPr>
      </w:pPr>
      <w:r w:rsidRPr="00A82D08">
        <w:rPr>
          <w:rFonts w:cs="Arial"/>
          <w:iCs/>
        </w:rPr>
        <w:t xml:space="preserve">Email: </w:t>
      </w:r>
      <w:r w:rsidR="009679F1" w:rsidRPr="007D6490">
        <w:rPr>
          <w:rFonts w:cs="Arial"/>
          <w:iCs/>
        </w:rPr>
        <w:t>conveyance.maritime@aff.gov.au</w:t>
      </w:r>
      <w:r w:rsidR="009679F1">
        <w:rPr>
          <w:rFonts w:cs="Arial"/>
          <w:iCs/>
        </w:rPr>
        <w:t xml:space="preserve"> </w:t>
      </w:r>
    </w:p>
    <w:p w14:paraId="25A61801" w14:textId="77777777" w:rsidR="0018616F" w:rsidRPr="00A82D08" w:rsidRDefault="009308E1" w:rsidP="00170ED5">
      <w:pPr>
        <w:pStyle w:val="Heading1"/>
        <w:spacing w:before="240"/>
        <w:ind w:left="431" w:hanging="431"/>
        <w:rPr>
          <w:rFonts w:ascii="Calibri" w:hAnsi="Calibri"/>
          <w:color w:val="auto"/>
        </w:rPr>
      </w:pPr>
      <w:bookmarkStart w:id="137" w:name="_Toc55472636"/>
      <w:r w:rsidRPr="00A82D08">
        <w:rPr>
          <w:rFonts w:ascii="Calibri" w:hAnsi="Calibri"/>
          <w:color w:val="auto"/>
        </w:rPr>
        <w:t>Version Control</w:t>
      </w:r>
      <w:bookmarkEnd w:id="137"/>
    </w:p>
    <w:tbl>
      <w:tblPr>
        <w:tblpPr w:leftFromText="180" w:rightFromText="180" w:vertAnchor="text" w:horzAnchor="margin" w:tblpY="244"/>
        <w:tblW w:w="9747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914"/>
        <w:gridCol w:w="3163"/>
        <w:gridCol w:w="1701"/>
        <w:gridCol w:w="3969"/>
      </w:tblGrid>
      <w:tr w:rsidR="003C736D" w14:paraId="25A61806" w14:textId="77777777" w:rsidTr="00A82D08">
        <w:trPr>
          <w:trHeight w:val="151"/>
        </w:trPr>
        <w:tc>
          <w:tcPr>
            <w:tcW w:w="914" w:type="dxa"/>
          </w:tcPr>
          <w:p w14:paraId="25A61802" w14:textId="77777777" w:rsidR="0018616F" w:rsidRPr="00755FDA" w:rsidRDefault="009308E1" w:rsidP="009043FE">
            <w:r w:rsidRPr="00755FDA">
              <w:rPr>
                <w:rStyle w:val="IntenseEmphasis"/>
                <w:i w:val="0"/>
                <w:color w:val="auto"/>
              </w:rPr>
              <w:t>Version</w:t>
            </w:r>
          </w:p>
        </w:tc>
        <w:tc>
          <w:tcPr>
            <w:tcW w:w="3163" w:type="dxa"/>
          </w:tcPr>
          <w:p w14:paraId="25A61803" w14:textId="77777777" w:rsidR="0018616F" w:rsidRPr="00C62592" w:rsidRDefault="009308E1" w:rsidP="009043FE">
            <w:pPr>
              <w:rPr>
                <w:rStyle w:val="IntenseEmphasis"/>
                <w:i w:val="0"/>
                <w:color w:val="auto"/>
              </w:rPr>
            </w:pPr>
            <w:r w:rsidRPr="00C62592">
              <w:rPr>
                <w:rStyle w:val="IntenseEmphasis"/>
                <w:i w:val="0"/>
                <w:color w:val="auto"/>
              </w:rPr>
              <w:t>Author</w:t>
            </w:r>
          </w:p>
        </w:tc>
        <w:tc>
          <w:tcPr>
            <w:tcW w:w="1701" w:type="dxa"/>
          </w:tcPr>
          <w:p w14:paraId="25A61804" w14:textId="77777777" w:rsidR="0018616F" w:rsidRPr="00C62592" w:rsidRDefault="009308E1" w:rsidP="009043FE">
            <w:pPr>
              <w:rPr>
                <w:rStyle w:val="IntenseEmphasis"/>
                <w:i w:val="0"/>
                <w:color w:val="auto"/>
              </w:rPr>
            </w:pPr>
            <w:r w:rsidRPr="00C62592">
              <w:rPr>
                <w:rStyle w:val="IntenseEmphasis"/>
                <w:i w:val="0"/>
                <w:color w:val="auto"/>
              </w:rPr>
              <w:t>Date</w:t>
            </w:r>
          </w:p>
        </w:tc>
        <w:tc>
          <w:tcPr>
            <w:tcW w:w="3969" w:type="dxa"/>
          </w:tcPr>
          <w:p w14:paraId="25A61805" w14:textId="77777777" w:rsidR="0018616F" w:rsidRPr="00C62592" w:rsidRDefault="0018616F" w:rsidP="009043FE">
            <w:pPr>
              <w:rPr>
                <w:rStyle w:val="IntenseEmphasis"/>
                <w:i w:val="0"/>
                <w:color w:val="auto"/>
              </w:rPr>
            </w:pPr>
          </w:p>
        </w:tc>
      </w:tr>
      <w:tr w:rsidR="003C736D" w14:paraId="25A6180B" w14:textId="77777777" w:rsidTr="00A82D08">
        <w:trPr>
          <w:trHeight w:val="386"/>
        </w:trPr>
        <w:tc>
          <w:tcPr>
            <w:tcW w:w="914" w:type="dxa"/>
          </w:tcPr>
          <w:p w14:paraId="25A61807" w14:textId="77777777" w:rsidR="0018616F" w:rsidRPr="00755FDA" w:rsidRDefault="009308E1" w:rsidP="009043FE">
            <w:r>
              <w:t>1.2</w:t>
            </w:r>
          </w:p>
        </w:tc>
        <w:tc>
          <w:tcPr>
            <w:tcW w:w="3163" w:type="dxa"/>
          </w:tcPr>
          <w:p w14:paraId="25A61808" w14:textId="77777777" w:rsidR="0018616F" w:rsidRPr="00755FDA" w:rsidRDefault="009308E1" w:rsidP="009043FE">
            <w:r>
              <w:t>Conveyances and Ports Section</w:t>
            </w:r>
          </w:p>
        </w:tc>
        <w:tc>
          <w:tcPr>
            <w:tcW w:w="1701" w:type="dxa"/>
          </w:tcPr>
          <w:p w14:paraId="25A61809" w14:textId="77777777" w:rsidR="0018616F" w:rsidRPr="00755FDA" w:rsidRDefault="009308E1" w:rsidP="009043FE">
            <w:r>
              <w:t>October 2018</w:t>
            </w:r>
          </w:p>
        </w:tc>
        <w:tc>
          <w:tcPr>
            <w:tcW w:w="3969" w:type="dxa"/>
          </w:tcPr>
          <w:p w14:paraId="25A6180A" w14:textId="77777777" w:rsidR="0018616F" w:rsidRDefault="0018616F" w:rsidP="009043FE"/>
        </w:tc>
      </w:tr>
      <w:tr w:rsidR="003C736D" w14:paraId="25A61810" w14:textId="77777777" w:rsidTr="00A82D08">
        <w:trPr>
          <w:trHeight w:val="386"/>
        </w:trPr>
        <w:tc>
          <w:tcPr>
            <w:tcW w:w="914" w:type="dxa"/>
          </w:tcPr>
          <w:p w14:paraId="25A6180C" w14:textId="77777777" w:rsidR="006A3595" w:rsidRDefault="009308E1" w:rsidP="006A3595">
            <w:r>
              <w:t>1.3</w:t>
            </w:r>
          </w:p>
        </w:tc>
        <w:tc>
          <w:tcPr>
            <w:tcW w:w="3163" w:type="dxa"/>
          </w:tcPr>
          <w:p w14:paraId="25A6180D" w14:textId="77777777" w:rsidR="006A3595" w:rsidRDefault="009308E1" w:rsidP="006A3595">
            <w:r>
              <w:t>Conveyances and Ports Section</w:t>
            </w:r>
          </w:p>
        </w:tc>
        <w:tc>
          <w:tcPr>
            <w:tcW w:w="1701" w:type="dxa"/>
          </w:tcPr>
          <w:p w14:paraId="25A6180E" w14:textId="77777777" w:rsidR="006A3595" w:rsidRDefault="009308E1" w:rsidP="006A3595">
            <w:r>
              <w:t>February 2019</w:t>
            </w:r>
          </w:p>
        </w:tc>
        <w:tc>
          <w:tcPr>
            <w:tcW w:w="3969" w:type="dxa"/>
          </w:tcPr>
          <w:p w14:paraId="25A6180F" w14:textId="77777777" w:rsidR="006A3595" w:rsidRDefault="009308E1" w:rsidP="006A3595">
            <w:r>
              <w:t>Web links on pages 9, 10 updated</w:t>
            </w:r>
          </w:p>
        </w:tc>
      </w:tr>
      <w:tr w:rsidR="003C736D" w14:paraId="25A61815" w14:textId="77777777" w:rsidTr="00A82D08">
        <w:trPr>
          <w:trHeight w:val="386"/>
        </w:trPr>
        <w:tc>
          <w:tcPr>
            <w:tcW w:w="914" w:type="dxa"/>
          </w:tcPr>
          <w:p w14:paraId="25A61811" w14:textId="77777777" w:rsidR="006A3595" w:rsidRDefault="009308E1" w:rsidP="006A3595">
            <w:r>
              <w:t>1.4</w:t>
            </w:r>
          </w:p>
        </w:tc>
        <w:tc>
          <w:tcPr>
            <w:tcW w:w="3163" w:type="dxa"/>
          </w:tcPr>
          <w:p w14:paraId="25A61812" w14:textId="77777777" w:rsidR="006A3595" w:rsidRDefault="009308E1" w:rsidP="006A3595">
            <w:r>
              <w:t>Conveyances and Ports Section</w:t>
            </w:r>
          </w:p>
        </w:tc>
        <w:tc>
          <w:tcPr>
            <w:tcW w:w="1701" w:type="dxa"/>
          </w:tcPr>
          <w:p w14:paraId="25A61813" w14:textId="77777777" w:rsidR="006A3595" w:rsidRDefault="009308E1" w:rsidP="006A3595">
            <w:r>
              <w:t>November 2020</w:t>
            </w:r>
          </w:p>
        </w:tc>
        <w:tc>
          <w:tcPr>
            <w:tcW w:w="3969" w:type="dxa"/>
          </w:tcPr>
          <w:p w14:paraId="25A61814" w14:textId="77777777" w:rsidR="006A3595" w:rsidRDefault="009308E1" w:rsidP="006A3595">
            <w:r>
              <w:t>Updat</w:t>
            </w:r>
            <w:r w:rsidR="00170ED5">
              <w:t>ed</w:t>
            </w:r>
            <w:r>
              <w:t xml:space="preserve"> department </w:t>
            </w:r>
            <w:r w:rsidR="00BB2B8D">
              <w:t>branding</w:t>
            </w:r>
            <w:r>
              <w:t xml:space="preserve"> and</w:t>
            </w:r>
            <w:r w:rsidR="00BB2B8D">
              <w:t xml:space="preserve"> </w:t>
            </w:r>
            <w:r>
              <w:t>links</w:t>
            </w:r>
          </w:p>
        </w:tc>
      </w:tr>
      <w:tr w:rsidR="003C736D" w14:paraId="25A6181A" w14:textId="77777777" w:rsidTr="00A82D08">
        <w:trPr>
          <w:trHeight w:val="386"/>
        </w:trPr>
        <w:tc>
          <w:tcPr>
            <w:tcW w:w="914" w:type="dxa"/>
          </w:tcPr>
          <w:p w14:paraId="25A61816" w14:textId="77777777" w:rsidR="009679F1" w:rsidRDefault="009308E1" w:rsidP="006A3595">
            <w:r>
              <w:t>1.5</w:t>
            </w:r>
          </w:p>
        </w:tc>
        <w:tc>
          <w:tcPr>
            <w:tcW w:w="3163" w:type="dxa"/>
          </w:tcPr>
          <w:p w14:paraId="25A61817" w14:textId="77777777" w:rsidR="009679F1" w:rsidRDefault="009308E1" w:rsidP="006A3595">
            <w:r>
              <w:t xml:space="preserve">Conveyance Policy Section </w:t>
            </w:r>
            <w:r>
              <w:t>Maritime Team</w:t>
            </w:r>
          </w:p>
        </w:tc>
        <w:tc>
          <w:tcPr>
            <w:tcW w:w="1701" w:type="dxa"/>
          </w:tcPr>
          <w:p w14:paraId="25A61818" w14:textId="77777777" w:rsidR="009679F1" w:rsidRDefault="009308E1" w:rsidP="006A3595">
            <w:r>
              <w:t>June 2023</w:t>
            </w:r>
          </w:p>
        </w:tc>
        <w:tc>
          <w:tcPr>
            <w:tcW w:w="3969" w:type="dxa"/>
          </w:tcPr>
          <w:p w14:paraId="25A61819" w14:textId="77777777" w:rsidR="009679F1" w:rsidRDefault="009308E1" w:rsidP="006A3595">
            <w:r>
              <w:t xml:space="preserve">Updated Canberra address, Department logo and links. </w:t>
            </w:r>
          </w:p>
        </w:tc>
      </w:tr>
    </w:tbl>
    <w:p w14:paraId="25A6181B" w14:textId="77777777" w:rsidR="0018616F" w:rsidRPr="007367AC" w:rsidRDefault="0018616F" w:rsidP="007367AC">
      <w:pPr>
        <w:tabs>
          <w:tab w:val="left" w:pos="500"/>
        </w:tabs>
      </w:pPr>
    </w:p>
    <w:sectPr w:rsidR="0018616F" w:rsidRPr="007367AC" w:rsidSect="00A82D08">
      <w:footerReference w:type="default" r:id="rId11"/>
      <w:headerReference w:type="first" r:id="rId12"/>
      <w:footerReference w:type="first" r:id="rId13"/>
      <w:pgSz w:w="11906" w:h="16838"/>
      <w:pgMar w:top="1134" w:right="1134" w:bottom="737" w:left="1134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1826" w14:textId="77777777" w:rsidR="00000000" w:rsidRDefault="009308E1">
      <w:pPr>
        <w:spacing w:after="0" w:line="240" w:lineRule="auto"/>
      </w:pPr>
      <w:r>
        <w:separator/>
      </w:r>
    </w:p>
  </w:endnote>
  <w:endnote w:type="continuationSeparator" w:id="0">
    <w:p w14:paraId="25A61828" w14:textId="77777777" w:rsidR="00000000" w:rsidRDefault="0093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1F" w14:textId="77777777" w:rsidR="0018616F" w:rsidRDefault="009308E1" w:rsidP="0018616F">
    <w:pPr>
      <w:pStyle w:val="Footer"/>
      <w:pBdr>
        <w:top w:val="single" w:sz="4" w:space="1" w:color="auto"/>
        <w:bottom w:val="single" w:sz="4" w:space="3" w:color="auto"/>
      </w:pBdr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 xml:space="preserve">This is a CONTROLLED document. Any documents appearing in paper form are not controlled and should be checked against the </w:t>
    </w:r>
    <w:proofErr w:type="gramStart"/>
    <w:r>
      <w:rPr>
        <w:sz w:val="15"/>
        <w:szCs w:val="15"/>
      </w:rPr>
      <w:t>departments</w:t>
    </w:r>
    <w:proofErr w:type="gramEnd"/>
    <w:r>
      <w:rPr>
        <w:sz w:val="15"/>
        <w:szCs w:val="15"/>
      </w:rPr>
      <w:t xml:space="preserve"> online version.</w:t>
    </w:r>
  </w:p>
  <w:p w14:paraId="25A61820" w14:textId="77777777" w:rsidR="0018616F" w:rsidRDefault="009308E1" w:rsidP="007367AC">
    <w:pPr>
      <w:pStyle w:val="Footer"/>
      <w:tabs>
        <w:tab w:val="right" w:pos="9356"/>
      </w:tabs>
      <w:spacing w:after="0"/>
      <w:ind w:right="-33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  <w:p w14:paraId="25A61821" w14:textId="77777777" w:rsidR="00A71A8E" w:rsidRDefault="009308E1">
    <w:pPr>
      <w:pStyle w:val="Foo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\* MERGEFORMAT </w:instrText>
    </w:r>
    <w:r>
      <w:rPr>
        <w:sz w:val="20"/>
        <w:szCs w:val="20"/>
      </w:rPr>
      <w:fldChar w:fldCharType="separate"/>
    </w:r>
    <w:r w:rsidR="0070589C">
      <w:rPr>
        <w:noProof/>
        <w:sz w:val="20"/>
        <w:szCs w:val="20"/>
      </w:rPr>
      <w:t>Offshore Installations Biosecurity Guide.docx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23" w14:textId="77777777" w:rsidR="00A71A8E" w:rsidRPr="00A82D08" w:rsidRDefault="009308E1" w:rsidP="00A82D08">
    <w:pPr>
      <w:pStyle w:val="Footer"/>
      <w:pBdr>
        <w:top w:val="single" w:sz="4" w:space="1" w:color="002060"/>
      </w:pBdr>
      <w:tabs>
        <w:tab w:val="left" w:pos="8760"/>
        <w:tab w:val="right" w:pos="10260"/>
      </w:tabs>
      <w:rPr>
        <w:bCs/>
        <w:iCs/>
        <w:noProof/>
        <w:sz w:val="18"/>
        <w:szCs w:val="18"/>
        <w:lang w:eastAsia="zh-TW"/>
      </w:rPr>
    </w:pPr>
    <w:r w:rsidRPr="00A82D08">
      <w:rPr>
        <w:sz w:val="18"/>
        <w:szCs w:val="18"/>
      </w:rPr>
      <w:t>Offshore Installations - Biosecurity Guide</w:t>
    </w:r>
    <w:r w:rsidRPr="00A82D08">
      <w:rPr>
        <w:sz w:val="18"/>
        <w:szCs w:val="18"/>
      </w:rPr>
      <w:tab/>
    </w:r>
    <w:r w:rsidRPr="00A82D08">
      <w:rPr>
        <w:sz w:val="18"/>
        <w:szCs w:val="18"/>
      </w:rPr>
      <w:tab/>
    </w:r>
    <w:r w:rsidRPr="00A82D08">
      <w:rPr>
        <w:sz w:val="18"/>
        <w:szCs w:val="18"/>
      </w:rPr>
      <w:tab/>
    </w:r>
    <w:r w:rsidRPr="00A82D08">
      <w:rPr>
        <w:bCs/>
        <w:iCs/>
        <w:noProof/>
        <w:sz w:val="18"/>
        <w:szCs w:val="18"/>
        <w:lang w:eastAsia="zh-TW"/>
      </w:rPr>
      <w:t xml:space="preserve"> </w:t>
    </w:r>
    <w:r w:rsidRPr="00A82D08">
      <w:rPr>
        <w:bCs/>
        <w:iCs/>
        <w:noProof/>
        <w:sz w:val="18"/>
        <w:szCs w:val="18"/>
        <w:lang w:eastAsia="zh-TW"/>
      </w:rPr>
      <w:fldChar w:fldCharType="begin"/>
    </w:r>
    <w:r w:rsidRPr="00A82D08">
      <w:rPr>
        <w:bCs/>
        <w:iCs/>
        <w:noProof/>
        <w:sz w:val="18"/>
        <w:szCs w:val="18"/>
        <w:lang w:eastAsia="zh-TW"/>
      </w:rPr>
      <w:instrText xml:space="preserve"> PAGE   \* MERGEFORMAT </w:instrText>
    </w:r>
    <w:r w:rsidRPr="00A82D08">
      <w:rPr>
        <w:bCs/>
        <w:iCs/>
        <w:noProof/>
        <w:sz w:val="18"/>
        <w:szCs w:val="18"/>
        <w:lang w:eastAsia="zh-TW"/>
      </w:rPr>
      <w:fldChar w:fldCharType="separate"/>
    </w:r>
    <w:r w:rsidR="00F47742" w:rsidRPr="00A82D08">
      <w:rPr>
        <w:bCs/>
        <w:iCs/>
        <w:noProof/>
        <w:sz w:val="18"/>
        <w:szCs w:val="18"/>
        <w:lang w:eastAsia="zh-TW"/>
      </w:rPr>
      <w:t>1</w:t>
    </w:r>
    <w:r w:rsidRPr="00A82D08">
      <w:rPr>
        <w:bCs/>
        <w:iCs/>
        <w:noProof/>
        <w:sz w:val="18"/>
        <w:szCs w:val="18"/>
        <w:lang w:eastAsia="zh-TW"/>
      </w:rPr>
      <w:fldChar w:fldCharType="end"/>
    </w:r>
    <w:r w:rsidRPr="00A82D08">
      <w:rPr>
        <w:bCs/>
        <w:iCs/>
        <w:noProof/>
        <w:sz w:val="18"/>
        <w:szCs w:val="18"/>
        <w:lang w:eastAsia="zh-TW"/>
      </w:rPr>
      <w:t xml:space="preserve"> 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181D" w14:textId="77777777" w:rsidR="00BE1726" w:rsidRDefault="009308E1">
      <w:r>
        <w:separator/>
      </w:r>
    </w:p>
  </w:footnote>
  <w:footnote w:type="continuationSeparator" w:id="0">
    <w:p w14:paraId="25A6181E" w14:textId="77777777" w:rsidR="00BE1726" w:rsidRDefault="009308E1">
      <w:r>
        <w:continuationSeparator/>
      </w:r>
    </w:p>
  </w:footnote>
  <w:footnote w:id="1">
    <w:p w14:paraId="25A61826" w14:textId="77777777" w:rsidR="008033A5" w:rsidRPr="00C62592" w:rsidRDefault="009308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8033A5">
        <w:t>http://www.agriculture.gov.au/biosecurity/avm/vessels/ballast/australian-ballast-water-management-requirements</w:t>
      </w:r>
    </w:p>
  </w:footnote>
  <w:footnote w:id="2">
    <w:p w14:paraId="25A61827" w14:textId="77777777" w:rsidR="009740FD" w:rsidRPr="00E155F5" w:rsidRDefault="009308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AB33D0" w:rsidRPr="00AB33D0">
        <w:t>http://www.agriculture.gov.au/biosecurity/avm/vessels/ballast/australian-ballast-water-management-requirements</w:t>
      </w:r>
    </w:p>
  </w:footnote>
  <w:footnote w:id="3">
    <w:p w14:paraId="25A61828" w14:textId="77777777" w:rsidR="006729A6" w:rsidRDefault="009308E1" w:rsidP="006729A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7A3D99">
        <w:t>http://www.agriculture.gov.au/</w:t>
      </w:r>
      <w:r w:rsidRPr="007A3D99">
        <w:t>biosecurity/avm/vessels/ballast</w:t>
      </w:r>
    </w:p>
  </w:footnote>
  <w:footnote w:id="4">
    <w:p w14:paraId="25A61829" w14:textId="77777777" w:rsidR="00A71A8E" w:rsidRDefault="009308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1A3AE5">
        <w:t>http://www.marinepests.gov.au/</w:t>
      </w:r>
    </w:p>
  </w:footnote>
  <w:footnote w:id="5">
    <w:p w14:paraId="25A6182A" w14:textId="77777777" w:rsidR="00A71A8E" w:rsidRDefault="009308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1A3AE5">
        <w:t>http://www.marinepests.gov.au/commercial/offshore-infrastructure/biofouling</w:t>
      </w:r>
    </w:p>
  </w:footnote>
  <w:footnote w:id="6">
    <w:p w14:paraId="25A6182B" w14:textId="77777777" w:rsidR="00A71A8E" w:rsidRDefault="009308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575987">
        <w:t>http://www.marinepests.gov.au/commercial/vessels/biofouling-commercial</w:t>
      </w:r>
      <w:r w:rsidR="00575987">
        <w:rPr>
          <w:color w:val="1F497D"/>
        </w:rPr>
        <w:t xml:space="preserve"> </w:t>
      </w:r>
    </w:p>
  </w:footnote>
  <w:footnote w:id="7">
    <w:p w14:paraId="25A6182C" w14:textId="77777777" w:rsidR="00A71A8E" w:rsidRDefault="009308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575987">
        <w:t>http://www.marinepests.gov.au/commercial/vessels/biofouling-non-trading</w:t>
      </w:r>
      <w:r w:rsidR="00575987">
        <w:rPr>
          <w:color w:val="1F497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22" w14:textId="77777777" w:rsidR="00A71A8E" w:rsidRPr="00E9312E" w:rsidRDefault="009308E1" w:rsidP="00A82D08">
    <w:pPr>
      <w:pStyle w:val="Header"/>
      <w:rPr>
        <w:sz w:val="20"/>
        <w:szCs w:val="20"/>
      </w:rPr>
    </w:pPr>
    <w:r w:rsidRPr="006A4C1D">
      <w:rPr>
        <w:noProof/>
        <w:lang w:eastAsia="en-AU"/>
      </w:rPr>
      <w:drawing>
        <wp:inline distT="0" distB="0" distL="0" distR="0" wp14:anchorId="25A61824" wp14:editId="25A61825">
          <wp:extent cx="2545080" cy="737870"/>
          <wp:effectExtent l="0" t="0" r="0" b="0"/>
          <wp:docPr id="6" name="Picture 3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494407" name="Picture 3" descr="Department of Agriculture, Fisheries and Forest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FE49E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6A31C6"/>
    <w:multiLevelType w:val="hybridMultilevel"/>
    <w:tmpl w:val="6B90FF92"/>
    <w:lvl w:ilvl="0" w:tplc="579C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E1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8B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AF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C6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26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8C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C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6E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2FC2AD8A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4B0FEC0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D1564DEC" w:tentative="1">
      <w:start w:val="1"/>
      <w:numFmt w:val="lowerRoman"/>
      <w:lvlText w:val="%3."/>
      <w:lvlJc w:val="right"/>
      <w:pPr>
        <w:ind w:left="2160" w:hanging="180"/>
      </w:pPr>
    </w:lvl>
    <w:lvl w:ilvl="3" w:tplc="D9682C98" w:tentative="1">
      <w:start w:val="1"/>
      <w:numFmt w:val="decimal"/>
      <w:lvlText w:val="%4."/>
      <w:lvlJc w:val="left"/>
      <w:pPr>
        <w:ind w:left="2880" w:hanging="360"/>
      </w:pPr>
    </w:lvl>
    <w:lvl w:ilvl="4" w:tplc="4ED8349A" w:tentative="1">
      <w:start w:val="1"/>
      <w:numFmt w:val="lowerLetter"/>
      <w:lvlText w:val="%5."/>
      <w:lvlJc w:val="left"/>
      <w:pPr>
        <w:ind w:left="3600" w:hanging="360"/>
      </w:pPr>
    </w:lvl>
    <w:lvl w:ilvl="5" w:tplc="3F70337E" w:tentative="1">
      <w:start w:val="1"/>
      <w:numFmt w:val="lowerRoman"/>
      <w:lvlText w:val="%6."/>
      <w:lvlJc w:val="right"/>
      <w:pPr>
        <w:ind w:left="4320" w:hanging="180"/>
      </w:pPr>
    </w:lvl>
    <w:lvl w:ilvl="6" w:tplc="AEEE5CF4" w:tentative="1">
      <w:start w:val="1"/>
      <w:numFmt w:val="decimal"/>
      <w:lvlText w:val="%7."/>
      <w:lvlJc w:val="left"/>
      <w:pPr>
        <w:ind w:left="5040" w:hanging="360"/>
      </w:pPr>
    </w:lvl>
    <w:lvl w:ilvl="7" w:tplc="9AFE7F52" w:tentative="1">
      <w:start w:val="1"/>
      <w:numFmt w:val="lowerLetter"/>
      <w:lvlText w:val="%8."/>
      <w:lvlJc w:val="left"/>
      <w:pPr>
        <w:ind w:left="5760" w:hanging="360"/>
      </w:pPr>
    </w:lvl>
    <w:lvl w:ilvl="8" w:tplc="09566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1DF0"/>
    <w:multiLevelType w:val="hybridMultilevel"/>
    <w:tmpl w:val="71566D2E"/>
    <w:lvl w:ilvl="0" w:tplc="17EC0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9C6D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0AC7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F20E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561F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7645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7A22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A83D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7AA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D43ED"/>
    <w:multiLevelType w:val="hybridMultilevel"/>
    <w:tmpl w:val="59D6F362"/>
    <w:lvl w:ilvl="0" w:tplc="1BCCC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8AB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44A8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ECB1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AD1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A467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24E9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88B3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8C0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24377"/>
    <w:multiLevelType w:val="hybridMultilevel"/>
    <w:tmpl w:val="DA00CB98"/>
    <w:lvl w:ilvl="0" w:tplc="54E44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42A3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3C1B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B467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2479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677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4222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F021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961E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A5EC6"/>
    <w:multiLevelType w:val="hybridMultilevel"/>
    <w:tmpl w:val="47BEA3BE"/>
    <w:lvl w:ilvl="0" w:tplc="E4120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760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48F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6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A0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6F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8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D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22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478"/>
    <w:multiLevelType w:val="hybridMultilevel"/>
    <w:tmpl w:val="2430BF3C"/>
    <w:lvl w:ilvl="0" w:tplc="199CE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649E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A028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725B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A430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0214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2A37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45A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AE4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B3744"/>
    <w:multiLevelType w:val="hybridMultilevel"/>
    <w:tmpl w:val="E764893A"/>
    <w:lvl w:ilvl="0" w:tplc="529CB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7A8B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649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FE83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D810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9EB0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662B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22FE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0A26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C7383"/>
    <w:multiLevelType w:val="multilevel"/>
    <w:tmpl w:val="B5D673E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212ptbefore12ptCharChar"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FF636E2"/>
    <w:multiLevelType w:val="hybridMultilevel"/>
    <w:tmpl w:val="938026A0"/>
    <w:lvl w:ilvl="0" w:tplc="B1DE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268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20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C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B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E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4A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E0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0462B"/>
    <w:multiLevelType w:val="hybridMultilevel"/>
    <w:tmpl w:val="23BE7B98"/>
    <w:lvl w:ilvl="0" w:tplc="420AFE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7242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C27A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8E5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B2ED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620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5037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222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9C1A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B4D06"/>
    <w:multiLevelType w:val="hybridMultilevel"/>
    <w:tmpl w:val="38E061FA"/>
    <w:lvl w:ilvl="0" w:tplc="80FE0C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0A69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269B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8AC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22B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749C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A221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2A25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9CA4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F079D"/>
    <w:multiLevelType w:val="hybridMultilevel"/>
    <w:tmpl w:val="9604A966"/>
    <w:lvl w:ilvl="0" w:tplc="E2022B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E090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1CD7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64C9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EA2E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09F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0E4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DA5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EE4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96C88"/>
    <w:multiLevelType w:val="multilevel"/>
    <w:tmpl w:val="C930F51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D37740D"/>
    <w:multiLevelType w:val="hybridMultilevel"/>
    <w:tmpl w:val="BC50F5E4"/>
    <w:lvl w:ilvl="0" w:tplc="E660A7FC">
      <w:start w:val="1"/>
      <w:numFmt w:val="decimal"/>
      <w:lvlText w:val="%1."/>
      <w:lvlJc w:val="left"/>
      <w:pPr>
        <w:ind w:left="720" w:hanging="360"/>
      </w:pPr>
    </w:lvl>
    <w:lvl w:ilvl="1" w:tplc="11A2C106" w:tentative="1">
      <w:start w:val="1"/>
      <w:numFmt w:val="lowerLetter"/>
      <w:lvlText w:val="%2."/>
      <w:lvlJc w:val="left"/>
      <w:pPr>
        <w:ind w:left="1440" w:hanging="360"/>
      </w:pPr>
    </w:lvl>
    <w:lvl w:ilvl="2" w:tplc="A9384114" w:tentative="1">
      <w:start w:val="1"/>
      <w:numFmt w:val="lowerRoman"/>
      <w:lvlText w:val="%3."/>
      <w:lvlJc w:val="right"/>
      <w:pPr>
        <w:ind w:left="2160" w:hanging="180"/>
      </w:pPr>
    </w:lvl>
    <w:lvl w:ilvl="3" w:tplc="11B23454" w:tentative="1">
      <w:start w:val="1"/>
      <w:numFmt w:val="decimal"/>
      <w:lvlText w:val="%4."/>
      <w:lvlJc w:val="left"/>
      <w:pPr>
        <w:ind w:left="2880" w:hanging="360"/>
      </w:pPr>
    </w:lvl>
    <w:lvl w:ilvl="4" w:tplc="CD2CB55A" w:tentative="1">
      <w:start w:val="1"/>
      <w:numFmt w:val="lowerLetter"/>
      <w:lvlText w:val="%5."/>
      <w:lvlJc w:val="left"/>
      <w:pPr>
        <w:ind w:left="3600" w:hanging="360"/>
      </w:pPr>
    </w:lvl>
    <w:lvl w:ilvl="5" w:tplc="B67E98CC" w:tentative="1">
      <w:start w:val="1"/>
      <w:numFmt w:val="lowerRoman"/>
      <w:lvlText w:val="%6."/>
      <w:lvlJc w:val="right"/>
      <w:pPr>
        <w:ind w:left="4320" w:hanging="180"/>
      </w:pPr>
    </w:lvl>
    <w:lvl w:ilvl="6" w:tplc="784EC9E2" w:tentative="1">
      <w:start w:val="1"/>
      <w:numFmt w:val="decimal"/>
      <w:lvlText w:val="%7."/>
      <w:lvlJc w:val="left"/>
      <w:pPr>
        <w:ind w:left="5040" w:hanging="360"/>
      </w:pPr>
    </w:lvl>
    <w:lvl w:ilvl="7" w:tplc="98FA3F32" w:tentative="1">
      <w:start w:val="1"/>
      <w:numFmt w:val="lowerLetter"/>
      <w:lvlText w:val="%8."/>
      <w:lvlJc w:val="left"/>
      <w:pPr>
        <w:ind w:left="5760" w:hanging="360"/>
      </w:pPr>
    </w:lvl>
    <w:lvl w:ilvl="8" w:tplc="B8261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D0BD9"/>
    <w:multiLevelType w:val="hybridMultilevel"/>
    <w:tmpl w:val="75CC7236"/>
    <w:lvl w:ilvl="0" w:tplc="A1A60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B09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04E3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028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EB8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D4A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0AD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5CD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6279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A2932"/>
    <w:multiLevelType w:val="hybridMultilevel"/>
    <w:tmpl w:val="4A28742E"/>
    <w:lvl w:ilvl="0" w:tplc="8916A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CA2D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402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903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541B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F49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DA38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90E3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DEFF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7B5A1F"/>
    <w:multiLevelType w:val="multilevel"/>
    <w:tmpl w:val="D3167DF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4205F8E"/>
    <w:multiLevelType w:val="hybridMultilevel"/>
    <w:tmpl w:val="348A14CC"/>
    <w:lvl w:ilvl="0" w:tplc="12FA5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D018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1C88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7C79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DA53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BC3B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4046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EAF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0ED1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A1964"/>
    <w:multiLevelType w:val="hybridMultilevel"/>
    <w:tmpl w:val="865CF092"/>
    <w:lvl w:ilvl="0" w:tplc="B3D2325C">
      <w:start w:val="1"/>
      <w:numFmt w:val="bullet"/>
      <w:pStyle w:val="normalbulletedindent05before3p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0EE1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4D0BB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F43C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79FC5D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85ED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C389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9E55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2B857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8B5353"/>
    <w:multiLevelType w:val="hybridMultilevel"/>
    <w:tmpl w:val="A44A51DA"/>
    <w:lvl w:ilvl="0" w:tplc="29840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B0C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8E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B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22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A6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0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80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484E"/>
    <w:multiLevelType w:val="hybridMultilevel"/>
    <w:tmpl w:val="1F6CCBFA"/>
    <w:lvl w:ilvl="0" w:tplc="B3847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DAEB8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BCEA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B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AA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CEA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AD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2D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2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02762"/>
    <w:multiLevelType w:val="hybridMultilevel"/>
    <w:tmpl w:val="0B9EF75E"/>
    <w:lvl w:ilvl="0" w:tplc="9FEA461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6301EC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E3280F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3AA8DC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E244B7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02E3BF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7BC07A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2161D3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584D17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6683260">
    <w:abstractNumId w:val="9"/>
  </w:num>
  <w:num w:numId="2" w16cid:durableId="999969402">
    <w:abstractNumId w:val="20"/>
  </w:num>
  <w:num w:numId="3" w16cid:durableId="196897216">
    <w:abstractNumId w:val="21"/>
  </w:num>
  <w:num w:numId="4" w16cid:durableId="1171332962">
    <w:abstractNumId w:val="18"/>
  </w:num>
  <w:num w:numId="5" w16cid:durableId="1968778912">
    <w:abstractNumId w:val="2"/>
  </w:num>
  <w:num w:numId="6" w16cid:durableId="614022854">
    <w:abstractNumId w:val="22"/>
  </w:num>
  <w:num w:numId="7" w16cid:durableId="1728411320">
    <w:abstractNumId w:val="0"/>
  </w:num>
  <w:num w:numId="8" w16cid:durableId="588386846">
    <w:abstractNumId w:val="23"/>
  </w:num>
  <w:num w:numId="9" w16cid:durableId="812601918">
    <w:abstractNumId w:val="10"/>
  </w:num>
  <w:num w:numId="10" w16cid:durableId="76444300">
    <w:abstractNumId w:val="10"/>
  </w:num>
  <w:num w:numId="11" w16cid:durableId="1318849814">
    <w:abstractNumId w:val="1"/>
  </w:num>
  <w:num w:numId="12" w16cid:durableId="386955461">
    <w:abstractNumId w:val="15"/>
  </w:num>
  <w:num w:numId="13" w16cid:durableId="92939081">
    <w:abstractNumId w:val="6"/>
  </w:num>
  <w:num w:numId="14" w16cid:durableId="415327994">
    <w:abstractNumId w:val="16"/>
  </w:num>
  <w:num w:numId="15" w16cid:durableId="2054886206">
    <w:abstractNumId w:val="4"/>
  </w:num>
  <w:num w:numId="16" w16cid:durableId="2144076635">
    <w:abstractNumId w:val="13"/>
  </w:num>
  <w:num w:numId="17" w16cid:durableId="247079943">
    <w:abstractNumId w:val="7"/>
  </w:num>
  <w:num w:numId="18" w16cid:durableId="1140535457">
    <w:abstractNumId w:val="12"/>
  </w:num>
  <w:num w:numId="19" w16cid:durableId="467818446">
    <w:abstractNumId w:val="11"/>
  </w:num>
  <w:num w:numId="20" w16cid:durableId="746805785">
    <w:abstractNumId w:val="17"/>
  </w:num>
  <w:num w:numId="21" w16cid:durableId="1305693676">
    <w:abstractNumId w:val="5"/>
  </w:num>
  <w:num w:numId="22" w16cid:durableId="1550261042">
    <w:abstractNumId w:val="8"/>
  </w:num>
  <w:num w:numId="23" w16cid:durableId="549458754">
    <w:abstractNumId w:val="19"/>
  </w:num>
  <w:num w:numId="24" w16cid:durableId="1698698210">
    <w:abstractNumId w:val="3"/>
  </w:num>
  <w:num w:numId="25" w16cid:durableId="1776636365">
    <w:abstractNumId w:val="18"/>
  </w:num>
  <w:num w:numId="26" w16cid:durableId="1701589728">
    <w:abstractNumId w:val="18"/>
  </w:num>
  <w:num w:numId="27" w16cid:durableId="1478911468">
    <w:abstractNumId w:val="18"/>
  </w:num>
  <w:num w:numId="28" w16cid:durableId="810099416">
    <w:abstractNumId w:val="14"/>
  </w:num>
  <w:num w:numId="29" w16cid:durableId="158710897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6E"/>
    <w:rsid w:val="00020740"/>
    <w:rsid w:val="0002441B"/>
    <w:rsid w:val="000255A1"/>
    <w:rsid w:val="000260A8"/>
    <w:rsid w:val="00031CF2"/>
    <w:rsid w:val="000353C7"/>
    <w:rsid w:val="00044E57"/>
    <w:rsid w:val="00054DF0"/>
    <w:rsid w:val="0005522F"/>
    <w:rsid w:val="000618F8"/>
    <w:rsid w:val="000622F7"/>
    <w:rsid w:val="00066A43"/>
    <w:rsid w:val="000737D4"/>
    <w:rsid w:val="00077396"/>
    <w:rsid w:val="00080BC0"/>
    <w:rsid w:val="00093D84"/>
    <w:rsid w:val="000A0C4E"/>
    <w:rsid w:val="000A1135"/>
    <w:rsid w:val="000B11A4"/>
    <w:rsid w:val="000B7CC2"/>
    <w:rsid w:val="000C1AB8"/>
    <w:rsid w:val="000D6E6E"/>
    <w:rsid w:val="000E4629"/>
    <w:rsid w:val="000E63FA"/>
    <w:rsid w:val="000E6D67"/>
    <w:rsid w:val="000F47CC"/>
    <w:rsid w:val="00100FE1"/>
    <w:rsid w:val="00103037"/>
    <w:rsid w:val="00105460"/>
    <w:rsid w:val="0010666A"/>
    <w:rsid w:val="0011190D"/>
    <w:rsid w:val="0011278D"/>
    <w:rsid w:val="00114C50"/>
    <w:rsid w:val="001348CB"/>
    <w:rsid w:val="00136FD1"/>
    <w:rsid w:val="00140945"/>
    <w:rsid w:val="001464EB"/>
    <w:rsid w:val="00147C6F"/>
    <w:rsid w:val="00150520"/>
    <w:rsid w:val="001519DC"/>
    <w:rsid w:val="001528CD"/>
    <w:rsid w:val="0015450B"/>
    <w:rsid w:val="00157F08"/>
    <w:rsid w:val="00162EB1"/>
    <w:rsid w:val="00165416"/>
    <w:rsid w:val="00166968"/>
    <w:rsid w:val="00167322"/>
    <w:rsid w:val="00170ED5"/>
    <w:rsid w:val="0017149E"/>
    <w:rsid w:val="001730FE"/>
    <w:rsid w:val="001760F8"/>
    <w:rsid w:val="00185D3E"/>
    <w:rsid w:val="0018616F"/>
    <w:rsid w:val="00194158"/>
    <w:rsid w:val="00194FF2"/>
    <w:rsid w:val="001A3AE5"/>
    <w:rsid w:val="001B052E"/>
    <w:rsid w:val="001B4749"/>
    <w:rsid w:val="001C286D"/>
    <w:rsid w:val="001C41D5"/>
    <w:rsid w:val="001C4E2B"/>
    <w:rsid w:val="001C514F"/>
    <w:rsid w:val="001C5524"/>
    <w:rsid w:val="001C669B"/>
    <w:rsid w:val="001D1C70"/>
    <w:rsid w:val="001D562D"/>
    <w:rsid w:val="001E1F23"/>
    <w:rsid w:val="001E299C"/>
    <w:rsid w:val="001E3480"/>
    <w:rsid w:val="001E41BF"/>
    <w:rsid w:val="001F6362"/>
    <w:rsid w:val="00201833"/>
    <w:rsid w:val="00205378"/>
    <w:rsid w:val="0022695A"/>
    <w:rsid w:val="00231576"/>
    <w:rsid w:val="00245227"/>
    <w:rsid w:val="002514ED"/>
    <w:rsid w:val="00255BEB"/>
    <w:rsid w:val="00262425"/>
    <w:rsid w:val="002704A4"/>
    <w:rsid w:val="00273F20"/>
    <w:rsid w:val="00284F89"/>
    <w:rsid w:val="00291950"/>
    <w:rsid w:val="002923D4"/>
    <w:rsid w:val="0029457C"/>
    <w:rsid w:val="00297046"/>
    <w:rsid w:val="002B2A56"/>
    <w:rsid w:val="002C41F4"/>
    <w:rsid w:val="002E0794"/>
    <w:rsid w:val="002E21A0"/>
    <w:rsid w:val="002E6CB6"/>
    <w:rsid w:val="00300F91"/>
    <w:rsid w:val="00307F76"/>
    <w:rsid w:val="00314053"/>
    <w:rsid w:val="00316240"/>
    <w:rsid w:val="00316D55"/>
    <w:rsid w:val="003228EF"/>
    <w:rsid w:val="00326256"/>
    <w:rsid w:val="0033207C"/>
    <w:rsid w:val="00333E9E"/>
    <w:rsid w:val="0036273C"/>
    <w:rsid w:val="00372C9A"/>
    <w:rsid w:val="00373B09"/>
    <w:rsid w:val="003939B4"/>
    <w:rsid w:val="00395B75"/>
    <w:rsid w:val="003C736D"/>
    <w:rsid w:val="003F2B05"/>
    <w:rsid w:val="004029C2"/>
    <w:rsid w:val="00404BDC"/>
    <w:rsid w:val="00405E65"/>
    <w:rsid w:val="00416708"/>
    <w:rsid w:val="0042542F"/>
    <w:rsid w:val="00425CD9"/>
    <w:rsid w:val="00430384"/>
    <w:rsid w:val="00443729"/>
    <w:rsid w:val="00446635"/>
    <w:rsid w:val="0045252D"/>
    <w:rsid w:val="0046657B"/>
    <w:rsid w:val="0047418C"/>
    <w:rsid w:val="00486DF8"/>
    <w:rsid w:val="004A2AFA"/>
    <w:rsid w:val="004A3369"/>
    <w:rsid w:val="004A68ED"/>
    <w:rsid w:val="004B5007"/>
    <w:rsid w:val="004C069A"/>
    <w:rsid w:val="004C7C7A"/>
    <w:rsid w:val="004E186C"/>
    <w:rsid w:val="004F42CF"/>
    <w:rsid w:val="00501F6A"/>
    <w:rsid w:val="00502426"/>
    <w:rsid w:val="00513F8B"/>
    <w:rsid w:val="00517F13"/>
    <w:rsid w:val="005215C2"/>
    <w:rsid w:val="00535250"/>
    <w:rsid w:val="00535686"/>
    <w:rsid w:val="00540B8A"/>
    <w:rsid w:val="00547210"/>
    <w:rsid w:val="00550504"/>
    <w:rsid w:val="005508C7"/>
    <w:rsid w:val="00564683"/>
    <w:rsid w:val="005732F9"/>
    <w:rsid w:val="00574FBE"/>
    <w:rsid w:val="00575987"/>
    <w:rsid w:val="00593D58"/>
    <w:rsid w:val="00594CBD"/>
    <w:rsid w:val="00597E0C"/>
    <w:rsid w:val="005A076E"/>
    <w:rsid w:val="005A7DBE"/>
    <w:rsid w:val="005B0212"/>
    <w:rsid w:val="005D2625"/>
    <w:rsid w:val="005E5E99"/>
    <w:rsid w:val="005F167C"/>
    <w:rsid w:val="006010A5"/>
    <w:rsid w:val="0062228F"/>
    <w:rsid w:val="00626870"/>
    <w:rsid w:val="006274A6"/>
    <w:rsid w:val="00633C25"/>
    <w:rsid w:val="00635794"/>
    <w:rsid w:val="00650764"/>
    <w:rsid w:val="006647D1"/>
    <w:rsid w:val="0067123F"/>
    <w:rsid w:val="006729A6"/>
    <w:rsid w:val="006749FD"/>
    <w:rsid w:val="00680486"/>
    <w:rsid w:val="00686552"/>
    <w:rsid w:val="00687090"/>
    <w:rsid w:val="006A141E"/>
    <w:rsid w:val="006A3595"/>
    <w:rsid w:val="006B1281"/>
    <w:rsid w:val="006B6374"/>
    <w:rsid w:val="006C2E6F"/>
    <w:rsid w:val="006D1C39"/>
    <w:rsid w:val="006D775D"/>
    <w:rsid w:val="007012DC"/>
    <w:rsid w:val="0070589C"/>
    <w:rsid w:val="007248A2"/>
    <w:rsid w:val="00736276"/>
    <w:rsid w:val="007367AC"/>
    <w:rsid w:val="007505E4"/>
    <w:rsid w:val="00755FDA"/>
    <w:rsid w:val="00756737"/>
    <w:rsid w:val="00776EF1"/>
    <w:rsid w:val="00785005"/>
    <w:rsid w:val="007A274C"/>
    <w:rsid w:val="007A3D99"/>
    <w:rsid w:val="007A62CB"/>
    <w:rsid w:val="007A6DC7"/>
    <w:rsid w:val="007C08B5"/>
    <w:rsid w:val="007C1087"/>
    <w:rsid w:val="007C36D3"/>
    <w:rsid w:val="007C3DC5"/>
    <w:rsid w:val="007C513F"/>
    <w:rsid w:val="007D6490"/>
    <w:rsid w:val="007E67BB"/>
    <w:rsid w:val="007E7FC5"/>
    <w:rsid w:val="007F18BF"/>
    <w:rsid w:val="008033A5"/>
    <w:rsid w:val="008214D8"/>
    <w:rsid w:val="00840B72"/>
    <w:rsid w:val="00843D2C"/>
    <w:rsid w:val="008444A3"/>
    <w:rsid w:val="00847CE5"/>
    <w:rsid w:val="00866B7B"/>
    <w:rsid w:val="008A5B03"/>
    <w:rsid w:val="008A62E6"/>
    <w:rsid w:val="008B259E"/>
    <w:rsid w:val="008C15F1"/>
    <w:rsid w:val="008C2521"/>
    <w:rsid w:val="008C49B2"/>
    <w:rsid w:val="008C5528"/>
    <w:rsid w:val="008D6094"/>
    <w:rsid w:val="008D6F59"/>
    <w:rsid w:val="008E5656"/>
    <w:rsid w:val="008E654A"/>
    <w:rsid w:val="00902C38"/>
    <w:rsid w:val="009043FE"/>
    <w:rsid w:val="009067D7"/>
    <w:rsid w:val="00913E4A"/>
    <w:rsid w:val="009308E1"/>
    <w:rsid w:val="00953F1B"/>
    <w:rsid w:val="00955D2E"/>
    <w:rsid w:val="00961CB7"/>
    <w:rsid w:val="009662B3"/>
    <w:rsid w:val="009679F1"/>
    <w:rsid w:val="009739B3"/>
    <w:rsid w:val="009740FD"/>
    <w:rsid w:val="00985408"/>
    <w:rsid w:val="009B5A19"/>
    <w:rsid w:val="009B7B45"/>
    <w:rsid w:val="009C76A1"/>
    <w:rsid w:val="009D2345"/>
    <w:rsid w:val="00A00CC6"/>
    <w:rsid w:val="00A010E7"/>
    <w:rsid w:val="00A12B5A"/>
    <w:rsid w:val="00A16FFE"/>
    <w:rsid w:val="00A200C4"/>
    <w:rsid w:val="00A25468"/>
    <w:rsid w:val="00A266D0"/>
    <w:rsid w:val="00A319D6"/>
    <w:rsid w:val="00A4421B"/>
    <w:rsid w:val="00A45FC2"/>
    <w:rsid w:val="00A659F3"/>
    <w:rsid w:val="00A66E5D"/>
    <w:rsid w:val="00A67F96"/>
    <w:rsid w:val="00A71A8E"/>
    <w:rsid w:val="00A73A6A"/>
    <w:rsid w:val="00A77F31"/>
    <w:rsid w:val="00A77F84"/>
    <w:rsid w:val="00A818BC"/>
    <w:rsid w:val="00A82D08"/>
    <w:rsid w:val="00A86C5F"/>
    <w:rsid w:val="00A9147F"/>
    <w:rsid w:val="00AB147A"/>
    <w:rsid w:val="00AB33D0"/>
    <w:rsid w:val="00AB50A2"/>
    <w:rsid w:val="00AB6D5C"/>
    <w:rsid w:val="00AC3459"/>
    <w:rsid w:val="00AD2828"/>
    <w:rsid w:val="00AE21EB"/>
    <w:rsid w:val="00B00275"/>
    <w:rsid w:val="00B00842"/>
    <w:rsid w:val="00B05A68"/>
    <w:rsid w:val="00B05DC1"/>
    <w:rsid w:val="00B10D3E"/>
    <w:rsid w:val="00B13BE8"/>
    <w:rsid w:val="00B55E72"/>
    <w:rsid w:val="00B63BAA"/>
    <w:rsid w:val="00B63F43"/>
    <w:rsid w:val="00B713D0"/>
    <w:rsid w:val="00B748CC"/>
    <w:rsid w:val="00B77055"/>
    <w:rsid w:val="00B8233D"/>
    <w:rsid w:val="00BA1E56"/>
    <w:rsid w:val="00BA2DA6"/>
    <w:rsid w:val="00BB2040"/>
    <w:rsid w:val="00BB2B8D"/>
    <w:rsid w:val="00BC3571"/>
    <w:rsid w:val="00BC3E0E"/>
    <w:rsid w:val="00BC5961"/>
    <w:rsid w:val="00BD1A6F"/>
    <w:rsid w:val="00BD6035"/>
    <w:rsid w:val="00BE1726"/>
    <w:rsid w:val="00BF15CF"/>
    <w:rsid w:val="00BF5132"/>
    <w:rsid w:val="00C032F8"/>
    <w:rsid w:val="00C06E77"/>
    <w:rsid w:val="00C31D65"/>
    <w:rsid w:val="00C37461"/>
    <w:rsid w:val="00C404FF"/>
    <w:rsid w:val="00C44406"/>
    <w:rsid w:val="00C46C96"/>
    <w:rsid w:val="00C50A26"/>
    <w:rsid w:val="00C566B2"/>
    <w:rsid w:val="00C62592"/>
    <w:rsid w:val="00C668C9"/>
    <w:rsid w:val="00C7420E"/>
    <w:rsid w:val="00C775DA"/>
    <w:rsid w:val="00C84895"/>
    <w:rsid w:val="00C85128"/>
    <w:rsid w:val="00C9044C"/>
    <w:rsid w:val="00C905C7"/>
    <w:rsid w:val="00CA2CD9"/>
    <w:rsid w:val="00CB0C83"/>
    <w:rsid w:val="00CB607E"/>
    <w:rsid w:val="00CC04A7"/>
    <w:rsid w:val="00CC13D7"/>
    <w:rsid w:val="00CE20B9"/>
    <w:rsid w:val="00CE41D8"/>
    <w:rsid w:val="00CE595E"/>
    <w:rsid w:val="00CE7293"/>
    <w:rsid w:val="00CF3261"/>
    <w:rsid w:val="00D03E5C"/>
    <w:rsid w:val="00D07EF9"/>
    <w:rsid w:val="00D138A9"/>
    <w:rsid w:val="00D15302"/>
    <w:rsid w:val="00D23BF4"/>
    <w:rsid w:val="00D2594C"/>
    <w:rsid w:val="00D31264"/>
    <w:rsid w:val="00D33937"/>
    <w:rsid w:val="00D349F9"/>
    <w:rsid w:val="00D427D6"/>
    <w:rsid w:val="00D471E1"/>
    <w:rsid w:val="00D5119C"/>
    <w:rsid w:val="00D70F81"/>
    <w:rsid w:val="00D82A45"/>
    <w:rsid w:val="00D82C5C"/>
    <w:rsid w:val="00D90357"/>
    <w:rsid w:val="00DA3E26"/>
    <w:rsid w:val="00DA45D6"/>
    <w:rsid w:val="00DA5170"/>
    <w:rsid w:val="00DB2644"/>
    <w:rsid w:val="00DB2852"/>
    <w:rsid w:val="00DB510A"/>
    <w:rsid w:val="00DC1D4D"/>
    <w:rsid w:val="00DC452A"/>
    <w:rsid w:val="00DE4579"/>
    <w:rsid w:val="00E05354"/>
    <w:rsid w:val="00E06CF5"/>
    <w:rsid w:val="00E10BF6"/>
    <w:rsid w:val="00E11A35"/>
    <w:rsid w:val="00E13DD3"/>
    <w:rsid w:val="00E155F5"/>
    <w:rsid w:val="00E27F9C"/>
    <w:rsid w:val="00E32CBE"/>
    <w:rsid w:val="00E378F8"/>
    <w:rsid w:val="00E41CA8"/>
    <w:rsid w:val="00E44311"/>
    <w:rsid w:val="00E50FF8"/>
    <w:rsid w:val="00E541C9"/>
    <w:rsid w:val="00E61912"/>
    <w:rsid w:val="00E664E1"/>
    <w:rsid w:val="00E718C9"/>
    <w:rsid w:val="00E75405"/>
    <w:rsid w:val="00E77B7B"/>
    <w:rsid w:val="00E81B2D"/>
    <w:rsid w:val="00E85FB7"/>
    <w:rsid w:val="00E92ED2"/>
    <w:rsid w:val="00E9312E"/>
    <w:rsid w:val="00E961B0"/>
    <w:rsid w:val="00ED17A6"/>
    <w:rsid w:val="00EE6385"/>
    <w:rsid w:val="00EF4B32"/>
    <w:rsid w:val="00EF69D3"/>
    <w:rsid w:val="00EF6B86"/>
    <w:rsid w:val="00F03EF3"/>
    <w:rsid w:val="00F04091"/>
    <w:rsid w:val="00F05147"/>
    <w:rsid w:val="00F24BCE"/>
    <w:rsid w:val="00F31394"/>
    <w:rsid w:val="00F32220"/>
    <w:rsid w:val="00F35D38"/>
    <w:rsid w:val="00F47742"/>
    <w:rsid w:val="00F5198D"/>
    <w:rsid w:val="00F54156"/>
    <w:rsid w:val="00F577A2"/>
    <w:rsid w:val="00F61611"/>
    <w:rsid w:val="00F6218B"/>
    <w:rsid w:val="00F72448"/>
    <w:rsid w:val="00F81635"/>
    <w:rsid w:val="00F81F43"/>
    <w:rsid w:val="00F8419A"/>
    <w:rsid w:val="00FA3D1D"/>
    <w:rsid w:val="00FA6E2F"/>
    <w:rsid w:val="00FB62A3"/>
    <w:rsid w:val="00FB7E57"/>
    <w:rsid w:val="00FC35C3"/>
    <w:rsid w:val="00FD527A"/>
    <w:rsid w:val="00FE22A2"/>
    <w:rsid w:val="00FF68E6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A6175C"/>
  <w15:docId w15:val="{DF90AB0E-4D40-49EC-8264-DD632B9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57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57B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6E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57B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076E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76E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76E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76E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76E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76E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657B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5A076E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46657B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5A076E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semiHidden/>
    <w:rsid w:val="005A076E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Heading6Char">
    <w:name w:val="Heading 6 Char"/>
    <w:link w:val="Heading6"/>
    <w:uiPriority w:val="9"/>
    <w:semiHidden/>
    <w:rsid w:val="005A076E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uiPriority w:val="9"/>
    <w:semiHidden/>
    <w:rsid w:val="005A076E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Heading8Char">
    <w:name w:val="Heading 8 Char"/>
    <w:link w:val="Heading8"/>
    <w:uiPriority w:val="9"/>
    <w:semiHidden/>
    <w:rsid w:val="005A076E"/>
    <w:rPr>
      <w:rFonts w:ascii="Cambria" w:hAnsi="Cambria"/>
      <w:color w:val="4F81BD"/>
      <w:lang w:val="en-US" w:eastAsia="en-US" w:bidi="en-US"/>
    </w:rPr>
  </w:style>
  <w:style w:type="character" w:customStyle="1" w:styleId="Heading9Char">
    <w:name w:val="Heading 9 Char"/>
    <w:link w:val="Heading9"/>
    <w:uiPriority w:val="9"/>
    <w:semiHidden/>
    <w:rsid w:val="005A076E"/>
    <w:rPr>
      <w:rFonts w:ascii="Cambria" w:hAnsi="Cambria"/>
      <w:i/>
      <w:iCs/>
      <w:color w:val="404040"/>
      <w:lang w:val="en-US" w:eastAsia="en-US" w:bidi="en-US"/>
    </w:rPr>
  </w:style>
  <w:style w:type="paragraph" w:customStyle="1" w:styleId="HEADING212ptbefore12ptCharChar">
    <w:name w:val="HEADING 2 + 12pt + before 12pt Char Char"/>
    <w:basedOn w:val="Heading2"/>
    <w:next w:val="Normal"/>
    <w:rsid w:val="005A076E"/>
    <w:pPr>
      <w:numPr>
        <w:ilvl w:val="2"/>
        <w:numId w:val="1"/>
      </w:numPr>
      <w:spacing w:before="120" w:after="120"/>
    </w:pPr>
    <w:rPr>
      <w:i/>
      <w:caps/>
      <w:sz w:val="24"/>
      <w:szCs w:val="24"/>
    </w:rPr>
  </w:style>
  <w:style w:type="paragraph" w:customStyle="1" w:styleId="Heading311ptChar">
    <w:name w:val="Heading 3 + 11 pt Char"/>
    <w:basedOn w:val="Normal"/>
    <w:rsid w:val="005A076E"/>
    <w:pPr>
      <w:tabs>
        <w:tab w:val="num" w:pos="1080"/>
      </w:tabs>
      <w:spacing w:after="120"/>
      <w:ind w:left="1080" w:hanging="720"/>
      <w:jc w:val="both"/>
      <w:outlineLvl w:val="2"/>
    </w:pPr>
    <w:rPr>
      <w:rFonts w:ascii="Arial" w:hAnsi="Arial" w:cs="Arial"/>
      <w:bCs/>
      <w:spacing w:val="6"/>
    </w:rPr>
  </w:style>
  <w:style w:type="character" w:styleId="Hyperlink">
    <w:name w:val="Hyperlink"/>
    <w:uiPriority w:val="99"/>
    <w:rsid w:val="005A076E"/>
    <w:rPr>
      <w:color w:val="0000FF"/>
      <w:u w:val="single"/>
    </w:rPr>
  </w:style>
  <w:style w:type="paragraph" w:customStyle="1" w:styleId="normalbulletedindent05before3pt">
    <w:name w:val="normal + bulleted + indent 0.5&quot; + before 3pt"/>
    <w:basedOn w:val="Normal"/>
    <w:link w:val="normalbulletedindent05before3ptChar"/>
    <w:rsid w:val="005A076E"/>
    <w:pPr>
      <w:numPr>
        <w:numId w:val="2"/>
      </w:numPr>
      <w:spacing w:after="120"/>
      <w:jc w:val="both"/>
    </w:pPr>
    <w:rPr>
      <w:rFonts w:ascii="Arial" w:eastAsia="SimSun" w:hAnsi="Arial"/>
    </w:rPr>
  </w:style>
  <w:style w:type="character" w:customStyle="1" w:styleId="normalbulletedindent05before3ptChar">
    <w:name w:val="normal + bulleted + indent 0.5&quot; + before 3pt Char"/>
    <w:link w:val="normalbulletedindent05before3pt"/>
    <w:rsid w:val="005A076E"/>
    <w:rPr>
      <w:rFonts w:ascii="Arial" w:eastAsia="SimSun" w:hAnsi="Arial"/>
      <w:sz w:val="22"/>
      <w:szCs w:val="22"/>
      <w:lang w:val="en-US" w:eastAsia="en-US" w:bidi="en-US"/>
    </w:rPr>
  </w:style>
  <w:style w:type="paragraph" w:styleId="Header">
    <w:name w:val="header"/>
    <w:basedOn w:val="Normal"/>
    <w:rsid w:val="005A07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A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11">
    <w:name w:val="EmailStyle311"/>
    <w:semiHidden/>
    <w:rsid w:val="005A076E"/>
    <w:rPr>
      <w:rFonts w:ascii="Arial" w:hAnsi="Arial" w:cs="Arial" w:hint="default"/>
      <w:color w:val="000080"/>
    </w:rPr>
  </w:style>
  <w:style w:type="paragraph" w:styleId="Footer">
    <w:name w:val="footer"/>
    <w:basedOn w:val="Normal"/>
    <w:link w:val="FooterChar"/>
    <w:uiPriority w:val="99"/>
    <w:rsid w:val="005A076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A076E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5A076E"/>
  </w:style>
  <w:style w:type="character" w:styleId="FollowedHyperlink">
    <w:name w:val="FollowedHyperlink"/>
    <w:rsid w:val="005A076E"/>
    <w:rPr>
      <w:color w:val="800080"/>
      <w:u w:val="single"/>
    </w:rPr>
  </w:style>
  <w:style w:type="paragraph" w:styleId="NormalWeb">
    <w:name w:val="Normal (Web)"/>
    <w:basedOn w:val="Normal"/>
    <w:uiPriority w:val="99"/>
    <w:rsid w:val="005A076E"/>
    <w:pPr>
      <w:spacing w:before="100" w:beforeAutospacing="1" w:after="100" w:afterAutospacing="1"/>
    </w:pPr>
    <w:rPr>
      <w:lang w:eastAsia="en-AU"/>
    </w:rPr>
  </w:style>
  <w:style w:type="character" w:customStyle="1" w:styleId="normalbulletedarial11ptindent075ptChar">
    <w:name w:val="normal + bulleted + arial + 11pt + indent0.75pt Char"/>
    <w:link w:val="normalbulletedarial11ptindent075pt"/>
    <w:locked/>
    <w:rsid w:val="005A076E"/>
    <w:rPr>
      <w:rFonts w:ascii="Arial" w:hAnsi="Arial"/>
      <w:sz w:val="22"/>
      <w:szCs w:val="22"/>
      <w:lang w:val="en-US" w:eastAsia="en-US" w:bidi="en-US"/>
    </w:rPr>
  </w:style>
  <w:style w:type="paragraph" w:customStyle="1" w:styleId="normalbulletedarial11ptindent075pt">
    <w:name w:val="normal + bulleted + arial + 11pt + indent0.75pt"/>
    <w:basedOn w:val="Normal"/>
    <w:link w:val="normalbulletedarial11ptindent075ptChar"/>
    <w:rsid w:val="005A076E"/>
    <w:pPr>
      <w:tabs>
        <w:tab w:val="num" w:pos="360"/>
        <w:tab w:val="left" w:pos="1440"/>
      </w:tabs>
      <w:spacing w:after="120"/>
      <w:ind w:left="1440" w:hanging="360"/>
      <w:jc w:val="both"/>
    </w:pPr>
    <w:rPr>
      <w:rFonts w:ascii="Arial" w:hAnsi="Arial"/>
    </w:rPr>
  </w:style>
  <w:style w:type="character" w:customStyle="1" w:styleId="normalboldCharChar">
    <w:name w:val="normal + bold Char Char"/>
    <w:rsid w:val="005A076E"/>
    <w:rPr>
      <w:rFonts w:ascii="Arial" w:hAnsi="Arial" w:cs="Arial" w:hint="default"/>
      <w:b/>
      <w:bCs w:val="0"/>
      <w:sz w:val="22"/>
      <w:szCs w:val="24"/>
      <w:lang w:val="en-US" w:eastAsia="en-US" w:bidi="ar-SA"/>
    </w:rPr>
  </w:style>
  <w:style w:type="paragraph" w:styleId="BlockText">
    <w:name w:val="Block Text"/>
    <w:basedOn w:val="Normal"/>
    <w:rsid w:val="005A076E"/>
    <w:pPr>
      <w:spacing w:before="240"/>
      <w:ind w:left="1276" w:right="589" w:hanging="556"/>
      <w:jc w:val="center"/>
    </w:pPr>
    <w:rPr>
      <w:rFonts w:ascii="Arial" w:hAnsi="Arial"/>
      <w:i/>
      <w:iCs/>
      <w:color w:val="993300"/>
      <w:sz w:val="52"/>
      <w:szCs w:val="20"/>
    </w:rPr>
  </w:style>
  <w:style w:type="character" w:styleId="CommentReference">
    <w:name w:val="annotation reference"/>
    <w:rsid w:val="005A0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76E"/>
    <w:rPr>
      <w:sz w:val="20"/>
      <w:szCs w:val="20"/>
    </w:rPr>
  </w:style>
  <w:style w:type="character" w:customStyle="1" w:styleId="CommentTextChar">
    <w:name w:val="Comment Text Char"/>
    <w:link w:val="CommentText"/>
    <w:rsid w:val="005A07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076E"/>
    <w:rPr>
      <w:b/>
      <w:bCs/>
    </w:rPr>
  </w:style>
  <w:style w:type="character" w:customStyle="1" w:styleId="CommentSubjectChar">
    <w:name w:val="Comment Subject Char"/>
    <w:link w:val="CommentSubject"/>
    <w:rsid w:val="005A076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A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76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076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76E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5A076E"/>
    <w:pPr>
      <w:tabs>
        <w:tab w:val="left" w:pos="880"/>
        <w:tab w:val="right" w:leader="dot" w:pos="9356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5A076E"/>
    <w:pPr>
      <w:tabs>
        <w:tab w:val="left" w:pos="1320"/>
        <w:tab w:val="right" w:leader="dot" w:pos="9356"/>
      </w:tabs>
      <w:spacing w:before="120" w:after="120" w:line="240" w:lineRule="auto"/>
      <w:ind w:left="482"/>
    </w:pPr>
  </w:style>
  <w:style w:type="paragraph" w:styleId="Caption">
    <w:name w:val="caption"/>
    <w:basedOn w:val="Normal"/>
    <w:next w:val="Normal"/>
    <w:uiPriority w:val="35"/>
    <w:unhideWhenUsed/>
    <w:qFormat/>
    <w:rsid w:val="005A076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076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A07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76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A07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5A076E"/>
    <w:rPr>
      <w:b/>
      <w:bCs/>
    </w:rPr>
  </w:style>
  <w:style w:type="character" w:styleId="Emphasis">
    <w:name w:val="Emphasis"/>
    <w:uiPriority w:val="20"/>
    <w:qFormat/>
    <w:rsid w:val="005A076E"/>
    <w:rPr>
      <w:i/>
      <w:iCs/>
    </w:rPr>
  </w:style>
  <w:style w:type="paragraph" w:styleId="NoSpacing">
    <w:name w:val="No Spacing"/>
    <w:uiPriority w:val="1"/>
    <w:qFormat/>
    <w:rsid w:val="005A076E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A07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07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A07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7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A076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5A076E"/>
    <w:rPr>
      <w:i/>
      <w:iCs/>
      <w:color w:val="808080"/>
    </w:rPr>
  </w:style>
  <w:style w:type="character" w:styleId="IntenseEmphasis">
    <w:name w:val="Intense Emphasis"/>
    <w:uiPriority w:val="21"/>
    <w:qFormat/>
    <w:rsid w:val="005A076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A076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A076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A076E"/>
    <w:rPr>
      <w:b/>
      <w:bCs/>
      <w:smallCaps/>
      <w:spacing w:val="5"/>
    </w:rPr>
  </w:style>
  <w:style w:type="paragraph" w:customStyle="1" w:styleId="CharChar1Char">
    <w:name w:val="Char Char1 Char"/>
    <w:basedOn w:val="Normal"/>
    <w:rsid w:val="005A07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val="en-AU" w:bidi="ar-SA"/>
    </w:rPr>
  </w:style>
  <w:style w:type="paragraph" w:styleId="TOC1">
    <w:name w:val="toc 1"/>
    <w:basedOn w:val="Normal"/>
    <w:next w:val="Normal"/>
    <w:autoRedefine/>
    <w:uiPriority w:val="39"/>
    <w:rsid w:val="005A076E"/>
    <w:pPr>
      <w:tabs>
        <w:tab w:val="right" w:leader="dot" w:pos="9356"/>
      </w:tabs>
      <w:ind w:right="56"/>
    </w:pPr>
  </w:style>
  <w:style w:type="character" w:customStyle="1" w:styleId="apple-style-span">
    <w:name w:val="apple-style-span"/>
    <w:basedOn w:val="DefaultParagraphFont"/>
    <w:rsid w:val="005A076E"/>
  </w:style>
  <w:style w:type="paragraph" w:styleId="FootnoteText">
    <w:name w:val="footnote text"/>
    <w:basedOn w:val="Normal"/>
    <w:link w:val="FootnoteTextChar"/>
    <w:rsid w:val="005A076E"/>
    <w:rPr>
      <w:sz w:val="20"/>
      <w:szCs w:val="20"/>
    </w:rPr>
  </w:style>
  <w:style w:type="character" w:customStyle="1" w:styleId="FootnoteTextChar">
    <w:name w:val="Footnote Text Char"/>
    <w:link w:val="FootnoteText"/>
    <w:rsid w:val="005A076E"/>
    <w:rPr>
      <w:lang w:val="en-US" w:eastAsia="en-US" w:bidi="en-US"/>
    </w:rPr>
  </w:style>
  <w:style w:type="character" w:styleId="FootnoteReference">
    <w:name w:val="footnote reference"/>
    <w:rsid w:val="005A076E"/>
    <w:rPr>
      <w:vertAlign w:val="superscript"/>
    </w:rPr>
  </w:style>
  <w:style w:type="paragraph" w:styleId="Revision">
    <w:name w:val="Revision"/>
    <w:hidden/>
    <w:uiPriority w:val="99"/>
    <w:semiHidden/>
    <w:rsid w:val="005A076E"/>
    <w:rPr>
      <w:sz w:val="22"/>
      <w:szCs w:val="22"/>
      <w:lang w:val="en-US" w:eastAsia="en-US" w:bidi="en-US"/>
    </w:rPr>
  </w:style>
  <w:style w:type="paragraph" w:styleId="EndnoteText">
    <w:name w:val="endnote text"/>
    <w:basedOn w:val="Normal"/>
    <w:link w:val="EndnoteTextChar"/>
    <w:rsid w:val="005A07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5A076E"/>
    <w:rPr>
      <w:lang w:val="en-US" w:eastAsia="en-US" w:bidi="en-US"/>
    </w:rPr>
  </w:style>
  <w:style w:type="character" w:styleId="EndnoteReference">
    <w:name w:val="endnote reference"/>
    <w:rsid w:val="005A076E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5A076E"/>
    <w:pPr>
      <w:spacing w:after="0" w:line="240" w:lineRule="auto"/>
    </w:pPr>
    <w:rPr>
      <w:rFonts w:ascii="Consolas" w:eastAsia="Calibri" w:hAnsi="Consolas"/>
      <w:sz w:val="21"/>
      <w:szCs w:val="21"/>
      <w:lang w:val="en-AU" w:eastAsia="en-AU" w:bidi="ar-SA"/>
    </w:rPr>
  </w:style>
  <w:style w:type="character" w:customStyle="1" w:styleId="PlainTextChar">
    <w:name w:val="Plain Text Char"/>
    <w:link w:val="PlainText"/>
    <w:uiPriority w:val="99"/>
    <w:rsid w:val="005A076E"/>
    <w:rPr>
      <w:rFonts w:ascii="Consolas" w:eastAsia="Calibri" w:hAnsi="Consolas"/>
      <w:sz w:val="21"/>
      <w:szCs w:val="21"/>
    </w:rPr>
  </w:style>
  <w:style w:type="paragraph" w:customStyle="1" w:styleId="Tabletext">
    <w:name w:val="Tabletext"/>
    <w:aliases w:val="tt"/>
    <w:basedOn w:val="Normal"/>
    <w:rsid w:val="00E92ED2"/>
    <w:pPr>
      <w:spacing w:before="60" w:after="0" w:line="240" w:lineRule="atLeast"/>
    </w:pPr>
    <w:rPr>
      <w:rFonts w:ascii="Times New Roman" w:eastAsia="Calibri" w:hAnsi="Times New Roman"/>
      <w:sz w:val="20"/>
      <w:szCs w:val="20"/>
      <w:lang w:val="en-AU" w:eastAsia="en-AU" w:bidi="ar-SA"/>
    </w:rPr>
  </w:style>
  <w:style w:type="paragraph" w:customStyle="1" w:styleId="Sectionheading1">
    <w:name w:val="Section heading 1"/>
    <w:basedOn w:val="ListParagraph"/>
    <w:link w:val="Sectionheading1Char"/>
    <w:rsid w:val="00395B75"/>
    <w:pPr>
      <w:numPr>
        <w:numId w:val="5"/>
      </w:numPr>
      <w:spacing w:before="60" w:after="120" w:line="240" w:lineRule="auto"/>
      <w:ind w:left="426" w:hanging="426"/>
    </w:pPr>
    <w:rPr>
      <w:rFonts w:ascii="Cambria" w:eastAsia="Calibri" w:hAnsi="Cambria"/>
      <w:color w:val="404A29"/>
      <w:sz w:val="28"/>
      <w:lang w:val="en-AU" w:bidi="ar-SA"/>
    </w:rPr>
  </w:style>
  <w:style w:type="character" w:customStyle="1" w:styleId="Sectionheading1Char">
    <w:name w:val="Section heading 1 Char"/>
    <w:link w:val="Sectionheading1"/>
    <w:rsid w:val="00395B75"/>
    <w:rPr>
      <w:rFonts w:ascii="Cambria" w:eastAsia="Calibri" w:hAnsi="Cambria"/>
      <w:color w:val="404A29"/>
      <w:sz w:val="28"/>
      <w:szCs w:val="22"/>
      <w:lang w:eastAsia="en-US"/>
    </w:rPr>
  </w:style>
  <w:style w:type="paragraph" w:customStyle="1" w:styleId="Definition">
    <w:name w:val="Definition"/>
    <w:aliases w:val="dd"/>
    <w:basedOn w:val="Normal"/>
    <w:rsid w:val="001C514F"/>
    <w:pPr>
      <w:spacing w:before="180" w:after="0" w:line="240" w:lineRule="auto"/>
      <w:ind w:left="1134"/>
    </w:pPr>
    <w:rPr>
      <w:rFonts w:ascii="Times New Roman" w:hAnsi="Times New Roman"/>
      <w:szCs w:val="20"/>
      <w:lang w:val="en-AU" w:eastAsia="en-AU" w:bidi="ar-SA"/>
    </w:rPr>
  </w:style>
  <w:style w:type="paragraph" w:customStyle="1" w:styleId="paragraph">
    <w:name w:val="paragraph"/>
    <w:aliases w:val="a"/>
    <w:basedOn w:val="Normal"/>
    <w:rsid w:val="001C514F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hAnsi="Times New Roman"/>
      <w:szCs w:val="20"/>
      <w:lang w:val="en-AU" w:eastAsia="en-AU" w:bidi="ar-SA"/>
    </w:rPr>
  </w:style>
  <w:style w:type="paragraph" w:styleId="ListBullet2">
    <w:name w:val="List Bullet 2"/>
    <w:basedOn w:val="Normal"/>
    <w:uiPriority w:val="99"/>
    <w:qFormat/>
    <w:rsid w:val="00FE22A2"/>
    <w:pPr>
      <w:numPr>
        <w:numId w:val="7"/>
      </w:numPr>
      <w:tabs>
        <w:tab w:val="clear" w:pos="643"/>
        <w:tab w:val="num" w:pos="567"/>
      </w:tabs>
      <w:spacing w:before="120" w:after="120" w:line="259" w:lineRule="auto"/>
      <w:ind w:left="568" w:hanging="284"/>
      <w:contextualSpacing/>
    </w:pPr>
    <w:rPr>
      <w:rFonts w:eastAsia="Calibri"/>
      <w:lang w:val="en-AU" w:bidi="ar-SA"/>
    </w:rPr>
  </w:style>
  <w:style w:type="paragraph" w:styleId="BodyText">
    <w:name w:val="Body Text"/>
    <w:link w:val="BodyTextChar"/>
    <w:qFormat/>
    <w:rsid w:val="0018616F"/>
    <w:pPr>
      <w:spacing w:before="120" w:after="120"/>
    </w:pPr>
    <w:rPr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8616F"/>
    <w:rPr>
      <w:sz w:val="22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92C2-92AB-4AC5-88AD-967EE4BB5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CA3F1-0445-478F-BD61-8A2620C1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78C9-81D6-40CA-BE5B-5514898EAD40}">
  <ds:schemaRefs>
    <ds:schemaRef ds:uri="http://purl.org/dc/dcmitype/"/>
    <ds:schemaRef ds:uri="http://schemas.microsoft.com/office/2006/documentManagement/types"/>
    <ds:schemaRef ds:uri="http://purl.org/dc/terms/"/>
    <ds:schemaRef ds:uri="2b53c995-2120-4bc0-8922-c25044d37f65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c95b51c2-b2ac-4224-a5b5-0699090578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CBB9F9-D109-4B46-B35E-ED6C243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3223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Installations - Biosecurity Guide</vt:lpstr>
    </vt:vector>
  </TitlesOfParts>
  <Company/>
  <LinksUpToDate>false</LinksUpToDate>
  <CharactersWithSpaces>22678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Installations - Biosecurity Guide</dc:title>
  <dc:creator>Department of Agriculture, Fisheries and Forestry</dc:creator>
  <cp:revision>2</cp:revision>
  <cp:lastPrinted>1899-12-31T13:00:00Z</cp:lastPrinted>
  <dcterms:created xsi:type="dcterms:W3CDTF">2023-06-26T04:00:00Z</dcterms:created>
  <dcterms:modified xsi:type="dcterms:W3CDTF">2023-06-26T04:07:00Z</dcterms:modified>
</cp:coreProperties>
</file>