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docProps/custom.xml" ContentType="application/vnd.openxmlformats-officedocument.custom-properties+xml"/>
  <Override PartName="/word/footer1.xml" ContentType="application/vnd.openxmlformats-officedocument.wordprocessingml.footer+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header2.xml" ContentType="application/vnd.openxmlformats-officedocument.wordprocessingml.header+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png" ContentType="image/png"/>
  <Override PartName="/word/charts/chart49.xml" ContentType="application/vnd.openxmlformats-officedocument.drawingml.chart+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F81" w:rsidRDefault="007D5B56" w:rsidP="00A46A83">
      <w:pPr>
        <w:jc w:val="right"/>
      </w:pPr>
      <w:r>
        <w:rPr>
          <w:noProof/>
          <w:lang w:eastAsia="en-AU"/>
        </w:rPr>
        <w:drawing>
          <wp:inline distT="0" distB="0" distL="0" distR="0">
            <wp:extent cx="1828800" cy="276225"/>
            <wp:effectExtent l="19050" t="0" r="0" b="0"/>
            <wp:docPr id="3" name="Picture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8" cstate="print"/>
                    <a:srcRect/>
                    <a:stretch>
                      <a:fillRect/>
                    </a:stretch>
                  </pic:blipFill>
                  <pic:spPr bwMode="auto">
                    <a:xfrm>
                      <a:off x="0" y="0"/>
                      <a:ext cx="1828800" cy="276225"/>
                    </a:xfrm>
                    <a:prstGeom prst="rect">
                      <a:avLst/>
                    </a:prstGeom>
                    <a:noFill/>
                    <a:ln w="9525">
                      <a:noFill/>
                      <a:miter lim="800000"/>
                      <a:headEnd/>
                      <a:tailEnd/>
                    </a:ln>
                  </pic:spPr>
                </pic:pic>
              </a:graphicData>
            </a:graphic>
          </wp:inline>
        </w:drawing>
      </w:r>
    </w:p>
    <w:p w:rsidR="00974F2A" w:rsidRDefault="00974F2A" w:rsidP="00A46A83">
      <w:pPr>
        <w:jc w:val="right"/>
      </w:pPr>
    </w:p>
    <w:p w:rsidR="00974F2A" w:rsidRPr="00F57149" w:rsidRDefault="00974F2A" w:rsidP="00A46A83">
      <w:pPr>
        <w:jc w:val="right"/>
        <w:rPr>
          <w:szCs w:val="22"/>
        </w:rPr>
      </w:pPr>
    </w:p>
    <w:p w:rsidR="00184F32" w:rsidRDefault="00184F32" w:rsidP="007E69B4">
      <w:pPr>
        <w:autoSpaceDE w:val="0"/>
        <w:autoSpaceDN w:val="0"/>
        <w:adjustRightInd w:val="0"/>
        <w:jc w:val="both"/>
        <w:rPr>
          <w:rFonts w:ascii="Arial" w:hAnsi="Arial" w:cs="Arial"/>
          <w:b/>
        </w:rPr>
      </w:pPr>
    </w:p>
    <w:p w:rsidR="00184F32" w:rsidRDefault="00184F32" w:rsidP="007E69B4">
      <w:pPr>
        <w:autoSpaceDE w:val="0"/>
        <w:autoSpaceDN w:val="0"/>
        <w:adjustRightInd w:val="0"/>
        <w:jc w:val="both"/>
        <w:rPr>
          <w:rFonts w:ascii="Arial" w:hAnsi="Arial" w:cs="Arial"/>
          <w:b/>
        </w:rPr>
      </w:pPr>
    </w:p>
    <w:p w:rsidR="00184F32" w:rsidRDefault="00184F32" w:rsidP="007E69B4">
      <w:pPr>
        <w:autoSpaceDE w:val="0"/>
        <w:autoSpaceDN w:val="0"/>
        <w:adjustRightInd w:val="0"/>
        <w:jc w:val="both"/>
        <w:rPr>
          <w:rFonts w:ascii="Arial" w:hAnsi="Arial" w:cs="Arial"/>
          <w:b/>
        </w:rPr>
      </w:pPr>
    </w:p>
    <w:p w:rsidR="00184F32" w:rsidRDefault="00184F32" w:rsidP="007E69B4">
      <w:pPr>
        <w:autoSpaceDE w:val="0"/>
        <w:autoSpaceDN w:val="0"/>
        <w:adjustRightInd w:val="0"/>
        <w:jc w:val="both"/>
        <w:rPr>
          <w:rFonts w:ascii="Arial" w:hAnsi="Arial" w:cs="Arial"/>
          <w:b/>
        </w:rPr>
      </w:pPr>
    </w:p>
    <w:p w:rsidR="00184F32" w:rsidRDefault="00184F32" w:rsidP="007E69B4">
      <w:pPr>
        <w:autoSpaceDE w:val="0"/>
        <w:autoSpaceDN w:val="0"/>
        <w:adjustRightInd w:val="0"/>
        <w:jc w:val="both"/>
        <w:rPr>
          <w:rFonts w:ascii="Arial" w:hAnsi="Arial" w:cs="Arial"/>
          <w:b/>
        </w:rPr>
      </w:pPr>
    </w:p>
    <w:p w:rsidR="00184F32" w:rsidRDefault="00184F32" w:rsidP="00184F32">
      <w:pPr>
        <w:jc w:val="center"/>
        <w:rPr>
          <w:rFonts w:ascii="Arial" w:hAnsi="Arial"/>
          <w:b/>
          <w:bCs/>
          <w:sz w:val="32"/>
          <w:szCs w:val="20"/>
        </w:rPr>
      </w:pPr>
    </w:p>
    <w:p w:rsidR="00184F32" w:rsidRDefault="00184F32" w:rsidP="00184F32">
      <w:pPr>
        <w:jc w:val="center"/>
        <w:rPr>
          <w:rFonts w:ascii="Arial" w:hAnsi="Arial"/>
          <w:b/>
          <w:bCs/>
          <w:sz w:val="32"/>
          <w:szCs w:val="20"/>
        </w:rPr>
      </w:pPr>
    </w:p>
    <w:p w:rsidR="00184F32" w:rsidRDefault="00184F32" w:rsidP="00184F32">
      <w:pPr>
        <w:jc w:val="center"/>
        <w:rPr>
          <w:rFonts w:ascii="Arial" w:hAnsi="Arial"/>
          <w:b/>
          <w:bCs/>
          <w:sz w:val="32"/>
          <w:szCs w:val="20"/>
        </w:rPr>
      </w:pPr>
    </w:p>
    <w:p w:rsidR="00184F32" w:rsidRDefault="00184F32" w:rsidP="00184F32">
      <w:pPr>
        <w:jc w:val="center"/>
        <w:rPr>
          <w:rFonts w:ascii="Arial" w:hAnsi="Arial"/>
          <w:b/>
          <w:bCs/>
          <w:sz w:val="32"/>
          <w:szCs w:val="20"/>
        </w:rPr>
      </w:pPr>
    </w:p>
    <w:p w:rsidR="00184F32" w:rsidRDefault="00184F32" w:rsidP="00184F32">
      <w:pPr>
        <w:jc w:val="center"/>
        <w:rPr>
          <w:rFonts w:ascii="Arial" w:hAnsi="Arial"/>
          <w:b/>
          <w:bCs/>
          <w:sz w:val="32"/>
          <w:szCs w:val="20"/>
        </w:rPr>
      </w:pPr>
    </w:p>
    <w:p w:rsidR="00184F32" w:rsidRDefault="00184F32" w:rsidP="00184F32">
      <w:pPr>
        <w:jc w:val="center"/>
        <w:rPr>
          <w:rFonts w:ascii="Arial" w:hAnsi="Arial"/>
          <w:b/>
          <w:bCs/>
          <w:sz w:val="32"/>
          <w:szCs w:val="20"/>
        </w:rPr>
      </w:pPr>
    </w:p>
    <w:p w:rsidR="00184F32" w:rsidRDefault="00184F32" w:rsidP="00184F32">
      <w:pPr>
        <w:jc w:val="center"/>
        <w:rPr>
          <w:rFonts w:ascii="Arial" w:hAnsi="Arial"/>
          <w:b/>
          <w:bCs/>
          <w:sz w:val="32"/>
          <w:szCs w:val="20"/>
        </w:rPr>
      </w:pPr>
    </w:p>
    <w:p w:rsidR="00184F32" w:rsidRPr="002E5EB0" w:rsidRDefault="00184F32" w:rsidP="00184F32">
      <w:pPr>
        <w:jc w:val="center"/>
        <w:rPr>
          <w:rFonts w:ascii="Arial" w:hAnsi="Arial"/>
          <w:b/>
          <w:bCs/>
          <w:sz w:val="32"/>
          <w:szCs w:val="20"/>
        </w:rPr>
      </w:pPr>
      <w:r w:rsidRPr="002E5EB0">
        <w:rPr>
          <w:rFonts w:ascii="Arial" w:hAnsi="Arial"/>
          <w:b/>
          <w:bCs/>
          <w:sz w:val="32"/>
          <w:szCs w:val="20"/>
        </w:rPr>
        <w:t>IMPORT CONVERSION FACTORS</w:t>
      </w:r>
      <w:r>
        <w:rPr>
          <w:rFonts w:ascii="Arial" w:hAnsi="Arial"/>
          <w:b/>
          <w:bCs/>
          <w:sz w:val="32"/>
          <w:szCs w:val="20"/>
        </w:rPr>
        <w:t xml:space="preserve"> FOR </w:t>
      </w:r>
      <w:r w:rsidR="004672A1">
        <w:rPr>
          <w:rFonts w:ascii="Arial" w:hAnsi="Arial"/>
          <w:b/>
          <w:bCs/>
          <w:sz w:val="32"/>
          <w:szCs w:val="20"/>
        </w:rPr>
        <w:t xml:space="preserve">THE NATIONAL </w:t>
      </w:r>
      <w:r>
        <w:rPr>
          <w:rFonts w:ascii="Arial" w:hAnsi="Arial"/>
          <w:b/>
          <w:bCs/>
          <w:sz w:val="32"/>
          <w:szCs w:val="20"/>
        </w:rPr>
        <w:t>T</w:t>
      </w:r>
      <w:r w:rsidR="00AC2A22">
        <w:rPr>
          <w:rFonts w:ascii="Arial" w:hAnsi="Arial"/>
          <w:b/>
          <w:bCs/>
          <w:sz w:val="32"/>
          <w:szCs w:val="20"/>
        </w:rPr>
        <w:t>ELE</w:t>
      </w:r>
      <w:r>
        <w:rPr>
          <w:rFonts w:ascii="Arial" w:hAnsi="Arial"/>
          <w:b/>
          <w:bCs/>
          <w:sz w:val="32"/>
          <w:szCs w:val="20"/>
        </w:rPr>
        <w:t>V</w:t>
      </w:r>
      <w:r w:rsidR="00AC2A22">
        <w:rPr>
          <w:rFonts w:ascii="Arial" w:hAnsi="Arial"/>
          <w:b/>
          <w:bCs/>
          <w:sz w:val="32"/>
          <w:szCs w:val="20"/>
        </w:rPr>
        <w:t>ISION</w:t>
      </w:r>
      <w:r>
        <w:rPr>
          <w:rFonts w:ascii="Arial" w:hAnsi="Arial"/>
          <w:b/>
          <w:bCs/>
          <w:sz w:val="32"/>
          <w:szCs w:val="20"/>
        </w:rPr>
        <w:t xml:space="preserve"> AND COMPUTER </w:t>
      </w:r>
      <w:r w:rsidR="00F83E23">
        <w:rPr>
          <w:rFonts w:ascii="Arial" w:hAnsi="Arial"/>
          <w:b/>
          <w:bCs/>
          <w:sz w:val="32"/>
          <w:szCs w:val="20"/>
        </w:rPr>
        <w:t>RECYCLING</w:t>
      </w:r>
      <w:r w:rsidR="00AC2A22">
        <w:rPr>
          <w:rFonts w:ascii="Arial" w:hAnsi="Arial"/>
          <w:b/>
          <w:bCs/>
          <w:sz w:val="32"/>
          <w:szCs w:val="20"/>
        </w:rPr>
        <w:t xml:space="preserve"> SCHEME</w:t>
      </w:r>
      <w:r>
        <w:rPr>
          <w:rFonts w:ascii="Arial" w:hAnsi="Arial"/>
          <w:b/>
          <w:bCs/>
          <w:sz w:val="32"/>
          <w:szCs w:val="20"/>
        </w:rPr>
        <w:t>:</w:t>
      </w:r>
    </w:p>
    <w:p w:rsidR="00184F32" w:rsidRDefault="00184F32" w:rsidP="00184F32">
      <w:pPr>
        <w:rPr>
          <w:rFonts w:ascii="Arial" w:hAnsi="Arial"/>
          <w:b/>
          <w:bCs/>
          <w:sz w:val="32"/>
          <w:szCs w:val="20"/>
        </w:rPr>
      </w:pPr>
    </w:p>
    <w:p w:rsidR="00184F32" w:rsidRDefault="00F848A2" w:rsidP="00184F32">
      <w:pPr>
        <w:jc w:val="center"/>
        <w:rPr>
          <w:rFonts w:ascii="Arial" w:hAnsi="Arial"/>
          <w:b/>
          <w:bCs/>
          <w:sz w:val="32"/>
          <w:szCs w:val="20"/>
        </w:rPr>
      </w:pPr>
      <w:r>
        <w:rPr>
          <w:rFonts w:ascii="Arial" w:hAnsi="Arial"/>
          <w:b/>
          <w:bCs/>
          <w:sz w:val="32"/>
          <w:szCs w:val="20"/>
        </w:rPr>
        <w:t xml:space="preserve">Stage 2 </w:t>
      </w:r>
      <w:r w:rsidR="002A2753">
        <w:rPr>
          <w:rFonts w:ascii="Arial" w:hAnsi="Arial"/>
          <w:b/>
          <w:bCs/>
          <w:sz w:val="32"/>
          <w:szCs w:val="20"/>
        </w:rPr>
        <w:t>Conversion Factors Exercise</w:t>
      </w:r>
    </w:p>
    <w:p w:rsidR="00184F32" w:rsidRDefault="00184F32" w:rsidP="007E69B4">
      <w:pPr>
        <w:autoSpaceDE w:val="0"/>
        <w:autoSpaceDN w:val="0"/>
        <w:adjustRightInd w:val="0"/>
        <w:jc w:val="both"/>
        <w:rPr>
          <w:rFonts w:ascii="Arial" w:hAnsi="Arial" w:cs="Arial"/>
          <w:b/>
        </w:rPr>
      </w:pPr>
    </w:p>
    <w:p w:rsidR="00184F32" w:rsidRDefault="00184F32" w:rsidP="007E69B4">
      <w:pPr>
        <w:autoSpaceDE w:val="0"/>
        <w:autoSpaceDN w:val="0"/>
        <w:adjustRightInd w:val="0"/>
        <w:jc w:val="both"/>
        <w:rPr>
          <w:rFonts w:ascii="Arial" w:hAnsi="Arial" w:cs="Arial"/>
          <w:b/>
        </w:rPr>
      </w:pPr>
    </w:p>
    <w:p w:rsidR="00184F32" w:rsidRDefault="00184F32" w:rsidP="007E69B4">
      <w:pPr>
        <w:autoSpaceDE w:val="0"/>
        <w:autoSpaceDN w:val="0"/>
        <w:adjustRightInd w:val="0"/>
        <w:jc w:val="both"/>
        <w:rPr>
          <w:rFonts w:ascii="Arial" w:hAnsi="Arial" w:cs="Arial"/>
          <w:b/>
        </w:rPr>
      </w:pPr>
    </w:p>
    <w:p w:rsidR="00184F32" w:rsidRDefault="00184F32" w:rsidP="007E69B4">
      <w:pPr>
        <w:autoSpaceDE w:val="0"/>
        <w:autoSpaceDN w:val="0"/>
        <w:adjustRightInd w:val="0"/>
        <w:jc w:val="both"/>
        <w:rPr>
          <w:rFonts w:ascii="Arial" w:hAnsi="Arial" w:cs="Arial"/>
          <w:b/>
        </w:rPr>
      </w:pPr>
    </w:p>
    <w:p w:rsidR="00184F32" w:rsidRDefault="00184F32" w:rsidP="007E69B4">
      <w:pPr>
        <w:autoSpaceDE w:val="0"/>
        <w:autoSpaceDN w:val="0"/>
        <w:adjustRightInd w:val="0"/>
        <w:jc w:val="both"/>
        <w:rPr>
          <w:rFonts w:ascii="Arial" w:hAnsi="Arial" w:cs="Arial"/>
          <w:b/>
        </w:rPr>
      </w:pPr>
    </w:p>
    <w:p w:rsidR="00184F32" w:rsidRDefault="00184F32" w:rsidP="007E69B4">
      <w:pPr>
        <w:autoSpaceDE w:val="0"/>
        <w:autoSpaceDN w:val="0"/>
        <w:adjustRightInd w:val="0"/>
        <w:jc w:val="both"/>
        <w:rPr>
          <w:rFonts w:ascii="Arial" w:hAnsi="Arial" w:cs="Arial"/>
          <w:b/>
        </w:rPr>
      </w:pPr>
    </w:p>
    <w:p w:rsidR="00184F32" w:rsidRDefault="00184F32" w:rsidP="007E69B4">
      <w:pPr>
        <w:autoSpaceDE w:val="0"/>
        <w:autoSpaceDN w:val="0"/>
        <w:adjustRightInd w:val="0"/>
        <w:jc w:val="both"/>
        <w:rPr>
          <w:rFonts w:ascii="Arial" w:hAnsi="Arial" w:cs="Arial"/>
          <w:b/>
        </w:rPr>
      </w:pPr>
    </w:p>
    <w:p w:rsidR="00184F32" w:rsidRPr="00184F32" w:rsidRDefault="00184F32" w:rsidP="00184F32">
      <w:pPr>
        <w:pStyle w:val="Footer"/>
        <w:tabs>
          <w:tab w:val="left" w:pos="9214"/>
        </w:tabs>
        <w:jc w:val="center"/>
        <w:rPr>
          <w:rFonts w:ascii="Arial" w:hAnsi="Arial" w:cs="Arial"/>
          <w:b/>
          <w:i/>
          <w:sz w:val="24"/>
        </w:rPr>
      </w:pPr>
      <w:r w:rsidRPr="00184F32">
        <w:rPr>
          <w:rFonts w:ascii="Arial" w:hAnsi="Arial" w:cs="Arial"/>
          <w:b/>
          <w:i/>
          <w:sz w:val="24"/>
        </w:rPr>
        <w:t xml:space="preserve">Prepared for the Department of Sustainability, Environment, </w:t>
      </w:r>
    </w:p>
    <w:p w:rsidR="00184F32" w:rsidRDefault="00184F32" w:rsidP="00184F32">
      <w:pPr>
        <w:pStyle w:val="Footer"/>
        <w:tabs>
          <w:tab w:val="left" w:pos="9214"/>
        </w:tabs>
        <w:jc w:val="center"/>
        <w:rPr>
          <w:rFonts w:ascii="Arial" w:hAnsi="Arial" w:cs="Arial"/>
          <w:b/>
          <w:i/>
          <w:sz w:val="24"/>
        </w:rPr>
      </w:pPr>
      <w:r w:rsidRPr="00184F32">
        <w:rPr>
          <w:rFonts w:ascii="Arial" w:hAnsi="Arial" w:cs="Arial"/>
          <w:b/>
          <w:i/>
          <w:sz w:val="24"/>
        </w:rPr>
        <w:t xml:space="preserve">Water, Population and Communities </w:t>
      </w:r>
      <w:r w:rsidRPr="00184F32">
        <w:rPr>
          <w:rFonts w:ascii="Arial" w:hAnsi="Arial" w:cs="Arial"/>
          <w:b/>
          <w:i/>
          <w:sz w:val="24"/>
        </w:rPr>
        <w:br/>
      </w:r>
    </w:p>
    <w:p w:rsidR="00184F32" w:rsidRPr="00184F32" w:rsidRDefault="00457F7B" w:rsidP="00184F32">
      <w:pPr>
        <w:pStyle w:val="Footer"/>
        <w:tabs>
          <w:tab w:val="left" w:pos="9214"/>
        </w:tabs>
        <w:jc w:val="center"/>
        <w:rPr>
          <w:rFonts w:ascii="Arial" w:hAnsi="Arial" w:cs="Arial"/>
          <w:b/>
          <w:i/>
          <w:sz w:val="24"/>
        </w:rPr>
      </w:pPr>
      <w:r>
        <w:rPr>
          <w:rFonts w:ascii="Arial" w:hAnsi="Arial" w:cs="Arial"/>
          <w:b/>
          <w:i/>
          <w:sz w:val="24"/>
        </w:rPr>
        <w:t>September</w:t>
      </w:r>
      <w:r w:rsidR="00184F32" w:rsidRPr="00184F32">
        <w:rPr>
          <w:rFonts w:ascii="Arial" w:hAnsi="Arial" w:cs="Arial"/>
          <w:b/>
          <w:i/>
          <w:sz w:val="24"/>
        </w:rPr>
        <w:t xml:space="preserve"> 2011</w:t>
      </w:r>
    </w:p>
    <w:p w:rsidR="00184F32" w:rsidRPr="00184F32" w:rsidRDefault="00184F32" w:rsidP="00184F32">
      <w:pPr>
        <w:autoSpaceDE w:val="0"/>
        <w:autoSpaceDN w:val="0"/>
        <w:adjustRightInd w:val="0"/>
        <w:jc w:val="center"/>
        <w:rPr>
          <w:rFonts w:ascii="Arial" w:hAnsi="Arial" w:cs="Arial"/>
          <w:b/>
          <w:i/>
          <w:sz w:val="24"/>
        </w:rPr>
        <w:sectPr w:rsidR="00184F32" w:rsidRPr="00184F32">
          <w:headerReference w:type="even" r:id="rId9"/>
          <w:headerReference w:type="default" r:id="rId10"/>
          <w:footerReference w:type="first" r:id="rId11"/>
          <w:pgSz w:w="11907" w:h="16840" w:code="9"/>
          <w:pgMar w:top="1440" w:right="1797" w:bottom="1440" w:left="1797" w:header="709" w:footer="709" w:gutter="0"/>
          <w:cols w:space="708"/>
          <w:titlePg/>
          <w:docGrid w:linePitch="360"/>
        </w:sectPr>
      </w:pPr>
    </w:p>
    <w:p w:rsidR="00184F32" w:rsidRPr="000F4F35" w:rsidRDefault="00D00E71" w:rsidP="000F4F35">
      <w:pPr>
        <w:jc w:val="center"/>
        <w:rPr>
          <w:rFonts w:ascii="Arial" w:hAnsi="Arial"/>
          <w:b/>
          <w:bCs/>
          <w:sz w:val="28"/>
        </w:rPr>
      </w:pPr>
      <w:bookmarkStart w:id="0" w:name="_Toc296602996"/>
      <w:bookmarkStart w:id="1" w:name="_Toc296603113"/>
      <w:bookmarkStart w:id="2" w:name="_Toc296601304"/>
      <w:r w:rsidRPr="000F4F35">
        <w:rPr>
          <w:rFonts w:ascii="Arial" w:hAnsi="Arial"/>
          <w:b/>
          <w:bCs/>
          <w:sz w:val="28"/>
        </w:rPr>
        <w:lastRenderedPageBreak/>
        <w:t>TABLE OF CONTENTS</w:t>
      </w:r>
      <w:bookmarkEnd w:id="0"/>
      <w:bookmarkEnd w:id="1"/>
    </w:p>
    <w:p w:rsidR="000F4F35" w:rsidRDefault="000F4F35">
      <w:pPr>
        <w:pStyle w:val="TOC2"/>
        <w:tabs>
          <w:tab w:val="right" w:leader="dot" w:pos="8303"/>
        </w:tabs>
        <w:rPr>
          <w:rFonts w:cs="Arial"/>
          <w:szCs w:val="20"/>
        </w:rPr>
      </w:pPr>
    </w:p>
    <w:p w:rsidR="008165CE" w:rsidRDefault="00246893">
      <w:pPr>
        <w:pStyle w:val="TOC1"/>
        <w:tabs>
          <w:tab w:val="left" w:pos="440"/>
          <w:tab w:val="right" w:leader="dot" w:pos="8303"/>
        </w:tabs>
        <w:rPr>
          <w:rFonts w:asciiTheme="minorHAnsi" w:eastAsiaTheme="minorEastAsia" w:hAnsiTheme="minorHAnsi" w:cstheme="minorBidi"/>
          <w:b w:val="0"/>
          <w:noProof/>
          <w:szCs w:val="22"/>
          <w:lang w:val="en-AU" w:eastAsia="en-AU"/>
        </w:rPr>
      </w:pPr>
      <w:r w:rsidRPr="00246893">
        <w:rPr>
          <w:rFonts w:cs="Arial"/>
          <w:b w:val="0"/>
          <w:bCs/>
          <w:szCs w:val="20"/>
        </w:rPr>
        <w:fldChar w:fldCharType="begin"/>
      </w:r>
      <w:r w:rsidR="000F4F35">
        <w:rPr>
          <w:rFonts w:cs="Arial"/>
          <w:b w:val="0"/>
          <w:bCs/>
          <w:szCs w:val="20"/>
        </w:rPr>
        <w:instrText xml:space="preserve"> TOC \o "1-3" \h \z \u </w:instrText>
      </w:r>
      <w:r w:rsidRPr="00246893">
        <w:rPr>
          <w:rFonts w:cs="Arial"/>
          <w:b w:val="0"/>
          <w:bCs/>
          <w:szCs w:val="20"/>
        </w:rPr>
        <w:fldChar w:fldCharType="separate"/>
      </w:r>
      <w:hyperlink w:anchor="_Toc304967180" w:history="1">
        <w:r w:rsidR="008165CE" w:rsidRPr="008032E4">
          <w:rPr>
            <w:rStyle w:val="Hyperlink"/>
            <w:rFonts w:eastAsia="MS Mincho"/>
            <w:noProof/>
          </w:rPr>
          <w:t>1.</w:t>
        </w:r>
        <w:r w:rsidR="008165CE">
          <w:rPr>
            <w:rFonts w:asciiTheme="minorHAnsi" w:eastAsiaTheme="minorEastAsia" w:hAnsiTheme="minorHAnsi" w:cstheme="minorBidi"/>
            <w:b w:val="0"/>
            <w:noProof/>
            <w:szCs w:val="22"/>
            <w:lang w:val="en-AU" w:eastAsia="en-AU"/>
          </w:rPr>
          <w:tab/>
        </w:r>
        <w:r w:rsidR="008165CE" w:rsidRPr="008032E4">
          <w:rPr>
            <w:rStyle w:val="Hyperlink"/>
            <w:rFonts w:eastAsia="MS Mincho"/>
            <w:noProof/>
          </w:rPr>
          <w:t>EXECUTIVE SUMMARY</w:t>
        </w:r>
        <w:r w:rsidR="008165CE">
          <w:rPr>
            <w:noProof/>
            <w:webHidden/>
          </w:rPr>
          <w:tab/>
        </w:r>
        <w:r>
          <w:rPr>
            <w:noProof/>
            <w:webHidden/>
          </w:rPr>
          <w:fldChar w:fldCharType="begin"/>
        </w:r>
        <w:r w:rsidR="008165CE">
          <w:rPr>
            <w:noProof/>
            <w:webHidden/>
          </w:rPr>
          <w:instrText xml:space="preserve"> PAGEREF _Toc304967180 \h </w:instrText>
        </w:r>
        <w:r>
          <w:rPr>
            <w:noProof/>
            <w:webHidden/>
          </w:rPr>
        </w:r>
        <w:r>
          <w:rPr>
            <w:noProof/>
            <w:webHidden/>
          </w:rPr>
          <w:fldChar w:fldCharType="separate"/>
        </w:r>
        <w:r w:rsidR="002D292C">
          <w:rPr>
            <w:noProof/>
            <w:webHidden/>
          </w:rPr>
          <w:t>1</w:t>
        </w:r>
        <w:r>
          <w:rPr>
            <w:noProof/>
            <w:webHidden/>
          </w:rPr>
          <w:fldChar w:fldCharType="end"/>
        </w:r>
      </w:hyperlink>
    </w:p>
    <w:p w:rsidR="008165CE" w:rsidRDefault="00246893">
      <w:pPr>
        <w:pStyle w:val="TOC1"/>
        <w:tabs>
          <w:tab w:val="left" w:pos="440"/>
          <w:tab w:val="right" w:leader="dot" w:pos="8303"/>
        </w:tabs>
        <w:rPr>
          <w:rFonts w:asciiTheme="minorHAnsi" w:eastAsiaTheme="minorEastAsia" w:hAnsiTheme="minorHAnsi" w:cstheme="minorBidi"/>
          <w:b w:val="0"/>
          <w:noProof/>
          <w:szCs w:val="22"/>
          <w:lang w:val="en-AU" w:eastAsia="en-AU"/>
        </w:rPr>
      </w:pPr>
      <w:hyperlink w:anchor="_Toc304967181" w:history="1">
        <w:r w:rsidR="008165CE" w:rsidRPr="008032E4">
          <w:rPr>
            <w:rStyle w:val="Hyperlink"/>
            <w:rFonts w:eastAsia="MS Mincho"/>
            <w:noProof/>
          </w:rPr>
          <w:t>2.</w:t>
        </w:r>
        <w:r w:rsidR="008165CE">
          <w:rPr>
            <w:rFonts w:asciiTheme="minorHAnsi" w:eastAsiaTheme="minorEastAsia" w:hAnsiTheme="minorHAnsi" w:cstheme="minorBidi"/>
            <w:b w:val="0"/>
            <w:noProof/>
            <w:szCs w:val="22"/>
            <w:lang w:val="en-AU" w:eastAsia="en-AU"/>
          </w:rPr>
          <w:tab/>
        </w:r>
        <w:r w:rsidR="008165CE" w:rsidRPr="008032E4">
          <w:rPr>
            <w:rStyle w:val="Hyperlink"/>
            <w:rFonts w:eastAsia="MS Mincho"/>
            <w:noProof/>
          </w:rPr>
          <w:t>INTRODUCTION</w:t>
        </w:r>
        <w:r w:rsidR="008165CE">
          <w:rPr>
            <w:noProof/>
            <w:webHidden/>
          </w:rPr>
          <w:tab/>
        </w:r>
        <w:r>
          <w:rPr>
            <w:noProof/>
            <w:webHidden/>
          </w:rPr>
          <w:fldChar w:fldCharType="begin"/>
        </w:r>
        <w:r w:rsidR="008165CE">
          <w:rPr>
            <w:noProof/>
            <w:webHidden/>
          </w:rPr>
          <w:instrText xml:space="preserve"> PAGEREF _Toc304967181 \h </w:instrText>
        </w:r>
        <w:r>
          <w:rPr>
            <w:noProof/>
            <w:webHidden/>
          </w:rPr>
        </w:r>
        <w:r>
          <w:rPr>
            <w:noProof/>
            <w:webHidden/>
          </w:rPr>
          <w:fldChar w:fldCharType="separate"/>
        </w:r>
        <w:r w:rsidR="002D292C">
          <w:rPr>
            <w:noProof/>
            <w:webHidden/>
          </w:rPr>
          <w:t>3</w:t>
        </w:r>
        <w:r>
          <w:rPr>
            <w:noProof/>
            <w:webHidden/>
          </w:rPr>
          <w:fldChar w:fldCharType="end"/>
        </w:r>
      </w:hyperlink>
    </w:p>
    <w:p w:rsidR="008165CE" w:rsidRDefault="00246893">
      <w:pPr>
        <w:pStyle w:val="TOC1"/>
        <w:tabs>
          <w:tab w:val="left" w:pos="440"/>
          <w:tab w:val="right" w:leader="dot" w:pos="8303"/>
        </w:tabs>
        <w:rPr>
          <w:rFonts w:asciiTheme="minorHAnsi" w:eastAsiaTheme="minorEastAsia" w:hAnsiTheme="minorHAnsi" w:cstheme="minorBidi"/>
          <w:b w:val="0"/>
          <w:noProof/>
          <w:szCs w:val="22"/>
          <w:lang w:val="en-AU" w:eastAsia="en-AU"/>
        </w:rPr>
      </w:pPr>
      <w:hyperlink w:anchor="_Toc304967182" w:history="1">
        <w:r w:rsidR="008165CE" w:rsidRPr="008032E4">
          <w:rPr>
            <w:rStyle w:val="Hyperlink"/>
            <w:rFonts w:eastAsia="MS Mincho"/>
            <w:noProof/>
          </w:rPr>
          <w:t>3.</w:t>
        </w:r>
        <w:r w:rsidR="008165CE">
          <w:rPr>
            <w:rFonts w:asciiTheme="minorHAnsi" w:eastAsiaTheme="minorEastAsia" w:hAnsiTheme="minorHAnsi" w:cstheme="minorBidi"/>
            <w:b w:val="0"/>
            <w:noProof/>
            <w:szCs w:val="22"/>
            <w:lang w:val="en-AU" w:eastAsia="en-AU"/>
          </w:rPr>
          <w:tab/>
        </w:r>
        <w:r w:rsidR="008165CE" w:rsidRPr="008032E4">
          <w:rPr>
            <w:rStyle w:val="Hyperlink"/>
            <w:rFonts w:eastAsia="MS Mincho"/>
            <w:noProof/>
          </w:rPr>
          <w:t>BACKGROUND</w:t>
        </w:r>
        <w:r w:rsidR="008165CE">
          <w:rPr>
            <w:noProof/>
            <w:webHidden/>
          </w:rPr>
          <w:tab/>
        </w:r>
        <w:r>
          <w:rPr>
            <w:noProof/>
            <w:webHidden/>
          </w:rPr>
          <w:fldChar w:fldCharType="begin"/>
        </w:r>
        <w:r w:rsidR="008165CE">
          <w:rPr>
            <w:noProof/>
            <w:webHidden/>
          </w:rPr>
          <w:instrText xml:space="preserve"> PAGEREF _Toc304967182 \h </w:instrText>
        </w:r>
        <w:r>
          <w:rPr>
            <w:noProof/>
            <w:webHidden/>
          </w:rPr>
        </w:r>
        <w:r>
          <w:rPr>
            <w:noProof/>
            <w:webHidden/>
          </w:rPr>
          <w:fldChar w:fldCharType="separate"/>
        </w:r>
        <w:r w:rsidR="002D292C">
          <w:rPr>
            <w:noProof/>
            <w:webHidden/>
          </w:rPr>
          <w:t>4</w:t>
        </w:r>
        <w:r>
          <w:rPr>
            <w:noProof/>
            <w:webHidden/>
          </w:rPr>
          <w:fldChar w:fldCharType="end"/>
        </w:r>
      </w:hyperlink>
    </w:p>
    <w:p w:rsidR="008165CE" w:rsidRDefault="00246893">
      <w:pPr>
        <w:pStyle w:val="TOC1"/>
        <w:tabs>
          <w:tab w:val="left" w:pos="440"/>
          <w:tab w:val="right" w:leader="dot" w:pos="8303"/>
        </w:tabs>
        <w:rPr>
          <w:rFonts w:asciiTheme="minorHAnsi" w:eastAsiaTheme="minorEastAsia" w:hAnsiTheme="minorHAnsi" w:cstheme="minorBidi"/>
          <w:b w:val="0"/>
          <w:noProof/>
          <w:szCs w:val="22"/>
          <w:lang w:val="en-AU" w:eastAsia="en-AU"/>
        </w:rPr>
      </w:pPr>
      <w:hyperlink w:anchor="_Toc304967183" w:history="1">
        <w:r w:rsidR="008165CE" w:rsidRPr="008032E4">
          <w:rPr>
            <w:rStyle w:val="Hyperlink"/>
            <w:rFonts w:eastAsia="MS Mincho"/>
            <w:noProof/>
          </w:rPr>
          <w:t>4.</w:t>
        </w:r>
        <w:r w:rsidR="008165CE">
          <w:rPr>
            <w:rFonts w:asciiTheme="minorHAnsi" w:eastAsiaTheme="minorEastAsia" w:hAnsiTheme="minorHAnsi" w:cstheme="minorBidi"/>
            <w:b w:val="0"/>
            <w:noProof/>
            <w:szCs w:val="22"/>
            <w:lang w:val="en-AU" w:eastAsia="en-AU"/>
          </w:rPr>
          <w:tab/>
        </w:r>
        <w:r w:rsidR="008165CE" w:rsidRPr="008032E4">
          <w:rPr>
            <w:rStyle w:val="Hyperlink"/>
            <w:rFonts w:eastAsia="MS Mincho"/>
            <w:noProof/>
          </w:rPr>
          <w:t>OVERVIEW OF METHODOLOGY FOR DERIVING THE FACTORS</w:t>
        </w:r>
        <w:r w:rsidR="008165CE">
          <w:rPr>
            <w:noProof/>
            <w:webHidden/>
          </w:rPr>
          <w:tab/>
        </w:r>
        <w:r>
          <w:rPr>
            <w:noProof/>
            <w:webHidden/>
          </w:rPr>
          <w:fldChar w:fldCharType="begin"/>
        </w:r>
        <w:r w:rsidR="008165CE">
          <w:rPr>
            <w:noProof/>
            <w:webHidden/>
          </w:rPr>
          <w:instrText xml:space="preserve"> PAGEREF _Toc304967183 \h </w:instrText>
        </w:r>
        <w:r>
          <w:rPr>
            <w:noProof/>
            <w:webHidden/>
          </w:rPr>
        </w:r>
        <w:r>
          <w:rPr>
            <w:noProof/>
            <w:webHidden/>
          </w:rPr>
          <w:fldChar w:fldCharType="separate"/>
        </w:r>
        <w:r w:rsidR="002D292C">
          <w:rPr>
            <w:noProof/>
            <w:webHidden/>
          </w:rPr>
          <w:t>5</w:t>
        </w:r>
        <w:r>
          <w:rPr>
            <w:noProof/>
            <w:webHidden/>
          </w:rPr>
          <w:fldChar w:fldCharType="end"/>
        </w:r>
      </w:hyperlink>
    </w:p>
    <w:p w:rsidR="008165CE" w:rsidRDefault="00246893">
      <w:pPr>
        <w:pStyle w:val="TOC1"/>
        <w:tabs>
          <w:tab w:val="left" w:pos="440"/>
          <w:tab w:val="right" w:leader="dot" w:pos="8303"/>
        </w:tabs>
        <w:rPr>
          <w:rFonts w:asciiTheme="minorHAnsi" w:eastAsiaTheme="minorEastAsia" w:hAnsiTheme="minorHAnsi" w:cstheme="minorBidi"/>
          <w:b w:val="0"/>
          <w:noProof/>
          <w:szCs w:val="22"/>
          <w:lang w:val="en-AU" w:eastAsia="en-AU"/>
        </w:rPr>
      </w:pPr>
      <w:hyperlink w:anchor="_Toc304967184" w:history="1">
        <w:r w:rsidR="008165CE" w:rsidRPr="008032E4">
          <w:rPr>
            <w:rStyle w:val="Hyperlink"/>
            <w:rFonts w:eastAsia="MS Mincho"/>
            <w:noProof/>
          </w:rPr>
          <w:t>5.</w:t>
        </w:r>
        <w:r w:rsidR="008165CE">
          <w:rPr>
            <w:rFonts w:asciiTheme="minorHAnsi" w:eastAsiaTheme="minorEastAsia" w:hAnsiTheme="minorHAnsi" w:cstheme="minorBidi"/>
            <w:b w:val="0"/>
            <w:noProof/>
            <w:szCs w:val="22"/>
            <w:lang w:val="en-AU" w:eastAsia="en-AU"/>
          </w:rPr>
          <w:tab/>
        </w:r>
        <w:r w:rsidR="008165CE" w:rsidRPr="008032E4">
          <w:rPr>
            <w:rStyle w:val="Hyperlink"/>
            <w:rFonts w:eastAsia="MS Mincho"/>
            <w:noProof/>
          </w:rPr>
          <w:t>RESULTS - PROPOSED CONVERSION FACTORS FOR SC07</w:t>
        </w:r>
        <w:r w:rsidR="008165CE">
          <w:rPr>
            <w:noProof/>
            <w:webHidden/>
          </w:rPr>
          <w:tab/>
        </w:r>
        <w:r>
          <w:rPr>
            <w:noProof/>
            <w:webHidden/>
          </w:rPr>
          <w:fldChar w:fldCharType="begin"/>
        </w:r>
        <w:r w:rsidR="008165CE">
          <w:rPr>
            <w:noProof/>
            <w:webHidden/>
          </w:rPr>
          <w:instrText xml:space="preserve"> PAGEREF _Toc304967184 \h </w:instrText>
        </w:r>
        <w:r>
          <w:rPr>
            <w:noProof/>
            <w:webHidden/>
          </w:rPr>
        </w:r>
        <w:r>
          <w:rPr>
            <w:noProof/>
            <w:webHidden/>
          </w:rPr>
          <w:fldChar w:fldCharType="separate"/>
        </w:r>
        <w:r w:rsidR="002D292C">
          <w:rPr>
            <w:noProof/>
            <w:webHidden/>
          </w:rPr>
          <w:t>6</w:t>
        </w:r>
        <w:r>
          <w:rPr>
            <w:noProof/>
            <w:webHidden/>
          </w:rPr>
          <w:fldChar w:fldCharType="end"/>
        </w:r>
      </w:hyperlink>
    </w:p>
    <w:p w:rsidR="008165CE" w:rsidRDefault="00246893">
      <w:pPr>
        <w:pStyle w:val="TOC2"/>
        <w:tabs>
          <w:tab w:val="right" w:leader="dot" w:pos="8303"/>
        </w:tabs>
        <w:rPr>
          <w:rFonts w:asciiTheme="minorHAnsi" w:eastAsiaTheme="minorEastAsia" w:hAnsiTheme="minorHAnsi" w:cstheme="minorBidi"/>
          <w:noProof/>
          <w:sz w:val="22"/>
          <w:szCs w:val="22"/>
          <w:lang w:val="en-AU" w:eastAsia="en-AU"/>
        </w:rPr>
      </w:pPr>
      <w:hyperlink w:anchor="_Toc304967185" w:history="1">
        <w:r w:rsidR="008165CE" w:rsidRPr="008032E4">
          <w:rPr>
            <w:rStyle w:val="Hyperlink"/>
            <w:rFonts w:eastAsia="MS Mincho"/>
            <w:noProof/>
          </w:rPr>
          <w:t>1.1. Multi function devices (MFDs)</w:t>
        </w:r>
        <w:r w:rsidR="008165CE">
          <w:rPr>
            <w:noProof/>
            <w:webHidden/>
          </w:rPr>
          <w:tab/>
        </w:r>
        <w:r>
          <w:rPr>
            <w:noProof/>
            <w:webHidden/>
          </w:rPr>
          <w:fldChar w:fldCharType="begin"/>
        </w:r>
        <w:r w:rsidR="008165CE">
          <w:rPr>
            <w:noProof/>
            <w:webHidden/>
          </w:rPr>
          <w:instrText xml:space="preserve"> PAGEREF _Toc304967185 \h </w:instrText>
        </w:r>
        <w:r>
          <w:rPr>
            <w:noProof/>
            <w:webHidden/>
          </w:rPr>
        </w:r>
        <w:r>
          <w:rPr>
            <w:noProof/>
            <w:webHidden/>
          </w:rPr>
          <w:fldChar w:fldCharType="separate"/>
        </w:r>
        <w:r w:rsidR="002D292C">
          <w:rPr>
            <w:noProof/>
            <w:webHidden/>
          </w:rPr>
          <w:t>7</w:t>
        </w:r>
        <w:r>
          <w:rPr>
            <w:noProof/>
            <w:webHidden/>
          </w:rPr>
          <w:fldChar w:fldCharType="end"/>
        </w:r>
      </w:hyperlink>
    </w:p>
    <w:p w:rsidR="008165CE" w:rsidRDefault="00246893">
      <w:pPr>
        <w:pStyle w:val="TOC2"/>
        <w:tabs>
          <w:tab w:val="right" w:leader="dot" w:pos="8303"/>
        </w:tabs>
        <w:rPr>
          <w:rFonts w:asciiTheme="minorHAnsi" w:eastAsiaTheme="minorEastAsia" w:hAnsiTheme="minorHAnsi" w:cstheme="minorBidi"/>
          <w:noProof/>
          <w:sz w:val="22"/>
          <w:szCs w:val="22"/>
          <w:lang w:val="en-AU" w:eastAsia="en-AU"/>
        </w:rPr>
      </w:pPr>
      <w:hyperlink w:anchor="_Toc304967186" w:history="1">
        <w:r w:rsidR="008165CE" w:rsidRPr="008032E4">
          <w:rPr>
            <w:rStyle w:val="Hyperlink"/>
            <w:rFonts w:eastAsia="MS Mincho"/>
            <w:noProof/>
          </w:rPr>
          <w:t>1.2. Personal or desktop printers (PDPs)</w:t>
        </w:r>
        <w:r w:rsidR="008165CE">
          <w:rPr>
            <w:noProof/>
            <w:webHidden/>
          </w:rPr>
          <w:tab/>
        </w:r>
        <w:r>
          <w:rPr>
            <w:noProof/>
            <w:webHidden/>
          </w:rPr>
          <w:fldChar w:fldCharType="begin"/>
        </w:r>
        <w:r w:rsidR="008165CE">
          <w:rPr>
            <w:noProof/>
            <w:webHidden/>
          </w:rPr>
          <w:instrText xml:space="preserve"> PAGEREF _Toc304967186 \h </w:instrText>
        </w:r>
        <w:r>
          <w:rPr>
            <w:noProof/>
            <w:webHidden/>
          </w:rPr>
        </w:r>
        <w:r>
          <w:rPr>
            <w:noProof/>
            <w:webHidden/>
          </w:rPr>
          <w:fldChar w:fldCharType="separate"/>
        </w:r>
        <w:r w:rsidR="002D292C">
          <w:rPr>
            <w:noProof/>
            <w:webHidden/>
          </w:rPr>
          <w:t>14</w:t>
        </w:r>
        <w:r>
          <w:rPr>
            <w:noProof/>
            <w:webHidden/>
          </w:rPr>
          <w:fldChar w:fldCharType="end"/>
        </w:r>
      </w:hyperlink>
    </w:p>
    <w:p w:rsidR="008165CE" w:rsidRDefault="00246893">
      <w:pPr>
        <w:pStyle w:val="TOC2"/>
        <w:tabs>
          <w:tab w:val="right" w:leader="dot" w:pos="8303"/>
        </w:tabs>
        <w:rPr>
          <w:rFonts w:asciiTheme="minorHAnsi" w:eastAsiaTheme="minorEastAsia" w:hAnsiTheme="minorHAnsi" w:cstheme="minorBidi"/>
          <w:noProof/>
          <w:sz w:val="22"/>
          <w:szCs w:val="22"/>
          <w:lang w:val="en-AU" w:eastAsia="en-AU"/>
        </w:rPr>
      </w:pPr>
      <w:hyperlink w:anchor="_Toc304967187" w:history="1">
        <w:r w:rsidR="008165CE" w:rsidRPr="008032E4">
          <w:rPr>
            <w:rStyle w:val="Hyperlink"/>
            <w:rFonts w:eastAsia="MS Mincho"/>
            <w:noProof/>
          </w:rPr>
          <w:t>1.3. Computer mobile units</w:t>
        </w:r>
        <w:r w:rsidR="008165CE">
          <w:rPr>
            <w:noProof/>
            <w:webHidden/>
          </w:rPr>
          <w:tab/>
        </w:r>
        <w:r>
          <w:rPr>
            <w:noProof/>
            <w:webHidden/>
          </w:rPr>
          <w:fldChar w:fldCharType="begin"/>
        </w:r>
        <w:r w:rsidR="008165CE">
          <w:rPr>
            <w:noProof/>
            <w:webHidden/>
          </w:rPr>
          <w:instrText xml:space="preserve"> PAGEREF _Toc304967187 \h </w:instrText>
        </w:r>
        <w:r>
          <w:rPr>
            <w:noProof/>
            <w:webHidden/>
          </w:rPr>
        </w:r>
        <w:r>
          <w:rPr>
            <w:noProof/>
            <w:webHidden/>
          </w:rPr>
          <w:fldChar w:fldCharType="separate"/>
        </w:r>
        <w:r w:rsidR="002D292C">
          <w:rPr>
            <w:noProof/>
            <w:webHidden/>
          </w:rPr>
          <w:t>19</w:t>
        </w:r>
        <w:r>
          <w:rPr>
            <w:noProof/>
            <w:webHidden/>
          </w:rPr>
          <w:fldChar w:fldCharType="end"/>
        </w:r>
      </w:hyperlink>
    </w:p>
    <w:p w:rsidR="008165CE" w:rsidRDefault="00246893">
      <w:pPr>
        <w:pStyle w:val="TOC2"/>
        <w:tabs>
          <w:tab w:val="right" w:leader="dot" w:pos="8303"/>
        </w:tabs>
        <w:rPr>
          <w:rFonts w:asciiTheme="minorHAnsi" w:eastAsiaTheme="minorEastAsia" w:hAnsiTheme="minorHAnsi" w:cstheme="minorBidi"/>
          <w:noProof/>
          <w:sz w:val="22"/>
          <w:szCs w:val="22"/>
          <w:lang w:val="en-AU" w:eastAsia="en-AU"/>
        </w:rPr>
      </w:pPr>
      <w:hyperlink w:anchor="_Toc304967188" w:history="1">
        <w:r w:rsidR="008165CE" w:rsidRPr="008032E4">
          <w:rPr>
            <w:rStyle w:val="Hyperlink"/>
            <w:rFonts w:eastAsia="MS Mincho"/>
            <w:noProof/>
          </w:rPr>
          <w:t>1.4. Computer desktops and similar (A)</w:t>
        </w:r>
        <w:r w:rsidR="008165CE">
          <w:rPr>
            <w:noProof/>
            <w:webHidden/>
          </w:rPr>
          <w:tab/>
        </w:r>
        <w:r>
          <w:rPr>
            <w:noProof/>
            <w:webHidden/>
          </w:rPr>
          <w:fldChar w:fldCharType="begin"/>
        </w:r>
        <w:r w:rsidR="008165CE">
          <w:rPr>
            <w:noProof/>
            <w:webHidden/>
          </w:rPr>
          <w:instrText xml:space="preserve"> PAGEREF _Toc304967188 \h </w:instrText>
        </w:r>
        <w:r>
          <w:rPr>
            <w:noProof/>
            <w:webHidden/>
          </w:rPr>
        </w:r>
        <w:r>
          <w:rPr>
            <w:noProof/>
            <w:webHidden/>
          </w:rPr>
          <w:fldChar w:fldCharType="separate"/>
        </w:r>
        <w:r w:rsidR="002D292C">
          <w:rPr>
            <w:noProof/>
            <w:webHidden/>
          </w:rPr>
          <w:t>22</w:t>
        </w:r>
        <w:r>
          <w:rPr>
            <w:noProof/>
            <w:webHidden/>
          </w:rPr>
          <w:fldChar w:fldCharType="end"/>
        </w:r>
      </w:hyperlink>
    </w:p>
    <w:p w:rsidR="008165CE" w:rsidRDefault="00246893">
      <w:pPr>
        <w:pStyle w:val="TOC2"/>
        <w:tabs>
          <w:tab w:val="right" w:leader="dot" w:pos="8303"/>
        </w:tabs>
        <w:rPr>
          <w:rFonts w:asciiTheme="minorHAnsi" w:eastAsiaTheme="minorEastAsia" w:hAnsiTheme="minorHAnsi" w:cstheme="minorBidi"/>
          <w:noProof/>
          <w:sz w:val="22"/>
          <w:szCs w:val="22"/>
          <w:lang w:val="en-AU" w:eastAsia="en-AU"/>
        </w:rPr>
      </w:pPr>
      <w:hyperlink w:anchor="_Toc304967189" w:history="1">
        <w:r w:rsidR="008165CE" w:rsidRPr="008032E4">
          <w:rPr>
            <w:rStyle w:val="Hyperlink"/>
            <w:rFonts w:eastAsia="MS Mincho"/>
            <w:noProof/>
          </w:rPr>
          <w:t>1.5. Computer desktops and similar (B)</w:t>
        </w:r>
        <w:r w:rsidR="008165CE">
          <w:rPr>
            <w:noProof/>
            <w:webHidden/>
          </w:rPr>
          <w:tab/>
        </w:r>
        <w:r>
          <w:rPr>
            <w:noProof/>
            <w:webHidden/>
          </w:rPr>
          <w:fldChar w:fldCharType="begin"/>
        </w:r>
        <w:r w:rsidR="008165CE">
          <w:rPr>
            <w:noProof/>
            <w:webHidden/>
          </w:rPr>
          <w:instrText xml:space="preserve"> PAGEREF _Toc304967189 \h </w:instrText>
        </w:r>
        <w:r>
          <w:rPr>
            <w:noProof/>
            <w:webHidden/>
          </w:rPr>
        </w:r>
        <w:r>
          <w:rPr>
            <w:noProof/>
            <w:webHidden/>
          </w:rPr>
          <w:fldChar w:fldCharType="separate"/>
        </w:r>
        <w:r w:rsidR="002D292C">
          <w:rPr>
            <w:noProof/>
            <w:webHidden/>
          </w:rPr>
          <w:t>25</w:t>
        </w:r>
        <w:r>
          <w:rPr>
            <w:noProof/>
            <w:webHidden/>
          </w:rPr>
          <w:fldChar w:fldCharType="end"/>
        </w:r>
      </w:hyperlink>
    </w:p>
    <w:p w:rsidR="008165CE" w:rsidRDefault="00246893">
      <w:pPr>
        <w:pStyle w:val="TOC2"/>
        <w:tabs>
          <w:tab w:val="right" w:leader="dot" w:pos="8303"/>
        </w:tabs>
        <w:rPr>
          <w:rFonts w:asciiTheme="minorHAnsi" w:eastAsiaTheme="minorEastAsia" w:hAnsiTheme="minorHAnsi" w:cstheme="minorBidi"/>
          <w:noProof/>
          <w:sz w:val="22"/>
          <w:szCs w:val="22"/>
          <w:lang w:val="en-AU" w:eastAsia="en-AU"/>
        </w:rPr>
      </w:pPr>
      <w:hyperlink w:anchor="_Toc304967190" w:history="1">
        <w:r w:rsidR="008165CE" w:rsidRPr="008032E4">
          <w:rPr>
            <w:rStyle w:val="Hyperlink"/>
            <w:rFonts w:eastAsia="MS Mincho"/>
            <w:noProof/>
          </w:rPr>
          <w:t>1.6. Computer desktops and similar (C)</w:t>
        </w:r>
        <w:r w:rsidR="008165CE">
          <w:rPr>
            <w:noProof/>
            <w:webHidden/>
          </w:rPr>
          <w:tab/>
        </w:r>
        <w:r>
          <w:rPr>
            <w:noProof/>
            <w:webHidden/>
          </w:rPr>
          <w:fldChar w:fldCharType="begin"/>
        </w:r>
        <w:r w:rsidR="008165CE">
          <w:rPr>
            <w:noProof/>
            <w:webHidden/>
          </w:rPr>
          <w:instrText xml:space="preserve"> PAGEREF _Toc304967190 \h </w:instrText>
        </w:r>
        <w:r>
          <w:rPr>
            <w:noProof/>
            <w:webHidden/>
          </w:rPr>
        </w:r>
        <w:r>
          <w:rPr>
            <w:noProof/>
            <w:webHidden/>
          </w:rPr>
          <w:fldChar w:fldCharType="separate"/>
        </w:r>
        <w:r w:rsidR="002D292C">
          <w:rPr>
            <w:noProof/>
            <w:webHidden/>
          </w:rPr>
          <w:t>27</w:t>
        </w:r>
        <w:r>
          <w:rPr>
            <w:noProof/>
            <w:webHidden/>
          </w:rPr>
          <w:fldChar w:fldCharType="end"/>
        </w:r>
      </w:hyperlink>
    </w:p>
    <w:p w:rsidR="008165CE" w:rsidRDefault="00246893">
      <w:pPr>
        <w:pStyle w:val="TOC2"/>
        <w:tabs>
          <w:tab w:val="right" w:leader="dot" w:pos="8303"/>
        </w:tabs>
        <w:rPr>
          <w:rFonts w:asciiTheme="minorHAnsi" w:eastAsiaTheme="minorEastAsia" w:hAnsiTheme="minorHAnsi" w:cstheme="minorBidi"/>
          <w:noProof/>
          <w:sz w:val="22"/>
          <w:szCs w:val="22"/>
          <w:lang w:val="en-AU" w:eastAsia="en-AU"/>
        </w:rPr>
      </w:pPr>
      <w:hyperlink w:anchor="_Toc304967191" w:history="1">
        <w:r w:rsidR="008165CE" w:rsidRPr="008032E4">
          <w:rPr>
            <w:rStyle w:val="Hyperlink"/>
            <w:rFonts w:eastAsia="MS Mincho"/>
            <w:noProof/>
          </w:rPr>
          <w:t>1.7. Control devices</w:t>
        </w:r>
        <w:r w:rsidR="008165CE">
          <w:rPr>
            <w:noProof/>
            <w:webHidden/>
          </w:rPr>
          <w:tab/>
        </w:r>
        <w:r>
          <w:rPr>
            <w:noProof/>
            <w:webHidden/>
          </w:rPr>
          <w:fldChar w:fldCharType="begin"/>
        </w:r>
        <w:r w:rsidR="008165CE">
          <w:rPr>
            <w:noProof/>
            <w:webHidden/>
          </w:rPr>
          <w:instrText xml:space="preserve"> PAGEREF _Toc304967191 \h </w:instrText>
        </w:r>
        <w:r>
          <w:rPr>
            <w:noProof/>
            <w:webHidden/>
          </w:rPr>
        </w:r>
        <w:r>
          <w:rPr>
            <w:noProof/>
            <w:webHidden/>
          </w:rPr>
          <w:fldChar w:fldCharType="separate"/>
        </w:r>
        <w:r w:rsidR="002D292C">
          <w:rPr>
            <w:noProof/>
            <w:webHidden/>
          </w:rPr>
          <w:t>30</w:t>
        </w:r>
        <w:r>
          <w:rPr>
            <w:noProof/>
            <w:webHidden/>
          </w:rPr>
          <w:fldChar w:fldCharType="end"/>
        </w:r>
      </w:hyperlink>
    </w:p>
    <w:p w:rsidR="008165CE" w:rsidRDefault="00246893">
      <w:pPr>
        <w:pStyle w:val="TOC2"/>
        <w:tabs>
          <w:tab w:val="right" w:leader="dot" w:pos="8303"/>
        </w:tabs>
        <w:rPr>
          <w:rFonts w:asciiTheme="minorHAnsi" w:eastAsiaTheme="minorEastAsia" w:hAnsiTheme="minorHAnsi" w:cstheme="minorBidi"/>
          <w:noProof/>
          <w:sz w:val="22"/>
          <w:szCs w:val="22"/>
          <w:lang w:val="en-AU" w:eastAsia="en-AU"/>
        </w:rPr>
      </w:pPr>
      <w:hyperlink w:anchor="_Toc304967192" w:history="1">
        <w:r w:rsidR="008165CE" w:rsidRPr="008032E4">
          <w:rPr>
            <w:rStyle w:val="Hyperlink"/>
            <w:rFonts w:eastAsia="MS Mincho"/>
            <w:noProof/>
          </w:rPr>
          <w:t>1.8. Storage units for computers</w:t>
        </w:r>
        <w:r w:rsidR="008165CE">
          <w:rPr>
            <w:noProof/>
            <w:webHidden/>
          </w:rPr>
          <w:tab/>
        </w:r>
        <w:r>
          <w:rPr>
            <w:noProof/>
            <w:webHidden/>
          </w:rPr>
          <w:fldChar w:fldCharType="begin"/>
        </w:r>
        <w:r w:rsidR="008165CE">
          <w:rPr>
            <w:noProof/>
            <w:webHidden/>
          </w:rPr>
          <w:instrText xml:space="preserve"> PAGEREF _Toc304967192 \h </w:instrText>
        </w:r>
        <w:r>
          <w:rPr>
            <w:noProof/>
            <w:webHidden/>
          </w:rPr>
        </w:r>
        <w:r>
          <w:rPr>
            <w:noProof/>
            <w:webHidden/>
          </w:rPr>
          <w:fldChar w:fldCharType="separate"/>
        </w:r>
        <w:r w:rsidR="002D292C">
          <w:rPr>
            <w:noProof/>
            <w:webHidden/>
          </w:rPr>
          <w:t>35</w:t>
        </w:r>
        <w:r>
          <w:rPr>
            <w:noProof/>
            <w:webHidden/>
          </w:rPr>
          <w:fldChar w:fldCharType="end"/>
        </w:r>
      </w:hyperlink>
    </w:p>
    <w:p w:rsidR="008165CE" w:rsidRDefault="00246893">
      <w:pPr>
        <w:pStyle w:val="TOC2"/>
        <w:tabs>
          <w:tab w:val="right" w:leader="dot" w:pos="8303"/>
        </w:tabs>
        <w:rPr>
          <w:rFonts w:asciiTheme="minorHAnsi" w:eastAsiaTheme="minorEastAsia" w:hAnsiTheme="minorHAnsi" w:cstheme="minorBidi"/>
          <w:noProof/>
          <w:sz w:val="22"/>
          <w:szCs w:val="22"/>
          <w:lang w:val="en-AU" w:eastAsia="en-AU"/>
        </w:rPr>
      </w:pPr>
      <w:hyperlink w:anchor="_Toc304967193" w:history="1">
        <w:r w:rsidR="008165CE" w:rsidRPr="008032E4">
          <w:rPr>
            <w:rStyle w:val="Hyperlink"/>
            <w:rFonts w:eastAsia="MS Mincho"/>
            <w:noProof/>
          </w:rPr>
          <w:t>1.9. Parts and accessories of computers</w:t>
        </w:r>
        <w:r w:rsidR="008165CE">
          <w:rPr>
            <w:noProof/>
            <w:webHidden/>
          </w:rPr>
          <w:tab/>
        </w:r>
        <w:r>
          <w:rPr>
            <w:noProof/>
            <w:webHidden/>
          </w:rPr>
          <w:fldChar w:fldCharType="begin"/>
        </w:r>
        <w:r w:rsidR="008165CE">
          <w:rPr>
            <w:noProof/>
            <w:webHidden/>
          </w:rPr>
          <w:instrText xml:space="preserve"> PAGEREF _Toc304967193 \h </w:instrText>
        </w:r>
        <w:r>
          <w:rPr>
            <w:noProof/>
            <w:webHidden/>
          </w:rPr>
        </w:r>
        <w:r>
          <w:rPr>
            <w:noProof/>
            <w:webHidden/>
          </w:rPr>
          <w:fldChar w:fldCharType="separate"/>
        </w:r>
        <w:r w:rsidR="002D292C">
          <w:rPr>
            <w:noProof/>
            <w:webHidden/>
          </w:rPr>
          <w:t>41</w:t>
        </w:r>
        <w:r>
          <w:rPr>
            <w:noProof/>
            <w:webHidden/>
          </w:rPr>
          <w:fldChar w:fldCharType="end"/>
        </w:r>
      </w:hyperlink>
    </w:p>
    <w:p w:rsidR="008165CE" w:rsidRDefault="00246893">
      <w:pPr>
        <w:pStyle w:val="TOC2"/>
        <w:tabs>
          <w:tab w:val="right" w:leader="dot" w:pos="8303"/>
        </w:tabs>
        <w:rPr>
          <w:rFonts w:asciiTheme="minorHAnsi" w:eastAsiaTheme="minorEastAsia" w:hAnsiTheme="minorHAnsi" w:cstheme="minorBidi"/>
          <w:noProof/>
          <w:sz w:val="22"/>
          <w:szCs w:val="22"/>
          <w:lang w:val="en-AU" w:eastAsia="en-AU"/>
        </w:rPr>
      </w:pPr>
      <w:hyperlink w:anchor="_Toc304967194" w:history="1">
        <w:r w:rsidR="008165CE" w:rsidRPr="008032E4">
          <w:rPr>
            <w:rStyle w:val="Hyperlink"/>
            <w:rFonts w:eastAsia="MS Mincho"/>
            <w:noProof/>
          </w:rPr>
          <w:t>1.10. Internal power supplies for PCs</w:t>
        </w:r>
        <w:r w:rsidR="008165CE">
          <w:rPr>
            <w:noProof/>
            <w:webHidden/>
          </w:rPr>
          <w:tab/>
        </w:r>
        <w:r>
          <w:rPr>
            <w:noProof/>
            <w:webHidden/>
          </w:rPr>
          <w:fldChar w:fldCharType="begin"/>
        </w:r>
        <w:r w:rsidR="008165CE">
          <w:rPr>
            <w:noProof/>
            <w:webHidden/>
          </w:rPr>
          <w:instrText xml:space="preserve"> PAGEREF _Toc304967194 \h </w:instrText>
        </w:r>
        <w:r>
          <w:rPr>
            <w:noProof/>
            <w:webHidden/>
          </w:rPr>
        </w:r>
        <w:r>
          <w:rPr>
            <w:noProof/>
            <w:webHidden/>
          </w:rPr>
          <w:fldChar w:fldCharType="separate"/>
        </w:r>
        <w:r w:rsidR="002D292C">
          <w:rPr>
            <w:noProof/>
            <w:webHidden/>
          </w:rPr>
          <w:t>47</w:t>
        </w:r>
        <w:r>
          <w:rPr>
            <w:noProof/>
            <w:webHidden/>
          </w:rPr>
          <w:fldChar w:fldCharType="end"/>
        </w:r>
      </w:hyperlink>
    </w:p>
    <w:p w:rsidR="008165CE" w:rsidRDefault="00246893">
      <w:pPr>
        <w:pStyle w:val="TOC2"/>
        <w:tabs>
          <w:tab w:val="right" w:leader="dot" w:pos="8303"/>
        </w:tabs>
        <w:rPr>
          <w:rFonts w:asciiTheme="minorHAnsi" w:eastAsiaTheme="minorEastAsia" w:hAnsiTheme="minorHAnsi" w:cstheme="minorBidi"/>
          <w:noProof/>
          <w:sz w:val="22"/>
          <w:szCs w:val="22"/>
          <w:lang w:val="en-AU" w:eastAsia="en-AU"/>
        </w:rPr>
      </w:pPr>
      <w:hyperlink w:anchor="_Toc304967195" w:history="1">
        <w:r w:rsidR="008165CE" w:rsidRPr="008032E4">
          <w:rPr>
            <w:rStyle w:val="Hyperlink"/>
            <w:rFonts w:eastAsia="MS Mincho"/>
            <w:noProof/>
          </w:rPr>
          <w:t>1.11. Speakers</w:t>
        </w:r>
        <w:r w:rsidR="008165CE">
          <w:rPr>
            <w:noProof/>
            <w:webHidden/>
          </w:rPr>
          <w:tab/>
        </w:r>
        <w:r>
          <w:rPr>
            <w:noProof/>
            <w:webHidden/>
          </w:rPr>
          <w:fldChar w:fldCharType="begin"/>
        </w:r>
        <w:r w:rsidR="008165CE">
          <w:rPr>
            <w:noProof/>
            <w:webHidden/>
          </w:rPr>
          <w:instrText xml:space="preserve"> PAGEREF _Toc304967195 \h </w:instrText>
        </w:r>
        <w:r>
          <w:rPr>
            <w:noProof/>
            <w:webHidden/>
          </w:rPr>
        </w:r>
        <w:r>
          <w:rPr>
            <w:noProof/>
            <w:webHidden/>
          </w:rPr>
          <w:fldChar w:fldCharType="separate"/>
        </w:r>
        <w:r w:rsidR="002D292C">
          <w:rPr>
            <w:noProof/>
            <w:webHidden/>
          </w:rPr>
          <w:t>48</w:t>
        </w:r>
        <w:r>
          <w:rPr>
            <w:noProof/>
            <w:webHidden/>
          </w:rPr>
          <w:fldChar w:fldCharType="end"/>
        </w:r>
      </w:hyperlink>
    </w:p>
    <w:p w:rsidR="008165CE" w:rsidRDefault="00246893">
      <w:pPr>
        <w:pStyle w:val="TOC2"/>
        <w:tabs>
          <w:tab w:val="right" w:leader="dot" w:pos="8303"/>
        </w:tabs>
        <w:rPr>
          <w:rFonts w:asciiTheme="minorHAnsi" w:eastAsiaTheme="minorEastAsia" w:hAnsiTheme="minorHAnsi" w:cstheme="minorBidi"/>
          <w:noProof/>
          <w:sz w:val="22"/>
          <w:szCs w:val="22"/>
          <w:lang w:val="en-AU" w:eastAsia="en-AU"/>
        </w:rPr>
      </w:pPr>
      <w:hyperlink w:anchor="_Toc304967196" w:history="1">
        <w:r w:rsidR="008165CE" w:rsidRPr="008032E4">
          <w:rPr>
            <w:rStyle w:val="Hyperlink"/>
            <w:rFonts w:eastAsia="MS Mincho"/>
            <w:noProof/>
          </w:rPr>
          <w:t>1.12. Web cameras</w:t>
        </w:r>
        <w:r w:rsidR="008165CE">
          <w:rPr>
            <w:noProof/>
            <w:webHidden/>
          </w:rPr>
          <w:tab/>
        </w:r>
        <w:r>
          <w:rPr>
            <w:noProof/>
            <w:webHidden/>
          </w:rPr>
          <w:fldChar w:fldCharType="begin"/>
        </w:r>
        <w:r w:rsidR="008165CE">
          <w:rPr>
            <w:noProof/>
            <w:webHidden/>
          </w:rPr>
          <w:instrText xml:space="preserve"> PAGEREF _Toc304967196 \h </w:instrText>
        </w:r>
        <w:r>
          <w:rPr>
            <w:noProof/>
            <w:webHidden/>
          </w:rPr>
        </w:r>
        <w:r>
          <w:rPr>
            <w:noProof/>
            <w:webHidden/>
          </w:rPr>
          <w:fldChar w:fldCharType="separate"/>
        </w:r>
        <w:r w:rsidR="002D292C">
          <w:rPr>
            <w:noProof/>
            <w:webHidden/>
          </w:rPr>
          <w:t>49</w:t>
        </w:r>
        <w:r>
          <w:rPr>
            <w:noProof/>
            <w:webHidden/>
          </w:rPr>
          <w:fldChar w:fldCharType="end"/>
        </w:r>
      </w:hyperlink>
    </w:p>
    <w:p w:rsidR="008165CE" w:rsidRDefault="00246893">
      <w:pPr>
        <w:pStyle w:val="TOC2"/>
        <w:tabs>
          <w:tab w:val="right" w:leader="dot" w:pos="8303"/>
        </w:tabs>
        <w:rPr>
          <w:rFonts w:asciiTheme="minorHAnsi" w:eastAsiaTheme="minorEastAsia" w:hAnsiTheme="minorHAnsi" w:cstheme="minorBidi"/>
          <w:noProof/>
          <w:sz w:val="22"/>
          <w:szCs w:val="22"/>
          <w:lang w:val="en-AU" w:eastAsia="en-AU"/>
        </w:rPr>
      </w:pPr>
      <w:hyperlink w:anchor="_Toc304967197" w:history="1">
        <w:r w:rsidR="008165CE" w:rsidRPr="008032E4">
          <w:rPr>
            <w:rStyle w:val="Hyperlink"/>
            <w:rFonts w:eastAsia="MS Mincho"/>
            <w:noProof/>
          </w:rPr>
          <w:t>1.13. Computer displays - CRT</w:t>
        </w:r>
        <w:r w:rsidR="008165CE">
          <w:rPr>
            <w:noProof/>
            <w:webHidden/>
          </w:rPr>
          <w:tab/>
        </w:r>
        <w:r>
          <w:rPr>
            <w:noProof/>
            <w:webHidden/>
          </w:rPr>
          <w:fldChar w:fldCharType="begin"/>
        </w:r>
        <w:r w:rsidR="008165CE">
          <w:rPr>
            <w:noProof/>
            <w:webHidden/>
          </w:rPr>
          <w:instrText xml:space="preserve"> PAGEREF _Toc304967197 \h </w:instrText>
        </w:r>
        <w:r>
          <w:rPr>
            <w:noProof/>
            <w:webHidden/>
          </w:rPr>
        </w:r>
        <w:r>
          <w:rPr>
            <w:noProof/>
            <w:webHidden/>
          </w:rPr>
          <w:fldChar w:fldCharType="separate"/>
        </w:r>
        <w:r w:rsidR="002D292C">
          <w:rPr>
            <w:noProof/>
            <w:webHidden/>
          </w:rPr>
          <w:t>50</w:t>
        </w:r>
        <w:r>
          <w:rPr>
            <w:noProof/>
            <w:webHidden/>
          </w:rPr>
          <w:fldChar w:fldCharType="end"/>
        </w:r>
      </w:hyperlink>
    </w:p>
    <w:p w:rsidR="008165CE" w:rsidRDefault="00246893">
      <w:pPr>
        <w:pStyle w:val="TOC2"/>
        <w:tabs>
          <w:tab w:val="right" w:leader="dot" w:pos="8303"/>
        </w:tabs>
        <w:rPr>
          <w:rFonts w:asciiTheme="minorHAnsi" w:eastAsiaTheme="minorEastAsia" w:hAnsiTheme="minorHAnsi" w:cstheme="minorBidi"/>
          <w:noProof/>
          <w:sz w:val="22"/>
          <w:szCs w:val="22"/>
          <w:lang w:val="en-AU" w:eastAsia="en-AU"/>
        </w:rPr>
      </w:pPr>
      <w:hyperlink w:anchor="_Toc304967198" w:history="1">
        <w:r w:rsidR="008165CE" w:rsidRPr="008032E4">
          <w:rPr>
            <w:rStyle w:val="Hyperlink"/>
            <w:rFonts w:eastAsia="MS Mincho"/>
            <w:noProof/>
          </w:rPr>
          <w:t>1.14. Computer displays – Non CRT</w:t>
        </w:r>
        <w:r w:rsidR="008165CE">
          <w:rPr>
            <w:noProof/>
            <w:webHidden/>
          </w:rPr>
          <w:tab/>
        </w:r>
        <w:r>
          <w:rPr>
            <w:noProof/>
            <w:webHidden/>
          </w:rPr>
          <w:fldChar w:fldCharType="begin"/>
        </w:r>
        <w:r w:rsidR="008165CE">
          <w:rPr>
            <w:noProof/>
            <w:webHidden/>
          </w:rPr>
          <w:instrText xml:space="preserve"> PAGEREF _Toc304967198 \h </w:instrText>
        </w:r>
        <w:r>
          <w:rPr>
            <w:noProof/>
            <w:webHidden/>
          </w:rPr>
        </w:r>
        <w:r>
          <w:rPr>
            <w:noProof/>
            <w:webHidden/>
          </w:rPr>
          <w:fldChar w:fldCharType="separate"/>
        </w:r>
        <w:r w:rsidR="002D292C">
          <w:rPr>
            <w:noProof/>
            <w:webHidden/>
          </w:rPr>
          <w:t>51</w:t>
        </w:r>
        <w:r>
          <w:rPr>
            <w:noProof/>
            <w:webHidden/>
          </w:rPr>
          <w:fldChar w:fldCharType="end"/>
        </w:r>
      </w:hyperlink>
    </w:p>
    <w:p w:rsidR="008165CE" w:rsidRDefault="00246893">
      <w:pPr>
        <w:pStyle w:val="TOC2"/>
        <w:tabs>
          <w:tab w:val="right" w:leader="dot" w:pos="8303"/>
        </w:tabs>
        <w:rPr>
          <w:rFonts w:asciiTheme="minorHAnsi" w:eastAsiaTheme="minorEastAsia" w:hAnsiTheme="minorHAnsi" w:cstheme="minorBidi"/>
          <w:noProof/>
          <w:sz w:val="22"/>
          <w:szCs w:val="22"/>
          <w:lang w:val="en-AU" w:eastAsia="en-AU"/>
        </w:rPr>
      </w:pPr>
      <w:hyperlink w:anchor="_Toc304967199" w:history="1">
        <w:r w:rsidR="008165CE" w:rsidRPr="008032E4">
          <w:rPr>
            <w:rStyle w:val="Hyperlink"/>
            <w:rFonts w:eastAsia="MS Mincho"/>
            <w:noProof/>
          </w:rPr>
          <w:t>1.15. Black and white televisions</w:t>
        </w:r>
        <w:r w:rsidR="008165CE">
          <w:rPr>
            <w:noProof/>
            <w:webHidden/>
          </w:rPr>
          <w:tab/>
        </w:r>
        <w:r>
          <w:rPr>
            <w:noProof/>
            <w:webHidden/>
          </w:rPr>
          <w:fldChar w:fldCharType="begin"/>
        </w:r>
        <w:r w:rsidR="008165CE">
          <w:rPr>
            <w:noProof/>
            <w:webHidden/>
          </w:rPr>
          <w:instrText xml:space="preserve"> PAGEREF _Toc304967199 \h </w:instrText>
        </w:r>
        <w:r>
          <w:rPr>
            <w:noProof/>
            <w:webHidden/>
          </w:rPr>
        </w:r>
        <w:r>
          <w:rPr>
            <w:noProof/>
            <w:webHidden/>
          </w:rPr>
          <w:fldChar w:fldCharType="separate"/>
        </w:r>
        <w:r w:rsidR="002D292C">
          <w:rPr>
            <w:noProof/>
            <w:webHidden/>
          </w:rPr>
          <w:t>54</w:t>
        </w:r>
        <w:r>
          <w:rPr>
            <w:noProof/>
            <w:webHidden/>
          </w:rPr>
          <w:fldChar w:fldCharType="end"/>
        </w:r>
      </w:hyperlink>
    </w:p>
    <w:p w:rsidR="008165CE" w:rsidRDefault="00246893">
      <w:pPr>
        <w:pStyle w:val="TOC2"/>
        <w:tabs>
          <w:tab w:val="right" w:leader="dot" w:pos="8303"/>
        </w:tabs>
        <w:rPr>
          <w:rFonts w:asciiTheme="minorHAnsi" w:eastAsiaTheme="minorEastAsia" w:hAnsiTheme="minorHAnsi" w:cstheme="minorBidi"/>
          <w:noProof/>
          <w:sz w:val="22"/>
          <w:szCs w:val="22"/>
          <w:lang w:val="en-AU" w:eastAsia="en-AU"/>
        </w:rPr>
      </w:pPr>
      <w:hyperlink w:anchor="_Toc304967200" w:history="1">
        <w:r w:rsidR="008165CE" w:rsidRPr="008032E4">
          <w:rPr>
            <w:rStyle w:val="Hyperlink"/>
            <w:rFonts w:eastAsia="MS Mincho"/>
            <w:noProof/>
          </w:rPr>
          <w:t>1.16. Colour televisions</w:t>
        </w:r>
        <w:r w:rsidR="008165CE">
          <w:rPr>
            <w:noProof/>
            <w:webHidden/>
          </w:rPr>
          <w:tab/>
        </w:r>
        <w:r>
          <w:rPr>
            <w:noProof/>
            <w:webHidden/>
          </w:rPr>
          <w:fldChar w:fldCharType="begin"/>
        </w:r>
        <w:r w:rsidR="008165CE">
          <w:rPr>
            <w:noProof/>
            <w:webHidden/>
          </w:rPr>
          <w:instrText xml:space="preserve"> PAGEREF _Toc304967200 \h </w:instrText>
        </w:r>
        <w:r>
          <w:rPr>
            <w:noProof/>
            <w:webHidden/>
          </w:rPr>
        </w:r>
        <w:r>
          <w:rPr>
            <w:noProof/>
            <w:webHidden/>
          </w:rPr>
          <w:fldChar w:fldCharType="separate"/>
        </w:r>
        <w:r w:rsidR="002D292C">
          <w:rPr>
            <w:noProof/>
            <w:webHidden/>
          </w:rPr>
          <w:t>55</w:t>
        </w:r>
        <w:r>
          <w:rPr>
            <w:noProof/>
            <w:webHidden/>
          </w:rPr>
          <w:fldChar w:fldCharType="end"/>
        </w:r>
      </w:hyperlink>
    </w:p>
    <w:p w:rsidR="008165CE" w:rsidRDefault="00246893">
      <w:pPr>
        <w:pStyle w:val="TOC1"/>
        <w:tabs>
          <w:tab w:val="left" w:pos="440"/>
          <w:tab w:val="right" w:leader="dot" w:pos="8303"/>
        </w:tabs>
        <w:rPr>
          <w:rFonts w:asciiTheme="minorHAnsi" w:eastAsiaTheme="minorEastAsia" w:hAnsiTheme="minorHAnsi" w:cstheme="minorBidi"/>
          <w:b w:val="0"/>
          <w:noProof/>
          <w:szCs w:val="22"/>
          <w:lang w:val="en-AU" w:eastAsia="en-AU"/>
        </w:rPr>
      </w:pPr>
      <w:hyperlink w:anchor="_Toc304967201" w:history="1">
        <w:r w:rsidR="008165CE" w:rsidRPr="008032E4">
          <w:rPr>
            <w:rStyle w:val="Hyperlink"/>
            <w:rFonts w:eastAsia="MS Mincho"/>
            <w:noProof/>
          </w:rPr>
          <w:t>6.</w:t>
        </w:r>
        <w:r w:rsidR="008165CE">
          <w:rPr>
            <w:rFonts w:asciiTheme="minorHAnsi" w:eastAsiaTheme="minorEastAsia" w:hAnsiTheme="minorHAnsi" w:cstheme="minorBidi"/>
            <w:b w:val="0"/>
            <w:noProof/>
            <w:szCs w:val="22"/>
            <w:lang w:val="en-AU" w:eastAsia="en-AU"/>
          </w:rPr>
          <w:tab/>
        </w:r>
        <w:r w:rsidR="008165CE" w:rsidRPr="008032E4">
          <w:rPr>
            <w:rStyle w:val="Hyperlink"/>
            <w:rFonts w:eastAsia="MS Mincho"/>
            <w:noProof/>
          </w:rPr>
          <w:t>RESULTS - PROPOSED CONVERSION FACTORS FOR SC12</w:t>
        </w:r>
        <w:r w:rsidR="008165CE">
          <w:rPr>
            <w:noProof/>
            <w:webHidden/>
          </w:rPr>
          <w:tab/>
        </w:r>
        <w:r>
          <w:rPr>
            <w:noProof/>
            <w:webHidden/>
          </w:rPr>
          <w:fldChar w:fldCharType="begin"/>
        </w:r>
        <w:r w:rsidR="008165CE">
          <w:rPr>
            <w:noProof/>
            <w:webHidden/>
          </w:rPr>
          <w:instrText xml:space="preserve"> PAGEREF _Toc304967201 \h </w:instrText>
        </w:r>
        <w:r>
          <w:rPr>
            <w:noProof/>
            <w:webHidden/>
          </w:rPr>
        </w:r>
        <w:r>
          <w:rPr>
            <w:noProof/>
            <w:webHidden/>
          </w:rPr>
          <w:fldChar w:fldCharType="separate"/>
        </w:r>
        <w:r w:rsidR="002D292C">
          <w:rPr>
            <w:noProof/>
            <w:webHidden/>
          </w:rPr>
          <w:t>70</w:t>
        </w:r>
        <w:r>
          <w:rPr>
            <w:noProof/>
            <w:webHidden/>
          </w:rPr>
          <w:fldChar w:fldCharType="end"/>
        </w:r>
      </w:hyperlink>
    </w:p>
    <w:p w:rsidR="008165CE" w:rsidRDefault="00246893">
      <w:pPr>
        <w:pStyle w:val="TOC1"/>
        <w:tabs>
          <w:tab w:val="left" w:pos="440"/>
          <w:tab w:val="right" w:leader="dot" w:pos="8303"/>
        </w:tabs>
        <w:rPr>
          <w:rFonts w:asciiTheme="minorHAnsi" w:eastAsiaTheme="minorEastAsia" w:hAnsiTheme="minorHAnsi" w:cstheme="minorBidi"/>
          <w:b w:val="0"/>
          <w:noProof/>
          <w:szCs w:val="22"/>
          <w:lang w:val="en-AU" w:eastAsia="en-AU"/>
        </w:rPr>
      </w:pPr>
      <w:hyperlink w:anchor="_Toc304967202" w:history="1">
        <w:r w:rsidR="008165CE" w:rsidRPr="008032E4">
          <w:rPr>
            <w:rStyle w:val="Hyperlink"/>
            <w:rFonts w:eastAsia="MS Mincho"/>
            <w:noProof/>
          </w:rPr>
          <w:t>7.</w:t>
        </w:r>
        <w:r w:rsidR="008165CE">
          <w:rPr>
            <w:rFonts w:asciiTheme="minorHAnsi" w:eastAsiaTheme="minorEastAsia" w:hAnsiTheme="minorHAnsi" w:cstheme="minorBidi"/>
            <w:b w:val="0"/>
            <w:noProof/>
            <w:szCs w:val="22"/>
            <w:lang w:val="en-AU" w:eastAsia="en-AU"/>
          </w:rPr>
          <w:tab/>
        </w:r>
        <w:r w:rsidR="008165CE" w:rsidRPr="008032E4">
          <w:rPr>
            <w:rStyle w:val="Hyperlink"/>
            <w:rFonts w:eastAsia="MS Mincho"/>
            <w:noProof/>
          </w:rPr>
          <w:t>DISCUSSION</w:t>
        </w:r>
        <w:r w:rsidR="008165CE">
          <w:rPr>
            <w:noProof/>
            <w:webHidden/>
          </w:rPr>
          <w:tab/>
        </w:r>
        <w:r>
          <w:rPr>
            <w:noProof/>
            <w:webHidden/>
          </w:rPr>
          <w:fldChar w:fldCharType="begin"/>
        </w:r>
        <w:r w:rsidR="008165CE">
          <w:rPr>
            <w:noProof/>
            <w:webHidden/>
          </w:rPr>
          <w:instrText xml:space="preserve"> PAGEREF _Toc304967202 \h </w:instrText>
        </w:r>
        <w:r>
          <w:rPr>
            <w:noProof/>
            <w:webHidden/>
          </w:rPr>
        </w:r>
        <w:r>
          <w:rPr>
            <w:noProof/>
            <w:webHidden/>
          </w:rPr>
          <w:fldChar w:fldCharType="separate"/>
        </w:r>
        <w:r w:rsidR="002D292C">
          <w:rPr>
            <w:noProof/>
            <w:webHidden/>
          </w:rPr>
          <w:t>72</w:t>
        </w:r>
        <w:r>
          <w:rPr>
            <w:noProof/>
            <w:webHidden/>
          </w:rPr>
          <w:fldChar w:fldCharType="end"/>
        </w:r>
      </w:hyperlink>
    </w:p>
    <w:p w:rsidR="008165CE" w:rsidRDefault="00246893">
      <w:pPr>
        <w:pStyle w:val="TOC2"/>
        <w:tabs>
          <w:tab w:val="right" w:leader="dot" w:pos="8303"/>
        </w:tabs>
        <w:rPr>
          <w:rFonts w:asciiTheme="minorHAnsi" w:eastAsiaTheme="minorEastAsia" w:hAnsiTheme="minorHAnsi" w:cstheme="minorBidi"/>
          <w:noProof/>
          <w:sz w:val="22"/>
          <w:szCs w:val="22"/>
          <w:lang w:val="en-AU" w:eastAsia="en-AU"/>
        </w:rPr>
      </w:pPr>
      <w:hyperlink w:anchor="_Toc304967203" w:history="1">
        <w:r w:rsidR="008165CE" w:rsidRPr="008032E4">
          <w:rPr>
            <w:rStyle w:val="Hyperlink"/>
            <w:rFonts w:eastAsia="MS Mincho"/>
            <w:noProof/>
          </w:rPr>
          <w:t>7.1 Robustness of conversion factors applied individually</w:t>
        </w:r>
        <w:r w:rsidR="008165CE">
          <w:rPr>
            <w:noProof/>
            <w:webHidden/>
          </w:rPr>
          <w:tab/>
        </w:r>
        <w:r>
          <w:rPr>
            <w:noProof/>
            <w:webHidden/>
          </w:rPr>
          <w:fldChar w:fldCharType="begin"/>
        </w:r>
        <w:r w:rsidR="008165CE">
          <w:rPr>
            <w:noProof/>
            <w:webHidden/>
          </w:rPr>
          <w:instrText xml:space="preserve"> PAGEREF _Toc304967203 \h </w:instrText>
        </w:r>
        <w:r>
          <w:rPr>
            <w:noProof/>
            <w:webHidden/>
          </w:rPr>
        </w:r>
        <w:r>
          <w:rPr>
            <w:noProof/>
            <w:webHidden/>
          </w:rPr>
          <w:fldChar w:fldCharType="separate"/>
        </w:r>
        <w:r w:rsidR="002D292C">
          <w:rPr>
            <w:noProof/>
            <w:webHidden/>
          </w:rPr>
          <w:t>72</w:t>
        </w:r>
        <w:r>
          <w:rPr>
            <w:noProof/>
            <w:webHidden/>
          </w:rPr>
          <w:fldChar w:fldCharType="end"/>
        </w:r>
      </w:hyperlink>
    </w:p>
    <w:p w:rsidR="008165CE" w:rsidRDefault="00246893">
      <w:pPr>
        <w:pStyle w:val="TOC2"/>
        <w:tabs>
          <w:tab w:val="right" w:leader="dot" w:pos="8303"/>
        </w:tabs>
        <w:rPr>
          <w:rFonts w:asciiTheme="minorHAnsi" w:eastAsiaTheme="minorEastAsia" w:hAnsiTheme="minorHAnsi" w:cstheme="minorBidi"/>
          <w:noProof/>
          <w:sz w:val="22"/>
          <w:szCs w:val="22"/>
          <w:lang w:val="en-AU" w:eastAsia="en-AU"/>
        </w:rPr>
      </w:pPr>
      <w:hyperlink w:anchor="_Toc304967204" w:history="1">
        <w:r w:rsidR="008165CE" w:rsidRPr="008032E4">
          <w:rPr>
            <w:rStyle w:val="Hyperlink"/>
            <w:rFonts w:eastAsia="MS Mincho"/>
            <w:noProof/>
          </w:rPr>
          <w:t>7.2 Robustness of conversion factors applied collectively</w:t>
        </w:r>
        <w:r w:rsidR="008165CE">
          <w:rPr>
            <w:noProof/>
            <w:webHidden/>
          </w:rPr>
          <w:tab/>
        </w:r>
        <w:r>
          <w:rPr>
            <w:noProof/>
            <w:webHidden/>
          </w:rPr>
          <w:fldChar w:fldCharType="begin"/>
        </w:r>
        <w:r w:rsidR="008165CE">
          <w:rPr>
            <w:noProof/>
            <w:webHidden/>
          </w:rPr>
          <w:instrText xml:space="preserve"> PAGEREF _Toc304967204 \h </w:instrText>
        </w:r>
        <w:r>
          <w:rPr>
            <w:noProof/>
            <w:webHidden/>
          </w:rPr>
        </w:r>
        <w:r>
          <w:rPr>
            <w:noProof/>
            <w:webHidden/>
          </w:rPr>
          <w:fldChar w:fldCharType="separate"/>
        </w:r>
        <w:r w:rsidR="002D292C">
          <w:rPr>
            <w:noProof/>
            <w:webHidden/>
          </w:rPr>
          <w:t>74</w:t>
        </w:r>
        <w:r>
          <w:rPr>
            <w:noProof/>
            <w:webHidden/>
          </w:rPr>
          <w:fldChar w:fldCharType="end"/>
        </w:r>
      </w:hyperlink>
    </w:p>
    <w:p w:rsidR="008165CE" w:rsidRDefault="00246893">
      <w:pPr>
        <w:pStyle w:val="TOC3"/>
        <w:tabs>
          <w:tab w:val="right" w:leader="dot" w:pos="8303"/>
        </w:tabs>
        <w:rPr>
          <w:rFonts w:asciiTheme="minorHAnsi" w:eastAsiaTheme="minorEastAsia" w:hAnsiTheme="minorHAnsi" w:cstheme="minorBidi"/>
          <w:noProof/>
          <w:sz w:val="22"/>
          <w:szCs w:val="22"/>
          <w:lang w:eastAsia="en-AU"/>
        </w:rPr>
      </w:pPr>
      <w:hyperlink w:anchor="_Toc304967205" w:history="1">
        <w:r w:rsidR="008165CE" w:rsidRPr="008032E4">
          <w:rPr>
            <w:rStyle w:val="Hyperlink"/>
            <w:rFonts w:eastAsia="MS Mincho"/>
            <w:noProof/>
          </w:rPr>
          <w:t>Overall impact</w:t>
        </w:r>
        <w:r w:rsidR="008165CE">
          <w:rPr>
            <w:noProof/>
            <w:webHidden/>
          </w:rPr>
          <w:tab/>
        </w:r>
        <w:r>
          <w:rPr>
            <w:noProof/>
            <w:webHidden/>
          </w:rPr>
          <w:fldChar w:fldCharType="begin"/>
        </w:r>
        <w:r w:rsidR="008165CE">
          <w:rPr>
            <w:noProof/>
            <w:webHidden/>
          </w:rPr>
          <w:instrText xml:space="preserve"> PAGEREF _Toc304967205 \h </w:instrText>
        </w:r>
        <w:r>
          <w:rPr>
            <w:noProof/>
            <w:webHidden/>
          </w:rPr>
        </w:r>
        <w:r>
          <w:rPr>
            <w:noProof/>
            <w:webHidden/>
          </w:rPr>
          <w:fldChar w:fldCharType="separate"/>
        </w:r>
        <w:r w:rsidR="002D292C">
          <w:rPr>
            <w:noProof/>
            <w:webHidden/>
          </w:rPr>
          <w:t>74</w:t>
        </w:r>
        <w:r>
          <w:rPr>
            <w:noProof/>
            <w:webHidden/>
          </w:rPr>
          <w:fldChar w:fldCharType="end"/>
        </w:r>
      </w:hyperlink>
    </w:p>
    <w:p w:rsidR="008165CE" w:rsidRDefault="00246893">
      <w:pPr>
        <w:pStyle w:val="TOC3"/>
        <w:tabs>
          <w:tab w:val="right" w:leader="dot" w:pos="8303"/>
        </w:tabs>
        <w:rPr>
          <w:rFonts w:asciiTheme="minorHAnsi" w:eastAsiaTheme="minorEastAsia" w:hAnsiTheme="minorHAnsi" w:cstheme="minorBidi"/>
          <w:noProof/>
          <w:sz w:val="22"/>
          <w:szCs w:val="22"/>
          <w:lang w:eastAsia="en-AU"/>
        </w:rPr>
      </w:pPr>
      <w:hyperlink w:anchor="_Toc304967206" w:history="1">
        <w:r w:rsidR="008165CE" w:rsidRPr="008032E4">
          <w:rPr>
            <w:rStyle w:val="Hyperlink"/>
            <w:rFonts w:eastAsia="MS Mincho"/>
            <w:noProof/>
          </w:rPr>
          <w:t>Impact of applying factors to each brand/importer</w:t>
        </w:r>
        <w:r w:rsidR="008165CE">
          <w:rPr>
            <w:noProof/>
            <w:webHidden/>
          </w:rPr>
          <w:tab/>
        </w:r>
        <w:r>
          <w:rPr>
            <w:noProof/>
            <w:webHidden/>
          </w:rPr>
          <w:fldChar w:fldCharType="begin"/>
        </w:r>
        <w:r w:rsidR="008165CE">
          <w:rPr>
            <w:noProof/>
            <w:webHidden/>
          </w:rPr>
          <w:instrText xml:space="preserve"> PAGEREF _Toc304967206 \h </w:instrText>
        </w:r>
        <w:r>
          <w:rPr>
            <w:noProof/>
            <w:webHidden/>
          </w:rPr>
        </w:r>
        <w:r>
          <w:rPr>
            <w:noProof/>
            <w:webHidden/>
          </w:rPr>
          <w:fldChar w:fldCharType="separate"/>
        </w:r>
        <w:r w:rsidR="002D292C">
          <w:rPr>
            <w:noProof/>
            <w:webHidden/>
          </w:rPr>
          <w:t>75</w:t>
        </w:r>
        <w:r>
          <w:rPr>
            <w:noProof/>
            <w:webHidden/>
          </w:rPr>
          <w:fldChar w:fldCharType="end"/>
        </w:r>
      </w:hyperlink>
    </w:p>
    <w:p w:rsidR="008165CE" w:rsidRDefault="00246893">
      <w:pPr>
        <w:pStyle w:val="TOC1"/>
        <w:tabs>
          <w:tab w:val="left" w:pos="440"/>
          <w:tab w:val="right" w:leader="dot" w:pos="8303"/>
        </w:tabs>
        <w:rPr>
          <w:rFonts w:asciiTheme="minorHAnsi" w:eastAsiaTheme="minorEastAsia" w:hAnsiTheme="minorHAnsi" w:cstheme="minorBidi"/>
          <w:b w:val="0"/>
          <w:noProof/>
          <w:szCs w:val="22"/>
          <w:lang w:val="en-AU" w:eastAsia="en-AU"/>
        </w:rPr>
      </w:pPr>
      <w:hyperlink w:anchor="_Toc304967207" w:history="1">
        <w:r w:rsidR="008165CE" w:rsidRPr="008032E4">
          <w:rPr>
            <w:rStyle w:val="Hyperlink"/>
            <w:rFonts w:eastAsia="MS Mincho"/>
            <w:noProof/>
          </w:rPr>
          <w:t>8.</w:t>
        </w:r>
        <w:r w:rsidR="008165CE">
          <w:rPr>
            <w:rFonts w:asciiTheme="minorHAnsi" w:eastAsiaTheme="minorEastAsia" w:hAnsiTheme="minorHAnsi" w:cstheme="minorBidi"/>
            <w:b w:val="0"/>
            <w:noProof/>
            <w:szCs w:val="22"/>
            <w:lang w:val="en-AU" w:eastAsia="en-AU"/>
          </w:rPr>
          <w:tab/>
        </w:r>
        <w:r w:rsidR="008165CE" w:rsidRPr="008032E4">
          <w:rPr>
            <w:rStyle w:val="Hyperlink"/>
            <w:rFonts w:eastAsia="MS Mincho"/>
            <w:noProof/>
          </w:rPr>
          <w:t>APPENDIX A - Methodology for deriving the Conversion Factors</w:t>
        </w:r>
        <w:r w:rsidR="008165CE">
          <w:rPr>
            <w:noProof/>
            <w:webHidden/>
          </w:rPr>
          <w:tab/>
        </w:r>
        <w:r>
          <w:rPr>
            <w:noProof/>
            <w:webHidden/>
          </w:rPr>
          <w:fldChar w:fldCharType="begin"/>
        </w:r>
        <w:r w:rsidR="008165CE">
          <w:rPr>
            <w:noProof/>
            <w:webHidden/>
          </w:rPr>
          <w:instrText xml:space="preserve"> PAGEREF _Toc304967207 \h </w:instrText>
        </w:r>
        <w:r>
          <w:rPr>
            <w:noProof/>
            <w:webHidden/>
          </w:rPr>
        </w:r>
        <w:r>
          <w:rPr>
            <w:noProof/>
            <w:webHidden/>
          </w:rPr>
          <w:fldChar w:fldCharType="separate"/>
        </w:r>
        <w:r w:rsidR="002D292C">
          <w:rPr>
            <w:noProof/>
            <w:webHidden/>
          </w:rPr>
          <w:t>78</w:t>
        </w:r>
        <w:r>
          <w:rPr>
            <w:noProof/>
            <w:webHidden/>
          </w:rPr>
          <w:fldChar w:fldCharType="end"/>
        </w:r>
      </w:hyperlink>
    </w:p>
    <w:p w:rsidR="008165CE" w:rsidRDefault="00246893">
      <w:pPr>
        <w:pStyle w:val="TOC2"/>
        <w:tabs>
          <w:tab w:val="left" w:pos="660"/>
          <w:tab w:val="right" w:leader="dot" w:pos="8303"/>
        </w:tabs>
        <w:rPr>
          <w:rFonts w:asciiTheme="minorHAnsi" w:eastAsiaTheme="minorEastAsia" w:hAnsiTheme="minorHAnsi" w:cstheme="minorBidi"/>
          <w:noProof/>
          <w:sz w:val="22"/>
          <w:szCs w:val="22"/>
          <w:lang w:val="en-AU" w:eastAsia="en-AU"/>
        </w:rPr>
      </w:pPr>
      <w:hyperlink w:anchor="_Toc304967208" w:history="1">
        <w:r w:rsidR="008165CE" w:rsidRPr="008032E4">
          <w:rPr>
            <w:rStyle w:val="Hyperlink"/>
            <w:rFonts w:eastAsia="MS Mincho"/>
            <w:noProof/>
          </w:rPr>
          <w:t>a.</w:t>
        </w:r>
        <w:r w:rsidR="008165CE">
          <w:rPr>
            <w:rFonts w:asciiTheme="minorHAnsi" w:eastAsiaTheme="minorEastAsia" w:hAnsiTheme="minorHAnsi" w:cstheme="minorBidi"/>
            <w:noProof/>
            <w:sz w:val="22"/>
            <w:szCs w:val="22"/>
            <w:lang w:val="en-AU" w:eastAsia="en-AU"/>
          </w:rPr>
          <w:tab/>
        </w:r>
        <w:r w:rsidR="008165CE" w:rsidRPr="008032E4">
          <w:rPr>
            <w:rStyle w:val="Hyperlink"/>
            <w:rFonts w:eastAsia="MS Mincho"/>
            <w:noProof/>
          </w:rPr>
          <w:t>Data Gathering</w:t>
        </w:r>
        <w:r w:rsidR="008165CE">
          <w:rPr>
            <w:noProof/>
            <w:webHidden/>
          </w:rPr>
          <w:tab/>
        </w:r>
        <w:r>
          <w:rPr>
            <w:noProof/>
            <w:webHidden/>
          </w:rPr>
          <w:fldChar w:fldCharType="begin"/>
        </w:r>
        <w:r w:rsidR="008165CE">
          <w:rPr>
            <w:noProof/>
            <w:webHidden/>
          </w:rPr>
          <w:instrText xml:space="preserve"> PAGEREF _Toc304967208 \h </w:instrText>
        </w:r>
        <w:r>
          <w:rPr>
            <w:noProof/>
            <w:webHidden/>
          </w:rPr>
        </w:r>
        <w:r>
          <w:rPr>
            <w:noProof/>
            <w:webHidden/>
          </w:rPr>
          <w:fldChar w:fldCharType="separate"/>
        </w:r>
        <w:r w:rsidR="002D292C">
          <w:rPr>
            <w:noProof/>
            <w:webHidden/>
          </w:rPr>
          <w:t>78</w:t>
        </w:r>
        <w:r>
          <w:rPr>
            <w:noProof/>
            <w:webHidden/>
          </w:rPr>
          <w:fldChar w:fldCharType="end"/>
        </w:r>
      </w:hyperlink>
    </w:p>
    <w:p w:rsidR="008165CE" w:rsidRDefault="00246893">
      <w:pPr>
        <w:pStyle w:val="TOC2"/>
        <w:tabs>
          <w:tab w:val="left" w:pos="660"/>
          <w:tab w:val="right" w:leader="dot" w:pos="8303"/>
        </w:tabs>
        <w:rPr>
          <w:rFonts w:asciiTheme="minorHAnsi" w:eastAsiaTheme="minorEastAsia" w:hAnsiTheme="minorHAnsi" w:cstheme="minorBidi"/>
          <w:noProof/>
          <w:sz w:val="22"/>
          <w:szCs w:val="22"/>
          <w:lang w:val="en-AU" w:eastAsia="en-AU"/>
        </w:rPr>
      </w:pPr>
      <w:hyperlink w:anchor="_Toc304967209" w:history="1">
        <w:r w:rsidR="008165CE" w:rsidRPr="008032E4">
          <w:rPr>
            <w:rStyle w:val="Hyperlink"/>
            <w:rFonts w:eastAsia="MS Mincho"/>
            <w:noProof/>
          </w:rPr>
          <w:t>b.</w:t>
        </w:r>
        <w:r w:rsidR="008165CE">
          <w:rPr>
            <w:rFonts w:asciiTheme="minorHAnsi" w:eastAsiaTheme="minorEastAsia" w:hAnsiTheme="minorHAnsi" w:cstheme="minorBidi"/>
            <w:noProof/>
            <w:sz w:val="22"/>
            <w:szCs w:val="22"/>
            <w:lang w:val="en-AU" w:eastAsia="en-AU"/>
          </w:rPr>
          <w:tab/>
        </w:r>
        <w:r w:rsidR="008165CE" w:rsidRPr="008032E4">
          <w:rPr>
            <w:rStyle w:val="Hyperlink"/>
            <w:rFonts w:eastAsia="MS Mincho"/>
            <w:noProof/>
          </w:rPr>
          <w:t>Data Analysis</w:t>
        </w:r>
        <w:r w:rsidR="008165CE">
          <w:rPr>
            <w:noProof/>
            <w:webHidden/>
          </w:rPr>
          <w:tab/>
        </w:r>
        <w:r>
          <w:rPr>
            <w:noProof/>
            <w:webHidden/>
          </w:rPr>
          <w:fldChar w:fldCharType="begin"/>
        </w:r>
        <w:r w:rsidR="008165CE">
          <w:rPr>
            <w:noProof/>
            <w:webHidden/>
          </w:rPr>
          <w:instrText xml:space="preserve"> PAGEREF _Toc304967209 \h </w:instrText>
        </w:r>
        <w:r>
          <w:rPr>
            <w:noProof/>
            <w:webHidden/>
          </w:rPr>
        </w:r>
        <w:r>
          <w:rPr>
            <w:noProof/>
            <w:webHidden/>
          </w:rPr>
          <w:fldChar w:fldCharType="separate"/>
        </w:r>
        <w:r w:rsidR="002D292C">
          <w:rPr>
            <w:noProof/>
            <w:webHidden/>
          </w:rPr>
          <w:t>80</w:t>
        </w:r>
        <w:r>
          <w:rPr>
            <w:noProof/>
            <w:webHidden/>
          </w:rPr>
          <w:fldChar w:fldCharType="end"/>
        </w:r>
      </w:hyperlink>
    </w:p>
    <w:p w:rsidR="008165CE" w:rsidRDefault="00246893">
      <w:pPr>
        <w:pStyle w:val="TOC1"/>
        <w:tabs>
          <w:tab w:val="right" w:leader="dot" w:pos="8303"/>
        </w:tabs>
        <w:rPr>
          <w:rFonts w:asciiTheme="minorHAnsi" w:eastAsiaTheme="minorEastAsia" w:hAnsiTheme="minorHAnsi" w:cstheme="minorBidi"/>
          <w:b w:val="0"/>
          <w:noProof/>
          <w:szCs w:val="22"/>
          <w:lang w:val="en-AU" w:eastAsia="en-AU"/>
        </w:rPr>
      </w:pPr>
      <w:hyperlink w:anchor="_Toc304967210" w:history="1">
        <w:r w:rsidR="008165CE" w:rsidRPr="008032E4">
          <w:rPr>
            <w:rStyle w:val="Hyperlink"/>
            <w:rFonts w:eastAsia="MS Mincho"/>
            <w:noProof/>
          </w:rPr>
          <w:t>ATTACHMENT A – DATA GATHERING TEMPLATE</w:t>
        </w:r>
        <w:r w:rsidR="008165CE">
          <w:rPr>
            <w:noProof/>
            <w:webHidden/>
          </w:rPr>
          <w:tab/>
        </w:r>
        <w:r>
          <w:rPr>
            <w:noProof/>
            <w:webHidden/>
          </w:rPr>
          <w:fldChar w:fldCharType="begin"/>
        </w:r>
        <w:r w:rsidR="008165CE">
          <w:rPr>
            <w:noProof/>
            <w:webHidden/>
          </w:rPr>
          <w:instrText xml:space="preserve"> PAGEREF _Toc304967210 \h </w:instrText>
        </w:r>
        <w:r>
          <w:rPr>
            <w:noProof/>
            <w:webHidden/>
          </w:rPr>
        </w:r>
        <w:r>
          <w:rPr>
            <w:noProof/>
            <w:webHidden/>
          </w:rPr>
          <w:fldChar w:fldCharType="separate"/>
        </w:r>
        <w:r w:rsidR="002D292C">
          <w:rPr>
            <w:noProof/>
            <w:webHidden/>
          </w:rPr>
          <w:t>87</w:t>
        </w:r>
        <w:r>
          <w:rPr>
            <w:noProof/>
            <w:webHidden/>
          </w:rPr>
          <w:fldChar w:fldCharType="end"/>
        </w:r>
      </w:hyperlink>
    </w:p>
    <w:p w:rsidR="008165CE" w:rsidRDefault="00246893">
      <w:pPr>
        <w:pStyle w:val="TOC1"/>
        <w:tabs>
          <w:tab w:val="right" w:leader="dot" w:pos="8303"/>
        </w:tabs>
        <w:rPr>
          <w:rFonts w:asciiTheme="minorHAnsi" w:eastAsiaTheme="minorEastAsia" w:hAnsiTheme="minorHAnsi" w:cstheme="minorBidi"/>
          <w:b w:val="0"/>
          <w:noProof/>
          <w:szCs w:val="22"/>
          <w:lang w:val="en-AU" w:eastAsia="en-AU"/>
        </w:rPr>
      </w:pPr>
      <w:hyperlink w:anchor="_Toc304967211" w:history="1">
        <w:r w:rsidR="008165CE" w:rsidRPr="008032E4">
          <w:rPr>
            <w:rStyle w:val="Hyperlink"/>
            <w:rFonts w:eastAsia="MS Mincho"/>
            <w:noProof/>
          </w:rPr>
          <w:t>ATTACHMENT B – CONVERSION FACTOR CHARTS</w:t>
        </w:r>
        <w:r w:rsidR="008165CE">
          <w:rPr>
            <w:noProof/>
            <w:webHidden/>
          </w:rPr>
          <w:tab/>
        </w:r>
        <w:r>
          <w:rPr>
            <w:noProof/>
            <w:webHidden/>
          </w:rPr>
          <w:fldChar w:fldCharType="begin"/>
        </w:r>
        <w:r w:rsidR="008165CE">
          <w:rPr>
            <w:noProof/>
            <w:webHidden/>
          </w:rPr>
          <w:instrText xml:space="preserve"> PAGEREF _Toc304967211 \h </w:instrText>
        </w:r>
        <w:r>
          <w:rPr>
            <w:noProof/>
            <w:webHidden/>
          </w:rPr>
        </w:r>
        <w:r>
          <w:rPr>
            <w:noProof/>
            <w:webHidden/>
          </w:rPr>
          <w:fldChar w:fldCharType="separate"/>
        </w:r>
        <w:r w:rsidR="002D292C">
          <w:rPr>
            <w:noProof/>
            <w:webHidden/>
          </w:rPr>
          <w:t>88</w:t>
        </w:r>
        <w:r>
          <w:rPr>
            <w:noProof/>
            <w:webHidden/>
          </w:rPr>
          <w:fldChar w:fldCharType="end"/>
        </w:r>
      </w:hyperlink>
    </w:p>
    <w:p w:rsidR="00966F99" w:rsidRDefault="00246893" w:rsidP="00966F99">
      <w:pPr>
        <w:autoSpaceDE w:val="0"/>
        <w:autoSpaceDN w:val="0"/>
        <w:adjustRightInd w:val="0"/>
      </w:pPr>
      <w:r>
        <w:fldChar w:fldCharType="end"/>
      </w:r>
    </w:p>
    <w:p w:rsidR="00966F99" w:rsidRDefault="00966F99" w:rsidP="00966F99">
      <w:pPr>
        <w:autoSpaceDE w:val="0"/>
        <w:autoSpaceDN w:val="0"/>
        <w:adjustRightInd w:val="0"/>
        <w:rPr>
          <w:rFonts w:ascii="Verdana" w:hAnsi="Verdana" w:cs="Verdana"/>
          <w:sz w:val="18"/>
          <w:szCs w:val="18"/>
          <w:lang w:eastAsia="en-GB"/>
        </w:rPr>
      </w:pPr>
      <w:r>
        <w:rPr>
          <w:rFonts w:ascii="Verdana-Bold" w:hAnsi="Verdana-Bold" w:cs="Verdana-Bold"/>
          <w:b/>
          <w:bCs/>
          <w:sz w:val="18"/>
          <w:szCs w:val="18"/>
          <w:lang w:eastAsia="en-GB"/>
        </w:rPr>
        <w:t xml:space="preserve">CLIENT DISCLAIMER: </w:t>
      </w:r>
      <w:r>
        <w:rPr>
          <w:rFonts w:ascii="Verdana" w:hAnsi="Verdana" w:cs="Verdana"/>
          <w:sz w:val="18"/>
          <w:szCs w:val="18"/>
          <w:lang w:eastAsia="en-GB"/>
        </w:rPr>
        <w:t>The views and opinions expressed in this publication are</w:t>
      </w:r>
    </w:p>
    <w:p w:rsidR="00966F99" w:rsidRDefault="00966F99" w:rsidP="00966F99">
      <w:pPr>
        <w:autoSpaceDE w:val="0"/>
        <w:autoSpaceDN w:val="0"/>
        <w:adjustRightInd w:val="0"/>
        <w:rPr>
          <w:rFonts w:ascii="Verdana" w:hAnsi="Verdana" w:cs="Verdana"/>
          <w:sz w:val="18"/>
          <w:szCs w:val="18"/>
          <w:lang w:eastAsia="en-GB"/>
        </w:rPr>
      </w:pPr>
      <w:r>
        <w:rPr>
          <w:rFonts w:ascii="Verdana" w:hAnsi="Verdana" w:cs="Verdana"/>
          <w:sz w:val="18"/>
          <w:szCs w:val="18"/>
          <w:lang w:eastAsia="en-GB"/>
        </w:rPr>
        <w:t>those of the author and do not necessarily reflect those of the Australian</w:t>
      </w:r>
    </w:p>
    <w:p w:rsidR="00966F99" w:rsidRDefault="00966F99" w:rsidP="00966F99">
      <w:pPr>
        <w:autoSpaceDE w:val="0"/>
        <w:autoSpaceDN w:val="0"/>
        <w:adjustRightInd w:val="0"/>
        <w:rPr>
          <w:rFonts w:ascii="Verdana" w:hAnsi="Verdana" w:cs="Verdana"/>
          <w:sz w:val="18"/>
          <w:szCs w:val="18"/>
          <w:lang w:eastAsia="en-GB"/>
        </w:rPr>
      </w:pPr>
      <w:r>
        <w:rPr>
          <w:rFonts w:ascii="Verdana" w:hAnsi="Verdana" w:cs="Verdana"/>
          <w:sz w:val="18"/>
          <w:szCs w:val="18"/>
          <w:lang w:eastAsia="en-GB"/>
        </w:rPr>
        <w:t>Government or the Parliamentary Secretary for Sustainability and Urban Water.</w:t>
      </w:r>
    </w:p>
    <w:p w:rsidR="00966F99" w:rsidRDefault="00966F99" w:rsidP="00966F99">
      <w:pPr>
        <w:autoSpaceDE w:val="0"/>
        <w:autoSpaceDN w:val="0"/>
        <w:adjustRightInd w:val="0"/>
        <w:rPr>
          <w:rFonts w:ascii="Verdana" w:hAnsi="Verdana" w:cs="Verdana"/>
          <w:sz w:val="18"/>
          <w:szCs w:val="18"/>
          <w:lang w:eastAsia="en-GB"/>
        </w:rPr>
      </w:pPr>
    </w:p>
    <w:p w:rsidR="00966F99" w:rsidRDefault="00966F99" w:rsidP="00966F99">
      <w:pPr>
        <w:autoSpaceDE w:val="0"/>
        <w:autoSpaceDN w:val="0"/>
        <w:adjustRightInd w:val="0"/>
        <w:rPr>
          <w:rFonts w:ascii="Verdana" w:hAnsi="Verdana" w:cs="Verdana"/>
          <w:sz w:val="18"/>
          <w:szCs w:val="18"/>
          <w:lang w:eastAsia="en-GB"/>
        </w:rPr>
      </w:pPr>
      <w:r>
        <w:rPr>
          <w:rFonts w:ascii="Verdana" w:hAnsi="Verdana" w:cs="Verdana"/>
          <w:sz w:val="18"/>
          <w:szCs w:val="18"/>
          <w:lang w:eastAsia="en-GB"/>
        </w:rPr>
        <w:t>While reasonable efforts have been made to ensure that the contents of this</w:t>
      </w:r>
    </w:p>
    <w:p w:rsidR="00966F99" w:rsidRDefault="00966F99" w:rsidP="00966F99">
      <w:pPr>
        <w:autoSpaceDE w:val="0"/>
        <w:autoSpaceDN w:val="0"/>
        <w:adjustRightInd w:val="0"/>
        <w:rPr>
          <w:rFonts w:ascii="Verdana" w:hAnsi="Verdana" w:cs="Verdana"/>
          <w:sz w:val="18"/>
          <w:szCs w:val="18"/>
          <w:lang w:eastAsia="en-GB"/>
        </w:rPr>
      </w:pPr>
      <w:r>
        <w:rPr>
          <w:rFonts w:ascii="Verdana" w:hAnsi="Verdana" w:cs="Verdana"/>
          <w:sz w:val="18"/>
          <w:szCs w:val="18"/>
          <w:lang w:eastAsia="en-GB"/>
        </w:rPr>
        <w:t>publication are factually correct, the Commonwealth does not accept responsibility</w:t>
      </w:r>
    </w:p>
    <w:p w:rsidR="00966F99" w:rsidRDefault="00966F99" w:rsidP="00966F99">
      <w:pPr>
        <w:autoSpaceDE w:val="0"/>
        <w:autoSpaceDN w:val="0"/>
        <w:adjustRightInd w:val="0"/>
        <w:rPr>
          <w:rFonts w:ascii="Verdana" w:hAnsi="Verdana" w:cs="Verdana"/>
          <w:sz w:val="18"/>
          <w:szCs w:val="18"/>
          <w:lang w:eastAsia="en-GB"/>
        </w:rPr>
      </w:pPr>
      <w:r>
        <w:rPr>
          <w:rFonts w:ascii="Verdana" w:hAnsi="Verdana" w:cs="Verdana"/>
          <w:sz w:val="18"/>
          <w:szCs w:val="18"/>
          <w:lang w:eastAsia="en-GB"/>
        </w:rPr>
        <w:t>for the accuracy or completeness of the contents, and shall not be liable for any loss</w:t>
      </w:r>
    </w:p>
    <w:p w:rsidR="00966F99" w:rsidRDefault="00966F99" w:rsidP="00966F99">
      <w:pPr>
        <w:autoSpaceDE w:val="0"/>
        <w:autoSpaceDN w:val="0"/>
        <w:adjustRightInd w:val="0"/>
        <w:rPr>
          <w:rFonts w:ascii="Verdana" w:hAnsi="Verdana" w:cs="Verdana"/>
          <w:sz w:val="18"/>
          <w:szCs w:val="18"/>
          <w:lang w:eastAsia="en-GB"/>
        </w:rPr>
      </w:pPr>
      <w:r>
        <w:rPr>
          <w:rFonts w:ascii="Verdana" w:hAnsi="Verdana" w:cs="Verdana"/>
          <w:sz w:val="18"/>
          <w:szCs w:val="18"/>
          <w:lang w:eastAsia="en-GB"/>
        </w:rPr>
        <w:t>or damage that may be occasioned directly or indirectly through the use of, or</w:t>
      </w:r>
    </w:p>
    <w:p w:rsidR="00E206B2" w:rsidRDefault="00966F99" w:rsidP="00966F99">
      <w:pPr>
        <w:sectPr w:rsidR="00E206B2">
          <w:footerReference w:type="first" r:id="rId12"/>
          <w:pgSz w:w="11907" w:h="16840" w:code="9"/>
          <w:pgMar w:top="1440" w:right="1797" w:bottom="1440" w:left="1797" w:header="709" w:footer="709" w:gutter="0"/>
          <w:cols w:space="708"/>
          <w:titlePg/>
          <w:docGrid w:linePitch="360"/>
        </w:sectPr>
      </w:pPr>
      <w:r>
        <w:rPr>
          <w:rFonts w:ascii="Verdana" w:hAnsi="Verdana" w:cs="Verdana"/>
          <w:sz w:val="18"/>
          <w:szCs w:val="18"/>
          <w:lang w:eastAsia="en-GB"/>
        </w:rPr>
        <w:t>reliance on, the contents of this publication.</w:t>
      </w:r>
    </w:p>
    <w:p w:rsidR="003A59EB" w:rsidRDefault="00184F32" w:rsidP="00655A6F">
      <w:pPr>
        <w:pStyle w:val="Heading1"/>
      </w:pPr>
      <w:bookmarkStart w:id="3" w:name="_Toc296602997"/>
      <w:bookmarkStart w:id="4" w:name="_Toc303860077"/>
      <w:bookmarkStart w:id="5" w:name="_Toc304967180"/>
      <w:r w:rsidRPr="009B749B">
        <w:lastRenderedPageBreak/>
        <w:t>EXECUTIVE SUMMARY</w:t>
      </w:r>
      <w:bookmarkEnd w:id="2"/>
      <w:bookmarkEnd w:id="3"/>
      <w:bookmarkEnd w:id="4"/>
      <w:bookmarkEnd w:id="5"/>
    </w:p>
    <w:p w:rsidR="005A3B5D" w:rsidRDefault="005A3B5D" w:rsidP="00184F32">
      <w:pPr>
        <w:rPr>
          <w:szCs w:val="22"/>
        </w:rPr>
      </w:pPr>
    </w:p>
    <w:p w:rsidR="00FF423F" w:rsidRDefault="00FF423F" w:rsidP="00FF423F">
      <w:pPr>
        <w:rPr>
          <w:szCs w:val="22"/>
        </w:rPr>
      </w:pPr>
    </w:p>
    <w:p w:rsidR="000E2822" w:rsidRDefault="00F848A2" w:rsidP="00FF423F">
      <w:pPr>
        <w:rPr>
          <w:szCs w:val="22"/>
        </w:rPr>
      </w:pPr>
      <w:r w:rsidRPr="00E206B2">
        <w:rPr>
          <w:szCs w:val="22"/>
        </w:rPr>
        <w:t>The Department</w:t>
      </w:r>
      <w:r w:rsidR="00F83E23">
        <w:rPr>
          <w:szCs w:val="22"/>
        </w:rPr>
        <w:t xml:space="preserve"> of Sustainability, Environment, Water, Population and Communities (the department)</w:t>
      </w:r>
      <w:r w:rsidRPr="00E206B2">
        <w:rPr>
          <w:szCs w:val="22"/>
        </w:rPr>
        <w:t xml:space="preserve"> </w:t>
      </w:r>
      <w:r>
        <w:rPr>
          <w:szCs w:val="22"/>
        </w:rPr>
        <w:t xml:space="preserve">is </w:t>
      </w:r>
      <w:r w:rsidRPr="00E206B2">
        <w:rPr>
          <w:szCs w:val="22"/>
        </w:rPr>
        <w:t xml:space="preserve">seeking to develop </w:t>
      </w:r>
      <w:r>
        <w:rPr>
          <w:szCs w:val="22"/>
        </w:rPr>
        <w:t xml:space="preserve">factors to convert </w:t>
      </w:r>
      <w:r w:rsidRPr="00E206B2">
        <w:rPr>
          <w:szCs w:val="22"/>
        </w:rPr>
        <w:t>import quantities of televisions, computers and computer peripherals into weight</w:t>
      </w:r>
      <w:r>
        <w:rPr>
          <w:szCs w:val="22"/>
        </w:rPr>
        <w:t>s</w:t>
      </w:r>
      <w:r w:rsidRPr="00E206B2">
        <w:rPr>
          <w:szCs w:val="22"/>
        </w:rPr>
        <w:t xml:space="preserve"> to support the operation of the</w:t>
      </w:r>
      <w:r>
        <w:rPr>
          <w:szCs w:val="22"/>
        </w:rPr>
        <w:t xml:space="preserve"> </w:t>
      </w:r>
      <w:r w:rsidRPr="00E206B2">
        <w:rPr>
          <w:szCs w:val="22"/>
        </w:rPr>
        <w:t xml:space="preserve">National Television and Computer </w:t>
      </w:r>
      <w:r w:rsidR="00F83E23">
        <w:rPr>
          <w:szCs w:val="22"/>
        </w:rPr>
        <w:t>Recycling</w:t>
      </w:r>
      <w:r w:rsidRPr="00E206B2">
        <w:rPr>
          <w:szCs w:val="22"/>
        </w:rPr>
        <w:t xml:space="preserve"> Scheme</w:t>
      </w:r>
      <w:r>
        <w:rPr>
          <w:szCs w:val="22"/>
        </w:rPr>
        <w:t xml:space="preserve"> (the Scheme). </w:t>
      </w:r>
      <w:r w:rsidR="00A11031">
        <w:rPr>
          <w:szCs w:val="22"/>
        </w:rPr>
        <w:t xml:space="preserve">The Regulations for the Scheme rely on Customs import data to </w:t>
      </w:r>
      <w:r w:rsidR="008A19C2">
        <w:rPr>
          <w:szCs w:val="22"/>
        </w:rPr>
        <w:t>use in calculations for estimating</w:t>
      </w:r>
      <w:r w:rsidR="00A11031">
        <w:rPr>
          <w:szCs w:val="22"/>
        </w:rPr>
        <w:t xml:space="preserve"> the amount of waste generated each year and to determine the import share of television and computers importers for the purposes of allocating</w:t>
      </w:r>
      <w:r w:rsidR="008A19C2">
        <w:rPr>
          <w:szCs w:val="22"/>
        </w:rPr>
        <w:t xml:space="preserve"> the</w:t>
      </w:r>
      <w:r w:rsidR="00A11031">
        <w:rPr>
          <w:szCs w:val="22"/>
        </w:rPr>
        <w:t xml:space="preserve"> targets. </w:t>
      </w:r>
      <w:r w:rsidRPr="00E206B2">
        <w:rPr>
          <w:szCs w:val="22"/>
        </w:rPr>
        <w:t>Imports are currently measured in units, whereas waste and recovery reporting is weight-based.</w:t>
      </w:r>
      <w:r>
        <w:rPr>
          <w:szCs w:val="22"/>
        </w:rPr>
        <w:t xml:space="preserve"> </w:t>
      </w:r>
      <w:r w:rsidR="000E2822" w:rsidRPr="00E31906">
        <w:rPr>
          <w:szCs w:val="22"/>
        </w:rPr>
        <w:t>The aim of this study is to develop a set of factors to convert units to weights to enable a single unit for measurement and reporting</w:t>
      </w:r>
      <w:r w:rsidR="00CF0F3B">
        <w:rPr>
          <w:szCs w:val="22"/>
        </w:rPr>
        <w:t xml:space="preserve"> under the Scheme</w:t>
      </w:r>
      <w:r w:rsidR="000E2822" w:rsidRPr="00E31906">
        <w:rPr>
          <w:szCs w:val="22"/>
        </w:rPr>
        <w:t>.</w:t>
      </w:r>
    </w:p>
    <w:p w:rsidR="000E2822" w:rsidRDefault="000E2822" w:rsidP="00FF423F">
      <w:pPr>
        <w:rPr>
          <w:szCs w:val="22"/>
        </w:rPr>
      </w:pPr>
    </w:p>
    <w:p w:rsidR="00FF423F" w:rsidRDefault="00FF423F" w:rsidP="00FF423F">
      <w:pPr>
        <w:rPr>
          <w:szCs w:val="22"/>
        </w:rPr>
      </w:pPr>
      <w:r w:rsidRPr="00E206B2">
        <w:rPr>
          <w:szCs w:val="22"/>
        </w:rPr>
        <w:t xml:space="preserve">This </w:t>
      </w:r>
      <w:r>
        <w:rPr>
          <w:szCs w:val="22"/>
        </w:rPr>
        <w:t xml:space="preserve">report presents Stage 2 of </w:t>
      </w:r>
      <w:r w:rsidR="00CF0F3B">
        <w:rPr>
          <w:szCs w:val="22"/>
        </w:rPr>
        <w:t>a consultancy</w:t>
      </w:r>
      <w:r>
        <w:rPr>
          <w:szCs w:val="22"/>
        </w:rPr>
        <w:t xml:space="preserve"> </w:t>
      </w:r>
      <w:r w:rsidRPr="00E206B2">
        <w:rPr>
          <w:szCs w:val="22"/>
        </w:rPr>
        <w:t>to provide recommendations, modelling and rationales for simple, robust, cost efficient, accountable and transparent conversion factors.</w:t>
      </w:r>
      <w:r w:rsidR="00DC2E4E">
        <w:rPr>
          <w:szCs w:val="22"/>
        </w:rPr>
        <w:t xml:space="preserve"> </w:t>
      </w:r>
      <w:r w:rsidR="00CF0F3B">
        <w:rPr>
          <w:szCs w:val="22"/>
        </w:rPr>
        <w:t>It</w:t>
      </w:r>
      <w:r>
        <w:rPr>
          <w:szCs w:val="22"/>
        </w:rPr>
        <w:t xml:space="preserve"> follows on from a feasibility study which found that although the robustness of the factors could not be determined until completion of this exercise, there was sufficient data </w:t>
      </w:r>
      <w:r w:rsidR="00F848A2">
        <w:rPr>
          <w:szCs w:val="22"/>
        </w:rPr>
        <w:t>up</w:t>
      </w:r>
      <w:r>
        <w:rPr>
          <w:szCs w:val="22"/>
        </w:rPr>
        <w:t>on which to develop a preliminary set of conversion factors.</w:t>
      </w:r>
    </w:p>
    <w:p w:rsidR="00FF423F" w:rsidRDefault="00FF423F" w:rsidP="00FF423F">
      <w:pPr>
        <w:rPr>
          <w:szCs w:val="22"/>
        </w:rPr>
      </w:pPr>
    </w:p>
    <w:p w:rsidR="00FF423F" w:rsidRDefault="00FF423F" w:rsidP="00FF423F">
      <w:pPr>
        <w:rPr>
          <w:szCs w:val="22"/>
        </w:rPr>
      </w:pPr>
      <w:r>
        <w:rPr>
          <w:szCs w:val="22"/>
        </w:rPr>
        <w:t>Twelve stakeholders participated in providing data for this study, consisting of eleven brand owners and one computer accessory distributor. Conversion factors were developed for each ten-digit</w:t>
      </w:r>
      <w:r w:rsidRPr="005A3B5D">
        <w:rPr>
          <w:szCs w:val="22"/>
        </w:rPr>
        <w:t xml:space="preserve"> </w:t>
      </w:r>
      <w:r>
        <w:rPr>
          <w:szCs w:val="22"/>
        </w:rPr>
        <w:t>Harmonized Tariff Item Statistical</w:t>
      </w:r>
      <w:r w:rsidRPr="00E206B2">
        <w:rPr>
          <w:szCs w:val="22"/>
        </w:rPr>
        <w:t xml:space="preserve"> </w:t>
      </w:r>
      <w:r>
        <w:rPr>
          <w:szCs w:val="22"/>
        </w:rPr>
        <w:t>C</w:t>
      </w:r>
      <w:r w:rsidRPr="00E206B2">
        <w:rPr>
          <w:szCs w:val="22"/>
        </w:rPr>
        <w:t>ode</w:t>
      </w:r>
      <w:r>
        <w:rPr>
          <w:szCs w:val="22"/>
        </w:rPr>
        <w:t xml:space="preserve"> (HTISC) for 2007 as well as the planned 2012 codes. Where data was not provided for </w:t>
      </w:r>
      <w:r w:rsidR="00CF0F3B">
        <w:rPr>
          <w:szCs w:val="22"/>
        </w:rPr>
        <w:t>a</w:t>
      </w:r>
      <w:r>
        <w:rPr>
          <w:szCs w:val="22"/>
        </w:rPr>
        <w:t xml:space="preserve"> HTISC,</w:t>
      </w:r>
      <w:r w:rsidR="00686C3F">
        <w:rPr>
          <w:szCs w:val="22"/>
        </w:rPr>
        <w:t xml:space="preserve"> an alternate approach </w:t>
      </w:r>
      <w:r w:rsidR="00A11031">
        <w:rPr>
          <w:szCs w:val="22"/>
        </w:rPr>
        <w:t xml:space="preserve">was </w:t>
      </w:r>
      <w:r w:rsidR="00686C3F">
        <w:rPr>
          <w:szCs w:val="22"/>
        </w:rPr>
        <w:t>used</w:t>
      </w:r>
      <w:r w:rsidR="00CF0F3B">
        <w:rPr>
          <w:szCs w:val="22"/>
        </w:rPr>
        <w:t xml:space="preserve"> and this g</w:t>
      </w:r>
      <w:r w:rsidR="00686C3F">
        <w:rPr>
          <w:szCs w:val="22"/>
        </w:rPr>
        <w:t>enerally involve</w:t>
      </w:r>
      <w:r w:rsidR="00CF0F3B">
        <w:rPr>
          <w:szCs w:val="22"/>
        </w:rPr>
        <w:t>d</w:t>
      </w:r>
      <w:r w:rsidR="00686C3F">
        <w:rPr>
          <w:szCs w:val="22"/>
        </w:rPr>
        <w:t xml:space="preserve"> applying the</w:t>
      </w:r>
      <w:r>
        <w:rPr>
          <w:szCs w:val="22"/>
        </w:rPr>
        <w:t xml:space="preserve"> conversion factor </w:t>
      </w:r>
      <w:r w:rsidR="00686C3F">
        <w:rPr>
          <w:szCs w:val="22"/>
        </w:rPr>
        <w:t>for the</w:t>
      </w:r>
      <w:r>
        <w:rPr>
          <w:szCs w:val="22"/>
        </w:rPr>
        <w:t xml:space="preserve"> higher-level eight-digit Customs Tariff Classification Number (CTCN).</w:t>
      </w:r>
      <w:r w:rsidR="00686C3F">
        <w:rPr>
          <w:szCs w:val="22"/>
        </w:rPr>
        <w:t xml:space="preserve"> In the case of </w:t>
      </w:r>
      <w:r w:rsidR="00CF0F3B">
        <w:rPr>
          <w:szCs w:val="22"/>
        </w:rPr>
        <w:t>televisions,</w:t>
      </w:r>
      <w:r w:rsidR="00686C3F">
        <w:rPr>
          <w:szCs w:val="22"/>
        </w:rPr>
        <w:t xml:space="preserve"> data was not provided for a number of HTISCs</w:t>
      </w:r>
      <w:r w:rsidR="00CF0F3B">
        <w:rPr>
          <w:szCs w:val="22"/>
        </w:rPr>
        <w:t xml:space="preserve"> and</w:t>
      </w:r>
      <w:r w:rsidR="00686C3F">
        <w:rPr>
          <w:szCs w:val="22"/>
        </w:rPr>
        <w:t xml:space="preserve"> conversion </w:t>
      </w:r>
      <w:r w:rsidR="00CF0F3B">
        <w:rPr>
          <w:szCs w:val="22"/>
        </w:rPr>
        <w:t xml:space="preserve">factors </w:t>
      </w:r>
      <w:r w:rsidR="00686C3F">
        <w:rPr>
          <w:szCs w:val="22"/>
        </w:rPr>
        <w:t xml:space="preserve">that </w:t>
      </w:r>
      <w:r w:rsidR="00686C3F" w:rsidRPr="00686C3F">
        <w:rPr>
          <w:i/>
          <w:szCs w:val="22"/>
        </w:rPr>
        <w:t>were</w:t>
      </w:r>
      <w:r w:rsidR="00686C3F">
        <w:rPr>
          <w:szCs w:val="22"/>
        </w:rPr>
        <w:t xml:space="preserve"> developed were applied to HTISCs of an equivalent screen size.</w:t>
      </w:r>
    </w:p>
    <w:p w:rsidR="00686C3F" w:rsidRDefault="00686C3F" w:rsidP="00FF423F">
      <w:pPr>
        <w:rPr>
          <w:szCs w:val="22"/>
        </w:rPr>
      </w:pPr>
    </w:p>
    <w:p w:rsidR="00FF32D9" w:rsidRDefault="00535671" w:rsidP="00FF32D9">
      <w:pPr>
        <w:tabs>
          <w:tab w:val="left" w:pos="1695"/>
        </w:tabs>
      </w:pPr>
      <w:r>
        <w:rPr>
          <w:szCs w:val="22"/>
        </w:rPr>
        <w:t xml:space="preserve">A number of tests were applied to </w:t>
      </w:r>
      <w:r w:rsidR="003B3D7F">
        <w:rPr>
          <w:szCs w:val="22"/>
        </w:rPr>
        <w:t>evaluate</w:t>
      </w:r>
      <w:r>
        <w:rPr>
          <w:szCs w:val="22"/>
        </w:rPr>
        <w:t xml:space="preserve"> the robustness of the </w:t>
      </w:r>
      <w:r w:rsidR="007E3985">
        <w:rPr>
          <w:szCs w:val="22"/>
        </w:rPr>
        <w:t xml:space="preserve">conversion </w:t>
      </w:r>
      <w:r>
        <w:rPr>
          <w:szCs w:val="22"/>
        </w:rPr>
        <w:t>factors</w:t>
      </w:r>
      <w:r w:rsidR="007E3985">
        <w:rPr>
          <w:szCs w:val="22"/>
        </w:rPr>
        <w:t xml:space="preserve"> </w:t>
      </w:r>
      <w:r w:rsidR="003B3D7F">
        <w:rPr>
          <w:szCs w:val="22"/>
        </w:rPr>
        <w:t>on an individual HTSIC level, and collectively across all HTISCs.</w:t>
      </w:r>
      <w:r w:rsidR="00FF32D9">
        <w:rPr>
          <w:szCs w:val="22"/>
        </w:rPr>
        <w:t xml:space="preserve"> At the individual HTSIC level, </w:t>
      </w:r>
      <w:r w:rsidR="00FF32D9">
        <w:t xml:space="preserve">Perchards/MS2 </w:t>
      </w:r>
      <w:r w:rsidR="00771CE7">
        <w:t>representative sample sizes</w:t>
      </w:r>
      <w:r w:rsidR="00FF32D9">
        <w:t xml:space="preserve"> </w:t>
      </w:r>
      <w:r w:rsidR="00771CE7">
        <w:t>to develop the conversion f</w:t>
      </w:r>
      <w:r w:rsidR="008252AE">
        <w:t>actors for televisions, computers and printers were reasonable, at 47%, 32% and 33% of imports respectively.</w:t>
      </w:r>
      <w:r w:rsidR="00C76921">
        <w:t xml:space="preserve"> </w:t>
      </w:r>
      <w:r w:rsidR="00771CE7">
        <w:rPr>
          <w:szCs w:val="22"/>
        </w:rPr>
        <w:t>While</w:t>
      </w:r>
      <w:r w:rsidR="00FF32D9">
        <w:rPr>
          <w:szCs w:val="22"/>
        </w:rPr>
        <w:t xml:space="preserve"> sample sizes for </w:t>
      </w:r>
      <w:r w:rsidR="00FF32D9" w:rsidRPr="00120DFE">
        <w:rPr>
          <w:szCs w:val="22"/>
        </w:rPr>
        <w:t>peripheral</w:t>
      </w:r>
      <w:r w:rsidR="00FF32D9">
        <w:rPr>
          <w:szCs w:val="22"/>
        </w:rPr>
        <w:t xml:space="preserve"> HTISCs</w:t>
      </w:r>
      <w:r w:rsidR="00FF32D9" w:rsidRPr="00120DFE">
        <w:rPr>
          <w:szCs w:val="22"/>
        </w:rPr>
        <w:t xml:space="preserve"> </w:t>
      </w:r>
      <w:r w:rsidR="00FF32D9">
        <w:rPr>
          <w:szCs w:val="22"/>
        </w:rPr>
        <w:t>were fairly low</w:t>
      </w:r>
      <w:r w:rsidR="008252AE">
        <w:rPr>
          <w:szCs w:val="22"/>
        </w:rPr>
        <w:t xml:space="preserve"> at 2%</w:t>
      </w:r>
      <w:r w:rsidR="00771CE7">
        <w:rPr>
          <w:szCs w:val="22"/>
        </w:rPr>
        <w:t>, a</w:t>
      </w:r>
      <w:r w:rsidR="00F420F5">
        <w:rPr>
          <w:szCs w:val="22"/>
        </w:rPr>
        <w:t>t</w:t>
      </w:r>
      <w:r w:rsidR="00FF32D9" w:rsidRPr="000D49FA">
        <w:rPr>
          <w:szCs w:val="22"/>
        </w:rPr>
        <w:t xml:space="preserve"> a Scheme level the relatively lighter weight of these HTISCs as compared with heavier substantive products makes them of lesser significance when estimating Scheme targets</w:t>
      </w:r>
      <w:r w:rsidR="00FF32D9">
        <w:rPr>
          <w:szCs w:val="22"/>
        </w:rPr>
        <w:t xml:space="preserve"> and calculating import shares</w:t>
      </w:r>
      <w:r w:rsidR="00FF32D9" w:rsidRPr="000D49FA">
        <w:rPr>
          <w:szCs w:val="22"/>
        </w:rPr>
        <w:t>.</w:t>
      </w:r>
      <w:r w:rsidR="00FF32D9" w:rsidRPr="00120DFE">
        <w:rPr>
          <w:szCs w:val="22"/>
        </w:rPr>
        <w:t xml:space="preserve"> </w:t>
      </w:r>
      <w:r w:rsidR="00934D44">
        <w:rPr>
          <w:szCs w:val="22"/>
        </w:rPr>
        <w:t xml:space="preserve">Therefore </w:t>
      </w:r>
      <w:r w:rsidR="002E7CBA">
        <w:rPr>
          <w:szCs w:val="22"/>
        </w:rPr>
        <w:t>i</w:t>
      </w:r>
      <w:r w:rsidR="00FF32D9" w:rsidRPr="00120DFE">
        <w:rPr>
          <w:szCs w:val="22"/>
        </w:rPr>
        <w:t xml:space="preserve">t is recommended that the conversion factors for </w:t>
      </w:r>
      <w:r w:rsidR="004A1911" w:rsidRPr="00120DFE">
        <w:rPr>
          <w:szCs w:val="22"/>
        </w:rPr>
        <w:t>peripheral</w:t>
      </w:r>
      <w:r w:rsidR="00FF32D9" w:rsidRPr="00120DFE">
        <w:rPr>
          <w:szCs w:val="22"/>
        </w:rPr>
        <w:t xml:space="preserve"> HTISCs </w:t>
      </w:r>
      <w:r w:rsidR="004A1911">
        <w:rPr>
          <w:szCs w:val="22"/>
        </w:rPr>
        <w:t>are</w:t>
      </w:r>
      <w:r w:rsidR="00FF32D9" w:rsidRPr="00120DFE">
        <w:rPr>
          <w:szCs w:val="22"/>
        </w:rPr>
        <w:t xml:space="preserve"> included in the Scheme </w:t>
      </w:r>
      <w:r w:rsidR="00FF32D9">
        <w:rPr>
          <w:szCs w:val="22"/>
        </w:rPr>
        <w:t xml:space="preserve">as </w:t>
      </w:r>
      <w:r w:rsidR="00FF32D9" w:rsidRPr="00120DFE">
        <w:rPr>
          <w:szCs w:val="22"/>
        </w:rPr>
        <w:t>an appropriate proxy.</w:t>
      </w:r>
      <w:r w:rsidR="00C76921">
        <w:rPr>
          <w:szCs w:val="22"/>
        </w:rPr>
        <w:t xml:space="preserve"> At an individual level the </w:t>
      </w:r>
      <w:r w:rsidR="00FF32D9">
        <w:t xml:space="preserve">study </w:t>
      </w:r>
      <w:r w:rsidR="00C76921">
        <w:t xml:space="preserve">also </w:t>
      </w:r>
      <w:r w:rsidR="00FF32D9">
        <w:t xml:space="preserve">found, in most cases, a moderate or high variation over time between the conversion factor year and previous years is negative, meaning that the </w:t>
      </w:r>
      <w:r w:rsidR="00FF32D9">
        <w:rPr>
          <w:i/>
        </w:rPr>
        <w:t xml:space="preserve">calculated </w:t>
      </w:r>
      <w:r w:rsidR="00FF32D9" w:rsidRPr="00935C20">
        <w:rPr>
          <w:i/>
        </w:rPr>
        <w:t xml:space="preserve">weight imported </w:t>
      </w:r>
      <w:r w:rsidR="00FF32D9">
        <w:t xml:space="preserve">understates </w:t>
      </w:r>
      <w:r w:rsidR="00FF32D9" w:rsidRPr="00935C20">
        <w:rPr>
          <w:i/>
        </w:rPr>
        <w:t>actual weight imported</w:t>
      </w:r>
      <w:r w:rsidR="00FF32D9">
        <w:t xml:space="preserve">. </w:t>
      </w:r>
    </w:p>
    <w:p w:rsidR="00AF1CB9" w:rsidRPr="00E90AE9" w:rsidRDefault="00AF1CB9" w:rsidP="00FF32D9">
      <w:pPr>
        <w:tabs>
          <w:tab w:val="left" w:pos="1695"/>
        </w:tabs>
      </w:pPr>
    </w:p>
    <w:p w:rsidR="00491A63" w:rsidRDefault="007E3985" w:rsidP="00F208EF">
      <w:r>
        <w:rPr>
          <w:szCs w:val="22"/>
        </w:rPr>
        <w:t>When considering the HTISCs</w:t>
      </w:r>
      <w:r w:rsidR="003B3D7F">
        <w:rPr>
          <w:szCs w:val="22"/>
        </w:rPr>
        <w:t xml:space="preserve"> </w:t>
      </w:r>
      <w:r>
        <w:rPr>
          <w:szCs w:val="22"/>
        </w:rPr>
        <w:t>collectively, an</w:t>
      </w:r>
      <w:r w:rsidR="003B3D7F">
        <w:rPr>
          <w:szCs w:val="22"/>
        </w:rPr>
        <w:t xml:space="preserve"> indicator </w:t>
      </w:r>
      <w:r>
        <w:rPr>
          <w:szCs w:val="22"/>
        </w:rPr>
        <w:t>of</w:t>
      </w:r>
      <w:r w:rsidR="003B3D7F">
        <w:rPr>
          <w:szCs w:val="22"/>
        </w:rPr>
        <w:t xml:space="preserve"> </w:t>
      </w:r>
      <w:r>
        <w:rPr>
          <w:szCs w:val="22"/>
        </w:rPr>
        <w:t xml:space="preserve">the </w:t>
      </w:r>
      <w:r w:rsidR="003B3D7F">
        <w:rPr>
          <w:szCs w:val="22"/>
        </w:rPr>
        <w:t>robustness</w:t>
      </w:r>
      <w:r>
        <w:rPr>
          <w:szCs w:val="22"/>
        </w:rPr>
        <w:t xml:space="preserve"> of the conversion factors </w:t>
      </w:r>
      <w:r w:rsidR="003B3D7F">
        <w:rPr>
          <w:szCs w:val="22"/>
        </w:rPr>
        <w:t xml:space="preserve">is the extent to which the factors accurately calculate the total </w:t>
      </w:r>
      <w:r w:rsidR="00A11031">
        <w:rPr>
          <w:szCs w:val="22"/>
        </w:rPr>
        <w:t xml:space="preserve">actual weight of </w:t>
      </w:r>
      <w:r w:rsidR="003B3D7F">
        <w:rPr>
          <w:szCs w:val="22"/>
        </w:rPr>
        <w:t>imports</w:t>
      </w:r>
      <w:r w:rsidR="00545FCD">
        <w:rPr>
          <w:szCs w:val="22"/>
        </w:rPr>
        <w:t xml:space="preserve"> in the reporting year and over time</w:t>
      </w:r>
      <w:r w:rsidR="003B3D7F">
        <w:rPr>
          <w:szCs w:val="22"/>
        </w:rPr>
        <w:t xml:space="preserve">. </w:t>
      </w:r>
      <w:r w:rsidR="004A1911">
        <w:rPr>
          <w:szCs w:val="22"/>
        </w:rPr>
        <w:t>T</w:t>
      </w:r>
      <w:r w:rsidR="00C73D0C">
        <w:rPr>
          <w:szCs w:val="22"/>
        </w:rPr>
        <w:t xml:space="preserve">his </w:t>
      </w:r>
      <w:r w:rsidR="003B3D7F">
        <w:t xml:space="preserve">analysis found that when applying the factors to </w:t>
      </w:r>
      <w:r w:rsidR="00642FD9">
        <w:t xml:space="preserve">2010-11 data, the conversion factors are very close to the actual weight </w:t>
      </w:r>
      <w:r w:rsidR="00F208EF">
        <w:t xml:space="preserve">of </w:t>
      </w:r>
      <w:r w:rsidR="00642FD9">
        <w:t>import</w:t>
      </w:r>
      <w:r w:rsidR="00F208EF">
        <w:t>s</w:t>
      </w:r>
      <w:r w:rsidR="00491A63">
        <w:t xml:space="preserve"> (</w:t>
      </w:r>
      <w:r w:rsidR="00C76921">
        <w:t xml:space="preserve">underestimated by </w:t>
      </w:r>
      <w:r w:rsidR="00F208EF">
        <w:rPr>
          <w:szCs w:val="22"/>
        </w:rPr>
        <w:t xml:space="preserve">9% in 2010-11, </w:t>
      </w:r>
      <w:r w:rsidR="00491A63">
        <w:rPr>
          <w:szCs w:val="22"/>
        </w:rPr>
        <w:t>15</w:t>
      </w:r>
      <w:r w:rsidR="00F208EF">
        <w:rPr>
          <w:szCs w:val="22"/>
        </w:rPr>
        <w:t xml:space="preserve">% in 2009-10 and </w:t>
      </w:r>
      <w:r w:rsidR="00491A63">
        <w:rPr>
          <w:szCs w:val="22"/>
        </w:rPr>
        <w:t>12</w:t>
      </w:r>
      <w:r w:rsidR="00F208EF">
        <w:rPr>
          <w:szCs w:val="22"/>
        </w:rPr>
        <w:t>% in 2008-09</w:t>
      </w:r>
      <w:r w:rsidR="00491A63">
        <w:rPr>
          <w:szCs w:val="22"/>
        </w:rPr>
        <w:t>)</w:t>
      </w:r>
      <w:r w:rsidR="00642FD9">
        <w:t xml:space="preserve">. </w:t>
      </w:r>
    </w:p>
    <w:p w:rsidR="00870B18" w:rsidRDefault="00870B18" w:rsidP="00F208EF">
      <w:pPr>
        <w:rPr>
          <w:szCs w:val="22"/>
        </w:rPr>
      </w:pPr>
    </w:p>
    <w:p w:rsidR="00F208EF" w:rsidRPr="001F182C" w:rsidRDefault="00F208EF" w:rsidP="00F208EF">
      <w:pPr>
        <w:rPr>
          <w:szCs w:val="22"/>
        </w:rPr>
      </w:pPr>
      <w:r>
        <w:rPr>
          <w:szCs w:val="22"/>
        </w:rPr>
        <w:t>In 2012-13, the Scheme target will be based on imports over three years from 2009-10 to 2011-12. T</w:t>
      </w:r>
      <w:r>
        <w:t xml:space="preserve">he conversion factors are expected to underestimate the </w:t>
      </w:r>
      <w:r w:rsidRPr="00EC59F2">
        <w:rPr>
          <w:i/>
        </w:rPr>
        <w:t xml:space="preserve">overall actual </w:t>
      </w:r>
      <w:r>
        <w:rPr>
          <w:i/>
        </w:rPr>
        <w:t xml:space="preserve">import </w:t>
      </w:r>
      <w:r w:rsidRPr="00EC59F2">
        <w:rPr>
          <w:i/>
        </w:rPr>
        <w:t xml:space="preserve">weight </w:t>
      </w:r>
      <w:r>
        <w:t xml:space="preserve">during </w:t>
      </w:r>
      <w:r w:rsidR="00870B18">
        <w:t>2009-10 and 2010-11</w:t>
      </w:r>
      <w:r w:rsidR="006D232A">
        <w:t xml:space="preserve"> </w:t>
      </w:r>
      <w:r w:rsidR="00870B18">
        <w:t xml:space="preserve">and, </w:t>
      </w:r>
      <w:r w:rsidR="006D232A">
        <w:t>where the trend of declining product weights continues,</w:t>
      </w:r>
      <w:r>
        <w:t xml:space="preserve"> the 2011-12 underestimate </w:t>
      </w:r>
      <w:r w:rsidR="006D232A">
        <w:t xml:space="preserve">is </w:t>
      </w:r>
      <w:r>
        <w:t xml:space="preserve">expected to be smaller than the </w:t>
      </w:r>
      <w:r w:rsidR="00870B18">
        <w:t xml:space="preserve">2009-10 and </w:t>
      </w:r>
      <w:r>
        <w:t xml:space="preserve">2010-11 underestimates. Accordingly, overall it is expected that the Scheme target in 2012-13 will slightly underestimate the </w:t>
      </w:r>
      <w:r w:rsidRPr="00935C20">
        <w:rPr>
          <w:i/>
        </w:rPr>
        <w:t xml:space="preserve">actual weight </w:t>
      </w:r>
      <w:r>
        <w:rPr>
          <w:i/>
        </w:rPr>
        <w:t xml:space="preserve">of </w:t>
      </w:r>
      <w:r w:rsidRPr="00935C20">
        <w:rPr>
          <w:i/>
        </w:rPr>
        <w:t>import</w:t>
      </w:r>
      <w:r>
        <w:rPr>
          <w:i/>
        </w:rPr>
        <w:t>s</w:t>
      </w:r>
      <w:r w:rsidRPr="00E90AE9">
        <w:t>.</w:t>
      </w:r>
      <w:r>
        <w:t xml:space="preserve"> </w:t>
      </w:r>
    </w:p>
    <w:p w:rsidR="00C76921" w:rsidRPr="00655A6F" w:rsidRDefault="00C76921" w:rsidP="00FF423F">
      <w:pPr>
        <w:rPr>
          <w:szCs w:val="22"/>
        </w:rPr>
      </w:pPr>
    </w:p>
    <w:p w:rsidR="00771CE7" w:rsidRPr="00655A6F" w:rsidRDefault="00771CE7" w:rsidP="00771CE7">
      <w:r w:rsidRPr="00655A6F">
        <w:t>As a final analysis, actual share of all imports by weight (</w:t>
      </w:r>
      <w:r w:rsidR="00642FD9" w:rsidRPr="00655A6F">
        <w:t xml:space="preserve">import </w:t>
      </w:r>
      <w:r w:rsidRPr="00655A6F">
        <w:t xml:space="preserve">share) </w:t>
      </w:r>
      <w:r w:rsidR="00642FD9" w:rsidRPr="00655A6F">
        <w:t>was</w:t>
      </w:r>
      <w:r w:rsidRPr="00655A6F">
        <w:t xml:space="preserve"> compared to calculated </w:t>
      </w:r>
      <w:r w:rsidR="00642FD9" w:rsidRPr="00655A6F">
        <w:t xml:space="preserve">import </w:t>
      </w:r>
      <w:r w:rsidRPr="00655A6F">
        <w:t>share for all participating brands. The exten</w:t>
      </w:r>
      <w:r w:rsidR="00642FD9" w:rsidRPr="00655A6F">
        <w:t>t</w:t>
      </w:r>
      <w:r w:rsidRPr="00655A6F">
        <w:t xml:space="preserve"> to which the conversion factors</w:t>
      </w:r>
      <w:r w:rsidR="00904E6E">
        <w:t xml:space="preserve"> under or</w:t>
      </w:r>
      <w:r w:rsidRPr="00655A6F">
        <w:t xml:space="preserve"> over state actual weight share </w:t>
      </w:r>
      <w:r w:rsidR="00904E6E">
        <w:t>ranges from -2.6% to 0.8%,</w:t>
      </w:r>
      <w:r w:rsidRPr="00655A6F">
        <w:t xml:space="preserve"> demonstrating that the factors, when applied collectively</w:t>
      </w:r>
      <w:r w:rsidR="00642FD9" w:rsidRPr="00655A6F">
        <w:t>,</w:t>
      </w:r>
      <w:r w:rsidRPr="00655A6F">
        <w:t xml:space="preserve"> calculate a very reasonable estimate of actual </w:t>
      </w:r>
      <w:r w:rsidR="00642FD9" w:rsidRPr="00655A6F">
        <w:t xml:space="preserve">import </w:t>
      </w:r>
      <w:r w:rsidRPr="00655A6F">
        <w:t>share.</w:t>
      </w:r>
    </w:p>
    <w:p w:rsidR="00C76921" w:rsidRPr="00655A6F" w:rsidRDefault="00C76921" w:rsidP="00FF423F">
      <w:pPr>
        <w:rPr>
          <w:szCs w:val="22"/>
        </w:rPr>
      </w:pPr>
    </w:p>
    <w:p w:rsidR="001E4F37" w:rsidRDefault="001E4F37" w:rsidP="001E4F37">
      <w:pPr>
        <w:rPr>
          <w:szCs w:val="22"/>
        </w:rPr>
      </w:pPr>
      <w:r w:rsidRPr="00655A6F">
        <w:rPr>
          <w:szCs w:val="22"/>
        </w:rPr>
        <w:t xml:space="preserve">While </w:t>
      </w:r>
      <w:r w:rsidRPr="00655A6F">
        <w:t xml:space="preserve">Perchards/MS2 advise that the </w:t>
      </w:r>
      <w:r w:rsidR="00930884" w:rsidRPr="00655A6F">
        <w:t xml:space="preserve">conversion </w:t>
      </w:r>
      <w:r w:rsidRPr="00655A6F">
        <w:t xml:space="preserve">factors </w:t>
      </w:r>
      <w:r w:rsidR="00930884" w:rsidRPr="00655A6F">
        <w:t xml:space="preserve">are not appropriate </w:t>
      </w:r>
      <w:r w:rsidR="005637F8" w:rsidRPr="00655A6F">
        <w:t xml:space="preserve">or intended </w:t>
      </w:r>
      <w:r w:rsidR="00930884" w:rsidRPr="00655A6F">
        <w:t xml:space="preserve">to apply </w:t>
      </w:r>
      <w:r w:rsidRPr="00655A6F">
        <w:t>to individual HTISCs</w:t>
      </w:r>
      <w:r w:rsidR="00DC7A46" w:rsidRPr="00655A6F">
        <w:t xml:space="preserve"> in isolation</w:t>
      </w:r>
      <w:r w:rsidRPr="00655A6F">
        <w:t xml:space="preserve">, </w:t>
      </w:r>
      <w:r w:rsidR="00DC7A46" w:rsidRPr="00655A6F">
        <w:t>when</w:t>
      </w:r>
      <w:r w:rsidRPr="00655A6F">
        <w:t xml:space="preserve"> </w:t>
      </w:r>
      <w:r w:rsidR="00DC7A46" w:rsidRPr="00655A6F">
        <w:t>applied</w:t>
      </w:r>
      <w:r w:rsidR="00DC7A46">
        <w:t xml:space="preserve"> collectively</w:t>
      </w:r>
      <w:r w:rsidR="008A19C2">
        <w:t xml:space="preserve"> across multiple HTISCs</w:t>
      </w:r>
      <w:r w:rsidR="00930884">
        <w:t xml:space="preserve"> (as intended</w:t>
      </w:r>
      <w:r w:rsidR="008A19C2">
        <w:t xml:space="preserve"> under the Scheme</w:t>
      </w:r>
      <w:r w:rsidR="00930884">
        <w:t xml:space="preserve">) </w:t>
      </w:r>
      <w:r w:rsidR="00930884">
        <w:rPr>
          <w:szCs w:val="22"/>
        </w:rPr>
        <w:t xml:space="preserve">they </w:t>
      </w:r>
      <w:r w:rsidR="00C73D0C">
        <w:rPr>
          <w:szCs w:val="22"/>
        </w:rPr>
        <w:t xml:space="preserve">represent a reasonable and consistent proxy </w:t>
      </w:r>
      <w:r w:rsidR="00930884">
        <w:rPr>
          <w:szCs w:val="22"/>
        </w:rPr>
        <w:t xml:space="preserve">for actual weight </w:t>
      </w:r>
      <w:r w:rsidR="00C73D0C">
        <w:rPr>
          <w:szCs w:val="22"/>
        </w:rPr>
        <w:t>and can effectively be applied to import data to determine Scheme liability.</w:t>
      </w:r>
      <w:r>
        <w:rPr>
          <w:szCs w:val="22"/>
        </w:rPr>
        <w:t xml:space="preserve">  </w:t>
      </w:r>
      <w:r w:rsidR="005637F8">
        <w:rPr>
          <w:szCs w:val="22"/>
        </w:rPr>
        <w:t>The conversion factors will need to be reviewed periodically to ensure they remain reliable, especially considering that for some products average weight is declining.</w:t>
      </w:r>
    </w:p>
    <w:p w:rsidR="00771CE7" w:rsidRDefault="00771CE7" w:rsidP="00C73D0C">
      <w:pPr>
        <w:rPr>
          <w:szCs w:val="22"/>
        </w:rPr>
      </w:pPr>
    </w:p>
    <w:p w:rsidR="00C76921" w:rsidRDefault="00C76921" w:rsidP="00C73D0C">
      <w:pPr>
        <w:rPr>
          <w:szCs w:val="22"/>
        </w:rPr>
      </w:pPr>
    </w:p>
    <w:p w:rsidR="00C42888" w:rsidRDefault="00C42888">
      <w:pPr>
        <w:rPr>
          <w:szCs w:val="22"/>
        </w:rPr>
      </w:pPr>
    </w:p>
    <w:p w:rsidR="00655A6F" w:rsidRDefault="00655A6F">
      <w:pPr>
        <w:rPr>
          <w:szCs w:val="22"/>
        </w:rPr>
      </w:pPr>
      <w:r>
        <w:rPr>
          <w:szCs w:val="22"/>
        </w:rPr>
        <w:br w:type="page"/>
      </w:r>
    </w:p>
    <w:p w:rsidR="00427E06" w:rsidRDefault="00427E06">
      <w:pPr>
        <w:rPr>
          <w:szCs w:val="22"/>
        </w:rPr>
      </w:pPr>
    </w:p>
    <w:p w:rsidR="003A59EB" w:rsidRDefault="00184F32" w:rsidP="00655A6F">
      <w:pPr>
        <w:pStyle w:val="Heading1"/>
      </w:pPr>
      <w:bookmarkStart w:id="6" w:name="_Toc296601305"/>
      <w:bookmarkStart w:id="7" w:name="_Toc296602998"/>
      <w:bookmarkStart w:id="8" w:name="_Toc303860078"/>
      <w:bookmarkStart w:id="9" w:name="_Toc304967181"/>
      <w:r w:rsidRPr="002E5EB0">
        <w:t>INTRODUCTION</w:t>
      </w:r>
      <w:bookmarkEnd w:id="6"/>
      <w:bookmarkEnd w:id="7"/>
      <w:bookmarkEnd w:id="8"/>
      <w:bookmarkEnd w:id="9"/>
    </w:p>
    <w:p w:rsidR="00184F32" w:rsidRPr="00E206B2" w:rsidRDefault="00184F32" w:rsidP="00184F32">
      <w:pPr>
        <w:jc w:val="both"/>
        <w:rPr>
          <w:szCs w:val="22"/>
        </w:rPr>
      </w:pPr>
    </w:p>
    <w:p w:rsidR="00184F32" w:rsidRDefault="00184F32" w:rsidP="00184F32">
      <w:pPr>
        <w:keepNext/>
        <w:keepLines/>
        <w:rPr>
          <w:szCs w:val="22"/>
        </w:rPr>
      </w:pPr>
      <w:r w:rsidRPr="00E206B2">
        <w:rPr>
          <w:szCs w:val="22"/>
        </w:rPr>
        <w:t>The Department of Sustainability, Environment, Water, Population and Communities</w:t>
      </w:r>
      <w:r w:rsidRPr="00E206B2" w:rsidDel="00617465">
        <w:rPr>
          <w:szCs w:val="22"/>
        </w:rPr>
        <w:t xml:space="preserve"> </w:t>
      </w:r>
      <w:r w:rsidRPr="00E206B2">
        <w:rPr>
          <w:szCs w:val="22"/>
        </w:rPr>
        <w:t xml:space="preserve"> (</w:t>
      </w:r>
      <w:r w:rsidR="00E206B2" w:rsidRPr="00E206B2">
        <w:rPr>
          <w:szCs w:val="22"/>
        </w:rPr>
        <w:t xml:space="preserve">the </w:t>
      </w:r>
      <w:r w:rsidRPr="00E206B2">
        <w:rPr>
          <w:szCs w:val="22"/>
        </w:rPr>
        <w:t xml:space="preserve">Department) commissioned Perchards and MS2 to provide recommendations, modelling and rationales for simple, robust, cost efficient, accountable and transparent conversion factors from </w:t>
      </w:r>
      <w:r w:rsidR="00BA5986">
        <w:rPr>
          <w:szCs w:val="22"/>
        </w:rPr>
        <w:t>unit</w:t>
      </w:r>
      <w:r w:rsidR="004971BC">
        <w:rPr>
          <w:szCs w:val="22"/>
        </w:rPr>
        <w:t xml:space="preserve"> </w:t>
      </w:r>
      <w:r w:rsidR="00BA5986">
        <w:rPr>
          <w:szCs w:val="22"/>
        </w:rPr>
        <w:t>to</w:t>
      </w:r>
      <w:r w:rsidR="004971BC">
        <w:rPr>
          <w:szCs w:val="22"/>
        </w:rPr>
        <w:t xml:space="preserve"> </w:t>
      </w:r>
      <w:r w:rsidR="00BA5986">
        <w:rPr>
          <w:szCs w:val="22"/>
        </w:rPr>
        <w:t>weight</w:t>
      </w:r>
      <w:r w:rsidRPr="00E206B2">
        <w:rPr>
          <w:szCs w:val="22"/>
        </w:rPr>
        <w:t xml:space="preserve"> for the identified </w:t>
      </w:r>
      <w:r w:rsidR="006D2BB3">
        <w:rPr>
          <w:szCs w:val="22"/>
        </w:rPr>
        <w:t>Australian Customs and Boarder Protection Service (C</w:t>
      </w:r>
      <w:r w:rsidR="005A3B5D">
        <w:rPr>
          <w:szCs w:val="22"/>
        </w:rPr>
        <w:t>ustoms</w:t>
      </w:r>
      <w:r w:rsidR="006D2BB3">
        <w:rPr>
          <w:szCs w:val="22"/>
        </w:rPr>
        <w:t>)</w:t>
      </w:r>
      <w:r w:rsidR="005A3B5D">
        <w:rPr>
          <w:szCs w:val="22"/>
        </w:rPr>
        <w:t xml:space="preserve"> </w:t>
      </w:r>
      <w:r w:rsidRPr="00E206B2">
        <w:rPr>
          <w:szCs w:val="22"/>
        </w:rPr>
        <w:t xml:space="preserve">tariff codes included under the National Television and Computer </w:t>
      </w:r>
      <w:r w:rsidR="008A19C2">
        <w:rPr>
          <w:szCs w:val="22"/>
        </w:rPr>
        <w:t>Recycling</w:t>
      </w:r>
      <w:r w:rsidRPr="00E206B2">
        <w:rPr>
          <w:szCs w:val="22"/>
        </w:rPr>
        <w:t xml:space="preserve"> Scheme (the Scheme).</w:t>
      </w:r>
    </w:p>
    <w:p w:rsidR="005A3B5D" w:rsidRDefault="005A3B5D" w:rsidP="00184F32">
      <w:pPr>
        <w:keepNext/>
        <w:keepLines/>
        <w:rPr>
          <w:szCs w:val="22"/>
        </w:rPr>
      </w:pPr>
    </w:p>
    <w:p w:rsidR="005A3B5D" w:rsidRPr="00E206B2" w:rsidRDefault="005A3B5D" w:rsidP="005A3B5D">
      <w:pPr>
        <w:jc w:val="both"/>
        <w:rPr>
          <w:szCs w:val="22"/>
        </w:rPr>
      </w:pPr>
      <w:r>
        <w:rPr>
          <w:szCs w:val="22"/>
        </w:rPr>
        <w:t>Two levels of tariff code are relevant to this study: the ten-digit HTISC</w:t>
      </w:r>
      <w:r w:rsidRPr="005A3B5D">
        <w:rPr>
          <w:szCs w:val="22"/>
        </w:rPr>
        <w:t xml:space="preserve"> </w:t>
      </w:r>
      <w:r>
        <w:rPr>
          <w:szCs w:val="22"/>
        </w:rPr>
        <w:t>Harmonized Tariff Item Statistical</w:t>
      </w:r>
      <w:r w:rsidRPr="00E206B2">
        <w:rPr>
          <w:szCs w:val="22"/>
        </w:rPr>
        <w:t xml:space="preserve"> </w:t>
      </w:r>
      <w:r>
        <w:rPr>
          <w:szCs w:val="22"/>
        </w:rPr>
        <w:t>C</w:t>
      </w:r>
      <w:r w:rsidRPr="00E206B2">
        <w:rPr>
          <w:szCs w:val="22"/>
        </w:rPr>
        <w:t>ode</w:t>
      </w:r>
      <w:r>
        <w:rPr>
          <w:szCs w:val="22"/>
        </w:rPr>
        <w:t xml:space="preserve"> (HTISCs)</w:t>
      </w:r>
      <w:r>
        <w:t xml:space="preserve"> and the eight digit </w:t>
      </w:r>
      <w:r>
        <w:rPr>
          <w:szCs w:val="22"/>
        </w:rPr>
        <w:t>Customs Tariff Classification Number (CTCN), which is the next tariff level up, or ‘parent’ level to the HTISCs.</w:t>
      </w:r>
    </w:p>
    <w:p w:rsidR="00184F32" w:rsidRPr="00E206B2" w:rsidRDefault="00184F32" w:rsidP="00184F32">
      <w:pPr>
        <w:keepNext/>
        <w:keepLines/>
        <w:rPr>
          <w:szCs w:val="22"/>
        </w:rPr>
      </w:pPr>
    </w:p>
    <w:p w:rsidR="00184F32" w:rsidRPr="00E206B2" w:rsidRDefault="00184F32" w:rsidP="00184F32">
      <w:pPr>
        <w:keepNext/>
        <w:keepLines/>
        <w:rPr>
          <w:szCs w:val="22"/>
        </w:rPr>
      </w:pPr>
      <w:r w:rsidRPr="00E206B2">
        <w:rPr>
          <w:szCs w:val="22"/>
        </w:rPr>
        <w:t>The project comprises a two step process:</w:t>
      </w:r>
    </w:p>
    <w:p w:rsidR="00184F32" w:rsidRPr="002E5EB0" w:rsidRDefault="00184F32" w:rsidP="00184F32">
      <w:pPr>
        <w:keepNext/>
        <w:keepLines/>
        <w:rPr>
          <w:rFonts w:ascii="Arial" w:hAnsi="Arial" w:cs="Arial"/>
          <w:sz w:val="20"/>
          <w:szCs w:val="20"/>
        </w:rPr>
      </w:pPr>
    </w:p>
    <w:p w:rsidR="00184F32" w:rsidRPr="00F10EEF" w:rsidRDefault="00184F32" w:rsidP="00A02452">
      <w:pPr>
        <w:keepNext/>
        <w:keepLines/>
        <w:rPr>
          <w:rFonts w:ascii="Arial" w:hAnsi="Arial" w:cs="Arial"/>
          <w:b/>
          <w:i/>
          <w:sz w:val="20"/>
          <w:szCs w:val="20"/>
        </w:rPr>
      </w:pPr>
      <w:r w:rsidRPr="00F10EEF">
        <w:rPr>
          <w:rFonts w:ascii="Arial" w:hAnsi="Arial" w:cs="Arial"/>
          <w:b/>
          <w:i/>
          <w:sz w:val="20"/>
          <w:szCs w:val="20"/>
        </w:rPr>
        <w:t>S</w:t>
      </w:r>
      <w:r w:rsidR="00A02452" w:rsidRPr="00F10EEF">
        <w:rPr>
          <w:rFonts w:ascii="Arial" w:hAnsi="Arial" w:cs="Arial"/>
          <w:b/>
          <w:i/>
          <w:sz w:val="20"/>
          <w:szCs w:val="20"/>
        </w:rPr>
        <w:t>tep</w:t>
      </w:r>
      <w:r w:rsidRPr="00F10EEF">
        <w:rPr>
          <w:rFonts w:ascii="Arial" w:hAnsi="Arial" w:cs="Arial"/>
          <w:b/>
          <w:i/>
          <w:sz w:val="20"/>
          <w:szCs w:val="20"/>
        </w:rPr>
        <w:t xml:space="preserve"> 1</w:t>
      </w:r>
    </w:p>
    <w:p w:rsidR="00A02452" w:rsidRDefault="00A02452" w:rsidP="00A02452">
      <w:pPr>
        <w:autoSpaceDE w:val="0"/>
        <w:autoSpaceDN w:val="0"/>
        <w:adjustRightInd w:val="0"/>
        <w:rPr>
          <w:szCs w:val="22"/>
        </w:rPr>
      </w:pPr>
    </w:p>
    <w:p w:rsidR="00184F32" w:rsidRDefault="00184F32" w:rsidP="00A02452">
      <w:pPr>
        <w:numPr>
          <w:ilvl w:val="0"/>
          <w:numId w:val="6"/>
        </w:numPr>
        <w:tabs>
          <w:tab w:val="clear" w:pos="-522"/>
          <w:tab w:val="num" w:pos="307"/>
        </w:tabs>
        <w:autoSpaceDE w:val="0"/>
        <w:autoSpaceDN w:val="0"/>
        <w:adjustRightInd w:val="0"/>
        <w:ind w:left="307" w:hanging="306"/>
        <w:rPr>
          <w:szCs w:val="22"/>
        </w:rPr>
      </w:pPr>
      <w:r w:rsidRPr="00E206B2">
        <w:rPr>
          <w:szCs w:val="22"/>
        </w:rPr>
        <w:t xml:space="preserve">Consider whether it is feasible and appropriate to develop (and maintain </w:t>
      </w:r>
      <w:r w:rsidR="00FA6AB8">
        <w:rPr>
          <w:szCs w:val="22"/>
        </w:rPr>
        <w:t>over</w:t>
      </w:r>
      <w:r w:rsidRPr="00E206B2">
        <w:rPr>
          <w:szCs w:val="22"/>
        </w:rPr>
        <w:t xml:space="preserve"> time) robust and </w:t>
      </w:r>
      <w:r w:rsidR="00C63F58">
        <w:rPr>
          <w:szCs w:val="22"/>
        </w:rPr>
        <w:t>defensi</w:t>
      </w:r>
      <w:r w:rsidR="002F6635">
        <w:rPr>
          <w:szCs w:val="22"/>
        </w:rPr>
        <w:t>ble</w:t>
      </w:r>
      <w:r w:rsidRPr="00E206B2">
        <w:rPr>
          <w:szCs w:val="22"/>
        </w:rPr>
        <w:t xml:space="preserve"> conversion factors reflecting the weighted average weight of products contained in each identified HTISC. This include</w:t>
      </w:r>
      <w:r w:rsidR="00FA6AB8">
        <w:rPr>
          <w:szCs w:val="22"/>
        </w:rPr>
        <w:t>s</w:t>
      </w:r>
      <w:r w:rsidRPr="00E206B2">
        <w:rPr>
          <w:szCs w:val="22"/>
        </w:rPr>
        <w:t xml:space="preserve"> consulting with stakeholders identified by the Department. </w:t>
      </w:r>
    </w:p>
    <w:p w:rsidR="00A02452" w:rsidRPr="00E206B2" w:rsidRDefault="00A02452" w:rsidP="00A02452">
      <w:pPr>
        <w:autoSpaceDE w:val="0"/>
        <w:autoSpaceDN w:val="0"/>
        <w:adjustRightInd w:val="0"/>
        <w:ind w:left="1"/>
        <w:rPr>
          <w:szCs w:val="22"/>
        </w:rPr>
      </w:pPr>
    </w:p>
    <w:p w:rsidR="00184F32" w:rsidRPr="00E206B2" w:rsidRDefault="00184F32" w:rsidP="00A02452">
      <w:pPr>
        <w:numPr>
          <w:ilvl w:val="0"/>
          <w:numId w:val="6"/>
        </w:numPr>
        <w:tabs>
          <w:tab w:val="clear" w:pos="-522"/>
          <w:tab w:val="num" w:pos="307"/>
        </w:tabs>
        <w:autoSpaceDE w:val="0"/>
        <w:autoSpaceDN w:val="0"/>
        <w:adjustRightInd w:val="0"/>
        <w:ind w:left="307" w:hanging="306"/>
        <w:rPr>
          <w:szCs w:val="22"/>
        </w:rPr>
      </w:pPr>
      <w:r w:rsidRPr="00E206B2">
        <w:rPr>
          <w:szCs w:val="22"/>
        </w:rPr>
        <w:t>Prepare a report to the Department outlining the feasibility and any relevant issues or alternative options in the case where the finding is that the conversion to weight approach is not feasible.</w:t>
      </w:r>
      <w:r w:rsidR="000B38D6">
        <w:rPr>
          <w:szCs w:val="22"/>
        </w:rPr>
        <w:t xml:space="preserve"> </w:t>
      </w:r>
      <w:r w:rsidRPr="00E206B2">
        <w:rPr>
          <w:szCs w:val="22"/>
        </w:rPr>
        <w:t xml:space="preserve">If a conversion factor </w:t>
      </w:r>
      <w:r w:rsidR="00F15F90">
        <w:rPr>
          <w:szCs w:val="22"/>
        </w:rPr>
        <w:t>approach</w:t>
      </w:r>
      <w:r w:rsidR="00F15F90" w:rsidRPr="00E206B2">
        <w:rPr>
          <w:szCs w:val="22"/>
        </w:rPr>
        <w:t xml:space="preserve"> </w:t>
      </w:r>
      <w:r w:rsidRPr="00E206B2">
        <w:rPr>
          <w:szCs w:val="22"/>
        </w:rPr>
        <w:t xml:space="preserve">is feasible, confirm the approach to be taken to </w:t>
      </w:r>
      <w:r w:rsidR="000B38D6">
        <w:rPr>
          <w:szCs w:val="22"/>
        </w:rPr>
        <w:t>S</w:t>
      </w:r>
      <w:r w:rsidRPr="00E206B2">
        <w:rPr>
          <w:szCs w:val="22"/>
        </w:rPr>
        <w:t xml:space="preserve">tep 2. </w:t>
      </w:r>
    </w:p>
    <w:p w:rsidR="00184F32" w:rsidRPr="00E206B2" w:rsidRDefault="00184F32" w:rsidP="00A02452">
      <w:pPr>
        <w:autoSpaceDE w:val="0"/>
        <w:autoSpaceDN w:val="0"/>
        <w:adjustRightInd w:val="0"/>
        <w:ind w:hanging="306"/>
        <w:rPr>
          <w:szCs w:val="22"/>
        </w:rPr>
      </w:pPr>
    </w:p>
    <w:p w:rsidR="00184F32" w:rsidRPr="00F10EEF" w:rsidRDefault="00A02452" w:rsidP="00A02452">
      <w:pPr>
        <w:keepNext/>
        <w:keepLines/>
        <w:rPr>
          <w:rFonts w:ascii="Arial" w:hAnsi="Arial" w:cs="Arial"/>
          <w:b/>
          <w:i/>
          <w:sz w:val="20"/>
          <w:szCs w:val="20"/>
        </w:rPr>
      </w:pPr>
      <w:r w:rsidRPr="00F10EEF">
        <w:rPr>
          <w:rFonts w:ascii="Arial" w:hAnsi="Arial" w:cs="Arial"/>
          <w:b/>
          <w:i/>
          <w:sz w:val="20"/>
          <w:szCs w:val="20"/>
        </w:rPr>
        <w:t>Step 2</w:t>
      </w:r>
    </w:p>
    <w:p w:rsidR="00A02452" w:rsidRDefault="00A02452" w:rsidP="00A02452">
      <w:pPr>
        <w:tabs>
          <w:tab w:val="num" w:pos="307"/>
        </w:tabs>
        <w:autoSpaceDE w:val="0"/>
        <w:autoSpaceDN w:val="0"/>
        <w:adjustRightInd w:val="0"/>
        <w:rPr>
          <w:szCs w:val="22"/>
        </w:rPr>
      </w:pPr>
    </w:p>
    <w:p w:rsidR="00184F32" w:rsidRDefault="00184F32" w:rsidP="00A02452">
      <w:pPr>
        <w:tabs>
          <w:tab w:val="num" w:pos="307"/>
        </w:tabs>
        <w:autoSpaceDE w:val="0"/>
        <w:autoSpaceDN w:val="0"/>
        <w:adjustRightInd w:val="0"/>
        <w:rPr>
          <w:szCs w:val="22"/>
        </w:rPr>
      </w:pPr>
      <w:r w:rsidRPr="00E206B2">
        <w:rPr>
          <w:szCs w:val="22"/>
        </w:rPr>
        <w:t>Where it is determined that a HTISC-based set of conversion factors is feasible:</w:t>
      </w:r>
    </w:p>
    <w:p w:rsidR="00A02452" w:rsidRPr="00E206B2" w:rsidRDefault="00A02452" w:rsidP="00A02452">
      <w:pPr>
        <w:tabs>
          <w:tab w:val="num" w:pos="307"/>
        </w:tabs>
        <w:autoSpaceDE w:val="0"/>
        <w:autoSpaceDN w:val="0"/>
        <w:adjustRightInd w:val="0"/>
        <w:rPr>
          <w:szCs w:val="22"/>
        </w:rPr>
      </w:pPr>
    </w:p>
    <w:p w:rsidR="00184F32" w:rsidRDefault="00184F32" w:rsidP="005A3B5D">
      <w:pPr>
        <w:numPr>
          <w:ilvl w:val="0"/>
          <w:numId w:val="33"/>
        </w:numPr>
        <w:autoSpaceDE w:val="0"/>
        <w:autoSpaceDN w:val="0"/>
        <w:adjustRightInd w:val="0"/>
        <w:ind w:left="284" w:hanging="284"/>
        <w:rPr>
          <w:szCs w:val="22"/>
        </w:rPr>
      </w:pPr>
      <w:r w:rsidRPr="00E206B2">
        <w:rPr>
          <w:szCs w:val="22"/>
        </w:rPr>
        <w:t>Develop a statistically valid methodology to derive a conversion factor for</w:t>
      </w:r>
      <w:r w:rsidR="00C63F58">
        <w:rPr>
          <w:szCs w:val="22"/>
        </w:rPr>
        <w:t xml:space="preserve"> each of the identified codes. </w:t>
      </w:r>
      <w:r w:rsidRPr="00E206B2">
        <w:rPr>
          <w:szCs w:val="22"/>
        </w:rPr>
        <w:t>Document the assumptions behind the methodology.</w:t>
      </w:r>
    </w:p>
    <w:p w:rsidR="00A02452" w:rsidRPr="00E206B2" w:rsidRDefault="00A02452" w:rsidP="00A02452">
      <w:pPr>
        <w:autoSpaceDE w:val="0"/>
        <w:autoSpaceDN w:val="0"/>
        <w:adjustRightInd w:val="0"/>
        <w:rPr>
          <w:szCs w:val="22"/>
        </w:rPr>
      </w:pPr>
    </w:p>
    <w:p w:rsidR="00184F32" w:rsidRDefault="00184F32" w:rsidP="005A3B5D">
      <w:pPr>
        <w:numPr>
          <w:ilvl w:val="0"/>
          <w:numId w:val="33"/>
        </w:numPr>
        <w:autoSpaceDE w:val="0"/>
        <w:autoSpaceDN w:val="0"/>
        <w:adjustRightInd w:val="0"/>
        <w:ind w:left="284" w:hanging="284"/>
        <w:rPr>
          <w:szCs w:val="22"/>
        </w:rPr>
      </w:pPr>
      <w:r w:rsidRPr="00E206B2">
        <w:rPr>
          <w:szCs w:val="22"/>
        </w:rPr>
        <w:t>Undertake a confidence rating of each conversion factor to determine the quality and accuracy of each conversion factor and identify any significant issues.</w:t>
      </w:r>
    </w:p>
    <w:p w:rsidR="00A02452" w:rsidRDefault="00A02452" w:rsidP="00A02452">
      <w:pPr>
        <w:pStyle w:val="ListParagraph"/>
        <w:rPr>
          <w:szCs w:val="22"/>
        </w:rPr>
      </w:pPr>
    </w:p>
    <w:p w:rsidR="00184F32" w:rsidRPr="00E206B2" w:rsidRDefault="00184F32" w:rsidP="005A3B5D">
      <w:pPr>
        <w:numPr>
          <w:ilvl w:val="0"/>
          <w:numId w:val="33"/>
        </w:numPr>
        <w:autoSpaceDE w:val="0"/>
        <w:autoSpaceDN w:val="0"/>
        <w:adjustRightInd w:val="0"/>
        <w:ind w:left="284" w:hanging="284"/>
        <w:rPr>
          <w:szCs w:val="22"/>
        </w:rPr>
      </w:pPr>
      <w:r w:rsidRPr="00E206B2">
        <w:rPr>
          <w:szCs w:val="22"/>
        </w:rPr>
        <w:t xml:space="preserve">Develop an </w:t>
      </w:r>
      <w:r w:rsidR="00FA6AB8">
        <w:rPr>
          <w:szCs w:val="22"/>
        </w:rPr>
        <w:t>E</w:t>
      </w:r>
      <w:r w:rsidRPr="00E206B2">
        <w:rPr>
          <w:szCs w:val="22"/>
        </w:rPr>
        <w:t xml:space="preserve">xcel spreadsheet toolkit to allow import unit totals to be converted into weights for each of the identified codes. </w:t>
      </w:r>
    </w:p>
    <w:p w:rsidR="00184F32" w:rsidRPr="00E206B2" w:rsidRDefault="00184F32" w:rsidP="00A02452">
      <w:pPr>
        <w:autoSpaceDE w:val="0"/>
        <w:autoSpaceDN w:val="0"/>
        <w:adjustRightInd w:val="0"/>
        <w:ind w:left="284" w:hanging="284"/>
        <w:rPr>
          <w:szCs w:val="22"/>
        </w:rPr>
      </w:pPr>
    </w:p>
    <w:p w:rsidR="002A2753" w:rsidRDefault="002A2753" w:rsidP="00A02452">
      <w:pPr>
        <w:autoSpaceDE w:val="0"/>
        <w:autoSpaceDN w:val="0"/>
        <w:adjustRightInd w:val="0"/>
        <w:rPr>
          <w:szCs w:val="22"/>
        </w:rPr>
      </w:pPr>
    </w:p>
    <w:p w:rsidR="00CC3CD1" w:rsidRDefault="00CC3CD1" w:rsidP="00A02452">
      <w:pPr>
        <w:autoSpaceDE w:val="0"/>
        <w:autoSpaceDN w:val="0"/>
        <w:adjustRightInd w:val="0"/>
        <w:rPr>
          <w:szCs w:val="22"/>
        </w:rPr>
      </w:pPr>
      <w:r>
        <w:rPr>
          <w:szCs w:val="22"/>
        </w:rPr>
        <w:t xml:space="preserve">Step 1 (the feasibility study) was delivered to the Department in July 2011.  </w:t>
      </w:r>
    </w:p>
    <w:p w:rsidR="00CC3CD1" w:rsidRDefault="00CC3CD1" w:rsidP="00A02452">
      <w:pPr>
        <w:autoSpaceDE w:val="0"/>
        <w:autoSpaceDN w:val="0"/>
        <w:adjustRightInd w:val="0"/>
        <w:rPr>
          <w:szCs w:val="22"/>
        </w:rPr>
      </w:pPr>
    </w:p>
    <w:p w:rsidR="00184F32" w:rsidRPr="00E206B2" w:rsidRDefault="00184F32" w:rsidP="00A02452">
      <w:pPr>
        <w:autoSpaceDE w:val="0"/>
        <w:autoSpaceDN w:val="0"/>
        <w:adjustRightInd w:val="0"/>
        <w:rPr>
          <w:szCs w:val="22"/>
        </w:rPr>
      </w:pPr>
      <w:r w:rsidRPr="00E206B2">
        <w:rPr>
          <w:szCs w:val="22"/>
        </w:rPr>
        <w:t xml:space="preserve">This report presents Step </w:t>
      </w:r>
      <w:r w:rsidR="002A2753">
        <w:rPr>
          <w:szCs w:val="22"/>
        </w:rPr>
        <w:t>2</w:t>
      </w:r>
      <w:r w:rsidRPr="00E206B2">
        <w:rPr>
          <w:szCs w:val="22"/>
        </w:rPr>
        <w:t xml:space="preserve"> of the </w:t>
      </w:r>
      <w:r w:rsidR="00175517">
        <w:rPr>
          <w:szCs w:val="22"/>
        </w:rPr>
        <w:t>project</w:t>
      </w:r>
      <w:r w:rsidRPr="00E206B2">
        <w:rPr>
          <w:szCs w:val="22"/>
        </w:rPr>
        <w:t>.</w:t>
      </w:r>
    </w:p>
    <w:p w:rsidR="00CC3CD1" w:rsidRDefault="00CC3CD1">
      <w:pPr>
        <w:rPr>
          <w:szCs w:val="22"/>
        </w:rPr>
      </w:pPr>
      <w:r>
        <w:rPr>
          <w:szCs w:val="22"/>
        </w:rPr>
        <w:br w:type="page"/>
      </w:r>
    </w:p>
    <w:p w:rsidR="003A59EB" w:rsidRDefault="00184F32" w:rsidP="00655A6F">
      <w:pPr>
        <w:pStyle w:val="Heading1"/>
      </w:pPr>
      <w:bookmarkStart w:id="10" w:name="_Toc296601306"/>
      <w:bookmarkStart w:id="11" w:name="_Toc296602999"/>
      <w:bookmarkStart w:id="12" w:name="_Toc303860079"/>
      <w:bookmarkStart w:id="13" w:name="_Toc304967182"/>
      <w:r w:rsidRPr="002E5EB0">
        <w:lastRenderedPageBreak/>
        <w:t>BACKGROUND</w:t>
      </w:r>
      <w:bookmarkEnd w:id="10"/>
      <w:bookmarkEnd w:id="11"/>
      <w:bookmarkEnd w:id="12"/>
      <w:bookmarkEnd w:id="13"/>
    </w:p>
    <w:p w:rsidR="00184F32" w:rsidRPr="00E206B2" w:rsidRDefault="00184F32" w:rsidP="00A02452">
      <w:pPr>
        <w:rPr>
          <w:szCs w:val="22"/>
        </w:rPr>
      </w:pPr>
    </w:p>
    <w:p w:rsidR="007F7E2C" w:rsidRPr="00E206B2" w:rsidRDefault="00184F32" w:rsidP="00A02452">
      <w:pPr>
        <w:autoSpaceDE w:val="0"/>
        <w:autoSpaceDN w:val="0"/>
        <w:adjustRightInd w:val="0"/>
        <w:rPr>
          <w:szCs w:val="22"/>
        </w:rPr>
      </w:pPr>
      <w:r w:rsidRPr="00E206B2">
        <w:rPr>
          <w:szCs w:val="22"/>
        </w:rPr>
        <w:t xml:space="preserve">A key priority of the </w:t>
      </w:r>
      <w:r w:rsidRPr="00E206B2">
        <w:rPr>
          <w:i/>
          <w:szCs w:val="22"/>
        </w:rPr>
        <w:t xml:space="preserve">National Waste Policy: Less waste, </w:t>
      </w:r>
      <w:r w:rsidR="006D2BB3">
        <w:rPr>
          <w:i/>
          <w:szCs w:val="22"/>
        </w:rPr>
        <w:t>M</w:t>
      </w:r>
      <w:r w:rsidRPr="00E206B2">
        <w:rPr>
          <w:i/>
          <w:szCs w:val="22"/>
        </w:rPr>
        <w:t>ore resources</w:t>
      </w:r>
      <w:r w:rsidRPr="00E206B2">
        <w:rPr>
          <w:szCs w:val="22"/>
        </w:rPr>
        <w:t xml:space="preserve"> is for the Australian Government to introduce national product stewardship legislation. This legislation (which</w:t>
      </w:r>
      <w:r w:rsidR="000C6141">
        <w:rPr>
          <w:szCs w:val="22"/>
        </w:rPr>
        <w:t xml:space="preserve"> </w:t>
      </w:r>
      <w:r w:rsidRPr="00E206B2">
        <w:rPr>
          <w:szCs w:val="22"/>
        </w:rPr>
        <w:t>passed Parliament</w:t>
      </w:r>
      <w:r w:rsidR="006D668A">
        <w:rPr>
          <w:szCs w:val="22"/>
        </w:rPr>
        <w:t xml:space="preserve"> on 22 June and commenced 8 August</w:t>
      </w:r>
      <w:r w:rsidRPr="00E206B2">
        <w:rPr>
          <w:szCs w:val="22"/>
        </w:rPr>
        <w:t xml:space="preserve">), together with associated regulations, will establish a product stewardship scheme for televisions, computers and computer peripherals as a priority. </w:t>
      </w:r>
      <w:r w:rsidR="00984636">
        <w:rPr>
          <w:szCs w:val="22"/>
        </w:rPr>
        <w:t>In this report, t</w:t>
      </w:r>
      <w:r w:rsidR="007F7E2C">
        <w:rPr>
          <w:szCs w:val="22"/>
        </w:rPr>
        <w:t xml:space="preserve">he </w:t>
      </w:r>
      <w:r w:rsidR="007F7E2C" w:rsidRPr="00E206B2">
        <w:rPr>
          <w:szCs w:val="22"/>
        </w:rPr>
        <w:t>television, computer and computer peripherals</w:t>
      </w:r>
      <w:r w:rsidR="007F7E2C">
        <w:rPr>
          <w:szCs w:val="22"/>
        </w:rPr>
        <w:t xml:space="preserve"> industry is referred to collectively as </w:t>
      </w:r>
      <w:r w:rsidR="007F7E2C" w:rsidRPr="007F7E2C">
        <w:rPr>
          <w:i/>
          <w:szCs w:val="22"/>
        </w:rPr>
        <w:t>industry</w:t>
      </w:r>
      <w:r w:rsidR="007F7E2C">
        <w:rPr>
          <w:szCs w:val="22"/>
        </w:rPr>
        <w:t>.</w:t>
      </w:r>
    </w:p>
    <w:p w:rsidR="00184F32" w:rsidRPr="00E206B2" w:rsidRDefault="00184F32" w:rsidP="00A02452">
      <w:pPr>
        <w:autoSpaceDE w:val="0"/>
        <w:autoSpaceDN w:val="0"/>
        <w:adjustRightInd w:val="0"/>
        <w:rPr>
          <w:szCs w:val="22"/>
        </w:rPr>
      </w:pPr>
    </w:p>
    <w:p w:rsidR="00184F32" w:rsidRPr="00E206B2" w:rsidRDefault="00184F32" w:rsidP="00A02452">
      <w:pPr>
        <w:autoSpaceDE w:val="0"/>
        <w:autoSpaceDN w:val="0"/>
        <w:adjustRightInd w:val="0"/>
        <w:rPr>
          <w:szCs w:val="22"/>
        </w:rPr>
      </w:pPr>
      <w:r w:rsidRPr="00E206B2">
        <w:rPr>
          <w:szCs w:val="22"/>
        </w:rPr>
        <w:t xml:space="preserve">Under the legislation and associated regulations as currently proposed, above-threshold importers and Australian manufacturers of televisions, computers and computer peripherals will be required to be members of an approved product stewardship arrangement. Penalties will apply if this obligation is not met. </w:t>
      </w:r>
    </w:p>
    <w:p w:rsidR="00184F32" w:rsidRPr="00E206B2" w:rsidRDefault="00184F32" w:rsidP="00A02452">
      <w:pPr>
        <w:autoSpaceDE w:val="0"/>
        <w:autoSpaceDN w:val="0"/>
        <w:adjustRightInd w:val="0"/>
        <w:rPr>
          <w:szCs w:val="22"/>
        </w:rPr>
      </w:pPr>
    </w:p>
    <w:p w:rsidR="00184F32" w:rsidRPr="00E206B2" w:rsidRDefault="00184F32" w:rsidP="00A02452">
      <w:pPr>
        <w:rPr>
          <w:szCs w:val="22"/>
        </w:rPr>
      </w:pPr>
      <w:r w:rsidRPr="00E206B2">
        <w:rPr>
          <w:szCs w:val="22"/>
        </w:rPr>
        <w:t xml:space="preserve">It is currently proposed that recycling targets for </w:t>
      </w:r>
      <w:r w:rsidR="008A19C2">
        <w:rPr>
          <w:szCs w:val="22"/>
        </w:rPr>
        <w:t xml:space="preserve">the scheme will be expressed as a percentage of the estimated annual waste stream. This estimated waste stream is calculated based on an average of the annual imports over the last three years, multiplied by a scaling factor of 0.9. It is proposed that the recycling targets will be allocated to </w:t>
      </w:r>
      <w:r w:rsidRPr="00E206B2">
        <w:rPr>
          <w:szCs w:val="22"/>
        </w:rPr>
        <w:t>product stewardship arrangements based on the import/manufacture share of members. Imports are currently measured in units, whereas waste and recovery reporting is weight-based.</w:t>
      </w:r>
      <w:r w:rsidR="001A78F2">
        <w:rPr>
          <w:szCs w:val="22"/>
        </w:rPr>
        <w:t xml:space="preserve"> </w:t>
      </w:r>
      <w:r w:rsidR="001A78F2" w:rsidRPr="00E31906">
        <w:rPr>
          <w:szCs w:val="22"/>
        </w:rPr>
        <w:t xml:space="preserve">The aim of this study is to develop a set of factors to convert </w:t>
      </w:r>
      <w:r w:rsidR="00984636">
        <w:rPr>
          <w:szCs w:val="22"/>
        </w:rPr>
        <w:t xml:space="preserve">imports, within individual HTISCs, from </w:t>
      </w:r>
      <w:r w:rsidR="001A78F2" w:rsidRPr="00E31906">
        <w:rPr>
          <w:szCs w:val="22"/>
        </w:rPr>
        <w:t>units to weigh</w:t>
      </w:r>
      <w:r w:rsidR="000B3AB0" w:rsidRPr="00E31906">
        <w:rPr>
          <w:szCs w:val="22"/>
        </w:rPr>
        <w:t>t</w:t>
      </w:r>
      <w:r w:rsidR="001A78F2" w:rsidRPr="00E31906">
        <w:rPr>
          <w:szCs w:val="22"/>
        </w:rPr>
        <w:t>s</w:t>
      </w:r>
      <w:r w:rsidR="00984636">
        <w:rPr>
          <w:szCs w:val="22"/>
        </w:rPr>
        <w:t>. This will</w:t>
      </w:r>
      <w:r w:rsidR="001A78F2" w:rsidRPr="00E31906">
        <w:rPr>
          <w:szCs w:val="22"/>
        </w:rPr>
        <w:t xml:space="preserve"> enable a single unit for measurement and reporting</w:t>
      </w:r>
      <w:r w:rsidR="00984636">
        <w:rPr>
          <w:szCs w:val="22"/>
        </w:rPr>
        <w:t xml:space="preserve"> under the Scheme</w:t>
      </w:r>
      <w:r w:rsidR="001A78F2" w:rsidRPr="00E31906">
        <w:rPr>
          <w:szCs w:val="22"/>
        </w:rPr>
        <w:t>.</w:t>
      </w:r>
    </w:p>
    <w:p w:rsidR="00184F32" w:rsidRPr="00E206B2" w:rsidRDefault="00184F32" w:rsidP="00A02452">
      <w:pPr>
        <w:rPr>
          <w:szCs w:val="22"/>
        </w:rPr>
      </w:pPr>
    </w:p>
    <w:p w:rsidR="00CC3CD1" w:rsidRDefault="00CC3CD1" w:rsidP="00CC3CD1">
      <w:pPr>
        <w:autoSpaceDE w:val="0"/>
        <w:autoSpaceDN w:val="0"/>
        <w:adjustRightInd w:val="0"/>
        <w:rPr>
          <w:szCs w:val="22"/>
        </w:rPr>
      </w:pPr>
      <w:r>
        <w:rPr>
          <w:szCs w:val="22"/>
        </w:rPr>
        <w:t xml:space="preserve">The feasibility study involved </w:t>
      </w:r>
      <w:r w:rsidR="001A78F2">
        <w:rPr>
          <w:szCs w:val="22"/>
        </w:rPr>
        <w:t>stakeholder consultations</w:t>
      </w:r>
      <w:r>
        <w:rPr>
          <w:szCs w:val="22"/>
        </w:rPr>
        <w:t xml:space="preserve"> with brand owners and</w:t>
      </w:r>
      <w:r w:rsidR="001A78F2">
        <w:rPr>
          <w:szCs w:val="22"/>
        </w:rPr>
        <w:t xml:space="preserve"> the two peak</w:t>
      </w:r>
      <w:r>
        <w:rPr>
          <w:szCs w:val="22"/>
        </w:rPr>
        <w:t xml:space="preserve"> industry associations </w:t>
      </w:r>
      <w:r w:rsidR="001A78F2">
        <w:rPr>
          <w:szCs w:val="22"/>
        </w:rPr>
        <w:t xml:space="preserve">(Product Stewardship Australia and the Australian </w:t>
      </w:r>
      <w:r w:rsidR="00FC6F59">
        <w:rPr>
          <w:szCs w:val="22"/>
        </w:rPr>
        <w:t xml:space="preserve">Information </w:t>
      </w:r>
      <w:r w:rsidR="001A78F2">
        <w:rPr>
          <w:szCs w:val="22"/>
        </w:rPr>
        <w:t xml:space="preserve">Industry Association) </w:t>
      </w:r>
      <w:r>
        <w:rPr>
          <w:szCs w:val="22"/>
        </w:rPr>
        <w:t>to determine the availability of information on which conversion factors could be derived.</w:t>
      </w:r>
      <w:r w:rsidR="00F35870">
        <w:rPr>
          <w:szCs w:val="22"/>
        </w:rPr>
        <w:t xml:space="preserve"> </w:t>
      </w:r>
      <w:r>
        <w:rPr>
          <w:szCs w:val="22"/>
        </w:rPr>
        <w:t xml:space="preserve">The study found that industry </w:t>
      </w:r>
      <w:r w:rsidRPr="00CC3CD1">
        <w:rPr>
          <w:szCs w:val="22"/>
        </w:rPr>
        <w:t>favoured</w:t>
      </w:r>
      <w:r>
        <w:rPr>
          <w:szCs w:val="22"/>
        </w:rPr>
        <w:t xml:space="preserve"> reporting of actual weights over a units-to-weight conversion factor approach</w:t>
      </w:r>
      <w:r w:rsidR="00C7132E">
        <w:rPr>
          <w:szCs w:val="22"/>
        </w:rPr>
        <w:t>, but that industry did not have a sense of the challenge of determining market shares or enforcing compliance</w:t>
      </w:r>
      <w:r w:rsidR="00984636" w:rsidRPr="00984636">
        <w:rPr>
          <w:szCs w:val="22"/>
        </w:rPr>
        <w:t xml:space="preserve"> </w:t>
      </w:r>
      <w:r w:rsidR="00984636">
        <w:rPr>
          <w:szCs w:val="22"/>
        </w:rPr>
        <w:t>under that approach</w:t>
      </w:r>
      <w:r>
        <w:rPr>
          <w:szCs w:val="22"/>
        </w:rPr>
        <w:t xml:space="preserve">. </w:t>
      </w:r>
      <w:r w:rsidR="00F15F90">
        <w:rPr>
          <w:szCs w:val="22"/>
        </w:rPr>
        <w:t>The study</w:t>
      </w:r>
      <w:r>
        <w:rPr>
          <w:szCs w:val="22"/>
        </w:rPr>
        <w:t xml:space="preserve"> concluded that brand owners were able to provide sufficient data </w:t>
      </w:r>
      <w:r w:rsidR="00554A0D">
        <w:rPr>
          <w:szCs w:val="22"/>
        </w:rPr>
        <w:t>from which to develop a preliminary set of conversion factors,</w:t>
      </w:r>
      <w:r>
        <w:rPr>
          <w:szCs w:val="22"/>
        </w:rPr>
        <w:t xml:space="preserve"> although the robustness of the fact</w:t>
      </w:r>
      <w:r w:rsidR="00C63F58">
        <w:rPr>
          <w:szCs w:val="22"/>
        </w:rPr>
        <w:t>ors would not be known until this</w:t>
      </w:r>
      <w:r>
        <w:rPr>
          <w:szCs w:val="22"/>
        </w:rPr>
        <w:t xml:space="preserve"> exercise </w:t>
      </w:r>
      <w:r w:rsidR="00F15F90">
        <w:rPr>
          <w:szCs w:val="22"/>
        </w:rPr>
        <w:t>wa</w:t>
      </w:r>
      <w:r>
        <w:rPr>
          <w:szCs w:val="22"/>
        </w:rPr>
        <w:t>s completed.</w:t>
      </w:r>
    </w:p>
    <w:p w:rsidR="00CC3CD1" w:rsidRPr="00E206B2" w:rsidRDefault="00CC3CD1" w:rsidP="00A02452">
      <w:pPr>
        <w:rPr>
          <w:szCs w:val="22"/>
        </w:rPr>
      </w:pPr>
    </w:p>
    <w:p w:rsidR="00184F32" w:rsidRDefault="00184F32" w:rsidP="00A02452">
      <w:pPr>
        <w:rPr>
          <w:szCs w:val="22"/>
        </w:rPr>
      </w:pPr>
      <w:r w:rsidRPr="00E206B2">
        <w:rPr>
          <w:szCs w:val="22"/>
        </w:rPr>
        <w:t xml:space="preserve">This report </w:t>
      </w:r>
      <w:r w:rsidR="00554A0D">
        <w:rPr>
          <w:szCs w:val="22"/>
        </w:rPr>
        <w:t>proposes a preliminary set of conversion factors, st</w:t>
      </w:r>
      <w:r w:rsidR="00EA5103">
        <w:rPr>
          <w:szCs w:val="22"/>
        </w:rPr>
        <w:t>ate</w:t>
      </w:r>
      <w:r w:rsidR="00554A0D">
        <w:rPr>
          <w:szCs w:val="22"/>
        </w:rPr>
        <w:t xml:space="preserve">s the methodology for deriving them and </w:t>
      </w:r>
      <w:r w:rsidR="00984636">
        <w:rPr>
          <w:szCs w:val="22"/>
        </w:rPr>
        <w:t xml:space="preserve">any </w:t>
      </w:r>
      <w:r w:rsidR="00554A0D">
        <w:rPr>
          <w:szCs w:val="22"/>
        </w:rPr>
        <w:t xml:space="preserve">assumptions and proposes confidence ratings for the conversion factors. </w:t>
      </w:r>
      <w:r w:rsidR="00CA5EBC">
        <w:rPr>
          <w:szCs w:val="22"/>
        </w:rPr>
        <w:t xml:space="preserve">The </w:t>
      </w:r>
      <w:r w:rsidR="00E31906">
        <w:rPr>
          <w:szCs w:val="22"/>
        </w:rPr>
        <w:t xml:space="preserve">Scheme conversion factors </w:t>
      </w:r>
      <w:r w:rsidR="00CA5EBC">
        <w:rPr>
          <w:szCs w:val="22"/>
        </w:rPr>
        <w:t>will need to be reviewed periodically to ensure they remain reliable, especially considering that for some products average weight is declining.</w:t>
      </w:r>
    </w:p>
    <w:p w:rsidR="00554A0D" w:rsidRDefault="00554A0D" w:rsidP="00A02452">
      <w:pPr>
        <w:rPr>
          <w:szCs w:val="22"/>
        </w:rPr>
      </w:pPr>
    </w:p>
    <w:p w:rsidR="00554A0D" w:rsidRPr="00E206B2" w:rsidRDefault="00554A0D" w:rsidP="00A02452">
      <w:pPr>
        <w:rPr>
          <w:szCs w:val="22"/>
        </w:rPr>
      </w:pPr>
    </w:p>
    <w:p w:rsidR="00220B07" w:rsidRDefault="00220B07">
      <w:pPr>
        <w:rPr>
          <w:szCs w:val="22"/>
        </w:rPr>
      </w:pPr>
      <w:r>
        <w:rPr>
          <w:szCs w:val="22"/>
        </w:rPr>
        <w:br w:type="page"/>
      </w:r>
    </w:p>
    <w:p w:rsidR="003A59EB" w:rsidRDefault="000B3AB0" w:rsidP="00655A6F">
      <w:pPr>
        <w:pStyle w:val="Heading1"/>
      </w:pPr>
      <w:bookmarkStart w:id="14" w:name="_Toc296601307"/>
      <w:bookmarkStart w:id="15" w:name="_Toc296603000"/>
      <w:bookmarkStart w:id="16" w:name="_Toc303860080"/>
      <w:bookmarkStart w:id="17" w:name="_Toc304967183"/>
      <w:r w:rsidRPr="009B749B">
        <w:lastRenderedPageBreak/>
        <w:t xml:space="preserve">OVERVIEW OF </w:t>
      </w:r>
      <w:r w:rsidR="00184F32" w:rsidRPr="009B749B">
        <w:t>METHOD</w:t>
      </w:r>
      <w:r w:rsidR="00F15F90" w:rsidRPr="009B749B">
        <w:t>O</w:t>
      </w:r>
      <w:r w:rsidR="00184F32" w:rsidRPr="009B749B">
        <w:t>LOGY</w:t>
      </w:r>
      <w:bookmarkEnd w:id="14"/>
      <w:bookmarkEnd w:id="15"/>
      <w:r w:rsidR="00554A0D" w:rsidRPr="009B749B">
        <w:t xml:space="preserve"> FOR DERIVING THE FACTORS</w:t>
      </w:r>
      <w:bookmarkEnd w:id="16"/>
      <w:bookmarkEnd w:id="17"/>
    </w:p>
    <w:p w:rsidR="003126A0" w:rsidRPr="00E206B2" w:rsidRDefault="003126A0" w:rsidP="003126A0">
      <w:pPr>
        <w:rPr>
          <w:szCs w:val="22"/>
        </w:rPr>
      </w:pPr>
    </w:p>
    <w:p w:rsidR="003126A0" w:rsidRPr="00E206B2" w:rsidRDefault="003126A0" w:rsidP="003126A0">
      <w:pPr>
        <w:rPr>
          <w:szCs w:val="22"/>
        </w:rPr>
      </w:pPr>
    </w:p>
    <w:p w:rsidR="00554A0D" w:rsidRDefault="00554A0D" w:rsidP="002A2753">
      <w:pPr>
        <w:rPr>
          <w:szCs w:val="22"/>
        </w:rPr>
      </w:pPr>
      <w:r>
        <w:rPr>
          <w:szCs w:val="22"/>
        </w:rPr>
        <w:t xml:space="preserve">The basis for the methodology for deriving the conversion factors, as set out in the feasibility study, </w:t>
      </w:r>
      <w:r w:rsidR="00214DC2">
        <w:rPr>
          <w:szCs w:val="22"/>
        </w:rPr>
        <w:t xml:space="preserve">was </w:t>
      </w:r>
      <w:r w:rsidR="00B82388">
        <w:rPr>
          <w:szCs w:val="22"/>
        </w:rPr>
        <w:t xml:space="preserve">to develop a weighted average weight </w:t>
      </w:r>
      <w:r>
        <w:rPr>
          <w:szCs w:val="22"/>
        </w:rPr>
        <w:t xml:space="preserve">for each </w:t>
      </w:r>
      <w:r w:rsidR="004672A1">
        <w:rPr>
          <w:szCs w:val="22"/>
        </w:rPr>
        <w:t xml:space="preserve">2007 </w:t>
      </w:r>
      <w:r w:rsidR="00214DC2">
        <w:rPr>
          <w:szCs w:val="22"/>
        </w:rPr>
        <w:t xml:space="preserve">HTISC </w:t>
      </w:r>
      <w:r>
        <w:rPr>
          <w:szCs w:val="22"/>
        </w:rPr>
        <w:t>tariff</w:t>
      </w:r>
      <w:r w:rsidR="004A6EAC">
        <w:rPr>
          <w:szCs w:val="22"/>
        </w:rPr>
        <w:t xml:space="preserve"> code </w:t>
      </w:r>
      <w:r w:rsidR="004672A1">
        <w:rPr>
          <w:szCs w:val="22"/>
        </w:rPr>
        <w:t>and draft 2012 HTISC tariff code</w:t>
      </w:r>
      <w:r w:rsidR="004A6EAC">
        <w:rPr>
          <w:szCs w:val="22"/>
        </w:rPr>
        <w:t>. The weighted average represents the ‘typical weight’ for each code</w:t>
      </w:r>
      <w:r>
        <w:rPr>
          <w:szCs w:val="22"/>
        </w:rPr>
        <w:t xml:space="preserve">, calculated as the total weight of all imports divided by the number of units imported.  </w:t>
      </w:r>
    </w:p>
    <w:p w:rsidR="007F7E2C" w:rsidRDefault="007F7E2C" w:rsidP="002A2753">
      <w:pPr>
        <w:rPr>
          <w:szCs w:val="22"/>
        </w:rPr>
      </w:pPr>
    </w:p>
    <w:p w:rsidR="0086669B" w:rsidRDefault="007F7E2C" w:rsidP="002A2753">
      <w:pPr>
        <w:rPr>
          <w:szCs w:val="22"/>
        </w:rPr>
      </w:pPr>
      <w:r>
        <w:rPr>
          <w:szCs w:val="22"/>
        </w:rPr>
        <w:t xml:space="preserve">This approach involved gathering </w:t>
      </w:r>
      <w:r w:rsidR="000319BF">
        <w:rPr>
          <w:szCs w:val="22"/>
        </w:rPr>
        <w:t xml:space="preserve">one years worth of </w:t>
      </w:r>
      <w:r>
        <w:rPr>
          <w:szCs w:val="22"/>
        </w:rPr>
        <w:t>real data for all products</w:t>
      </w:r>
      <w:r w:rsidR="004672A1">
        <w:rPr>
          <w:szCs w:val="22"/>
        </w:rPr>
        <w:t xml:space="preserve">, </w:t>
      </w:r>
      <w:r>
        <w:rPr>
          <w:szCs w:val="22"/>
        </w:rPr>
        <w:t>models</w:t>
      </w:r>
      <w:r w:rsidR="004672A1">
        <w:rPr>
          <w:szCs w:val="22"/>
        </w:rPr>
        <w:t xml:space="preserve"> and </w:t>
      </w:r>
      <w:r>
        <w:rPr>
          <w:szCs w:val="22"/>
        </w:rPr>
        <w:t xml:space="preserve">items imported </w:t>
      </w:r>
      <w:r w:rsidR="001A78F2">
        <w:rPr>
          <w:szCs w:val="22"/>
        </w:rPr>
        <w:t xml:space="preserve">within each HTISC </w:t>
      </w:r>
      <w:r>
        <w:rPr>
          <w:szCs w:val="22"/>
        </w:rPr>
        <w:t>(referred to her</w:t>
      </w:r>
      <w:r w:rsidR="00F35870">
        <w:rPr>
          <w:szCs w:val="22"/>
        </w:rPr>
        <w:t>ei</w:t>
      </w:r>
      <w:r>
        <w:rPr>
          <w:szCs w:val="22"/>
        </w:rPr>
        <w:t xml:space="preserve">n as </w:t>
      </w:r>
      <w:r w:rsidRPr="007F7E2C">
        <w:rPr>
          <w:i/>
          <w:szCs w:val="22"/>
        </w:rPr>
        <w:t>models)</w:t>
      </w:r>
      <w:r>
        <w:rPr>
          <w:szCs w:val="22"/>
        </w:rPr>
        <w:t xml:space="preserve"> </w:t>
      </w:r>
      <w:r w:rsidR="00CF0ABF">
        <w:rPr>
          <w:szCs w:val="22"/>
        </w:rPr>
        <w:t>including</w:t>
      </w:r>
      <w:r>
        <w:rPr>
          <w:szCs w:val="22"/>
        </w:rPr>
        <w:t xml:space="preserve"> model weights and </w:t>
      </w:r>
      <w:r w:rsidR="00CF0ABF">
        <w:rPr>
          <w:szCs w:val="22"/>
        </w:rPr>
        <w:t xml:space="preserve">the </w:t>
      </w:r>
      <w:r>
        <w:rPr>
          <w:szCs w:val="22"/>
        </w:rPr>
        <w:t>number of units of each model imported.</w:t>
      </w:r>
      <w:r w:rsidR="000319BF">
        <w:rPr>
          <w:szCs w:val="22"/>
        </w:rPr>
        <w:t xml:space="preserve"> Participants predominantly provided data for the year 2010-11, with data sought for an alternative year where there were no imports under a HTISC in 2010-11.</w:t>
      </w:r>
    </w:p>
    <w:p w:rsidR="0086669B" w:rsidRDefault="0086669B" w:rsidP="002A2753">
      <w:pPr>
        <w:rPr>
          <w:szCs w:val="22"/>
        </w:rPr>
      </w:pPr>
    </w:p>
    <w:p w:rsidR="007F7E2C" w:rsidRDefault="007F7E2C" w:rsidP="002A2753">
      <w:pPr>
        <w:rPr>
          <w:szCs w:val="22"/>
        </w:rPr>
      </w:pPr>
      <w:r>
        <w:rPr>
          <w:szCs w:val="22"/>
        </w:rPr>
        <w:t>It was agreed between the Depa</w:t>
      </w:r>
      <w:r w:rsidR="004A6EAC">
        <w:rPr>
          <w:szCs w:val="22"/>
        </w:rPr>
        <w:t>rtment and Perchards/MS2 to seek this data from</w:t>
      </w:r>
      <w:r>
        <w:rPr>
          <w:szCs w:val="22"/>
        </w:rPr>
        <w:t xml:space="preserve"> </w:t>
      </w:r>
      <w:r w:rsidR="004A6EAC">
        <w:rPr>
          <w:szCs w:val="22"/>
        </w:rPr>
        <w:t xml:space="preserve">industry </w:t>
      </w:r>
      <w:r>
        <w:rPr>
          <w:szCs w:val="22"/>
        </w:rPr>
        <w:t>brand owners. While</w:t>
      </w:r>
      <w:r w:rsidR="004672A1">
        <w:rPr>
          <w:szCs w:val="22"/>
        </w:rPr>
        <w:t xml:space="preserve"> the industry</w:t>
      </w:r>
      <w:r>
        <w:rPr>
          <w:szCs w:val="22"/>
        </w:rPr>
        <w:t xml:space="preserve"> brand owners do not cover all industry imports, they account for a significant proportion</w:t>
      </w:r>
      <w:r w:rsidR="005637F8">
        <w:rPr>
          <w:szCs w:val="22"/>
        </w:rPr>
        <w:t>. M</w:t>
      </w:r>
      <w:r>
        <w:rPr>
          <w:szCs w:val="22"/>
        </w:rPr>
        <w:t xml:space="preserve">any </w:t>
      </w:r>
      <w:r w:rsidR="005637F8">
        <w:rPr>
          <w:szCs w:val="22"/>
        </w:rPr>
        <w:t xml:space="preserve">of the participants in the study are also </w:t>
      </w:r>
      <w:r>
        <w:rPr>
          <w:szCs w:val="22"/>
        </w:rPr>
        <w:t xml:space="preserve">members of </w:t>
      </w:r>
      <w:r w:rsidR="001A78F2">
        <w:rPr>
          <w:szCs w:val="22"/>
        </w:rPr>
        <w:t>P</w:t>
      </w:r>
      <w:r w:rsidR="00BE7192">
        <w:rPr>
          <w:szCs w:val="22"/>
        </w:rPr>
        <w:t xml:space="preserve">roduct </w:t>
      </w:r>
      <w:r w:rsidR="001A78F2">
        <w:rPr>
          <w:szCs w:val="22"/>
        </w:rPr>
        <w:t>S</w:t>
      </w:r>
      <w:r w:rsidR="00BE7192">
        <w:rPr>
          <w:szCs w:val="22"/>
        </w:rPr>
        <w:t xml:space="preserve">tewardship </w:t>
      </w:r>
      <w:r w:rsidR="001A78F2">
        <w:rPr>
          <w:szCs w:val="22"/>
        </w:rPr>
        <w:t>A</w:t>
      </w:r>
      <w:r w:rsidR="00BE7192">
        <w:rPr>
          <w:szCs w:val="22"/>
        </w:rPr>
        <w:t>ustralia (PSA)</w:t>
      </w:r>
      <w:r w:rsidR="001A78F2">
        <w:rPr>
          <w:szCs w:val="22"/>
        </w:rPr>
        <w:t xml:space="preserve"> and </w:t>
      </w:r>
      <w:r w:rsidR="00BE7192">
        <w:rPr>
          <w:szCs w:val="22"/>
        </w:rPr>
        <w:t xml:space="preserve">the </w:t>
      </w:r>
      <w:r w:rsidR="001A78F2">
        <w:rPr>
          <w:szCs w:val="22"/>
        </w:rPr>
        <w:t>A</w:t>
      </w:r>
      <w:r w:rsidR="00BE7192">
        <w:rPr>
          <w:szCs w:val="22"/>
        </w:rPr>
        <w:t xml:space="preserve">ustralian </w:t>
      </w:r>
      <w:r w:rsidR="001A78F2">
        <w:rPr>
          <w:szCs w:val="22"/>
        </w:rPr>
        <w:t>I</w:t>
      </w:r>
      <w:r w:rsidR="00BE7192">
        <w:rPr>
          <w:szCs w:val="22"/>
        </w:rPr>
        <w:t xml:space="preserve">ndustry </w:t>
      </w:r>
      <w:r w:rsidR="001A78F2">
        <w:rPr>
          <w:szCs w:val="22"/>
        </w:rPr>
        <w:t>I</w:t>
      </w:r>
      <w:r w:rsidR="00BE7192">
        <w:rPr>
          <w:szCs w:val="22"/>
        </w:rPr>
        <w:t xml:space="preserve">nformation </w:t>
      </w:r>
      <w:r w:rsidR="001A78F2">
        <w:rPr>
          <w:szCs w:val="22"/>
        </w:rPr>
        <w:t>A</w:t>
      </w:r>
      <w:r w:rsidR="00BE7192">
        <w:rPr>
          <w:szCs w:val="22"/>
        </w:rPr>
        <w:t>ssociation (AIIA)</w:t>
      </w:r>
      <w:r w:rsidR="005637F8">
        <w:rPr>
          <w:szCs w:val="22"/>
        </w:rPr>
        <w:t xml:space="preserve"> and</w:t>
      </w:r>
      <w:r w:rsidR="001A78F2">
        <w:rPr>
          <w:szCs w:val="22"/>
        </w:rPr>
        <w:t xml:space="preserve"> </w:t>
      </w:r>
      <w:r>
        <w:rPr>
          <w:szCs w:val="22"/>
        </w:rPr>
        <w:t xml:space="preserve">it was considered that </w:t>
      </w:r>
      <w:r w:rsidR="004A6EAC">
        <w:rPr>
          <w:szCs w:val="22"/>
        </w:rPr>
        <w:t>they</w:t>
      </w:r>
      <w:r>
        <w:rPr>
          <w:szCs w:val="22"/>
        </w:rPr>
        <w:t xml:space="preserve"> would be willing participa</w:t>
      </w:r>
      <w:r w:rsidR="00EA5103">
        <w:rPr>
          <w:szCs w:val="22"/>
        </w:rPr>
        <w:t>n</w:t>
      </w:r>
      <w:r>
        <w:rPr>
          <w:szCs w:val="22"/>
        </w:rPr>
        <w:t>t</w:t>
      </w:r>
      <w:r w:rsidR="00EA5103">
        <w:rPr>
          <w:szCs w:val="22"/>
        </w:rPr>
        <w:t>s</w:t>
      </w:r>
      <w:r>
        <w:rPr>
          <w:szCs w:val="22"/>
        </w:rPr>
        <w:t xml:space="preserve"> in the exercise</w:t>
      </w:r>
      <w:r w:rsidR="005637F8">
        <w:rPr>
          <w:szCs w:val="22"/>
        </w:rPr>
        <w:t>, as these associations are supportive of the development of the Scheme</w:t>
      </w:r>
      <w:r w:rsidR="004A6EAC">
        <w:rPr>
          <w:szCs w:val="22"/>
        </w:rPr>
        <w:t>.</w:t>
      </w:r>
      <w:r>
        <w:rPr>
          <w:szCs w:val="22"/>
        </w:rPr>
        <w:t xml:space="preserve"> </w:t>
      </w:r>
    </w:p>
    <w:p w:rsidR="007F7E2C" w:rsidRDefault="007F7E2C" w:rsidP="002A2753">
      <w:pPr>
        <w:rPr>
          <w:szCs w:val="22"/>
        </w:rPr>
      </w:pPr>
    </w:p>
    <w:p w:rsidR="003126A0" w:rsidRPr="003126A0" w:rsidRDefault="007F7E2C" w:rsidP="004A6EAC">
      <w:pPr>
        <w:rPr>
          <w:szCs w:val="22"/>
        </w:rPr>
      </w:pPr>
      <w:r>
        <w:rPr>
          <w:szCs w:val="22"/>
        </w:rPr>
        <w:t xml:space="preserve">In order to achieve a weighted average </w:t>
      </w:r>
      <w:r w:rsidR="004A6EAC">
        <w:rPr>
          <w:szCs w:val="22"/>
        </w:rPr>
        <w:t xml:space="preserve">as </w:t>
      </w:r>
      <w:r>
        <w:rPr>
          <w:szCs w:val="22"/>
        </w:rPr>
        <w:t>representative as possible</w:t>
      </w:r>
      <w:r w:rsidR="004A6EAC">
        <w:rPr>
          <w:szCs w:val="22"/>
        </w:rPr>
        <w:t xml:space="preserve"> of all industry imports the exercise aimed to gather as large a data set as possible.  </w:t>
      </w:r>
    </w:p>
    <w:p w:rsidR="002540D7" w:rsidRDefault="002540D7" w:rsidP="002A2753">
      <w:pPr>
        <w:rPr>
          <w:szCs w:val="22"/>
        </w:rPr>
      </w:pPr>
    </w:p>
    <w:p w:rsidR="00DC6009" w:rsidRDefault="00DC6009" w:rsidP="00DC6009">
      <w:r w:rsidRPr="00E206B2">
        <w:rPr>
          <w:szCs w:val="22"/>
        </w:rPr>
        <w:t>The methodology</w:t>
      </w:r>
      <w:r>
        <w:rPr>
          <w:szCs w:val="22"/>
        </w:rPr>
        <w:t xml:space="preserve"> used</w:t>
      </w:r>
      <w:r w:rsidRPr="00E206B2">
        <w:rPr>
          <w:szCs w:val="22"/>
        </w:rPr>
        <w:t xml:space="preserve"> </w:t>
      </w:r>
      <w:r>
        <w:rPr>
          <w:szCs w:val="22"/>
        </w:rPr>
        <w:t>for deriving the conversion factors follows the approach laid out in the</w:t>
      </w:r>
      <w:r w:rsidRPr="00E206B2">
        <w:rPr>
          <w:szCs w:val="22"/>
        </w:rPr>
        <w:t xml:space="preserve"> </w:t>
      </w:r>
      <w:r>
        <w:rPr>
          <w:szCs w:val="22"/>
        </w:rPr>
        <w:t>feasibility study</w:t>
      </w:r>
      <w:r w:rsidR="00CF0ABF">
        <w:rPr>
          <w:szCs w:val="22"/>
        </w:rPr>
        <w:t xml:space="preserve"> and is detailed in Appendix </w:t>
      </w:r>
      <w:r w:rsidR="007118B4">
        <w:rPr>
          <w:szCs w:val="22"/>
        </w:rPr>
        <w:t>A</w:t>
      </w:r>
      <w:r>
        <w:rPr>
          <w:szCs w:val="22"/>
        </w:rPr>
        <w:t>.</w:t>
      </w:r>
      <w:r w:rsidR="00CF0ABF">
        <w:rPr>
          <w:szCs w:val="22"/>
        </w:rPr>
        <w:t xml:space="preserve"> </w:t>
      </w:r>
      <w:r>
        <w:t xml:space="preserve">In summary the methodology </w:t>
      </w:r>
      <w:r w:rsidR="004672A1">
        <w:t>for</w:t>
      </w:r>
      <w:r>
        <w:t xml:space="preserve"> deriving the conversion factors involved three stages:</w:t>
      </w:r>
    </w:p>
    <w:p w:rsidR="00DC6009" w:rsidRPr="00901064" w:rsidRDefault="00DC6009" w:rsidP="00DC6009">
      <w:pPr>
        <w:pStyle w:val="ListParagraph"/>
        <w:numPr>
          <w:ilvl w:val="0"/>
          <w:numId w:val="29"/>
        </w:numPr>
        <w:rPr>
          <w:szCs w:val="22"/>
        </w:rPr>
      </w:pPr>
      <w:r>
        <w:t xml:space="preserve">Data </w:t>
      </w:r>
      <w:r w:rsidR="003126A0">
        <w:t>gathering</w:t>
      </w:r>
      <w:r w:rsidR="004672A1">
        <w:t>;</w:t>
      </w:r>
    </w:p>
    <w:p w:rsidR="00DC6009" w:rsidRPr="00901064" w:rsidRDefault="009C1643" w:rsidP="00DC6009">
      <w:pPr>
        <w:pStyle w:val="ListParagraph"/>
        <w:numPr>
          <w:ilvl w:val="0"/>
          <w:numId w:val="29"/>
        </w:numPr>
        <w:rPr>
          <w:szCs w:val="22"/>
        </w:rPr>
      </w:pPr>
      <w:r>
        <w:rPr>
          <w:szCs w:val="22"/>
        </w:rPr>
        <w:t>Data analysis</w:t>
      </w:r>
      <w:r w:rsidR="004672A1">
        <w:rPr>
          <w:szCs w:val="22"/>
        </w:rPr>
        <w:t>; and</w:t>
      </w:r>
    </w:p>
    <w:p w:rsidR="00CF0ABF" w:rsidRPr="002D444C" w:rsidRDefault="00DC6009" w:rsidP="003126A0">
      <w:pPr>
        <w:pStyle w:val="ListParagraph"/>
        <w:numPr>
          <w:ilvl w:val="0"/>
          <w:numId w:val="29"/>
        </w:numPr>
        <w:rPr>
          <w:szCs w:val="22"/>
        </w:rPr>
      </w:pPr>
      <w:r>
        <w:rPr>
          <w:szCs w:val="22"/>
        </w:rPr>
        <w:t>D</w:t>
      </w:r>
      <w:r w:rsidRPr="00901064">
        <w:rPr>
          <w:szCs w:val="22"/>
        </w:rPr>
        <w:t>eriving and making recommendations on the conversion factors</w:t>
      </w:r>
      <w:r w:rsidR="004672A1">
        <w:rPr>
          <w:szCs w:val="22"/>
        </w:rPr>
        <w:t>.</w:t>
      </w:r>
    </w:p>
    <w:p w:rsidR="00CF0ABF" w:rsidRDefault="00CF0ABF" w:rsidP="003126A0">
      <w:pPr>
        <w:rPr>
          <w:szCs w:val="22"/>
        </w:rPr>
      </w:pPr>
    </w:p>
    <w:p w:rsidR="003F019A" w:rsidRDefault="00220B07" w:rsidP="003126A0">
      <w:pPr>
        <w:rPr>
          <w:szCs w:val="22"/>
        </w:rPr>
      </w:pPr>
      <w:r>
        <w:rPr>
          <w:szCs w:val="22"/>
        </w:rPr>
        <w:t>The following results section presents an evaluation from which to develop a conversion factor for each HTISC. The evaluation includes for each HTISC:</w:t>
      </w:r>
    </w:p>
    <w:p w:rsidR="00220B07" w:rsidRPr="00220B07" w:rsidRDefault="00220B07" w:rsidP="00220B07">
      <w:pPr>
        <w:pStyle w:val="ListParagraph"/>
        <w:numPr>
          <w:ilvl w:val="0"/>
          <w:numId w:val="51"/>
        </w:numPr>
        <w:rPr>
          <w:szCs w:val="22"/>
        </w:rPr>
      </w:pPr>
      <w:r w:rsidRPr="00220B07">
        <w:rPr>
          <w:szCs w:val="22"/>
        </w:rPr>
        <w:t xml:space="preserve">A bar chart of the frequency distribution of the data </w:t>
      </w:r>
    </w:p>
    <w:p w:rsidR="00220B07" w:rsidRPr="00220B07" w:rsidRDefault="00220B07" w:rsidP="00220B07">
      <w:pPr>
        <w:pStyle w:val="ListParagraph"/>
        <w:numPr>
          <w:ilvl w:val="0"/>
          <w:numId w:val="51"/>
        </w:numPr>
        <w:rPr>
          <w:szCs w:val="22"/>
        </w:rPr>
      </w:pPr>
      <w:r w:rsidRPr="00220B07">
        <w:rPr>
          <w:szCs w:val="22"/>
        </w:rPr>
        <w:t>Maximum and minimum value of the range</w:t>
      </w:r>
    </w:p>
    <w:p w:rsidR="00220B07" w:rsidRPr="00220B07" w:rsidRDefault="00220B07" w:rsidP="00220B07">
      <w:pPr>
        <w:pStyle w:val="ListParagraph"/>
        <w:numPr>
          <w:ilvl w:val="0"/>
          <w:numId w:val="51"/>
        </w:numPr>
        <w:rPr>
          <w:szCs w:val="22"/>
        </w:rPr>
      </w:pPr>
      <w:r w:rsidRPr="00220B07">
        <w:rPr>
          <w:szCs w:val="22"/>
        </w:rPr>
        <w:t>Standard deviation</w:t>
      </w:r>
    </w:p>
    <w:p w:rsidR="00220B07" w:rsidRPr="00220B07" w:rsidRDefault="00220B07" w:rsidP="00220B07">
      <w:pPr>
        <w:pStyle w:val="ListParagraph"/>
        <w:numPr>
          <w:ilvl w:val="0"/>
          <w:numId w:val="51"/>
        </w:numPr>
        <w:rPr>
          <w:szCs w:val="22"/>
        </w:rPr>
      </w:pPr>
      <w:r w:rsidRPr="00220B07">
        <w:rPr>
          <w:szCs w:val="22"/>
        </w:rPr>
        <w:t>Mean</w:t>
      </w:r>
    </w:p>
    <w:p w:rsidR="00220B07" w:rsidRPr="00220B07" w:rsidRDefault="00220B07" w:rsidP="00220B07">
      <w:pPr>
        <w:pStyle w:val="ListParagraph"/>
        <w:numPr>
          <w:ilvl w:val="0"/>
          <w:numId w:val="51"/>
        </w:numPr>
        <w:rPr>
          <w:szCs w:val="22"/>
        </w:rPr>
      </w:pPr>
      <w:r w:rsidRPr="00220B07">
        <w:rPr>
          <w:szCs w:val="22"/>
        </w:rPr>
        <w:t>Median</w:t>
      </w:r>
    </w:p>
    <w:p w:rsidR="00220B07" w:rsidRPr="00220B07" w:rsidRDefault="00220B07" w:rsidP="00220B07">
      <w:pPr>
        <w:pStyle w:val="ListParagraph"/>
        <w:numPr>
          <w:ilvl w:val="0"/>
          <w:numId w:val="51"/>
        </w:numPr>
        <w:rPr>
          <w:szCs w:val="22"/>
        </w:rPr>
      </w:pPr>
      <w:r w:rsidRPr="00220B07">
        <w:rPr>
          <w:szCs w:val="22"/>
        </w:rPr>
        <w:t>T</w:t>
      </w:r>
      <w:r w:rsidR="005A71DD">
        <w:rPr>
          <w:szCs w:val="22"/>
        </w:rPr>
        <w:t>wo measures of confidence (see A</w:t>
      </w:r>
      <w:r w:rsidRPr="00220B07">
        <w:rPr>
          <w:szCs w:val="22"/>
        </w:rPr>
        <w:t>ppendix A for more details)</w:t>
      </w:r>
    </w:p>
    <w:p w:rsidR="00220B07" w:rsidRPr="00220B07" w:rsidRDefault="00220B07" w:rsidP="00220B07">
      <w:pPr>
        <w:pStyle w:val="ListParagraph"/>
        <w:numPr>
          <w:ilvl w:val="0"/>
          <w:numId w:val="51"/>
        </w:numPr>
        <w:rPr>
          <w:szCs w:val="22"/>
        </w:rPr>
      </w:pPr>
      <w:r w:rsidRPr="00220B07">
        <w:rPr>
          <w:szCs w:val="22"/>
        </w:rPr>
        <w:t>A measure of v</w:t>
      </w:r>
      <w:r w:rsidR="007F7997">
        <w:rPr>
          <w:szCs w:val="22"/>
        </w:rPr>
        <w:t xml:space="preserve">alidity </w:t>
      </w:r>
      <w:r w:rsidRPr="00220B07">
        <w:rPr>
          <w:szCs w:val="22"/>
        </w:rPr>
        <w:t>of the conversion factor over time</w:t>
      </w:r>
      <w:r w:rsidR="00834D28">
        <w:rPr>
          <w:szCs w:val="22"/>
        </w:rPr>
        <w:t>, expressed as variation over time</w:t>
      </w:r>
    </w:p>
    <w:p w:rsidR="007F7997" w:rsidRDefault="007F7997" w:rsidP="003F019A">
      <w:pPr>
        <w:tabs>
          <w:tab w:val="left" w:pos="1695"/>
        </w:tabs>
      </w:pPr>
    </w:p>
    <w:p w:rsidR="00834D28" w:rsidRDefault="00834D28" w:rsidP="00834D28">
      <w:pPr>
        <w:tabs>
          <w:tab w:val="left" w:pos="1695"/>
        </w:tabs>
      </w:pPr>
      <w:r>
        <w:t>Note that</w:t>
      </w:r>
      <w:r w:rsidR="007F7997">
        <w:t xml:space="preserve"> variation </w:t>
      </w:r>
      <w:r>
        <w:t xml:space="preserve">over time is </w:t>
      </w:r>
      <w:r w:rsidR="007F7997">
        <w:t xml:space="preserve">determined by </w:t>
      </w:r>
      <w:r w:rsidR="007F7997" w:rsidRPr="003B37F0">
        <w:t>the percentage</w:t>
      </w:r>
      <w:r w:rsidR="007F7997" w:rsidRPr="00935C20">
        <w:rPr>
          <w:i/>
        </w:rPr>
        <w:t xml:space="preserve"> </w:t>
      </w:r>
      <w:r w:rsidR="007F7997" w:rsidRPr="003B37F0">
        <w:t xml:space="preserve">of </w:t>
      </w:r>
      <w:r w:rsidR="007F7997" w:rsidRPr="00935C20">
        <w:rPr>
          <w:i/>
        </w:rPr>
        <w:t xml:space="preserve">actual weight imported </w:t>
      </w:r>
      <w:r w:rsidR="007F7997" w:rsidRPr="00C40029">
        <w:t xml:space="preserve">that is over or </w:t>
      </w:r>
      <w:r w:rsidR="007F7997" w:rsidRPr="003B37F0">
        <w:t>understated by</w:t>
      </w:r>
      <w:r w:rsidR="007F7997">
        <w:rPr>
          <w:i/>
        </w:rPr>
        <w:t xml:space="preserve"> calculated </w:t>
      </w:r>
      <w:r w:rsidR="007F7997" w:rsidRPr="00935C20">
        <w:rPr>
          <w:i/>
        </w:rPr>
        <w:t xml:space="preserve">weight imported </w:t>
      </w:r>
      <w:r w:rsidR="007F7997" w:rsidRPr="003B37F0">
        <w:t>(by the conversion factor</w:t>
      </w:r>
      <w:r w:rsidR="007F7997">
        <w:t>s).</w:t>
      </w:r>
      <w:r>
        <w:t xml:space="preserve"> Where this percentage stays at 0% there is no </w:t>
      </w:r>
      <w:r w:rsidR="00C62346">
        <w:t>variation</w:t>
      </w:r>
      <w:r>
        <w:t xml:space="preserve"> over time. A value of </w:t>
      </w:r>
      <w:r w:rsidRPr="000650C4">
        <w:rPr>
          <w:szCs w:val="22"/>
        </w:rPr>
        <w:t xml:space="preserve">± </w:t>
      </w:r>
      <w:r>
        <w:t xml:space="preserve">0-10% is assigned a low variation over time, a value of </w:t>
      </w:r>
      <w:r w:rsidRPr="000650C4">
        <w:rPr>
          <w:szCs w:val="22"/>
        </w:rPr>
        <w:t xml:space="preserve">± </w:t>
      </w:r>
      <w:r>
        <w:t xml:space="preserve">10-20% is assigned a moderate </w:t>
      </w:r>
      <w:r w:rsidR="00C62346">
        <w:t>variation</w:t>
      </w:r>
      <w:r>
        <w:t xml:space="preserve"> over time, and anything beyond </w:t>
      </w:r>
      <w:r w:rsidRPr="000650C4">
        <w:rPr>
          <w:szCs w:val="22"/>
        </w:rPr>
        <w:t xml:space="preserve">± </w:t>
      </w:r>
      <w:r>
        <w:t xml:space="preserve">20% is assigned high </w:t>
      </w:r>
      <w:r w:rsidR="00C62346">
        <w:t>variation</w:t>
      </w:r>
      <w:r>
        <w:t xml:space="preserve">. Where data is supplied for only one year then the </w:t>
      </w:r>
      <w:r w:rsidR="00C62346">
        <w:t>variation</w:t>
      </w:r>
      <w:r>
        <w:t xml:space="preserve"> over time is not known.</w:t>
      </w:r>
    </w:p>
    <w:p w:rsidR="00F877DA" w:rsidRDefault="00F877DA">
      <w:pPr>
        <w:rPr>
          <w:szCs w:val="22"/>
        </w:rPr>
      </w:pPr>
    </w:p>
    <w:p w:rsidR="003F019A" w:rsidRDefault="003F019A" w:rsidP="003126A0">
      <w:pPr>
        <w:rPr>
          <w:szCs w:val="22"/>
        </w:rPr>
      </w:pPr>
    </w:p>
    <w:p w:rsidR="00A44CA1" w:rsidRDefault="00A44CA1">
      <w:pPr>
        <w:rPr>
          <w:szCs w:val="22"/>
        </w:rPr>
      </w:pPr>
      <w:r>
        <w:rPr>
          <w:szCs w:val="22"/>
        </w:rPr>
        <w:br w:type="page"/>
      </w:r>
    </w:p>
    <w:p w:rsidR="00CF0ABF" w:rsidRPr="00E206B2" w:rsidRDefault="00CF0ABF" w:rsidP="003126A0">
      <w:pPr>
        <w:rPr>
          <w:szCs w:val="22"/>
        </w:rPr>
      </w:pPr>
    </w:p>
    <w:p w:rsidR="003A59EB" w:rsidRDefault="00711E46" w:rsidP="00655A6F">
      <w:pPr>
        <w:pStyle w:val="Heading1"/>
      </w:pPr>
      <w:bookmarkStart w:id="18" w:name="_Toc303860081"/>
      <w:bookmarkStart w:id="19" w:name="_Toc304967184"/>
      <w:r w:rsidRPr="002E1A14">
        <w:t xml:space="preserve">RESULTS - </w:t>
      </w:r>
      <w:r w:rsidR="003126A0" w:rsidRPr="002E1A14">
        <w:t>PROPOSED CONVERSION FACTORS</w:t>
      </w:r>
      <w:r w:rsidR="002D72E5" w:rsidRPr="002E1A14">
        <w:t xml:space="preserve"> FOR SC07</w:t>
      </w:r>
      <w:bookmarkEnd w:id="18"/>
      <w:bookmarkEnd w:id="19"/>
    </w:p>
    <w:p w:rsidR="003126A0" w:rsidRDefault="003126A0" w:rsidP="003126A0"/>
    <w:p w:rsidR="0078367D" w:rsidRDefault="003126A0" w:rsidP="003126A0">
      <w:r>
        <w:t xml:space="preserve">This </w:t>
      </w:r>
      <w:r w:rsidR="008B3820">
        <w:t>chapter</w:t>
      </w:r>
      <w:r w:rsidR="0083715C">
        <w:t xml:space="preserve"> </w:t>
      </w:r>
      <w:r w:rsidR="0078367D">
        <w:t>presents</w:t>
      </w:r>
      <w:r>
        <w:t xml:space="preserve"> the </w:t>
      </w:r>
      <w:r w:rsidR="0078367D">
        <w:t xml:space="preserve">evaluation for </w:t>
      </w:r>
      <w:r>
        <w:t>each</w:t>
      </w:r>
      <w:r>
        <w:rPr>
          <w:szCs w:val="22"/>
        </w:rPr>
        <w:t xml:space="preserve"> conversion factor</w:t>
      </w:r>
      <w:r w:rsidR="008B3820">
        <w:rPr>
          <w:szCs w:val="22"/>
        </w:rPr>
        <w:t xml:space="preserve"> for the 2007 HTISCs</w:t>
      </w:r>
      <w:r w:rsidR="00C56418">
        <w:t xml:space="preserve"> </w:t>
      </w:r>
      <w:r w:rsidR="0078367D">
        <w:t>grouped</w:t>
      </w:r>
      <w:r w:rsidR="008B3820">
        <w:t xml:space="preserve"> according to CTCNs. Where the CTCN contains more than one HTISC, each section commences with a pie chart to give an indication of the proportion of individual HTISCs within the CTCN. Following this are the statistics and analyses for each HTISC. These include a brief commentary about the weight distribution (which can be observed in graphical form in the </w:t>
      </w:r>
      <w:r w:rsidR="0078367D">
        <w:t xml:space="preserve">charts </w:t>
      </w:r>
      <w:r w:rsidR="007118B4">
        <w:t>provided</w:t>
      </w:r>
      <w:r w:rsidR="009224A4">
        <w:t xml:space="preserve"> showing the </w:t>
      </w:r>
      <w:r w:rsidR="00931DF7">
        <w:t>d</w:t>
      </w:r>
      <w:r w:rsidR="009224A4" w:rsidRPr="009224A4">
        <w:t>istribution of units imported</w:t>
      </w:r>
      <w:r w:rsidR="009224A4">
        <w:t xml:space="preserve"> in the conversion factor year</w:t>
      </w:r>
      <w:r w:rsidR="008B3820">
        <w:t xml:space="preserve">), followed by </w:t>
      </w:r>
      <w:r w:rsidR="0078367D">
        <w:t>the proposed conversion factor.</w:t>
      </w:r>
    </w:p>
    <w:p w:rsidR="0086669B" w:rsidRDefault="0086669B" w:rsidP="003126A0"/>
    <w:p w:rsidR="008B3820" w:rsidRPr="00FA0073" w:rsidRDefault="0078367D" w:rsidP="003126A0">
      <w:r>
        <w:t>Selection of the measure of average and confidence intervals are made on a case by case basis depending on the nature of the weight distribution. I</w:t>
      </w:r>
      <w:r w:rsidR="008B3820">
        <w:t xml:space="preserve">n </w:t>
      </w:r>
      <w:r w:rsidR="00D62834">
        <w:t>all</w:t>
      </w:r>
      <w:r>
        <w:t xml:space="preserve"> </w:t>
      </w:r>
      <w:r w:rsidR="008B3820">
        <w:t>cases the weighted mean</w:t>
      </w:r>
      <w:r>
        <w:t xml:space="preserve"> </w:t>
      </w:r>
      <w:r w:rsidR="00D62834">
        <w:t>is used as a measure of average</w:t>
      </w:r>
      <w:r>
        <w:t xml:space="preserve">. </w:t>
      </w:r>
      <w:r w:rsidR="008B3820">
        <w:t xml:space="preserve">In most cases the proposed confidence intervals are calculated by the </w:t>
      </w:r>
      <w:r w:rsidR="008B3820">
        <w:rPr>
          <w:i/>
        </w:rPr>
        <w:t>Use of p</w:t>
      </w:r>
      <w:r w:rsidR="008B3820" w:rsidRPr="008B3820">
        <w:rPr>
          <w:i/>
        </w:rPr>
        <w:t>ercenti</w:t>
      </w:r>
      <w:r w:rsidR="008B3820">
        <w:rPr>
          <w:i/>
        </w:rPr>
        <w:t xml:space="preserve">les </w:t>
      </w:r>
      <w:r w:rsidR="008B3820" w:rsidRPr="008B3820">
        <w:t>method,</w:t>
      </w:r>
      <w:r w:rsidR="008B3820">
        <w:t xml:space="preserve"> as opposed to being calculated by the </w:t>
      </w:r>
      <w:r w:rsidR="008B3820" w:rsidRPr="008B3820">
        <w:rPr>
          <w:i/>
        </w:rPr>
        <w:t>Approximation to the normal distribution</w:t>
      </w:r>
      <w:r w:rsidR="008B3820">
        <w:t xml:space="preserve"> method which was </w:t>
      </w:r>
      <w:r w:rsidR="00FA0073">
        <w:t xml:space="preserve">often </w:t>
      </w:r>
      <w:r w:rsidR="008B3820">
        <w:t>considered to yield results that did not fit the data set</w:t>
      </w:r>
      <w:r>
        <w:t xml:space="preserve"> or allow for the </w:t>
      </w:r>
      <w:r w:rsidR="00C62346">
        <w:t>variation</w:t>
      </w:r>
      <w:r>
        <w:t xml:space="preserve"> of the distribution</w:t>
      </w:r>
      <w:r w:rsidR="008B3820">
        <w:t>.</w:t>
      </w:r>
      <w:r w:rsidR="00FA0073">
        <w:t xml:space="preserve"> Confidence intervals based on the </w:t>
      </w:r>
      <w:r w:rsidR="00FA0073" w:rsidRPr="008B3820">
        <w:rPr>
          <w:i/>
        </w:rPr>
        <w:t>Approximation to the normal distribution</w:t>
      </w:r>
      <w:r w:rsidR="00FA0073">
        <w:t xml:space="preserve"> are denoted by the ‘</w:t>
      </w:r>
      <w:r w:rsidR="00FA0073" w:rsidRPr="0034358D">
        <w:rPr>
          <w:szCs w:val="22"/>
        </w:rPr>
        <w:t>±</w:t>
      </w:r>
      <w:r w:rsidR="00FA0073">
        <w:t>’ sign, i</w:t>
      </w:r>
      <w:r w:rsidR="007118B4">
        <w:t>.</w:t>
      </w:r>
      <w:r w:rsidR="00FA0073">
        <w:t>e</w:t>
      </w:r>
      <w:r w:rsidR="007118B4">
        <w:t>.,</w:t>
      </w:r>
      <w:r w:rsidR="00FA0073">
        <w:t xml:space="preserve"> the average plus or minus the confidence value.</w:t>
      </w:r>
      <w:r w:rsidR="00FA0073" w:rsidRPr="00FA0073">
        <w:t xml:space="preserve"> </w:t>
      </w:r>
      <w:r w:rsidR="007118B4">
        <w:t>T</w:t>
      </w:r>
      <w:r w:rsidR="00FA0073">
        <w:t xml:space="preserve">he </w:t>
      </w:r>
      <w:r w:rsidR="00FA0073">
        <w:rPr>
          <w:i/>
        </w:rPr>
        <w:t>Use of p</w:t>
      </w:r>
      <w:r w:rsidR="00FA0073" w:rsidRPr="008B3820">
        <w:rPr>
          <w:i/>
        </w:rPr>
        <w:t>ercenti</w:t>
      </w:r>
      <w:r w:rsidR="00FA0073">
        <w:rPr>
          <w:i/>
        </w:rPr>
        <w:t xml:space="preserve">les </w:t>
      </w:r>
      <w:r w:rsidR="00FA0073" w:rsidRPr="00FA0073">
        <w:t xml:space="preserve">method </w:t>
      </w:r>
      <w:r w:rsidR="00FA0073">
        <w:t>does not produce symmetrical confidence values and is therefore denoted as a range using the symbols ‘ &lt;’ and ‘&gt;’.</w:t>
      </w:r>
    </w:p>
    <w:p w:rsidR="008B3820" w:rsidRDefault="008B3820" w:rsidP="003126A0"/>
    <w:p w:rsidR="008B3820" w:rsidRDefault="008B3820" w:rsidP="003126A0">
      <w:r>
        <w:t xml:space="preserve">Where conversion factors could not be developed for certain HTISCs due to lack of data, it </w:t>
      </w:r>
      <w:r w:rsidR="00C56418">
        <w:t xml:space="preserve">is </w:t>
      </w:r>
      <w:r w:rsidR="0078367D">
        <w:t>generally</w:t>
      </w:r>
      <w:r>
        <w:t xml:space="preserve"> recommended that conversion factor developed at CTCN level be applied. In </w:t>
      </w:r>
      <w:r w:rsidR="00C56418">
        <w:t>such</w:t>
      </w:r>
      <w:r>
        <w:t xml:space="preserve"> cases the data gaps are indicated and </w:t>
      </w:r>
      <w:r w:rsidR="00751C4B">
        <w:t>an evaluation</w:t>
      </w:r>
      <w:r>
        <w:t xml:space="preserve"> presented for the CTCN.</w:t>
      </w:r>
    </w:p>
    <w:p w:rsidR="00D62834" w:rsidRDefault="00D62834" w:rsidP="003126A0"/>
    <w:p w:rsidR="0083715C" w:rsidRDefault="0083715C" w:rsidP="003126A0"/>
    <w:p w:rsidR="00904631" w:rsidRDefault="00904631">
      <w:pPr>
        <w:rPr>
          <w:szCs w:val="22"/>
        </w:rPr>
      </w:pPr>
      <w:r>
        <w:rPr>
          <w:szCs w:val="22"/>
        </w:rPr>
        <w:br w:type="page"/>
      </w:r>
    </w:p>
    <w:p w:rsidR="003126A0" w:rsidRPr="00E206B2" w:rsidRDefault="003126A0" w:rsidP="003126A0">
      <w:pPr>
        <w:rPr>
          <w:szCs w:val="22"/>
        </w:rPr>
      </w:pPr>
    </w:p>
    <w:p w:rsidR="003126A0" w:rsidRPr="0086669B" w:rsidRDefault="003126A0" w:rsidP="0032086B">
      <w:pPr>
        <w:pStyle w:val="Heading2"/>
      </w:pPr>
      <w:bookmarkStart w:id="20" w:name="_Toc302901047"/>
      <w:bookmarkStart w:id="21" w:name="_Toc302972746"/>
      <w:bookmarkStart w:id="22" w:name="_Toc302972779"/>
      <w:bookmarkStart w:id="23" w:name="_Toc303016861"/>
      <w:bookmarkStart w:id="24" w:name="_Toc303016938"/>
      <w:bookmarkStart w:id="25" w:name="_Toc302901048"/>
      <w:bookmarkStart w:id="26" w:name="_Toc302972747"/>
      <w:bookmarkStart w:id="27" w:name="_Toc302972780"/>
      <w:bookmarkStart w:id="28" w:name="_Toc303016862"/>
      <w:bookmarkStart w:id="29" w:name="_Toc303016939"/>
      <w:bookmarkStart w:id="30" w:name="_Toc302901049"/>
      <w:bookmarkStart w:id="31" w:name="_Toc302972748"/>
      <w:bookmarkStart w:id="32" w:name="_Toc302972781"/>
      <w:bookmarkStart w:id="33" w:name="_Toc303016863"/>
      <w:bookmarkStart w:id="34" w:name="_Toc303016940"/>
      <w:bookmarkStart w:id="35" w:name="_Toc302901050"/>
      <w:bookmarkStart w:id="36" w:name="_Toc302972749"/>
      <w:bookmarkStart w:id="37" w:name="_Toc302972782"/>
      <w:bookmarkStart w:id="38" w:name="_Toc303016864"/>
      <w:bookmarkStart w:id="39" w:name="_Toc303016941"/>
      <w:bookmarkStart w:id="40" w:name="_Toc303860082"/>
      <w:bookmarkStart w:id="41" w:name="_Toc30496718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86669B">
        <w:t xml:space="preserve">Multi </w:t>
      </w:r>
      <w:r w:rsidR="00CC33FC">
        <w:t>f</w:t>
      </w:r>
      <w:r w:rsidR="009B505E" w:rsidRPr="0086669B">
        <w:t xml:space="preserve">unction </w:t>
      </w:r>
      <w:r w:rsidR="00CC33FC">
        <w:t>d</w:t>
      </w:r>
      <w:r w:rsidRPr="002E1A14">
        <w:t>evices</w:t>
      </w:r>
      <w:r w:rsidR="0073067B" w:rsidRPr="0086669B">
        <w:t xml:space="preserve"> (MFDs)</w:t>
      </w:r>
      <w:bookmarkEnd w:id="40"/>
      <w:bookmarkEnd w:id="41"/>
    </w:p>
    <w:p w:rsidR="001A78F2" w:rsidRDefault="001A78F2">
      <w:pPr>
        <w:rPr>
          <w:szCs w:val="22"/>
        </w:rPr>
      </w:pPr>
    </w:p>
    <w:p w:rsidR="00E5733D" w:rsidRDefault="00E5733D" w:rsidP="00E5733D">
      <w:pPr>
        <w:rPr>
          <w:szCs w:val="22"/>
        </w:rPr>
      </w:pPr>
      <w:r>
        <w:rPr>
          <w:rFonts w:ascii="Arial" w:hAnsi="Arial" w:cs="Arial"/>
          <w:b/>
          <w:bCs/>
          <w:color w:val="000000"/>
          <w:szCs w:val="22"/>
          <w:lang w:eastAsia="en-AU"/>
        </w:rPr>
        <w:t>Summary of ABS Imports</w:t>
      </w:r>
    </w:p>
    <w:p w:rsidR="00E5733D" w:rsidRDefault="00E5733D">
      <w:pPr>
        <w:rPr>
          <w:szCs w:val="22"/>
        </w:rPr>
      </w:pPr>
    </w:p>
    <w:p w:rsidR="001A78F2" w:rsidRDefault="009B505E">
      <w:pPr>
        <w:rPr>
          <w:szCs w:val="22"/>
          <w:lang w:val="en-US"/>
        </w:rPr>
      </w:pPr>
      <w:r>
        <w:rPr>
          <w:szCs w:val="22"/>
        </w:rPr>
        <w:t xml:space="preserve">According to ABS import data, 2,093,022 units of multi function devices (MFDs) were imported in 2011. The proportions </w:t>
      </w:r>
      <w:r w:rsidR="007B08F0">
        <w:rPr>
          <w:szCs w:val="22"/>
        </w:rPr>
        <w:t xml:space="preserve">are shown </w:t>
      </w:r>
      <w:r w:rsidR="00904631">
        <w:rPr>
          <w:szCs w:val="22"/>
        </w:rPr>
        <w:t xml:space="preserve">in </w:t>
      </w:r>
      <w:r w:rsidR="00207129">
        <w:rPr>
          <w:szCs w:val="22"/>
        </w:rPr>
        <w:t>Figure 5-1</w:t>
      </w:r>
      <w:r>
        <w:rPr>
          <w:szCs w:val="22"/>
          <w:lang w:val="en-US"/>
        </w:rPr>
        <w:t>. The dominant HTISC in this CTCN is Ink-jet M</w:t>
      </w:r>
      <w:r w:rsidR="007118B4">
        <w:rPr>
          <w:szCs w:val="22"/>
          <w:lang w:val="en-US"/>
        </w:rPr>
        <w:t>F</w:t>
      </w:r>
      <w:r>
        <w:rPr>
          <w:szCs w:val="22"/>
          <w:lang w:val="en-US"/>
        </w:rPr>
        <w:t>Ds</w:t>
      </w:r>
      <w:r w:rsidR="00904631">
        <w:rPr>
          <w:szCs w:val="22"/>
          <w:lang w:val="en-US"/>
        </w:rPr>
        <w:t>.</w:t>
      </w:r>
    </w:p>
    <w:p w:rsidR="009B505E" w:rsidRDefault="009B505E">
      <w:pPr>
        <w:rPr>
          <w:szCs w:val="22"/>
          <w:lang w:val="en-US"/>
        </w:rPr>
      </w:pPr>
    </w:p>
    <w:p w:rsidR="009B749B" w:rsidRDefault="002652C5" w:rsidP="002652C5">
      <w:pPr>
        <w:pStyle w:val="Caption"/>
      </w:pPr>
      <w:r>
        <w:t>Figure 5-1</w:t>
      </w:r>
      <w:r w:rsidR="002E1A14">
        <w:t xml:space="preserve"> </w:t>
      </w:r>
      <w:r w:rsidR="005D7D39">
        <w:t xml:space="preserve">Proportion </w:t>
      </w:r>
      <w:r w:rsidR="002E1A14">
        <w:t xml:space="preserve">of HTISCs in </w:t>
      </w:r>
      <w:r w:rsidR="005D7D39">
        <w:t xml:space="preserve">2010-11 </w:t>
      </w:r>
      <w:r w:rsidR="002E1A14">
        <w:t>CTCN imports data</w:t>
      </w:r>
      <w:r w:rsidR="005D7D39">
        <w:t xml:space="preserve"> (according to ABS)</w:t>
      </w:r>
    </w:p>
    <w:p w:rsidR="009B505E" w:rsidRPr="009B505E" w:rsidRDefault="009B505E">
      <w:pPr>
        <w:rPr>
          <w:szCs w:val="22"/>
        </w:rPr>
      </w:pPr>
      <w:r w:rsidRPr="009B505E">
        <w:rPr>
          <w:noProof/>
          <w:szCs w:val="22"/>
          <w:lang w:eastAsia="en-AU"/>
        </w:rPr>
        <w:drawing>
          <wp:inline distT="0" distB="0" distL="0" distR="0">
            <wp:extent cx="4572000" cy="2933700"/>
            <wp:effectExtent l="0" t="0" r="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B4B54" w:rsidRDefault="003B4B54" w:rsidP="003B4B54">
      <w:pPr>
        <w:jc w:val="both"/>
        <w:rPr>
          <w:szCs w:val="22"/>
        </w:rPr>
      </w:pPr>
    </w:p>
    <w:p w:rsidR="00FF234C" w:rsidRDefault="00FF234C" w:rsidP="003B4B54"/>
    <w:p w:rsidR="00DA3DBF" w:rsidRDefault="00DA3DBF" w:rsidP="003B4B54"/>
    <w:p w:rsidR="00904631" w:rsidRDefault="00904631">
      <w:pPr>
        <w:rPr>
          <w:rFonts w:ascii="Arial" w:hAnsi="Arial" w:cs="Arial"/>
          <w:b/>
          <w:bCs/>
          <w:color w:val="000000"/>
          <w:szCs w:val="22"/>
          <w:lang w:eastAsia="en-AU"/>
        </w:rPr>
      </w:pPr>
      <w:r>
        <w:rPr>
          <w:rFonts w:ascii="Arial" w:hAnsi="Arial" w:cs="Arial"/>
          <w:b/>
          <w:bCs/>
          <w:color w:val="000000"/>
          <w:szCs w:val="22"/>
          <w:lang w:eastAsia="en-AU"/>
        </w:rPr>
        <w:br w:type="page"/>
      </w:r>
    </w:p>
    <w:p w:rsidR="00DA3DBF" w:rsidRDefault="002E1A14" w:rsidP="003B4B54">
      <w:pPr>
        <w:rPr>
          <w:rFonts w:ascii="Arial" w:hAnsi="Arial" w:cs="Arial"/>
          <w:b/>
          <w:bCs/>
          <w:color w:val="000000"/>
          <w:szCs w:val="22"/>
          <w:lang w:eastAsia="en-AU"/>
        </w:rPr>
      </w:pPr>
      <w:r w:rsidRPr="003B4B54">
        <w:rPr>
          <w:rFonts w:ascii="Arial" w:hAnsi="Arial" w:cs="Arial"/>
          <w:b/>
          <w:bCs/>
          <w:color w:val="000000"/>
          <w:szCs w:val="22"/>
          <w:lang w:eastAsia="en-AU"/>
        </w:rPr>
        <w:lastRenderedPageBreak/>
        <w:t>SC07 8443.31.00 61 - MFDs: Ink-jet</w:t>
      </w:r>
    </w:p>
    <w:p w:rsidR="004360E0" w:rsidRDefault="004360E0" w:rsidP="003B4B54">
      <w:pPr>
        <w:rPr>
          <w:rFonts w:ascii="Arial" w:hAnsi="Arial" w:cs="Arial"/>
          <w:b/>
          <w:bCs/>
          <w:color w:val="000000"/>
          <w:szCs w:val="22"/>
          <w:lang w:eastAsia="en-AU"/>
        </w:rPr>
      </w:pPr>
    </w:p>
    <w:p w:rsidR="00401FE0" w:rsidRDefault="00401FE0" w:rsidP="003B4B54"/>
    <w:p w:rsidR="004360E0" w:rsidRDefault="002652C5" w:rsidP="004360E0">
      <w:pPr>
        <w:pStyle w:val="Caption"/>
        <w:keepNext/>
      </w:pPr>
      <w:r>
        <w:t xml:space="preserve">Figure 5-2 </w:t>
      </w:r>
      <w:r w:rsidR="004360E0">
        <w:t xml:space="preserve"> </w:t>
      </w:r>
      <w:r w:rsidR="00AC1355">
        <w:t xml:space="preserve">HTISC frequency distribution in CF year </w:t>
      </w:r>
    </w:p>
    <w:p w:rsidR="00C61E41" w:rsidRDefault="00C61E41" w:rsidP="00C61E41">
      <w:pPr>
        <w:rPr>
          <w:lang w:val="en-GB"/>
        </w:rPr>
      </w:pPr>
      <w:r w:rsidRPr="00C61E41">
        <w:rPr>
          <w:noProof/>
          <w:lang w:eastAsia="en-AU"/>
        </w:rPr>
        <w:drawing>
          <wp:inline distT="0" distB="0" distL="0" distR="0">
            <wp:extent cx="4889500" cy="2984500"/>
            <wp:effectExtent l="19050" t="0" r="25400" b="6350"/>
            <wp:docPr id="4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61E41" w:rsidRDefault="00C61E41" w:rsidP="00C61E41">
      <w:pPr>
        <w:rPr>
          <w:lang w:val="en-GB"/>
        </w:rPr>
      </w:pPr>
    </w:p>
    <w:p w:rsidR="00DA3DBF" w:rsidRDefault="00DA3DBF" w:rsidP="003B4B54"/>
    <w:p w:rsidR="003126A0" w:rsidRDefault="003126A0" w:rsidP="003126A0"/>
    <w:p w:rsidR="00D73340" w:rsidRDefault="00207129" w:rsidP="00D73340">
      <w:pPr>
        <w:pStyle w:val="Caption"/>
      </w:pPr>
      <w:r>
        <w:t xml:space="preserve">Table 5-1 </w:t>
      </w:r>
      <w:r w:rsidR="00D73340">
        <w:t xml:space="preserve"> Conversion factor statistics</w:t>
      </w:r>
    </w:p>
    <w:tbl>
      <w:tblPr>
        <w:tblW w:w="7260" w:type="dxa"/>
        <w:tblInd w:w="93" w:type="dxa"/>
        <w:tblLook w:val="04A0"/>
      </w:tblPr>
      <w:tblGrid>
        <w:gridCol w:w="1660"/>
        <w:gridCol w:w="1120"/>
        <w:gridCol w:w="1120"/>
        <w:gridCol w:w="1120"/>
        <w:gridCol w:w="1120"/>
        <w:gridCol w:w="1120"/>
      </w:tblGrid>
      <w:tr w:rsidR="003126A0" w:rsidRPr="003126A0">
        <w:trPr>
          <w:trHeight w:val="450"/>
        </w:trPr>
        <w:tc>
          <w:tcPr>
            <w:tcW w:w="1660" w:type="dxa"/>
            <w:tcBorders>
              <w:top w:val="single" w:sz="4" w:space="0" w:color="auto"/>
              <w:left w:val="single" w:sz="4" w:space="0" w:color="auto"/>
              <w:bottom w:val="single" w:sz="4" w:space="0" w:color="auto"/>
              <w:right w:val="single" w:sz="4" w:space="0" w:color="auto"/>
            </w:tcBorders>
            <w:shd w:val="clear" w:color="000000" w:fill="D8D8D8"/>
            <w:vAlign w:val="center"/>
          </w:tcPr>
          <w:p w:rsidR="003126A0" w:rsidRPr="003126A0" w:rsidRDefault="003126A0" w:rsidP="003126A0">
            <w:pPr>
              <w:jc w:val="center"/>
              <w:rPr>
                <w:rFonts w:ascii="Calibri" w:hAnsi="Calibri" w:cs="Calibri"/>
                <w:color w:val="000000"/>
                <w:sz w:val="16"/>
                <w:szCs w:val="16"/>
                <w:lang w:eastAsia="en-AU"/>
              </w:rPr>
            </w:pPr>
            <w:r w:rsidRPr="003126A0">
              <w:rPr>
                <w:rFonts w:ascii="Calibri" w:hAnsi="Calibri" w:cs="Calibri"/>
                <w:color w:val="000000"/>
                <w:sz w:val="16"/>
                <w:szCs w:val="16"/>
                <w:lang w:eastAsia="en-AU"/>
              </w:rPr>
              <w:t>CF year</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3126A0" w:rsidRPr="003126A0" w:rsidRDefault="003126A0" w:rsidP="003126A0">
            <w:pPr>
              <w:jc w:val="center"/>
              <w:rPr>
                <w:rFonts w:ascii="Calibri" w:hAnsi="Calibri" w:cs="Calibri"/>
                <w:color w:val="000000"/>
                <w:sz w:val="16"/>
                <w:szCs w:val="16"/>
                <w:lang w:eastAsia="en-AU"/>
              </w:rPr>
            </w:pPr>
            <w:r w:rsidRPr="003126A0">
              <w:rPr>
                <w:rFonts w:ascii="Calibri" w:hAnsi="Calibri" w:cs="Calibri"/>
                <w:color w:val="000000"/>
                <w:sz w:val="16"/>
                <w:szCs w:val="16"/>
                <w:lang w:eastAsia="en-AU"/>
              </w:rPr>
              <w:t>No. of ABS imports</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3126A0" w:rsidRPr="003126A0" w:rsidRDefault="003126A0" w:rsidP="003126A0">
            <w:pPr>
              <w:jc w:val="center"/>
              <w:rPr>
                <w:rFonts w:ascii="Calibri" w:hAnsi="Calibri" w:cs="Calibri"/>
                <w:color w:val="000000"/>
                <w:sz w:val="16"/>
                <w:szCs w:val="16"/>
                <w:lang w:eastAsia="en-AU"/>
              </w:rPr>
            </w:pPr>
            <w:r w:rsidRPr="003126A0">
              <w:rPr>
                <w:rFonts w:ascii="Calibri" w:hAnsi="Calibri" w:cs="Calibri"/>
                <w:color w:val="000000"/>
                <w:sz w:val="16"/>
                <w:szCs w:val="16"/>
                <w:lang w:eastAsia="en-AU"/>
              </w:rPr>
              <w:t>% ABS imports included</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3126A0" w:rsidRPr="003126A0" w:rsidRDefault="003126A0" w:rsidP="003126A0">
            <w:pPr>
              <w:jc w:val="center"/>
              <w:rPr>
                <w:rFonts w:ascii="Calibri" w:hAnsi="Calibri" w:cs="Calibri"/>
                <w:color w:val="000000"/>
                <w:sz w:val="16"/>
                <w:szCs w:val="16"/>
                <w:lang w:eastAsia="en-AU"/>
              </w:rPr>
            </w:pPr>
            <w:r w:rsidRPr="003126A0">
              <w:rPr>
                <w:rFonts w:ascii="Calibri" w:hAnsi="Calibri" w:cs="Calibri"/>
                <w:color w:val="000000"/>
                <w:sz w:val="16"/>
                <w:szCs w:val="16"/>
                <w:lang w:eastAsia="en-AU"/>
              </w:rPr>
              <w:t>Min weight</w:t>
            </w:r>
            <w:r w:rsidRPr="003126A0">
              <w:rPr>
                <w:rFonts w:ascii="Calibri" w:hAnsi="Calibri" w:cs="Calibri"/>
                <w:color w:val="000000"/>
                <w:sz w:val="16"/>
                <w:szCs w:val="16"/>
                <w:lang w:eastAsia="en-AU"/>
              </w:rPr>
              <w:br/>
              <w:t>(kg)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3126A0" w:rsidRPr="003126A0" w:rsidRDefault="003126A0" w:rsidP="003126A0">
            <w:pPr>
              <w:jc w:val="center"/>
              <w:rPr>
                <w:rFonts w:ascii="Calibri" w:hAnsi="Calibri" w:cs="Calibri"/>
                <w:color w:val="000000"/>
                <w:sz w:val="16"/>
                <w:szCs w:val="16"/>
                <w:lang w:eastAsia="en-AU"/>
              </w:rPr>
            </w:pPr>
            <w:r w:rsidRPr="003126A0">
              <w:rPr>
                <w:rFonts w:ascii="Calibri" w:hAnsi="Calibri" w:cs="Calibri"/>
                <w:color w:val="000000"/>
                <w:sz w:val="16"/>
                <w:szCs w:val="16"/>
                <w:lang w:eastAsia="en-AU"/>
              </w:rPr>
              <w:t>Max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3126A0" w:rsidRPr="003126A0" w:rsidRDefault="003126A0" w:rsidP="003126A0">
            <w:pPr>
              <w:jc w:val="center"/>
              <w:rPr>
                <w:rFonts w:ascii="Calibri" w:hAnsi="Calibri" w:cs="Calibri"/>
                <w:color w:val="000000"/>
                <w:sz w:val="16"/>
                <w:szCs w:val="16"/>
                <w:lang w:eastAsia="en-AU"/>
              </w:rPr>
            </w:pPr>
            <w:r w:rsidRPr="003126A0">
              <w:rPr>
                <w:rFonts w:ascii="Calibri" w:hAnsi="Calibri" w:cs="Calibri"/>
                <w:color w:val="000000"/>
                <w:sz w:val="16"/>
                <w:szCs w:val="16"/>
                <w:lang w:eastAsia="en-AU"/>
              </w:rPr>
              <w:t>Standard deviation</w:t>
            </w:r>
          </w:p>
        </w:tc>
      </w:tr>
      <w:tr w:rsidR="003126A0" w:rsidRPr="003126A0">
        <w:trPr>
          <w:trHeight w:val="225"/>
        </w:trPr>
        <w:tc>
          <w:tcPr>
            <w:tcW w:w="1660" w:type="dxa"/>
            <w:tcBorders>
              <w:top w:val="nil"/>
              <w:left w:val="single" w:sz="4" w:space="0" w:color="auto"/>
              <w:bottom w:val="single" w:sz="4" w:space="0" w:color="auto"/>
              <w:right w:val="single" w:sz="4" w:space="0" w:color="auto"/>
            </w:tcBorders>
            <w:shd w:val="clear" w:color="auto" w:fill="auto"/>
            <w:noWrap/>
            <w:vAlign w:val="center"/>
          </w:tcPr>
          <w:p w:rsidR="003126A0" w:rsidRPr="003126A0" w:rsidRDefault="003126A0" w:rsidP="003126A0">
            <w:pPr>
              <w:jc w:val="center"/>
              <w:rPr>
                <w:rFonts w:ascii="Calibri" w:hAnsi="Calibri" w:cs="Calibri"/>
                <w:color w:val="000000"/>
                <w:sz w:val="16"/>
                <w:szCs w:val="16"/>
                <w:lang w:eastAsia="en-AU"/>
              </w:rPr>
            </w:pPr>
            <w:r w:rsidRPr="003126A0">
              <w:rPr>
                <w:rFonts w:ascii="Calibri" w:hAnsi="Calibri" w:cs="Calibri"/>
                <w:color w:val="000000"/>
                <w:sz w:val="16"/>
                <w:szCs w:val="16"/>
                <w:lang w:eastAsia="en-AU"/>
              </w:rPr>
              <w:t>2010-11</w:t>
            </w:r>
          </w:p>
        </w:tc>
        <w:tc>
          <w:tcPr>
            <w:tcW w:w="1120" w:type="dxa"/>
            <w:tcBorders>
              <w:top w:val="nil"/>
              <w:left w:val="nil"/>
              <w:bottom w:val="single" w:sz="4" w:space="0" w:color="auto"/>
              <w:right w:val="single" w:sz="4" w:space="0" w:color="auto"/>
            </w:tcBorders>
            <w:shd w:val="clear" w:color="auto" w:fill="auto"/>
            <w:noWrap/>
            <w:vAlign w:val="center"/>
          </w:tcPr>
          <w:p w:rsidR="003126A0" w:rsidRPr="003126A0" w:rsidRDefault="003126A0" w:rsidP="003126A0">
            <w:pPr>
              <w:jc w:val="center"/>
              <w:rPr>
                <w:rFonts w:ascii="Calibri" w:hAnsi="Calibri" w:cs="Calibri"/>
                <w:color w:val="000000"/>
                <w:sz w:val="16"/>
                <w:szCs w:val="16"/>
                <w:lang w:eastAsia="en-AU"/>
              </w:rPr>
            </w:pPr>
            <w:r w:rsidRPr="003126A0">
              <w:rPr>
                <w:rFonts w:ascii="Calibri" w:hAnsi="Calibri" w:cs="Calibri"/>
                <w:color w:val="000000"/>
                <w:sz w:val="16"/>
                <w:szCs w:val="16"/>
                <w:lang w:eastAsia="en-AU"/>
              </w:rPr>
              <w:t>1,454,465</w:t>
            </w:r>
          </w:p>
        </w:tc>
        <w:tc>
          <w:tcPr>
            <w:tcW w:w="1120" w:type="dxa"/>
            <w:tcBorders>
              <w:top w:val="nil"/>
              <w:left w:val="nil"/>
              <w:bottom w:val="single" w:sz="4" w:space="0" w:color="auto"/>
              <w:right w:val="single" w:sz="4" w:space="0" w:color="auto"/>
            </w:tcBorders>
            <w:shd w:val="clear" w:color="auto" w:fill="auto"/>
            <w:noWrap/>
            <w:vAlign w:val="center"/>
          </w:tcPr>
          <w:p w:rsidR="003126A0" w:rsidRPr="003126A0" w:rsidRDefault="003126A0" w:rsidP="003126A0">
            <w:pPr>
              <w:jc w:val="center"/>
              <w:rPr>
                <w:rFonts w:ascii="Calibri" w:hAnsi="Calibri" w:cs="Calibri"/>
                <w:color w:val="000000"/>
                <w:sz w:val="16"/>
                <w:szCs w:val="16"/>
                <w:lang w:eastAsia="en-AU"/>
              </w:rPr>
            </w:pPr>
            <w:r w:rsidRPr="003126A0">
              <w:rPr>
                <w:rFonts w:ascii="Calibri" w:hAnsi="Calibri" w:cs="Calibri"/>
                <w:color w:val="000000"/>
                <w:sz w:val="16"/>
                <w:szCs w:val="16"/>
                <w:lang w:eastAsia="en-AU"/>
              </w:rPr>
              <w:t>84%</w:t>
            </w:r>
          </w:p>
        </w:tc>
        <w:tc>
          <w:tcPr>
            <w:tcW w:w="1120" w:type="dxa"/>
            <w:tcBorders>
              <w:top w:val="nil"/>
              <w:left w:val="nil"/>
              <w:bottom w:val="single" w:sz="4" w:space="0" w:color="auto"/>
              <w:right w:val="single" w:sz="4" w:space="0" w:color="auto"/>
            </w:tcBorders>
            <w:shd w:val="clear" w:color="auto" w:fill="auto"/>
            <w:noWrap/>
            <w:vAlign w:val="center"/>
          </w:tcPr>
          <w:p w:rsidR="003126A0" w:rsidRPr="003126A0" w:rsidRDefault="003126A0" w:rsidP="003126A0">
            <w:pPr>
              <w:jc w:val="center"/>
              <w:rPr>
                <w:rFonts w:ascii="Calibri" w:hAnsi="Calibri" w:cs="Calibri"/>
                <w:color w:val="000000"/>
                <w:sz w:val="16"/>
                <w:szCs w:val="16"/>
                <w:lang w:eastAsia="en-AU"/>
              </w:rPr>
            </w:pPr>
            <w:r w:rsidRPr="003126A0">
              <w:rPr>
                <w:rFonts w:ascii="Calibri" w:hAnsi="Calibri" w:cs="Calibri"/>
                <w:color w:val="000000"/>
                <w:sz w:val="16"/>
                <w:szCs w:val="16"/>
                <w:lang w:eastAsia="en-AU"/>
              </w:rPr>
              <w:t>3.6</w:t>
            </w:r>
          </w:p>
        </w:tc>
        <w:tc>
          <w:tcPr>
            <w:tcW w:w="1120" w:type="dxa"/>
            <w:tcBorders>
              <w:top w:val="nil"/>
              <w:left w:val="nil"/>
              <w:bottom w:val="single" w:sz="4" w:space="0" w:color="auto"/>
              <w:right w:val="single" w:sz="4" w:space="0" w:color="auto"/>
            </w:tcBorders>
            <w:shd w:val="clear" w:color="auto" w:fill="auto"/>
            <w:noWrap/>
            <w:vAlign w:val="center"/>
          </w:tcPr>
          <w:p w:rsidR="003126A0" w:rsidRPr="003126A0" w:rsidRDefault="003126A0" w:rsidP="003126A0">
            <w:pPr>
              <w:jc w:val="center"/>
              <w:rPr>
                <w:rFonts w:ascii="Calibri" w:hAnsi="Calibri" w:cs="Calibri"/>
                <w:color w:val="000000"/>
                <w:sz w:val="16"/>
                <w:szCs w:val="16"/>
                <w:lang w:eastAsia="en-AU"/>
              </w:rPr>
            </w:pPr>
            <w:r w:rsidRPr="003126A0">
              <w:rPr>
                <w:rFonts w:ascii="Calibri" w:hAnsi="Calibri" w:cs="Calibri"/>
                <w:color w:val="000000"/>
                <w:sz w:val="16"/>
                <w:szCs w:val="16"/>
                <w:lang w:eastAsia="en-AU"/>
              </w:rPr>
              <w:t>250.2</w:t>
            </w:r>
          </w:p>
        </w:tc>
        <w:tc>
          <w:tcPr>
            <w:tcW w:w="1120" w:type="dxa"/>
            <w:tcBorders>
              <w:top w:val="nil"/>
              <w:left w:val="nil"/>
              <w:bottom w:val="single" w:sz="4" w:space="0" w:color="auto"/>
              <w:right w:val="single" w:sz="4" w:space="0" w:color="auto"/>
            </w:tcBorders>
            <w:shd w:val="clear" w:color="auto" w:fill="auto"/>
            <w:noWrap/>
            <w:vAlign w:val="center"/>
          </w:tcPr>
          <w:p w:rsidR="003126A0" w:rsidRPr="003126A0" w:rsidRDefault="003126A0" w:rsidP="003126A0">
            <w:pPr>
              <w:jc w:val="center"/>
              <w:rPr>
                <w:rFonts w:ascii="Calibri" w:hAnsi="Calibri" w:cs="Calibri"/>
                <w:color w:val="000000"/>
                <w:sz w:val="16"/>
                <w:szCs w:val="16"/>
                <w:lang w:eastAsia="en-AU"/>
              </w:rPr>
            </w:pPr>
            <w:r w:rsidRPr="003126A0">
              <w:rPr>
                <w:rFonts w:ascii="Calibri" w:hAnsi="Calibri" w:cs="Calibri"/>
                <w:color w:val="000000"/>
                <w:sz w:val="16"/>
                <w:szCs w:val="16"/>
                <w:lang w:eastAsia="en-AU"/>
              </w:rPr>
              <w:t>0.2</w:t>
            </w:r>
          </w:p>
        </w:tc>
      </w:tr>
      <w:tr w:rsidR="003126A0" w:rsidRPr="003126A0">
        <w:trPr>
          <w:trHeight w:val="225"/>
        </w:trPr>
        <w:tc>
          <w:tcPr>
            <w:tcW w:w="1660" w:type="dxa"/>
            <w:tcBorders>
              <w:top w:val="nil"/>
              <w:left w:val="nil"/>
              <w:bottom w:val="nil"/>
              <w:right w:val="nil"/>
            </w:tcBorders>
            <w:shd w:val="clear" w:color="auto" w:fill="auto"/>
            <w:noWrap/>
            <w:vAlign w:val="bottom"/>
          </w:tcPr>
          <w:p w:rsidR="003126A0" w:rsidRPr="003126A0" w:rsidRDefault="003126A0" w:rsidP="003126A0">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3126A0" w:rsidRPr="003126A0" w:rsidRDefault="003126A0" w:rsidP="003126A0">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3126A0" w:rsidRPr="003126A0" w:rsidRDefault="003126A0" w:rsidP="003126A0">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3126A0" w:rsidRPr="003126A0" w:rsidRDefault="003126A0" w:rsidP="003126A0">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3126A0" w:rsidRPr="003126A0" w:rsidRDefault="003126A0" w:rsidP="003126A0">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3126A0" w:rsidRPr="003126A0" w:rsidRDefault="003126A0" w:rsidP="003126A0">
            <w:pPr>
              <w:rPr>
                <w:rFonts w:ascii="Calibri" w:hAnsi="Calibri" w:cs="Calibri"/>
                <w:color w:val="000000"/>
                <w:sz w:val="16"/>
                <w:szCs w:val="16"/>
                <w:lang w:eastAsia="en-AU"/>
              </w:rPr>
            </w:pPr>
          </w:p>
        </w:tc>
      </w:tr>
      <w:tr w:rsidR="003126A0" w:rsidRPr="003126A0">
        <w:trPr>
          <w:trHeight w:val="450"/>
        </w:trPr>
        <w:tc>
          <w:tcPr>
            <w:tcW w:w="1660" w:type="dxa"/>
            <w:tcBorders>
              <w:top w:val="single" w:sz="4" w:space="0" w:color="auto"/>
              <w:left w:val="single" w:sz="4" w:space="0" w:color="auto"/>
              <w:bottom w:val="nil"/>
              <w:right w:val="single" w:sz="4" w:space="0" w:color="auto"/>
            </w:tcBorders>
            <w:shd w:val="clear" w:color="000000" w:fill="D8D8D8"/>
            <w:vAlign w:val="center"/>
          </w:tcPr>
          <w:p w:rsidR="003126A0" w:rsidRPr="003126A0" w:rsidRDefault="003126A0" w:rsidP="003126A0">
            <w:pPr>
              <w:jc w:val="center"/>
              <w:rPr>
                <w:rFonts w:ascii="Calibri" w:hAnsi="Calibri" w:cs="Calibri"/>
                <w:color w:val="000000"/>
                <w:sz w:val="16"/>
                <w:szCs w:val="16"/>
                <w:lang w:eastAsia="en-AU"/>
              </w:rPr>
            </w:pPr>
            <w:r w:rsidRPr="003126A0">
              <w:rPr>
                <w:rFonts w:ascii="Calibri" w:hAnsi="Calibri" w:cs="Calibri"/>
                <w:color w:val="000000"/>
                <w:sz w:val="16"/>
                <w:szCs w:val="16"/>
                <w:lang w:eastAsia="en-AU"/>
              </w:rPr>
              <w:t>Method</w:t>
            </w:r>
          </w:p>
        </w:tc>
        <w:tc>
          <w:tcPr>
            <w:tcW w:w="1120" w:type="dxa"/>
            <w:tcBorders>
              <w:top w:val="single" w:sz="4" w:space="0" w:color="auto"/>
              <w:left w:val="nil"/>
              <w:bottom w:val="nil"/>
              <w:right w:val="single" w:sz="4" w:space="0" w:color="auto"/>
            </w:tcBorders>
            <w:shd w:val="clear" w:color="000000" w:fill="D8D8D8"/>
            <w:vAlign w:val="center"/>
          </w:tcPr>
          <w:p w:rsidR="003126A0" w:rsidRPr="003126A0" w:rsidRDefault="003126A0" w:rsidP="003126A0">
            <w:pPr>
              <w:jc w:val="center"/>
              <w:rPr>
                <w:rFonts w:ascii="Calibri" w:hAnsi="Calibri" w:cs="Calibri"/>
                <w:color w:val="000000"/>
                <w:sz w:val="16"/>
                <w:szCs w:val="16"/>
                <w:lang w:eastAsia="en-AU"/>
              </w:rPr>
            </w:pPr>
            <w:r w:rsidRPr="003126A0">
              <w:rPr>
                <w:rFonts w:ascii="Calibri" w:hAnsi="Calibri" w:cs="Calibri"/>
                <w:color w:val="000000"/>
                <w:sz w:val="16"/>
                <w:szCs w:val="16"/>
                <w:lang w:eastAsia="en-AU"/>
              </w:rPr>
              <w:t>Measure of average</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3126A0" w:rsidRPr="003126A0" w:rsidRDefault="003126A0" w:rsidP="003126A0">
            <w:pPr>
              <w:jc w:val="center"/>
              <w:rPr>
                <w:rFonts w:ascii="Calibri" w:hAnsi="Calibri" w:cs="Calibri"/>
                <w:color w:val="000000"/>
                <w:sz w:val="16"/>
                <w:szCs w:val="16"/>
                <w:lang w:eastAsia="en-AU"/>
              </w:rPr>
            </w:pPr>
            <w:r w:rsidRPr="003126A0">
              <w:rPr>
                <w:rFonts w:ascii="Calibri" w:hAnsi="Calibri" w:cs="Calibri"/>
                <w:color w:val="000000"/>
                <w:sz w:val="16"/>
                <w:szCs w:val="16"/>
                <w:lang w:eastAsia="en-AU"/>
              </w:rPr>
              <w:t>Average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3126A0" w:rsidRPr="003126A0" w:rsidRDefault="003126A0" w:rsidP="003126A0">
            <w:pPr>
              <w:jc w:val="center"/>
              <w:rPr>
                <w:rFonts w:ascii="Calibri" w:hAnsi="Calibri" w:cs="Calibri"/>
                <w:color w:val="000000"/>
                <w:sz w:val="16"/>
                <w:szCs w:val="16"/>
                <w:lang w:eastAsia="en-AU"/>
              </w:rPr>
            </w:pPr>
            <w:r w:rsidRPr="003126A0">
              <w:rPr>
                <w:rFonts w:ascii="Calibri" w:hAnsi="Calibri" w:cs="Calibri"/>
                <w:color w:val="000000"/>
                <w:sz w:val="16"/>
                <w:szCs w:val="16"/>
                <w:lang w:eastAsia="en-AU"/>
              </w:rPr>
              <w:t>Lower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3126A0" w:rsidRPr="003126A0" w:rsidRDefault="003126A0" w:rsidP="003126A0">
            <w:pPr>
              <w:jc w:val="center"/>
              <w:rPr>
                <w:rFonts w:ascii="Calibri" w:hAnsi="Calibri" w:cs="Calibri"/>
                <w:color w:val="000000"/>
                <w:sz w:val="16"/>
                <w:szCs w:val="16"/>
                <w:lang w:eastAsia="en-AU"/>
              </w:rPr>
            </w:pPr>
            <w:r w:rsidRPr="003126A0">
              <w:rPr>
                <w:rFonts w:ascii="Calibri" w:hAnsi="Calibri" w:cs="Calibri"/>
                <w:color w:val="000000"/>
                <w:sz w:val="16"/>
                <w:szCs w:val="16"/>
                <w:lang w:eastAsia="en-AU"/>
              </w:rPr>
              <w:t>Upper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3126A0" w:rsidRPr="003126A0" w:rsidRDefault="003126A0" w:rsidP="003126A0">
            <w:pPr>
              <w:jc w:val="center"/>
              <w:rPr>
                <w:rFonts w:ascii="Calibri" w:hAnsi="Calibri" w:cs="Calibri"/>
                <w:color w:val="000000"/>
                <w:sz w:val="16"/>
                <w:szCs w:val="16"/>
                <w:lang w:eastAsia="en-AU"/>
              </w:rPr>
            </w:pPr>
            <w:r w:rsidRPr="003126A0">
              <w:rPr>
                <w:rFonts w:ascii="Calibri" w:hAnsi="Calibri" w:cs="Calibri"/>
                <w:color w:val="000000"/>
                <w:sz w:val="16"/>
                <w:szCs w:val="16"/>
                <w:lang w:eastAsia="en-AU"/>
              </w:rPr>
              <w:t>Confidence interval ± (kg)</w:t>
            </w:r>
          </w:p>
        </w:tc>
      </w:tr>
      <w:tr w:rsidR="003126A0" w:rsidRPr="003126A0">
        <w:trPr>
          <w:trHeight w:val="48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3126A0" w:rsidRPr="003126A0" w:rsidRDefault="003126A0" w:rsidP="003126A0">
            <w:pPr>
              <w:jc w:val="center"/>
              <w:rPr>
                <w:rFonts w:ascii="Calibri" w:hAnsi="Calibri" w:cs="Calibri"/>
                <w:color w:val="000000"/>
                <w:sz w:val="16"/>
                <w:szCs w:val="16"/>
                <w:lang w:eastAsia="en-AU"/>
              </w:rPr>
            </w:pPr>
            <w:r w:rsidRPr="003126A0">
              <w:rPr>
                <w:rFonts w:ascii="Calibri" w:hAnsi="Calibri" w:cs="Calibri"/>
                <w:color w:val="000000"/>
                <w:sz w:val="16"/>
                <w:szCs w:val="16"/>
                <w:lang w:eastAsia="en-AU"/>
              </w:rPr>
              <w:t>Approximation to the normal distribution</w:t>
            </w:r>
          </w:p>
        </w:tc>
        <w:tc>
          <w:tcPr>
            <w:tcW w:w="1120" w:type="dxa"/>
            <w:tcBorders>
              <w:top w:val="single" w:sz="4" w:space="0" w:color="auto"/>
              <w:left w:val="nil"/>
              <w:bottom w:val="single" w:sz="4" w:space="0" w:color="auto"/>
              <w:right w:val="single" w:sz="4" w:space="0" w:color="auto"/>
            </w:tcBorders>
            <w:shd w:val="clear" w:color="auto" w:fill="auto"/>
            <w:vAlign w:val="center"/>
          </w:tcPr>
          <w:p w:rsidR="003126A0" w:rsidRPr="003126A0" w:rsidRDefault="003126A0" w:rsidP="003126A0">
            <w:pPr>
              <w:jc w:val="center"/>
              <w:rPr>
                <w:rFonts w:ascii="Calibri" w:hAnsi="Calibri" w:cs="Calibri"/>
                <w:color w:val="000000"/>
                <w:sz w:val="16"/>
                <w:szCs w:val="16"/>
                <w:lang w:eastAsia="en-AU"/>
              </w:rPr>
            </w:pPr>
            <w:r w:rsidRPr="003126A0">
              <w:rPr>
                <w:rFonts w:ascii="Calibri" w:hAnsi="Calibri" w:cs="Calibri"/>
                <w:color w:val="000000"/>
                <w:sz w:val="16"/>
                <w:szCs w:val="16"/>
                <w:lang w:eastAsia="en-AU"/>
              </w:rPr>
              <w:t>Mean</w:t>
            </w:r>
          </w:p>
        </w:tc>
        <w:tc>
          <w:tcPr>
            <w:tcW w:w="1120" w:type="dxa"/>
            <w:tcBorders>
              <w:top w:val="nil"/>
              <w:left w:val="nil"/>
              <w:bottom w:val="single" w:sz="4" w:space="0" w:color="auto"/>
              <w:right w:val="single" w:sz="4" w:space="0" w:color="auto"/>
            </w:tcBorders>
            <w:shd w:val="clear" w:color="auto" w:fill="auto"/>
            <w:noWrap/>
            <w:vAlign w:val="center"/>
          </w:tcPr>
          <w:p w:rsidR="003126A0" w:rsidRPr="003126A0" w:rsidRDefault="003126A0" w:rsidP="003126A0">
            <w:pPr>
              <w:jc w:val="center"/>
              <w:rPr>
                <w:rFonts w:ascii="Calibri" w:hAnsi="Calibri" w:cs="Calibri"/>
                <w:color w:val="000000"/>
                <w:sz w:val="16"/>
                <w:szCs w:val="16"/>
                <w:lang w:eastAsia="en-AU"/>
              </w:rPr>
            </w:pPr>
            <w:r w:rsidRPr="003126A0">
              <w:rPr>
                <w:rFonts w:ascii="Calibri" w:hAnsi="Calibri" w:cs="Calibri"/>
                <w:color w:val="000000"/>
                <w:sz w:val="16"/>
                <w:szCs w:val="16"/>
                <w:lang w:eastAsia="en-AU"/>
              </w:rPr>
              <w:t>8.7</w:t>
            </w:r>
          </w:p>
        </w:tc>
        <w:tc>
          <w:tcPr>
            <w:tcW w:w="1120" w:type="dxa"/>
            <w:tcBorders>
              <w:top w:val="nil"/>
              <w:left w:val="nil"/>
              <w:bottom w:val="single" w:sz="4" w:space="0" w:color="auto"/>
              <w:right w:val="single" w:sz="4" w:space="0" w:color="auto"/>
            </w:tcBorders>
            <w:shd w:val="clear" w:color="auto" w:fill="auto"/>
            <w:noWrap/>
            <w:vAlign w:val="center"/>
          </w:tcPr>
          <w:p w:rsidR="003126A0" w:rsidRPr="003126A0" w:rsidRDefault="003126A0" w:rsidP="003126A0">
            <w:pPr>
              <w:jc w:val="center"/>
              <w:rPr>
                <w:rFonts w:ascii="Calibri" w:hAnsi="Calibri" w:cs="Calibri"/>
                <w:color w:val="000000"/>
                <w:sz w:val="16"/>
                <w:szCs w:val="16"/>
                <w:lang w:eastAsia="en-AU"/>
              </w:rPr>
            </w:pPr>
            <w:r w:rsidRPr="003126A0">
              <w:rPr>
                <w:rFonts w:ascii="Calibri" w:hAnsi="Calibri" w:cs="Calibri"/>
                <w:color w:val="000000"/>
                <w:sz w:val="16"/>
                <w:szCs w:val="16"/>
                <w:lang w:eastAsia="en-AU"/>
              </w:rPr>
              <w:t>8.2</w:t>
            </w:r>
          </w:p>
        </w:tc>
        <w:tc>
          <w:tcPr>
            <w:tcW w:w="1120" w:type="dxa"/>
            <w:tcBorders>
              <w:top w:val="nil"/>
              <w:left w:val="nil"/>
              <w:bottom w:val="single" w:sz="4" w:space="0" w:color="auto"/>
              <w:right w:val="single" w:sz="4" w:space="0" w:color="auto"/>
            </w:tcBorders>
            <w:shd w:val="clear" w:color="auto" w:fill="auto"/>
            <w:noWrap/>
            <w:vAlign w:val="center"/>
          </w:tcPr>
          <w:p w:rsidR="003126A0" w:rsidRPr="003126A0" w:rsidRDefault="003126A0" w:rsidP="003126A0">
            <w:pPr>
              <w:jc w:val="center"/>
              <w:rPr>
                <w:rFonts w:ascii="Calibri" w:hAnsi="Calibri" w:cs="Calibri"/>
                <w:color w:val="000000"/>
                <w:sz w:val="16"/>
                <w:szCs w:val="16"/>
                <w:lang w:eastAsia="en-AU"/>
              </w:rPr>
            </w:pPr>
            <w:r w:rsidRPr="003126A0">
              <w:rPr>
                <w:rFonts w:ascii="Calibri" w:hAnsi="Calibri" w:cs="Calibri"/>
                <w:color w:val="000000"/>
                <w:sz w:val="16"/>
                <w:szCs w:val="16"/>
                <w:lang w:eastAsia="en-AU"/>
              </w:rPr>
              <w:t>9.1</w:t>
            </w:r>
          </w:p>
        </w:tc>
        <w:tc>
          <w:tcPr>
            <w:tcW w:w="1120" w:type="dxa"/>
            <w:tcBorders>
              <w:top w:val="nil"/>
              <w:left w:val="nil"/>
              <w:bottom w:val="single" w:sz="4" w:space="0" w:color="auto"/>
              <w:right w:val="single" w:sz="4" w:space="0" w:color="auto"/>
            </w:tcBorders>
            <w:shd w:val="clear" w:color="auto" w:fill="auto"/>
            <w:noWrap/>
            <w:vAlign w:val="center"/>
          </w:tcPr>
          <w:p w:rsidR="003126A0" w:rsidRPr="003126A0" w:rsidRDefault="003126A0" w:rsidP="003126A0">
            <w:pPr>
              <w:jc w:val="center"/>
              <w:rPr>
                <w:rFonts w:ascii="Calibri" w:hAnsi="Calibri" w:cs="Calibri"/>
                <w:color w:val="000000"/>
                <w:sz w:val="16"/>
                <w:szCs w:val="16"/>
                <w:lang w:eastAsia="en-AU"/>
              </w:rPr>
            </w:pPr>
            <w:r w:rsidRPr="003126A0">
              <w:rPr>
                <w:rFonts w:ascii="Calibri" w:hAnsi="Calibri" w:cs="Calibri"/>
                <w:color w:val="000000"/>
                <w:sz w:val="16"/>
                <w:szCs w:val="16"/>
                <w:lang w:eastAsia="en-AU"/>
              </w:rPr>
              <w:t>0.4</w:t>
            </w:r>
          </w:p>
        </w:tc>
      </w:tr>
      <w:tr w:rsidR="003126A0" w:rsidRPr="003126A0">
        <w:trPr>
          <w:trHeight w:val="480"/>
        </w:trPr>
        <w:tc>
          <w:tcPr>
            <w:tcW w:w="1660" w:type="dxa"/>
            <w:tcBorders>
              <w:top w:val="nil"/>
              <w:left w:val="single" w:sz="4" w:space="0" w:color="auto"/>
              <w:bottom w:val="single" w:sz="4" w:space="0" w:color="auto"/>
              <w:right w:val="single" w:sz="4" w:space="0" w:color="auto"/>
            </w:tcBorders>
            <w:shd w:val="clear" w:color="auto" w:fill="auto"/>
            <w:vAlign w:val="center"/>
          </w:tcPr>
          <w:p w:rsidR="003126A0" w:rsidRPr="003126A0" w:rsidRDefault="003126A0" w:rsidP="003126A0">
            <w:pPr>
              <w:jc w:val="center"/>
              <w:rPr>
                <w:rFonts w:ascii="Calibri" w:hAnsi="Calibri" w:cs="Calibri"/>
                <w:color w:val="000000"/>
                <w:sz w:val="16"/>
                <w:szCs w:val="16"/>
                <w:lang w:eastAsia="en-AU"/>
              </w:rPr>
            </w:pPr>
            <w:r w:rsidRPr="003126A0">
              <w:rPr>
                <w:rFonts w:ascii="Calibri" w:hAnsi="Calibri" w:cs="Calibri"/>
                <w:color w:val="000000"/>
                <w:sz w:val="16"/>
                <w:szCs w:val="16"/>
                <w:lang w:eastAsia="en-AU"/>
              </w:rPr>
              <w:t>Use of percentiles</w:t>
            </w:r>
          </w:p>
        </w:tc>
        <w:tc>
          <w:tcPr>
            <w:tcW w:w="1120" w:type="dxa"/>
            <w:tcBorders>
              <w:top w:val="nil"/>
              <w:left w:val="nil"/>
              <w:bottom w:val="single" w:sz="4" w:space="0" w:color="auto"/>
              <w:right w:val="single" w:sz="4" w:space="0" w:color="auto"/>
            </w:tcBorders>
            <w:shd w:val="clear" w:color="auto" w:fill="auto"/>
            <w:vAlign w:val="center"/>
          </w:tcPr>
          <w:p w:rsidR="003126A0" w:rsidRPr="003126A0" w:rsidRDefault="003126A0" w:rsidP="003126A0">
            <w:pPr>
              <w:jc w:val="center"/>
              <w:rPr>
                <w:rFonts w:ascii="Calibri" w:hAnsi="Calibri" w:cs="Calibri"/>
                <w:color w:val="000000"/>
                <w:sz w:val="16"/>
                <w:szCs w:val="16"/>
                <w:lang w:eastAsia="en-AU"/>
              </w:rPr>
            </w:pPr>
            <w:r w:rsidRPr="003126A0">
              <w:rPr>
                <w:rFonts w:ascii="Calibri" w:hAnsi="Calibri" w:cs="Calibri"/>
                <w:color w:val="000000"/>
                <w:sz w:val="16"/>
                <w:szCs w:val="16"/>
                <w:lang w:eastAsia="en-AU"/>
              </w:rPr>
              <w:t>Median</w:t>
            </w:r>
          </w:p>
        </w:tc>
        <w:tc>
          <w:tcPr>
            <w:tcW w:w="1120" w:type="dxa"/>
            <w:tcBorders>
              <w:top w:val="nil"/>
              <w:left w:val="nil"/>
              <w:bottom w:val="single" w:sz="4" w:space="0" w:color="auto"/>
              <w:right w:val="single" w:sz="4" w:space="0" w:color="auto"/>
            </w:tcBorders>
            <w:shd w:val="clear" w:color="auto" w:fill="auto"/>
            <w:noWrap/>
            <w:vAlign w:val="center"/>
          </w:tcPr>
          <w:p w:rsidR="003126A0" w:rsidRPr="003126A0" w:rsidRDefault="003126A0" w:rsidP="003126A0">
            <w:pPr>
              <w:jc w:val="center"/>
              <w:rPr>
                <w:rFonts w:ascii="Calibri" w:hAnsi="Calibri" w:cs="Calibri"/>
                <w:color w:val="000000"/>
                <w:sz w:val="16"/>
                <w:szCs w:val="16"/>
                <w:lang w:eastAsia="en-AU"/>
              </w:rPr>
            </w:pPr>
            <w:r w:rsidRPr="003126A0">
              <w:rPr>
                <w:rFonts w:ascii="Calibri" w:hAnsi="Calibri" w:cs="Calibri"/>
                <w:color w:val="000000"/>
                <w:sz w:val="16"/>
                <w:szCs w:val="16"/>
                <w:lang w:eastAsia="en-AU"/>
              </w:rPr>
              <w:t>11.1</w:t>
            </w:r>
          </w:p>
        </w:tc>
        <w:tc>
          <w:tcPr>
            <w:tcW w:w="1120" w:type="dxa"/>
            <w:tcBorders>
              <w:top w:val="nil"/>
              <w:left w:val="nil"/>
              <w:bottom w:val="single" w:sz="4" w:space="0" w:color="auto"/>
              <w:right w:val="single" w:sz="4" w:space="0" w:color="auto"/>
            </w:tcBorders>
            <w:shd w:val="clear" w:color="auto" w:fill="auto"/>
            <w:noWrap/>
            <w:vAlign w:val="center"/>
          </w:tcPr>
          <w:p w:rsidR="003126A0" w:rsidRPr="003126A0" w:rsidRDefault="003126A0" w:rsidP="003126A0">
            <w:pPr>
              <w:jc w:val="center"/>
              <w:rPr>
                <w:rFonts w:ascii="Calibri" w:hAnsi="Calibri" w:cs="Calibri"/>
                <w:color w:val="000000"/>
                <w:sz w:val="16"/>
                <w:szCs w:val="16"/>
                <w:lang w:eastAsia="en-AU"/>
              </w:rPr>
            </w:pPr>
            <w:r w:rsidRPr="003126A0">
              <w:rPr>
                <w:rFonts w:ascii="Calibri" w:hAnsi="Calibri" w:cs="Calibri"/>
                <w:color w:val="000000"/>
                <w:sz w:val="16"/>
                <w:szCs w:val="16"/>
                <w:lang w:eastAsia="en-AU"/>
              </w:rPr>
              <w:t>3.6</w:t>
            </w:r>
          </w:p>
        </w:tc>
        <w:tc>
          <w:tcPr>
            <w:tcW w:w="1120" w:type="dxa"/>
            <w:tcBorders>
              <w:top w:val="nil"/>
              <w:left w:val="nil"/>
              <w:bottom w:val="single" w:sz="4" w:space="0" w:color="auto"/>
              <w:right w:val="single" w:sz="4" w:space="0" w:color="auto"/>
            </w:tcBorders>
            <w:shd w:val="clear" w:color="auto" w:fill="auto"/>
            <w:noWrap/>
            <w:vAlign w:val="center"/>
          </w:tcPr>
          <w:p w:rsidR="003126A0" w:rsidRPr="003126A0" w:rsidRDefault="003126A0" w:rsidP="003126A0">
            <w:pPr>
              <w:jc w:val="center"/>
              <w:rPr>
                <w:rFonts w:ascii="Calibri" w:hAnsi="Calibri" w:cs="Calibri"/>
                <w:color w:val="000000"/>
                <w:sz w:val="16"/>
                <w:szCs w:val="16"/>
                <w:lang w:eastAsia="en-AU"/>
              </w:rPr>
            </w:pPr>
            <w:r w:rsidRPr="003126A0">
              <w:rPr>
                <w:rFonts w:ascii="Calibri" w:hAnsi="Calibri" w:cs="Calibri"/>
                <w:color w:val="000000"/>
                <w:sz w:val="16"/>
                <w:szCs w:val="16"/>
                <w:lang w:eastAsia="en-AU"/>
              </w:rPr>
              <w:t>16.2</w:t>
            </w:r>
          </w:p>
        </w:tc>
        <w:tc>
          <w:tcPr>
            <w:tcW w:w="1120" w:type="dxa"/>
            <w:tcBorders>
              <w:top w:val="nil"/>
              <w:left w:val="nil"/>
              <w:bottom w:val="single" w:sz="4" w:space="0" w:color="auto"/>
              <w:right w:val="single" w:sz="4" w:space="0" w:color="auto"/>
            </w:tcBorders>
            <w:shd w:val="clear" w:color="auto" w:fill="auto"/>
            <w:noWrap/>
            <w:vAlign w:val="center"/>
          </w:tcPr>
          <w:p w:rsidR="003126A0" w:rsidRPr="003126A0" w:rsidRDefault="003126A0" w:rsidP="003126A0">
            <w:pPr>
              <w:jc w:val="center"/>
              <w:rPr>
                <w:rFonts w:ascii="Calibri" w:hAnsi="Calibri" w:cs="Calibri"/>
                <w:color w:val="000000"/>
                <w:sz w:val="16"/>
                <w:szCs w:val="16"/>
                <w:lang w:eastAsia="en-AU"/>
              </w:rPr>
            </w:pPr>
            <w:r w:rsidRPr="003126A0">
              <w:rPr>
                <w:rFonts w:ascii="Calibri" w:hAnsi="Calibri" w:cs="Calibri"/>
                <w:color w:val="000000"/>
                <w:sz w:val="16"/>
                <w:szCs w:val="16"/>
                <w:lang w:eastAsia="en-AU"/>
              </w:rPr>
              <w:t>7.5</w:t>
            </w:r>
          </w:p>
        </w:tc>
      </w:tr>
      <w:tr w:rsidR="003126A0" w:rsidRPr="003126A0">
        <w:trPr>
          <w:trHeight w:val="225"/>
        </w:trPr>
        <w:tc>
          <w:tcPr>
            <w:tcW w:w="1660" w:type="dxa"/>
            <w:tcBorders>
              <w:top w:val="nil"/>
              <w:left w:val="nil"/>
              <w:bottom w:val="nil"/>
              <w:right w:val="nil"/>
            </w:tcBorders>
            <w:shd w:val="clear" w:color="auto" w:fill="auto"/>
            <w:noWrap/>
            <w:vAlign w:val="bottom"/>
          </w:tcPr>
          <w:p w:rsidR="003126A0" w:rsidRPr="003126A0" w:rsidRDefault="003126A0" w:rsidP="003126A0">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3126A0" w:rsidRPr="003126A0" w:rsidRDefault="003126A0" w:rsidP="003126A0">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3126A0" w:rsidRPr="003126A0" w:rsidRDefault="003126A0" w:rsidP="003126A0">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3126A0" w:rsidRPr="003126A0" w:rsidRDefault="003126A0" w:rsidP="003126A0">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3126A0" w:rsidRPr="003126A0" w:rsidRDefault="003126A0" w:rsidP="003126A0">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3126A0" w:rsidRPr="003126A0" w:rsidRDefault="003126A0" w:rsidP="003126A0">
            <w:pPr>
              <w:rPr>
                <w:rFonts w:ascii="Calibri" w:hAnsi="Calibri" w:cs="Calibri"/>
                <w:color w:val="000000"/>
                <w:sz w:val="16"/>
                <w:szCs w:val="16"/>
                <w:lang w:eastAsia="en-AU"/>
              </w:rPr>
            </w:pPr>
          </w:p>
        </w:tc>
      </w:tr>
      <w:tr w:rsidR="003126A0" w:rsidRPr="003126A0">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tcPr>
          <w:p w:rsidR="003126A0" w:rsidRPr="003126A0" w:rsidRDefault="003126A0" w:rsidP="003126A0">
            <w:pPr>
              <w:rPr>
                <w:rFonts w:ascii="Calibri" w:hAnsi="Calibri" w:cs="Calibri"/>
                <w:color w:val="000000"/>
                <w:sz w:val="16"/>
                <w:szCs w:val="16"/>
                <w:lang w:eastAsia="en-AU"/>
              </w:rPr>
            </w:pPr>
            <w:r w:rsidRPr="003126A0">
              <w:rPr>
                <w:rFonts w:ascii="Calibri" w:hAnsi="Calibri" w:cs="Calibri"/>
                <w:color w:val="000000"/>
                <w:sz w:val="16"/>
                <w:szCs w:val="16"/>
                <w:lang w:eastAsia="en-AU"/>
              </w:rPr>
              <w:t>Year</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3126A0" w:rsidRPr="003126A0" w:rsidRDefault="003126A0" w:rsidP="003126A0">
            <w:pPr>
              <w:jc w:val="center"/>
              <w:rPr>
                <w:rFonts w:ascii="Calibri" w:hAnsi="Calibri" w:cs="Calibri"/>
                <w:color w:val="000000"/>
                <w:sz w:val="16"/>
                <w:szCs w:val="16"/>
                <w:lang w:eastAsia="en-AU"/>
              </w:rPr>
            </w:pPr>
            <w:r w:rsidRPr="003126A0">
              <w:rPr>
                <w:rFonts w:ascii="Calibri" w:hAnsi="Calibri" w:cs="Calibri"/>
                <w:color w:val="000000"/>
                <w:sz w:val="16"/>
                <w:szCs w:val="16"/>
                <w:lang w:eastAsia="en-AU"/>
              </w:rPr>
              <w:t>2010-11</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3126A0" w:rsidRPr="003126A0" w:rsidRDefault="003126A0" w:rsidP="003126A0">
            <w:pPr>
              <w:jc w:val="center"/>
              <w:rPr>
                <w:rFonts w:ascii="Calibri" w:hAnsi="Calibri" w:cs="Calibri"/>
                <w:color w:val="000000"/>
                <w:sz w:val="16"/>
                <w:szCs w:val="16"/>
                <w:lang w:eastAsia="en-AU"/>
              </w:rPr>
            </w:pPr>
            <w:r w:rsidRPr="003126A0">
              <w:rPr>
                <w:rFonts w:ascii="Calibri" w:hAnsi="Calibri" w:cs="Calibri"/>
                <w:color w:val="000000"/>
                <w:sz w:val="16"/>
                <w:szCs w:val="16"/>
                <w:lang w:eastAsia="en-AU"/>
              </w:rPr>
              <w:t>2009-10</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3126A0" w:rsidRPr="003126A0" w:rsidRDefault="003126A0" w:rsidP="003126A0">
            <w:pPr>
              <w:jc w:val="center"/>
              <w:rPr>
                <w:rFonts w:ascii="Calibri" w:hAnsi="Calibri" w:cs="Calibri"/>
                <w:color w:val="000000"/>
                <w:sz w:val="16"/>
                <w:szCs w:val="16"/>
                <w:lang w:eastAsia="en-AU"/>
              </w:rPr>
            </w:pPr>
            <w:r w:rsidRPr="003126A0">
              <w:rPr>
                <w:rFonts w:ascii="Calibri" w:hAnsi="Calibri" w:cs="Calibri"/>
                <w:color w:val="000000"/>
                <w:sz w:val="16"/>
                <w:szCs w:val="16"/>
                <w:lang w:eastAsia="en-AU"/>
              </w:rPr>
              <w:t>2008-09</w:t>
            </w:r>
          </w:p>
        </w:tc>
      </w:tr>
      <w:tr w:rsidR="00B70C28" w:rsidRPr="003126A0">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0C28" w:rsidRPr="003126A0" w:rsidRDefault="00B70C28" w:rsidP="00142238">
            <w:pPr>
              <w:rPr>
                <w:rFonts w:ascii="Calibri" w:hAnsi="Calibri" w:cs="Calibri"/>
                <w:color w:val="000000"/>
                <w:sz w:val="16"/>
                <w:szCs w:val="16"/>
                <w:lang w:eastAsia="en-AU"/>
              </w:rPr>
            </w:pPr>
            <w:r>
              <w:rPr>
                <w:rFonts w:ascii="Calibri" w:hAnsi="Calibri" w:cs="Calibri"/>
                <w:color w:val="000000"/>
                <w:sz w:val="16"/>
                <w:szCs w:val="16"/>
                <w:lang w:eastAsia="en-AU"/>
              </w:rPr>
              <w:t>P</w:t>
            </w:r>
            <w:r w:rsidRPr="002E1A14">
              <w:rPr>
                <w:rFonts w:ascii="Calibri" w:hAnsi="Calibri" w:cs="Calibri"/>
                <w:color w:val="000000"/>
                <w:sz w:val="16"/>
                <w:szCs w:val="16"/>
                <w:lang w:eastAsia="en-AU"/>
              </w:rPr>
              <w:t>ercentage by which the conversion factor over or under estimates the weight of imports</w:t>
            </w:r>
          </w:p>
        </w:tc>
        <w:tc>
          <w:tcPr>
            <w:tcW w:w="1120" w:type="dxa"/>
            <w:tcBorders>
              <w:top w:val="nil"/>
              <w:left w:val="nil"/>
              <w:bottom w:val="single" w:sz="4" w:space="0" w:color="auto"/>
              <w:right w:val="single" w:sz="4" w:space="0" w:color="auto"/>
            </w:tcBorders>
            <w:shd w:val="clear" w:color="auto" w:fill="auto"/>
            <w:noWrap/>
            <w:vAlign w:val="center"/>
          </w:tcPr>
          <w:p w:rsidR="00B70C28" w:rsidRDefault="00B70C28">
            <w:pPr>
              <w:jc w:val="center"/>
              <w:rPr>
                <w:rFonts w:ascii="Calibri" w:hAnsi="Calibri" w:cs="Calibri"/>
                <w:color w:val="000000"/>
                <w:sz w:val="16"/>
                <w:szCs w:val="16"/>
              </w:rPr>
            </w:pPr>
            <w:r>
              <w:rPr>
                <w:rFonts w:ascii="Calibri" w:hAnsi="Calibri" w:cs="Calibri"/>
                <w:color w:val="000000"/>
                <w:sz w:val="16"/>
                <w:szCs w:val="16"/>
              </w:rPr>
              <w:t>0%</w:t>
            </w:r>
          </w:p>
        </w:tc>
        <w:tc>
          <w:tcPr>
            <w:tcW w:w="1120" w:type="dxa"/>
            <w:tcBorders>
              <w:top w:val="nil"/>
              <w:left w:val="nil"/>
              <w:bottom w:val="single" w:sz="4" w:space="0" w:color="auto"/>
              <w:right w:val="single" w:sz="4" w:space="0" w:color="auto"/>
            </w:tcBorders>
            <w:shd w:val="clear" w:color="auto" w:fill="auto"/>
            <w:noWrap/>
            <w:vAlign w:val="center"/>
          </w:tcPr>
          <w:p w:rsidR="00B70C28" w:rsidRDefault="00B70C28">
            <w:pPr>
              <w:jc w:val="center"/>
              <w:rPr>
                <w:rFonts w:ascii="Calibri" w:hAnsi="Calibri" w:cs="Calibri"/>
                <w:color w:val="000000"/>
                <w:sz w:val="16"/>
                <w:szCs w:val="16"/>
              </w:rPr>
            </w:pPr>
            <w:r>
              <w:rPr>
                <w:rFonts w:ascii="Calibri" w:hAnsi="Calibri" w:cs="Calibri"/>
                <w:color w:val="000000"/>
                <w:sz w:val="16"/>
                <w:szCs w:val="16"/>
              </w:rPr>
              <w:t>-34%</w:t>
            </w:r>
          </w:p>
        </w:tc>
        <w:tc>
          <w:tcPr>
            <w:tcW w:w="1120" w:type="dxa"/>
            <w:tcBorders>
              <w:top w:val="nil"/>
              <w:left w:val="nil"/>
              <w:bottom w:val="single" w:sz="4" w:space="0" w:color="auto"/>
              <w:right w:val="single" w:sz="4" w:space="0" w:color="auto"/>
            </w:tcBorders>
            <w:shd w:val="clear" w:color="auto" w:fill="auto"/>
            <w:noWrap/>
            <w:vAlign w:val="center"/>
          </w:tcPr>
          <w:p w:rsidR="00B70C28" w:rsidRDefault="00B70C28">
            <w:pPr>
              <w:jc w:val="center"/>
              <w:rPr>
                <w:rFonts w:ascii="Calibri" w:hAnsi="Calibri" w:cs="Calibri"/>
                <w:color w:val="000000"/>
                <w:sz w:val="16"/>
                <w:szCs w:val="16"/>
              </w:rPr>
            </w:pPr>
            <w:r>
              <w:rPr>
                <w:rFonts w:ascii="Calibri" w:hAnsi="Calibri" w:cs="Calibri"/>
                <w:color w:val="000000"/>
                <w:sz w:val="16"/>
                <w:szCs w:val="16"/>
              </w:rPr>
              <w:t>10%</w:t>
            </w:r>
          </w:p>
        </w:tc>
      </w:tr>
    </w:tbl>
    <w:p w:rsidR="00D57A36" w:rsidRDefault="00D57A36" w:rsidP="002A2753">
      <w:pPr>
        <w:jc w:val="both"/>
        <w:rPr>
          <w:szCs w:val="22"/>
        </w:rPr>
      </w:pPr>
    </w:p>
    <w:p w:rsidR="00FF234C" w:rsidRDefault="00FF234C" w:rsidP="002A2753">
      <w:pPr>
        <w:jc w:val="both"/>
        <w:rPr>
          <w:b/>
          <w:szCs w:val="22"/>
        </w:rPr>
      </w:pPr>
    </w:p>
    <w:p w:rsidR="001A78F2" w:rsidRDefault="005A3097">
      <w:pPr>
        <w:rPr>
          <w:szCs w:val="22"/>
        </w:rPr>
      </w:pPr>
      <w:r w:rsidRPr="005A3097">
        <w:rPr>
          <w:b/>
          <w:szCs w:val="22"/>
        </w:rPr>
        <w:t xml:space="preserve">Distribution: </w:t>
      </w:r>
      <w:r>
        <w:rPr>
          <w:szCs w:val="22"/>
        </w:rPr>
        <w:t xml:space="preserve">Imports </w:t>
      </w:r>
      <w:r w:rsidR="00C56418">
        <w:rPr>
          <w:szCs w:val="22"/>
        </w:rPr>
        <w:t xml:space="preserve">are </w:t>
      </w:r>
      <w:r>
        <w:rPr>
          <w:szCs w:val="22"/>
        </w:rPr>
        <w:t>heavily clustered within the 0-</w:t>
      </w:r>
      <w:r w:rsidR="00B70C28">
        <w:rPr>
          <w:szCs w:val="22"/>
        </w:rPr>
        <w:t>15</w:t>
      </w:r>
      <w:r>
        <w:rPr>
          <w:szCs w:val="22"/>
        </w:rPr>
        <w:t xml:space="preserve"> kg weight range, with a few outliers at greater than 100 kg.</w:t>
      </w:r>
      <w:r w:rsidR="001E0B4D" w:rsidRPr="001E0B4D">
        <w:rPr>
          <w:szCs w:val="22"/>
        </w:rPr>
        <w:t xml:space="preserve"> </w:t>
      </w:r>
      <w:r w:rsidR="001E0B4D">
        <w:rPr>
          <w:szCs w:val="22"/>
        </w:rPr>
        <w:t xml:space="preserve">Most imports </w:t>
      </w:r>
      <w:r w:rsidR="00C56418">
        <w:rPr>
          <w:szCs w:val="22"/>
        </w:rPr>
        <w:t xml:space="preserve">are </w:t>
      </w:r>
      <w:r w:rsidR="001E0B4D">
        <w:rPr>
          <w:szCs w:val="22"/>
        </w:rPr>
        <w:t xml:space="preserve">likely to be within or close to the proposed confidence interval. </w:t>
      </w:r>
    </w:p>
    <w:p w:rsidR="001A78F2" w:rsidRDefault="003C2D52">
      <w:pPr>
        <w:rPr>
          <w:szCs w:val="22"/>
        </w:rPr>
      </w:pPr>
      <w:r>
        <w:rPr>
          <w:b/>
          <w:szCs w:val="22"/>
        </w:rPr>
        <w:t xml:space="preserve">Proposed conversion factor: </w:t>
      </w:r>
      <w:r w:rsidRPr="005A3097">
        <w:rPr>
          <w:szCs w:val="22"/>
        </w:rPr>
        <w:t>8.7</w:t>
      </w:r>
      <w:r>
        <w:rPr>
          <w:szCs w:val="22"/>
        </w:rPr>
        <w:t xml:space="preserve"> </w:t>
      </w:r>
      <w:r w:rsidRPr="005A3097">
        <w:rPr>
          <w:szCs w:val="22"/>
        </w:rPr>
        <w:t>kg</w:t>
      </w:r>
    </w:p>
    <w:p w:rsidR="001A78F2" w:rsidRDefault="003C2D52">
      <w:pPr>
        <w:rPr>
          <w:szCs w:val="22"/>
        </w:rPr>
      </w:pPr>
      <w:r>
        <w:rPr>
          <w:b/>
          <w:szCs w:val="22"/>
        </w:rPr>
        <w:t xml:space="preserve">Proposed confidence interval: </w:t>
      </w:r>
      <w:r w:rsidR="00B70C28">
        <w:rPr>
          <w:szCs w:val="22"/>
        </w:rPr>
        <w:t xml:space="preserve">&gt; 3.6 kg, &lt; 16.2 kg </w:t>
      </w:r>
    </w:p>
    <w:p w:rsidR="001A78F2" w:rsidRDefault="00C62346">
      <w:pPr>
        <w:rPr>
          <w:szCs w:val="22"/>
        </w:rPr>
      </w:pPr>
      <w:r>
        <w:rPr>
          <w:b/>
          <w:szCs w:val="22"/>
        </w:rPr>
        <w:t xml:space="preserve">Variation over time: </w:t>
      </w:r>
      <w:r w:rsidR="00112A79">
        <w:rPr>
          <w:szCs w:val="22"/>
        </w:rPr>
        <w:t>High</w:t>
      </w:r>
    </w:p>
    <w:p w:rsidR="00B70C28" w:rsidRPr="00B70C28" w:rsidRDefault="00B70C28">
      <w:pPr>
        <w:rPr>
          <w:szCs w:val="22"/>
        </w:rPr>
      </w:pPr>
    </w:p>
    <w:p w:rsidR="00B70C28" w:rsidRDefault="00B70C28">
      <w:pPr>
        <w:rPr>
          <w:szCs w:val="22"/>
        </w:rPr>
      </w:pPr>
    </w:p>
    <w:p w:rsidR="00B70C28" w:rsidRDefault="00B70C28">
      <w:pPr>
        <w:rPr>
          <w:szCs w:val="22"/>
        </w:rPr>
      </w:pPr>
    </w:p>
    <w:p w:rsidR="003C2D52" w:rsidRDefault="003C2D52" w:rsidP="002A2753">
      <w:pPr>
        <w:jc w:val="both"/>
        <w:rPr>
          <w:b/>
          <w:szCs w:val="22"/>
        </w:rPr>
      </w:pPr>
    </w:p>
    <w:p w:rsidR="00B70C28" w:rsidRDefault="00B70C28">
      <w:pPr>
        <w:rPr>
          <w:b/>
          <w:szCs w:val="22"/>
        </w:rPr>
      </w:pPr>
      <w:r>
        <w:rPr>
          <w:b/>
          <w:szCs w:val="22"/>
        </w:rPr>
        <w:lastRenderedPageBreak/>
        <w:br w:type="page"/>
      </w:r>
    </w:p>
    <w:p w:rsidR="004360E0" w:rsidRDefault="00B70C28" w:rsidP="002A2753">
      <w:pPr>
        <w:jc w:val="both"/>
        <w:rPr>
          <w:rFonts w:ascii="Arial" w:hAnsi="Arial" w:cs="Arial"/>
          <w:b/>
          <w:bCs/>
          <w:color w:val="000000"/>
          <w:szCs w:val="22"/>
          <w:lang w:eastAsia="en-AU"/>
        </w:rPr>
      </w:pPr>
      <w:r w:rsidRPr="003C2D52">
        <w:rPr>
          <w:rFonts w:ascii="Arial" w:hAnsi="Arial" w:cs="Arial"/>
          <w:b/>
          <w:bCs/>
          <w:color w:val="000000"/>
          <w:szCs w:val="22"/>
          <w:lang w:eastAsia="en-AU"/>
        </w:rPr>
        <w:t>SC07 8443.31.00 64 - MFDs: Laser</w:t>
      </w:r>
    </w:p>
    <w:p w:rsidR="004360E0" w:rsidRDefault="004360E0" w:rsidP="002A2753">
      <w:pPr>
        <w:jc w:val="both"/>
        <w:rPr>
          <w:b/>
          <w:szCs w:val="22"/>
        </w:rPr>
      </w:pPr>
    </w:p>
    <w:p w:rsidR="00DF6D71" w:rsidRPr="00DF6D71" w:rsidRDefault="002652C5" w:rsidP="008E7E0B">
      <w:pPr>
        <w:pStyle w:val="Caption"/>
        <w:keepNext/>
      </w:pPr>
      <w:r>
        <w:t>Figure 5-3</w:t>
      </w:r>
      <w:r w:rsidR="00DF6D71">
        <w:t>a</w:t>
      </w:r>
      <w:r>
        <w:t xml:space="preserve"> </w:t>
      </w:r>
      <w:r w:rsidR="004360E0">
        <w:t xml:space="preserve"> </w:t>
      </w:r>
      <w:r w:rsidR="00AC1355">
        <w:t>HTISC frequency distribution in CF year</w:t>
      </w:r>
      <w:r w:rsidR="00CF23D0">
        <w:t xml:space="preserve"> </w:t>
      </w:r>
      <w:r w:rsidR="00DF6D71">
        <w:t>– original</w:t>
      </w:r>
      <w:r w:rsidR="008E7E0B">
        <w:t xml:space="preserve"> data set</w:t>
      </w:r>
    </w:p>
    <w:p w:rsidR="00700380" w:rsidRDefault="00700380" w:rsidP="002A2753">
      <w:pPr>
        <w:jc w:val="both"/>
        <w:rPr>
          <w:b/>
          <w:szCs w:val="22"/>
        </w:rPr>
      </w:pPr>
      <w:r w:rsidRPr="00700380">
        <w:rPr>
          <w:b/>
          <w:noProof/>
          <w:szCs w:val="22"/>
          <w:lang w:eastAsia="en-AU"/>
        </w:rPr>
        <w:drawing>
          <wp:inline distT="0" distB="0" distL="0" distR="0">
            <wp:extent cx="4889500" cy="2984500"/>
            <wp:effectExtent l="19050" t="0" r="25400" b="6350"/>
            <wp:docPr id="6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00380" w:rsidRDefault="00700380" w:rsidP="002A2753">
      <w:pPr>
        <w:jc w:val="both"/>
        <w:rPr>
          <w:b/>
          <w:szCs w:val="22"/>
        </w:rPr>
      </w:pPr>
    </w:p>
    <w:p w:rsidR="00C61E41" w:rsidRDefault="00C61E41" w:rsidP="002A2753">
      <w:pPr>
        <w:jc w:val="both"/>
        <w:rPr>
          <w:b/>
          <w:szCs w:val="22"/>
        </w:rPr>
      </w:pPr>
    </w:p>
    <w:p w:rsidR="00700380" w:rsidRDefault="00700380" w:rsidP="002A2753">
      <w:pPr>
        <w:jc w:val="both"/>
        <w:rPr>
          <w:b/>
          <w:szCs w:val="22"/>
        </w:rPr>
      </w:pPr>
    </w:p>
    <w:p w:rsidR="00DF6D71" w:rsidRPr="008E7E0B" w:rsidRDefault="00207129" w:rsidP="008E7E0B">
      <w:pPr>
        <w:pStyle w:val="Caption"/>
        <w:keepNext/>
      </w:pPr>
      <w:r>
        <w:t>Table 5-2</w:t>
      </w:r>
      <w:r w:rsidR="00DF6D71">
        <w:t>a</w:t>
      </w:r>
      <w:r>
        <w:t xml:space="preserve">  </w:t>
      </w:r>
      <w:r w:rsidR="00D73340">
        <w:t>Conversion factor statistics</w:t>
      </w:r>
      <w:r w:rsidR="008E7E0B">
        <w:t xml:space="preserve"> - original</w:t>
      </w:r>
      <w:r w:rsidR="008E7E0B" w:rsidRPr="008E7E0B">
        <w:t xml:space="preserve"> </w:t>
      </w:r>
      <w:r w:rsidR="008E7E0B">
        <w:t>data set</w:t>
      </w:r>
    </w:p>
    <w:tbl>
      <w:tblPr>
        <w:tblW w:w="7260" w:type="dxa"/>
        <w:tblInd w:w="93" w:type="dxa"/>
        <w:tblLook w:val="04A0"/>
      </w:tblPr>
      <w:tblGrid>
        <w:gridCol w:w="1660"/>
        <w:gridCol w:w="1120"/>
        <w:gridCol w:w="1120"/>
        <w:gridCol w:w="1120"/>
        <w:gridCol w:w="1120"/>
        <w:gridCol w:w="1120"/>
      </w:tblGrid>
      <w:tr w:rsidR="008E7E0B" w:rsidRPr="003C2D52" w:rsidTr="005F7771">
        <w:trPr>
          <w:trHeight w:val="450"/>
        </w:trPr>
        <w:tc>
          <w:tcPr>
            <w:tcW w:w="166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8E7E0B" w:rsidRPr="003C2D52" w:rsidRDefault="008E7E0B" w:rsidP="005F7771">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CF year</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8E7E0B" w:rsidRPr="003C2D52" w:rsidRDefault="008E7E0B" w:rsidP="005F7771">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No. of ABS imports</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8E7E0B" w:rsidRPr="003C2D52" w:rsidRDefault="008E7E0B" w:rsidP="005F7771">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 ABS imports included</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8E7E0B" w:rsidRPr="003C2D52" w:rsidRDefault="008E7E0B" w:rsidP="005F7771">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Min weight</w:t>
            </w:r>
            <w:r w:rsidRPr="003C2D52">
              <w:rPr>
                <w:rFonts w:ascii="Calibri" w:hAnsi="Calibri" w:cs="Calibri"/>
                <w:color w:val="000000"/>
                <w:sz w:val="16"/>
                <w:szCs w:val="16"/>
                <w:lang w:eastAsia="en-AU"/>
              </w:rPr>
              <w:br/>
              <w:t>(kg)</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8E7E0B" w:rsidRPr="003C2D52" w:rsidRDefault="008E7E0B" w:rsidP="005F7771">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Max weight (kg)</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8E7E0B" w:rsidRPr="003C2D52" w:rsidRDefault="008E7E0B" w:rsidP="005F7771">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Standard deviation</w:t>
            </w:r>
          </w:p>
        </w:tc>
      </w:tr>
      <w:tr w:rsidR="008E7E0B" w:rsidRPr="003C2D52" w:rsidTr="005F7771">
        <w:trPr>
          <w:trHeight w:val="22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E7E0B" w:rsidRPr="003C2D52" w:rsidRDefault="008E7E0B" w:rsidP="005F7771">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2010-11</w:t>
            </w:r>
          </w:p>
        </w:tc>
        <w:tc>
          <w:tcPr>
            <w:tcW w:w="1120" w:type="dxa"/>
            <w:tcBorders>
              <w:top w:val="nil"/>
              <w:left w:val="nil"/>
              <w:bottom w:val="single" w:sz="4" w:space="0" w:color="auto"/>
              <w:right w:val="single" w:sz="4" w:space="0" w:color="auto"/>
            </w:tcBorders>
            <w:shd w:val="clear" w:color="auto" w:fill="auto"/>
            <w:noWrap/>
            <w:vAlign w:val="center"/>
            <w:hideMark/>
          </w:tcPr>
          <w:p w:rsidR="008E7E0B" w:rsidRPr="003C2D52" w:rsidRDefault="008E7E0B" w:rsidP="005F7771">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142,982</w:t>
            </w:r>
          </w:p>
        </w:tc>
        <w:tc>
          <w:tcPr>
            <w:tcW w:w="1120" w:type="dxa"/>
            <w:tcBorders>
              <w:top w:val="nil"/>
              <w:left w:val="nil"/>
              <w:bottom w:val="single" w:sz="4" w:space="0" w:color="auto"/>
              <w:right w:val="single" w:sz="4" w:space="0" w:color="auto"/>
            </w:tcBorders>
            <w:shd w:val="clear" w:color="auto" w:fill="auto"/>
            <w:noWrap/>
            <w:vAlign w:val="center"/>
            <w:hideMark/>
          </w:tcPr>
          <w:p w:rsidR="008E7E0B" w:rsidRPr="003C2D52" w:rsidRDefault="008E7E0B" w:rsidP="005F7771">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41%</w:t>
            </w:r>
          </w:p>
        </w:tc>
        <w:tc>
          <w:tcPr>
            <w:tcW w:w="1120" w:type="dxa"/>
            <w:tcBorders>
              <w:top w:val="nil"/>
              <w:left w:val="nil"/>
              <w:bottom w:val="single" w:sz="4" w:space="0" w:color="auto"/>
              <w:right w:val="single" w:sz="4" w:space="0" w:color="auto"/>
            </w:tcBorders>
            <w:shd w:val="clear" w:color="auto" w:fill="auto"/>
            <w:noWrap/>
            <w:vAlign w:val="center"/>
            <w:hideMark/>
          </w:tcPr>
          <w:p w:rsidR="008E7E0B" w:rsidRPr="003C2D52" w:rsidRDefault="003D5CA6" w:rsidP="005F7771">
            <w:pPr>
              <w:jc w:val="center"/>
              <w:rPr>
                <w:rFonts w:ascii="Calibri" w:hAnsi="Calibri" w:cs="Calibri"/>
                <w:color w:val="000000"/>
                <w:sz w:val="16"/>
                <w:szCs w:val="16"/>
                <w:lang w:eastAsia="en-AU"/>
              </w:rPr>
            </w:pPr>
            <w:r>
              <w:rPr>
                <w:rFonts w:ascii="Calibri" w:hAnsi="Calibri" w:cs="Calibri"/>
                <w:color w:val="000000"/>
                <w:sz w:val="16"/>
                <w:szCs w:val="16"/>
                <w:lang w:eastAsia="en-AU"/>
              </w:rPr>
              <w:t>6.7</w:t>
            </w:r>
          </w:p>
        </w:tc>
        <w:tc>
          <w:tcPr>
            <w:tcW w:w="1120" w:type="dxa"/>
            <w:tcBorders>
              <w:top w:val="nil"/>
              <w:left w:val="nil"/>
              <w:bottom w:val="single" w:sz="4" w:space="0" w:color="auto"/>
              <w:right w:val="single" w:sz="4" w:space="0" w:color="auto"/>
            </w:tcBorders>
            <w:shd w:val="clear" w:color="auto" w:fill="auto"/>
            <w:noWrap/>
            <w:vAlign w:val="center"/>
            <w:hideMark/>
          </w:tcPr>
          <w:p w:rsidR="008E7E0B" w:rsidRPr="003C2D52" w:rsidRDefault="008E7E0B" w:rsidP="005F7771">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342.0</w:t>
            </w:r>
          </w:p>
        </w:tc>
        <w:tc>
          <w:tcPr>
            <w:tcW w:w="1120" w:type="dxa"/>
            <w:tcBorders>
              <w:top w:val="nil"/>
              <w:left w:val="nil"/>
              <w:bottom w:val="single" w:sz="4" w:space="0" w:color="auto"/>
              <w:right w:val="single" w:sz="4" w:space="0" w:color="auto"/>
            </w:tcBorders>
            <w:shd w:val="clear" w:color="auto" w:fill="auto"/>
            <w:noWrap/>
            <w:vAlign w:val="center"/>
            <w:hideMark/>
          </w:tcPr>
          <w:p w:rsidR="008E7E0B" w:rsidRPr="003C2D52" w:rsidRDefault="008E7E0B" w:rsidP="005F7771">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1.7</w:t>
            </w:r>
          </w:p>
        </w:tc>
      </w:tr>
      <w:tr w:rsidR="008E7E0B" w:rsidRPr="003C2D52" w:rsidTr="005F7771">
        <w:trPr>
          <w:trHeight w:val="225"/>
        </w:trPr>
        <w:tc>
          <w:tcPr>
            <w:tcW w:w="1660" w:type="dxa"/>
            <w:tcBorders>
              <w:top w:val="nil"/>
              <w:left w:val="nil"/>
              <w:bottom w:val="nil"/>
              <w:right w:val="nil"/>
            </w:tcBorders>
            <w:shd w:val="clear" w:color="auto" w:fill="auto"/>
            <w:noWrap/>
            <w:vAlign w:val="bottom"/>
            <w:hideMark/>
          </w:tcPr>
          <w:p w:rsidR="008E7E0B" w:rsidRPr="003C2D52" w:rsidRDefault="008E7E0B" w:rsidP="005F7771">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8E7E0B" w:rsidRPr="003C2D52" w:rsidRDefault="008E7E0B" w:rsidP="005F7771">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8E7E0B" w:rsidRPr="003C2D52" w:rsidRDefault="008E7E0B" w:rsidP="005F7771">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8E7E0B" w:rsidRPr="003C2D52" w:rsidRDefault="008E7E0B" w:rsidP="005F7771">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8E7E0B" w:rsidRPr="003C2D52" w:rsidRDefault="008E7E0B" w:rsidP="005F7771">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8E7E0B" w:rsidRPr="003C2D52" w:rsidRDefault="008E7E0B" w:rsidP="005F7771">
            <w:pPr>
              <w:rPr>
                <w:rFonts w:ascii="Calibri" w:hAnsi="Calibri" w:cs="Calibri"/>
                <w:color w:val="000000"/>
                <w:sz w:val="16"/>
                <w:szCs w:val="16"/>
                <w:lang w:eastAsia="en-AU"/>
              </w:rPr>
            </w:pPr>
          </w:p>
        </w:tc>
      </w:tr>
      <w:tr w:rsidR="008E7E0B" w:rsidRPr="003C2D52" w:rsidTr="005F7771">
        <w:trPr>
          <w:trHeight w:val="450"/>
        </w:trPr>
        <w:tc>
          <w:tcPr>
            <w:tcW w:w="1660" w:type="dxa"/>
            <w:tcBorders>
              <w:top w:val="single" w:sz="4" w:space="0" w:color="auto"/>
              <w:left w:val="single" w:sz="4" w:space="0" w:color="auto"/>
              <w:bottom w:val="nil"/>
              <w:right w:val="single" w:sz="4" w:space="0" w:color="auto"/>
            </w:tcBorders>
            <w:shd w:val="clear" w:color="000000" w:fill="D8D8D8"/>
            <w:vAlign w:val="center"/>
            <w:hideMark/>
          </w:tcPr>
          <w:p w:rsidR="008E7E0B" w:rsidRPr="003C2D52" w:rsidRDefault="008E7E0B" w:rsidP="005F7771">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Method</w:t>
            </w:r>
          </w:p>
        </w:tc>
        <w:tc>
          <w:tcPr>
            <w:tcW w:w="1120" w:type="dxa"/>
            <w:tcBorders>
              <w:top w:val="single" w:sz="4" w:space="0" w:color="auto"/>
              <w:left w:val="nil"/>
              <w:bottom w:val="nil"/>
              <w:right w:val="single" w:sz="4" w:space="0" w:color="auto"/>
            </w:tcBorders>
            <w:shd w:val="clear" w:color="000000" w:fill="D8D8D8"/>
            <w:vAlign w:val="center"/>
            <w:hideMark/>
          </w:tcPr>
          <w:p w:rsidR="008E7E0B" w:rsidRPr="003C2D52" w:rsidRDefault="008E7E0B" w:rsidP="005F7771">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Measure of average</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8E7E0B" w:rsidRPr="003C2D52" w:rsidRDefault="008E7E0B" w:rsidP="005F7771">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Average weight (kg)</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8E7E0B" w:rsidRPr="003C2D52" w:rsidRDefault="008E7E0B" w:rsidP="005F7771">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Lower limit (kg)</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8E7E0B" w:rsidRPr="003C2D52" w:rsidRDefault="008E7E0B" w:rsidP="005F7771">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Upper limit (kg)</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8E7E0B" w:rsidRPr="003C2D52" w:rsidRDefault="008E7E0B" w:rsidP="005F7771">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Confidence interval ± (kg)</w:t>
            </w:r>
          </w:p>
        </w:tc>
      </w:tr>
      <w:tr w:rsidR="008E7E0B" w:rsidRPr="003C2D52" w:rsidTr="005F7771">
        <w:trPr>
          <w:trHeight w:val="48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7E0B" w:rsidRPr="003C2D52" w:rsidRDefault="008E7E0B" w:rsidP="005F7771">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Approximation to the normal distribution</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8E7E0B" w:rsidRPr="003C2D52" w:rsidRDefault="008E7E0B" w:rsidP="005F7771">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Mean</w:t>
            </w:r>
          </w:p>
        </w:tc>
        <w:tc>
          <w:tcPr>
            <w:tcW w:w="1120" w:type="dxa"/>
            <w:tcBorders>
              <w:top w:val="nil"/>
              <w:left w:val="nil"/>
              <w:bottom w:val="single" w:sz="4" w:space="0" w:color="auto"/>
              <w:right w:val="single" w:sz="4" w:space="0" w:color="auto"/>
            </w:tcBorders>
            <w:shd w:val="clear" w:color="auto" w:fill="auto"/>
            <w:noWrap/>
            <w:vAlign w:val="center"/>
            <w:hideMark/>
          </w:tcPr>
          <w:p w:rsidR="008E7E0B" w:rsidRPr="003C2D52" w:rsidRDefault="008E7E0B" w:rsidP="005F7771">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58.0</w:t>
            </w:r>
          </w:p>
        </w:tc>
        <w:tc>
          <w:tcPr>
            <w:tcW w:w="1120" w:type="dxa"/>
            <w:tcBorders>
              <w:top w:val="nil"/>
              <w:left w:val="nil"/>
              <w:bottom w:val="single" w:sz="4" w:space="0" w:color="auto"/>
              <w:right w:val="single" w:sz="4" w:space="0" w:color="auto"/>
            </w:tcBorders>
            <w:shd w:val="clear" w:color="auto" w:fill="auto"/>
            <w:noWrap/>
            <w:vAlign w:val="center"/>
            <w:hideMark/>
          </w:tcPr>
          <w:p w:rsidR="008E7E0B" w:rsidRPr="003C2D52" w:rsidRDefault="008E7E0B" w:rsidP="005F7771">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54.7</w:t>
            </w:r>
          </w:p>
        </w:tc>
        <w:tc>
          <w:tcPr>
            <w:tcW w:w="1120" w:type="dxa"/>
            <w:tcBorders>
              <w:top w:val="nil"/>
              <w:left w:val="nil"/>
              <w:bottom w:val="single" w:sz="4" w:space="0" w:color="auto"/>
              <w:right w:val="single" w:sz="4" w:space="0" w:color="auto"/>
            </w:tcBorders>
            <w:shd w:val="clear" w:color="auto" w:fill="auto"/>
            <w:noWrap/>
            <w:vAlign w:val="center"/>
            <w:hideMark/>
          </w:tcPr>
          <w:p w:rsidR="008E7E0B" w:rsidRPr="003C2D52" w:rsidRDefault="008E7E0B" w:rsidP="005F7771">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61.4</w:t>
            </w:r>
          </w:p>
        </w:tc>
        <w:tc>
          <w:tcPr>
            <w:tcW w:w="1120" w:type="dxa"/>
            <w:tcBorders>
              <w:top w:val="nil"/>
              <w:left w:val="nil"/>
              <w:bottom w:val="single" w:sz="4" w:space="0" w:color="auto"/>
              <w:right w:val="single" w:sz="4" w:space="0" w:color="auto"/>
            </w:tcBorders>
            <w:shd w:val="clear" w:color="auto" w:fill="auto"/>
            <w:noWrap/>
            <w:vAlign w:val="center"/>
            <w:hideMark/>
          </w:tcPr>
          <w:p w:rsidR="008E7E0B" w:rsidRPr="003C2D52" w:rsidRDefault="008E7E0B" w:rsidP="005F7771">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3.3</w:t>
            </w:r>
          </w:p>
        </w:tc>
      </w:tr>
      <w:tr w:rsidR="008E7E0B" w:rsidRPr="003C2D52" w:rsidTr="005F7771">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8E7E0B" w:rsidRPr="003C2D52" w:rsidRDefault="008E7E0B" w:rsidP="005F7771">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Use of percentiles</w:t>
            </w:r>
          </w:p>
        </w:tc>
        <w:tc>
          <w:tcPr>
            <w:tcW w:w="1120" w:type="dxa"/>
            <w:tcBorders>
              <w:top w:val="nil"/>
              <w:left w:val="nil"/>
              <w:bottom w:val="single" w:sz="4" w:space="0" w:color="auto"/>
              <w:right w:val="single" w:sz="4" w:space="0" w:color="auto"/>
            </w:tcBorders>
            <w:shd w:val="clear" w:color="auto" w:fill="auto"/>
            <w:vAlign w:val="center"/>
            <w:hideMark/>
          </w:tcPr>
          <w:p w:rsidR="008E7E0B" w:rsidRPr="003C2D52" w:rsidRDefault="008E7E0B" w:rsidP="005F7771">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Median</w:t>
            </w:r>
          </w:p>
        </w:tc>
        <w:tc>
          <w:tcPr>
            <w:tcW w:w="1120" w:type="dxa"/>
            <w:tcBorders>
              <w:top w:val="nil"/>
              <w:left w:val="nil"/>
              <w:bottom w:val="single" w:sz="4" w:space="0" w:color="auto"/>
              <w:right w:val="single" w:sz="4" w:space="0" w:color="auto"/>
            </w:tcBorders>
            <w:shd w:val="clear" w:color="auto" w:fill="auto"/>
            <w:noWrap/>
            <w:vAlign w:val="center"/>
            <w:hideMark/>
          </w:tcPr>
          <w:p w:rsidR="008E7E0B" w:rsidRPr="003C2D52" w:rsidRDefault="008E7E0B" w:rsidP="005F7771">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150.9</w:t>
            </w:r>
          </w:p>
        </w:tc>
        <w:tc>
          <w:tcPr>
            <w:tcW w:w="1120" w:type="dxa"/>
            <w:tcBorders>
              <w:top w:val="nil"/>
              <w:left w:val="nil"/>
              <w:bottom w:val="single" w:sz="4" w:space="0" w:color="auto"/>
              <w:right w:val="single" w:sz="4" w:space="0" w:color="auto"/>
            </w:tcBorders>
            <w:shd w:val="clear" w:color="auto" w:fill="auto"/>
            <w:noWrap/>
            <w:vAlign w:val="center"/>
            <w:hideMark/>
          </w:tcPr>
          <w:p w:rsidR="008E7E0B" w:rsidRPr="003C2D52" w:rsidRDefault="008E7E0B" w:rsidP="005F7771">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6.5</w:t>
            </w:r>
          </w:p>
        </w:tc>
        <w:tc>
          <w:tcPr>
            <w:tcW w:w="1120" w:type="dxa"/>
            <w:tcBorders>
              <w:top w:val="nil"/>
              <w:left w:val="nil"/>
              <w:bottom w:val="single" w:sz="4" w:space="0" w:color="auto"/>
              <w:right w:val="single" w:sz="4" w:space="0" w:color="auto"/>
            </w:tcBorders>
            <w:shd w:val="clear" w:color="auto" w:fill="auto"/>
            <w:noWrap/>
            <w:vAlign w:val="center"/>
            <w:hideMark/>
          </w:tcPr>
          <w:p w:rsidR="008E7E0B" w:rsidRPr="003C2D52" w:rsidRDefault="008E7E0B" w:rsidP="005F7771">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304.0</w:t>
            </w:r>
          </w:p>
        </w:tc>
        <w:tc>
          <w:tcPr>
            <w:tcW w:w="1120" w:type="dxa"/>
            <w:tcBorders>
              <w:top w:val="nil"/>
              <w:left w:val="nil"/>
              <w:bottom w:val="single" w:sz="4" w:space="0" w:color="auto"/>
              <w:right w:val="single" w:sz="4" w:space="0" w:color="auto"/>
            </w:tcBorders>
            <w:shd w:val="clear" w:color="auto" w:fill="auto"/>
            <w:noWrap/>
            <w:vAlign w:val="center"/>
            <w:hideMark/>
          </w:tcPr>
          <w:p w:rsidR="008E7E0B" w:rsidRPr="003C2D52" w:rsidRDefault="008E7E0B" w:rsidP="005F7771">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153.1</w:t>
            </w:r>
          </w:p>
        </w:tc>
      </w:tr>
      <w:tr w:rsidR="008E7E0B" w:rsidRPr="003C2D52" w:rsidTr="005F7771">
        <w:trPr>
          <w:trHeight w:val="225"/>
        </w:trPr>
        <w:tc>
          <w:tcPr>
            <w:tcW w:w="1660" w:type="dxa"/>
            <w:tcBorders>
              <w:top w:val="nil"/>
              <w:left w:val="nil"/>
              <w:bottom w:val="nil"/>
              <w:right w:val="nil"/>
            </w:tcBorders>
            <w:shd w:val="clear" w:color="auto" w:fill="auto"/>
            <w:noWrap/>
            <w:vAlign w:val="bottom"/>
            <w:hideMark/>
          </w:tcPr>
          <w:p w:rsidR="008E7E0B" w:rsidRPr="003C2D52" w:rsidRDefault="008E7E0B" w:rsidP="005F7771">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8E7E0B" w:rsidRPr="003C2D52" w:rsidRDefault="008E7E0B" w:rsidP="005F7771">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8E7E0B" w:rsidRPr="003C2D52" w:rsidRDefault="008E7E0B" w:rsidP="005F7771">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8E7E0B" w:rsidRPr="003C2D52" w:rsidRDefault="008E7E0B" w:rsidP="005F7771">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8E7E0B" w:rsidRPr="003C2D52" w:rsidRDefault="008E7E0B" w:rsidP="005F7771">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8E7E0B" w:rsidRPr="003C2D52" w:rsidRDefault="008E7E0B" w:rsidP="005F7771">
            <w:pPr>
              <w:rPr>
                <w:rFonts w:ascii="Calibri" w:hAnsi="Calibri" w:cs="Calibri"/>
                <w:color w:val="000000"/>
                <w:sz w:val="16"/>
                <w:szCs w:val="16"/>
                <w:lang w:eastAsia="en-AU"/>
              </w:rPr>
            </w:pPr>
          </w:p>
        </w:tc>
      </w:tr>
      <w:tr w:rsidR="008E7E0B" w:rsidRPr="003C2D52" w:rsidTr="005F7771">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8E7E0B" w:rsidRPr="003C2D52" w:rsidRDefault="008E7E0B" w:rsidP="005F7771">
            <w:pPr>
              <w:rPr>
                <w:rFonts w:ascii="Calibri" w:hAnsi="Calibri" w:cs="Calibri"/>
                <w:color w:val="000000"/>
                <w:sz w:val="16"/>
                <w:szCs w:val="16"/>
                <w:lang w:eastAsia="en-AU"/>
              </w:rPr>
            </w:pPr>
            <w:r w:rsidRPr="003C2D52">
              <w:rPr>
                <w:rFonts w:ascii="Calibri" w:hAnsi="Calibri" w:cs="Calibri"/>
                <w:color w:val="000000"/>
                <w:sz w:val="16"/>
                <w:szCs w:val="16"/>
                <w:lang w:eastAsia="en-AU"/>
              </w:rPr>
              <w:t>Year</w:t>
            </w:r>
          </w:p>
        </w:tc>
        <w:tc>
          <w:tcPr>
            <w:tcW w:w="1120" w:type="dxa"/>
            <w:tcBorders>
              <w:top w:val="single" w:sz="4" w:space="0" w:color="auto"/>
              <w:left w:val="nil"/>
              <w:bottom w:val="single" w:sz="4" w:space="0" w:color="auto"/>
              <w:right w:val="single" w:sz="4" w:space="0" w:color="auto"/>
            </w:tcBorders>
            <w:shd w:val="clear" w:color="000000" w:fill="D8D8D8"/>
            <w:noWrap/>
            <w:vAlign w:val="center"/>
            <w:hideMark/>
          </w:tcPr>
          <w:p w:rsidR="008E7E0B" w:rsidRPr="003C2D52" w:rsidRDefault="008E7E0B" w:rsidP="005F7771">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2010-11</w:t>
            </w:r>
          </w:p>
        </w:tc>
        <w:tc>
          <w:tcPr>
            <w:tcW w:w="1120" w:type="dxa"/>
            <w:tcBorders>
              <w:top w:val="single" w:sz="4" w:space="0" w:color="auto"/>
              <w:left w:val="nil"/>
              <w:bottom w:val="single" w:sz="4" w:space="0" w:color="auto"/>
              <w:right w:val="single" w:sz="4" w:space="0" w:color="auto"/>
            </w:tcBorders>
            <w:shd w:val="clear" w:color="000000" w:fill="D8D8D8"/>
            <w:noWrap/>
            <w:vAlign w:val="center"/>
            <w:hideMark/>
          </w:tcPr>
          <w:p w:rsidR="008E7E0B" w:rsidRPr="003C2D52" w:rsidRDefault="008E7E0B" w:rsidP="005F7771">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2009-10</w:t>
            </w:r>
          </w:p>
        </w:tc>
        <w:tc>
          <w:tcPr>
            <w:tcW w:w="1120" w:type="dxa"/>
            <w:tcBorders>
              <w:top w:val="single" w:sz="4" w:space="0" w:color="auto"/>
              <w:left w:val="nil"/>
              <w:bottom w:val="single" w:sz="4" w:space="0" w:color="auto"/>
              <w:right w:val="single" w:sz="4" w:space="0" w:color="auto"/>
            </w:tcBorders>
            <w:shd w:val="clear" w:color="000000" w:fill="D8D8D8"/>
            <w:noWrap/>
            <w:vAlign w:val="center"/>
            <w:hideMark/>
          </w:tcPr>
          <w:p w:rsidR="008E7E0B" w:rsidRPr="003C2D52" w:rsidRDefault="008E7E0B" w:rsidP="005F7771">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2008-09</w:t>
            </w:r>
          </w:p>
        </w:tc>
      </w:tr>
      <w:tr w:rsidR="008E7E0B" w:rsidRPr="003C2D52" w:rsidTr="005F7771">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E0B" w:rsidRPr="003C2D52" w:rsidRDefault="008E7E0B" w:rsidP="005F7771">
            <w:pPr>
              <w:rPr>
                <w:rFonts w:ascii="Calibri" w:hAnsi="Calibri" w:cs="Calibri"/>
                <w:color w:val="000000"/>
                <w:sz w:val="16"/>
                <w:szCs w:val="16"/>
                <w:lang w:eastAsia="en-AU"/>
              </w:rPr>
            </w:pPr>
            <w:r w:rsidRPr="008E7E0B">
              <w:rPr>
                <w:rFonts w:ascii="Calibri" w:hAnsi="Calibri" w:cs="Calibri"/>
                <w:color w:val="000000"/>
                <w:sz w:val="16"/>
                <w:szCs w:val="16"/>
                <w:lang w:eastAsia="en-AU"/>
              </w:rPr>
              <w:t>Percentage by which the conversion factor over or under estimates the weight of imports</w:t>
            </w:r>
          </w:p>
        </w:tc>
        <w:tc>
          <w:tcPr>
            <w:tcW w:w="1120" w:type="dxa"/>
            <w:tcBorders>
              <w:top w:val="nil"/>
              <w:left w:val="nil"/>
              <w:bottom w:val="single" w:sz="4" w:space="0" w:color="auto"/>
              <w:right w:val="single" w:sz="4" w:space="0" w:color="auto"/>
            </w:tcBorders>
            <w:shd w:val="clear" w:color="auto" w:fill="auto"/>
            <w:noWrap/>
            <w:vAlign w:val="center"/>
            <w:hideMark/>
          </w:tcPr>
          <w:p w:rsidR="008E7E0B" w:rsidRPr="003C2D52" w:rsidRDefault="008E7E0B" w:rsidP="005F7771">
            <w:pPr>
              <w:jc w:val="center"/>
              <w:rPr>
                <w:rFonts w:ascii="Calibri" w:hAnsi="Calibri" w:cs="Calibri"/>
                <w:color w:val="000000"/>
                <w:sz w:val="16"/>
                <w:szCs w:val="16"/>
                <w:lang w:eastAsia="en-AU"/>
              </w:rPr>
            </w:pPr>
            <w:r>
              <w:rPr>
                <w:rFonts w:ascii="Calibri" w:hAnsi="Calibri" w:cs="Calibri"/>
                <w:color w:val="000000"/>
                <w:sz w:val="16"/>
                <w:szCs w:val="16"/>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rsidR="008E7E0B" w:rsidRPr="003C2D52" w:rsidRDefault="006720A2" w:rsidP="005F7771">
            <w:pPr>
              <w:jc w:val="center"/>
              <w:rPr>
                <w:rFonts w:ascii="Calibri" w:hAnsi="Calibri" w:cs="Calibri"/>
                <w:color w:val="000000"/>
                <w:sz w:val="16"/>
                <w:szCs w:val="16"/>
                <w:lang w:eastAsia="en-AU"/>
              </w:rPr>
            </w:pPr>
            <w:r>
              <w:rPr>
                <w:rFonts w:ascii="Calibri" w:hAnsi="Calibri" w:cs="Calibri"/>
                <w:color w:val="000000"/>
                <w:sz w:val="16"/>
                <w:szCs w:val="16"/>
                <w:lang w:eastAsia="en-AU"/>
              </w:rPr>
              <w:t>-</w:t>
            </w:r>
            <w:r w:rsidR="008E7E0B">
              <w:rPr>
                <w:rFonts w:ascii="Calibri" w:hAnsi="Calibri" w:cs="Calibri"/>
                <w:color w:val="000000"/>
                <w:sz w:val="16"/>
                <w:szCs w:val="16"/>
                <w:lang w:eastAsia="en-AU"/>
              </w:rPr>
              <w:t>52%</w:t>
            </w:r>
          </w:p>
        </w:tc>
        <w:tc>
          <w:tcPr>
            <w:tcW w:w="1120" w:type="dxa"/>
            <w:tcBorders>
              <w:top w:val="nil"/>
              <w:left w:val="nil"/>
              <w:bottom w:val="single" w:sz="4" w:space="0" w:color="auto"/>
              <w:right w:val="single" w:sz="4" w:space="0" w:color="auto"/>
            </w:tcBorders>
            <w:shd w:val="clear" w:color="auto" w:fill="auto"/>
            <w:noWrap/>
            <w:vAlign w:val="center"/>
            <w:hideMark/>
          </w:tcPr>
          <w:p w:rsidR="008E7E0B" w:rsidRPr="003C2D52" w:rsidRDefault="003D5CA6" w:rsidP="005F7771">
            <w:pPr>
              <w:jc w:val="center"/>
              <w:rPr>
                <w:rFonts w:ascii="Calibri" w:hAnsi="Calibri" w:cs="Calibri"/>
                <w:color w:val="000000"/>
                <w:sz w:val="16"/>
                <w:szCs w:val="16"/>
                <w:lang w:eastAsia="en-AU"/>
              </w:rPr>
            </w:pPr>
            <w:r>
              <w:rPr>
                <w:rFonts w:ascii="Calibri" w:hAnsi="Calibri" w:cs="Calibri"/>
                <w:color w:val="000000"/>
                <w:sz w:val="16"/>
                <w:szCs w:val="16"/>
                <w:lang w:eastAsia="en-AU"/>
              </w:rPr>
              <w:t>-65</w:t>
            </w:r>
            <w:r w:rsidR="008E7E0B">
              <w:rPr>
                <w:rFonts w:ascii="Calibri" w:hAnsi="Calibri" w:cs="Calibri"/>
                <w:color w:val="000000"/>
                <w:sz w:val="16"/>
                <w:szCs w:val="16"/>
                <w:lang w:eastAsia="en-AU"/>
              </w:rPr>
              <w:t>%</w:t>
            </w:r>
          </w:p>
        </w:tc>
      </w:tr>
    </w:tbl>
    <w:p w:rsidR="008E7E0B" w:rsidRDefault="008E7E0B" w:rsidP="006B0439">
      <w:pPr>
        <w:rPr>
          <w:szCs w:val="22"/>
        </w:rPr>
      </w:pPr>
    </w:p>
    <w:p w:rsidR="008E7E0B" w:rsidRDefault="008E7E0B" w:rsidP="006B0439">
      <w:pPr>
        <w:rPr>
          <w:szCs w:val="22"/>
        </w:rPr>
      </w:pPr>
    </w:p>
    <w:p w:rsidR="00124203" w:rsidRDefault="00124203" w:rsidP="006B0439">
      <w:pPr>
        <w:rPr>
          <w:szCs w:val="22"/>
        </w:rPr>
      </w:pPr>
    </w:p>
    <w:p w:rsidR="00124203" w:rsidRDefault="00124203" w:rsidP="006B0439">
      <w:pPr>
        <w:rPr>
          <w:szCs w:val="22"/>
        </w:rPr>
      </w:pPr>
    </w:p>
    <w:p w:rsidR="00124203" w:rsidRDefault="00124203" w:rsidP="006B0439">
      <w:pPr>
        <w:rPr>
          <w:szCs w:val="22"/>
        </w:rPr>
      </w:pPr>
    </w:p>
    <w:p w:rsidR="00124203" w:rsidRDefault="00124203" w:rsidP="006B0439">
      <w:pPr>
        <w:rPr>
          <w:szCs w:val="22"/>
        </w:rPr>
      </w:pPr>
    </w:p>
    <w:p w:rsidR="00124203" w:rsidRDefault="00124203" w:rsidP="006B0439">
      <w:pPr>
        <w:rPr>
          <w:szCs w:val="22"/>
        </w:rPr>
      </w:pPr>
    </w:p>
    <w:p w:rsidR="00124203" w:rsidRDefault="00124203" w:rsidP="006B0439">
      <w:pPr>
        <w:rPr>
          <w:szCs w:val="22"/>
        </w:rPr>
      </w:pPr>
    </w:p>
    <w:p w:rsidR="00124203" w:rsidRDefault="00124203" w:rsidP="006B0439">
      <w:pPr>
        <w:rPr>
          <w:szCs w:val="22"/>
        </w:rPr>
      </w:pPr>
    </w:p>
    <w:p w:rsidR="00124203" w:rsidRDefault="00124203" w:rsidP="006B0439">
      <w:pPr>
        <w:rPr>
          <w:szCs w:val="22"/>
        </w:rPr>
      </w:pPr>
    </w:p>
    <w:p w:rsidR="00124203" w:rsidRDefault="00124203" w:rsidP="006B0439">
      <w:pPr>
        <w:rPr>
          <w:szCs w:val="22"/>
        </w:rPr>
      </w:pPr>
    </w:p>
    <w:p w:rsidR="00124203" w:rsidRDefault="00124203" w:rsidP="006B0439">
      <w:pPr>
        <w:rPr>
          <w:szCs w:val="22"/>
        </w:rPr>
      </w:pPr>
    </w:p>
    <w:p w:rsidR="00124203" w:rsidRDefault="00124203" w:rsidP="006B0439">
      <w:pPr>
        <w:rPr>
          <w:szCs w:val="22"/>
        </w:rPr>
      </w:pPr>
    </w:p>
    <w:p w:rsidR="00124203" w:rsidRDefault="00124203" w:rsidP="006B0439">
      <w:pPr>
        <w:rPr>
          <w:szCs w:val="22"/>
        </w:rPr>
      </w:pPr>
    </w:p>
    <w:p w:rsidR="00124203" w:rsidRDefault="00124203" w:rsidP="006B0439">
      <w:pPr>
        <w:rPr>
          <w:szCs w:val="22"/>
        </w:rPr>
      </w:pPr>
    </w:p>
    <w:p w:rsidR="00124203" w:rsidRDefault="00124203" w:rsidP="00124203">
      <w:pPr>
        <w:rPr>
          <w:szCs w:val="22"/>
        </w:rPr>
      </w:pPr>
    </w:p>
    <w:p w:rsidR="00124203" w:rsidRPr="008E7E0B" w:rsidRDefault="00124203" w:rsidP="00124203">
      <w:pPr>
        <w:pStyle w:val="Caption"/>
        <w:keepNext/>
      </w:pPr>
      <w:r>
        <w:t xml:space="preserve">Figure 5-3b  </w:t>
      </w:r>
      <w:r w:rsidR="00AC1355">
        <w:t>HTISC frequency distribution in CF year</w:t>
      </w:r>
      <w:r w:rsidR="00CF23D0">
        <w:t xml:space="preserve"> </w:t>
      </w:r>
      <w:r>
        <w:t>– revised data set</w:t>
      </w:r>
    </w:p>
    <w:p w:rsidR="00124203" w:rsidRDefault="00BB08C6" w:rsidP="00124203">
      <w:pPr>
        <w:rPr>
          <w:szCs w:val="22"/>
        </w:rPr>
      </w:pPr>
      <w:r w:rsidRPr="00BB08C6">
        <w:rPr>
          <w:noProof/>
          <w:szCs w:val="22"/>
          <w:lang w:eastAsia="en-AU"/>
        </w:rPr>
        <w:drawing>
          <wp:inline distT="0" distB="0" distL="0" distR="0">
            <wp:extent cx="4889500" cy="2984500"/>
            <wp:effectExtent l="19050" t="0" r="25400" b="6350"/>
            <wp:docPr id="2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24203" w:rsidRDefault="00124203" w:rsidP="006B0439">
      <w:pPr>
        <w:rPr>
          <w:szCs w:val="22"/>
        </w:rPr>
      </w:pPr>
    </w:p>
    <w:p w:rsidR="00124203" w:rsidRDefault="00124203" w:rsidP="006B0439">
      <w:pPr>
        <w:rPr>
          <w:szCs w:val="22"/>
        </w:rPr>
      </w:pPr>
    </w:p>
    <w:p w:rsidR="00124203" w:rsidRDefault="00124203" w:rsidP="006B0439">
      <w:pPr>
        <w:rPr>
          <w:szCs w:val="22"/>
        </w:rPr>
      </w:pPr>
    </w:p>
    <w:p w:rsidR="00DF6D71" w:rsidRPr="00DF6D71" w:rsidRDefault="00DF6D71" w:rsidP="00DF6D71">
      <w:pPr>
        <w:pStyle w:val="Caption"/>
      </w:pPr>
      <w:r>
        <w:t xml:space="preserve">Table 5-2b  Conversion factor statistics </w:t>
      </w:r>
      <w:r w:rsidR="00124203">
        <w:t>–</w:t>
      </w:r>
      <w:r>
        <w:t xml:space="preserve"> revised</w:t>
      </w:r>
      <w:r w:rsidR="00124203">
        <w:t xml:space="preserve"> data set</w:t>
      </w:r>
    </w:p>
    <w:tbl>
      <w:tblPr>
        <w:tblW w:w="7260" w:type="dxa"/>
        <w:tblInd w:w="93" w:type="dxa"/>
        <w:tblLook w:val="04A0"/>
      </w:tblPr>
      <w:tblGrid>
        <w:gridCol w:w="1660"/>
        <w:gridCol w:w="1120"/>
        <w:gridCol w:w="1120"/>
        <w:gridCol w:w="1120"/>
        <w:gridCol w:w="1120"/>
        <w:gridCol w:w="1120"/>
      </w:tblGrid>
      <w:tr w:rsidR="008E7E0B" w:rsidRPr="008E7E0B" w:rsidTr="008E7E0B">
        <w:trPr>
          <w:trHeight w:val="450"/>
        </w:trPr>
        <w:tc>
          <w:tcPr>
            <w:tcW w:w="166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8E7E0B" w:rsidRPr="008E7E0B" w:rsidRDefault="008E7E0B" w:rsidP="008E7E0B">
            <w:pPr>
              <w:jc w:val="center"/>
              <w:rPr>
                <w:rFonts w:ascii="Calibri" w:hAnsi="Calibri" w:cs="Calibri"/>
                <w:color w:val="000000"/>
                <w:sz w:val="16"/>
                <w:szCs w:val="16"/>
                <w:lang w:eastAsia="en-AU"/>
              </w:rPr>
            </w:pPr>
            <w:r w:rsidRPr="008E7E0B">
              <w:rPr>
                <w:rFonts w:ascii="Calibri" w:hAnsi="Calibri" w:cs="Calibri"/>
                <w:color w:val="000000"/>
                <w:sz w:val="16"/>
                <w:szCs w:val="16"/>
                <w:lang w:eastAsia="en-AU"/>
              </w:rPr>
              <w:t>CF year</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8E7E0B" w:rsidRPr="008E7E0B" w:rsidRDefault="008E7E0B" w:rsidP="008E7E0B">
            <w:pPr>
              <w:jc w:val="center"/>
              <w:rPr>
                <w:rFonts w:ascii="Calibri" w:hAnsi="Calibri" w:cs="Calibri"/>
                <w:color w:val="000000"/>
                <w:sz w:val="16"/>
                <w:szCs w:val="16"/>
                <w:lang w:eastAsia="en-AU"/>
              </w:rPr>
            </w:pPr>
            <w:r w:rsidRPr="008E7E0B">
              <w:rPr>
                <w:rFonts w:ascii="Calibri" w:hAnsi="Calibri" w:cs="Calibri"/>
                <w:color w:val="000000"/>
                <w:sz w:val="16"/>
                <w:szCs w:val="16"/>
                <w:lang w:eastAsia="en-AU"/>
              </w:rPr>
              <w:t>No. of ABS imports</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8E7E0B" w:rsidRPr="008E7E0B" w:rsidRDefault="008E7E0B" w:rsidP="008E7E0B">
            <w:pPr>
              <w:jc w:val="center"/>
              <w:rPr>
                <w:rFonts w:ascii="Calibri" w:hAnsi="Calibri" w:cs="Calibri"/>
                <w:color w:val="000000"/>
                <w:sz w:val="16"/>
                <w:szCs w:val="16"/>
                <w:lang w:eastAsia="en-AU"/>
              </w:rPr>
            </w:pPr>
            <w:r w:rsidRPr="008E7E0B">
              <w:rPr>
                <w:rFonts w:ascii="Calibri" w:hAnsi="Calibri" w:cs="Calibri"/>
                <w:color w:val="000000"/>
                <w:sz w:val="16"/>
                <w:szCs w:val="16"/>
                <w:lang w:eastAsia="en-AU"/>
              </w:rPr>
              <w:t>% ABS imports included</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8E7E0B" w:rsidRPr="008E7E0B" w:rsidRDefault="008E7E0B" w:rsidP="008E7E0B">
            <w:pPr>
              <w:jc w:val="center"/>
              <w:rPr>
                <w:rFonts w:ascii="Calibri" w:hAnsi="Calibri" w:cs="Calibri"/>
                <w:color w:val="000000"/>
                <w:sz w:val="16"/>
                <w:szCs w:val="16"/>
                <w:lang w:eastAsia="en-AU"/>
              </w:rPr>
            </w:pPr>
            <w:r w:rsidRPr="008E7E0B">
              <w:rPr>
                <w:rFonts w:ascii="Calibri" w:hAnsi="Calibri" w:cs="Calibri"/>
                <w:color w:val="000000"/>
                <w:sz w:val="16"/>
                <w:szCs w:val="16"/>
                <w:lang w:eastAsia="en-AU"/>
              </w:rPr>
              <w:t>Min weight</w:t>
            </w:r>
            <w:r w:rsidRPr="008E7E0B">
              <w:rPr>
                <w:rFonts w:ascii="Calibri" w:hAnsi="Calibri" w:cs="Calibri"/>
                <w:color w:val="000000"/>
                <w:sz w:val="16"/>
                <w:szCs w:val="16"/>
                <w:lang w:eastAsia="en-AU"/>
              </w:rPr>
              <w:br/>
              <w:t>(kg)</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8E7E0B" w:rsidRPr="008E7E0B" w:rsidRDefault="008E7E0B" w:rsidP="008E7E0B">
            <w:pPr>
              <w:jc w:val="center"/>
              <w:rPr>
                <w:rFonts w:ascii="Calibri" w:hAnsi="Calibri" w:cs="Calibri"/>
                <w:color w:val="000000"/>
                <w:sz w:val="16"/>
                <w:szCs w:val="16"/>
                <w:lang w:eastAsia="en-AU"/>
              </w:rPr>
            </w:pPr>
            <w:r w:rsidRPr="008E7E0B">
              <w:rPr>
                <w:rFonts w:ascii="Calibri" w:hAnsi="Calibri" w:cs="Calibri"/>
                <w:color w:val="000000"/>
                <w:sz w:val="16"/>
                <w:szCs w:val="16"/>
                <w:lang w:eastAsia="en-AU"/>
              </w:rPr>
              <w:t>Max weight (kg)</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8E7E0B" w:rsidRPr="008E7E0B" w:rsidRDefault="008E7E0B" w:rsidP="008E7E0B">
            <w:pPr>
              <w:jc w:val="center"/>
              <w:rPr>
                <w:rFonts w:ascii="Calibri" w:hAnsi="Calibri" w:cs="Calibri"/>
                <w:color w:val="000000"/>
                <w:sz w:val="16"/>
                <w:szCs w:val="16"/>
                <w:lang w:eastAsia="en-AU"/>
              </w:rPr>
            </w:pPr>
            <w:r w:rsidRPr="008E7E0B">
              <w:rPr>
                <w:rFonts w:ascii="Calibri" w:hAnsi="Calibri" w:cs="Calibri"/>
                <w:color w:val="000000"/>
                <w:sz w:val="16"/>
                <w:szCs w:val="16"/>
                <w:lang w:eastAsia="en-AU"/>
              </w:rPr>
              <w:t>Standard deviation</w:t>
            </w:r>
          </w:p>
        </w:tc>
      </w:tr>
      <w:tr w:rsidR="008E7E0B" w:rsidRPr="008E7E0B" w:rsidTr="008E7E0B">
        <w:trPr>
          <w:trHeight w:val="22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E7E0B" w:rsidRPr="008E7E0B" w:rsidRDefault="008E7E0B" w:rsidP="008E7E0B">
            <w:pPr>
              <w:jc w:val="center"/>
              <w:rPr>
                <w:rFonts w:ascii="Calibri" w:hAnsi="Calibri" w:cs="Calibri"/>
                <w:color w:val="000000"/>
                <w:sz w:val="16"/>
                <w:szCs w:val="16"/>
                <w:lang w:eastAsia="en-AU"/>
              </w:rPr>
            </w:pPr>
            <w:r w:rsidRPr="008E7E0B">
              <w:rPr>
                <w:rFonts w:ascii="Calibri" w:hAnsi="Calibri" w:cs="Calibri"/>
                <w:color w:val="000000"/>
                <w:sz w:val="16"/>
                <w:szCs w:val="16"/>
                <w:lang w:eastAsia="en-AU"/>
              </w:rPr>
              <w:t>2010-11</w:t>
            </w:r>
          </w:p>
        </w:tc>
        <w:tc>
          <w:tcPr>
            <w:tcW w:w="1120" w:type="dxa"/>
            <w:tcBorders>
              <w:top w:val="nil"/>
              <w:left w:val="nil"/>
              <w:bottom w:val="single" w:sz="4" w:space="0" w:color="auto"/>
              <w:right w:val="single" w:sz="4" w:space="0" w:color="auto"/>
            </w:tcBorders>
            <w:shd w:val="clear" w:color="auto" w:fill="auto"/>
            <w:noWrap/>
            <w:vAlign w:val="center"/>
            <w:hideMark/>
          </w:tcPr>
          <w:p w:rsidR="008E7E0B" w:rsidRPr="008E7E0B" w:rsidRDefault="008E7E0B" w:rsidP="008E7E0B">
            <w:pPr>
              <w:jc w:val="center"/>
              <w:rPr>
                <w:rFonts w:ascii="Calibri" w:hAnsi="Calibri" w:cs="Calibri"/>
                <w:color w:val="000000"/>
                <w:sz w:val="16"/>
                <w:szCs w:val="16"/>
                <w:lang w:eastAsia="en-AU"/>
              </w:rPr>
            </w:pPr>
            <w:r w:rsidRPr="008E7E0B">
              <w:rPr>
                <w:rFonts w:ascii="Calibri" w:hAnsi="Calibri" w:cs="Calibri"/>
                <w:color w:val="000000"/>
                <w:sz w:val="16"/>
                <w:szCs w:val="16"/>
                <w:lang w:eastAsia="en-AU"/>
              </w:rPr>
              <w:t>142,982</w:t>
            </w:r>
          </w:p>
        </w:tc>
        <w:tc>
          <w:tcPr>
            <w:tcW w:w="1120" w:type="dxa"/>
            <w:tcBorders>
              <w:top w:val="nil"/>
              <w:left w:val="nil"/>
              <w:bottom w:val="single" w:sz="4" w:space="0" w:color="auto"/>
              <w:right w:val="single" w:sz="4" w:space="0" w:color="auto"/>
            </w:tcBorders>
            <w:shd w:val="clear" w:color="auto" w:fill="auto"/>
            <w:noWrap/>
            <w:vAlign w:val="center"/>
            <w:hideMark/>
          </w:tcPr>
          <w:p w:rsidR="008E7E0B" w:rsidRPr="008E7E0B" w:rsidRDefault="008E7E0B" w:rsidP="008E7E0B">
            <w:pPr>
              <w:jc w:val="center"/>
              <w:rPr>
                <w:rFonts w:ascii="Calibri" w:hAnsi="Calibri" w:cs="Calibri"/>
                <w:color w:val="000000"/>
                <w:sz w:val="16"/>
                <w:szCs w:val="16"/>
                <w:lang w:eastAsia="en-AU"/>
              </w:rPr>
            </w:pPr>
            <w:r w:rsidRPr="008E7E0B">
              <w:rPr>
                <w:rFonts w:ascii="Calibri" w:hAnsi="Calibri" w:cs="Calibri"/>
                <w:color w:val="000000"/>
                <w:sz w:val="16"/>
                <w:szCs w:val="16"/>
                <w:lang w:eastAsia="en-AU"/>
              </w:rPr>
              <w:t>25%</w:t>
            </w:r>
          </w:p>
        </w:tc>
        <w:tc>
          <w:tcPr>
            <w:tcW w:w="1120" w:type="dxa"/>
            <w:tcBorders>
              <w:top w:val="nil"/>
              <w:left w:val="nil"/>
              <w:bottom w:val="single" w:sz="4" w:space="0" w:color="auto"/>
              <w:right w:val="single" w:sz="4" w:space="0" w:color="auto"/>
            </w:tcBorders>
            <w:shd w:val="clear" w:color="auto" w:fill="auto"/>
            <w:noWrap/>
            <w:vAlign w:val="center"/>
            <w:hideMark/>
          </w:tcPr>
          <w:p w:rsidR="008E7E0B" w:rsidRPr="008E7E0B" w:rsidRDefault="003D5CA6" w:rsidP="008E7E0B">
            <w:pPr>
              <w:jc w:val="center"/>
              <w:rPr>
                <w:rFonts w:ascii="Calibri" w:hAnsi="Calibri" w:cs="Calibri"/>
                <w:color w:val="000000"/>
                <w:sz w:val="16"/>
                <w:szCs w:val="16"/>
                <w:lang w:eastAsia="en-AU"/>
              </w:rPr>
            </w:pPr>
            <w:r>
              <w:rPr>
                <w:rFonts w:ascii="Calibri" w:hAnsi="Calibri" w:cs="Calibri"/>
                <w:color w:val="000000"/>
                <w:sz w:val="16"/>
                <w:szCs w:val="16"/>
                <w:lang w:eastAsia="en-AU"/>
              </w:rPr>
              <w:t>6.7</w:t>
            </w:r>
          </w:p>
        </w:tc>
        <w:tc>
          <w:tcPr>
            <w:tcW w:w="1120" w:type="dxa"/>
            <w:tcBorders>
              <w:top w:val="nil"/>
              <w:left w:val="nil"/>
              <w:bottom w:val="single" w:sz="4" w:space="0" w:color="auto"/>
              <w:right w:val="single" w:sz="4" w:space="0" w:color="auto"/>
            </w:tcBorders>
            <w:shd w:val="clear" w:color="auto" w:fill="auto"/>
            <w:noWrap/>
            <w:vAlign w:val="center"/>
            <w:hideMark/>
          </w:tcPr>
          <w:p w:rsidR="008E7E0B" w:rsidRPr="008E7E0B" w:rsidRDefault="008E7E0B" w:rsidP="008E7E0B">
            <w:pPr>
              <w:jc w:val="center"/>
              <w:rPr>
                <w:rFonts w:ascii="Calibri" w:hAnsi="Calibri" w:cs="Calibri"/>
                <w:color w:val="000000"/>
                <w:sz w:val="16"/>
                <w:szCs w:val="16"/>
                <w:lang w:eastAsia="en-AU"/>
              </w:rPr>
            </w:pPr>
            <w:r w:rsidRPr="008E7E0B">
              <w:rPr>
                <w:rFonts w:ascii="Calibri" w:hAnsi="Calibri" w:cs="Calibri"/>
                <w:color w:val="000000"/>
                <w:sz w:val="16"/>
                <w:szCs w:val="16"/>
                <w:lang w:eastAsia="en-AU"/>
              </w:rPr>
              <w:t>38.8</w:t>
            </w:r>
          </w:p>
        </w:tc>
        <w:tc>
          <w:tcPr>
            <w:tcW w:w="1120" w:type="dxa"/>
            <w:tcBorders>
              <w:top w:val="nil"/>
              <w:left w:val="nil"/>
              <w:bottom w:val="single" w:sz="4" w:space="0" w:color="auto"/>
              <w:right w:val="single" w:sz="4" w:space="0" w:color="auto"/>
            </w:tcBorders>
            <w:shd w:val="clear" w:color="auto" w:fill="auto"/>
            <w:noWrap/>
            <w:vAlign w:val="center"/>
            <w:hideMark/>
          </w:tcPr>
          <w:p w:rsidR="008E7E0B" w:rsidRPr="008E7E0B" w:rsidRDefault="008E7E0B" w:rsidP="008E7E0B">
            <w:pPr>
              <w:jc w:val="center"/>
              <w:rPr>
                <w:rFonts w:ascii="Calibri" w:hAnsi="Calibri" w:cs="Calibri"/>
                <w:color w:val="000000"/>
                <w:sz w:val="16"/>
                <w:szCs w:val="16"/>
                <w:lang w:eastAsia="en-AU"/>
              </w:rPr>
            </w:pPr>
            <w:r w:rsidRPr="008E7E0B">
              <w:rPr>
                <w:rFonts w:ascii="Calibri" w:hAnsi="Calibri" w:cs="Calibri"/>
                <w:color w:val="000000"/>
                <w:sz w:val="16"/>
                <w:szCs w:val="16"/>
                <w:lang w:eastAsia="en-AU"/>
              </w:rPr>
              <w:t>0.4</w:t>
            </w:r>
          </w:p>
        </w:tc>
      </w:tr>
      <w:tr w:rsidR="008E7E0B" w:rsidRPr="008E7E0B" w:rsidTr="008E7E0B">
        <w:trPr>
          <w:trHeight w:val="225"/>
        </w:trPr>
        <w:tc>
          <w:tcPr>
            <w:tcW w:w="1660" w:type="dxa"/>
            <w:tcBorders>
              <w:top w:val="nil"/>
              <w:left w:val="nil"/>
              <w:bottom w:val="nil"/>
              <w:right w:val="nil"/>
            </w:tcBorders>
            <w:shd w:val="clear" w:color="auto" w:fill="auto"/>
            <w:noWrap/>
            <w:vAlign w:val="bottom"/>
            <w:hideMark/>
          </w:tcPr>
          <w:p w:rsidR="008E7E0B" w:rsidRPr="008E7E0B" w:rsidRDefault="008E7E0B" w:rsidP="008E7E0B">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8E7E0B" w:rsidRPr="008E7E0B" w:rsidRDefault="008E7E0B" w:rsidP="008E7E0B">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8E7E0B" w:rsidRPr="008E7E0B" w:rsidRDefault="008E7E0B" w:rsidP="008E7E0B">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8E7E0B" w:rsidRPr="008E7E0B" w:rsidRDefault="008E7E0B" w:rsidP="008E7E0B">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8E7E0B" w:rsidRPr="008E7E0B" w:rsidRDefault="008E7E0B" w:rsidP="008E7E0B">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8E7E0B" w:rsidRPr="008E7E0B" w:rsidRDefault="008E7E0B" w:rsidP="008E7E0B">
            <w:pPr>
              <w:rPr>
                <w:rFonts w:ascii="Calibri" w:hAnsi="Calibri" w:cs="Calibri"/>
                <w:color w:val="000000"/>
                <w:sz w:val="16"/>
                <w:szCs w:val="16"/>
                <w:lang w:eastAsia="en-AU"/>
              </w:rPr>
            </w:pPr>
          </w:p>
        </w:tc>
      </w:tr>
      <w:tr w:rsidR="008E7E0B" w:rsidRPr="008E7E0B" w:rsidTr="008E7E0B">
        <w:trPr>
          <w:trHeight w:val="450"/>
        </w:trPr>
        <w:tc>
          <w:tcPr>
            <w:tcW w:w="1660" w:type="dxa"/>
            <w:tcBorders>
              <w:top w:val="single" w:sz="4" w:space="0" w:color="auto"/>
              <w:left w:val="single" w:sz="4" w:space="0" w:color="auto"/>
              <w:bottom w:val="nil"/>
              <w:right w:val="single" w:sz="4" w:space="0" w:color="auto"/>
            </w:tcBorders>
            <w:shd w:val="clear" w:color="000000" w:fill="D8D8D8"/>
            <w:vAlign w:val="center"/>
            <w:hideMark/>
          </w:tcPr>
          <w:p w:rsidR="008E7E0B" w:rsidRPr="008E7E0B" w:rsidRDefault="008E7E0B" w:rsidP="008E7E0B">
            <w:pPr>
              <w:jc w:val="center"/>
              <w:rPr>
                <w:rFonts w:ascii="Calibri" w:hAnsi="Calibri" w:cs="Calibri"/>
                <w:color w:val="000000"/>
                <w:sz w:val="16"/>
                <w:szCs w:val="16"/>
                <w:lang w:eastAsia="en-AU"/>
              </w:rPr>
            </w:pPr>
            <w:r w:rsidRPr="008E7E0B">
              <w:rPr>
                <w:rFonts w:ascii="Calibri" w:hAnsi="Calibri" w:cs="Calibri"/>
                <w:color w:val="000000"/>
                <w:sz w:val="16"/>
                <w:szCs w:val="16"/>
                <w:lang w:eastAsia="en-AU"/>
              </w:rPr>
              <w:t>Method</w:t>
            </w:r>
          </w:p>
        </w:tc>
        <w:tc>
          <w:tcPr>
            <w:tcW w:w="1120" w:type="dxa"/>
            <w:tcBorders>
              <w:top w:val="single" w:sz="4" w:space="0" w:color="auto"/>
              <w:left w:val="nil"/>
              <w:bottom w:val="nil"/>
              <w:right w:val="single" w:sz="4" w:space="0" w:color="auto"/>
            </w:tcBorders>
            <w:shd w:val="clear" w:color="000000" w:fill="D8D8D8"/>
            <w:vAlign w:val="center"/>
            <w:hideMark/>
          </w:tcPr>
          <w:p w:rsidR="008E7E0B" w:rsidRPr="008E7E0B" w:rsidRDefault="008E7E0B" w:rsidP="008E7E0B">
            <w:pPr>
              <w:jc w:val="center"/>
              <w:rPr>
                <w:rFonts w:ascii="Calibri" w:hAnsi="Calibri" w:cs="Calibri"/>
                <w:color w:val="000000"/>
                <w:sz w:val="16"/>
                <w:szCs w:val="16"/>
                <w:lang w:eastAsia="en-AU"/>
              </w:rPr>
            </w:pPr>
            <w:r w:rsidRPr="008E7E0B">
              <w:rPr>
                <w:rFonts w:ascii="Calibri" w:hAnsi="Calibri" w:cs="Calibri"/>
                <w:color w:val="000000"/>
                <w:sz w:val="16"/>
                <w:szCs w:val="16"/>
                <w:lang w:eastAsia="en-AU"/>
              </w:rPr>
              <w:t>Measure of average</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8E7E0B" w:rsidRPr="008E7E0B" w:rsidRDefault="008E7E0B" w:rsidP="008E7E0B">
            <w:pPr>
              <w:jc w:val="center"/>
              <w:rPr>
                <w:rFonts w:ascii="Calibri" w:hAnsi="Calibri" w:cs="Calibri"/>
                <w:color w:val="000000"/>
                <w:sz w:val="16"/>
                <w:szCs w:val="16"/>
                <w:lang w:eastAsia="en-AU"/>
              </w:rPr>
            </w:pPr>
            <w:r w:rsidRPr="008E7E0B">
              <w:rPr>
                <w:rFonts w:ascii="Calibri" w:hAnsi="Calibri" w:cs="Calibri"/>
                <w:color w:val="000000"/>
                <w:sz w:val="16"/>
                <w:szCs w:val="16"/>
                <w:lang w:eastAsia="en-AU"/>
              </w:rPr>
              <w:t>Average weight (kg)</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8E7E0B" w:rsidRPr="008E7E0B" w:rsidRDefault="008E7E0B" w:rsidP="008E7E0B">
            <w:pPr>
              <w:jc w:val="center"/>
              <w:rPr>
                <w:rFonts w:ascii="Calibri" w:hAnsi="Calibri" w:cs="Calibri"/>
                <w:color w:val="000000"/>
                <w:sz w:val="16"/>
                <w:szCs w:val="16"/>
                <w:lang w:eastAsia="en-AU"/>
              </w:rPr>
            </w:pPr>
            <w:r w:rsidRPr="008E7E0B">
              <w:rPr>
                <w:rFonts w:ascii="Calibri" w:hAnsi="Calibri" w:cs="Calibri"/>
                <w:color w:val="000000"/>
                <w:sz w:val="16"/>
                <w:szCs w:val="16"/>
                <w:lang w:eastAsia="en-AU"/>
              </w:rPr>
              <w:t>Lower limit (kg)</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8E7E0B" w:rsidRPr="008E7E0B" w:rsidRDefault="008E7E0B" w:rsidP="008E7E0B">
            <w:pPr>
              <w:jc w:val="center"/>
              <w:rPr>
                <w:rFonts w:ascii="Calibri" w:hAnsi="Calibri" w:cs="Calibri"/>
                <w:color w:val="000000"/>
                <w:sz w:val="16"/>
                <w:szCs w:val="16"/>
                <w:lang w:eastAsia="en-AU"/>
              </w:rPr>
            </w:pPr>
            <w:r w:rsidRPr="008E7E0B">
              <w:rPr>
                <w:rFonts w:ascii="Calibri" w:hAnsi="Calibri" w:cs="Calibri"/>
                <w:color w:val="000000"/>
                <w:sz w:val="16"/>
                <w:szCs w:val="16"/>
                <w:lang w:eastAsia="en-AU"/>
              </w:rPr>
              <w:t>Upper limit (kg)</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8E7E0B" w:rsidRPr="008E7E0B" w:rsidRDefault="008E7E0B" w:rsidP="008E7E0B">
            <w:pPr>
              <w:jc w:val="center"/>
              <w:rPr>
                <w:rFonts w:ascii="Calibri" w:hAnsi="Calibri" w:cs="Calibri"/>
                <w:color w:val="000000"/>
                <w:sz w:val="16"/>
                <w:szCs w:val="16"/>
                <w:lang w:eastAsia="en-AU"/>
              </w:rPr>
            </w:pPr>
            <w:r w:rsidRPr="008E7E0B">
              <w:rPr>
                <w:rFonts w:ascii="Calibri" w:hAnsi="Calibri" w:cs="Calibri"/>
                <w:color w:val="000000"/>
                <w:sz w:val="16"/>
                <w:szCs w:val="16"/>
                <w:lang w:eastAsia="en-AU"/>
              </w:rPr>
              <w:t>Confidence interval ± (kg)</w:t>
            </w:r>
          </w:p>
        </w:tc>
      </w:tr>
      <w:tr w:rsidR="008E7E0B" w:rsidRPr="008E7E0B" w:rsidTr="008E7E0B">
        <w:trPr>
          <w:trHeight w:val="45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7E0B" w:rsidRPr="008E7E0B" w:rsidRDefault="008E7E0B" w:rsidP="008E7E0B">
            <w:pPr>
              <w:jc w:val="center"/>
              <w:rPr>
                <w:rFonts w:ascii="Calibri" w:hAnsi="Calibri" w:cs="Calibri"/>
                <w:color w:val="000000"/>
                <w:sz w:val="16"/>
                <w:szCs w:val="16"/>
                <w:lang w:eastAsia="en-AU"/>
              </w:rPr>
            </w:pPr>
            <w:r w:rsidRPr="008E7E0B">
              <w:rPr>
                <w:rFonts w:ascii="Calibri" w:hAnsi="Calibri" w:cs="Calibri"/>
                <w:color w:val="000000"/>
                <w:sz w:val="16"/>
                <w:szCs w:val="16"/>
                <w:lang w:eastAsia="en-AU"/>
              </w:rPr>
              <w:t>Approximation to the normal distribution</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8E7E0B" w:rsidRPr="008E7E0B" w:rsidRDefault="008E7E0B" w:rsidP="008E7E0B">
            <w:pPr>
              <w:jc w:val="center"/>
              <w:rPr>
                <w:rFonts w:ascii="Calibri" w:hAnsi="Calibri" w:cs="Calibri"/>
                <w:color w:val="000000"/>
                <w:sz w:val="16"/>
                <w:szCs w:val="16"/>
                <w:lang w:eastAsia="en-AU"/>
              </w:rPr>
            </w:pPr>
            <w:r w:rsidRPr="008E7E0B">
              <w:rPr>
                <w:rFonts w:ascii="Calibri" w:hAnsi="Calibri" w:cs="Calibri"/>
                <w:color w:val="000000"/>
                <w:sz w:val="16"/>
                <w:szCs w:val="16"/>
                <w:lang w:eastAsia="en-AU"/>
              </w:rPr>
              <w:t>Mean</w:t>
            </w:r>
          </w:p>
        </w:tc>
        <w:tc>
          <w:tcPr>
            <w:tcW w:w="1120" w:type="dxa"/>
            <w:tcBorders>
              <w:top w:val="nil"/>
              <w:left w:val="nil"/>
              <w:bottom w:val="single" w:sz="4" w:space="0" w:color="auto"/>
              <w:right w:val="single" w:sz="4" w:space="0" w:color="auto"/>
            </w:tcBorders>
            <w:shd w:val="clear" w:color="auto" w:fill="auto"/>
            <w:noWrap/>
            <w:vAlign w:val="center"/>
            <w:hideMark/>
          </w:tcPr>
          <w:p w:rsidR="008E7E0B" w:rsidRPr="008E7E0B" w:rsidRDefault="008E7E0B" w:rsidP="008E7E0B">
            <w:pPr>
              <w:jc w:val="center"/>
              <w:rPr>
                <w:rFonts w:ascii="Calibri" w:hAnsi="Calibri" w:cs="Calibri"/>
                <w:color w:val="000000"/>
                <w:sz w:val="16"/>
                <w:szCs w:val="16"/>
                <w:lang w:eastAsia="en-AU"/>
              </w:rPr>
            </w:pPr>
            <w:r w:rsidRPr="008E7E0B">
              <w:rPr>
                <w:rFonts w:ascii="Calibri" w:hAnsi="Calibri" w:cs="Calibri"/>
                <w:color w:val="000000"/>
                <w:sz w:val="16"/>
                <w:szCs w:val="16"/>
                <w:lang w:eastAsia="en-AU"/>
              </w:rPr>
              <w:t>13.6</w:t>
            </w:r>
          </w:p>
        </w:tc>
        <w:tc>
          <w:tcPr>
            <w:tcW w:w="1120" w:type="dxa"/>
            <w:tcBorders>
              <w:top w:val="nil"/>
              <w:left w:val="nil"/>
              <w:bottom w:val="single" w:sz="4" w:space="0" w:color="auto"/>
              <w:right w:val="single" w:sz="4" w:space="0" w:color="auto"/>
            </w:tcBorders>
            <w:shd w:val="clear" w:color="auto" w:fill="auto"/>
            <w:noWrap/>
            <w:vAlign w:val="center"/>
            <w:hideMark/>
          </w:tcPr>
          <w:p w:rsidR="008E7E0B" w:rsidRPr="008E7E0B" w:rsidRDefault="008E7E0B" w:rsidP="008E7E0B">
            <w:pPr>
              <w:jc w:val="center"/>
              <w:rPr>
                <w:rFonts w:ascii="Calibri" w:hAnsi="Calibri" w:cs="Calibri"/>
                <w:color w:val="000000"/>
                <w:sz w:val="16"/>
                <w:szCs w:val="16"/>
                <w:lang w:eastAsia="en-AU"/>
              </w:rPr>
            </w:pPr>
            <w:r w:rsidRPr="008E7E0B">
              <w:rPr>
                <w:rFonts w:ascii="Calibri" w:hAnsi="Calibri" w:cs="Calibri"/>
                <w:color w:val="000000"/>
                <w:sz w:val="16"/>
                <w:szCs w:val="16"/>
                <w:lang w:eastAsia="en-AU"/>
              </w:rPr>
              <w:t>12.7</w:t>
            </w:r>
          </w:p>
        </w:tc>
        <w:tc>
          <w:tcPr>
            <w:tcW w:w="1120" w:type="dxa"/>
            <w:tcBorders>
              <w:top w:val="nil"/>
              <w:left w:val="nil"/>
              <w:bottom w:val="single" w:sz="4" w:space="0" w:color="auto"/>
              <w:right w:val="single" w:sz="4" w:space="0" w:color="auto"/>
            </w:tcBorders>
            <w:shd w:val="clear" w:color="auto" w:fill="auto"/>
            <w:noWrap/>
            <w:vAlign w:val="center"/>
            <w:hideMark/>
          </w:tcPr>
          <w:p w:rsidR="008E7E0B" w:rsidRPr="008E7E0B" w:rsidRDefault="008E7E0B" w:rsidP="008E7E0B">
            <w:pPr>
              <w:jc w:val="center"/>
              <w:rPr>
                <w:rFonts w:ascii="Calibri" w:hAnsi="Calibri" w:cs="Calibri"/>
                <w:color w:val="000000"/>
                <w:sz w:val="16"/>
                <w:szCs w:val="16"/>
                <w:lang w:eastAsia="en-AU"/>
              </w:rPr>
            </w:pPr>
            <w:r w:rsidRPr="008E7E0B">
              <w:rPr>
                <w:rFonts w:ascii="Calibri" w:hAnsi="Calibri" w:cs="Calibri"/>
                <w:color w:val="000000"/>
                <w:sz w:val="16"/>
                <w:szCs w:val="16"/>
                <w:lang w:eastAsia="en-AU"/>
              </w:rPr>
              <w:t>14.5</w:t>
            </w:r>
          </w:p>
        </w:tc>
        <w:tc>
          <w:tcPr>
            <w:tcW w:w="1120" w:type="dxa"/>
            <w:tcBorders>
              <w:top w:val="nil"/>
              <w:left w:val="nil"/>
              <w:bottom w:val="single" w:sz="4" w:space="0" w:color="auto"/>
              <w:right w:val="single" w:sz="4" w:space="0" w:color="auto"/>
            </w:tcBorders>
            <w:shd w:val="clear" w:color="auto" w:fill="auto"/>
            <w:noWrap/>
            <w:vAlign w:val="center"/>
            <w:hideMark/>
          </w:tcPr>
          <w:p w:rsidR="008E7E0B" w:rsidRPr="008E7E0B" w:rsidRDefault="008E7E0B" w:rsidP="008E7E0B">
            <w:pPr>
              <w:jc w:val="center"/>
              <w:rPr>
                <w:rFonts w:ascii="Calibri" w:hAnsi="Calibri" w:cs="Calibri"/>
                <w:color w:val="000000"/>
                <w:sz w:val="16"/>
                <w:szCs w:val="16"/>
                <w:lang w:eastAsia="en-AU"/>
              </w:rPr>
            </w:pPr>
            <w:r w:rsidRPr="008E7E0B">
              <w:rPr>
                <w:rFonts w:ascii="Calibri" w:hAnsi="Calibri" w:cs="Calibri"/>
                <w:color w:val="000000"/>
                <w:sz w:val="16"/>
                <w:szCs w:val="16"/>
                <w:lang w:eastAsia="en-AU"/>
              </w:rPr>
              <w:t>0.9</w:t>
            </w:r>
          </w:p>
        </w:tc>
      </w:tr>
      <w:tr w:rsidR="008E7E0B" w:rsidRPr="008E7E0B" w:rsidTr="008E7E0B">
        <w:trPr>
          <w:trHeight w:val="22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8E7E0B" w:rsidRPr="008E7E0B" w:rsidRDefault="008E7E0B" w:rsidP="008E7E0B">
            <w:pPr>
              <w:jc w:val="center"/>
              <w:rPr>
                <w:rFonts w:ascii="Calibri" w:hAnsi="Calibri" w:cs="Calibri"/>
                <w:color w:val="000000"/>
                <w:sz w:val="16"/>
                <w:szCs w:val="16"/>
                <w:lang w:eastAsia="en-AU"/>
              </w:rPr>
            </w:pPr>
            <w:r w:rsidRPr="008E7E0B">
              <w:rPr>
                <w:rFonts w:ascii="Calibri" w:hAnsi="Calibri" w:cs="Calibri"/>
                <w:color w:val="000000"/>
                <w:sz w:val="16"/>
                <w:szCs w:val="16"/>
                <w:lang w:eastAsia="en-AU"/>
              </w:rPr>
              <w:t>Use of percentiles</w:t>
            </w:r>
          </w:p>
        </w:tc>
        <w:tc>
          <w:tcPr>
            <w:tcW w:w="1120" w:type="dxa"/>
            <w:tcBorders>
              <w:top w:val="nil"/>
              <w:left w:val="nil"/>
              <w:bottom w:val="single" w:sz="4" w:space="0" w:color="auto"/>
              <w:right w:val="single" w:sz="4" w:space="0" w:color="auto"/>
            </w:tcBorders>
            <w:shd w:val="clear" w:color="auto" w:fill="auto"/>
            <w:vAlign w:val="center"/>
            <w:hideMark/>
          </w:tcPr>
          <w:p w:rsidR="008E7E0B" w:rsidRPr="008E7E0B" w:rsidRDefault="008E7E0B" w:rsidP="008E7E0B">
            <w:pPr>
              <w:jc w:val="center"/>
              <w:rPr>
                <w:rFonts w:ascii="Calibri" w:hAnsi="Calibri" w:cs="Calibri"/>
                <w:color w:val="000000"/>
                <w:sz w:val="16"/>
                <w:szCs w:val="16"/>
                <w:lang w:eastAsia="en-AU"/>
              </w:rPr>
            </w:pPr>
            <w:r w:rsidRPr="008E7E0B">
              <w:rPr>
                <w:rFonts w:ascii="Calibri" w:hAnsi="Calibri" w:cs="Calibri"/>
                <w:color w:val="000000"/>
                <w:sz w:val="16"/>
                <w:szCs w:val="16"/>
                <w:lang w:eastAsia="en-AU"/>
              </w:rPr>
              <w:t>Median</w:t>
            </w:r>
          </w:p>
        </w:tc>
        <w:tc>
          <w:tcPr>
            <w:tcW w:w="1120" w:type="dxa"/>
            <w:tcBorders>
              <w:top w:val="nil"/>
              <w:left w:val="nil"/>
              <w:bottom w:val="single" w:sz="4" w:space="0" w:color="auto"/>
              <w:right w:val="single" w:sz="4" w:space="0" w:color="auto"/>
            </w:tcBorders>
            <w:shd w:val="clear" w:color="auto" w:fill="auto"/>
            <w:noWrap/>
            <w:vAlign w:val="center"/>
            <w:hideMark/>
          </w:tcPr>
          <w:p w:rsidR="008E7E0B" w:rsidRPr="008E7E0B" w:rsidRDefault="008E7E0B" w:rsidP="008E7E0B">
            <w:pPr>
              <w:jc w:val="center"/>
              <w:rPr>
                <w:rFonts w:ascii="Calibri" w:hAnsi="Calibri" w:cs="Calibri"/>
                <w:color w:val="000000"/>
                <w:sz w:val="16"/>
                <w:szCs w:val="16"/>
                <w:lang w:eastAsia="en-AU"/>
              </w:rPr>
            </w:pPr>
            <w:r w:rsidRPr="008E7E0B">
              <w:rPr>
                <w:rFonts w:ascii="Calibri" w:hAnsi="Calibri" w:cs="Calibri"/>
                <w:color w:val="000000"/>
                <w:sz w:val="16"/>
                <w:szCs w:val="16"/>
                <w:lang w:eastAsia="en-AU"/>
              </w:rPr>
              <w:t>26.3</w:t>
            </w:r>
          </w:p>
        </w:tc>
        <w:tc>
          <w:tcPr>
            <w:tcW w:w="1120" w:type="dxa"/>
            <w:tcBorders>
              <w:top w:val="nil"/>
              <w:left w:val="nil"/>
              <w:bottom w:val="single" w:sz="4" w:space="0" w:color="auto"/>
              <w:right w:val="single" w:sz="4" w:space="0" w:color="auto"/>
            </w:tcBorders>
            <w:shd w:val="clear" w:color="auto" w:fill="auto"/>
            <w:noWrap/>
            <w:vAlign w:val="center"/>
            <w:hideMark/>
          </w:tcPr>
          <w:p w:rsidR="008E7E0B" w:rsidRPr="008E7E0B" w:rsidRDefault="008E7E0B" w:rsidP="008E7E0B">
            <w:pPr>
              <w:jc w:val="center"/>
              <w:rPr>
                <w:rFonts w:ascii="Calibri" w:hAnsi="Calibri" w:cs="Calibri"/>
                <w:color w:val="000000"/>
                <w:sz w:val="16"/>
                <w:szCs w:val="16"/>
                <w:lang w:eastAsia="en-AU"/>
              </w:rPr>
            </w:pPr>
            <w:r w:rsidRPr="008E7E0B">
              <w:rPr>
                <w:rFonts w:ascii="Calibri" w:hAnsi="Calibri" w:cs="Calibri"/>
                <w:color w:val="000000"/>
                <w:sz w:val="16"/>
                <w:szCs w:val="16"/>
                <w:lang w:eastAsia="en-AU"/>
              </w:rPr>
              <w:t>7.0</w:t>
            </w:r>
          </w:p>
        </w:tc>
        <w:tc>
          <w:tcPr>
            <w:tcW w:w="1120" w:type="dxa"/>
            <w:tcBorders>
              <w:top w:val="nil"/>
              <w:left w:val="nil"/>
              <w:bottom w:val="single" w:sz="4" w:space="0" w:color="auto"/>
              <w:right w:val="single" w:sz="4" w:space="0" w:color="auto"/>
            </w:tcBorders>
            <w:shd w:val="clear" w:color="auto" w:fill="auto"/>
            <w:noWrap/>
            <w:vAlign w:val="center"/>
            <w:hideMark/>
          </w:tcPr>
          <w:p w:rsidR="008E7E0B" w:rsidRPr="008E7E0B" w:rsidRDefault="008E7E0B" w:rsidP="008E7E0B">
            <w:pPr>
              <w:jc w:val="center"/>
              <w:rPr>
                <w:rFonts w:ascii="Calibri" w:hAnsi="Calibri" w:cs="Calibri"/>
                <w:color w:val="000000"/>
                <w:sz w:val="16"/>
                <w:szCs w:val="16"/>
                <w:lang w:eastAsia="en-AU"/>
              </w:rPr>
            </w:pPr>
            <w:r w:rsidRPr="008E7E0B">
              <w:rPr>
                <w:rFonts w:ascii="Calibri" w:hAnsi="Calibri" w:cs="Calibri"/>
                <w:color w:val="000000"/>
                <w:sz w:val="16"/>
                <w:szCs w:val="16"/>
                <w:lang w:eastAsia="en-AU"/>
              </w:rPr>
              <w:t>36.8</w:t>
            </w:r>
          </w:p>
        </w:tc>
        <w:tc>
          <w:tcPr>
            <w:tcW w:w="1120" w:type="dxa"/>
            <w:tcBorders>
              <w:top w:val="nil"/>
              <w:left w:val="nil"/>
              <w:bottom w:val="single" w:sz="4" w:space="0" w:color="auto"/>
              <w:right w:val="single" w:sz="4" w:space="0" w:color="auto"/>
            </w:tcBorders>
            <w:shd w:val="clear" w:color="auto" w:fill="auto"/>
            <w:noWrap/>
            <w:vAlign w:val="center"/>
            <w:hideMark/>
          </w:tcPr>
          <w:p w:rsidR="008E7E0B" w:rsidRPr="008E7E0B" w:rsidRDefault="008E7E0B" w:rsidP="008E7E0B">
            <w:pPr>
              <w:jc w:val="center"/>
              <w:rPr>
                <w:rFonts w:ascii="Calibri" w:hAnsi="Calibri" w:cs="Calibri"/>
                <w:color w:val="000000"/>
                <w:sz w:val="16"/>
                <w:szCs w:val="16"/>
                <w:lang w:eastAsia="en-AU"/>
              </w:rPr>
            </w:pPr>
            <w:r w:rsidRPr="008E7E0B">
              <w:rPr>
                <w:rFonts w:ascii="Calibri" w:hAnsi="Calibri" w:cs="Calibri"/>
                <w:color w:val="000000"/>
                <w:sz w:val="16"/>
                <w:szCs w:val="16"/>
                <w:lang w:eastAsia="en-AU"/>
              </w:rPr>
              <w:t>19.3</w:t>
            </w:r>
          </w:p>
        </w:tc>
      </w:tr>
      <w:tr w:rsidR="008E7E0B" w:rsidRPr="008E7E0B" w:rsidTr="008E7E0B">
        <w:trPr>
          <w:trHeight w:val="225"/>
        </w:trPr>
        <w:tc>
          <w:tcPr>
            <w:tcW w:w="1660" w:type="dxa"/>
            <w:tcBorders>
              <w:top w:val="nil"/>
              <w:left w:val="nil"/>
              <w:bottom w:val="nil"/>
              <w:right w:val="nil"/>
            </w:tcBorders>
            <w:shd w:val="clear" w:color="auto" w:fill="auto"/>
            <w:noWrap/>
            <w:vAlign w:val="bottom"/>
            <w:hideMark/>
          </w:tcPr>
          <w:p w:rsidR="008E7E0B" w:rsidRPr="008E7E0B" w:rsidRDefault="008E7E0B" w:rsidP="008E7E0B">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8E7E0B" w:rsidRPr="008E7E0B" w:rsidRDefault="008E7E0B" w:rsidP="008E7E0B">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8E7E0B" w:rsidRPr="008E7E0B" w:rsidRDefault="008E7E0B" w:rsidP="008E7E0B">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8E7E0B" w:rsidRPr="008E7E0B" w:rsidRDefault="008E7E0B" w:rsidP="008E7E0B">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8E7E0B" w:rsidRPr="008E7E0B" w:rsidRDefault="008E7E0B" w:rsidP="008E7E0B">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8E7E0B" w:rsidRPr="008E7E0B" w:rsidRDefault="008E7E0B" w:rsidP="008E7E0B">
            <w:pPr>
              <w:rPr>
                <w:rFonts w:ascii="Calibri" w:hAnsi="Calibri" w:cs="Calibri"/>
                <w:color w:val="000000"/>
                <w:sz w:val="16"/>
                <w:szCs w:val="16"/>
                <w:lang w:eastAsia="en-AU"/>
              </w:rPr>
            </w:pPr>
          </w:p>
        </w:tc>
      </w:tr>
      <w:tr w:rsidR="008E7E0B" w:rsidRPr="008E7E0B" w:rsidTr="008E7E0B">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8E7E0B" w:rsidRPr="008E7E0B" w:rsidRDefault="008E7E0B" w:rsidP="008E7E0B">
            <w:pPr>
              <w:rPr>
                <w:rFonts w:ascii="Calibri" w:hAnsi="Calibri" w:cs="Calibri"/>
                <w:color w:val="000000"/>
                <w:sz w:val="16"/>
                <w:szCs w:val="16"/>
                <w:lang w:eastAsia="en-AU"/>
              </w:rPr>
            </w:pPr>
            <w:r w:rsidRPr="008E7E0B">
              <w:rPr>
                <w:rFonts w:ascii="Calibri" w:hAnsi="Calibri" w:cs="Calibri"/>
                <w:color w:val="000000"/>
                <w:sz w:val="16"/>
                <w:szCs w:val="16"/>
                <w:lang w:eastAsia="en-AU"/>
              </w:rPr>
              <w:t>Year</w:t>
            </w:r>
          </w:p>
        </w:tc>
        <w:tc>
          <w:tcPr>
            <w:tcW w:w="1120" w:type="dxa"/>
            <w:tcBorders>
              <w:top w:val="single" w:sz="4" w:space="0" w:color="auto"/>
              <w:left w:val="nil"/>
              <w:bottom w:val="single" w:sz="4" w:space="0" w:color="auto"/>
              <w:right w:val="single" w:sz="4" w:space="0" w:color="auto"/>
            </w:tcBorders>
            <w:shd w:val="clear" w:color="000000" w:fill="D8D8D8"/>
            <w:noWrap/>
            <w:vAlign w:val="center"/>
            <w:hideMark/>
          </w:tcPr>
          <w:p w:rsidR="008E7E0B" w:rsidRPr="008E7E0B" w:rsidRDefault="008E7E0B" w:rsidP="008E7E0B">
            <w:pPr>
              <w:jc w:val="center"/>
              <w:rPr>
                <w:rFonts w:ascii="Calibri" w:hAnsi="Calibri" w:cs="Calibri"/>
                <w:color w:val="000000"/>
                <w:sz w:val="16"/>
                <w:szCs w:val="16"/>
                <w:lang w:eastAsia="en-AU"/>
              </w:rPr>
            </w:pPr>
            <w:r w:rsidRPr="008E7E0B">
              <w:rPr>
                <w:rFonts w:ascii="Calibri" w:hAnsi="Calibri" w:cs="Calibri"/>
                <w:color w:val="000000"/>
                <w:sz w:val="16"/>
                <w:szCs w:val="16"/>
                <w:lang w:eastAsia="en-AU"/>
              </w:rPr>
              <w:t>2010-11</w:t>
            </w:r>
          </w:p>
        </w:tc>
        <w:tc>
          <w:tcPr>
            <w:tcW w:w="1120" w:type="dxa"/>
            <w:tcBorders>
              <w:top w:val="single" w:sz="4" w:space="0" w:color="auto"/>
              <w:left w:val="nil"/>
              <w:bottom w:val="single" w:sz="4" w:space="0" w:color="auto"/>
              <w:right w:val="single" w:sz="4" w:space="0" w:color="auto"/>
            </w:tcBorders>
            <w:shd w:val="clear" w:color="000000" w:fill="D8D8D8"/>
            <w:noWrap/>
            <w:vAlign w:val="center"/>
            <w:hideMark/>
          </w:tcPr>
          <w:p w:rsidR="008E7E0B" w:rsidRPr="008E7E0B" w:rsidRDefault="008E7E0B" w:rsidP="008E7E0B">
            <w:pPr>
              <w:jc w:val="center"/>
              <w:rPr>
                <w:rFonts w:ascii="Calibri" w:hAnsi="Calibri" w:cs="Calibri"/>
                <w:color w:val="000000"/>
                <w:sz w:val="16"/>
                <w:szCs w:val="16"/>
                <w:lang w:eastAsia="en-AU"/>
              </w:rPr>
            </w:pPr>
            <w:r w:rsidRPr="008E7E0B">
              <w:rPr>
                <w:rFonts w:ascii="Calibri" w:hAnsi="Calibri" w:cs="Calibri"/>
                <w:color w:val="000000"/>
                <w:sz w:val="16"/>
                <w:szCs w:val="16"/>
                <w:lang w:eastAsia="en-AU"/>
              </w:rPr>
              <w:t>2009-10</w:t>
            </w:r>
          </w:p>
        </w:tc>
        <w:tc>
          <w:tcPr>
            <w:tcW w:w="1120" w:type="dxa"/>
            <w:tcBorders>
              <w:top w:val="single" w:sz="4" w:space="0" w:color="auto"/>
              <w:left w:val="nil"/>
              <w:bottom w:val="single" w:sz="4" w:space="0" w:color="auto"/>
              <w:right w:val="single" w:sz="4" w:space="0" w:color="auto"/>
            </w:tcBorders>
            <w:shd w:val="clear" w:color="000000" w:fill="D8D8D8"/>
            <w:noWrap/>
            <w:vAlign w:val="center"/>
            <w:hideMark/>
          </w:tcPr>
          <w:p w:rsidR="008E7E0B" w:rsidRPr="008E7E0B" w:rsidRDefault="008E7E0B" w:rsidP="008E7E0B">
            <w:pPr>
              <w:jc w:val="center"/>
              <w:rPr>
                <w:rFonts w:ascii="Calibri" w:hAnsi="Calibri" w:cs="Calibri"/>
                <w:color w:val="000000"/>
                <w:sz w:val="16"/>
                <w:szCs w:val="16"/>
                <w:lang w:eastAsia="en-AU"/>
              </w:rPr>
            </w:pPr>
            <w:r w:rsidRPr="008E7E0B">
              <w:rPr>
                <w:rFonts w:ascii="Calibri" w:hAnsi="Calibri" w:cs="Calibri"/>
                <w:color w:val="000000"/>
                <w:sz w:val="16"/>
                <w:szCs w:val="16"/>
                <w:lang w:eastAsia="en-AU"/>
              </w:rPr>
              <w:t>2008-09</w:t>
            </w:r>
          </w:p>
        </w:tc>
      </w:tr>
      <w:tr w:rsidR="008E7E0B" w:rsidRPr="008E7E0B" w:rsidTr="008E7E0B">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E0B" w:rsidRPr="008E7E0B" w:rsidRDefault="008E7E0B" w:rsidP="008E7E0B">
            <w:pPr>
              <w:rPr>
                <w:rFonts w:ascii="Calibri" w:hAnsi="Calibri" w:cs="Calibri"/>
                <w:color w:val="000000"/>
                <w:sz w:val="16"/>
                <w:szCs w:val="16"/>
                <w:lang w:eastAsia="en-AU"/>
              </w:rPr>
            </w:pPr>
            <w:r w:rsidRPr="008E7E0B">
              <w:rPr>
                <w:rFonts w:ascii="Calibri" w:hAnsi="Calibri" w:cs="Calibri"/>
                <w:color w:val="000000"/>
                <w:sz w:val="16"/>
                <w:szCs w:val="16"/>
                <w:lang w:eastAsia="en-AU"/>
              </w:rPr>
              <w:t>Percentage by which the conversion factor over or under estimates the weight of imports</w:t>
            </w:r>
          </w:p>
        </w:tc>
        <w:tc>
          <w:tcPr>
            <w:tcW w:w="1120" w:type="dxa"/>
            <w:tcBorders>
              <w:top w:val="nil"/>
              <w:left w:val="nil"/>
              <w:bottom w:val="single" w:sz="4" w:space="0" w:color="auto"/>
              <w:right w:val="single" w:sz="4" w:space="0" w:color="auto"/>
            </w:tcBorders>
            <w:shd w:val="clear" w:color="auto" w:fill="auto"/>
            <w:noWrap/>
            <w:vAlign w:val="center"/>
            <w:hideMark/>
          </w:tcPr>
          <w:p w:rsidR="008E7E0B" w:rsidRPr="008E7E0B" w:rsidRDefault="008E7E0B" w:rsidP="005F7771">
            <w:pPr>
              <w:jc w:val="center"/>
              <w:rPr>
                <w:rFonts w:ascii="Calibri" w:hAnsi="Calibri" w:cs="Calibri"/>
                <w:color w:val="000000"/>
                <w:sz w:val="16"/>
                <w:szCs w:val="16"/>
                <w:lang w:eastAsia="en-AU"/>
              </w:rPr>
            </w:pPr>
            <w:r w:rsidRPr="008E7E0B">
              <w:rPr>
                <w:rFonts w:ascii="Calibri" w:hAnsi="Calibri" w:cs="Calibri"/>
                <w:color w:val="000000"/>
                <w:sz w:val="16"/>
                <w:szCs w:val="16"/>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rsidR="008E7E0B" w:rsidRPr="008E7E0B" w:rsidRDefault="008E7E0B" w:rsidP="003D5CA6">
            <w:pPr>
              <w:jc w:val="center"/>
              <w:rPr>
                <w:rFonts w:ascii="Calibri" w:hAnsi="Calibri" w:cs="Calibri"/>
                <w:color w:val="000000"/>
                <w:sz w:val="16"/>
                <w:szCs w:val="16"/>
                <w:lang w:eastAsia="en-AU"/>
              </w:rPr>
            </w:pPr>
            <w:r w:rsidRPr="008E7E0B">
              <w:rPr>
                <w:rFonts w:ascii="Calibri" w:hAnsi="Calibri" w:cs="Calibri"/>
                <w:color w:val="000000"/>
                <w:sz w:val="16"/>
                <w:szCs w:val="16"/>
                <w:lang w:eastAsia="en-AU"/>
              </w:rPr>
              <w:t>-</w:t>
            </w:r>
            <w:r w:rsidR="003D5CA6">
              <w:rPr>
                <w:rFonts w:ascii="Calibri" w:hAnsi="Calibri" w:cs="Calibri"/>
                <w:color w:val="000000"/>
                <w:sz w:val="16"/>
                <w:szCs w:val="16"/>
                <w:lang w:eastAsia="en-AU"/>
              </w:rPr>
              <w:t>42</w:t>
            </w:r>
            <w:r w:rsidRPr="008E7E0B">
              <w:rPr>
                <w:rFonts w:ascii="Calibri" w:hAnsi="Calibri" w:cs="Calibri"/>
                <w:color w:val="000000"/>
                <w:sz w:val="16"/>
                <w:szCs w:val="16"/>
                <w:lang w:eastAsia="en-AU"/>
              </w:rPr>
              <w:t>%</w:t>
            </w:r>
          </w:p>
        </w:tc>
        <w:tc>
          <w:tcPr>
            <w:tcW w:w="1120" w:type="dxa"/>
            <w:tcBorders>
              <w:top w:val="nil"/>
              <w:left w:val="nil"/>
              <w:bottom w:val="single" w:sz="4" w:space="0" w:color="auto"/>
              <w:right w:val="single" w:sz="4" w:space="0" w:color="auto"/>
            </w:tcBorders>
            <w:shd w:val="clear" w:color="auto" w:fill="auto"/>
            <w:noWrap/>
            <w:vAlign w:val="center"/>
            <w:hideMark/>
          </w:tcPr>
          <w:p w:rsidR="008E7E0B" w:rsidRPr="008E7E0B" w:rsidRDefault="003D5CA6" w:rsidP="005F7771">
            <w:pPr>
              <w:jc w:val="center"/>
              <w:rPr>
                <w:rFonts w:ascii="Calibri" w:hAnsi="Calibri" w:cs="Calibri"/>
                <w:color w:val="000000"/>
                <w:sz w:val="16"/>
                <w:szCs w:val="16"/>
                <w:lang w:eastAsia="en-AU"/>
              </w:rPr>
            </w:pPr>
            <w:r>
              <w:rPr>
                <w:rFonts w:ascii="Calibri" w:hAnsi="Calibri" w:cs="Calibri"/>
                <w:color w:val="000000"/>
                <w:sz w:val="16"/>
                <w:szCs w:val="16"/>
                <w:lang w:eastAsia="en-AU"/>
              </w:rPr>
              <w:t>32</w:t>
            </w:r>
            <w:r w:rsidR="008E7E0B" w:rsidRPr="008E7E0B">
              <w:rPr>
                <w:rFonts w:ascii="Calibri" w:hAnsi="Calibri" w:cs="Calibri"/>
                <w:color w:val="000000"/>
                <w:sz w:val="16"/>
                <w:szCs w:val="16"/>
                <w:lang w:eastAsia="en-AU"/>
              </w:rPr>
              <w:t>%</w:t>
            </w:r>
          </w:p>
        </w:tc>
      </w:tr>
    </w:tbl>
    <w:p w:rsidR="00DF6D71" w:rsidRDefault="00DF6D71" w:rsidP="006B0439">
      <w:pPr>
        <w:rPr>
          <w:szCs w:val="22"/>
        </w:rPr>
      </w:pPr>
    </w:p>
    <w:p w:rsidR="008E7E0B" w:rsidRDefault="008E7E0B" w:rsidP="006B0439">
      <w:pPr>
        <w:rPr>
          <w:szCs w:val="22"/>
        </w:rPr>
      </w:pPr>
    </w:p>
    <w:p w:rsidR="008E7E0B" w:rsidRDefault="008E7E0B" w:rsidP="006B0439">
      <w:pPr>
        <w:rPr>
          <w:szCs w:val="22"/>
        </w:rPr>
      </w:pPr>
    </w:p>
    <w:p w:rsidR="006B0439" w:rsidRPr="00B93EBF" w:rsidRDefault="00700380" w:rsidP="006B0439">
      <w:pPr>
        <w:rPr>
          <w:szCs w:val="22"/>
        </w:rPr>
      </w:pPr>
      <w:r>
        <w:rPr>
          <w:szCs w:val="22"/>
        </w:rPr>
        <w:t>Figure 5-3</w:t>
      </w:r>
      <w:r w:rsidR="00124203">
        <w:rPr>
          <w:szCs w:val="22"/>
        </w:rPr>
        <w:t>a</w:t>
      </w:r>
      <w:r>
        <w:rPr>
          <w:szCs w:val="22"/>
        </w:rPr>
        <w:t xml:space="preserve"> </w:t>
      </w:r>
      <w:r w:rsidR="00124203">
        <w:rPr>
          <w:szCs w:val="22"/>
        </w:rPr>
        <w:t>and Table 5-2a present</w:t>
      </w:r>
      <w:r>
        <w:rPr>
          <w:szCs w:val="22"/>
        </w:rPr>
        <w:t xml:space="preserve"> the </w:t>
      </w:r>
      <w:r w:rsidR="006B0439">
        <w:rPr>
          <w:szCs w:val="22"/>
        </w:rPr>
        <w:t xml:space="preserve">original data set for this HTISC </w:t>
      </w:r>
      <w:r>
        <w:rPr>
          <w:szCs w:val="22"/>
        </w:rPr>
        <w:t xml:space="preserve">which </w:t>
      </w:r>
      <w:r w:rsidR="006B0439">
        <w:rPr>
          <w:szCs w:val="22"/>
        </w:rPr>
        <w:t xml:space="preserve">showed a high degree of </w:t>
      </w:r>
      <w:r w:rsidR="00C62346">
        <w:rPr>
          <w:szCs w:val="22"/>
        </w:rPr>
        <w:t>variation</w:t>
      </w:r>
      <w:r w:rsidR="006B0439">
        <w:rPr>
          <w:szCs w:val="22"/>
        </w:rPr>
        <w:t xml:space="preserve"> across all weight </w:t>
      </w:r>
      <w:r w:rsidR="002D444C">
        <w:rPr>
          <w:szCs w:val="22"/>
        </w:rPr>
        <w:t xml:space="preserve">groups, with a cluster between 0 and 20 kg, </w:t>
      </w:r>
      <w:r w:rsidR="006B0439">
        <w:rPr>
          <w:szCs w:val="22"/>
        </w:rPr>
        <w:t>another cluster between 150-160 kg and a maximum of 342 kg. It was agreed with the Department to exclude from the conversion factor mod</w:t>
      </w:r>
      <w:r w:rsidR="00124203">
        <w:rPr>
          <w:szCs w:val="22"/>
        </w:rPr>
        <w:t>els weighing in excess of 40 kg (Figure 5-3b and Table 5-2b).</w:t>
      </w:r>
    </w:p>
    <w:p w:rsidR="006B0439" w:rsidRDefault="006B0439" w:rsidP="006B0439">
      <w:pPr>
        <w:rPr>
          <w:b/>
          <w:szCs w:val="22"/>
        </w:rPr>
      </w:pPr>
    </w:p>
    <w:p w:rsidR="006B0439" w:rsidRDefault="002D444C" w:rsidP="006B0439">
      <w:pPr>
        <w:rPr>
          <w:szCs w:val="22"/>
        </w:rPr>
      </w:pPr>
      <w:r>
        <w:rPr>
          <w:b/>
          <w:szCs w:val="22"/>
        </w:rPr>
        <w:t>Revised d</w:t>
      </w:r>
      <w:r w:rsidR="006B0439" w:rsidRPr="005A3097">
        <w:rPr>
          <w:b/>
          <w:szCs w:val="22"/>
        </w:rPr>
        <w:t>istribution:</w:t>
      </w:r>
      <w:r w:rsidR="006B0439">
        <w:rPr>
          <w:b/>
          <w:szCs w:val="22"/>
        </w:rPr>
        <w:t xml:space="preserve"> </w:t>
      </w:r>
      <w:r w:rsidR="006B0439">
        <w:rPr>
          <w:szCs w:val="22"/>
        </w:rPr>
        <w:t xml:space="preserve">High degree of </w:t>
      </w:r>
      <w:r w:rsidR="00C62346">
        <w:rPr>
          <w:szCs w:val="22"/>
        </w:rPr>
        <w:t>variation</w:t>
      </w:r>
      <w:r w:rsidR="006B0439">
        <w:rPr>
          <w:szCs w:val="22"/>
        </w:rPr>
        <w:t xml:space="preserve"> across all </w:t>
      </w:r>
      <w:r w:rsidR="00BB08C6">
        <w:rPr>
          <w:szCs w:val="22"/>
        </w:rPr>
        <w:t xml:space="preserve">new </w:t>
      </w:r>
      <w:r w:rsidR="006B0439">
        <w:rPr>
          <w:szCs w:val="22"/>
        </w:rPr>
        <w:t xml:space="preserve">weight groups.  </w:t>
      </w:r>
      <w:r w:rsidR="00700380">
        <w:rPr>
          <w:szCs w:val="22"/>
        </w:rPr>
        <w:t>Most imports fall within</w:t>
      </w:r>
      <w:r w:rsidR="00BB08C6">
        <w:rPr>
          <w:szCs w:val="22"/>
        </w:rPr>
        <w:t xml:space="preserve"> the</w:t>
      </w:r>
      <w:r w:rsidR="00700380">
        <w:rPr>
          <w:szCs w:val="22"/>
        </w:rPr>
        <w:t xml:space="preserve"> </w:t>
      </w:r>
      <w:r w:rsidR="006B0439">
        <w:rPr>
          <w:szCs w:val="22"/>
        </w:rPr>
        <w:t>6-8 kg group with a second cluster at 14-16 kg. The effect of th</w:t>
      </w:r>
      <w:r w:rsidR="00BB08C6">
        <w:rPr>
          <w:szCs w:val="22"/>
        </w:rPr>
        <w:t>e</w:t>
      </w:r>
      <w:r w:rsidR="006B0439">
        <w:rPr>
          <w:szCs w:val="22"/>
        </w:rPr>
        <w:t xml:space="preserve"> </w:t>
      </w:r>
      <w:r w:rsidR="00C62346">
        <w:rPr>
          <w:szCs w:val="22"/>
        </w:rPr>
        <w:t>variation</w:t>
      </w:r>
      <w:r w:rsidR="00BB08C6">
        <w:rPr>
          <w:szCs w:val="22"/>
        </w:rPr>
        <w:t xml:space="preserve"> in this HTISC</w:t>
      </w:r>
      <w:r w:rsidR="006B0439">
        <w:rPr>
          <w:szCs w:val="22"/>
        </w:rPr>
        <w:t xml:space="preserve"> is likely to be diluted at CTCN level due to the CTCN being dominated by Ink-jet devices.</w:t>
      </w:r>
    </w:p>
    <w:p w:rsidR="006B0439" w:rsidRDefault="006B0439" w:rsidP="006B0439">
      <w:pPr>
        <w:rPr>
          <w:szCs w:val="22"/>
        </w:rPr>
      </w:pPr>
      <w:r>
        <w:rPr>
          <w:b/>
          <w:szCs w:val="22"/>
        </w:rPr>
        <w:t xml:space="preserve">Proposed conversion factor: </w:t>
      </w:r>
      <w:r>
        <w:rPr>
          <w:szCs w:val="22"/>
        </w:rPr>
        <w:t>13.6 kg.</w:t>
      </w:r>
    </w:p>
    <w:p w:rsidR="006B0439" w:rsidRDefault="006B0439" w:rsidP="006B0439">
      <w:pPr>
        <w:rPr>
          <w:szCs w:val="22"/>
        </w:rPr>
      </w:pPr>
      <w:r>
        <w:rPr>
          <w:b/>
          <w:szCs w:val="22"/>
        </w:rPr>
        <w:t xml:space="preserve">Proposed confidence interval: </w:t>
      </w:r>
      <w:r w:rsidR="00CB6A7D">
        <w:rPr>
          <w:szCs w:val="22"/>
        </w:rPr>
        <w:t xml:space="preserve"> &gt; 7 kg, &lt; 36.8 kg</w:t>
      </w:r>
    </w:p>
    <w:p w:rsidR="006B0439" w:rsidRDefault="00C62346">
      <w:pPr>
        <w:rPr>
          <w:szCs w:val="22"/>
        </w:rPr>
      </w:pPr>
      <w:r>
        <w:rPr>
          <w:b/>
          <w:szCs w:val="22"/>
        </w:rPr>
        <w:t xml:space="preserve">Variation over time: </w:t>
      </w:r>
      <w:r w:rsidR="00CB6A7D">
        <w:rPr>
          <w:szCs w:val="22"/>
        </w:rPr>
        <w:t>High</w:t>
      </w:r>
    </w:p>
    <w:p w:rsidR="008E7E0B" w:rsidRDefault="008E7E0B">
      <w:pPr>
        <w:rPr>
          <w:rFonts w:ascii="Arial" w:hAnsi="Arial" w:cs="Arial"/>
          <w:b/>
          <w:bCs/>
          <w:color w:val="000000"/>
          <w:szCs w:val="22"/>
          <w:lang w:eastAsia="en-AU"/>
        </w:rPr>
      </w:pPr>
    </w:p>
    <w:p w:rsidR="006B0439" w:rsidRDefault="006B0439">
      <w:pPr>
        <w:rPr>
          <w:szCs w:val="22"/>
        </w:rPr>
      </w:pPr>
      <w:r w:rsidRPr="00B16720">
        <w:rPr>
          <w:rFonts w:ascii="Arial" w:hAnsi="Arial" w:cs="Arial"/>
          <w:b/>
          <w:bCs/>
          <w:color w:val="000000"/>
          <w:szCs w:val="22"/>
          <w:lang w:eastAsia="en-AU"/>
        </w:rPr>
        <w:t>SC07 8443.31.00 90 - MFDs: Other MFDs</w:t>
      </w:r>
      <w:r>
        <w:rPr>
          <w:szCs w:val="22"/>
        </w:rPr>
        <w:t xml:space="preserve"> </w:t>
      </w:r>
    </w:p>
    <w:p w:rsidR="006B0439" w:rsidRDefault="006B0439">
      <w:pPr>
        <w:rPr>
          <w:szCs w:val="22"/>
        </w:rPr>
      </w:pPr>
    </w:p>
    <w:p w:rsidR="00700380" w:rsidRPr="00700380" w:rsidRDefault="002652C5" w:rsidP="00700380">
      <w:pPr>
        <w:pStyle w:val="Caption"/>
      </w:pPr>
      <w:r>
        <w:t>Figure 5-4</w:t>
      </w:r>
      <w:r w:rsidR="00124203">
        <w:t>a</w:t>
      </w:r>
      <w:r>
        <w:t xml:space="preserve">  </w:t>
      </w:r>
      <w:r w:rsidR="004360E0">
        <w:t xml:space="preserve"> </w:t>
      </w:r>
      <w:r w:rsidR="00AC1355">
        <w:t xml:space="preserve">HTISC frequency distribution in CF year- </w:t>
      </w:r>
      <w:r w:rsidR="00124203">
        <w:t>original</w:t>
      </w:r>
    </w:p>
    <w:p w:rsidR="00700380" w:rsidRDefault="00700380">
      <w:pPr>
        <w:rPr>
          <w:szCs w:val="22"/>
        </w:rPr>
      </w:pPr>
      <w:r w:rsidRPr="00700380">
        <w:rPr>
          <w:noProof/>
          <w:szCs w:val="22"/>
          <w:lang w:eastAsia="en-AU"/>
        </w:rPr>
        <w:drawing>
          <wp:inline distT="0" distB="0" distL="0" distR="0">
            <wp:extent cx="4889500" cy="2984500"/>
            <wp:effectExtent l="19050" t="0" r="25400" b="6350"/>
            <wp:docPr id="5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00380" w:rsidRDefault="00700380">
      <w:pPr>
        <w:rPr>
          <w:szCs w:val="22"/>
        </w:rPr>
      </w:pPr>
    </w:p>
    <w:p w:rsidR="00124203" w:rsidRDefault="00124203" w:rsidP="00124203">
      <w:pPr>
        <w:pStyle w:val="Caption"/>
      </w:pPr>
    </w:p>
    <w:p w:rsidR="00924E59" w:rsidRDefault="00924E59" w:rsidP="00924E59">
      <w:pPr>
        <w:rPr>
          <w:lang w:val="en-GB"/>
        </w:rPr>
      </w:pPr>
    </w:p>
    <w:p w:rsidR="00924E59" w:rsidRPr="00924E59" w:rsidRDefault="00924E59" w:rsidP="00924E59">
      <w:pPr>
        <w:rPr>
          <w:lang w:val="en-GB"/>
        </w:rPr>
      </w:pPr>
    </w:p>
    <w:p w:rsidR="00924E59" w:rsidRPr="00924E59" w:rsidRDefault="00924E59" w:rsidP="00924E59">
      <w:pPr>
        <w:pStyle w:val="Caption"/>
      </w:pPr>
      <w:r>
        <w:t>Table 5-3</w:t>
      </w:r>
      <w:r w:rsidR="00280783">
        <w:t>a</w:t>
      </w:r>
      <w:r>
        <w:t xml:space="preserve">  Conversion factor statistics –original data set</w:t>
      </w:r>
    </w:p>
    <w:tbl>
      <w:tblPr>
        <w:tblW w:w="7260" w:type="dxa"/>
        <w:tblInd w:w="93" w:type="dxa"/>
        <w:tblLook w:val="04A0"/>
      </w:tblPr>
      <w:tblGrid>
        <w:gridCol w:w="1660"/>
        <w:gridCol w:w="1120"/>
        <w:gridCol w:w="1120"/>
        <w:gridCol w:w="1120"/>
        <w:gridCol w:w="1120"/>
        <w:gridCol w:w="1120"/>
      </w:tblGrid>
      <w:tr w:rsidR="00924E59" w:rsidRPr="003C2D52" w:rsidTr="00924E59">
        <w:trPr>
          <w:trHeight w:val="450"/>
        </w:trPr>
        <w:tc>
          <w:tcPr>
            <w:tcW w:w="166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924E59" w:rsidRPr="003C2D52" w:rsidRDefault="00924E59" w:rsidP="00924E59">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CF year</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924E59" w:rsidRPr="003C2D52" w:rsidRDefault="00924E59" w:rsidP="00924E59">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No. of ABS imports</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924E59" w:rsidRPr="003C2D52" w:rsidRDefault="00924E59" w:rsidP="00924E59">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 ABS imports included</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924E59" w:rsidRPr="003C2D52" w:rsidRDefault="00924E59" w:rsidP="00924E59">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Min weight</w:t>
            </w:r>
            <w:r w:rsidRPr="003C2D52">
              <w:rPr>
                <w:rFonts w:ascii="Calibri" w:hAnsi="Calibri" w:cs="Calibri"/>
                <w:color w:val="000000"/>
                <w:sz w:val="16"/>
                <w:szCs w:val="16"/>
                <w:lang w:eastAsia="en-AU"/>
              </w:rPr>
              <w:br/>
              <w:t>(kg)</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924E59" w:rsidRPr="003C2D52" w:rsidRDefault="00924E59" w:rsidP="00924E59">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Max weight (kg)</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924E59" w:rsidRPr="003C2D52" w:rsidRDefault="00924E59" w:rsidP="00924E59">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Standard deviation</w:t>
            </w:r>
          </w:p>
        </w:tc>
      </w:tr>
      <w:tr w:rsidR="003D5CA6" w:rsidRPr="003C2D52" w:rsidTr="00924E59">
        <w:trPr>
          <w:trHeight w:val="22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3D5CA6" w:rsidRPr="003C2D52" w:rsidRDefault="003D5CA6" w:rsidP="00924E59">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2010-11</w:t>
            </w:r>
          </w:p>
        </w:tc>
        <w:tc>
          <w:tcPr>
            <w:tcW w:w="1120" w:type="dxa"/>
            <w:tcBorders>
              <w:top w:val="nil"/>
              <w:left w:val="nil"/>
              <w:bottom w:val="single" w:sz="4" w:space="0" w:color="auto"/>
              <w:right w:val="single" w:sz="4" w:space="0" w:color="auto"/>
            </w:tcBorders>
            <w:shd w:val="clear" w:color="auto" w:fill="auto"/>
            <w:noWrap/>
            <w:vAlign w:val="center"/>
            <w:hideMark/>
          </w:tcPr>
          <w:p w:rsidR="003D5CA6" w:rsidRDefault="003D5CA6">
            <w:pPr>
              <w:jc w:val="center"/>
              <w:rPr>
                <w:rFonts w:ascii="Calibri" w:hAnsi="Calibri" w:cs="Calibri"/>
                <w:color w:val="000000"/>
                <w:sz w:val="16"/>
                <w:szCs w:val="16"/>
              </w:rPr>
            </w:pPr>
            <w:r>
              <w:rPr>
                <w:rFonts w:ascii="Calibri" w:hAnsi="Calibri" w:cs="Calibri"/>
                <w:color w:val="000000"/>
                <w:sz w:val="16"/>
                <w:szCs w:val="16"/>
              </w:rPr>
              <w:t>446,228</w:t>
            </w:r>
          </w:p>
        </w:tc>
        <w:tc>
          <w:tcPr>
            <w:tcW w:w="1120" w:type="dxa"/>
            <w:tcBorders>
              <w:top w:val="nil"/>
              <w:left w:val="nil"/>
              <w:bottom w:val="single" w:sz="4" w:space="0" w:color="auto"/>
              <w:right w:val="single" w:sz="4" w:space="0" w:color="auto"/>
            </w:tcBorders>
            <w:shd w:val="clear" w:color="auto" w:fill="auto"/>
            <w:noWrap/>
            <w:vAlign w:val="center"/>
            <w:hideMark/>
          </w:tcPr>
          <w:p w:rsidR="003D5CA6" w:rsidRDefault="003D5CA6">
            <w:pPr>
              <w:jc w:val="center"/>
              <w:rPr>
                <w:rFonts w:ascii="Calibri" w:hAnsi="Calibri" w:cs="Calibri"/>
                <w:color w:val="000000"/>
                <w:sz w:val="16"/>
                <w:szCs w:val="16"/>
              </w:rPr>
            </w:pPr>
            <w:r>
              <w:rPr>
                <w:rFonts w:ascii="Calibri" w:hAnsi="Calibri" w:cs="Calibri"/>
                <w:color w:val="000000"/>
                <w:sz w:val="16"/>
                <w:szCs w:val="16"/>
              </w:rPr>
              <w:t>9%</w:t>
            </w:r>
          </w:p>
        </w:tc>
        <w:tc>
          <w:tcPr>
            <w:tcW w:w="1120" w:type="dxa"/>
            <w:tcBorders>
              <w:top w:val="nil"/>
              <w:left w:val="nil"/>
              <w:bottom w:val="single" w:sz="4" w:space="0" w:color="auto"/>
              <w:right w:val="single" w:sz="4" w:space="0" w:color="auto"/>
            </w:tcBorders>
            <w:shd w:val="clear" w:color="auto" w:fill="auto"/>
            <w:noWrap/>
            <w:vAlign w:val="center"/>
            <w:hideMark/>
          </w:tcPr>
          <w:p w:rsidR="003D5CA6" w:rsidRDefault="003D5CA6">
            <w:pPr>
              <w:jc w:val="center"/>
              <w:rPr>
                <w:rFonts w:ascii="Calibri" w:hAnsi="Calibri" w:cs="Calibri"/>
                <w:color w:val="000000"/>
                <w:sz w:val="16"/>
                <w:szCs w:val="16"/>
              </w:rPr>
            </w:pPr>
            <w:r>
              <w:rPr>
                <w:rFonts w:ascii="Calibri" w:hAnsi="Calibri" w:cs="Calibri"/>
                <w:color w:val="000000"/>
                <w:sz w:val="16"/>
                <w:szCs w:val="16"/>
              </w:rPr>
              <w:t>4</w:t>
            </w:r>
          </w:p>
        </w:tc>
        <w:tc>
          <w:tcPr>
            <w:tcW w:w="1120" w:type="dxa"/>
            <w:tcBorders>
              <w:top w:val="nil"/>
              <w:left w:val="nil"/>
              <w:bottom w:val="single" w:sz="4" w:space="0" w:color="auto"/>
              <w:right w:val="single" w:sz="4" w:space="0" w:color="auto"/>
            </w:tcBorders>
            <w:shd w:val="clear" w:color="auto" w:fill="auto"/>
            <w:noWrap/>
            <w:vAlign w:val="center"/>
            <w:hideMark/>
          </w:tcPr>
          <w:p w:rsidR="003D5CA6" w:rsidRDefault="003D5CA6">
            <w:pPr>
              <w:jc w:val="center"/>
              <w:rPr>
                <w:rFonts w:ascii="Calibri" w:hAnsi="Calibri" w:cs="Calibri"/>
                <w:color w:val="000000"/>
                <w:sz w:val="16"/>
                <w:szCs w:val="16"/>
              </w:rPr>
            </w:pPr>
            <w:r>
              <w:rPr>
                <w:rFonts w:ascii="Calibri" w:hAnsi="Calibri" w:cs="Calibri"/>
                <w:color w:val="000000"/>
                <w:sz w:val="16"/>
                <w:szCs w:val="16"/>
              </w:rPr>
              <w:t>551.0</w:t>
            </w:r>
          </w:p>
        </w:tc>
        <w:tc>
          <w:tcPr>
            <w:tcW w:w="1120" w:type="dxa"/>
            <w:tcBorders>
              <w:top w:val="nil"/>
              <w:left w:val="nil"/>
              <w:bottom w:val="single" w:sz="4" w:space="0" w:color="auto"/>
              <w:right w:val="single" w:sz="4" w:space="0" w:color="auto"/>
            </w:tcBorders>
            <w:shd w:val="clear" w:color="auto" w:fill="auto"/>
            <w:noWrap/>
            <w:vAlign w:val="center"/>
            <w:hideMark/>
          </w:tcPr>
          <w:p w:rsidR="003D5CA6" w:rsidRDefault="003D5CA6">
            <w:pPr>
              <w:jc w:val="center"/>
              <w:rPr>
                <w:rFonts w:ascii="Calibri" w:hAnsi="Calibri" w:cs="Calibri"/>
                <w:color w:val="000000"/>
                <w:sz w:val="16"/>
                <w:szCs w:val="16"/>
              </w:rPr>
            </w:pPr>
            <w:r>
              <w:rPr>
                <w:rFonts w:ascii="Calibri" w:hAnsi="Calibri" w:cs="Calibri"/>
                <w:color w:val="000000"/>
                <w:sz w:val="16"/>
                <w:szCs w:val="16"/>
              </w:rPr>
              <w:t>3.0</w:t>
            </w:r>
          </w:p>
        </w:tc>
      </w:tr>
      <w:tr w:rsidR="00924E59" w:rsidRPr="003C2D52" w:rsidTr="00924E59">
        <w:trPr>
          <w:trHeight w:val="225"/>
        </w:trPr>
        <w:tc>
          <w:tcPr>
            <w:tcW w:w="1660" w:type="dxa"/>
            <w:tcBorders>
              <w:top w:val="nil"/>
              <w:left w:val="nil"/>
              <w:bottom w:val="nil"/>
              <w:right w:val="nil"/>
            </w:tcBorders>
            <w:shd w:val="clear" w:color="auto" w:fill="auto"/>
            <w:noWrap/>
            <w:vAlign w:val="bottom"/>
            <w:hideMark/>
          </w:tcPr>
          <w:p w:rsidR="00924E59" w:rsidRPr="003C2D52" w:rsidRDefault="00924E59" w:rsidP="00924E59">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924E59" w:rsidRPr="003C2D52" w:rsidRDefault="00924E59" w:rsidP="00924E59">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924E59" w:rsidRPr="003C2D52" w:rsidRDefault="00924E59" w:rsidP="00924E59">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924E59" w:rsidRPr="003C2D52" w:rsidRDefault="00924E59" w:rsidP="00924E59">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924E59" w:rsidRPr="003C2D52" w:rsidRDefault="00924E59" w:rsidP="00924E59">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924E59" w:rsidRPr="003C2D52" w:rsidRDefault="00924E59" w:rsidP="00924E59">
            <w:pPr>
              <w:rPr>
                <w:rFonts w:ascii="Calibri" w:hAnsi="Calibri" w:cs="Calibri"/>
                <w:color w:val="000000"/>
                <w:sz w:val="16"/>
                <w:szCs w:val="16"/>
                <w:lang w:eastAsia="en-AU"/>
              </w:rPr>
            </w:pPr>
          </w:p>
        </w:tc>
      </w:tr>
      <w:tr w:rsidR="00924E59" w:rsidRPr="003C2D52" w:rsidTr="00924E59">
        <w:trPr>
          <w:trHeight w:val="450"/>
        </w:trPr>
        <w:tc>
          <w:tcPr>
            <w:tcW w:w="1660" w:type="dxa"/>
            <w:tcBorders>
              <w:top w:val="single" w:sz="4" w:space="0" w:color="auto"/>
              <w:left w:val="single" w:sz="4" w:space="0" w:color="auto"/>
              <w:bottom w:val="nil"/>
              <w:right w:val="single" w:sz="4" w:space="0" w:color="auto"/>
            </w:tcBorders>
            <w:shd w:val="clear" w:color="000000" w:fill="D8D8D8"/>
            <w:vAlign w:val="center"/>
            <w:hideMark/>
          </w:tcPr>
          <w:p w:rsidR="00924E59" w:rsidRPr="003C2D52" w:rsidRDefault="00924E59" w:rsidP="00924E59">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Method</w:t>
            </w:r>
          </w:p>
        </w:tc>
        <w:tc>
          <w:tcPr>
            <w:tcW w:w="1120" w:type="dxa"/>
            <w:tcBorders>
              <w:top w:val="single" w:sz="4" w:space="0" w:color="auto"/>
              <w:left w:val="nil"/>
              <w:bottom w:val="nil"/>
              <w:right w:val="single" w:sz="4" w:space="0" w:color="auto"/>
            </w:tcBorders>
            <w:shd w:val="clear" w:color="000000" w:fill="D8D8D8"/>
            <w:vAlign w:val="center"/>
            <w:hideMark/>
          </w:tcPr>
          <w:p w:rsidR="00924E59" w:rsidRPr="003C2D52" w:rsidRDefault="00924E59" w:rsidP="00924E59">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Measure of average</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924E59" w:rsidRPr="003C2D52" w:rsidRDefault="00924E59" w:rsidP="00924E59">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Average weight (kg)</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924E59" w:rsidRPr="003C2D52" w:rsidRDefault="00924E59" w:rsidP="00924E59">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Lower limit (kg)</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924E59" w:rsidRPr="003C2D52" w:rsidRDefault="00924E59" w:rsidP="00924E59">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Upper limit (kg)</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924E59" w:rsidRPr="003C2D52" w:rsidRDefault="00924E59" w:rsidP="00924E59">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Confidence interval ± (kg)</w:t>
            </w:r>
          </w:p>
        </w:tc>
      </w:tr>
      <w:tr w:rsidR="003D5CA6" w:rsidRPr="003C2D52" w:rsidTr="00924E59">
        <w:trPr>
          <w:trHeight w:val="48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CA6" w:rsidRPr="003C2D52" w:rsidRDefault="003D5CA6" w:rsidP="00924E59">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Approximation to the normal distribution</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3D5CA6" w:rsidRPr="003C2D52" w:rsidRDefault="003D5CA6" w:rsidP="00924E59">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Mean</w:t>
            </w:r>
          </w:p>
        </w:tc>
        <w:tc>
          <w:tcPr>
            <w:tcW w:w="1120" w:type="dxa"/>
            <w:tcBorders>
              <w:top w:val="nil"/>
              <w:left w:val="nil"/>
              <w:bottom w:val="single" w:sz="4" w:space="0" w:color="auto"/>
              <w:right w:val="single" w:sz="4" w:space="0" w:color="auto"/>
            </w:tcBorders>
            <w:shd w:val="clear" w:color="auto" w:fill="auto"/>
            <w:noWrap/>
            <w:vAlign w:val="center"/>
            <w:hideMark/>
          </w:tcPr>
          <w:p w:rsidR="003D5CA6" w:rsidRDefault="003D5CA6">
            <w:pPr>
              <w:jc w:val="center"/>
              <w:rPr>
                <w:rFonts w:ascii="Calibri" w:hAnsi="Calibri" w:cs="Calibri"/>
                <w:color w:val="000000"/>
                <w:sz w:val="16"/>
                <w:szCs w:val="16"/>
              </w:rPr>
            </w:pPr>
            <w:r>
              <w:rPr>
                <w:rFonts w:ascii="Calibri" w:hAnsi="Calibri" w:cs="Calibri"/>
                <w:color w:val="000000"/>
                <w:sz w:val="16"/>
                <w:szCs w:val="16"/>
              </w:rPr>
              <w:t>84.5</w:t>
            </w:r>
          </w:p>
        </w:tc>
        <w:tc>
          <w:tcPr>
            <w:tcW w:w="1120" w:type="dxa"/>
            <w:tcBorders>
              <w:top w:val="nil"/>
              <w:left w:val="nil"/>
              <w:bottom w:val="single" w:sz="4" w:space="0" w:color="auto"/>
              <w:right w:val="single" w:sz="4" w:space="0" w:color="auto"/>
            </w:tcBorders>
            <w:shd w:val="clear" w:color="auto" w:fill="auto"/>
            <w:noWrap/>
            <w:vAlign w:val="center"/>
            <w:hideMark/>
          </w:tcPr>
          <w:p w:rsidR="003D5CA6" w:rsidRDefault="003D5CA6">
            <w:pPr>
              <w:jc w:val="center"/>
              <w:rPr>
                <w:rFonts w:ascii="Calibri" w:hAnsi="Calibri" w:cs="Calibri"/>
                <w:color w:val="000000"/>
                <w:sz w:val="16"/>
                <w:szCs w:val="16"/>
              </w:rPr>
            </w:pPr>
            <w:r>
              <w:rPr>
                <w:rFonts w:ascii="Calibri" w:hAnsi="Calibri" w:cs="Calibri"/>
                <w:color w:val="000000"/>
                <w:sz w:val="16"/>
                <w:szCs w:val="16"/>
              </w:rPr>
              <w:t>78.5</w:t>
            </w:r>
          </w:p>
        </w:tc>
        <w:tc>
          <w:tcPr>
            <w:tcW w:w="1120" w:type="dxa"/>
            <w:tcBorders>
              <w:top w:val="nil"/>
              <w:left w:val="nil"/>
              <w:bottom w:val="single" w:sz="4" w:space="0" w:color="auto"/>
              <w:right w:val="single" w:sz="4" w:space="0" w:color="auto"/>
            </w:tcBorders>
            <w:shd w:val="clear" w:color="auto" w:fill="auto"/>
            <w:noWrap/>
            <w:vAlign w:val="center"/>
            <w:hideMark/>
          </w:tcPr>
          <w:p w:rsidR="003D5CA6" w:rsidRDefault="003D5CA6">
            <w:pPr>
              <w:jc w:val="center"/>
              <w:rPr>
                <w:rFonts w:ascii="Calibri" w:hAnsi="Calibri" w:cs="Calibri"/>
                <w:color w:val="000000"/>
                <w:sz w:val="16"/>
                <w:szCs w:val="16"/>
              </w:rPr>
            </w:pPr>
            <w:r>
              <w:rPr>
                <w:rFonts w:ascii="Calibri" w:hAnsi="Calibri" w:cs="Calibri"/>
                <w:color w:val="000000"/>
                <w:sz w:val="16"/>
                <w:szCs w:val="16"/>
              </w:rPr>
              <w:t>90.5</w:t>
            </w:r>
          </w:p>
        </w:tc>
        <w:tc>
          <w:tcPr>
            <w:tcW w:w="1120" w:type="dxa"/>
            <w:tcBorders>
              <w:top w:val="nil"/>
              <w:left w:val="nil"/>
              <w:bottom w:val="single" w:sz="4" w:space="0" w:color="auto"/>
              <w:right w:val="single" w:sz="4" w:space="0" w:color="auto"/>
            </w:tcBorders>
            <w:shd w:val="clear" w:color="auto" w:fill="auto"/>
            <w:noWrap/>
            <w:vAlign w:val="center"/>
            <w:hideMark/>
          </w:tcPr>
          <w:p w:rsidR="003D5CA6" w:rsidRDefault="003D5CA6">
            <w:pPr>
              <w:jc w:val="center"/>
              <w:rPr>
                <w:rFonts w:ascii="Calibri" w:hAnsi="Calibri" w:cs="Calibri"/>
                <w:color w:val="000000"/>
                <w:sz w:val="16"/>
                <w:szCs w:val="16"/>
              </w:rPr>
            </w:pPr>
            <w:r>
              <w:rPr>
                <w:rFonts w:ascii="Calibri" w:hAnsi="Calibri" w:cs="Calibri"/>
                <w:color w:val="000000"/>
                <w:sz w:val="16"/>
                <w:szCs w:val="16"/>
              </w:rPr>
              <w:t>6.0</w:t>
            </w:r>
          </w:p>
        </w:tc>
      </w:tr>
      <w:tr w:rsidR="003D5CA6" w:rsidRPr="003C2D52" w:rsidTr="00924E59">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3D5CA6" w:rsidRPr="003C2D52" w:rsidRDefault="003D5CA6" w:rsidP="00924E59">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Use of percentiles</w:t>
            </w:r>
          </w:p>
        </w:tc>
        <w:tc>
          <w:tcPr>
            <w:tcW w:w="1120" w:type="dxa"/>
            <w:tcBorders>
              <w:top w:val="nil"/>
              <w:left w:val="nil"/>
              <w:bottom w:val="single" w:sz="4" w:space="0" w:color="auto"/>
              <w:right w:val="single" w:sz="4" w:space="0" w:color="auto"/>
            </w:tcBorders>
            <w:shd w:val="clear" w:color="auto" w:fill="auto"/>
            <w:vAlign w:val="center"/>
            <w:hideMark/>
          </w:tcPr>
          <w:p w:rsidR="003D5CA6" w:rsidRPr="003C2D52" w:rsidRDefault="003D5CA6" w:rsidP="00924E59">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Median</w:t>
            </w:r>
          </w:p>
        </w:tc>
        <w:tc>
          <w:tcPr>
            <w:tcW w:w="1120" w:type="dxa"/>
            <w:tcBorders>
              <w:top w:val="nil"/>
              <w:left w:val="nil"/>
              <w:bottom w:val="single" w:sz="4" w:space="0" w:color="auto"/>
              <w:right w:val="single" w:sz="4" w:space="0" w:color="auto"/>
            </w:tcBorders>
            <w:shd w:val="clear" w:color="auto" w:fill="auto"/>
            <w:noWrap/>
            <w:vAlign w:val="center"/>
            <w:hideMark/>
          </w:tcPr>
          <w:p w:rsidR="003D5CA6" w:rsidRDefault="003D5CA6">
            <w:pPr>
              <w:jc w:val="center"/>
              <w:rPr>
                <w:rFonts w:ascii="Calibri" w:hAnsi="Calibri" w:cs="Calibri"/>
                <w:color w:val="000000"/>
                <w:sz w:val="16"/>
                <w:szCs w:val="16"/>
              </w:rPr>
            </w:pPr>
            <w:r>
              <w:rPr>
                <w:rFonts w:ascii="Calibri" w:hAnsi="Calibri" w:cs="Calibri"/>
                <w:color w:val="000000"/>
                <w:sz w:val="16"/>
                <w:szCs w:val="16"/>
              </w:rPr>
              <w:t>132.1</w:t>
            </w:r>
          </w:p>
        </w:tc>
        <w:tc>
          <w:tcPr>
            <w:tcW w:w="1120" w:type="dxa"/>
            <w:tcBorders>
              <w:top w:val="nil"/>
              <w:left w:val="nil"/>
              <w:bottom w:val="single" w:sz="4" w:space="0" w:color="auto"/>
              <w:right w:val="single" w:sz="4" w:space="0" w:color="auto"/>
            </w:tcBorders>
            <w:shd w:val="clear" w:color="auto" w:fill="auto"/>
            <w:noWrap/>
            <w:vAlign w:val="center"/>
            <w:hideMark/>
          </w:tcPr>
          <w:p w:rsidR="003D5CA6" w:rsidRDefault="003D5CA6">
            <w:pPr>
              <w:jc w:val="center"/>
              <w:rPr>
                <w:rFonts w:ascii="Calibri" w:hAnsi="Calibri" w:cs="Calibri"/>
                <w:color w:val="000000"/>
                <w:sz w:val="16"/>
                <w:szCs w:val="16"/>
              </w:rPr>
            </w:pPr>
            <w:r>
              <w:rPr>
                <w:rFonts w:ascii="Calibri" w:hAnsi="Calibri" w:cs="Calibri"/>
                <w:color w:val="000000"/>
                <w:sz w:val="16"/>
                <w:szCs w:val="16"/>
              </w:rPr>
              <w:t>9.9</w:t>
            </w:r>
          </w:p>
        </w:tc>
        <w:tc>
          <w:tcPr>
            <w:tcW w:w="1120" w:type="dxa"/>
            <w:tcBorders>
              <w:top w:val="nil"/>
              <w:left w:val="nil"/>
              <w:bottom w:val="single" w:sz="4" w:space="0" w:color="auto"/>
              <w:right w:val="single" w:sz="4" w:space="0" w:color="auto"/>
            </w:tcBorders>
            <w:shd w:val="clear" w:color="auto" w:fill="auto"/>
            <w:noWrap/>
            <w:vAlign w:val="center"/>
            <w:hideMark/>
          </w:tcPr>
          <w:p w:rsidR="003D5CA6" w:rsidRDefault="003D5CA6">
            <w:pPr>
              <w:jc w:val="center"/>
              <w:rPr>
                <w:rFonts w:ascii="Calibri" w:hAnsi="Calibri" w:cs="Calibri"/>
                <w:color w:val="000000"/>
                <w:sz w:val="16"/>
                <w:szCs w:val="16"/>
              </w:rPr>
            </w:pPr>
            <w:r>
              <w:rPr>
                <w:rFonts w:ascii="Calibri" w:hAnsi="Calibri" w:cs="Calibri"/>
                <w:color w:val="000000"/>
                <w:sz w:val="16"/>
                <w:szCs w:val="16"/>
              </w:rPr>
              <w:t>278.8</w:t>
            </w:r>
          </w:p>
        </w:tc>
        <w:tc>
          <w:tcPr>
            <w:tcW w:w="1120" w:type="dxa"/>
            <w:tcBorders>
              <w:top w:val="nil"/>
              <w:left w:val="nil"/>
              <w:bottom w:val="single" w:sz="4" w:space="0" w:color="auto"/>
              <w:right w:val="single" w:sz="4" w:space="0" w:color="auto"/>
            </w:tcBorders>
            <w:shd w:val="clear" w:color="auto" w:fill="auto"/>
            <w:noWrap/>
            <w:vAlign w:val="center"/>
            <w:hideMark/>
          </w:tcPr>
          <w:p w:rsidR="003D5CA6" w:rsidRDefault="003D5CA6">
            <w:pPr>
              <w:jc w:val="center"/>
              <w:rPr>
                <w:rFonts w:ascii="Calibri" w:hAnsi="Calibri" w:cs="Calibri"/>
                <w:color w:val="000000"/>
                <w:sz w:val="16"/>
                <w:szCs w:val="16"/>
              </w:rPr>
            </w:pPr>
            <w:r>
              <w:rPr>
                <w:rFonts w:ascii="Calibri" w:hAnsi="Calibri" w:cs="Calibri"/>
                <w:color w:val="000000"/>
                <w:sz w:val="16"/>
                <w:szCs w:val="16"/>
              </w:rPr>
              <w:t>146.7</w:t>
            </w:r>
          </w:p>
        </w:tc>
      </w:tr>
      <w:tr w:rsidR="00924E59" w:rsidRPr="003C2D52" w:rsidTr="00924E59">
        <w:trPr>
          <w:trHeight w:val="225"/>
        </w:trPr>
        <w:tc>
          <w:tcPr>
            <w:tcW w:w="1660" w:type="dxa"/>
            <w:tcBorders>
              <w:top w:val="nil"/>
              <w:left w:val="nil"/>
              <w:bottom w:val="nil"/>
              <w:right w:val="nil"/>
            </w:tcBorders>
            <w:shd w:val="clear" w:color="auto" w:fill="auto"/>
            <w:noWrap/>
            <w:vAlign w:val="bottom"/>
            <w:hideMark/>
          </w:tcPr>
          <w:p w:rsidR="00924E59" w:rsidRPr="003C2D52" w:rsidRDefault="00924E59" w:rsidP="00924E59">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924E59" w:rsidRPr="003C2D52" w:rsidRDefault="00924E59" w:rsidP="00924E59">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924E59" w:rsidRPr="003C2D52" w:rsidRDefault="00924E59" w:rsidP="00924E59">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924E59" w:rsidRPr="003C2D52" w:rsidRDefault="00924E59" w:rsidP="00924E59">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924E59" w:rsidRPr="003C2D52" w:rsidRDefault="00924E59" w:rsidP="00924E59">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924E59" w:rsidRPr="003C2D52" w:rsidRDefault="00924E59" w:rsidP="00924E59">
            <w:pPr>
              <w:rPr>
                <w:rFonts w:ascii="Calibri" w:hAnsi="Calibri" w:cs="Calibri"/>
                <w:color w:val="000000"/>
                <w:sz w:val="16"/>
                <w:szCs w:val="16"/>
                <w:lang w:eastAsia="en-AU"/>
              </w:rPr>
            </w:pPr>
          </w:p>
        </w:tc>
      </w:tr>
      <w:tr w:rsidR="00924E59" w:rsidRPr="003C2D52" w:rsidTr="00924E59">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924E59" w:rsidRPr="003C2D52" w:rsidRDefault="00924E59" w:rsidP="00924E59">
            <w:pPr>
              <w:rPr>
                <w:rFonts w:ascii="Calibri" w:hAnsi="Calibri" w:cs="Calibri"/>
                <w:color w:val="000000"/>
                <w:sz w:val="16"/>
                <w:szCs w:val="16"/>
                <w:lang w:eastAsia="en-AU"/>
              </w:rPr>
            </w:pPr>
            <w:r w:rsidRPr="003C2D52">
              <w:rPr>
                <w:rFonts w:ascii="Calibri" w:hAnsi="Calibri" w:cs="Calibri"/>
                <w:color w:val="000000"/>
                <w:sz w:val="16"/>
                <w:szCs w:val="16"/>
                <w:lang w:eastAsia="en-AU"/>
              </w:rPr>
              <w:t>Year</w:t>
            </w:r>
          </w:p>
        </w:tc>
        <w:tc>
          <w:tcPr>
            <w:tcW w:w="1120" w:type="dxa"/>
            <w:tcBorders>
              <w:top w:val="single" w:sz="4" w:space="0" w:color="auto"/>
              <w:left w:val="nil"/>
              <w:bottom w:val="single" w:sz="4" w:space="0" w:color="auto"/>
              <w:right w:val="single" w:sz="4" w:space="0" w:color="auto"/>
            </w:tcBorders>
            <w:shd w:val="clear" w:color="000000" w:fill="D8D8D8"/>
            <w:noWrap/>
            <w:vAlign w:val="center"/>
            <w:hideMark/>
          </w:tcPr>
          <w:p w:rsidR="00924E59" w:rsidRPr="003C2D52" w:rsidRDefault="00924E59" w:rsidP="00924E59">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2010-11</w:t>
            </w:r>
          </w:p>
        </w:tc>
        <w:tc>
          <w:tcPr>
            <w:tcW w:w="1120" w:type="dxa"/>
            <w:tcBorders>
              <w:top w:val="single" w:sz="4" w:space="0" w:color="auto"/>
              <w:left w:val="nil"/>
              <w:bottom w:val="single" w:sz="4" w:space="0" w:color="auto"/>
              <w:right w:val="single" w:sz="4" w:space="0" w:color="auto"/>
            </w:tcBorders>
            <w:shd w:val="clear" w:color="000000" w:fill="D8D8D8"/>
            <w:noWrap/>
            <w:vAlign w:val="center"/>
            <w:hideMark/>
          </w:tcPr>
          <w:p w:rsidR="00924E59" w:rsidRPr="003C2D52" w:rsidRDefault="00924E59" w:rsidP="00924E59">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2009-10</w:t>
            </w:r>
          </w:p>
        </w:tc>
        <w:tc>
          <w:tcPr>
            <w:tcW w:w="1120" w:type="dxa"/>
            <w:tcBorders>
              <w:top w:val="single" w:sz="4" w:space="0" w:color="auto"/>
              <w:left w:val="nil"/>
              <w:bottom w:val="single" w:sz="4" w:space="0" w:color="auto"/>
              <w:right w:val="single" w:sz="4" w:space="0" w:color="auto"/>
            </w:tcBorders>
            <w:shd w:val="clear" w:color="000000" w:fill="D8D8D8"/>
            <w:noWrap/>
            <w:vAlign w:val="center"/>
            <w:hideMark/>
          </w:tcPr>
          <w:p w:rsidR="00924E59" w:rsidRPr="003C2D52" w:rsidRDefault="00924E59" w:rsidP="00924E59">
            <w:pPr>
              <w:jc w:val="center"/>
              <w:rPr>
                <w:rFonts w:ascii="Calibri" w:hAnsi="Calibri" w:cs="Calibri"/>
                <w:color w:val="000000"/>
                <w:sz w:val="16"/>
                <w:szCs w:val="16"/>
                <w:lang w:eastAsia="en-AU"/>
              </w:rPr>
            </w:pPr>
            <w:r w:rsidRPr="003C2D52">
              <w:rPr>
                <w:rFonts w:ascii="Calibri" w:hAnsi="Calibri" w:cs="Calibri"/>
                <w:color w:val="000000"/>
                <w:sz w:val="16"/>
                <w:szCs w:val="16"/>
                <w:lang w:eastAsia="en-AU"/>
              </w:rPr>
              <w:t>2008-09</w:t>
            </w:r>
          </w:p>
        </w:tc>
      </w:tr>
      <w:tr w:rsidR="003D5CA6" w:rsidRPr="003C2D52" w:rsidTr="00924E59">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CA6" w:rsidRPr="003C2D52" w:rsidRDefault="003D5CA6" w:rsidP="00924E59">
            <w:pPr>
              <w:rPr>
                <w:rFonts w:ascii="Calibri" w:hAnsi="Calibri" w:cs="Calibri"/>
                <w:color w:val="000000"/>
                <w:sz w:val="16"/>
                <w:szCs w:val="16"/>
                <w:lang w:eastAsia="en-AU"/>
              </w:rPr>
            </w:pPr>
            <w:r w:rsidRPr="008E7E0B">
              <w:rPr>
                <w:rFonts w:ascii="Calibri" w:hAnsi="Calibri" w:cs="Calibri"/>
                <w:color w:val="000000"/>
                <w:sz w:val="16"/>
                <w:szCs w:val="16"/>
                <w:lang w:eastAsia="en-AU"/>
              </w:rPr>
              <w:t>Percentage by which the conversion factor over or under estimates the weight of imports</w:t>
            </w:r>
          </w:p>
        </w:tc>
        <w:tc>
          <w:tcPr>
            <w:tcW w:w="1120" w:type="dxa"/>
            <w:tcBorders>
              <w:top w:val="nil"/>
              <w:left w:val="nil"/>
              <w:bottom w:val="single" w:sz="4" w:space="0" w:color="auto"/>
              <w:right w:val="single" w:sz="4" w:space="0" w:color="auto"/>
            </w:tcBorders>
            <w:shd w:val="clear" w:color="auto" w:fill="auto"/>
            <w:noWrap/>
            <w:vAlign w:val="center"/>
            <w:hideMark/>
          </w:tcPr>
          <w:p w:rsidR="003D5CA6" w:rsidRDefault="003D5CA6">
            <w:pPr>
              <w:jc w:val="center"/>
              <w:rPr>
                <w:rFonts w:ascii="Calibri" w:hAnsi="Calibri" w:cs="Calibri"/>
                <w:color w:val="000000"/>
                <w:sz w:val="16"/>
                <w:szCs w:val="16"/>
              </w:rPr>
            </w:pPr>
            <w:r>
              <w:rPr>
                <w:rFonts w:ascii="Calibri" w:hAnsi="Calibri" w:cs="Calibri"/>
                <w:color w:val="000000"/>
                <w:sz w:val="16"/>
                <w:szCs w:val="16"/>
              </w:rPr>
              <w:t>0%</w:t>
            </w:r>
          </w:p>
        </w:tc>
        <w:tc>
          <w:tcPr>
            <w:tcW w:w="1120" w:type="dxa"/>
            <w:tcBorders>
              <w:top w:val="nil"/>
              <w:left w:val="nil"/>
              <w:bottom w:val="single" w:sz="4" w:space="0" w:color="auto"/>
              <w:right w:val="single" w:sz="4" w:space="0" w:color="auto"/>
            </w:tcBorders>
            <w:shd w:val="clear" w:color="auto" w:fill="auto"/>
            <w:noWrap/>
            <w:vAlign w:val="center"/>
            <w:hideMark/>
          </w:tcPr>
          <w:p w:rsidR="003D5CA6" w:rsidRDefault="003D5CA6">
            <w:pPr>
              <w:jc w:val="center"/>
              <w:rPr>
                <w:rFonts w:ascii="Calibri" w:hAnsi="Calibri" w:cs="Calibri"/>
                <w:color w:val="000000"/>
                <w:sz w:val="16"/>
                <w:szCs w:val="16"/>
              </w:rPr>
            </w:pPr>
            <w:r>
              <w:rPr>
                <w:rFonts w:ascii="Calibri" w:hAnsi="Calibri" w:cs="Calibri"/>
                <w:color w:val="000000"/>
                <w:sz w:val="16"/>
                <w:szCs w:val="16"/>
              </w:rPr>
              <w:t>-38%</w:t>
            </w:r>
          </w:p>
        </w:tc>
        <w:tc>
          <w:tcPr>
            <w:tcW w:w="1120" w:type="dxa"/>
            <w:tcBorders>
              <w:top w:val="nil"/>
              <w:left w:val="nil"/>
              <w:bottom w:val="single" w:sz="4" w:space="0" w:color="auto"/>
              <w:right w:val="single" w:sz="4" w:space="0" w:color="auto"/>
            </w:tcBorders>
            <w:shd w:val="clear" w:color="auto" w:fill="auto"/>
            <w:noWrap/>
            <w:vAlign w:val="center"/>
            <w:hideMark/>
          </w:tcPr>
          <w:p w:rsidR="003D5CA6" w:rsidRDefault="003D5CA6">
            <w:pPr>
              <w:jc w:val="center"/>
              <w:rPr>
                <w:rFonts w:ascii="Calibri" w:hAnsi="Calibri" w:cs="Calibri"/>
                <w:color w:val="000000"/>
                <w:sz w:val="16"/>
                <w:szCs w:val="16"/>
              </w:rPr>
            </w:pPr>
            <w:r>
              <w:rPr>
                <w:rFonts w:ascii="Calibri" w:hAnsi="Calibri" w:cs="Calibri"/>
                <w:color w:val="000000"/>
                <w:sz w:val="16"/>
                <w:szCs w:val="16"/>
              </w:rPr>
              <w:t>-82%</w:t>
            </w:r>
          </w:p>
        </w:tc>
      </w:tr>
    </w:tbl>
    <w:p w:rsidR="00BB08C6" w:rsidRDefault="00BB08C6" w:rsidP="00BB08C6">
      <w:pPr>
        <w:rPr>
          <w:lang w:val="en-GB"/>
        </w:rPr>
      </w:pPr>
    </w:p>
    <w:p w:rsidR="00BB08C6" w:rsidRDefault="00BB08C6" w:rsidP="00BB08C6">
      <w:pPr>
        <w:rPr>
          <w:lang w:val="en-GB"/>
        </w:rPr>
      </w:pPr>
    </w:p>
    <w:p w:rsidR="00BB08C6" w:rsidRDefault="00BB08C6" w:rsidP="00BB08C6">
      <w:pPr>
        <w:rPr>
          <w:lang w:val="en-GB"/>
        </w:rPr>
      </w:pPr>
    </w:p>
    <w:p w:rsidR="00924E59" w:rsidRDefault="00924E59" w:rsidP="00BB08C6">
      <w:pPr>
        <w:rPr>
          <w:lang w:val="en-GB"/>
        </w:rPr>
      </w:pPr>
    </w:p>
    <w:p w:rsidR="00924E59" w:rsidRDefault="00924E59" w:rsidP="00BB08C6">
      <w:pPr>
        <w:rPr>
          <w:lang w:val="en-GB"/>
        </w:rPr>
      </w:pPr>
    </w:p>
    <w:p w:rsidR="00924E59" w:rsidRDefault="00924E59" w:rsidP="00BB08C6">
      <w:pPr>
        <w:rPr>
          <w:lang w:val="en-GB"/>
        </w:rPr>
      </w:pPr>
    </w:p>
    <w:p w:rsidR="00924E59" w:rsidRDefault="00924E59" w:rsidP="00BB08C6">
      <w:pPr>
        <w:rPr>
          <w:lang w:val="en-GB"/>
        </w:rPr>
      </w:pPr>
    </w:p>
    <w:p w:rsidR="00924E59" w:rsidRDefault="00924E59" w:rsidP="00BB08C6">
      <w:pPr>
        <w:rPr>
          <w:lang w:val="en-GB"/>
        </w:rPr>
      </w:pPr>
    </w:p>
    <w:p w:rsidR="00BB08C6" w:rsidRDefault="00BB08C6" w:rsidP="00BB08C6">
      <w:pPr>
        <w:rPr>
          <w:lang w:val="en-GB"/>
        </w:rPr>
      </w:pPr>
    </w:p>
    <w:p w:rsidR="00BB08C6" w:rsidRDefault="00BB08C6" w:rsidP="00BB08C6">
      <w:pPr>
        <w:rPr>
          <w:lang w:val="en-GB"/>
        </w:rPr>
      </w:pPr>
    </w:p>
    <w:p w:rsidR="00BB08C6" w:rsidRDefault="00BB08C6" w:rsidP="00BB08C6">
      <w:pPr>
        <w:rPr>
          <w:lang w:val="en-GB"/>
        </w:rPr>
      </w:pPr>
    </w:p>
    <w:p w:rsidR="00BB08C6" w:rsidRDefault="00BB08C6" w:rsidP="00BB08C6">
      <w:pPr>
        <w:rPr>
          <w:lang w:val="en-GB"/>
        </w:rPr>
      </w:pPr>
    </w:p>
    <w:p w:rsidR="00BB08C6" w:rsidRPr="00BB08C6" w:rsidRDefault="00BB08C6" w:rsidP="00BB08C6">
      <w:pPr>
        <w:rPr>
          <w:lang w:val="en-GB"/>
        </w:rPr>
      </w:pPr>
    </w:p>
    <w:p w:rsidR="00124203" w:rsidRDefault="00124203" w:rsidP="00124203">
      <w:pPr>
        <w:pStyle w:val="Caption"/>
      </w:pPr>
      <w:r>
        <w:t>Figure 5-4</w:t>
      </w:r>
      <w:r w:rsidR="000319BF">
        <w:t>b</w:t>
      </w:r>
      <w:r>
        <w:t xml:space="preserve">   </w:t>
      </w:r>
      <w:r w:rsidR="00AC1355">
        <w:t xml:space="preserve">HTISC frequency distribution in CF year- </w:t>
      </w:r>
      <w:r>
        <w:t>revised</w:t>
      </w:r>
      <w:r w:rsidR="00924E59">
        <w:t xml:space="preserve"> data set</w:t>
      </w:r>
    </w:p>
    <w:p w:rsidR="00C61E41" w:rsidRDefault="00C61E41" w:rsidP="00C61E41">
      <w:pPr>
        <w:rPr>
          <w:lang w:val="en-GB"/>
        </w:rPr>
      </w:pPr>
      <w:r w:rsidRPr="00C61E41">
        <w:rPr>
          <w:noProof/>
          <w:lang w:eastAsia="en-AU"/>
        </w:rPr>
        <w:drawing>
          <wp:inline distT="0" distB="0" distL="0" distR="0">
            <wp:extent cx="4889500" cy="2984500"/>
            <wp:effectExtent l="19050" t="0" r="25400" b="6350"/>
            <wp:docPr id="4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61E41" w:rsidRDefault="00C61E41" w:rsidP="00C61E41">
      <w:pPr>
        <w:rPr>
          <w:lang w:val="en-GB"/>
        </w:rPr>
      </w:pPr>
    </w:p>
    <w:p w:rsidR="00C61E41" w:rsidRDefault="00C61E41" w:rsidP="00C61E41">
      <w:pPr>
        <w:rPr>
          <w:lang w:val="en-GB"/>
        </w:rPr>
      </w:pPr>
    </w:p>
    <w:p w:rsidR="00C61E41" w:rsidRDefault="00C61E41" w:rsidP="00C61E41">
      <w:pPr>
        <w:rPr>
          <w:lang w:val="en-GB"/>
        </w:rPr>
      </w:pPr>
    </w:p>
    <w:p w:rsidR="00124203" w:rsidRDefault="00124203" w:rsidP="00124203">
      <w:pPr>
        <w:rPr>
          <w:lang w:val="en-GB"/>
        </w:rPr>
      </w:pPr>
    </w:p>
    <w:p w:rsidR="00124203" w:rsidRDefault="00124203" w:rsidP="00D73340">
      <w:pPr>
        <w:pStyle w:val="Caption"/>
      </w:pPr>
    </w:p>
    <w:p w:rsidR="006720A2" w:rsidRPr="006720A2" w:rsidRDefault="00207129" w:rsidP="006720A2">
      <w:pPr>
        <w:pStyle w:val="Caption"/>
      </w:pPr>
      <w:r>
        <w:t>Table 5-3</w:t>
      </w:r>
      <w:r w:rsidR="000D1A8C">
        <w:t>b</w:t>
      </w:r>
      <w:r>
        <w:t xml:space="preserve">  </w:t>
      </w:r>
      <w:r w:rsidR="00D73340">
        <w:t>Conversion factor statistics</w:t>
      </w:r>
      <w:r w:rsidR="00124203">
        <w:t xml:space="preserve"> </w:t>
      </w:r>
      <w:r w:rsidR="006720A2">
        <w:t>–</w:t>
      </w:r>
      <w:r w:rsidR="00124203">
        <w:t xml:space="preserve"> </w:t>
      </w:r>
      <w:r w:rsidR="00924E59">
        <w:t>original</w:t>
      </w:r>
      <w:r w:rsidR="000D1A8C">
        <w:t xml:space="preserve"> data set</w:t>
      </w:r>
    </w:p>
    <w:tbl>
      <w:tblPr>
        <w:tblW w:w="7260" w:type="dxa"/>
        <w:tblInd w:w="93" w:type="dxa"/>
        <w:tblLook w:val="04A0"/>
      </w:tblPr>
      <w:tblGrid>
        <w:gridCol w:w="1660"/>
        <w:gridCol w:w="1120"/>
        <w:gridCol w:w="1120"/>
        <w:gridCol w:w="1120"/>
        <w:gridCol w:w="1120"/>
        <w:gridCol w:w="1120"/>
      </w:tblGrid>
      <w:tr w:rsidR="006B0439" w:rsidRPr="006B0439" w:rsidTr="006B0439">
        <w:trPr>
          <w:trHeight w:val="450"/>
        </w:trPr>
        <w:tc>
          <w:tcPr>
            <w:tcW w:w="166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6B0439" w:rsidRPr="006B0439" w:rsidRDefault="006B0439" w:rsidP="006B0439">
            <w:pPr>
              <w:jc w:val="center"/>
              <w:rPr>
                <w:rFonts w:ascii="Calibri" w:hAnsi="Calibri" w:cs="Calibri"/>
                <w:color w:val="000000"/>
                <w:sz w:val="16"/>
                <w:szCs w:val="16"/>
                <w:lang w:eastAsia="en-AU"/>
              </w:rPr>
            </w:pPr>
            <w:r w:rsidRPr="006B0439">
              <w:rPr>
                <w:rFonts w:ascii="Calibri" w:hAnsi="Calibri" w:cs="Calibri"/>
                <w:color w:val="000000"/>
                <w:sz w:val="16"/>
                <w:szCs w:val="16"/>
                <w:lang w:eastAsia="en-AU"/>
              </w:rPr>
              <w:t>CF year</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6B0439" w:rsidRPr="006B0439" w:rsidRDefault="006B0439" w:rsidP="006B0439">
            <w:pPr>
              <w:jc w:val="center"/>
              <w:rPr>
                <w:rFonts w:ascii="Calibri" w:hAnsi="Calibri" w:cs="Calibri"/>
                <w:color w:val="000000"/>
                <w:sz w:val="16"/>
                <w:szCs w:val="16"/>
                <w:lang w:eastAsia="en-AU"/>
              </w:rPr>
            </w:pPr>
            <w:r w:rsidRPr="006B0439">
              <w:rPr>
                <w:rFonts w:ascii="Calibri" w:hAnsi="Calibri" w:cs="Calibri"/>
                <w:color w:val="000000"/>
                <w:sz w:val="16"/>
                <w:szCs w:val="16"/>
                <w:lang w:eastAsia="en-AU"/>
              </w:rPr>
              <w:t>No. of ABS imports</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6B0439" w:rsidRPr="006B0439" w:rsidRDefault="006B0439" w:rsidP="006B0439">
            <w:pPr>
              <w:jc w:val="center"/>
              <w:rPr>
                <w:rFonts w:ascii="Calibri" w:hAnsi="Calibri" w:cs="Calibri"/>
                <w:color w:val="000000"/>
                <w:sz w:val="16"/>
                <w:szCs w:val="16"/>
                <w:lang w:eastAsia="en-AU"/>
              </w:rPr>
            </w:pPr>
            <w:r w:rsidRPr="006B0439">
              <w:rPr>
                <w:rFonts w:ascii="Calibri" w:hAnsi="Calibri" w:cs="Calibri"/>
                <w:color w:val="000000"/>
                <w:sz w:val="16"/>
                <w:szCs w:val="16"/>
                <w:lang w:eastAsia="en-AU"/>
              </w:rPr>
              <w:t>% ABS imports included</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6B0439" w:rsidRPr="006B0439" w:rsidRDefault="006B0439" w:rsidP="006B0439">
            <w:pPr>
              <w:jc w:val="center"/>
              <w:rPr>
                <w:rFonts w:ascii="Calibri" w:hAnsi="Calibri" w:cs="Calibri"/>
                <w:color w:val="000000"/>
                <w:sz w:val="16"/>
                <w:szCs w:val="16"/>
                <w:lang w:eastAsia="en-AU"/>
              </w:rPr>
            </w:pPr>
            <w:r w:rsidRPr="006B0439">
              <w:rPr>
                <w:rFonts w:ascii="Calibri" w:hAnsi="Calibri" w:cs="Calibri"/>
                <w:color w:val="000000"/>
                <w:sz w:val="16"/>
                <w:szCs w:val="16"/>
                <w:lang w:eastAsia="en-AU"/>
              </w:rPr>
              <w:t>Min weight</w:t>
            </w:r>
            <w:r w:rsidRPr="006B0439">
              <w:rPr>
                <w:rFonts w:ascii="Calibri" w:hAnsi="Calibri" w:cs="Calibri"/>
                <w:color w:val="000000"/>
                <w:sz w:val="16"/>
                <w:szCs w:val="16"/>
                <w:lang w:eastAsia="en-AU"/>
              </w:rPr>
              <w:br/>
              <w:t>(kg)</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6B0439" w:rsidRPr="006B0439" w:rsidRDefault="006B0439" w:rsidP="006B0439">
            <w:pPr>
              <w:jc w:val="center"/>
              <w:rPr>
                <w:rFonts w:ascii="Calibri" w:hAnsi="Calibri" w:cs="Calibri"/>
                <w:color w:val="000000"/>
                <w:sz w:val="16"/>
                <w:szCs w:val="16"/>
                <w:lang w:eastAsia="en-AU"/>
              </w:rPr>
            </w:pPr>
            <w:r w:rsidRPr="006B0439">
              <w:rPr>
                <w:rFonts w:ascii="Calibri" w:hAnsi="Calibri" w:cs="Calibri"/>
                <w:color w:val="000000"/>
                <w:sz w:val="16"/>
                <w:szCs w:val="16"/>
                <w:lang w:eastAsia="en-AU"/>
              </w:rPr>
              <w:t>Max weight (kg)</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6B0439" w:rsidRPr="006B0439" w:rsidRDefault="006B0439" w:rsidP="006B0439">
            <w:pPr>
              <w:jc w:val="center"/>
              <w:rPr>
                <w:rFonts w:ascii="Calibri" w:hAnsi="Calibri" w:cs="Calibri"/>
                <w:color w:val="000000"/>
                <w:sz w:val="16"/>
                <w:szCs w:val="16"/>
                <w:lang w:eastAsia="en-AU"/>
              </w:rPr>
            </w:pPr>
            <w:r w:rsidRPr="006B0439">
              <w:rPr>
                <w:rFonts w:ascii="Calibri" w:hAnsi="Calibri" w:cs="Calibri"/>
                <w:color w:val="000000"/>
                <w:sz w:val="16"/>
                <w:szCs w:val="16"/>
                <w:lang w:eastAsia="en-AU"/>
              </w:rPr>
              <w:t>Standard deviation</w:t>
            </w:r>
          </w:p>
        </w:tc>
      </w:tr>
      <w:tr w:rsidR="006B0439" w:rsidRPr="006B0439" w:rsidTr="006B0439">
        <w:trPr>
          <w:trHeight w:val="22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6B0439" w:rsidRPr="006B0439" w:rsidRDefault="006B0439" w:rsidP="006B0439">
            <w:pPr>
              <w:jc w:val="center"/>
              <w:rPr>
                <w:rFonts w:ascii="Calibri" w:hAnsi="Calibri" w:cs="Calibri"/>
                <w:color w:val="000000"/>
                <w:sz w:val="16"/>
                <w:szCs w:val="16"/>
                <w:lang w:eastAsia="en-AU"/>
              </w:rPr>
            </w:pPr>
            <w:r w:rsidRPr="006B0439">
              <w:rPr>
                <w:rFonts w:ascii="Calibri" w:hAnsi="Calibri" w:cs="Calibri"/>
                <w:color w:val="000000"/>
                <w:sz w:val="16"/>
                <w:szCs w:val="16"/>
                <w:lang w:eastAsia="en-AU"/>
              </w:rPr>
              <w:t>2010-11</w:t>
            </w:r>
          </w:p>
        </w:tc>
        <w:tc>
          <w:tcPr>
            <w:tcW w:w="1120" w:type="dxa"/>
            <w:tcBorders>
              <w:top w:val="nil"/>
              <w:left w:val="nil"/>
              <w:bottom w:val="single" w:sz="4" w:space="0" w:color="auto"/>
              <w:right w:val="single" w:sz="4" w:space="0" w:color="auto"/>
            </w:tcBorders>
            <w:shd w:val="clear" w:color="auto" w:fill="auto"/>
            <w:noWrap/>
            <w:vAlign w:val="center"/>
            <w:hideMark/>
          </w:tcPr>
          <w:p w:rsidR="006B0439" w:rsidRPr="006B0439" w:rsidRDefault="006720A2" w:rsidP="006B0439">
            <w:pPr>
              <w:jc w:val="center"/>
              <w:rPr>
                <w:rFonts w:ascii="Calibri" w:hAnsi="Calibri" w:cs="Calibri"/>
                <w:color w:val="000000"/>
                <w:sz w:val="16"/>
                <w:szCs w:val="16"/>
                <w:lang w:eastAsia="en-AU"/>
              </w:rPr>
            </w:pPr>
            <w:r>
              <w:rPr>
                <w:rFonts w:ascii="Calibri" w:hAnsi="Calibri" w:cs="Calibri"/>
                <w:color w:val="000000"/>
                <w:sz w:val="16"/>
                <w:szCs w:val="16"/>
                <w:lang w:eastAsia="en-AU"/>
              </w:rPr>
              <w:t>446,228</w:t>
            </w:r>
          </w:p>
        </w:tc>
        <w:tc>
          <w:tcPr>
            <w:tcW w:w="1120" w:type="dxa"/>
            <w:tcBorders>
              <w:top w:val="nil"/>
              <w:left w:val="nil"/>
              <w:bottom w:val="single" w:sz="4" w:space="0" w:color="auto"/>
              <w:right w:val="single" w:sz="4" w:space="0" w:color="auto"/>
            </w:tcBorders>
            <w:shd w:val="clear" w:color="auto" w:fill="auto"/>
            <w:noWrap/>
            <w:vAlign w:val="center"/>
            <w:hideMark/>
          </w:tcPr>
          <w:p w:rsidR="006B0439" w:rsidRPr="006B0439" w:rsidRDefault="006B0439" w:rsidP="006B0439">
            <w:pPr>
              <w:jc w:val="center"/>
              <w:rPr>
                <w:rFonts w:ascii="Calibri" w:hAnsi="Calibri" w:cs="Calibri"/>
                <w:color w:val="000000"/>
                <w:sz w:val="16"/>
                <w:szCs w:val="16"/>
                <w:lang w:eastAsia="en-AU"/>
              </w:rPr>
            </w:pPr>
            <w:r w:rsidRPr="006B0439">
              <w:rPr>
                <w:rFonts w:ascii="Calibri" w:hAnsi="Calibri" w:cs="Calibri"/>
                <w:color w:val="000000"/>
                <w:sz w:val="16"/>
                <w:szCs w:val="16"/>
                <w:lang w:eastAsia="en-AU"/>
              </w:rPr>
              <w:t>1%</w:t>
            </w:r>
          </w:p>
        </w:tc>
        <w:tc>
          <w:tcPr>
            <w:tcW w:w="1120" w:type="dxa"/>
            <w:tcBorders>
              <w:top w:val="nil"/>
              <w:left w:val="nil"/>
              <w:bottom w:val="single" w:sz="4" w:space="0" w:color="auto"/>
              <w:right w:val="single" w:sz="4" w:space="0" w:color="auto"/>
            </w:tcBorders>
            <w:shd w:val="clear" w:color="auto" w:fill="auto"/>
            <w:noWrap/>
            <w:vAlign w:val="center"/>
            <w:hideMark/>
          </w:tcPr>
          <w:p w:rsidR="006B0439" w:rsidRPr="006B0439" w:rsidRDefault="006B0439" w:rsidP="006B0439">
            <w:pPr>
              <w:jc w:val="center"/>
              <w:rPr>
                <w:rFonts w:ascii="Calibri" w:hAnsi="Calibri" w:cs="Calibri"/>
                <w:color w:val="000000"/>
                <w:sz w:val="16"/>
                <w:szCs w:val="16"/>
                <w:lang w:eastAsia="en-AU"/>
              </w:rPr>
            </w:pPr>
            <w:r w:rsidRPr="006B0439">
              <w:rPr>
                <w:rFonts w:ascii="Calibri" w:hAnsi="Calibri" w:cs="Calibri"/>
                <w:color w:val="000000"/>
                <w:sz w:val="16"/>
                <w:szCs w:val="16"/>
                <w:lang w:eastAsia="en-AU"/>
              </w:rPr>
              <w:t>4</w:t>
            </w:r>
          </w:p>
        </w:tc>
        <w:tc>
          <w:tcPr>
            <w:tcW w:w="1120" w:type="dxa"/>
            <w:tcBorders>
              <w:top w:val="nil"/>
              <w:left w:val="nil"/>
              <w:bottom w:val="single" w:sz="4" w:space="0" w:color="auto"/>
              <w:right w:val="single" w:sz="4" w:space="0" w:color="auto"/>
            </w:tcBorders>
            <w:shd w:val="clear" w:color="auto" w:fill="auto"/>
            <w:noWrap/>
            <w:vAlign w:val="center"/>
            <w:hideMark/>
          </w:tcPr>
          <w:p w:rsidR="006B0439" w:rsidRPr="006B0439" w:rsidRDefault="006B0439" w:rsidP="006B0439">
            <w:pPr>
              <w:jc w:val="center"/>
              <w:rPr>
                <w:rFonts w:ascii="Calibri" w:hAnsi="Calibri" w:cs="Calibri"/>
                <w:color w:val="000000"/>
                <w:sz w:val="16"/>
                <w:szCs w:val="16"/>
                <w:lang w:eastAsia="en-AU"/>
              </w:rPr>
            </w:pPr>
            <w:r w:rsidRPr="006B0439">
              <w:rPr>
                <w:rFonts w:ascii="Calibri" w:hAnsi="Calibri" w:cs="Calibri"/>
                <w:color w:val="000000"/>
                <w:sz w:val="16"/>
                <w:szCs w:val="16"/>
                <w:lang w:eastAsia="en-AU"/>
              </w:rPr>
              <w:t>30.0</w:t>
            </w:r>
          </w:p>
        </w:tc>
        <w:tc>
          <w:tcPr>
            <w:tcW w:w="1120" w:type="dxa"/>
            <w:tcBorders>
              <w:top w:val="nil"/>
              <w:left w:val="nil"/>
              <w:bottom w:val="single" w:sz="4" w:space="0" w:color="auto"/>
              <w:right w:val="single" w:sz="4" w:space="0" w:color="auto"/>
            </w:tcBorders>
            <w:shd w:val="clear" w:color="auto" w:fill="auto"/>
            <w:noWrap/>
            <w:vAlign w:val="center"/>
            <w:hideMark/>
          </w:tcPr>
          <w:p w:rsidR="006B0439" w:rsidRPr="006B0439" w:rsidRDefault="006B0439" w:rsidP="006B0439">
            <w:pPr>
              <w:jc w:val="center"/>
              <w:rPr>
                <w:rFonts w:ascii="Calibri" w:hAnsi="Calibri" w:cs="Calibri"/>
                <w:color w:val="000000"/>
                <w:sz w:val="16"/>
                <w:szCs w:val="16"/>
                <w:lang w:eastAsia="en-AU"/>
              </w:rPr>
            </w:pPr>
            <w:r w:rsidRPr="006B0439">
              <w:rPr>
                <w:rFonts w:ascii="Calibri" w:hAnsi="Calibri" w:cs="Calibri"/>
                <w:color w:val="000000"/>
                <w:sz w:val="16"/>
                <w:szCs w:val="16"/>
                <w:lang w:eastAsia="en-AU"/>
              </w:rPr>
              <w:t>2.5</w:t>
            </w:r>
          </w:p>
        </w:tc>
      </w:tr>
      <w:tr w:rsidR="006B0439" w:rsidRPr="006B0439" w:rsidTr="006B0439">
        <w:trPr>
          <w:trHeight w:val="225"/>
        </w:trPr>
        <w:tc>
          <w:tcPr>
            <w:tcW w:w="1660" w:type="dxa"/>
            <w:tcBorders>
              <w:top w:val="nil"/>
              <w:left w:val="nil"/>
              <w:bottom w:val="nil"/>
              <w:right w:val="nil"/>
            </w:tcBorders>
            <w:shd w:val="clear" w:color="auto" w:fill="auto"/>
            <w:noWrap/>
            <w:vAlign w:val="bottom"/>
            <w:hideMark/>
          </w:tcPr>
          <w:p w:rsidR="006B0439" w:rsidRPr="006B0439" w:rsidRDefault="006B0439" w:rsidP="006B0439">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6B0439" w:rsidRPr="006B0439" w:rsidRDefault="006B0439" w:rsidP="006B0439">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6B0439" w:rsidRPr="006B0439" w:rsidRDefault="006B0439" w:rsidP="006B0439">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6B0439" w:rsidRPr="006B0439" w:rsidRDefault="006B0439" w:rsidP="006B0439">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6B0439" w:rsidRPr="006B0439" w:rsidRDefault="006B0439" w:rsidP="006B0439">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6B0439" w:rsidRPr="006B0439" w:rsidRDefault="006B0439" w:rsidP="006B0439">
            <w:pPr>
              <w:rPr>
                <w:rFonts w:ascii="Calibri" w:hAnsi="Calibri" w:cs="Calibri"/>
                <w:color w:val="000000"/>
                <w:sz w:val="16"/>
                <w:szCs w:val="16"/>
                <w:lang w:eastAsia="en-AU"/>
              </w:rPr>
            </w:pPr>
          </w:p>
        </w:tc>
      </w:tr>
      <w:tr w:rsidR="006B0439" w:rsidRPr="006B0439" w:rsidTr="006B0439">
        <w:trPr>
          <w:trHeight w:val="450"/>
        </w:trPr>
        <w:tc>
          <w:tcPr>
            <w:tcW w:w="1660" w:type="dxa"/>
            <w:tcBorders>
              <w:top w:val="single" w:sz="4" w:space="0" w:color="auto"/>
              <w:left w:val="single" w:sz="4" w:space="0" w:color="auto"/>
              <w:bottom w:val="nil"/>
              <w:right w:val="single" w:sz="4" w:space="0" w:color="auto"/>
            </w:tcBorders>
            <w:shd w:val="clear" w:color="000000" w:fill="D8D8D8"/>
            <w:vAlign w:val="center"/>
            <w:hideMark/>
          </w:tcPr>
          <w:p w:rsidR="006B0439" w:rsidRPr="006B0439" w:rsidRDefault="006B0439" w:rsidP="006B0439">
            <w:pPr>
              <w:jc w:val="center"/>
              <w:rPr>
                <w:rFonts w:ascii="Calibri" w:hAnsi="Calibri" w:cs="Calibri"/>
                <w:color w:val="000000"/>
                <w:sz w:val="16"/>
                <w:szCs w:val="16"/>
                <w:lang w:eastAsia="en-AU"/>
              </w:rPr>
            </w:pPr>
            <w:r w:rsidRPr="006B0439">
              <w:rPr>
                <w:rFonts w:ascii="Calibri" w:hAnsi="Calibri" w:cs="Calibri"/>
                <w:color w:val="000000"/>
                <w:sz w:val="16"/>
                <w:szCs w:val="16"/>
                <w:lang w:eastAsia="en-AU"/>
              </w:rPr>
              <w:t>Method</w:t>
            </w:r>
          </w:p>
        </w:tc>
        <w:tc>
          <w:tcPr>
            <w:tcW w:w="1120" w:type="dxa"/>
            <w:tcBorders>
              <w:top w:val="single" w:sz="4" w:space="0" w:color="auto"/>
              <w:left w:val="nil"/>
              <w:bottom w:val="nil"/>
              <w:right w:val="single" w:sz="4" w:space="0" w:color="auto"/>
            </w:tcBorders>
            <w:shd w:val="clear" w:color="000000" w:fill="D8D8D8"/>
            <w:vAlign w:val="center"/>
            <w:hideMark/>
          </w:tcPr>
          <w:p w:rsidR="006B0439" w:rsidRPr="006B0439" w:rsidRDefault="006B0439" w:rsidP="006B0439">
            <w:pPr>
              <w:jc w:val="center"/>
              <w:rPr>
                <w:rFonts w:ascii="Calibri" w:hAnsi="Calibri" w:cs="Calibri"/>
                <w:color w:val="000000"/>
                <w:sz w:val="16"/>
                <w:szCs w:val="16"/>
                <w:lang w:eastAsia="en-AU"/>
              </w:rPr>
            </w:pPr>
            <w:r w:rsidRPr="006B0439">
              <w:rPr>
                <w:rFonts w:ascii="Calibri" w:hAnsi="Calibri" w:cs="Calibri"/>
                <w:color w:val="000000"/>
                <w:sz w:val="16"/>
                <w:szCs w:val="16"/>
                <w:lang w:eastAsia="en-AU"/>
              </w:rPr>
              <w:t>Measure of average</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6B0439" w:rsidRPr="006B0439" w:rsidRDefault="006B0439" w:rsidP="006B0439">
            <w:pPr>
              <w:jc w:val="center"/>
              <w:rPr>
                <w:rFonts w:ascii="Calibri" w:hAnsi="Calibri" w:cs="Calibri"/>
                <w:color w:val="000000"/>
                <w:sz w:val="16"/>
                <w:szCs w:val="16"/>
                <w:lang w:eastAsia="en-AU"/>
              </w:rPr>
            </w:pPr>
            <w:r w:rsidRPr="006B0439">
              <w:rPr>
                <w:rFonts w:ascii="Calibri" w:hAnsi="Calibri" w:cs="Calibri"/>
                <w:color w:val="000000"/>
                <w:sz w:val="16"/>
                <w:szCs w:val="16"/>
                <w:lang w:eastAsia="en-AU"/>
              </w:rPr>
              <w:t>Average weight (kg)</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6B0439" w:rsidRPr="006B0439" w:rsidRDefault="006B0439" w:rsidP="006B0439">
            <w:pPr>
              <w:jc w:val="center"/>
              <w:rPr>
                <w:rFonts w:ascii="Calibri" w:hAnsi="Calibri" w:cs="Calibri"/>
                <w:color w:val="000000"/>
                <w:sz w:val="16"/>
                <w:szCs w:val="16"/>
                <w:lang w:eastAsia="en-AU"/>
              </w:rPr>
            </w:pPr>
            <w:r w:rsidRPr="006B0439">
              <w:rPr>
                <w:rFonts w:ascii="Calibri" w:hAnsi="Calibri" w:cs="Calibri"/>
                <w:color w:val="000000"/>
                <w:sz w:val="16"/>
                <w:szCs w:val="16"/>
                <w:lang w:eastAsia="en-AU"/>
              </w:rPr>
              <w:t>Lower limit (kg)</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6B0439" w:rsidRPr="006B0439" w:rsidRDefault="006B0439" w:rsidP="006B0439">
            <w:pPr>
              <w:jc w:val="center"/>
              <w:rPr>
                <w:rFonts w:ascii="Calibri" w:hAnsi="Calibri" w:cs="Calibri"/>
                <w:color w:val="000000"/>
                <w:sz w:val="16"/>
                <w:szCs w:val="16"/>
                <w:lang w:eastAsia="en-AU"/>
              </w:rPr>
            </w:pPr>
            <w:r w:rsidRPr="006B0439">
              <w:rPr>
                <w:rFonts w:ascii="Calibri" w:hAnsi="Calibri" w:cs="Calibri"/>
                <w:color w:val="000000"/>
                <w:sz w:val="16"/>
                <w:szCs w:val="16"/>
                <w:lang w:eastAsia="en-AU"/>
              </w:rPr>
              <w:t>Upper limit (kg)</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6B0439" w:rsidRPr="006B0439" w:rsidRDefault="006B0439" w:rsidP="006B0439">
            <w:pPr>
              <w:jc w:val="center"/>
              <w:rPr>
                <w:rFonts w:ascii="Calibri" w:hAnsi="Calibri" w:cs="Calibri"/>
                <w:color w:val="000000"/>
                <w:sz w:val="16"/>
                <w:szCs w:val="16"/>
                <w:lang w:eastAsia="en-AU"/>
              </w:rPr>
            </w:pPr>
            <w:r w:rsidRPr="006B0439">
              <w:rPr>
                <w:rFonts w:ascii="Calibri" w:hAnsi="Calibri" w:cs="Calibri"/>
                <w:color w:val="000000"/>
                <w:sz w:val="16"/>
                <w:szCs w:val="16"/>
                <w:lang w:eastAsia="en-AU"/>
              </w:rPr>
              <w:t>Confidence interval ± (kg)</w:t>
            </w:r>
          </w:p>
        </w:tc>
      </w:tr>
      <w:tr w:rsidR="006B0439" w:rsidRPr="006B0439" w:rsidTr="006B0439">
        <w:trPr>
          <w:trHeight w:val="45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439" w:rsidRPr="006B0439" w:rsidRDefault="006B0439" w:rsidP="006B0439">
            <w:pPr>
              <w:jc w:val="center"/>
              <w:rPr>
                <w:rFonts w:ascii="Calibri" w:hAnsi="Calibri" w:cs="Calibri"/>
                <w:color w:val="000000"/>
                <w:sz w:val="16"/>
                <w:szCs w:val="16"/>
                <w:lang w:eastAsia="en-AU"/>
              </w:rPr>
            </w:pPr>
            <w:r w:rsidRPr="006B0439">
              <w:rPr>
                <w:rFonts w:ascii="Calibri" w:hAnsi="Calibri" w:cs="Calibri"/>
                <w:color w:val="000000"/>
                <w:sz w:val="16"/>
                <w:szCs w:val="16"/>
                <w:lang w:eastAsia="en-AU"/>
              </w:rPr>
              <w:t>Approximation to the normal distribution</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6B0439" w:rsidRPr="006B0439" w:rsidRDefault="006B0439" w:rsidP="006B0439">
            <w:pPr>
              <w:jc w:val="center"/>
              <w:rPr>
                <w:rFonts w:ascii="Calibri" w:hAnsi="Calibri" w:cs="Calibri"/>
                <w:color w:val="000000"/>
                <w:sz w:val="16"/>
                <w:szCs w:val="16"/>
                <w:lang w:eastAsia="en-AU"/>
              </w:rPr>
            </w:pPr>
            <w:r w:rsidRPr="006B0439">
              <w:rPr>
                <w:rFonts w:ascii="Calibri" w:hAnsi="Calibri" w:cs="Calibri"/>
                <w:color w:val="000000"/>
                <w:sz w:val="16"/>
                <w:szCs w:val="16"/>
                <w:lang w:eastAsia="en-AU"/>
              </w:rPr>
              <w:t>Mean</w:t>
            </w:r>
          </w:p>
        </w:tc>
        <w:tc>
          <w:tcPr>
            <w:tcW w:w="1120" w:type="dxa"/>
            <w:tcBorders>
              <w:top w:val="nil"/>
              <w:left w:val="nil"/>
              <w:bottom w:val="single" w:sz="4" w:space="0" w:color="auto"/>
              <w:right w:val="single" w:sz="4" w:space="0" w:color="auto"/>
            </w:tcBorders>
            <w:shd w:val="clear" w:color="auto" w:fill="auto"/>
            <w:noWrap/>
            <w:vAlign w:val="center"/>
            <w:hideMark/>
          </w:tcPr>
          <w:p w:rsidR="006B0439" w:rsidRPr="006B0439" w:rsidRDefault="006B0439" w:rsidP="006B0439">
            <w:pPr>
              <w:jc w:val="center"/>
              <w:rPr>
                <w:rFonts w:ascii="Calibri" w:hAnsi="Calibri" w:cs="Calibri"/>
                <w:color w:val="000000"/>
                <w:sz w:val="16"/>
                <w:szCs w:val="16"/>
                <w:lang w:eastAsia="en-AU"/>
              </w:rPr>
            </w:pPr>
            <w:r w:rsidRPr="006B0439">
              <w:rPr>
                <w:rFonts w:ascii="Calibri" w:hAnsi="Calibri" w:cs="Calibri"/>
                <w:color w:val="000000"/>
                <w:sz w:val="16"/>
                <w:szCs w:val="16"/>
                <w:lang w:eastAsia="en-AU"/>
              </w:rPr>
              <w:t>10.6</w:t>
            </w:r>
          </w:p>
        </w:tc>
        <w:tc>
          <w:tcPr>
            <w:tcW w:w="1120" w:type="dxa"/>
            <w:tcBorders>
              <w:top w:val="nil"/>
              <w:left w:val="nil"/>
              <w:bottom w:val="single" w:sz="4" w:space="0" w:color="auto"/>
              <w:right w:val="single" w:sz="4" w:space="0" w:color="auto"/>
            </w:tcBorders>
            <w:shd w:val="clear" w:color="auto" w:fill="auto"/>
            <w:noWrap/>
            <w:vAlign w:val="center"/>
            <w:hideMark/>
          </w:tcPr>
          <w:p w:rsidR="006B0439" w:rsidRPr="006B0439" w:rsidRDefault="006B0439" w:rsidP="006B0439">
            <w:pPr>
              <w:jc w:val="center"/>
              <w:rPr>
                <w:rFonts w:ascii="Calibri" w:hAnsi="Calibri" w:cs="Calibri"/>
                <w:color w:val="000000"/>
                <w:sz w:val="16"/>
                <w:szCs w:val="16"/>
                <w:lang w:eastAsia="en-AU"/>
              </w:rPr>
            </w:pPr>
            <w:r w:rsidRPr="006B0439">
              <w:rPr>
                <w:rFonts w:ascii="Calibri" w:hAnsi="Calibri" w:cs="Calibri"/>
                <w:color w:val="000000"/>
                <w:sz w:val="16"/>
                <w:szCs w:val="16"/>
                <w:lang w:eastAsia="en-AU"/>
              </w:rPr>
              <w:t>5.7</w:t>
            </w:r>
          </w:p>
        </w:tc>
        <w:tc>
          <w:tcPr>
            <w:tcW w:w="1120" w:type="dxa"/>
            <w:tcBorders>
              <w:top w:val="nil"/>
              <w:left w:val="nil"/>
              <w:bottom w:val="single" w:sz="4" w:space="0" w:color="auto"/>
              <w:right w:val="single" w:sz="4" w:space="0" w:color="auto"/>
            </w:tcBorders>
            <w:shd w:val="clear" w:color="auto" w:fill="auto"/>
            <w:noWrap/>
            <w:vAlign w:val="center"/>
            <w:hideMark/>
          </w:tcPr>
          <w:p w:rsidR="006B0439" w:rsidRPr="006B0439" w:rsidRDefault="006B0439" w:rsidP="006B0439">
            <w:pPr>
              <w:jc w:val="center"/>
              <w:rPr>
                <w:rFonts w:ascii="Calibri" w:hAnsi="Calibri" w:cs="Calibri"/>
                <w:color w:val="000000"/>
                <w:sz w:val="16"/>
                <w:szCs w:val="16"/>
                <w:lang w:eastAsia="en-AU"/>
              </w:rPr>
            </w:pPr>
            <w:r w:rsidRPr="006B0439">
              <w:rPr>
                <w:rFonts w:ascii="Calibri" w:hAnsi="Calibri" w:cs="Calibri"/>
                <w:color w:val="000000"/>
                <w:sz w:val="16"/>
                <w:szCs w:val="16"/>
                <w:lang w:eastAsia="en-AU"/>
              </w:rPr>
              <w:t>15.6</w:t>
            </w:r>
          </w:p>
        </w:tc>
        <w:tc>
          <w:tcPr>
            <w:tcW w:w="1120" w:type="dxa"/>
            <w:tcBorders>
              <w:top w:val="nil"/>
              <w:left w:val="nil"/>
              <w:bottom w:val="single" w:sz="4" w:space="0" w:color="auto"/>
              <w:right w:val="single" w:sz="4" w:space="0" w:color="auto"/>
            </w:tcBorders>
            <w:shd w:val="clear" w:color="auto" w:fill="auto"/>
            <w:noWrap/>
            <w:vAlign w:val="center"/>
            <w:hideMark/>
          </w:tcPr>
          <w:p w:rsidR="006B0439" w:rsidRPr="006B0439" w:rsidRDefault="006B0439" w:rsidP="006B0439">
            <w:pPr>
              <w:jc w:val="center"/>
              <w:rPr>
                <w:rFonts w:ascii="Calibri" w:hAnsi="Calibri" w:cs="Calibri"/>
                <w:color w:val="000000"/>
                <w:sz w:val="16"/>
                <w:szCs w:val="16"/>
                <w:lang w:eastAsia="en-AU"/>
              </w:rPr>
            </w:pPr>
            <w:r w:rsidRPr="006B0439">
              <w:rPr>
                <w:rFonts w:ascii="Calibri" w:hAnsi="Calibri" w:cs="Calibri"/>
                <w:color w:val="000000"/>
                <w:sz w:val="16"/>
                <w:szCs w:val="16"/>
                <w:lang w:eastAsia="en-AU"/>
              </w:rPr>
              <w:t>5.0</w:t>
            </w:r>
          </w:p>
        </w:tc>
      </w:tr>
      <w:tr w:rsidR="006B0439" w:rsidRPr="006B0439" w:rsidTr="006B0439">
        <w:trPr>
          <w:trHeight w:val="22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6B0439" w:rsidRPr="006B0439" w:rsidRDefault="006B0439" w:rsidP="006B0439">
            <w:pPr>
              <w:jc w:val="center"/>
              <w:rPr>
                <w:rFonts w:ascii="Calibri" w:hAnsi="Calibri" w:cs="Calibri"/>
                <w:color w:val="000000"/>
                <w:sz w:val="16"/>
                <w:szCs w:val="16"/>
                <w:lang w:eastAsia="en-AU"/>
              </w:rPr>
            </w:pPr>
            <w:r w:rsidRPr="006B0439">
              <w:rPr>
                <w:rFonts w:ascii="Calibri" w:hAnsi="Calibri" w:cs="Calibri"/>
                <w:color w:val="000000"/>
                <w:sz w:val="16"/>
                <w:szCs w:val="16"/>
                <w:lang w:eastAsia="en-AU"/>
              </w:rPr>
              <w:t>Use of percentiles</w:t>
            </w:r>
          </w:p>
        </w:tc>
        <w:tc>
          <w:tcPr>
            <w:tcW w:w="1120" w:type="dxa"/>
            <w:tcBorders>
              <w:top w:val="nil"/>
              <w:left w:val="nil"/>
              <w:bottom w:val="single" w:sz="4" w:space="0" w:color="auto"/>
              <w:right w:val="single" w:sz="4" w:space="0" w:color="auto"/>
            </w:tcBorders>
            <w:shd w:val="clear" w:color="auto" w:fill="auto"/>
            <w:vAlign w:val="center"/>
            <w:hideMark/>
          </w:tcPr>
          <w:p w:rsidR="006B0439" w:rsidRPr="006B0439" w:rsidRDefault="006B0439" w:rsidP="006B0439">
            <w:pPr>
              <w:jc w:val="center"/>
              <w:rPr>
                <w:rFonts w:ascii="Calibri" w:hAnsi="Calibri" w:cs="Calibri"/>
                <w:color w:val="000000"/>
                <w:sz w:val="16"/>
                <w:szCs w:val="16"/>
                <w:lang w:eastAsia="en-AU"/>
              </w:rPr>
            </w:pPr>
            <w:r w:rsidRPr="006B0439">
              <w:rPr>
                <w:rFonts w:ascii="Calibri" w:hAnsi="Calibri" w:cs="Calibri"/>
                <w:color w:val="000000"/>
                <w:sz w:val="16"/>
                <w:szCs w:val="16"/>
                <w:lang w:eastAsia="en-AU"/>
              </w:rPr>
              <w:t>Median</w:t>
            </w:r>
          </w:p>
        </w:tc>
        <w:tc>
          <w:tcPr>
            <w:tcW w:w="1120" w:type="dxa"/>
            <w:tcBorders>
              <w:top w:val="nil"/>
              <w:left w:val="nil"/>
              <w:bottom w:val="single" w:sz="4" w:space="0" w:color="auto"/>
              <w:right w:val="single" w:sz="4" w:space="0" w:color="auto"/>
            </w:tcBorders>
            <w:shd w:val="clear" w:color="auto" w:fill="auto"/>
            <w:noWrap/>
            <w:vAlign w:val="center"/>
            <w:hideMark/>
          </w:tcPr>
          <w:p w:rsidR="006B0439" w:rsidRPr="006B0439" w:rsidRDefault="006B0439" w:rsidP="006B0439">
            <w:pPr>
              <w:jc w:val="center"/>
              <w:rPr>
                <w:rFonts w:ascii="Calibri" w:hAnsi="Calibri" w:cs="Calibri"/>
                <w:color w:val="000000"/>
                <w:sz w:val="16"/>
                <w:szCs w:val="16"/>
                <w:lang w:eastAsia="en-AU"/>
              </w:rPr>
            </w:pPr>
            <w:r w:rsidRPr="006B0439">
              <w:rPr>
                <w:rFonts w:ascii="Calibri" w:hAnsi="Calibri" w:cs="Calibri"/>
                <w:color w:val="000000"/>
                <w:sz w:val="16"/>
                <w:szCs w:val="16"/>
                <w:lang w:eastAsia="en-AU"/>
              </w:rPr>
              <w:t>20.6</w:t>
            </w:r>
          </w:p>
        </w:tc>
        <w:tc>
          <w:tcPr>
            <w:tcW w:w="1120" w:type="dxa"/>
            <w:tcBorders>
              <w:top w:val="nil"/>
              <w:left w:val="nil"/>
              <w:bottom w:val="single" w:sz="4" w:space="0" w:color="auto"/>
              <w:right w:val="single" w:sz="4" w:space="0" w:color="auto"/>
            </w:tcBorders>
            <w:shd w:val="clear" w:color="auto" w:fill="auto"/>
            <w:noWrap/>
            <w:vAlign w:val="center"/>
            <w:hideMark/>
          </w:tcPr>
          <w:p w:rsidR="006B0439" w:rsidRPr="006B0439" w:rsidRDefault="006B0439" w:rsidP="006B0439">
            <w:pPr>
              <w:jc w:val="center"/>
              <w:rPr>
                <w:rFonts w:ascii="Calibri" w:hAnsi="Calibri" w:cs="Calibri"/>
                <w:color w:val="000000"/>
                <w:sz w:val="16"/>
                <w:szCs w:val="16"/>
                <w:lang w:eastAsia="en-AU"/>
              </w:rPr>
            </w:pPr>
            <w:r w:rsidRPr="006B0439">
              <w:rPr>
                <w:rFonts w:ascii="Calibri" w:hAnsi="Calibri" w:cs="Calibri"/>
                <w:color w:val="000000"/>
                <w:sz w:val="16"/>
                <w:szCs w:val="16"/>
                <w:lang w:eastAsia="en-AU"/>
              </w:rPr>
              <w:t>11.0</w:t>
            </w:r>
          </w:p>
        </w:tc>
        <w:tc>
          <w:tcPr>
            <w:tcW w:w="1120" w:type="dxa"/>
            <w:tcBorders>
              <w:top w:val="nil"/>
              <w:left w:val="nil"/>
              <w:bottom w:val="single" w:sz="4" w:space="0" w:color="auto"/>
              <w:right w:val="single" w:sz="4" w:space="0" w:color="auto"/>
            </w:tcBorders>
            <w:shd w:val="clear" w:color="auto" w:fill="auto"/>
            <w:noWrap/>
            <w:vAlign w:val="center"/>
            <w:hideMark/>
          </w:tcPr>
          <w:p w:rsidR="006B0439" w:rsidRPr="006B0439" w:rsidRDefault="006B0439" w:rsidP="006B0439">
            <w:pPr>
              <w:jc w:val="center"/>
              <w:rPr>
                <w:rFonts w:ascii="Calibri" w:hAnsi="Calibri" w:cs="Calibri"/>
                <w:color w:val="000000"/>
                <w:sz w:val="16"/>
                <w:szCs w:val="16"/>
                <w:lang w:eastAsia="en-AU"/>
              </w:rPr>
            </w:pPr>
            <w:r w:rsidRPr="006B0439">
              <w:rPr>
                <w:rFonts w:ascii="Calibri" w:hAnsi="Calibri" w:cs="Calibri"/>
                <w:color w:val="000000"/>
                <w:sz w:val="16"/>
                <w:szCs w:val="16"/>
                <w:lang w:eastAsia="en-AU"/>
              </w:rPr>
              <w:t>30.3</w:t>
            </w:r>
          </w:p>
        </w:tc>
        <w:tc>
          <w:tcPr>
            <w:tcW w:w="1120" w:type="dxa"/>
            <w:tcBorders>
              <w:top w:val="nil"/>
              <w:left w:val="nil"/>
              <w:bottom w:val="single" w:sz="4" w:space="0" w:color="auto"/>
              <w:right w:val="single" w:sz="4" w:space="0" w:color="auto"/>
            </w:tcBorders>
            <w:shd w:val="clear" w:color="auto" w:fill="auto"/>
            <w:noWrap/>
            <w:vAlign w:val="center"/>
            <w:hideMark/>
          </w:tcPr>
          <w:p w:rsidR="006B0439" w:rsidRPr="006B0439" w:rsidRDefault="006B0439" w:rsidP="006B0439">
            <w:pPr>
              <w:jc w:val="center"/>
              <w:rPr>
                <w:rFonts w:ascii="Calibri" w:hAnsi="Calibri" w:cs="Calibri"/>
                <w:color w:val="000000"/>
                <w:sz w:val="16"/>
                <w:szCs w:val="16"/>
                <w:lang w:eastAsia="en-AU"/>
              </w:rPr>
            </w:pPr>
            <w:r w:rsidRPr="006B0439">
              <w:rPr>
                <w:rFonts w:ascii="Calibri" w:hAnsi="Calibri" w:cs="Calibri"/>
                <w:color w:val="000000"/>
                <w:sz w:val="16"/>
                <w:szCs w:val="16"/>
                <w:lang w:eastAsia="en-AU"/>
              </w:rPr>
              <w:t>9.6</w:t>
            </w:r>
          </w:p>
        </w:tc>
      </w:tr>
      <w:tr w:rsidR="006B0439" w:rsidRPr="006B0439" w:rsidTr="006B0439">
        <w:trPr>
          <w:trHeight w:val="225"/>
        </w:trPr>
        <w:tc>
          <w:tcPr>
            <w:tcW w:w="1660" w:type="dxa"/>
            <w:tcBorders>
              <w:top w:val="nil"/>
              <w:left w:val="nil"/>
              <w:bottom w:val="nil"/>
              <w:right w:val="nil"/>
            </w:tcBorders>
            <w:shd w:val="clear" w:color="auto" w:fill="auto"/>
            <w:noWrap/>
            <w:vAlign w:val="bottom"/>
            <w:hideMark/>
          </w:tcPr>
          <w:p w:rsidR="006B0439" w:rsidRPr="006B0439" w:rsidRDefault="006B0439" w:rsidP="006B0439">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6B0439" w:rsidRPr="006B0439" w:rsidRDefault="006B0439" w:rsidP="006B0439">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6B0439" w:rsidRPr="006B0439" w:rsidRDefault="006B0439" w:rsidP="006B0439">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6B0439" w:rsidRPr="006B0439" w:rsidRDefault="006B0439" w:rsidP="006B0439">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6B0439" w:rsidRPr="006B0439" w:rsidRDefault="006B0439" w:rsidP="006B0439">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6B0439" w:rsidRPr="006B0439" w:rsidRDefault="006B0439" w:rsidP="006B0439">
            <w:pPr>
              <w:rPr>
                <w:rFonts w:ascii="Calibri" w:hAnsi="Calibri" w:cs="Calibri"/>
                <w:color w:val="000000"/>
                <w:sz w:val="16"/>
                <w:szCs w:val="16"/>
                <w:lang w:eastAsia="en-AU"/>
              </w:rPr>
            </w:pPr>
          </w:p>
        </w:tc>
      </w:tr>
      <w:tr w:rsidR="006B0439" w:rsidRPr="006B0439" w:rsidTr="006B0439">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6B0439" w:rsidRPr="006B0439" w:rsidRDefault="006B0439" w:rsidP="006B0439">
            <w:pPr>
              <w:rPr>
                <w:rFonts w:ascii="Calibri" w:hAnsi="Calibri" w:cs="Calibri"/>
                <w:color w:val="000000"/>
                <w:sz w:val="16"/>
                <w:szCs w:val="16"/>
                <w:lang w:eastAsia="en-AU"/>
              </w:rPr>
            </w:pPr>
            <w:r w:rsidRPr="006B0439">
              <w:rPr>
                <w:rFonts w:ascii="Calibri" w:hAnsi="Calibri" w:cs="Calibri"/>
                <w:color w:val="000000"/>
                <w:sz w:val="16"/>
                <w:szCs w:val="16"/>
                <w:lang w:eastAsia="en-AU"/>
              </w:rPr>
              <w:t>Year</w:t>
            </w:r>
          </w:p>
        </w:tc>
        <w:tc>
          <w:tcPr>
            <w:tcW w:w="1120" w:type="dxa"/>
            <w:tcBorders>
              <w:top w:val="single" w:sz="4" w:space="0" w:color="auto"/>
              <w:left w:val="nil"/>
              <w:bottom w:val="single" w:sz="4" w:space="0" w:color="auto"/>
              <w:right w:val="single" w:sz="4" w:space="0" w:color="auto"/>
            </w:tcBorders>
            <w:shd w:val="clear" w:color="000000" w:fill="D8D8D8"/>
            <w:noWrap/>
            <w:vAlign w:val="center"/>
            <w:hideMark/>
          </w:tcPr>
          <w:p w:rsidR="006B0439" w:rsidRPr="006B0439" w:rsidRDefault="006B0439" w:rsidP="006B0439">
            <w:pPr>
              <w:jc w:val="center"/>
              <w:rPr>
                <w:rFonts w:ascii="Calibri" w:hAnsi="Calibri" w:cs="Calibri"/>
                <w:color w:val="000000"/>
                <w:sz w:val="16"/>
                <w:szCs w:val="16"/>
                <w:lang w:eastAsia="en-AU"/>
              </w:rPr>
            </w:pPr>
            <w:r w:rsidRPr="006B0439">
              <w:rPr>
                <w:rFonts w:ascii="Calibri" w:hAnsi="Calibri" w:cs="Calibri"/>
                <w:color w:val="000000"/>
                <w:sz w:val="16"/>
                <w:szCs w:val="16"/>
                <w:lang w:eastAsia="en-AU"/>
              </w:rPr>
              <w:t>2010-11</w:t>
            </w:r>
          </w:p>
        </w:tc>
        <w:tc>
          <w:tcPr>
            <w:tcW w:w="1120" w:type="dxa"/>
            <w:tcBorders>
              <w:top w:val="single" w:sz="4" w:space="0" w:color="auto"/>
              <w:left w:val="nil"/>
              <w:bottom w:val="single" w:sz="4" w:space="0" w:color="auto"/>
              <w:right w:val="single" w:sz="4" w:space="0" w:color="auto"/>
            </w:tcBorders>
            <w:shd w:val="clear" w:color="000000" w:fill="D8D8D8"/>
            <w:noWrap/>
            <w:vAlign w:val="center"/>
            <w:hideMark/>
          </w:tcPr>
          <w:p w:rsidR="006B0439" w:rsidRPr="006B0439" w:rsidRDefault="006B0439" w:rsidP="006B0439">
            <w:pPr>
              <w:jc w:val="center"/>
              <w:rPr>
                <w:rFonts w:ascii="Calibri" w:hAnsi="Calibri" w:cs="Calibri"/>
                <w:color w:val="000000"/>
                <w:sz w:val="16"/>
                <w:szCs w:val="16"/>
                <w:lang w:eastAsia="en-AU"/>
              </w:rPr>
            </w:pPr>
            <w:r w:rsidRPr="006B0439">
              <w:rPr>
                <w:rFonts w:ascii="Calibri" w:hAnsi="Calibri" w:cs="Calibri"/>
                <w:color w:val="000000"/>
                <w:sz w:val="16"/>
                <w:szCs w:val="16"/>
                <w:lang w:eastAsia="en-AU"/>
              </w:rPr>
              <w:t>2009-10</w:t>
            </w:r>
          </w:p>
        </w:tc>
        <w:tc>
          <w:tcPr>
            <w:tcW w:w="1120" w:type="dxa"/>
            <w:tcBorders>
              <w:top w:val="single" w:sz="4" w:space="0" w:color="auto"/>
              <w:left w:val="nil"/>
              <w:bottom w:val="single" w:sz="4" w:space="0" w:color="auto"/>
              <w:right w:val="single" w:sz="4" w:space="0" w:color="auto"/>
            </w:tcBorders>
            <w:shd w:val="clear" w:color="000000" w:fill="D8D8D8"/>
            <w:noWrap/>
            <w:vAlign w:val="center"/>
            <w:hideMark/>
          </w:tcPr>
          <w:p w:rsidR="006B0439" w:rsidRPr="006B0439" w:rsidRDefault="006B0439" w:rsidP="006B0439">
            <w:pPr>
              <w:jc w:val="center"/>
              <w:rPr>
                <w:rFonts w:ascii="Calibri" w:hAnsi="Calibri" w:cs="Calibri"/>
                <w:color w:val="000000"/>
                <w:sz w:val="16"/>
                <w:szCs w:val="16"/>
                <w:lang w:eastAsia="en-AU"/>
              </w:rPr>
            </w:pPr>
            <w:r w:rsidRPr="006B0439">
              <w:rPr>
                <w:rFonts w:ascii="Calibri" w:hAnsi="Calibri" w:cs="Calibri"/>
                <w:color w:val="000000"/>
                <w:sz w:val="16"/>
                <w:szCs w:val="16"/>
                <w:lang w:eastAsia="en-AU"/>
              </w:rPr>
              <w:t>2008-09</w:t>
            </w:r>
          </w:p>
        </w:tc>
      </w:tr>
      <w:tr w:rsidR="006B0439" w:rsidRPr="006B0439" w:rsidTr="00F94EB5">
        <w:trPr>
          <w:trHeight w:val="225"/>
        </w:trPr>
        <w:tc>
          <w:tcPr>
            <w:tcW w:w="39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B0439" w:rsidRPr="006B0439" w:rsidRDefault="006B0439" w:rsidP="006B0439">
            <w:pPr>
              <w:rPr>
                <w:rFonts w:ascii="Calibri" w:hAnsi="Calibri" w:cs="Calibri"/>
                <w:color w:val="000000"/>
                <w:sz w:val="16"/>
                <w:szCs w:val="16"/>
                <w:lang w:eastAsia="en-AU"/>
              </w:rPr>
            </w:pPr>
            <w:r w:rsidRPr="006B0439">
              <w:rPr>
                <w:rFonts w:ascii="Calibri" w:hAnsi="Calibri" w:cs="Calibri"/>
                <w:color w:val="000000"/>
                <w:sz w:val="16"/>
                <w:szCs w:val="16"/>
                <w:lang w:eastAsia="en-AU"/>
              </w:rPr>
              <w:t>Percentage by which the conversion factor over or under estimates the weight of imports</w:t>
            </w:r>
          </w:p>
        </w:tc>
        <w:tc>
          <w:tcPr>
            <w:tcW w:w="1120" w:type="dxa"/>
            <w:tcBorders>
              <w:top w:val="nil"/>
              <w:left w:val="nil"/>
              <w:bottom w:val="single" w:sz="4" w:space="0" w:color="auto"/>
              <w:right w:val="single" w:sz="4" w:space="0" w:color="auto"/>
            </w:tcBorders>
            <w:shd w:val="clear" w:color="auto" w:fill="auto"/>
            <w:noWrap/>
            <w:vAlign w:val="center"/>
            <w:hideMark/>
          </w:tcPr>
          <w:p w:rsidR="006B0439" w:rsidRPr="006B0439" w:rsidRDefault="006B0439" w:rsidP="006B0439">
            <w:pPr>
              <w:jc w:val="center"/>
              <w:rPr>
                <w:rFonts w:ascii="Calibri" w:hAnsi="Calibri" w:cs="Calibri"/>
                <w:color w:val="000000"/>
                <w:sz w:val="16"/>
                <w:szCs w:val="16"/>
                <w:lang w:eastAsia="en-AU"/>
              </w:rPr>
            </w:pPr>
            <w:r w:rsidRPr="006B0439">
              <w:rPr>
                <w:rFonts w:ascii="Calibri" w:hAnsi="Calibri" w:cs="Calibri"/>
                <w:color w:val="000000"/>
                <w:sz w:val="16"/>
                <w:szCs w:val="16"/>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rsidR="006B0439" w:rsidRPr="006B0439" w:rsidRDefault="006B0439" w:rsidP="006B0439">
            <w:pPr>
              <w:jc w:val="center"/>
              <w:rPr>
                <w:rFonts w:ascii="Calibri" w:hAnsi="Calibri" w:cs="Calibri"/>
                <w:color w:val="000000"/>
                <w:sz w:val="16"/>
                <w:szCs w:val="16"/>
                <w:lang w:eastAsia="en-AU"/>
              </w:rPr>
            </w:pPr>
            <w:r w:rsidRPr="006B0439">
              <w:rPr>
                <w:rFonts w:ascii="Calibri" w:hAnsi="Calibri" w:cs="Calibri"/>
                <w:color w:val="000000"/>
                <w:sz w:val="16"/>
                <w:szCs w:val="16"/>
                <w:lang w:eastAsia="en-AU"/>
              </w:rPr>
              <w:t>13%</w:t>
            </w:r>
          </w:p>
        </w:tc>
        <w:tc>
          <w:tcPr>
            <w:tcW w:w="1120" w:type="dxa"/>
            <w:tcBorders>
              <w:top w:val="nil"/>
              <w:left w:val="nil"/>
              <w:bottom w:val="single" w:sz="4" w:space="0" w:color="auto"/>
              <w:right w:val="single" w:sz="4" w:space="0" w:color="auto"/>
            </w:tcBorders>
            <w:shd w:val="clear" w:color="auto" w:fill="auto"/>
            <w:noWrap/>
            <w:vAlign w:val="center"/>
            <w:hideMark/>
          </w:tcPr>
          <w:p w:rsidR="006B0439" w:rsidRPr="006B0439" w:rsidRDefault="006B0439" w:rsidP="006B0439">
            <w:pPr>
              <w:jc w:val="center"/>
              <w:rPr>
                <w:rFonts w:ascii="Calibri" w:hAnsi="Calibri" w:cs="Calibri"/>
                <w:color w:val="000000"/>
                <w:sz w:val="16"/>
                <w:szCs w:val="16"/>
                <w:lang w:eastAsia="en-AU"/>
              </w:rPr>
            </w:pPr>
            <w:r w:rsidRPr="006B0439">
              <w:rPr>
                <w:rFonts w:ascii="Calibri" w:hAnsi="Calibri" w:cs="Calibri"/>
                <w:color w:val="000000"/>
                <w:sz w:val="16"/>
                <w:szCs w:val="16"/>
                <w:lang w:eastAsia="en-AU"/>
              </w:rPr>
              <w:t>49%</w:t>
            </w:r>
          </w:p>
        </w:tc>
      </w:tr>
    </w:tbl>
    <w:p w:rsidR="0073067B" w:rsidRDefault="0073067B" w:rsidP="006B0439">
      <w:pPr>
        <w:rPr>
          <w:szCs w:val="22"/>
        </w:rPr>
      </w:pPr>
    </w:p>
    <w:p w:rsidR="00B16720" w:rsidRDefault="00B16720" w:rsidP="00B16720">
      <w:pPr>
        <w:jc w:val="both"/>
        <w:rPr>
          <w:b/>
          <w:szCs w:val="22"/>
        </w:rPr>
      </w:pPr>
    </w:p>
    <w:p w:rsidR="006B0439" w:rsidRPr="00B93EBF" w:rsidRDefault="00700380" w:rsidP="006B0439">
      <w:pPr>
        <w:rPr>
          <w:szCs w:val="22"/>
        </w:rPr>
      </w:pPr>
      <w:r>
        <w:rPr>
          <w:szCs w:val="22"/>
        </w:rPr>
        <w:t>Figure 5-4</w:t>
      </w:r>
      <w:r w:rsidR="006720A2">
        <w:rPr>
          <w:szCs w:val="22"/>
        </w:rPr>
        <w:t>a and Table 5-3a present</w:t>
      </w:r>
      <w:r>
        <w:rPr>
          <w:szCs w:val="22"/>
        </w:rPr>
        <w:t xml:space="preserve"> t</w:t>
      </w:r>
      <w:r w:rsidR="006B0439" w:rsidRPr="00D97E94">
        <w:rPr>
          <w:szCs w:val="22"/>
        </w:rPr>
        <w:t xml:space="preserve">he </w:t>
      </w:r>
      <w:r w:rsidR="006B0439">
        <w:rPr>
          <w:szCs w:val="22"/>
        </w:rPr>
        <w:t>original d</w:t>
      </w:r>
      <w:r w:rsidR="005F0B1B">
        <w:rPr>
          <w:szCs w:val="22"/>
        </w:rPr>
        <w:t xml:space="preserve">ata set for this HTISC </w:t>
      </w:r>
      <w:r>
        <w:rPr>
          <w:szCs w:val="22"/>
        </w:rPr>
        <w:t>which s</w:t>
      </w:r>
      <w:r w:rsidR="005F0B1B">
        <w:rPr>
          <w:szCs w:val="22"/>
        </w:rPr>
        <w:t xml:space="preserve">howed </w:t>
      </w:r>
      <w:r w:rsidR="006B0439">
        <w:rPr>
          <w:szCs w:val="22"/>
        </w:rPr>
        <w:t xml:space="preserve">high weight </w:t>
      </w:r>
      <w:r w:rsidR="00C62346">
        <w:rPr>
          <w:szCs w:val="22"/>
        </w:rPr>
        <w:t>variation</w:t>
      </w:r>
      <w:r w:rsidR="006B0439">
        <w:rPr>
          <w:szCs w:val="22"/>
        </w:rPr>
        <w:t>, with the largest cluster at 10-20 kg, another at 120-130</w:t>
      </w:r>
      <w:r w:rsidR="005F0B1B">
        <w:rPr>
          <w:szCs w:val="22"/>
        </w:rPr>
        <w:t xml:space="preserve"> </w:t>
      </w:r>
      <w:r w:rsidR="006B0439">
        <w:rPr>
          <w:szCs w:val="22"/>
        </w:rPr>
        <w:t>kg, a small group greater than 200 kg and a maximum of 551 kg. It was agreed with the Department to exclude from the conversion factor mod</w:t>
      </w:r>
      <w:r w:rsidR="00FD079C">
        <w:rPr>
          <w:szCs w:val="22"/>
        </w:rPr>
        <w:t>els weighing in excess of 40 kg (Tables 5-4b and Table 5-3b)</w:t>
      </w:r>
      <w:r w:rsidR="00924E59">
        <w:rPr>
          <w:szCs w:val="22"/>
        </w:rPr>
        <w:t>.</w:t>
      </w:r>
    </w:p>
    <w:p w:rsidR="006B0439" w:rsidRDefault="006B0439" w:rsidP="006B0439">
      <w:pPr>
        <w:jc w:val="both"/>
        <w:rPr>
          <w:b/>
          <w:szCs w:val="22"/>
        </w:rPr>
      </w:pPr>
    </w:p>
    <w:p w:rsidR="006B0439" w:rsidRDefault="006720A2" w:rsidP="006B0439">
      <w:pPr>
        <w:rPr>
          <w:szCs w:val="22"/>
        </w:rPr>
      </w:pPr>
      <w:r>
        <w:rPr>
          <w:b/>
          <w:szCs w:val="22"/>
        </w:rPr>
        <w:t>Revised di</w:t>
      </w:r>
      <w:r w:rsidR="006B0439" w:rsidRPr="005A3097">
        <w:rPr>
          <w:b/>
          <w:szCs w:val="22"/>
        </w:rPr>
        <w:t>stribution:</w:t>
      </w:r>
      <w:r w:rsidR="006B0439">
        <w:rPr>
          <w:b/>
          <w:szCs w:val="22"/>
        </w:rPr>
        <w:t xml:space="preserve"> </w:t>
      </w:r>
      <w:r w:rsidR="006B0439">
        <w:rPr>
          <w:szCs w:val="22"/>
        </w:rPr>
        <w:t xml:space="preserve">The vast majority of models in this code fall within the </w:t>
      </w:r>
      <w:r w:rsidR="00700380">
        <w:rPr>
          <w:szCs w:val="22"/>
        </w:rPr>
        <w:t>new, narrower weight group of 10-12 kg.</w:t>
      </w:r>
    </w:p>
    <w:p w:rsidR="006B0439" w:rsidRDefault="006B0439" w:rsidP="006B0439">
      <w:pPr>
        <w:rPr>
          <w:szCs w:val="22"/>
        </w:rPr>
      </w:pPr>
      <w:r>
        <w:rPr>
          <w:b/>
          <w:szCs w:val="22"/>
        </w:rPr>
        <w:t xml:space="preserve">Proposed conversion factor: </w:t>
      </w:r>
      <w:r>
        <w:rPr>
          <w:szCs w:val="22"/>
        </w:rPr>
        <w:t>10.6 kg.</w:t>
      </w:r>
    </w:p>
    <w:p w:rsidR="006B0439" w:rsidRDefault="006B0439" w:rsidP="006B0439">
      <w:pPr>
        <w:rPr>
          <w:szCs w:val="22"/>
        </w:rPr>
      </w:pPr>
      <w:r>
        <w:rPr>
          <w:b/>
          <w:szCs w:val="22"/>
        </w:rPr>
        <w:t xml:space="preserve">Proposed confidence interval: </w:t>
      </w:r>
      <w:r>
        <w:rPr>
          <w:szCs w:val="22"/>
        </w:rPr>
        <w:t xml:space="preserve"> </w:t>
      </w:r>
      <w:r w:rsidRPr="0034358D">
        <w:rPr>
          <w:szCs w:val="22"/>
        </w:rPr>
        <w:t>±</w:t>
      </w:r>
      <w:r w:rsidRPr="005E0F83">
        <w:rPr>
          <w:szCs w:val="22"/>
        </w:rPr>
        <w:t xml:space="preserve"> 5</w:t>
      </w:r>
      <w:r w:rsidR="00924E59">
        <w:rPr>
          <w:szCs w:val="22"/>
        </w:rPr>
        <w:t>.0</w:t>
      </w:r>
      <w:r w:rsidRPr="005E0F83">
        <w:rPr>
          <w:szCs w:val="22"/>
        </w:rPr>
        <w:t xml:space="preserve"> kg</w:t>
      </w:r>
    </w:p>
    <w:p w:rsidR="002146B1" w:rsidRPr="00627B01" w:rsidRDefault="00C62346" w:rsidP="006B0439">
      <w:pPr>
        <w:rPr>
          <w:szCs w:val="22"/>
        </w:rPr>
      </w:pPr>
      <w:r>
        <w:rPr>
          <w:b/>
          <w:szCs w:val="22"/>
        </w:rPr>
        <w:t xml:space="preserve">Variation over time: </w:t>
      </w:r>
      <w:r w:rsidR="006B0439">
        <w:rPr>
          <w:szCs w:val="22"/>
        </w:rPr>
        <w:t>High</w:t>
      </w:r>
      <w:r w:rsidR="006B0439">
        <w:rPr>
          <w:b/>
          <w:szCs w:val="22"/>
        </w:rPr>
        <w:br w:type="page"/>
      </w:r>
    </w:p>
    <w:p w:rsidR="002146B1" w:rsidRPr="006B0439" w:rsidRDefault="002146B1" w:rsidP="006B0439">
      <w:pPr>
        <w:rPr>
          <w:rFonts w:ascii="Arial" w:hAnsi="Arial" w:cs="Arial"/>
          <w:b/>
          <w:bCs/>
          <w:color w:val="000000"/>
          <w:szCs w:val="22"/>
          <w:lang w:eastAsia="en-AU"/>
        </w:rPr>
      </w:pPr>
      <w:r w:rsidRPr="006B0439">
        <w:rPr>
          <w:rFonts w:ascii="Arial" w:hAnsi="Arial" w:cs="Arial"/>
          <w:b/>
          <w:bCs/>
          <w:color w:val="000000"/>
          <w:szCs w:val="22"/>
          <w:lang w:eastAsia="en-AU"/>
        </w:rPr>
        <w:t>Data Gaps</w:t>
      </w:r>
    </w:p>
    <w:p w:rsidR="002146B1" w:rsidRPr="002146B1" w:rsidRDefault="002146B1" w:rsidP="002A2753">
      <w:pPr>
        <w:jc w:val="both"/>
        <w:rPr>
          <w:rFonts w:ascii="Arial" w:hAnsi="Arial" w:cs="Arial"/>
          <w:b/>
          <w:szCs w:val="22"/>
        </w:rPr>
      </w:pPr>
    </w:p>
    <w:p w:rsidR="002146B1" w:rsidRDefault="002146B1" w:rsidP="002A2753">
      <w:pPr>
        <w:jc w:val="both"/>
        <w:rPr>
          <w:szCs w:val="22"/>
        </w:rPr>
      </w:pPr>
      <w:r w:rsidRPr="002146B1">
        <w:rPr>
          <w:szCs w:val="22"/>
        </w:rPr>
        <w:t>No</w:t>
      </w:r>
      <w:r>
        <w:rPr>
          <w:szCs w:val="22"/>
        </w:rPr>
        <w:t xml:space="preserve"> imports reported for:</w:t>
      </w:r>
    </w:p>
    <w:p w:rsidR="002146B1" w:rsidRPr="00A86019" w:rsidRDefault="002146B1" w:rsidP="00A86019">
      <w:pPr>
        <w:pStyle w:val="ListParagraph"/>
        <w:numPr>
          <w:ilvl w:val="0"/>
          <w:numId w:val="32"/>
        </w:numPr>
        <w:jc w:val="both"/>
        <w:rPr>
          <w:szCs w:val="22"/>
        </w:rPr>
      </w:pPr>
      <w:r w:rsidRPr="00A86019">
        <w:rPr>
          <w:szCs w:val="22"/>
        </w:rPr>
        <w:t>8443.31.00 62 - MFDs: Dot matrix</w:t>
      </w:r>
    </w:p>
    <w:p w:rsidR="002146B1" w:rsidRPr="00A86019" w:rsidRDefault="002146B1" w:rsidP="00A86019">
      <w:pPr>
        <w:pStyle w:val="ListParagraph"/>
        <w:numPr>
          <w:ilvl w:val="0"/>
          <w:numId w:val="32"/>
        </w:numPr>
        <w:jc w:val="both"/>
        <w:rPr>
          <w:szCs w:val="22"/>
        </w:rPr>
      </w:pPr>
      <w:r w:rsidRPr="00A86019">
        <w:rPr>
          <w:szCs w:val="22"/>
        </w:rPr>
        <w:t>8443.31.00 69 - MFDs: Other</w:t>
      </w:r>
    </w:p>
    <w:p w:rsidR="002146B1" w:rsidRDefault="002146B1" w:rsidP="002A2753">
      <w:pPr>
        <w:jc w:val="both"/>
        <w:rPr>
          <w:szCs w:val="22"/>
        </w:rPr>
      </w:pPr>
      <w:r w:rsidRPr="002146B1">
        <w:rPr>
          <w:b/>
          <w:szCs w:val="22"/>
        </w:rPr>
        <w:t>Recommendation:</w:t>
      </w:r>
      <w:r w:rsidR="001E0B4D">
        <w:rPr>
          <w:szCs w:val="22"/>
        </w:rPr>
        <w:t xml:space="preserve"> A</w:t>
      </w:r>
      <w:r>
        <w:rPr>
          <w:szCs w:val="22"/>
        </w:rPr>
        <w:t>ssign conversion factors</w:t>
      </w:r>
      <w:r w:rsidR="001E0B4D">
        <w:rPr>
          <w:szCs w:val="22"/>
        </w:rPr>
        <w:t xml:space="preserve"> for these codes</w:t>
      </w:r>
      <w:r>
        <w:rPr>
          <w:szCs w:val="22"/>
        </w:rPr>
        <w:t xml:space="preserve"> at C</w:t>
      </w:r>
      <w:r w:rsidR="00335337">
        <w:rPr>
          <w:szCs w:val="22"/>
        </w:rPr>
        <w:t>TCN level</w:t>
      </w:r>
    </w:p>
    <w:p w:rsidR="00335337" w:rsidRDefault="00335337" w:rsidP="002A2753">
      <w:pPr>
        <w:jc w:val="both"/>
        <w:rPr>
          <w:szCs w:val="22"/>
        </w:rPr>
      </w:pPr>
    </w:p>
    <w:p w:rsidR="0027155F" w:rsidRDefault="0027155F" w:rsidP="002A2753">
      <w:pPr>
        <w:jc w:val="both"/>
        <w:rPr>
          <w:szCs w:val="22"/>
        </w:rPr>
      </w:pPr>
    </w:p>
    <w:p w:rsidR="006B0439" w:rsidRDefault="006B0439" w:rsidP="006B0439">
      <w:pPr>
        <w:rPr>
          <w:rFonts w:ascii="Arial" w:hAnsi="Arial" w:cs="Arial"/>
          <w:b/>
          <w:bCs/>
          <w:color w:val="000000"/>
          <w:szCs w:val="22"/>
          <w:lang w:eastAsia="en-AU"/>
        </w:rPr>
      </w:pPr>
      <w:r w:rsidRPr="006B0439">
        <w:rPr>
          <w:rFonts w:ascii="Arial" w:hAnsi="Arial" w:cs="Arial"/>
          <w:b/>
          <w:bCs/>
          <w:color w:val="000000"/>
          <w:szCs w:val="22"/>
          <w:lang w:eastAsia="en-AU"/>
        </w:rPr>
        <w:t>CTCN 8443.31.00 - Multi-function devices (MFDs)</w:t>
      </w:r>
    </w:p>
    <w:p w:rsidR="004360E0" w:rsidRDefault="004360E0" w:rsidP="006B0439">
      <w:pPr>
        <w:rPr>
          <w:rFonts w:ascii="Arial" w:hAnsi="Arial" w:cs="Arial"/>
          <w:b/>
          <w:bCs/>
          <w:color w:val="000000"/>
          <w:szCs w:val="22"/>
          <w:lang w:eastAsia="en-AU"/>
        </w:rPr>
      </w:pPr>
    </w:p>
    <w:p w:rsidR="004360E0" w:rsidRDefault="002652C5" w:rsidP="004360E0">
      <w:pPr>
        <w:pStyle w:val="Caption"/>
        <w:keepNext/>
      </w:pPr>
      <w:r>
        <w:t xml:space="preserve">Figure 5-5  </w:t>
      </w:r>
      <w:r w:rsidR="004360E0">
        <w:t xml:space="preserve"> </w:t>
      </w:r>
      <w:r w:rsidR="00AC1355">
        <w:t>CTCN frequency distribution in CF year</w:t>
      </w:r>
    </w:p>
    <w:p w:rsidR="00C61E41" w:rsidRDefault="00CC616F" w:rsidP="00C61E41">
      <w:pPr>
        <w:rPr>
          <w:lang w:val="en-GB"/>
        </w:rPr>
      </w:pPr>
      <w:r w:rsidRPr="00CC616F">
        <w:rPr>
          <w:noProof/>
          <w:lang w:eastAsia="en-AU"/>
        </w:rPr>
        <w:drawing>
          <wp:inline distT="0" distB="0" distL="0" distR="0">
            <wp:extent cx="4889500" cy="2984500"/>
            <wp:effectExtent l="19050" t="0" r="25400" b="6350"/>
            <wp:docPr id="5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00380" w:rsidRDefault="00700380" w:rsidP="00700380">
      <w:pPr>
        <w:rPr>
          <w:lang w:val="en-GB"/>
        </w:rPr>
      </w:pPr>
    </w:p>
    <w:p w:rsidR="00700380" w:rsidRPr="00700380" w:rsidRDefault="00700380" w:rsidP="00700380">
      <w:pPr>
        <w:rPr>
          <w:lang w:val="en-GB"/>
        </w:rPr>
      </w:pPr>
    </w:p>
    <w:p w:rsidR="006B0439" w:rsidRPr="00D73340" w:rsidRDefault="00207129" w:rsidP="00D73340">
      <w:pPr>
        <w:pStyle w:val="Caption"/>
      </w:pPr>
      <w:r>
        <w:t xml:space="preserve">Table 5-4  </w:t>
      </w:r>
      <w:r w:rsidR="00D73340">
        <w:t>Conversion factor statistics</w:t>
      </w:r>
    </w:p>
    <w:tbl>
      <w:tblPr>
        <w:tblW w:w="7260" w:type="dxa"/>
        <w:tblInd w:w="93" w:type="dxa"/>
        <w:tblLook w:val="04A0"/>
      </w:tblPr>
      <w:tblGrid>
        <w:gridCol w:w="1660"/>
        <w:gridCol w:w="1120"/>
        <w:gridCol w:w="1120"/>
        <w:gridCol w:w="1120"/>
        <w:gridCol w:w="1120"/>
        <w:gridCol w:w="1120"/>
      </w:tblGrid>
      <w:tr w:rsidR="00F94EB5" w:rsidRPr="00F94EB5" w:rsidTr="00F94EB5">
        <w:trPr>
          <w:trHeight w:val="450"/>
        </w:trPr>
        <w:tc>
          <w:tcPr>
            <w:tcW w:w="166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F94EB5" w:rsidRPr="00F94EB5" w:rsidRDefault="00F94EB5" w:rsidP="00F94EB5">
            <w:pPr>
              <w:jc w:val="center"/>
              <w:rPr>
                <w:rFonts w:ascii="Calibri" w:hAnsi="Calibri" w:cs="Calibri"/>
                <w:color w:val="000000"/>
                <w:sz w:val="16"/>
                <w:szCs w:val="16"/>
                <w:lang w:eastAsia="en-AU"/>
              </w:rPr>
            </w:pPr>
            <w:r w:rsidRPr="00F94EB5">
              <w:rPr>
                <w:rFonts w:ascii="Calibri" w:hAnsi="Calibri" w:cs="Calibri"/>
                <w:color w:val="000000"/>
                <w:sz w:val="16"/>
                <w:szCs w:val="16"/>
                <w:lang w:eastAsia="en-AU"/>
              </w:rPr>
              <w:t>CF year</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F94EB5" w:rsidRPr="00F94EB5" w:rsidRDefault="00F94EB5" w:rsidP="00F94EB5">
            <w:pPr>
              <w:jc w:val="center"/>
              <w:rPr>
                <w:rFonts w:ascii="Calibri" w:hAnsi="Calibri" w:cs="Calibri"/>
                <w:color w:val="000000"/>
                <w:sz w:val="16"/>
                <w:szCs w:val="16"/>
                <w:lang w:eastAsia="en-AU"/>
              </w:rPr>
            </w:pPr>
            <w:r w:rsidRPr="00F94EB5">
              <w:rPr>
                <w:rFonts w:ascii="Calibri" w:hAnsi="Calibri" w:cs="Calibri"/>
                <w:color w:val="000000"/>
                <w:sz w:val="16"/>
                <w:szCs w:val="16"/>
                <w:lang w:eastAsia="en-AU"/>
              </w:rPr>
              <w:t>No. of ABS imports</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F94EB5" w:rsidRPr="00F94EB5" w:rsidRDefault="00F94EB5" w:rsidP="00F94EB5">
            <w:pPr>
              <w:jc w:val="center"/>
              <w:rPr>
                <w:rFonts w:ascii="Calibri" w:hAnsi="Calibri" w:cs="Calibri"/>
                <w:color w:val="000000"/>
                <w:sz w:val="16"/>
                <w:szCs w:val="16"/>
                <w:lang w:eastAsia="en-AU"/>
              </w:rPr>
            </w:pPr>
            <w:r w:rsidRPr="00F94EB5">
              <w:rPr>
                <w:rFonts w:ascii="Calibri" w:hAnsi="Calibri" w:cs="Calibri"/>
                <w:color w:val="000000"/>
                <w:sz w:val="16"/>
                <w:szCs w:val="16"/>
                <w:lang w:eastAsia="en-AU"/>
              </w:rPr>
              <w:t>% ABS imports included</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F94EB5" w:rsidRPr="00F94EB5" w:rsidRDefault="00F94EB5" w:rsidP="00F94EB5">
            <w:pPr>
              <w:jc w:val="center"/>
              <w:rPr>
                <w:rFonts w:ascii="Calibri" w:hAnsi="Calibri" w:cs="Calibri"/>
                <w:color w:val="000000"/>
                <w:sz w:val="16"/>
                <w:szCs w:val="16"/>
                <w:lang w:eastAsia="en-AU"/>
              </w:rPr>
            </w:pPr>
            <w:r w:rsidRPr="00F94EB5">
              <w:rPr>
                <w:rFonts w:ascii="Calibri" w:hAnsi="Calibri" w:cs="Calibri"/>
                <w:color w:val="000000"/>
                <w:sz w:val="16"/>
                <w:szCs w:val="16"/>
                <w:lang w:eastAsia="en-AU"/>
              </w:rPr>
              <w:t>Min weight</w:t>
            </w:r>
            <w:r w:rsidRPr="00F94EB5">
              <w:rPr>
                <w:rFonts w:ascii="Calibri" w:hAnsi="Calibri" w:cs="Calibri"/>
                <w:color w:val="000000"/>
                <w:sz w:val="16"/>
                <w:szCs w:val="16"/>
                <w:lang w:eastAsia="en-AU"/>
              </w:rPr>
              <w:br/>
              <w:t>(kg)</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F94EB5" w:rsidRPr="00F94EB5" w:rsidRDefault="00F94EB5" w:rsidP="00F94EB5">
            <w:pPr>
              <w:jc w:val="center"/>
              <w:rPr>
                <w:rFonts w:ascii="Calibri" w:hAnsi="Calibri" w:cs="Calibri"/>
                <w:color w:val="000000"/>
                <w:sz w:val="16"/>
                <w:szCs w:val="16"/>
                <w:lang w:eastAsia="en-AU"/>
              </w:rPr>
            </w:pPr>
            <w:r w:rsidRPr="00F94EB5">
              <w:rPr>
                <w:rFonts w:ascii="Calibri" w:hAnsi="Calibri" w:cs="Calibri"/>
                <w:color w:val="000000"/>
                <w:sz w:val="16"/>
                <w:szCs w:val="16"/>
                <w:lang w:eastAsia="en-AU"/>
              </w:rPr>
              <w:t>Max weight (kg)</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F94EB5" w:rsidRPr="00F94EB5" w:rsidRDefault="00F94EB5" w:rsidP="00F94EB5">
            <w:pPr>
              <w:jc w:val="center"/>
              <w:rPr>
                <w:rFonts w:ascii="Calibri" w:hAnsi="Calibri" w:cs="Calibri"/>
                <w:color w:val="000000"/>
                <w:sz w:val="16"/>
                <w:szCs w:val="16"/>
                <w:lang w:eastAsia="en-AU"/>
              </w:rPr>
            </w:pPr>
            <w:r w:rsidRPr="00F94EB5">
              <w:rPr>
                <w:rFonts w:ascii="Calibri" w:hAnsi="Calibri" w:cs="Calibri"/>
                <w:color w:val="000000"/>
                <w:sz w:val="16"/>
                <w:szCs w:val="16"/>
                <w:lang w:eastAsia="en-AU"/>
              </w:rPr>
              <w:t>Standard deviation</w:t>
            </w:r>
          </w:p>
        </w:tc>
      </w:tr>
      <w:tr w:rsidR="00F94EB5" w:rsidRPr="00F94EB5" w:rsidTr="00F94EB5">
        <w:trPr>
          <w:trHeight w:val="22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F94EB5" w:rsidRPr="00F94EB5" w:rsidRDefault="00F94EB5" w:rsidP="00F94EB5">
            <w:pPr>
              <w:jc w:val="center"/>
              <w:rPr>
                <w:rFonts w:ascii="Calibri" w:hAnsi="Calibri" w:cs="Calibri"/>
                <w:color w:val="000000"/>
                <w:sz w:val="16"/>
                <w:szCs w:val="16"/>
                <w:lang w:eastAsia="en-AU"/>
              </w:rPr>
            </w:pPr>
            <w:r w:rsidRPr="00F94EB5">
              <w:rPr>
                <w:rFonts w:ascii="Calibri" w:hAnsi="Calibri" w:cs="Calibri"/>
                <w:color w:val="000000"/>
                <w:sz w:val="16"/>
                <w:szCs w:val="16"/>
                <w:lang w:eastAsia="en-AU"/>
              </w:rPr>
              <w:t>2010-11</w:t>
            </w:r>
          </w:p>
        </w:tc>
        <w:tc>
          <w:tcPr>
            <w:tcW w:w="1120" w:type="dxa"/>
            <w:tcBorders>
              <w:top w:val="nil"/>
              <w:left w:val="nil"/>
              <w:bottom w:val="single" w:sz="4" w:space="0" w:color="auto"/>
              <w:right w:val="single" w:sz="4" w:space="0" w:color="auto"/>
            </w:tcBorders>
            <w:shd w:val="clear" w:color="auto" w:fill="auto"/>
            <w:noWrap/>
            <w:vAlign w:val="center"/>
            <w:hideMark/>
          </w:tcPr>
          <w:p w:rsidR="00F94EB5" w:rsidRPr="00F94EB5" w:rsidRDefault="00F94EB5" w:rsidP="00F94EB5">
            <w:pPr>
              <w:jc w:val="center"/>
              <w:rPr>
                <w:rFonts w:ascii="Calibri" w:hAnsi="Calibri" w:cs="Calibri"/>
                <w:color w:val="000000"/>
                <w:sz w:val="16"/>
                <w:szCs w:val="16"/>
                <w:lang w:eastAsia="en-AU"/>
              </w:rPr>
            </w:pPr>
            <w:r w:rsidRPr="00F94EB5">
              <w:rPr>
                <w:rFonts w:ascii="Calibri" w:hAnsi="Calibri" w:cs="Calibri"/>
                <w:color w:val="000000"/>
                <w:sz w:val="16"/>
                <w:szCs w:val="16"/>
                <w:lang w:eastAsia="en-AU"/>
              </w:rPr>
              <w:t>2,093,022</w:t>
            </w:r>
          </w:p>
        </w:tc>
        <w:tc>
          <w:tcPr>
            <w:tcW w:w="1120" w:type="dxa"/>
            <w:tcBorders>
              <w:top w:val="nil"/>
              <w:left w:val="nil"/>
              <w:bottom w:val="single" w:sz="4" w:space="0" w:color="auto"/>
              <w:right w:val="single" w:sz="4" w:space="0" w:color="auto"/>
            </w:tcBorders>
            <w:shd w:val="clear" w:color="auto" w:fill="auto"/>
            <w:noWrap/>
            <w:vAlign w:val="center"/>
            <w:hideMark/>
          </w:tcPr>
          <w:p w:rsidR="00F94EB5" w:rsidRPr="00F94EB5" w:rsidRDefault="00F94EB5" w:rsidP="00F94EB5">
            <w:pPr>
              <w:jc w:val="center"/>
              <w:rPr>
                <w:rFonts w:ascii="Calibri" w:hAnsi="Calibri" w:cs="Calibri"/>
                <w:color w:val="000000"/>
                <w:sz w:val="16"/>
                <w:szCs w:val="16"/>
                <w:lang w:eastAsia="en-AU"/>
              </w:rPr>
            </w:pPr>
            <w:r w:rsidRPr="00F94EB5">
              <w:rPr>
                <w:rFonts w:ascii="Calibri" w:hAnsi="Calibri" w:cs="Calibri"/>
                <w:color w:val="000000"/>
                <w:sz w:val="16"/>
                <w:szCs w:val="16"/>
                <w:lang w:eastAsia="en-AU"/>
              </w:rPr>
              <w:t>61%</w:t>
            </w:r>
          </w:p>
        </w:tc>
        <w:tc>
          <w:tcPr>
            <w:tcW w:w="1120" w:type="dxa"/>
            <w:tcBorders>
              <w:top w:val="nil"/>
              <w:left w:val="nil"/>
              <w:bottom w:val="single" w:sz="4" w:space="0" w:color="auto"/>
              <w:right w:val="single" w:sz="4" w:space="0" w:color="auto"/>
            </w:tcBorders>
            <w:shd w:val="clear" w:color="auto" w:fill="auto"/>
            <w:noWrap/>
            <w:vAlign w:val="center"/>
            <w:hideMark/>
          </w:tcPr>
          <w:p w:rsidR="00F94EB5" w:rsidRPr="00F94EB5" w:rsidRDefault="00F94EB5" w:rsidP="00F94EB5">
            <w:pPr>
              <w:jc w:val="center"/>
              <w:rPr>
                <w:rFonts w:ascii="Calibri" w:hAnsi="Calibri" w:cs="Calibri"/>
                <w:color w:val="000000"/>
                <w:sz w:val="16"/>
                <w:szCs w:val="16"/>
                <w:lang w:eastAsia="en-AU"/>
              </w:rPr>
            </w:pPr>
            <w:r w:rsidRPr="00F94EB5">
              <w:rPr>
                <w:rFonts w:ascii="Calibri" w:hAnsi="Calibri" w:cs="Calibri"/>
                <w:color w:val="000000"/>
                <w:sz w:val="16"/>
                <w:szCs w:val="16"/>
                <w:lang w:eastAsia="en-AU"/>
              </w:rPr>
              <w:t>3.6</w:t>
            </w:r>
          </w:p>
        </w:tc>
        <w:tc>
          <w:tcPr>
            <w:tcW w:w="1120" w:type="dxa"/>
            <w:tcBorders>
              <w:top w:val="nil"/>
              <w:left w:val="nil"/>
              <w:bottom w:val="single" w:sz="4" w:space="0" w:color="auto"/>
              <w:right w:val="single" w:sz="4" w:space="0" w:color="auto"/>
            </w:tcBorders>
            <w:shd w:val="clear" w:color="auto" w:fill="auto"/>
            <w:noWrap/>
            <w:vAlign w:val="center"/>
            <w:hideMark/>
          </w:tcPr>
          <w:p w:rsidR="00F94EB5" w:rsidRPr="00F94EB5" w:rsidRDefault="00F94EB5" w:rsidP="00F94EB5">
            <w:pPr>
              <w:jc w:val="center"/>
              <w:rPr>
                <w:rFonts w:ascii="Calibri" w:hAnsi="Calibri" w:cs="Calibri"/>
                <w:color w:val="000000"/>
                <w:sz w:val="16"/>
                <w:szCs w:val="16"/>
                <w:lang w:eastAsia="en-AU"/>
              </w:rPr>
            </w:pPr>
            <w:r w:rsidRPr="00F94EB5">
              <w:rPr>
                <w:rFonts w:ascii="Calibri" w:hAnsi="Calibri" w:cs="Calibri"/>
                <w:color w:val="000000"/>
                <w:sz w:val="16"/>
                <w:szCs w:val="16"/>
                <w:lang w:eastAsia="en-AU"/>
              </w:rPr>
              <w:t>250.2</w:t>
            </w:r>
          </w:p>
        </w:tc>
        <w:tc>
          <w:tcPr>
            <w:tcW w:w="1120" w:type="dxa"/>
            <w:tcBorders>
              <w:top w:val="nil"/>
              <w:left w:val="nil"/>
              <w:bottom w:val="single" w:sz="4" w:space="0" w:color="auto"/>
              <w:right w:val="single" w:sz="4" w:space="0" w:color="auto"/>
            </w:tcBorders>
            <w:shd w:val="clear" w:color="auto" w:fill="auto"/>
            <w:noWrap/>
            <w:vAlign w:val="center"/>
            <w:hideMark/>
          </w:tcPr>
          <w:p w:rsidR="00F94EB5" w:rsidRPr="00F94EB5" w:rsidRDefault="00F94EB5" w:rsidP="00F94EB5">
            <w:pPr>
              <w:jc w:val="center"/>
              <w:rPr>
                <w:rFonts w:ascii="Calibri" w:hAnsi="Calibri" w:cs="Calibri"/>
                <w:color w:val="000000"/>
                <w:sz w:val="16"/>
                <w:szCs w:val="16"/>
                <w:lang w:eastAsia="en-AU"/>
              </w:rPr>
            </w:pPr>
            <w:r w:rsidRPr="00F94EB5">
              <w:rPr>
                <w:rFonts w:ascii="Calibri" w:hAnsi="Calibri" w:cs="Calibri"/>
                <w:color w:val="000000"/>
                <w:sz w:val="16"/>
                <w:szCs w:val="16"/>
                <w:lang w:eastAsia="en-AU"/>
              </w:rPr>
              <w:t>0.2</w:t>
            </w:r>
          </w:p>
        </w:tc>
      </w:tr>
      <w:tr w:rsidR="00F94EB5" w:rsidRPr="00F94EB5" w:rsidTr="00F94EB5">
        <w:trPr>
          <w:trHeight w:val="225"/>
        </w:trPr>
        <w:tc>
          <w:tcPr>
            <w:tcW w:w="1660" w:type="dxa"/>
            <w:tcBorders>
              <w:top w:val="nil"/>
              <w:left w:val="nil"/>
              <w:bottom w:val="nil"/>
              <w:right w:val="nil"/>
            </w:tcBorders>
            <w:shd w:val="clear" w:color="auto" w:fill="auto"/>
            <w:noWrap/>
            <w:vAlign w:val="bottom"/>
            <w:hideMark/>
          </w:tcPr>
          <w:p w:rsidR="00F94EB5" w:rsidRPr="00F94EB5" w:rsidRDefault="00F94EB5" w:rsidP="00F94EB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F94EB5" w:rsidRPr="00F94EB5" w:rsidRDefault="00F94EB5" w:rsidP="00F94EB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F94EB5" w:rsidRPr="00F94EB5" w:rsidRDefault="00F94EB5" w:rsidP="00F94EB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F94EB5" w:rsidRPr="00F94EB5" w:rsidRDefault="00F94EB5" w:rsidP="00F94EB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F94EB5" w:rsidRPr="00F94EB5" w:rsidRDefault="00F94EB5" w:rsidP="00F94EB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F94EB5" w:rsidRPr="00F94EB5" w:rsidRDefault="00F94EB5" w:rsidP="00F94EB5">
            <w:pPr>
              <w:rPr>
                <w:rFonts w:ascii="Calibri" w:hAnsi="Calibri" w:cs="Calibri"/>
                <w:color w:val="000000"/>
                <w:sz w:val="16"/>
                <w:szCs w:val="16"/>
                <w:lang w:eastAsia="en-AU"/>
              </w:rPr>
            </w:pPr>
          </w:p>
        </w:tc>
      </w:tr>
      <w:tr w:rsidR="00F94EB5" w:rsidRPr="00F94EB5" w:rsidTr="00F94EB5">
        <w:trPr>
          <w:trHeight w:val="450"/>
        </w:trPr>
        <w:tc>
          <w:tcPr>
            <w:tcW w:w="1660" w:type="dxa"/>
            <w:tcBorders>
              <w:top w:val="single" w:sz="4" w:space="0" w:color="auto"/>
              <w:left w:val="single" w:sz="4" w:space="0" w:color="auto"/>
              <w:bottom w:val="nil"/>
              <w:right w:val="single" w:sz="4" w:space="0" w:color="auto"/>
            </w:tcBorders>
            <w:shd w:val="clear" w:color="000000" w:fill="D8D8D8"/>
            <w:vAlign w:val="center"/>
            <w:hideMark/>
          </w:tcPr>
          <w:p w:rsidR="00F94EB5" w:rsidRPr="00F94EB5" w:rsidRDefault="00F94EB5" w:rsidP="00F94EB5">
            <w:pPr>
              <w:jc w:val="center"/>
              <w:rPr>
                <w:rFonts w:ascii="Calibri" w:hAnsi="Calibri" w:cs="Calibri"/>
                <w:color w:val="000000"/>
                <w:sz w:val="16"/>
                <w:szCs w:val="16"/>
                <w:lang w:eastAsia="en-AU"/>
              </w:rPr>
            </w:pPr>
            <w:r w:rsidRPr="00F94EB5">
              <w:rPr>
                <w:rFonts w:ascii="Calibri" w:hAnsi="Calibri" w:cs="Calibri"/>
                <w:color w:val="000000"/>
                <w:sz w:val="16"/>
                <w:szCs w:val="16"/>
                <w:lang w:eastAsia="en-AU"/>
              </w:rPr>
              <w:t>Method</w:t>
            </w:r>
          </w:p>
        </w:tc>
        <w:tc>
          <w:tcPr>
            <w:tcW w:w="1120" w:type="dxa"/>
            <w:tcBorders>
              <w:top w:val="single" w:sz="4" w:space="0" w:color="auto"/>
              <w:left w:val="nil"/>
              <w:bottom w:val="nil"/>
              <w:right w:val="single" w:sz="4" w:space="0" w:color="auto"/>
            </w:tcBorders>
            <w:shd w:val="clear" w:color="000000" w:fill="D8D8D8"/>
            <w:vAlign w:val="center"/>
            <w:hideMark/>
          </w:tcPr>
          <w:p w:rsidR="00F94EB5" w:rsidRPr="00F94EB5" w:rsidRDefault="00F94EB5" w:rsidP="00F94EB5">
            <w:pPr>
              <w:jc w:val="center"/>
              <w:rPr>
                <w:rFonts w:ascii="Calibri" w:hAnsi="Calibri" w:cs="Calibri"/>
                <w:color w:val="000000"/>
                <w:sz w:val="16"/>
                <w:szCs w:val="16"/>
                <w:lang w:eastAsia="en-AU"/>
              </w:rPr>
            </w:pPr>
            <w:r w:rsidRPr="00F94EB5">
              <w:rPr>
                <w:rFonts w:ascii="Calibri" w:hAnsi="Calibri" w:cs="Calibri"/>
                <w:color w:val="000000"/>
                <w:sz w:val="16"/>
                <w:szCs w:val="16"/>
                <w:lang w:eastAsia="en-AU"/>
              </w:rPr>
              <w:t>Measure of average</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F94EB5" w:rsidRPr="00F94EB5" w:rsidRDefault="00F94EB5" w:rsidP="00F94EB5">
            <w:pPr>
              <w:jc w:val="center"/>
              <w:rPr>
                <w:rFonts w:ascii="Calibri" w:hAnsi="Calibri" w:cs="Calibri"/>
                <w:color w:val="000000"/>
                <w:sz w:val="16"/>
                <w:szCs w:val="16"/>
                <w:lang w:eastAsia="en-AU"/>
              </w:rPr>
            </w:pPr>
            <w:r w:rsidRPr="00F94EB5">
              <w:rPr>
                <w:rFonts w:ascii="Calibri" w:hAnsi="Calibri" w:cs="Calibri"/>
                <w:color w:val="000000"/>
                <w:sz w:val="16"/>
                <w:szCs w:val="16"/>
                <w:lang w:eastAsia="en-AU"/>
              </w:rPr>
              <w:t>Average weight (kg)</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F94EB5" w:rsidRPr="00F94EB5" w:rsidRDefault="00F94EB5" w:rsidP="00F94EB5">
            <w:pPr>
              <w:jc w:val="center"/>
              <w:rPr>
                <w:rFonts w:ascii="Calibri" w:hAnsi="Calibri" w:cs="Calibri"/>
                <w:color w:val="000000"/>
                <w:sz w:val="16"/>
                <w:szCs w:val="16"/>
                <w:lang w:eastAsia="en-AU"/>
              </w:rPr>
            </w:pPr>
            <w:r w:rsidRPr="00F94EB5">
              <w:rPr>
                <w:rFonts w:ascii="Calibri" w:hAnsi="Calibri" w:cs="Calibri"/>
                <w:color w:val="000000"/>
                <w:sz w:val="16"/>
                <w:szCs w:val="16"/>
                <w:lang w:eastAsia="en-AU"/>
              </w:rPr>
              <w:t>Lower limit (kg)</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F94EB5" w:rsidRPr="00F94EB5" w:rsidRDefault="00F94EB5" w:rsidP="00F94EB5">
            <w:pPr>
              <w:jc w:val="center"/>
              <w:rPr>
                <w:rFonts w:ascii="Calibri" w:hAnsi="Calibri" w:cs="Calibri"/>
                <w:color w:val="000000"/>
                <w:sz w:val="16"/>
                <w:szCs w:val="16"/>
                <w:lang w:eastAsia="en-AU"/>
              </w:rPr>
            </w:pPr>
            <w:r w:rsidRPr="00F94EB5">
              <w:rPr>
                <w:rFonts w:ascii="Calibri" w:hAnsi="Calibri" w:cs="Calibri"/>
                <w:color w:val="000000"/>
                <w:sz w:val="16"/>
                <w:szCs w:val="16"/>
                <w:lang w:eastAsia="en-AU"/>
              </w:rPr>
              <w:t>Upper limit (kg)</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F94EB5" w:rsidRPr="00F94EB5" w:rsidRDefault="00F94EB5" w:rsidP="00F94EB5">
            <w:pPr>
              <w:jc w:val="center"/>
              <w:rPr>
                <w:rFonts w:ascii="Calibri" w:hAnsi="Calibri" w:cs="Calibri"/>
                <w:color w:val="000000"/>
                <w:sz w:val="16"/>
                <w:szCs w:val="16"/>
                <w:lang w:eastAsia="en-AU"/>
              </w:rPr>
            </w:pPr>
            <w:r w:rsidRPr="00F94EB5">
              <w:rPr>
                <w:rFonts w:ascii="Calibri" w:hAnsi="Calibri" w:cs="Calibri"/>
                <w:color w:val="000000"/>
                <w:sz w:val="16"/>
                <w:szCs w:val="16"/>
                <w:lang w:eastAsia="en-AU"/>
              </w:rPr>
              <w:t>Confidence interval ± (kg)</w:t>
            </w:r>
          </w:p>
        </w:tc>
      </w:tr>
      <w:tr w:rsidR="00F94EB5" w:rsidRPr="00F94EB5" w:rsidTr="00F94EB5">
        <w:trPr>
          <w:trHeight w:val="48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EB5" w:rsidRPr="00F94EB5" w:rsidRDefault="00F94EB5" w:rsidP="00F94EB5">
            <w:pPr>
              <w:jc w:val="center"/>
              <w:rPr>
                <w:rFonts w:ascii="Calibri" w:hAnsi="Calibri" w:cs="Calibri"/>
                <w:color w:val="000000"/>
                <w:sz w:val="16"/>
                <w:szCs w:val="16"/>
                <w:lang w:eastAsia="en-AU"/>
              </w:rPr>
            </w:pPr>
            <w:r w:rsidRPr="00F94EB5">
              <w:rPr>
                <w:rFonts w:ascii="Calibri" w:hAnsi="Calibri" w:cs="Calibri"/>
                <w:color w:val="000000"/>
                <w:sz w:val="16"/>
                <w:szCs w:val="16"/>
                <w:lang w:eastAsia="en-AU"/>
              </w:rPr>
              <w:t>Approximation to the normal distribution</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F94EB5" w:rsidRPr="00F94EB5" w:rsidRDefault="00F94EB5" w:rsidP="00F94EB5">
            <w:pPr>
              <w:jc w:val="center"/>
              <w:rPr>
                <w:rFonts w:ascii="Calibri" w:hAnsi="Calibri" w:cs="Calibri"/>
                <w:color w:val="000000"/>
                <w:sz w:val="16"/>
                <w:szCs w:val="16"/>
                <w:lang w:eastAsia="en-AU"/>
              </w:rPr>
            </w:pPr>
            <w:r w:rsidRPr="00F94EB5">
              <w:rPr>
                <w:rFonts w:ascii="Calibri" w:hAnsi="Calibri" w:cs="Calibri"/>
                <w:color w:val="000000"/>
                <w:sz w:val="16"/>
                <w:szCs w:val="16"/>
                <w:lang w:eastAsia="en-AU"/>
              </w:rPr>
              <w:t>Mean</w:t>
            </w:r>
          </w:p>
        </w:tc>
        <w:tc>
          <w:tcPr>
            <w:tcW w:w="1120" w:type="dxa"/>
            <w:tcBorders>
              <w:top w:val="nil"/>
              <w:left w:val="nil"/>
              <w:bottom w:val="single" w:sz="4" w:space="0" w:color="auto"/>
              <w:right w:val="single" w:sz="4" w:space="0" w:color="auto"/>
            </w:tcBorders>
            <w:shd w:val="clear" w:color="auto" w:fill="auto"/>
            <w:noWrap/>
            <w:vAlign w:val="center"/>
            <w:hideMark/>
          </w:tcPr>
          <w:p w:rsidR="00F94EB5" w:rsidRPr="00F94EB5" w:rsidRDefault="00F94EB5" w:rsidP="00F94EB5">
            <w:pPr>
              <w:jc w:val="center"/>
              <w:rPr>
                <w:rFonts w:ascii="Calibri" w:hAnsi="Calibri" w:cs="Calibri"/>
                <w:color w:val="000000"/>
                <w:sz w:val="16"/>
                <w:szCs w:val="16"/>
                <w:lang w:eastAsia="en-AU"/>
              </w:rPr>
            </w:pPr>
            <w:r w:rsidRPr="00F94EB5">
              <w:rPr>
                <w:rFonts w:ascii="Calibri" w:hAnsi="Calibri" w:cs="Calibri"/>
                <w:color w:val="000000"/>
                <w:sz w:val="16"/>
                <w:szCs w:val="16"/>
                <w:lang w:eastAsia="en-AU"/>
              </w:rPr>
              <w:t>8.8</w:t>
            </w:r>
          </w:p>
        </w:tc>
        <w:tc>
          <w:tcPr>
            <w:tcW w:w="1120" w:type="dxa"/>
            <w:tcBorders>
              <w:top w:val="nil"/>
              <w:left w:val="nil"/>
              <w:bottom w:val="single" w:sz="4" w:space="0" w:color="auto"/>
              <w:right w:val="single" w:sz="4" w:space="0" w:color="auto"/>
            </w:tcBorders>
            <w:shd w:val="clear" w:color="auto" w:fill="auto"/>
            <w:noWrap/>
            <w:vAlign w:val="center"/>
            <w:hideMark/>
          </w:tcPr>
          <w:p w:rsidR="00F94EB5" w:rsidRPr="00F94EB5" w:rsidRDefault="00F94EB5" w:rsidP="00F94EB5">
            <w:pPr>
              <w:jc w:val="center"/>
              <w:rPr>
                <w:rFonts w:ascii="Calibri" w:hAnsi="Calibri" w:cs="Calibri"/>
                <w:color w:val="000000"/>
                <w:sz w:val="16"/>
                <w:szCs w:val="16"/>
                <w:lang w:eastAsia="en-AU"/>
              </w:rPr>
            </w:pPr>
            <w:r w:rsidRPr="00F94EB5">
              <w:rPr>
                <w:rFonts w:ascii="Calibri" w:hAnsi="Calibri" w:cs="Calibri"/>
                <w:color w:val="000000"/>
                <w:sz w:val="16"/>
                <w:szCs w:val="16"/>
                <w:lang w:eastAsia="en-AU"/>
              </w:rPr>
              <w:t>8.5</w:t>
            </w:r>
          </w:p>
        </w:tc>
        <w:tc>
          <w:tcPr>
            <w:tcW w:w="1120" w:type="dxa"/>
            <w:tcBorders>
              <w:top w:val="nil"/>
              <w:left w:val="nil"/>
              <w:bottom w:val="single" w:sz="4" w:space="0" w:color="auto"/>
              <w:right w:val="single" w:sz="4" w:space="0" w:color="auto"/>
            </w:tcBorders>
            <w:shd w:val="clear" w:color="auto" w:fill="auto"/>
            <w:noWrap/>
            <w:vAlign w:val="center"/>
            <w:hideMark/>
          </w:tcPr>
          <w:p w:rsidR="00F94EB5" w:rsidRPr="00F94EB5" w:rsidRDefault="00F94EB5" w:rsidP="00F94EB5">
            <w:pPr>
              <w:jc w:val="center"/>
              <w:rPr>
                <w:rFonts w:ascii="Calibri" w:hAnsi="Calibri" w:cs="Calibri"/>
                <w:color w:val="000000"/>
                <w:sz w:val="16"/>
                <w:szCs w:val="16"/>
                <w:lang w:eastAsia="en-AU"/>
              </w:rPr>
            </w:pPr>
            <w:r w:rsidRPr="00F94EB5">
              <w:rPr>
                <w:rFonts w:ascii="Calibri" w:hAnsi="Calibri" w:cs="Calibri"/>
                <w:color w:val="000000"/>
                <w:sz w:val="16"/>
                <w:szCs w:val="16"/>
                <w:lang w:eastAsia="en-AU"/>
              </w:rPr>
              <w:t>9.1</w:t>
            </w:r>
          </w:p>
        </w:tc>
        <w:tc>
          <w:tcPr>
            <w:tcW w:w="1120" w:type="dxa"/>
            <w:tcBorders>
              <w:top w:val="nil"/>
              <w:left w:val="nil"/>
              <w:bottom w:val="single" w:sz="4" w:space="0" w:color="auto"/>
              <w:right w:val="single" w:sz="4" w:space="0" w:color="auto"/>
            </w:tcBorders>
            <w:shd w:val="clear" w:color="auto" w:fill="auto"/>
            <w:noWrap/>
            <w:vAlign w:val="center"/>
            <w:hideMark/>
          </w:tcPr>
          <w:p w:rsidR="00F94EB5" w:rsidRPr="00F94EB5" w:rsidRDefault="00F94EB5" w:rsidP="00F94EB5">
            <w:pPr>
              <w:jc w:val="center"/>
              <w:rPr>
                <w:rFonts w:ascii="Calibri" w:hAnsi="Calibri" w:cs="Calibri"/>
                <w:color w:val="000000"/>
                <w:sz w:val="16"/>
                <w:szCs w:val="16"/>
                <w:lang w:eastAsia="en-AU"/>
              </w:rPr>
            </w:pPr>
            <w:r w:rsidRPr="00F94EB5">
              <w:rPr>
                <w:rFonts w:ascii="Calibri" w:hAnsi="Calibri" w:cs="Calibri"/>
                <w:color w:val="000000"/>
                <w:sz w:val="16"/>
                <w:szCs w:val="16"/>
                <w:lang w:eastAsia="en-AU"/>
              </w:rPr>
              <w:t>0.3</w:t>
            </w:r>
          </w:p>
        </w:tc>
      </w:tr>
      <w:tr w:rsidR="00F94EB5" w:rsidRPr="00F94EB5" w:rsidTr="00F94EB5">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F94EB5" w:rsidRPr="00F94EB5" w:rsidRDefault="00F94EB5" w:rsidP="00F94EB5">
            <w:pPr>
              <w:jc w:val="center"/>
              <w:rPr>
                <w:rFonts w:ascii="Calibri" w:hAnsi="Calibri" w:cs="Calibri"/>
                <w:color w:val="000000"/>
                <w:sz w:val="16"/>
                <w:szCs w:val="16"/>
                <w:lang w:eastAsia="en-AU"/>
              </w:rPr>
            </w:pPr>
            <w:r w:rsidRPr="00F94EB5">
              <w:rPr>
                <w:rFonts w:ascii="Calibri" w:hAnsi="Calibri" w:cs="Calibri"/>
                <w:color w:val="000000"/>
                <w:sz w:val="16"/>
                <w:szCs w:val="16"/>
                <w:lang w:eastAsia="en-AU"/>
              </w:rPr>
              <w:t>Use of percentiles</w:t>
            </w:r>
          </w:p>
        </w:tc>
        <w:tc>
          <w:tcPr>
            <w:tcW w:w="1120" w:type="dxa"/>
            <w:tcBorders>
              <w:top w:val="nil"/>
              <w:left w:val="nil"/>
              <w:bottom w:val="single" w:sz="4" w:space="0" w:color="auto"/>
              <w:right w:val="single" w:sz="4" w:space="0" w:color="auto"/>
            </w:tcBorders>
            <w:shd w:val="clear" w:color="auto" w:fill="auto"/>
            <w:vAlign w:val="center"/>
            <w:hideMark/>
          </w:tcPr>
          <w:p w:rsidR="00F94EB5" w:rsidRPr="00F94EB5" w:rsidRDefault="00F94EB5" w:rsidP="00F94EB5">
            <w:pPr>
              <w:jc w:val="center"/>
              <w:rPr>
                <w:rFonts w:ascii="Calibri" w:hAnsi="Calibri" w:cs="Calibri"/>
                <w:color w:val="000000"/>
                <w:sz w:val="16"/>
                <w:szCs w:val="16"/>
                <w:lang w:eastAsia="en-AU"/>
              </w:rPr>
            </w:pPr>
            <w:r w:rsidRPr="00F94EB5">
              <w:rPr>
                <w:rFonts w:ascii="Calibri" w:hAnsi="Calibri" w:cs="Calibri"/>
                <w:color w:val="000000"/>
                <w:sz w:val="16"/>
                <w:szCs w:val="16"/>
                <w:lang w:eastAsia="en-AU"/>
              </w:rPr>
              <w:t>Median</w:t>
            </w:r>
          </w:p>
        </w:tc>
        <w:tc>
          <w:tcPr>
            <w:tcW w:w="1120" w:type="dxa"/>
            <w:tcBorders>
              <w:top w:val="nil"/>
              <w:left w:val="nil"/>
              <w:bottom w:val="single" w:sz="4" w:space="0" w:color="auto"/>
              <w:right w:val="single" w:sz="4" w:space="0" w:color="auto"/>
            </w:tcBorders>
            <w:shd w:val="clear" w:color="auto" w:fill="auto"/>
            <w:noWrap/>
            <w:vAlign w:val="center"/>
            <w:hideMark/>
          </w:tcPr>
          <w:p w:rsidR="00F94EB5" w:rsidRPr="00F94EB5" w:rsidRDefault="00F94EB5" w:rsidP="00F94EB5">
            <w:pPr>
              <w:jc w:val="center"/>
              <w:rPr>
                <w:rFonts w:ascii="Calibri" w:hAnsi="Calibri" w:cs="Calibri"/>
                <w:color w:val="000000"/>
                <w:sz w:val="16"/>
                <w:szCs w:val="16"/>
                <w:lang w:eastAsia="en-AU"/>
              </w:rPr>
            </w:pPr>
            <w:r w:rsidRPr="00F94EB5">
              <w:rPr>
                <w:rFonts w:ascii="Calibri" w:hAnsi="Calibri" w:cs="Calibri"/>
                <w:color w:val="000000"/>
                <w:sz w:val="16"/>
                <w:szCs w:val="16"/>
                <w:lang w:eastAsia="en-AU"/>
              </w:rPr>
              <w:t>11.3</w:t>
            </w:r>
          </w:p>
        </w:tc>
        <w:tc>
          <w:tcPr>
            <w:tcW w:w="1120" w:type="dxa"/>
            <w:tcBorders>
              <w:top w:val="nil"/>
              <w:left w:val="nil"/>
              <w:bottom w:val="single" w:sz="4" w:space="0" w:color="auto"/>
              <w:right w:val="single" w:sz="4" w:space="0" w:color="auto"/>
            </w:tcBorders>
            <w:shd w:val="clear" w:color="auto" w:fill="auto"/>
            <w:noWrap/>
            <w:vAlign w:val="center"/>
            <w:hideMark/>
          </w:tcPr>
          <w:p w:rsidR="00F94EB5" w:rsidRPr="00F94EB5" w:rsidRDefault="00F94EB5" w:rsidP="00F94EB5">
            <w:pPr>
              <w:jc w:val="center"/>
              <w:rPr>
                <w:rFonts w:ascii="Calibri" w:hAnsi="Calibri" w:cs="Calibri"/>
                <w:color w:val="000000"/>
                <w:sz w:val="16"/>
                <w:szCs w:val="16"/>
                <w:lang w:eastAsia="en-AU"/>
              </w:rPr>
            </w:pPr>
            <w:r w:rsidRPr="00F94EB5">
              <w:rPr>
                <w:rFonts w:ascii="Calibri" w:hAnsi="Calibri" w:cs="Calibri"/>
                <w:color w:val="000000"/>
                <w:sz w:val="16"/>
                <w:szCs w:val="16"/>
                <w:lang w:eastAsia="en-AU"/>
              </w:rPr>
              <w:t>3.6</w:t>
            </w:r>
          </w:p>
        </w:tc>
        <w:tc>
          <w:tcPr>
            <w:tcW w:w="1120" w:type="dxa"/>
            <w:tcBorders>
              <w:top w:val="nil"/>
              <w:left w:val="nil"/>
              <w:bottom w:val="single" w:sz="4" w:space="0" w:color="auto"/>
              <w:right w:val="single" w:sz="4" w:space="0" w:color="auto"/>
            </w:tcBorders>
            <w:shd w:val="clear" w:color="auto" w:fill="auto"/>
            <w:noWrap/>
            <w:vAlign w:val="center"/>
            <w:hideMark/>
          </w:tcPr>
          <w:p w:rsidR="00F94EB5" w:rsidRPr="00F94EB5" w:rsidRDefault="00F94EB5" w:rsidP="00F94EB5">
            <w:pPr>
              <w:jc w:val="center"/>
              <w:rPr>
                <w:rFonts w:ascii="Calibri" w:hAnsi="Calibri" w:cs="Calibri"/>
                <w:color w:val="000000"/>
                <w:sz w:val="16"/>
                <w:szCs w:val="16"/>
                <w:lang w:eastAsia="en-AU"/>
              </w:rPr>
            </w:pPr>
            <w:r w:rsidRPr="00F94EB5">
              <w:rPr>
                <w:rFonts w:ascii="Calibri" w:hAnsi="Calibri" w:cs="Calibri"/>
                <w:color w:val="000000"/>
                <w:sz w:val="16"/>
                <w:szCs w:val="16"/>
                <w:lang w:eastAsia="en-AU"/>
              </w:rPr>
              <w:t>16.2</w:t>
            </w:r>
          </w:p>
        </w:tc>
        <w:tc>
          <w:tcPr>
            <w:tcW w:w="1120" w:type="dxa"/>
            <w:tcBorders>
              <w:top w:val="nil"/>
              <w:left w:val="nil"/>
              <w:bottom w:val="single" w:sz="4" w:space="0" w:color="auto"/>
              <w:right w:val="single" w:sz="4" w:space="0" w:color="auto"/>
            </w:tcBorders>
            <w:shd w:val="clear" w:color="auto" w:fill="auto"/>
            <w:noWrap/>
            <w:vAlign w:val="center"/>
            <w:hideMark/>
          </w:tcPr>
          <w:p w:rsidR="00F94EB5" w:rsidRPr="00F94EB5" w:rsidRDefault="00F94EB5" w:rsidP="00F94EB5">
            <w:pPr>
              <w:jc w:val="center"/>
              <w:rPr>
                <w:rFonts w:ascii="Calibri" w:hAnsi="Calibri" w:cs="Calibri"/>
                <w:color w:val="000000"/>
                <w:sz w:val="16"/>
                <w:szCs w:val="16"/>
                <w:lang w:eastAsia="en-AU"/>
              </w:rPr>
            </w:pPr>
            <w:r w:rsidRPr="00F94EB5">
              <w:rPr>
                <w:rFonts w:ascii="Calibri" w:hAnsi="Calibri" w:cs="Calibri"/>
                <w:color w:val="000000"/>
                <w:sz w:val="16"/>
                <w:szCs w:val="16"/>
                <w:lang w:eastAsia="en-AU"/>
              </w:rPr>
              <w:t>7.7</w:t>
            </w:r>
          </w:p>
        </w:tc>
      </w:tr>
      <w:tr w:rsidR="00F94EB5" w:rsidRPr="00F94EB5" w:rsidTr="00F94EB5">
        <w:trPr>
          <w:trHeight w:val="225"/>
        </w:trPr>
        <w:tc>
          <w:tcPr>
            <w:tcW w:w="1660" w:type="dxa"/>
            <w:tcBorders>
              <w:top w:val="nil"/>
              <w:left w:val="nil"/>
              <w:bottom w:val="nil"/>
              <w:right w:val="nil"/>
            </w:tcBorders>
            <w:shd w:val="clear" w:color="auto" w:fill="auto"/>
            <w:noWrap/>
            <w:vAlign w:val="bottom"/>
            <w:hideMark/>
          </w:tcPr>
          <w:p w:rsidR="00F94EB5" w:rsidRPr="00F94EB5" w:rsidRDefault="00F94EB5" w:rsidP="00F94EB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F94EB5" w:rsidRPr="00F94EB5" w:rsidRDefault="00F94EB5" w:rsidP="00F94EB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F94EB5" w:rsidRPr="00F94EB5" w:rsidRDefault="00F94EB5" w:rsidP="00F94EB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F94EB5" w:rsidRPr="00F94EB5" w:rsidRDefault="00F94EB5" w:rsidP="00F94EB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F94EB5" w:rsidRPr="00F94EB5" w:rsidRDefault="00F94EB5" w:rsidP="00F94EB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F94EB5" w:rsidRPr="00F94EB5" w:rsidRDefault="00F94EB5" w:rsidP="00F94EB5">
            <w:pPr>
              <w:rPr>
                <w:rFonts w:ascii="Calibri" w:hAnsi="Calibri" w:cs="Calibri"/>
                <w:color w:val="000000"/>
                <w:sz w:val="16"/>
                <w:szCs w:val="16"/>
                <w:lang w:eastAsia="en-AU"/>
              </w:rPr>
            </w:pPr>
          </w:p>
        </w:tc>
      </w:tr>
      <w:tr w:rsidR="00F94EB5" w:rsidRPr="00F94EB5" w:rsidTr="00F94EB5">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F94EB5" w:rsidRPr="00F94EB5" w:rsidRDefault="00F94EB5" w:rsidP="00F94EB5">
            <w:pPr>
              <w:rPr>
                <w:rFonts w:ascii="Calibri" w:hAnsi="Calibri" w:cs="Calibri"/>
                <w:color w:val="000000"/>
                <w:sz w:val="16"/>
                <w:szCs w:val="16"/>
                <w:lang w:eastAsia="en-AU"/>
              </w:rPr>
            </w:pPr>
            <w:r w:rsidRPr="00F94EB5">
              <w:rPr>
                <w:rFonts w:ascii="Calibri" w:hAnsi="Calibri" w:cs="Calibri"/>
                <w:color w:val="000000"/>
                <w:sz w:val="16"/>
                <w:szCs w:val="16"/>
                <w:lang w:eastAsia="en-AU"/>
              </w:rPr>
              <w:t>Year</w:t>
            </w:r>
          </w:p>
        </w:tc>
        <w:tc>
          <w:tcPr>
            <w:tcW w:w="1120" w:type="dxa"/>
            <w:tcBorders>
              <w:top w:val="single" w:sz="4" w:space="0" w:color="auto"/>
              <w:left w:val="nil"/>
              <w:bottom w:val="single" w:sz="4" w:space="0" w:color="auto"/>
              <w:right w:val="single" w:sz="4" w:space="0" w:color="auto"/>
            </w:tcBorders>
            <w:shd w:val="clear" w:color="000000" w:fill="D8D8D8"/>
            <w:noWrap/>
            <w:vAlign w:val="center"/>
            <w:hideMark/>
          </w:tcPr>
          <w:p w:rsidR="00F94EB5" w:rsidRPr="00F94EB5" w:rsidRDefault="00F94EB5" w:rsidP="00F94EB5">
            <w:pPr>
              <w:jc w:val="center"/>
              <w:rPr>
                <w:rFonts w:ascii="Calibri" w:hAnsi="Calibri" w:cs="Calibri"/>
                <w:color w:val="000000"/>
                <w:sz w:val="16"/>
                <w:szCs w:val="16"/>
                <w:lang w:eastAsia="en-AU"/>
              </w:rPr>
            </w:pPr>
            <w:r w:rsidRPr="00F94EB5">
              <w:rPr>
                <w:rFonts w:ascii="Calibri" w:hAnsi="Calibri" w:cs="Calibri"/>
                <w:color w:val="000000"/>
                <w:sz w:val="16"/>
                <w:szCs w:val="16"/>
                <w:lang w:eastAsia="en-AU"/>
              </w:rPr>
              <w:t>2010-11</w:t>
            </w:r>
          </w:p>
        </w:tc>
        <w:tc>
          <w:tcPr>
            <w:tcW w:w="1120" w:type="dxa"/>
            <w:tcBorders>
              <w:top w:val="single" w:sz="4" w:space="0" w:color="auto"/>
              <w:left w:val="nil"/>
              <w:bottom w:val="single" w:sz="4" w:space="0" w:color="auto"/>
              <w:right w:val="single" w:sz="4" w:space="0" w:color="auto"/>
            </w:tcBorders>
            <w:shd w:val="clear" w:color="000000" w:fill="D8D8D8"/>
            <w:noWrap/>
            <w:vAlign w:val="center"/>
            <w:hideMark/>
          </w:tcPr>
          <w:p w:rsidR="00F94EB5" w:rsidRPr="00F94EB5" w:rsidRDefault="00F94EB5" w:rsidP="00F94EB5">
            <w:pPr>
              <w:jc w:val="center"/>
              <w:rPr>
                <w:rFonts w:ascii="Calibri" w:hAnsi="Calibri" w:cs="Calibri"/>
                <w:color w:val="000000"/>
                <w:sz w:val="16"/>
                <w:szCs w:val="16"/>
                <w:lang w:eastAsia="en-AU"/>
              </w:rPr>
            </w:pPr>
            <w:r w:rsidRPr="00F94EB5">
              <w:rPr>
                <w:rFonts w:ascii="Calibri" w:hAnsi="Calibri" w:cs="Calibri"/>
                <w:color w:val="000000"/>
                <w:sz w:val="16"/>
                <w:szCs w:val="16"/>
                <w:lang w:eastAsia="en-AU"/>
              </w:rPr>
              <w:t>2009-10</w:t>
            </w:r>
          </w:p>
        </w:tc>
        <w:tc>
          <w:tcPr>
            <w:tcW w:w="1120" w:type="dxa"/>
            <w:tcBorders>
              <w:top w:val="single" w:sz="4" w:space="0" w:color="auto"/>
              <w:left w:val="nil"/>
              <w:bottom w:val="single" w:sz="4" w:space="0" w:color="auto"/>
              <w:right w:val="single" w:sz="4" w:space="0" w:color="auto"/>
            </w:tcBorders>
            <w:shd w:val="clear" w:color="000000" w:fill="D8D8D8"/>
            <w:noWrap/>
            <w:vAlign w:val="center"/>
            <w:hideMark/>
          </w:tcPr>
          <w:p w:rsidR="00F94EB5" w:rsidRPr="00F94EB5" w:rsidRDefault="00F94EB5" w:rsidP="00F94EB5">
            <w:pPr>
              <w:jc w:val="center"/>
              <w:rPr>
                <w:rFonts w:ascii="Calibri" w:hAnsi="Calibri" w:cs="Calibri"/>
                <w:color w:val="000000"/>
                <w:sz w:val="16"/>
                <w:szCs w:val="16"/>
                <w:lang w:eastAsia="en-AU"/>
              </w:rPr>
            </w:pPr>
            <w:r w:rsidRPr="00F94EB5">
              <w:rPr>
                <w:rFonts w:ascii="Calibri" w:hAnsi="Calibri" w:cs="Calibri"/>
                <w:color w:val="000000"/>
                <w:sz w:val="16"/>
                <w:szCs w:val="16"/>
                <w:lang w:eastAsia="en-AU"/>
              </w:rPr>
              <w:t>2008-09</w:t>
            </w:r>
          </w:p>
        </w:tc>
      </w:tr>
      <w:tr w:rsidR="00F94EB5" w:rsidRPr="00F94EB5" w:rsidTr="00F94EB5">
        <w:trPr>
          <w:trHeight w:val="225"/>
        </w:trPr>
        <w:tc>
          <w:tcPr>
            <w:tcW w:w="39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94EB5" w:rsidRPr="00F94EB5" w:rsidRDefault="00F94EB5" w:rsidP="00F94EB5">
            <w:pPr>
              <w:rPr>
                <w:rFonts w:ascii="Calibri" w:hAnsi="Calibri" w:cs="Calibri"/>
                <w:color w:val="000000"/>
                <w:sz w:val="16"/>
                <w:szCs w:val="16"/>
                <w:lang w:eastAsia="en-AU"/>
              </w:rPr>
            </w:pPr>
            <w:r w:rsidRPr="00F94EB5">
              <w:rPr>
                <w:rFonts w:ascii="Calibri" w:hAnsi="Calibri" w:cs="Calibri"/>
                <w:color w:val="000000"/>
                <w:sz w:val="16"/>
                <w:szCs w:val="16"/>
                <w:lang w:eastAsia="en-AU"/>
              </w:rPr>
              <w:t>Percentage by which the conversion factor over or under estimates the weight of imports</w:t>
            </w:r>
          </w:p>
        </w:tc>
        <w:tc>
          <w:tcPr>
            <w:tcW w:w="1120" w:type="dxa"/>
            <w:tcBorders>
              <w:top w:val="nil"/>
              <w:left w:val="nil"/>
              <w:bottom w:val="single" w:sz="4" w:space="0" w:color="auto"/>
              <w:right w:val="single" w:sz="4" w:space="0" w:color="auto"/>
            </w:tcBorders>
            <w:shd w:val="clear" w:color="auto" w:fill="auto"/>
            <w:noWrap/>
            <w:vAlign w:val="center"/>
            <w:hideMark/>
          </w:tcPr>
          <w:p w:rsidR="00F94EB5" w:rsidRPr="00F94EB5" w:rsidRDefault="00F94EB5" w:rsidP="00F94EB5">
            <w:pPr>
              <w:jc w:val="center"/>
              <w:rPr>
                <w:rFonts w:ascii="Calibri" w:hAnsi="Calibri" w:cs="Calibri"/>
                <w:color w:val="000000"/>
                <w:sz w:val="16"/>
                <w:szCs w:val="16"/>
                <w:lang w:eastAsia="en-AU"/>
              </w:rPr>
            </w:pPr>
            <w:r w:rsidRPr="00F94EB5">
              <w:rPr>
                <w:rFonts w:ascii="Calibri" w:hAnsi="Calibri" w:cs="Calibri"/>
                <w:color w:val="000000"/>
                <w:sz w:val="16"/>
                <w:szCs w:val="16"/>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rsidR="00F94EB5" w:rsidRPr="00F94EB5" w:rsidRDefault="00F94EB5" w:rsidP="00F94EB5">
            <w:pPr>
              <w:jc w:val="center"/>
              <w:rPr>
                <w:rFonts w:ascii="Calibri" w:hAnsi="Calibri" w:cs="Calibri"/>
                <w:color w:val="000000"/>
                <w:sz w:val="16"/>
                <w:szCs w:val="16"/>
                <w:lang w:eastAsia="en-AU"/>
              </w:rPr>
            </w:pPr>
            <w:r w:rsidRPr="00F94EB5">
              <w:rPr>
                <w:rFonts w:ascii="Calibri" w:hAnsi="Calibri" w:cs="Calibri"/>
                <w:color w:val="000000"/>
                <w:sz w:val="16"/>
                <w:szCs w:val="16"/>
                <w:lang w:eastAsia="en-AU"/>
              </w:rPr>
              <w:t>-35%</w:t>
            </w:r>
          </w:p>
        </w:tc>
        <w:tc>
          <w:tcPr>
            <w:tcW w:w="1120" w:type="dxa"/>
            <w:tcBorders>
              <w:top w:val="nil"/>
              <w:left w:val="nil"/>
              <w:bottom w:val="single" w:sz="4" w:space="0" w:color="auto"/>
              <w:right w:val="single" w:sz="4" w:space="0" w:color="auto"/>
            </w:tcBorders>
            <w:shd w:val="clear" w:color="auto" w:fill="auto"/>
            <w:noWrap/>
            <w:vAlign w:val="center"/>
            <w:hideMark/>
          </w:tcPr>
          <w:p w:rsidR="00F94EB5" w:rsidRPr="00F94EB5" w:rsidRDefault="00F94EB5" w:rsidP="00F94EB5">
            <w:pPr>
              <w:jc w:val="center"/>
              <w:rPr>
                <w:rFonts w:ascii="Calibri" w:hAnsi="Calibri" w:cs="Calibri"/>
                <w:color w:val="000000"/>
                <w:sz w:val="16"/>
                <w:szCs w:val="16"/>
                <w:lang w:eastAsia="en-AU"/>
              </w:rPr>
            </w:pPr>
            <w:r w:rsidRPr="00F94EB5">
              <w:rPr>
                <w:rFonts w:ascii="Calibri" w:hAnsi="Calibri" w:cs="Calibri"/>
                <w:color w:val="000000"/>
                <w:sz w:val="16"/>
                <w:szCs w:val="16"/>
                <w:lang w:eastAsia="en-AU"/>
              </w:rPr>
              <w:t>-2%</w:t>
            </w:r>
          </w:p>
        </w:tc>
      </w:tr>
    </w:tbl>
    <w:p w:rsidR="005D1179" w:rsidRDefault="005D1179" w:rsidP="005D1179">
      <w:pPr>
        <w:jc w:val="both"/>
        <w:rPr>
          <w:szCs w:val="22"/>
        </w:rPr>
      </w:pPr>
    </w:p>
    <w:p w:rsidR="001A78F2" w:rsidRDefault="005D1179">
      <w:pPr>
        <w:rPr>
          <w:szCs w:val="22"/>
        </w:rPr>
      </w:pPr>
      <w:r w:rsidRPr="005A3097">
        <w:rPr>
          <w:b/>
          <w:szCs w:val="22"/>
        </w:rPr>
        <w:t>Distribution:</w:t>
      </w:r>
      <w:r>
        <w:rPr>
          <w:b/>
          <w:szCs w:val="22"/>
        </w:rPr>
        <w:t xml:space="preserve"> </w:t>
      </w:r>
      <w:r w:rsidR="00F94EB5" w:rsidRPr="00F94EB5">
        <w:rPr>
          <w:szCs w:val="22"/>
        </w:rPr>
        <w:t xml:space="preserve">Equivalent to the </w:t>
      </w:r>
      <w:r w:rsidR="00F94EB5">
        <w:rPr>
          <w:szCs w:val="22"/>
        </w:rPr>
        <w:t>distribution of the dominant HTI</w:t>
      </w:r>
      <w:r w:rsidR="007118B4">
        <w:rPr>
          <w:szCs w:val="22"/>
        </w:rPr>
        <w:t>SC in the group;</w:t>
      </w:r>
      <w:r w:rsidR="00F94EB5">
        <w:rPr>
          <w:szCs w:val="22"/>
        </w:rPr>
        <w:t xml:space="preserve"> </w:t>
      </w:r>
      <w:r w:rsidR="0057667C">
        <w:rPr>
          <w:szCs w:val="22"/>
        </w:rPr>
        <w:t>the majority of all units being between 0-</w:t>
      </w:r>
      <w:r w:rsidR="00F94EB5">
        <w:rPr>
          <w:szCs w:val="22"/>
        </w:rPr>
        <w:t>15 kg. There are a few outliers between 20 - 40 kg and greater than 100 kg.</w:t>
      </w:r>
    </w:p>
    <w:p w:rsidR="001A78F2" w:rsidRDefault="005D1179">
      <w:pPr>
        <w:rPr>
          <w:szCs w:val="22"/>
        </w:rPr>
      </w:pPr>
      <w:r>
        <w:rPr>
          <w:b/>
          <w:szCs w:val="22"/>
        </w:rPr>
        <w:t xml:space="preserve">Proposed conversion factor: </w:t>
      </w:r>
      <w:r w:rsidR="00085022">
        <w:rPr>
          <w:szCs w:val="22"/>
        </w:rPr>
        <w:t>8.8</w:t>
      </w:r>
      <w:r>
        <w:rPr>
          <w:szCs w:val="22"/>
        </w:rPr>
        <w:t xml:space="preserve"> kg.</w:t>
      </w:r>
    </w:p>
    <w:p w:rsidR="001A78F2" w:rsidRDefault="005D1179">
      <w:pPr>
        <w:rPr>
          <w:szCs w:val="22"/>
        </w:rPr>
      </w:pPr>
      <w:r>
        <w:rPr>
          <w:b/>
          <w:szCs w:val="22"/>
        </w:rPr>
        <w:t xml:space="preserve">Proposed confidence interval: </w:t>
      </w:r>
      <w:r>
        <w:rPr>
          <w:szCs w:val="22"/>
        </w:rPr>
        <w:t xml:space="preserve"> &gt; 3.6 kg, &lt; </w:t>
      </w:r>
      <w:r w:rsidR="00085022">
        <w:rPr>
          <w:szCs w:val="22"/>
        </w:rPr>
        <w:t>16.2 kg</w:t>
      </w:r>
    </w:p>
    <w:p w:rsidR="001A78F2" w:rsidRDefault="00C62346">
      <w:pPr>
        <w:rPr>
          <w:szCs w:val="22"/>
        </w:rPr>
      </w:pPr>
      <w:r>
        <w:rPr>
          <w:b/>
          <w:szCs w:val="22"/>
        </w:rPr>
        <w:t xml:space="preserve">Variation over time: </w:t>
      </w:r>
      <w:r w:rsidR="00112A79">
        <w:rPr>
          <w:szCs w:val="22"/>
        </w:rPr>
        <w:t>High</w:t>
      </w:r>
    </w:p>
    <w:p w:rsidR="00A3727B" w:rsidRDefault="00A3727B" w:rsidP="005D1179">
      <w:pPr>
        <w:jc w:val="both"/>
        <w:rPr>
          <w:szCs w:val="22"/>
        </w:rPr>
      </w:pPr>
    </w:p>
    <w:p w:rsidR="00A3727B" w:rsidRDefault="00A3727B" w:rsidP="002E1A14">
      <w:pPr>
        <w:pStyle w:val="Heading2"/>
      </w:pPr>
      <w:bookmarkStart w:id="42" w:name="_Toc303860083"/>
      <w:bookmarkStart w:id="43" w:name="_Toc304967186"/>
      <w:r w:rsidRPr="00A3727B">
        <w:t>Personal or desktop printers</w:t>
      </w:r>
      <w:r w:rsidR="0073067B">
        <w:t xml:space="preserve"> (PDPs)</w:t>
      </w:r>
      <w:bookmarkEnd w:id="42"/>
      <w:bookmarkEnd w:id="43"/>
    </w:p>
    <w:p w:rsidR="00E5733D" w:rsidRDefault="00E5733D" w:rsidP="00022B78">
      <w:pPr>
        <w:rPr>
          <w:szCs w:val="22"/>
        </w:rPr>
      </w:pPr>
    </w:p>
    <w:p w:rsidR="00E5733D" w:rsidRDefault="00E5733D" w:rsidP="00E5733D">
      <w:pPr>
        <w:rPr>
          <w:szCs w:val="22"/>
        </w:rPr>
      </w:pPr>
      <w:r>
        <w:rPr>
          <w:rFonts w:ascii="Arial" w:hAnsi="Arial" w:cs="Arial"/>
          <w:b/>
          <w:bCs/>
          <w:color w:val="000000"/>
          <w:szCs w:val="22"/>
          <w:lang w:eastAsia="en-AU"/>
        </w:rPr>
        <w:t>Summary of ABS Imports</w:t>
      </w:r>
    </w:p>
    <w:p w:rsidR="00E5733D" w:rsidRDefault="00E5733D" w:rsidP="00022B78">
      <w:pPr>
        <w:rPr>
          <w:szCs w:val="22"/>
        </w:rPr>
      </w:pPr>
    </w:p>
    <w:p w:rsidR="00022B78" w:rsidRDefault="00022B78" w:rsidP="00022B78">
      <w:pPr>
        <w:rPr>
          <w:szCs w:val="22"/>
          <w:lang w:val="en-US"/>
        </w:rPr>
      </w:pPr>
      <w:r>
        <w:rPr>
          <w:szCs w:val="22"/>
        </w:rPr>
        <w:t xml:space="preserve">According to ABS import data, 660,755 units of personal or desktop printers (PDPs) were imported in 2011. The proportions are shown in </w:t>
      </w:r>
      <w:r w:rsidR="007118B4">
        <w:rPr>
          <w:szCs w:val="22"/>
        </w:rPr>
        <w:t>Figure 5-</w:t>
      </w:r>
      <w:r w:rsidR="00207129">
        <w:rPr>
          <w:szCs w:val="22"/>
        </w:rPr>
        <w:t>6</w:t>
      </w:r>
      <w:r>
        <w:rPr>
          <w:szCs w:val="22"/>
          <w:lang w:val="en-US"/>
        </w:rPr>
        <w:t xml:space="preserve">. The dominant HTISC in this CTCN is </w:t>
      </w:r>
      <w:r w:rsidR="00540802">
        <w:rPr>
          <w:szCs w:val="22"/>
          <w:lang w:val="en-US"/>
        </w:rPr>
        <w:t>Laser</w:t>
      </w:r>
      <w:r>
        <w:rPr>
          <w:szCs w:val="22"/>
          <w:lang w:val="en-US"/>
        </w:rPr>
        <w:t xml:space="preserve"> </w:t>
      </w:r>
      <w:r w:rsidR="00540802">
        <w:rPr>
          <w:szCs w:val="22"/>
          <w:lang w:val="en-US"/>
        </w:rPr>
        <w:t>PDP</w:t>
      </w:r>
      <w:r>
        <w:rPr>
          <w:szCs w:val="22"/>
          <w:lang w:val="en-US"/>
        </w:rPr>
        <w:t>s.</w:t>
      </w:r>
    </w:p>
    <w:p w:rsidR="00022B78" w:rsidRDefault="00022B78" w:rsidP="00022B78">
      <w:pPr>
        <w:rPr>
          <w:szCs w:val="22"/>
          <w:lang w:val="en-US"/>
        </w:rPr>
      </w:pPr>
    </w:p>
    <w:p w:rsidR="00022B78" w:rsidRDefault="002652C5" w:rsidP="00022B78">
      <w:pPr>
        <w:pStyle w:val="Caption"/>
        <w:keepNext/>
      </w:pPr>
      <w:r>
        <w:t xml:space="preserve">Figure 5-6   </w:t>
      </w:r>
      <w:r w:rsidR="00022B78">
        <w:t xml:space="preserve"> Proportion of HTISCs in 2010-11 CTCN imports data (according to ABS)</w:t>
      </w:r>
    </w:p>
    <w:p w:rsidR="00A3727B" w:rsidRDefault="00022B78" w:rsidP="005D1179">
      <w:pPr>
        <w:jc w:val="both"/>
        <w:rPr>
          <w:szCs w:val="22"/>
        </w:rPr>
      </w:pPr>
      <w:r w:rsidRPr="00022B78">
        <w:rPr>
          <w:noProof/>
          <w:szCs w:val="22"/>
          <w:lang w:eastAsia="en-AU"/>
        </w:rPr>
        <w:drawing>
          <wp:inline distT="0" distB="0" distL="0" distR="0">
            <wp:extent cx="5229225" cy="3371850"/>
            <wp:effectExtent l="0" t="0" r="0" b="0"/>
            <wp:docPr id="27"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3727B" w:rsidRDefault="00A3727B" w:rsidP="005D1179">
      <w:pPr>
        <w:jc w:val="both"/>
        <w:rPr>
          <w:szCs w:val="22"/>
        </w:rPr>
      </w:pPr>
    </w:p>
    <w:p w:rsidR="00F56846" w:rsidRDefault="00F56846" w:rsidP="005D1179">
      <w:pPr>
        <w:jc w:val="both"/>
        <w:rPr>
          <w:szCs w:val="22"/>
        </w:rPr>
      </w:pPr>
    </w:p>
    <w:p w:rsidR="00F56846" w:rsidRDefault="00F56846" w:rsidP="005D1179">
      <w:pPr>
        <w:jc w:val="both"/>
        <w:rPr>
          <w:szCs w:val="22"/>
        </w:rPr>
      </w:pPr>
    </w:p>
    <w:p w:rsidR="00CB6A7D" w:rsidRDefault="00CB6A7D">
      <w:pPr>
        <w:rPr>
          <w:rFonts w:ascii="Arial" w:hAnsi="Arial" w:cs="Arial"/>
          <w:b/>
          <w:bCs/>
          <w:color w:val="000000"/>
          <w:szCs w:val="22"/>
          <w:lang w:eastAsia="en-AU"/>
        </w:rPr>
      </w:pPr>
      <w:r>
        <w:rPr>
          <w:rFonts w:ascii="Arial" w:hAnsi="Arial" w:cs="Arial"/>
          <w:b/>
          <w:bCs/>
          <w:color w:val="000000"/>
          <w:szCs w:val="22"/>
          <w:lang w:eastAsia="en-AU"/>
        </w:rPr>
        <w:br w:type="page"/>
      </w:r>
    </w:p>
    <w:p w:rsidR="00F56846" w:rsidRDefault="00CB6A7D" w:rsidP="005D1179">
      <w:pPr>
        <w:jc w:val="both"/>
        <w:rPr>
          <w:rFonts w:ascii="Arial" w:hAnsi="Arial" w:cs="Arial"/>
          <w:b/>
          <w:bCs/>
          <w:color w:val="000000"/>
          <w:szCs w:val="22"/>
          <w:lang w:eastAsia="en-AU"/>
        </w:rPr>
      </w:pPr>
      <w:r w:rsidRPr="00F56846">
        <w:rPr>
          <w:rFonts w:ascii="Arial" w:hAnsi="Arial" w:cs="Arial"/>
          <w:b/>
          <w:bCs/>
          <w:color w:val="000000"/>
          <w:szCs w:val="22"/>
          <w:lang w:eastAsia="en-AU"/>
        </w:rPr>
        <w:t>SC07 8443.32.00 71 - PDPs: Ink-jet</w:t>
      </w:r>
    </w:p>
    <w:p w:rsidR="00A90A8F" w:rsidRDefault="00A90A8F" w:rsidP="005D1179">
      <w:pPr>
        <w:jc w:val="both"/>
        <w:rPr>
          <w:rFonts w:ascii="Arial" w:hAnsi="Arial" w:cs="Arial"/>
          <w:b/>
          <w:bCs/>
          <w:color w:val="000000"/>
          <w:szCs w:val="22"/>
          <w:lang w:eastAsia="en-AU"/>
        </w:rPr>
      </w:pPr>
    </w:p>
    <w:p w:rsidR="004360E0" w:rsidRDefault="002652C5" w:rsidP="004360E0">
      <w:pPr>
        <w:pStyle w:val="Caption"/>
        <w:keepNext/>
      </w:pPr>
      <w:r>
        <w:t>Figure</w:t>
      </w:r>
      <w:r w:rsidR="004360E0">
        <w:t xml:space="preserve"> </w:t>
      </w:r>
      <w:r w:rsidR="007118B4">
        <w:t>5</w:t>
      </w:r>
      <w:r>
        <w:t>-</w:t>
      </w:r>
      <w:r w:rsidR="007118B4">
        <w:t>7</w:t>
      </w:r>
      <w:r w:rsidR="004360E0">
        <w:t xml:space="preserve"> </w:t>
      </w:r>
      <w:r w:rsidR="00AC1355">
        <w:t>HTISC frequency distribution in CF year</w:t>
      </w:r>
    </w:p>
    <w:p w:rsidR="00CC616F" w:rsidRDefault="00CC616F" w:rsidP="00CC616F">
      <w:pPr>
        <w:rPr>
          <w:lang w:val="en-GB"/>
        </w:rPr>
      </w:pPr>
      <w:r w:rsidRPr="00CC616F">
        <w:rPr>
          <w:noProof/>
          <w:lang w:eastAsia="en-AU"/>
        </w:rPr>
        <w:drawing>
          <wp:inline distT="0" distB="0" distL="0" distR="0">
            <wp:extent cx="4889500" cy="2984500"/>
            <wp:effectExtent l="19050" t="0" r="25400" b="6350"/>
            <wp:docPr id="72"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C616F" w:rsidRDefault="00CC616F" w:rsidP="00CC616F">
      <w:pPr>
        <w:rPr>
          <w:lang w:val="en-GB"/>
        </w:rPr>
      </w:pPr>
    </w:p>
    <w:p w:rsidR="00CC616F" w:rsidRDefault="00CC616F" w:rsidP="00CC616F">
      <w:pPr>
        <w:rPr>
          <w:lang w:val="en-GB"/>
        </w:rPr>
      </w:pPr>
    </w:p>
    <w:p w:rsidR="00CC616F" w:rsidRDefault="00CC616F" w:rsidP="00CC616F">
      <w:pPr>
        <w:rPr>
          <w:lang w:val="en-GB"/>
        </w:rPr>
      </w:pPr>
    </w:p>
    <w:p w:rsidR="00CC616F" w:rsidRPr="00CC616F" w:rsidRDefault="00CC616F" w:rsidP="00CC616F">
      <w:pPr>
        <w:rPr>
          <w:lang w:val="en-GB"/>
        </w:rPr>
      </w:pPr>
    </w:p>
    <w:p w:rsidR="00A90A8F" w:rsidRDefault="00A90A8F" w:rsidP="005D1179">
      <w:pPr>
        <w:jc w:val="both"/>
        <w:rPr>
          <w:szCs w:val="22"/>
        </w:rPr>
      </w:pPr>
    </w:p>
    <w:p w:rsidR="00F56846" w:rsidRDefault="00F56846" w:rsidP="005D1179">
      <w:pPr>
        <w:jc w:val="both"/>
        <w:rPr>
          <w:szCs w:val="22"/>
        </w:rPr>
      </w:pPr>
    </w:p>
    <w:p w:rsidR="00D73340" w:rsidRDefault="00D73340" w:rsidP="00D73340">
      <w:pPr>
        <w:pStyle w:val="Caption"/>
      </w:pPr>
    </w:p>
    <w:p w:rsidR="00A90A8F" w:rsidRPr="00D73340" w:rsidRDefault="00207129" w:rsidP="00D73340">
      <w:pPr>
        <w:pStyle w:val="Caption"/>
      </w:pPr>
      <w:r>
        <w:t xml:space="preserve">Table 5-5  </w:t>
      </w:r>
      <w:r w:rsidR="00D73340">
        <w:t xml:space="preserve"> Conversion factor statistics</w:t>
      </w:r>
    </w:p>
    <w:tbl>
      <w:tblPr>
        <w:tblW w:w="7260" w:type="dxa"/>
        <w:tblInd w:w="93" w:type="dxa"/>
        <w:tblLook w:val="04A0"/>
      </w:tblPr>
      <w:tblGrid>
        <w:gridCol w:w="1660"/>
        <w:gridCol w:w="1120"/>
        <w:gridCol w:w="1120"/>
        <w:gridCol w:w="1120"/>
        <w:gridCol w:w="1120"/>
        <w:gridCol w:w="1120"/>
      </w:tblGrid>
      <w:tr w:rsidR="00CB6A7D" w:rsidRPr="00CB6A7D" w:rsidTr="00CB6A7D">
        <w:trPr>
          <w:trHeight w:val="450"/>
        </w:trPr>
        <w:tc>
          <w:tcPr>
            <w:tcW w:w="166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CB6A7D" w:rsidRPr="00CB6A7D" w:rsidRDefault="00CB6A7D" w:rsidP="00CB6A7D">
            <w:pPr>
              <w:jc w:val="center"/>
              <w:rPr>
                <w:rFonts w:ascii="Calibri" w:hAnsi="Calibri" w:cs="Calibri"/>
                <w:color w:val="000000"/>
                <w:sz w:val="16"/>
                <w:szCs w:val="16"/>
                <w:lang w:eastAsia="en-AU"/>
              </w:rPr>
            </w:pPr>
            <w:r w:rsidRPr="00CB6A7D">
              <w:rPr>
                <w:rFonts w:ascii="Calibri" w:hAnsi="Calibri" w:cs="Calibri"/>
                <w:color w:val="000000"/>
                <w:sz w:val="16"/>
                <w:szCs w:val="16"/>
                <w:lang w:eastAsia="en-AU"/>
              </w:rPr>
              <w:t>CF year</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CB6A7D" w:rsidRPr="00CB6A7D" w:rsidRDefault="00CB6A7D" w:rsidP="00CB6A7D">
            <w:pPr>
              <w:jc w:val="center"/>
              <w:rPr>
                <w:rFonts w:ascii="Calibri" w:hAnsi="Calibri" w:cs="Calibri"/>
                <w:color w:val="000000"/>
                <w:sz w:val="16"/>
                <w:szCs w:val="16"/>
                <w:lang w:eastAsia="en-AU"/>
              </w:rPr>
            </w:pPr>
            <w:r w:rsidRPr="00CB6A7D">
              <w:rPr>
                <w:rFonts w:ascii="Calibri" w:hAnsi="Calibri" w:cs="Calibri"/>
                <w:color w:val="000000"/>
                <w:sz w:val="16"/>
                <w:szCs w:val="16"/>
                <w:lang w:eastAsia="en-AU"/>
              </w:rPr>
              <w:t>No. of ABS imports</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CB6A7D" w:rsidRPr="00CB6A7D" w:rsidRDefault="00CB6A7D" w:rsidP="00CB6A7D">
            <w:pPr>
              <w:jc w:val="center"/>
              <w:rPr>
                <w:rFonts w:ascii="Calibri" w:hAnsi="Calibri" w:cs="Calibri"/>
                <w:color w:val="000000"/>
                <w:sz w:val="16"/>
                <w:szCs w:val="16"/>
                <w:lang w:eastAsia="en-AU"/>
              </w:rPr>
            </w:pPr>
            <w:r w:rsidRPr="00CB6A7D">
              <w:rPr>
                <w:rFonts w:ascii="Calibri" w:hAnsi="Calibri" w:cs="Calibri"/>
                <w:color w:val="000000"/>
                <w:sz w:val="16"/>
                <w:szCs w:val="16"/>
                <w:lang w:eastAsia="en-AU"/>
              </w:rPr>
              <w:t>% ABS imports included</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CB6A7D" w:rsidRPr="00CB6A7D" w:rsidRDefault="00CB6A7D" w:rsidP="00CB6A7D">
            <w:pPr>
              <w:jc w:val="center"/>
              <w:rPr>
                <w:rFonts w:ascii="Calibri" w:hAnsi="Calibri" w:cs="Calibri"/>
                <w:color w:val="000000"/>
                <w:sz w:val="16"/>
                <w:szCs w:val="16"/>
                <w:lang w:eastAsia="en-AU"/>
              </w:rPr>
            </w:pPr>
            <w:r w:rsidRPr="00CB6A7D">
              <w:rPr>
                <w:rFonts w:ascii="Calibri" w:hAnsi="Calibri" w:cs="Calibri"/>
                <w:color w:val="000000"/>
                <w:sz w:val="16"/>
                <w:szCs w:val="16"/>
                <w:lang w:eastAsia="en-AU"/>
              </w:rPr>
              <w:t>Min weight</w:t>
            </w:r>
            <w:r w:rsidRPr="00CB6A7D">
              <w:rPr>
                <w:rFonts w:ascii="Calibri" w:hAnsi="Calibri" w:cs="Calibri"/>
                <w:color w:val="000000"/>
                <w:sz w:val="16"/>
                <w:szCs w:val="16"/>
                <w:lang w:eastAsia="en-AU"/>
              </w:rPr>
              <w:br/>
              <w:t>(kg)</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CB6A7D" w:rsidRPr="00CB6A7D" w:rsidRDefault="00CB6A7D" w:rsidP="00CB6A7D">
            <w:pPr>
              <w:jc w:val="center"/>
              <w:rPr>
                <w:rFonts w:ascii="Calibri" w:hAnsi="Calibri" w:cs="Calibri"/>
                <w:color w:val="000000"/>
                <w:sz w:val="16"/>
                <w:szCs w:val="16"/>
                <w:lang w:eastAsia="en-AU"/>
              </w:rPr>
            </w:pPr>
            <w:r w:rsidRPr="00CB6A7D">
              <w:rPr>
                <w:rFonts w:ascii="Calibri" w:hAnsi="Calibri" w:cs="Calibri"/>
                <w:color w:val="000000"/>
                <w:sz w:val="16"/>
                <w:szCs w:val="16"/>
                <w:lang w:eastAsia="en-AU"/>
              </w:rPr>
              <w:t>Max weight (kg)</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CB6A7D" w:rsidRPr="00CB6A7D" w:rsidRDefault="00CB6A7D" w:rsidP="00CB6A7D">
            <w:pPr>
              <w:jc w:val="center"/>
              <w:rPr>
                <w:rFonts w:ascii="Calibri" w:hAnsi="Calibri" w:cs="Calibri"/>
                <w:color w:val="000000"/>
                <w:sz w:val="16"/>
                <w:szCs w:val="16"/>
                <w:lang w:eastAsia="en-AU"/>
              </w:rPr>
            </w:pPr>
            <w:r w:rsidRPr="00CB6A7D">
              <w:rPr>
                <w:rFonts w:ascii="Calibri" w:hAnsi="Calibri" w:cs="Calibri"/>
                <w:color w:val="000000"/>
                <w:sz w:val="16"/>
                <w:szCs w:val="16"/>
                <w:lang w:eastAsia="en-AU"/>
              </w:rPr>
              <w:t>Standard deviation</w:t>
            </w:r>
          </w:p>
        </w:tc>
      </w:tr>
      <w:tr w:rsidR="00CB6A7D" w:rsidRPr="00CB6A7D" w:rsidTr="00CB6A7D">
        <w:trPr>
          <w:trHeight w:val="22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B6A7D" w:rsidRPr="00CB6A7D" w:rsidRDefault="00CB6A7D" w:rsidP="00CB6A7D">
            <w:pPr>
              <w:jc w:val="center"/>
              <w:rPr>
                <w:rFonts w:ascii="Calibri" w:hAnsi="Calibri" w:cs="Calibri"/>
                <w:color w:val="000000"/>
                <w:sz w:val="16"/>
                <w:szCs w:val="16"/>
                <w:lang w:eastAsia="en-AU"/>
              </w:rPr>
            </w:pPr>
            <w:r w:rsidRPr="00CB6A7D">
              <w:rPr>
                <w:rFonts w:ascii="Calibri" w:hAnsi="Calibri" w:cs="Calibri"/>
                <w:color w:val="000000"/>
                <w:sz w:val="16"/>
                <w:szCs w:val="16"/>
                <w:lang w:eastAsia="en-AU"/>
              </w:rPr>
              <w:t>2010-11</w:t>
            </w:r>
          </w:p>
        </w:tc>
        <w:tc>
          <w:tcPr>
            <w:tcW w:w="1120" w:type="dxa"/>
            <w:tcBorders>
              <w:top w:val="nil"/>
              <w:left w:val="nil"/>
              <w:bottom w:val="single" w:sz="4" w:space="0" w:color="auto"/>
              <w:right w:val="single" w:sz="4" w:space="0" w:color="auto"/>
            </w:tcBorders>
            <w:shd w:val="clear" w:color="auto" w:fill="auto"/>
            <w:noWrap/>
            <w:vAlign w:val="center"/>
            <w:hideMark/>
          </w:tcPr>
          <w:p w:rsidR="00CB6A7D" w:rsidRPr="00CB6A7D" w:rsidRDefault="00CB6A7D" w:rsidP="00CB6A7D">
            <w:pPr>
              <w:jc w:val="center"/>
              <w:rPr>
                <w:rFonts w:ascii="Calibri" w:hAnsi="Calibri" w:cs="Calibri"/>
                <w:color w:val="000000"/>
                <w:sz w:val="16"/>
                <w:szCs w:val="16"/>
                <w:lang w:eastAsia="en-AU"/>
              </w:rPr>
            </w:pPr>
            <w:r w:rsidRPr="00CB6A7D">
              <w:rPr>
                <w:rFonts w:ascii="Calibri" w:hAnsi="Calibri" w:cs="Calibri"/>
                <w:color w:val="000000"/>
                <w:sz w:val="16"/>
                <w:szCs w:val="16"/>
                <w:lang w:eastAsia="en-AU"/>
              </w:rPr>
              <w:t>159,856</w:t>
            </w:r>
          </w:p>
        </w:tc>
        <w:tc>
          <w:tcPr>
            <w:tcW w:w="1120" w:type="dxa"/>
            <w:tcBorders>
              <w:top w:val="nil"/>
              <w:left w:val="nil"/>
              <w:bottom w:val="single" w:sz="4" w:space="0" w:color="auto"/>
              <w:right w:val="single" w:sz="4" w:space="0" w:color="auto"/>
            </w:tcBorders>
            <w:shd w:val="clear" w:color="auto" w:fill="auto"/>
            <w:noWrap/>
            <w:vAlign w:val="center"/>
            <w:hideMark/>
          </w:tcPr>
          <w:p w:rsidR="00CB6A7D" w:rsidRPr="00CB6A7D" w:rsidRDefault="00CB6A7D" w:rsidP="00CB6A7D">
            <w:pPr>
              <w:jc w:val="center"/>
              <w:rPr>
                <w:rFonts w:ascii="Calibri" w:hAnsi="Calibri" w:cs="Calibri"/>
                <w:color w:val="000000"/>
                <w:sz w:val="16"/>
                <w:szCs w:val="16"/>
                <w:lang w:eastAsia="en-AU"/>
              </w:rPr>
            </w:pPr>
            <w:r w:rsidRPr="00CB6A7D">
              <w:rPr>
                <w:rFonts w:ascii="Calibri" w:hAnsi="Calibri" w:cs="Calibri"/>
                <w:color w:val="000000"/>
                <w:sz w:val="16"/>
                <w:szCs w:val="16"/>
                <w:lang w:eastAsia="en-AU"/>
              </w:rPr>
              <w:t>57%</w:t>
            </w:r>
          </w:p>
        </w:tc>
        <w:tc>
          <w:tcPr>
            <w:tcW w:w="1120" w:type="dxa"/>
            <w:tcBorders>
              <w:top w:val="nil"/>
              <w:left w:val="nil"/>
              <w:bottom w:val="single" w:sz="4" w:space="0" w:color="auto"/>
              <w:right w:val="single" w:sz="4" w:space="0" w:color="auto"/>
            </w:tcBorders>
            <w:shd w:val="clear" w:color="auto" w:fill="auto"/>
            <w:noWrap/>
            <w:vAlign w:val="center"/>
            <w:hideMark/>
          </w:tcPr>
          <w:p w:rsidR="00CB6A7D" w:rsidRPr="00CB6A7D" w:rsidRDefault="00CB6A7D" w:rsidP="00CB6A7D">
            <w:pPr>
              <w:jc w:val="center"/>
              <w:rPr>
                <w:rFonts w:ascii="Calibri" w:hAnsi="Calibri" w:cs="Calibri"/>
                <w:color w:val="000000"/>
                <w:sz w:val="16"/>
                <w:szCs w:val="16"/>
                <w:lang w:eastAsia="en-AU"/>
              </w:rPr>
            </w:pPr>
            <w:r w:rsidRPr="00CB6A7D">
              <w:rPr>
                <w:rFonts w:ascii="Calibri" w:hAnsi="Calibri" w:cs="Calibri"/>
                <w:color w:val="000000"/>
                <w:sz w:val="16"/>
                <w:szCs w:val="16"/>
                <w:lang w:eastAsia="en-AU"/>
              </w:rPr>
              <w:t>1.22</w:t>
            </w:r>
          </w:p>
        </w:tc>
        <w:tc>
          <w:tcPr>
            <w:tcW w:w="1120" w:type="dxa"/>
            <w:tcBorders>
              <w:top w:val="nil"/>
              <w:left w:val="nil"/>
              <w:bottom w:val="single" w:sz="4" w:space="0" w:color="auto"/>
              <w:right w:val="single" w:sz="4" w:space="0" w:color="auto"/>
            </w:tcBorders>
            <w:shd w:val="clear" w:color="auto" w:fill="auto"/>
            <w:noWrap/>
            <w:vAlign w:val="center"/>
            <w:hideMark/>
          </w:tcPr>
          <w:p w:rsidR="00CB6A7D" w:rsidRPr="00CB6A7D" w:rsidRDefault="009522ED" w:rsidP="00CB6A7D">
            <w:pPr>
              <w:jc w:val="center"/>
              <w:rPr>
                <w:rFonts w:ascii="Calibri" w:hAnsi="Calibri" w:cs="Calibri"/>
                <w:color w:val="000000"/>
                <w:sz w:val="16"/>
                <w:szCs w:val="16"/>
                <w:lang w:eastAsia="en-AU"/>
              </w:rPr>
            </w:pPr>
            <w:r>
              <w:rPr>
                <w:rFonts w:ascii="Calibri" w:hAnsi="Calibri" w:cs="Calibri"/>
                <w:color w:val="000000"/>
                <w:sz w:val="16"/>
                <w:szCs w:val="16"/>
                <w:lang w:eastAsia="en-AU"/>
              </w:rPr>
              <w:t>285</w:t>
            </w:r>
          </w:p>
        </w:tc>
        <w:tc>
          <w:tcPr>
            <w:tcW w:w="1120" w:type="dxa"/>
            <w:tcBorders>
              <w:top w:val="nil"/>
              <w:left w:val="nil"/>
              <w:bottom w:val="single" w:sz="4" w:space="0" w:color="auto"/>
              <w:right w:val="single" w:sz="4" w:space="0" w:color="auto"/>
            </w:tcBorders>
            <w:shd w:val="clear" w:color="auto" w:fill="auto"/>
            <w:noWrap/>
            <w:vAlign w:val="center"/>
            <w:hideMark/>
          </w:tcPr>
          <w:p w:rsidR="00CB6A7D" w:rsidRPr="00CB6A7D" w:rsidRDefault="00CB6A7D" w:rsidP="00CB6A7D">
            <w:pPr>
              <w:jc w:val="center"/>
              <w:rPr>
                <w:rFonts w:ascii="Calibri" w:hAnsi="Calibri" w:cs="Calibri"/>
                <w:color w:val="000000"/>
                <w:sz w:val="16"/>
                <w:szCs w:val="16"/>
                <w:lang w:eastAsia="en-AU"/>
              </w:rPr>
            </w:pPr>
            <w:r w:rsidRPr="00CB6A7D">
              <w:rPr>
                <w:rFonts w:ascii="Calibri" w:hAnsi="Calibri" w:cs="Calibri"/>
                <w:color w:val="000000"/>
                <w:sz w:val="16"/>
                <w:szCs w:val="16"/>
                <w:lang w:eastAsia="en-AU"/>
              </w:rPr>
              <w:t>0.2</w:t>
            </w:r>
          </w:p>
        </w:tc>
      </w:tr>
      <w:tr w:rsidR="00CB6A7D" w:rsidRPr="00CB6A7D" w:rsidTr="00CB6A7D">
        <w:trPr>
          <w:trHeight w:val="225"/>
        </w:trPr>
        <w:tc>
          <w:tcPr>
            <w:tcW w:w="1660" w:type="dxa"/>
            <w:tcBorders>
              <w:top w:val="nil"/>
              <w:left w:val="nil"/>
              <w:bottom w:val="nil"/>
              <w:right w:val="nil"/>
            </w:tcBorders>
            <w:shd w:val="clear" w:color="auto" w:fill="auto"/>
            <w:noWrap/>
            <w:vAlign w:val="bottom"/>
            <w:hideMark/>
          </w:tcPr>
          <w:p w:rsidR="00CB6A7D" w:rsidRPr="00CB6A7D" w:rsidRDefault="00CB6A7D" w:rsidP="00CB6A7D">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CB6A7D" w:rsidRPr="00CB6A7D" w:rsidRDefault="00CB6A7D" w:rsidP="00CB6A7D">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CB6A7D" w:rsidRPr="00CB6A7D" w:rsidRDefault="00CB6A7D" w:rsidP="00CB6A7D">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CB6A7D" w:rsidRPr="00CB6A7D" w:rsidRDefault="00CB6A7D" w:rsidP="00CB6A7D">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CB6A7D" w:rsidRPr="00CB6A7D" w:rsidRDefault="00CB6A7D" w:rsidP="00CB6A7D">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CB6A7D" w:rsidRPr="00CB6A7D" w:rsidRDefault="00CB6A7D" w:rsidP="00CB6A7D">
            <w:pPr>
              <w:rPr>
                <w:rFonts w:ascii="Calibri" w:hAnsi="Calibri" w:cs="Calibri"/>
                <w:color w:val="000000"/>
                <w:sz w:val="16"/>
                <w:szCs w:val="16"/>
                <w:lang w:eastAsia="en-AU"/>
              </w:rPr>
            </w:pPr>
          </w:p>
        </w:tc>
      </w:tr>
      <w:tr w:rsidR="00CB6A7D" w:rsidRPr="00CB6A7D" w:rsidTr="00CB6A7D">
        <w:trPr>
          <w:trHeight w:val="450"/>
        </w:trPr>
        <w:tc>
          <w:tcPr>
            <w:tcW w:w="1660" w:type="dxa"/>
            <w:tcBorders>
              <w:top w:val="single" w:sz="4" w:space="0" w:color="auto"/>
              <w:left w:val="single" w:sz="4" w:space="0" w:color="auto"/>
              <w:bottom w:val="nil"/>
              <w:right w:val="single" w:sz="4" w:space="0" w:color="auto"/>
            </w:tcBorders>
            <w:shd w:val="clear" w:color="000000" w:fill="D8D8D8"/>
            <w:vAlign w:val="center"/>
            <w:hideMark/>
          </w:tcPr>
          <w:p w:rsidR="00CB6A7D" w:rsidRPr="00CB6A7D" w:rsidRDefault="00CB6A7D" w:rsidP="00CB6A7D">
            <w:pPr>
              <w:jc w:val="center"/>
              <w:rPr>
                <w:rFonts w:ascii="Calibri" w:hAnsi="Calibri" w:cs="Calibri"/>
                <w:color w:val="000000"/>
                <w:sz w:val="16"/>
                <w:szCs w:val="16"/>
                <w:lang w:eastAsia="en-AU"/>
              </w:rPr>
            </w:pPr>
            <w:r w:rsidRPr="00CB6A7D">
              <w:rPr>
                <w:rFonts w:ascii="Calibri" w:hAnsi="Calibri" w:cs="Calibri"/>
                <w:color w:val="000000"/>
                <w:sz w:val="16"/>
                <w:szCs w:val="16"/>
                <w:lang w:eastAsia="en-AU"/>
              </w:rPr>
              <w:t>Method</w:t>
            </w:r>
          </w:p>
        </w:tc>
        <w:tc>
          <w:tcPr>
            <w:tcW w:w="1120" w:type="dxa"/>
            <w:tcBorders>
              <w:top w:val="single" w:sz="4" w:space="0" w:color="auto"/>
              <w:left w:val="nil"/>
              <w:bottom w:val="nil"/>
              <w:right w:val="single" w:sz="4" w:space="0" w:color="auto"/>
            </w:tcBorders>
            <w:shd w:val="clear" w:color="000000" w:fill="D8D8D8"/>
            <w:vAlign w:val="center"/>
            <w:hideMark/>
          </w:tcPr>
          <w:p w:rsidR="00CB6A7D" w:rsidRPr="00CB6A7D" w:rsidRDefault="00CB6A7D" w:rsidP="00CB6A7D">
            <w:pPr>
              <w:jc w:val="center"/>
              <w:rPr>
                <w:rFonts w:ascii="Calibri" w:hAnsi="Calibri" w:cs="Calibri"/>
                <w:color w:val="000000"/>
                <w:sz w:val="16"/>
                <w:szCs w:val="16"/>
                <w:lang w:eastAsia="en-AU"/>
              </w:rPr>
            </w:pPr>
            <w:r w:rsidRPr="00CB6A7D">
              <w:rPr>
                <w:rFonts w:ascii="Calibri" w:hAnsi="Calibri" w:cs="Calibri"/>
                <w:color w:val="000000"/>
                <w:sz w:val="16"/>
                <w:szCs w:val="16"/>
                <w:lang w:eastAsia="en-AU"/>
              </w:rPr>
              <w:t>Measure of average</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CB6A7D" w:rsidRPr="00CB6A7D" w:rsidRDefault="00CB6A7D" w:rsidP="00CB6A7D">
            <w:pPr>
              <w:jc w:val="center"/>
              <w:rPr>
                <w:rFonts w:ascii="Calibri" w:hAnsi="Calibri" w:cs="Calibri"/>
                <w:color w:val="000000"/>
                <w:sz w:val="16"/>
                <w:szCs w:val="16"/>
                <w:lang w:eastAsia="en-AU"/>
              </w:rPr>
            </w:pPr>
            <w:r w:rsidRPr="00CB6A7D">
              <w:rPr>
                <w:rFonts w:ascii="Calibri" w:hAnsi="Calibri" w:cs="Calibri"/>
                <w:color w:val="000000"/>
                <w:sz w:val="16"/>
                <w:szCs w:val="16"/>
                <w:lang w:eastAsia="en-AU"/>
              </w:rPr>
              <w:t>Average weight (kg)</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CB6A7D" w:rsidRPr="00CB6A7D" w:rsidRDefault="00CB6A7D" w:rsidP="00CB6A7D">
            <w:pPr>
              <w:jc w:val="center"/>
              <w:rPr>
                <w:rFonts w:ascii="Calibri" w:hAnsi="Calibri" w:cs="Calibri"/>
                <w:color w:val="000000"/>
                <w:sz w:val="16"/>
                <w:szCs w:val="16"/>
                <w:lang w:eastAsia="en-AU"/>
              </w:rPr>
            </w:pPr>
            <w:r w:rsidRPr="00CB6A7D">
              <w:rPr>
                <w:rFonts w:ascii="Calibri" w:hAnsi="Calibri" w:cs="Calibri"/>
                <w:color w:val="000000"/>
                <w:sz w:val="16"/>
                <w:szCs w:val="16"/>
                <w:lang w:eastAsia="en-AU"/>
              </w:rPr>
              <w:t>Lower limit (kg)</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CB6A7D" w:rsidRPr="00CB6A7D" w:rsidRDefault="00CB6A7D" w:rsidP="00CB6A7D">
            <w:pPr>
              <w:jc w:val="center"/>
              <w:rPr>
                <w:rFonts w:ascii="Calibri" w:hAnsi="Calibri" w:cs="Calibri"/>
                <w:color w:val="000000"/>
                <w:sz w:val="16"/>
                <w:szCs w:val="16"/>
                <w:lang w:eastAsia="en-AU"/>
              </w:rPr>
            </w:pPr>
            <w:r w:rsidRPr="00CB6A7D">
              <w:rPr>
                <w:rFonts w:ascii="Calibri" w:hAnsi="Calibri" w:cs="Calibri"/>
                <w:color w:val="000000"/>
                <w:sz w:val="16"/>
                <w:szCs w:val="16"/>
                <w:lang w:eastAsia="en-AU"/>
              </w:rPr>
              <w:t>Upper limit (kg)</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CB6A7D" w:rsidRPr="00CB6A7D" w:rsidRDefault="00CB6A7D" w:rsidP="00CB6A7D">
            <w:pPr>
              <w:jc w:val="center"/>
              <w:rPr>
                <w:rFonts w:ascii="Calibri" w:hAnsi="Calibri" w:cs="Calibri"/>
                <w:color w:val="000000"/>
                <w:sz w:val="16"/>
                <w:szCs w:val="16"/>
                <w:lang w:eastAsia="en-AU"/>
              </w:rPr>
            </w:pPr>
            <w:r w:rsidRPr="00CB6A7D">
              <w:rPr>
                <w:rFonts w:ascii="Calibri" w:hAnsi="Calibri" w:cs="Calibri"/>
                <w:color w:val="000000"/>
                <w:sz w:val="16"/>
                <w:szCs w:val="16"/>
                <w:lang w:eastAsia="en-AU"/>
              </w:rPr>
              <w:t>Confidence interval ± (kg)</w:t>
            </w:r>
          </w:p>
        </w:tc>
      </w:tr>
      <w:tr w:rsidR="00CB6A7D" w:rsidRPr="00CB6A7D" w:rsidTr="00CB6A7D">
        <w:trPr>
          <w:trHeight w:val="45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6A7D" w:rsidRPr="00CB6A7D" w:rsidRDefault="00CB6A7D" w:rsidP="00CB6A7D">
            <w:pPr>
              <w:jc w:val="center"/>
              <w:rPr>
                <w:rFonts w:ascii="Calibri" w:hAnsi="Calibri" w:cs="Calibri"/>
                <w:color w:val="000000"/>
                <w:sz w:val="16"/>
                <w:szCs w:val="16"/>
                <w:lang w:eastAsia="en-AU"/>
              </w:rPr>
            </w:pPr>
            <w:r w:rsidRPr="00CB6A7D">
              <w:rPr>
                <w:rFonts w:ascii="Calibri" w:hAnsi="Calibri" w:cs="Calibri"/>
                <w:color w:val="000000"/>
                <w:sz w:val="16"/>
                <w:szCs w:val="16"/>
                <w:lang w:eastAsia="en-AU"/>
              </w:rPr>
              <w:t>Approximation to the normal distribution</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CB6A7D" w:rsidRPr="00CB6A7D" w:rsidRDefault="00CB6A7D" w:rsidP="00CB6A7D">
            <w:pPr>
              <w:jc w:val="center"/>
              <w:rPr>
                <w:rFonts w:ascii="Calibri" w:hAnsi="Calibri" w:cs="Calibri"/>
                <w:color w:val="000000"/>
                <w:sz w:val="16"/>
                <w:szCs w:val="16"/>
                <w:lang w:eastAsia="en-AU"/>
              </w:rPr>
            </w:pPr>
            <w:r w:rsidRPr="00CB6A7D">
              <w:rPr>
                <w:rFonts w:ascii="Calibri" w:hAnsi="Calibri" w:cs="Calibri"/>
                <w:color w:val="000000"/>
                <w:sz w:val="16"/>
                <w:szCs w:val="16"/>
                <w:lang w:eastAsia="en-AU"/>
              </w:rPr>
              <w:t>Mean</w:t>
            </w:r>
          </w:p>
        </w:tc>
        <w:tc>
          <w:tcPr>
            <w:tcW w:w="1120" w:type="dxa"/>
            <w:tcBorders>
              <w:top w:val="nil"/>
              <w:left w:val="nil"/>
              <w:bottom w:val="single" w:sz="4" w:space="0" w:color="auto"/>
              <w:right w:val="single" w:sz="4" w:space="0" w:color="auto"/>
            </w:tcBorders>
            <w:shd w:val="clear" w:color="auto" w:fill="auto"/>
            <w:noWrap/>
            <w:vAlign w:val="center"/>
            <w:hideMark/>
          </w:tcPr>
          <w:p w:rsidR="00CB6A7D" w:rsidRPr="00CB6A7D" w:rsidRDefault="00CB6A7D" w:rsidP="00CB6A7D">
            <w:pPr>
              <w:jc w:val="center"/>
              <w:rPr>
                <w:rFonts w:ascii="Calibri" w:hAnsi="Calibri" w:cs="Calibri"/>
                <w:color w:val="000000"/>
                <w:sz w:val="16"/>
                <w:szCs w:val="16"/>
                <w:lang w:eastAsia="en-AU"/>
              </w:rPr>
            </w:pPr>
            <w:r w:rsidRPr="00CB6A7D">
              <w:rPr>
                <w:rFonts w:ascii="Calibri" w:hAnsi="Calibri" w:cs="Calibri"/>
                <w:color w:val="000000"/>
                <w:sz w:val="16"/>
                <w:szCs w:val="16"/>
                <w:lang w:eastAsia="en-AU"/>
              </w:rPr>
              <w:t>8.3</w:t>
            </w:r>
          </w:p>
        </w:tc>
        <w:tc>
          <w:tcPr>
            <w:tcW w:w="1120" w:type="dxa"/>
            <w:tcBorders>
              <w:top w:val="nil"/>
              <w:left w:val="nil"/>
              <w:bottom w:val="single" w:sz="4" w:space="0" w:color="auto"/>
              <w:right w:val="single" w:sz="4" w:space="0" w:color="auto"/>
            </w:tcBorders>
            <w:shd w:val="clear" w:color="auto" w:fill="auto"/>
            <w:noWrap/>
            <w:vAlign w:val="center"/>
            <w:hideMark/>
          </w:tcPr>
          <w:p w:rsidR="00CB6A7D" w:rsidRPr="00CB6A7D" w:rsidRDefault="00CB6A7D" w:rsidP="00CB6A7D">
            <w:pPr>
              <w:jc w:val="center"/>
              <w:rPr>
                <w:rFonts w:ascii="Calibri" w:hAnsi="Calibri" w:cs="Calibri"/>
                <w:color w:val="000000"/>
                <w:sz w:val="16"/>
                <w:szCs w:val="16"/>
                <w:lang w:eastAsia="en-AU"/>
              </w:rPr>
            </w:pPr>
            <w:r w:rsidRPr="00CB6A7D">
              <w:rPr>
                <w:rFonts w:ascii="Calibri" w:hAnsi="Calibri" w:cs="Calibri"/>
                <w:color w:val="000000"/>
                <w:sz w:val="16"/>
                <w:szCs w:val="16"/>
                <w:lang w:eastAsia="en-AU"/>
              </w:rPr>
              <w:t>8.0</w:t>
            </w:r>
          </w:p>
        </w:tc>
        <w:tc>
          <w:tcPr>
            <w:tcW w:w="1120" w:type="dxa"/>
            <w:tcBorders>
              <w:top w:val="nil"/>
              <w:left w:val="nil"/>
              <w:bottom w:val="single" w:sz="4" w:space="0" w:color="auto"/>
              <w:right w:val="single" w:sz="4" w:space="0" w:color="auto"/>
            </w:tcBorders>
            <w:shd w:val="clear" w:color="auto" w:fill="auto"/>
            <w:noWrap/>
            <w:vAlign w:val="center"/>
            <w:hideMark/>
          </w:tcPr>
          <w:p w:rsidR="00CB6A7D" w:rsidRPr="00CB6A7D" w:rsidRDefault="00CB6A7D" w:rsidP="00CB6A7D">
            <w:pPr>
              <w:jc w:val="center"/>
              <w:rPr>
                <w:rFonts w:ascii="Calibri" w:hAnsi="Calibri" w:cs="Calibri"/>
                <w:color w:val="000000"/>
                <w:sz w:val="16"/>
                <w:szCs w:val="16"/>
                <w:lang w:eastAsia="en-AU"/>
              </w:rPr>
            </w:pPr>
            <w:r w:rsidRPr="00CB6A7D">
              <w:rPr>
                <w:rFonts w:ascii="Calibri" w:hAnsi="Calibri" w:cs="Calibri"/>
                <w:color w:val="000000"/>
                <w:sz w:val="16"/>
                <w:szCs w:val="16"/>
                <w:lang w:eastAsia="en-AU"/>
              </w:rPr>
              <w:t>8.6</w:t>
            </w:r>
          </w:p>
        </w:tc>
        <w:tc>
          <w:tcPr>
            <w:tcW w:w="1120" w:type="dxa"/>
            <w:tcBorders>
              <w:top w:val="nil"/>
              <w:left w:val="nil"/>
              <w:bottom w:val="single" w:sz="4" w:space="0" w:color="auto"/>
              <w:right w:val="single" w:sz="4" w:space="0" w:color="auto"/>
            </w:tcBorders>
            <w:shd w:val="clear" w:color="auto" w:fill="auto"/>
            <w:noWrap/>
            <w:vAlign w:val="center"/>
            <w:hideMark/>
          </w:tcPr>
          <w:p w:rsidR="00CB6A7D" w:rsidRPr="00CB6A7D" w:rsidRDefault="00CB6A7D" w:rsidP="00CB6A7D">
            <w:pPr>
              <w:jc w:val="center"/>
              <w:rPr>
                <w:rFonts w:ascii="Calibri" w:hAnsi="Calibri" w:cs="Calibri"/>
                <w:color w:val="000000"/>
                <w:sz w:val="16"/>
                <w:szCs w:val="16"/>
                <w:lang w:eastAsia="en-AU"/>
              </w:rPr>
            </w:pPr>
            <w:r w:rsidRPr="00CB6A7D">
              <w:rPr>
                <w:rFonts w:ascii="Calibri" w:hAnsi="Calibri" w:cs="Calibri"/>
                <w:color w:val="000000"/>
                <w:sz w:val="16"/>
                <w:szCs w:val="16"/>
                <w:lang w:eastAsia="en-AU"/>
              </w:rPr>
              <w:t>0.3</w:t>
            </w:r>
          </w:p>
        </w:tc>
      </w:tr>
      <w:tr w:rsidR="00CB6A7D" w:rsidRPr="00CB6A7D" w:rsidTr="00CB6A7D">
        <w:trPr>
          <w:trHeight w:val="22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CB6A7D" w:rsidRPr="00CB6A7D" w:rsidRDefault="00CB6A7D" w:rsidP="00CB6A7D">
            <w:pPr>
              <w:jc w:val="center"/>
              <w:rPr>
                <w:rFonts w:ascii="Calibri" w:hAnsi="Calibri" w:cs="Calibri"/>
                <w:color w:val="000000"/>
                <w:sz w:val="16"/>
                <w:szCs w:val="16"/>
                <w:lang w:eastAsia="en-AU"/>
              </w:rPr>
            </w:pPr>
            <w:r w:rsidRPr="00CB6A7D">
              <w:rPr>
                <w:rFonts w:ascii="Calibri" w:hAnsi="Calibri" w:cs="Calibri"/>
                <w:color w:val="000000"/>
                <w:sz w:val="16"/>
                <w:szCs w:val="16"/>
                <w:lang w:eastAsia="en-AU"/>
              </w:rPr>
              <w:t>Use of percentiles</w:t>
            </w:r>
          </w:p>
        </w:tc>
        <w:tc>
          <w:tcPr>
            <w:tcW w:w="1120" w:type="dxa"/>
            <w:tcBorders>
              <w:top w:val="nil"/>
              <w:left w:val="nil"/>
              <w:bottom w:val="single" w:sz="4" w:space="0" w:color="auto"/>
              <w:right w:val="single" w:sz="4" w:space="0" w:color="auto"/>
            </w:tcBorders>
            <w:shd w:val="clear" w:color="auto" w:fill="auto"/>
            <w:vAlign w:val="center"/>
            <w:hideMark/>
          </w:tcPr>
          <w:p w:rsidR="00CB6A7D" w:rsidRPr="00CB6A7D" w:rsidRDefault="00CB6A7D" w:rsidP="00CB6A7D">
            <w:pPr>
              <w:jc w:val="center"/>
              <w:rPr>
                <w:rFonts w:ascii="Calibri" w:hAnsi="Calibri" w:cs="Calibri"/>
                <w:color w:val="000000"/>
                <w:sz w:val="16"/>
                <w:szCs w:val="16"/>
                <w:lang w:eastAsia="en-AU"/>
              </w:rPr>
            </w:pPr>
            <w:r w:rsidRPr="00CB6A7D">
              <w:rPr>
                <w:rFonts w:ascii="Calibri" w:hAnsi="Calibri" w:cs="Calibri"/>
                <w:color w:val="000000"/>
                <w:sz w:val="16"/>
                <w:szCs w:val="16"/>
                <w:lang w:eastAsia="en-AU"/>
              </w:rPr>
              <w:t>Median</w:t>
            </w:r>
          </w:p>
        </w:tc>
        <w:tc>
          <w:tcPr>
            <w:tcW w:w="1120" w:type="dxa"/>
            <w:tcBorders>
              <w:top w:val="nil"/>
              <w:left w:val="nil"/>
              <w:bottom w:val="single" w:sz="4" w:space="0" w:color="auto"/>
              <w:right w:val="single" w:sz="4" w:space="0" w:color="auto"/>
            </w:tcBorders>
            <w:shd w:val="clear" w:color="auto" w:fill="auto"/>
            <w:noWrap/>
            <w:vAlign w:val="center"/>
            <w:hideMark/>
          </w:tcPr>
          <w:p w:rsidR="00CB6A7D" w:rsidRPr="00CB6A7D" w:rsidRDefault="00CB6A7D" w:rsidP="00CB6A7D">
            <w:pPr>
              <w:jc w:val="center"/>
              <w:rPr>
                <w:rFonts w:ascii="Calibri" w:hAnsi="Calibri" w:cs="Calibri"/>
                <w:color w:val="000000"/>
                <w:sz w:val="16"/>
                <w:szCs w:val="16"/>
                <w:lang w:eastAsia="en-AU"/>
              </w:rPr>
            </w:pPr>
            <w:r w:rsidRPr="00CB6A7D">
              <w:rPr>
                <w:rFonts w:ascii="Calibri" w:hAnsi="Calibri" w:cs="Calibri"/>
                <w:color w:val="000000"/>
                <w:sz w:val="16"/>
                <w:szCs w:val="16"/>
                <w:lang w:eastAsia="en-AU"/>
              </w:rPr>
              <w:t>8.5</w:t>
            </w:r>
          </w:p>
        </w:tc>
        <w:tc>
          <w:tcPr>
            <w:tcW w:w="1120" w:type="dxa"/>
            <w:tcBorders>
              <w:top w:val="nil"/>
              <w:left w:val="nil"/>
              <w:bottom w:val="single" w:sz="4" w:space="0" w:color="auto"/>
              <w:right w:val="single" w:sz="4" w:space="0" w:color="auto"/>
            </w:tcBorders>
            <w:shd w:val="clear" w:color="auto" w:fill="auto"/>
            <w:noWrap/>
            <w:vAlign w:val="center"/>
            <w:hideMark/>
          </w:tcPr>
          <w:p w:rsidR="00CB6A7D" w:rsidRPr="00CB6A7D" w:rsidRDefault="00CB6A7D" w:rsidP="00CB6A7D">
            <w:pPr>
              <w:jc w:val="center"/>
              <w:rPr>
                <w:rFonts w:ascii="Calibri" w:hAnsi="Calibri" w:cs="Calibri"/>
                <w:color w:val="000000"/>
                <w:sz w:val="16"/>
                <w:szCs w:val="16"/>
                <w:lang w:eastAsia="en-AU"/>
              </w:rPr>
            </w:pPr>
            <w:r w:rsidRPr="00CB6A7D">
              <w:rPr>
                <w:rFonts w:ascii="Calibri" w:hAnsi="Calibri" w:cs="Calibri"/>
                <w:color w:val="000000"/>
                <w:sz w:val="16"/>
                <w:szCs w:val="16"/>
                <w:lang w:eastAsia="en-AU"/>
              </w:rPr>
              <w:t>2.0</w:t>
            </w:r>
          </w:p>
        </w:tc>
        <w:tc>
          <w:tcPr>
            <w:tcW w:w="1120" w:type="dxa"/>
            <w:tcBorders>
              <w:top w:val="nil"/>
              <w:left w:val="nil"/>
              <w:bottom w:val="single" w:sz="4" w:space="0" w:color="auto"/>
              <w:right w:val="single" w:sz="4" w:space="0" w:color="auto"/>
            </w:tcBorders>
            <w:shd w:val="clear" w:color="auto" w:fill="auto"/>
            <w:noWrap/>
            <w:vAlign w:val="center"/>
            <w:hideMark/>
          </w:tcPr>
          <w:p w:rsidR="00CB6A7D" w:rsidRPr="00CB6A7D" w:rsidRDefault="00CB6A7D" w:rsidP="00CB6A7D">
            <w:pPr>
              <w:jc w:val="center"/>
              <w:rPr>
                <w:rFonts w:ascii="Calibri" w:hAnsi="Calibri" w:cs="Calibri"/>
                <w:color w:val="000000"/>
                <w:sz w:val="16"/>
                <w:szCs w:val="16"/>
                <w:lang w:eastAsia="en-AU"/>
              </w:rPr>
            </w:pPr>
            <w:r w:rsidRPr="00CB6A7D">
              <w:rPr>
                <w:rFonts w:ascii="Calibri" w:hAnsi="Calibri" w:cs="Calibri"/>
                <w:color w:val="000000"/>
                <w:sz w:val="16"/>
                <w:szCs w:val="16"/>
                <w:lang w:eastAsia="en-AU"/>
              </w:rPr>
              <w:t>232.9</w:t>
            </w:r>
          </w:p>
        </w:tc>
        <w:tc>
          <w:tcPr>
            <w:tcW w:w="1120" w:type="dxa"/>
            <w:tcBorders>
              <w:top w:val="nil"/>
              <w:left w:val="nil"/>
              <w:bottom w:val="single" w:sz="4" w:space="0" w:color="auto"/>
              <w:right w:val="single" w:sz="4" w:space="0" w:color="auto"/>
            </w:tcBorders>
            <w:shd w:val="clear" w:color="auto" w:fill="auto"/>
            <w:noWrap/>
            <w:vAlign w:val="center"/>
            <w:hideMark/>
          </w:tcPr>
          <w:p w:rsidR="00CB6A7D" w:rsidRPr="00CB6A7D" w:rsidRDefault="00CB6A7D" w:rsidP="00CB6A7D">
            <w:pPr>
              <w:jc w:val="center"/>
              <w:rPr>
                <w:rFonts w:ascii="Calibri" w:hAnsi="Calibri" w:cs="Calibri"/>
                <w:color w:val="000000"/>
                <w:sz w:val="16"/>
                <w:szCs w:val="16"/>
                <w:lang w:eastAsia="en-AU"/>
              </w:rPr>
            </w:pPr>
            <w:r w:rsidRPr="00CB6A7D">
              <w:rPr>
                <w:rFonts w:ascii="Calibri" w:hAnsi="Calibri" w:cs="Calibri"/>
                <w:color w:val="000000"/>
                <w:sz w:val="16"/>
                <w:szCs w:val="16"/>
                <w:lang w:eastAsia="en-AU"/>
              </w:rPr>
              <w:t>224.5</w:t>
            </w:r>
          </w:p>
        </w:tc>
      </w:tr>
      <w:tr w:rsidR="00CB6A7D" w:rsidRPr="00CB6A7D" w:rsidTr="00CB6A7D">
        <w:trPr>
          <w:trHeight w:val="225"/>
        </w:trPr>
        <w:tc>
          <w:tcPr>
            <w:tcW w:w="1660" w:type="dxa"/>
            <w:tcBorders>
              <w:top w:val="nil"/>
              <w:left w:val="nil"/>
              <w:bottom w:val="nil"/>
              <w:right w:val="nil"/>
            </w:tcBorders>
            <w:shd w:val="clear" w:color="auto" w:fill="auto"/>
            <w:noWrap/>
            <w:vAlign w:val="bottom"/>
            <w:hideMark/>
          </w:tcPr>
          <w:p w:rsidR="00CB6A7D" w:rsidRPr="00CB6A7D" w:rsidRDefault="00CB6A7D" w:rsidP="00CB6A7D">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CB6A7D" w:rsidRPr="00CB6A7D" w:rsidRDefault="00CB6A7D" w:rsidP="00CB6A7D">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CB6A7D" w:rsidRPr="00CB6A7D" w:rsidRDefault="00CB6A7D" w:rsidP="00CB6A7D">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CB6A7D" w:rsidRPr="00CB6A7D" w:rsidRDefault="00CB6A7D" w:rsidP="00CB6A7D">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CB6A7D" w:rsidRPr="00CB6A7D" w:rsidRDefault="00CB6A7D" w:rsidP="00CB6A7D">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CB6A7D" w:rsidRPr="00CB6A7D" w:rsidRDefault="00CB6A7D" w:rsidP="00CB6A7D">
            <w:pPr>
              <w:rPr>
                <w:rFonts w:ascii="Calibri" w:hAnsi="Calibri" w:cs="Calibri"/>
                <w:color w:val="000000"/>
                <w:sz w:val="16"/>
                <w:szCs w:val="16"/>
                <w:lang w:eastAsia="en-AU"/>
              </w:rPr>
            </w:pPr>
          </w:p>
        </w:tc>
      </w:tr>
      <w:tr w:rsidR="00CB6A7D" w:rsidRPr="00CB6A7D" w:rsidTr="00CB6A7D">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CB6A7D" w:rsidRPr="00CB6A7D" w:rsidRDefault="00CB6A7D" w:rsidP="00CB6A7D">
            <w:pPr>
              <w:rPr>
                <w:rFonts w:ascii="Calibri" w:hAnsi="Calibri" w:cs="Calibri"/>
                <w:color w:val="000000"/>
                <w:sz w:val="16"/>
                <w:szCs w:val="16"/>
                <w:lang w:eastAsia="en-AU"/>
              </w:rPr>
            </w:pPr>
            <w:r w:rsidRPr="00CB6A7D">
              <w:rPr>
                <w:rFonts w:ascii="Calibri" w:hAnsi="Calibri" w:cs="Calibri"/>
                <w:color w:val="000000"/>
                <w:sz w:val="16"/>
                <w:szCs w:val="16"/>
                <w:lang w:eastAsia="en-AU"/>
              </w:rPr>
              <w:t>Year</w:t>
            </w:r>
          </w:p>
        </w:tc>
        <w:tc>
          <w:tcPr>
            <w:tcW w:w="1120" w:type="dxa"/>
            <w:tcBorders>
              <w:top w:val="single" w:sz="4" w:space="0" w:color="auto"/>
              <w:left w:val="nil"/>
              <w:bottom w:val="single" w:sz="4" w:space="0" w:color="auto"/>
              <w:right w:val="single" w:sz="4" w:space="0" w:color="auto"/>
            </w:tcBorders>
            <w:shd w:val="clear" w:color="000000" w:fill="D8D8D8"/>
            <w:noWrap/>
            <w:vAlign w:val="center"/>
            <w:hideMark/>
          </w:tcPr>
          <w:p w:rsidR="00CB6A7D" w:rsidRPr="00CB6A7D" w:rsidRDefault="00CB6A7D" w:rsidP="00CB6A7D">
            <w:pPr>
              <w:jc w:val="center"/>
              <w:rPr>
                <w:rFonts w:ascii="Calibri" w:hAnsi="Calibri" w:cs="Calibri"/>
                <w:color w:val="000000"/>
                <w:sz w:val="16"/>
                <w:szCs w:val="16"/>
                <w:lang w:eastAsia="en-AU"/>
              </w:rPr>
            </w:pPr>
            <w:r w:rsidRPr="00CB6A7D">
              <w:rPr>
                <w:rFonts w:ascii="Calibri" w:hAnsi="Calibri" w:cs="Calibri"/>
                <w:color w:val="000000"/>
                <w:sz w:val="16"/>
                <w:szCs w:val="16"/>
                <w:lang w:eastAsia="en-AU"/>
              </w:rPr>
              <w:t>2010-11</w:t>
            </w:r>
          </w:p>
        </w:tc>
        <w:tc>
          <w:tcPr>
            <w:tcW w:w="1120" w:type="dxa"/>
            <w:tcBorders>
              <w:top w:val="single" w:sz="4" w:space="0" w:color="auto"/>
              <w:left w:val="nil"/>
              <w:bottom w:val="single" w:sz="4" w:space="0" w:color="auto"/>
              <w:right w:val="single" w:sz="4" w:space="0" w:color="auto"/>
            </w:tcBorders>
            <w:shd w:val="clear" w:color="000000" w:fill="D8D8D8"/>
            <w:noWrap/>
            <w:vAlign w:val="center"/>
            <w:hideMark/>
          </w:tcPr>
          <w:p w:rsidR="00CB6A7D" w:rsidRPr="00CB6A7D" w:rsidRDefault="00CB6A7D" w:rsidP="00CB6A7D">
            <w:pPr>
              <w:jc w:val="center"/>
              <w:rPr>
                <w:rFonts w:ascii="Calibri" w:hAnsi="Calibri" w:cs="Calibri"/>
                <w:color w:val="000000"/>
                <w:sz w:val="16"/>
                <w:szCs w:val="16"/>
                <w:lang w:eastAsia="en-AU"/>
              </w:rPr>
            </w:pPr>
            <w:r w:rsidRPr="00CB6A7D">
              <w:rPr>
                <w:rFonts w:ascii="Calibri" w:hAnsi="Calibri" w:cs="Calibri"/>
                <w:color w:val="000000"/>
                <w:sz w:val="16"/>
                <w:szCs w:val="16"/>
                <w:lang w:eastAsia="en-AU"/>
              </w:rPr>
              <w:t>2009-10</w:t>
            </w:r>
          </w:p>
        </w:tc>
        <w:tc>
          <w:tcPr>
            <w:tcW w:w="1120" w:type="dxa"/>
            <w:tcBorders>
              <w:top w:val="single" w:sz="4" w:space="0" w:color="auto"/>
              <w:left w:val="nil"/>
              <w:bottom w:val="single" w:sz="4" w:space="0" w:color="auto"/>
              <w:right w:val="single" w:sz="4" w:space="0" w:color="auto"/>
            </w:tcBorders>
            <w:shd w:val="clear" w:color="000000" w:fill="D8D8D8"/>
            <w:noWrap/>
            <w:vAlign w:val="center"/>
            <w:hideMark/>
          </w:tcPr>
          <w:p w:rsidR="00CB6A7D" w:rsidRPr="00CB6A7D" w:rsidRDefault="00CB6A7D" w:rsidP="00CB6A7D">
            <w:pPr>
              <w:jc w:val="center"/>
              <w:rPr>
                <w:rFonts w:ascii="Calibri" w:hAnsi="Calibri" w:cs="Calibri"/>
                <w:color w:val="000000"/>
                <w:sz w:val="16"/>
                <w:szCs w:val="16"/>
                <w:lang w:eastAsia="en-AU"/>
              </w:rPr>
            </w:pPr>
            <w:r w:rsidRPr="00CB6A7D">
              <w:rPr>
                <w:rFonts w:ascii="Calibri" w:hAnsi="Calibri" w:cs="Calibri"/>
                <w:color w:val="000000"/>
                <w:sz w:val="16"/>
                <w:szCs w:val="16"/>
                <w:lang w:eastAsia="en-AU"/>
              </w:rPr>
              <w:t>2008-09</w:t>
            </w:r>
          </w:p>
        </w:tc>
      </w:tr>
      <w:tr w:rsidR="00CB6A7D" w:rsidRPr="00CB6A7D" w:rsidTr="00CB6A7D">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B6A7D" w:rsidRPr="00CB6A7D" w:rsidRDefault="00CB6A7D" w:rsidP="00CB6A7D">
            <w:pPr>
              <w:rPr>
                <w:rFonts w:ascii="Calibri" w:hAnsi="Calibri" w:cs="Calibri"/>
                <w:color w:val="000000"/>
                <w:sz w:val="16"/>
                <w:szCs w:val="16"/>
                <w:lang w:eastAsia="en-AU"/>
              </w:rPr>
            </w:pPr>
            <w:r w:rsidRPr="00CB6A7D">
              <w:rPr>
                <w:rFonts w:ascii="Calibri" w:hAnsi="Calibri" w:cs="Calibri"/>
                <w:color w:val="000000"/>
                <w:sz w:val="16"/>
                <w:szCs w:val="16"/>
                <w:lang w:eastAsia="en-AU"/>
              </w:rPr>
              <w:t>Percentage by which the conversion factor over or under estimates the weight of imports</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B6A7D" w:rsidRPr="00CB6A7D" w:rsidRDefault="00CB6A7D" w:rsidP="00CB6A7D">
            <w:pPr>
              <w:jc w:val="center"/>
              <w:rPr>
                <w:rFonts w:ascii="Calibri" w:hAnsi="Calibri" w:cs="Calibri"/>
                <w:color w:val="000000"/>
                <w:sz w:val="16"/>
                <w:szCs w:val="16"/>
                <w:lang w:eastAsia="en-AU"/>
              </w:rPr>
            </w:pPr>
            <w:r w:rsidRPr="00CB6A7D">
              <w:rPr>
                <w:rFonts w:ascii="Calibri" w:hAnsi="Calibri" w:cs="Calibri"/>
                <w:color w:val="000000"/>
                <w:sz w:val="16"/>
                <w:szCs w:val="16"/>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rsidR="00CB6A7D" w:rsidRPr="00CB6A7D" w:rsidRDefault="00CB6A7D" w:rsidP="00CB6A7D">
            <w:pPr>
              <w:jc w:val="center"/>
              <w:rPr>
                <w:rFonts w:ascii="Calibri" w:hAnsi="Calibri" w:cs="Calibri"/>
                <w:color w:val="000000"/>
                <w:sz w:val="16"/>
                <w:szCs w:val="16"/>
                <w:lang w:eastAsia="en-AU"/>
              </w:rPr>
            </w:pPr>
            <w:r w:rsidRPr="00CB6A7D">
              <w:rPr>
                <w:rFonts w:ascii="Calibri" w:hAnsi="Calibri" w:cs="Calibri"/>
                <w:color w:val="000000"/>
                <w:sz w:val="16"/>
                <w:szCs w:val="16"/>
                <w:lang w:eastAsia="en-AU"/>
              </w:rPr>
              <w:t>-40%</w:t>
            </w:r>
          </w:p>
        </w:tc>
        <w:tc>
          <w:tcPr>
            <w:tcW w:w="1120" w:type="dxa"/>
            <w:tcBorders>
              <w:top w:val="nil"/>
              <w:left w:val="nil"/>
              <w:bottom w:val="single" w:sz="4" w:space="0" w:color="auto"/>
              <w:right w:val="single" w:sz="4" w:space="0" w:color="auto"/>
            </w:tcBorders>
            <w:shd w:val="clear" w:color="auto" w:fill="auto"/>
            <w:noWrap/>
            <w:vAlign w:val="center"/>
            <w:hideMark/>
          </w:tcPr>
          <w:p w:rsidR="00CB6A7D" w:rsidRPr="00CB6A7D" w:rsidRDefault="00CB6A7D" w:rsidP="00CB6A7D">
            <w:pPr>
              <w:jc w:val="center"/>
              <w:rPr>
                <w:rFonts w:ascii="Calibri" w:hAnsi="Calibri" w:cs="Calibri"/>
                <w:color w:val="000000"/>
                <w:sz w:val="16"/>
                <w:szCs w:val="16"/>
                <w:lang w:eastAsia="en-AU"/>
              </w:rPr>
            </w:pPr>
            <w:r w:rsidRPr="00CB6A7D">
              <w:rPr>
                <w:rFonts w:ascii="Calibri" w:hAnsi="Calibri" w:cs="Calibri"/>
                <w:color w:val="000000"/>
                <w:sz w:val="16"/>
                <w:szCs w:val="16"/>
                <w:lang w:eastAsia="en-AU"/>
              </w:rPr>
              <w:t>-14%</w:t>
            </w:r>
          </w:p>
        </w:tc>
      </w:tr>
    </w:tbl>
    <w:p w:rsidR="00F56846" w:rsidRDefault="00F56846" w:rsidP="005D1179">
      <w:pPr>
        <w:jc w:val="both"/>
        <w:rPr>
          <w:szCs w:val="22"/>
        </w:rPr>
      </w:pPr>
    </w:p>
    <w:p w:rsidR="00F56846" w:rsidRDefault="00F56846" w:rsidP="005D1179">
      <w:pPr>
        <w:jc w:val="both"/>
        <w:rPr>
          <w:szCs w:val="22"/>
        </w:rPr>
      </w:pPr>
    </w:p>
    <w:p w:rsidR="001A78F2" w:rsidRDefault="00F56846">
      <w:pPr>
        <w:rPr>
          <w:szCs w:val="22"/>
        </w:rPr>
      </w:pPr>
      <w:r w:rsidRPr="005A3097">
        <w:rPr>
          <w:b/>
          <w:szCs w:val="22"/>
        </w:rPr>
        <w:t>Distribution:</w:t>
      </w:r>
      <w:r>
        <w:rPr>
          <w:b/>
          <w:szCs w:val="22"/>
        </w:rPr>
        <w:t xml:space="preserve"> </w:t>
      </w:r>
      <w:r w:rsidR="00334B04">
        <w:rPr>
          <w:szCs w:val="22"/>
        </w:rPr>
        <w:t>Moderate</w:t>
      </w:r>
      <w:r>
        <w:rPr>
          <w:szCs w:val="22"/>
        </w:rPr>
        <w:t xml:space="preserve"> degree of </w:t>
      </w:r>
      <w:r w:rsidR="00C62346">
        <w:rPr>
          <w:szCs w:val="22"/>
        </w:rPr>
        <w:t>variation</w:t>
      </w:r>
      <w:r>
        <w:rPr>
          <w:szCs w:val="22"/>
        </w:rPr>
        <w:t xml:space="preserve"> across weight groups, </w:t>
      </w:r>
      <w:r w:rsidR="00334B04">
        <w:rPr>
          <w:szCs w:val="22"/>
        </w:rPr>
        <w:t>vast majority between 0-10</w:t>
      </w:r>
      <w:r>
        <w:rPr>
          <w:szCs w:val="22"/>
        </w:rPr>
        <w:t xml:space="preserve"> kg</w:t>
      </w:r>
      <w:r w:rsidR="00334B04">
        <w:rPr>
          <w:szCs w:val="22"/>
        </w:rPr>
        <w:t xml:space="preserve"> and </w:t>
      </w:r>
      <w:r w:rsidR="00304B14">
        <w:rPr>
          <w:szCs w:val="22"/>
        </w:rPr>
        <w:t>approximately</w:t>
      </w:r>
      <w:r w:rsidR="00334B04">
        <w:rPr>
          <w:szCs w:val="22"/>
        </w:rPr>
        <w:t xml:space="preserve"> 1 unit representing each 10 kg weight group up to and including the &gt; 200 kg group.</w:t>
      </w:r>
      <w:r w:rsidR="00A90A8F">
        <w:rPr>
          <w:szCs w:val="22"/>
        </w:rPr>
        <w:t xml:space="preserve"> </w:t>
      </w:r>
      <w:r w:rsidR="00AD48DA">
        <w:rPr>
          <w:szCs w:val="22"/>
        </w:rPr>
        <w:t>An outlier at 2,700 tonnes (1 unit imported) has been excluded despite having an insignificant effect on the weighted average mean.</w:t>
      </w:r>
    </w:p>
    <w:p w:rsidR="001A78F2" w:rsidRDefault="00F56846">
      <w:pPr>
        <w:rPr>
          <w:szCs w:val="22"/>
        </w:rPr>
      </w:pPr>
      <w:r>
        <w:rPr>
          <w:b/>
          <w:szCs w:val="22"/>
        </w:rPr>
        <w:t xml:space="preserve">Proposed conversion factor: </w:t>
      </w:r>
      <w:r>
        <w:rPr>
          <w:szCs w:val="22"/>
        </w:rPr>
        <w:t>8</w:t>
      </w:r>
      <w:r w:rsidR="00DF33E8">
        <w:rPr>
          <w:szCs w:val="22"/>
        </w:rPr>
        <w:t>.3</w:t>
      </w:r>
      <w:r>
        <w:rPr>
          <w:szCs w:val="22"/>
        </w:rPr>
        <w:t xml:space="preserve"> kg.</w:t>
      </w:r>
    </w:p>
    <w:p w:rsidR="001A78F2" w:rsidRDefault="00F56846">
      <w:pPr>
        <w:rPr>
          <w:szCs w:val="22"/>
        </w:rPr>
      </w:pPr>
      <w:r>
        <w:rPr>
          <w:b/>
          <w:szCs w:val="22"/>
        </w:rPr>
        <w:t xml:space="preserve">Proposed confidence interval: </w:t>
      </w:r>
      <w:r>
        <w:rPr>
          <w:szCs w:val="22"/>
        </w:rPr>
        <w:t xml:space="preserve"> &gt; 2 kg, &lt; 232.9 kg to represent </w:t>
      </w:r>
      <w:r w:rsidR="00C62346">
        <w:rPr>
          <w:szCs w:val="22"/>
        </w:rPr>
        <w:t>variation</w:t>
      </w:r>
    </w:p>
    <w:p w:rsidR="00A90A8F" w:rsidRDefault="00C62346">
      <w:pPr>
        <w:rPr>
          <w:szCs w:val="22"/>
        </w:rPr>
      </w:pPr>
      <w:r>
        <w:rPr>
          <w:b/>
          <w:szCs w:val="22"/>
        </w:rPr>
        <w:t xml:space="preserve">Variation over time: </w:t>
      </w:r>
      <w:r w:rsidR="00D618EE">
        <w:rPr>
          <w:szCs w:val="22"/>
        </w:rPr>
        <w:t>High</w:t>
      </w:r>
    </w:p>
    <w:p w:rsidR="00A90A8F" w:rsidRDefault="00A90A8F">
      <w:pPr>
        <w:rPr>
          <w:szCs w:val="22"/>
        </w:rPr>
      </w:pPr>
      <w:r>
        <w:rPr>
          <w:szCs w:val="22"/>
        </w:rPr>
        <w:br w:type="page"/>
      </w:r>
    </w:p>
    <w:p w:rsidR="001A78F2" w:rsidRDefault="00A90A8F">
      <w:pPr>
        <w:rPr>
          <w:rFonts w:ascii="Arial" w:hAnsi="Arial" w:cs="Arial"/>
          <w:b/>
          <w:bCs/>
          <w:color w:val="000000"/>
          <w:szCs w:val="22"/>
          <w:lang w:eastAsia="en-AU"/>
        </w:rPr>
      </w:pPr>
      <w:r w:rsidRPr="00F56846">
        <w:rPr>
          <w:rFonts w:ascii="Arial" w:hAnsi="Arial" w:cs="Arial"/>
          <w:b/>
          <w:bCs/>
          <w:color w:val="000000"/>
          <w:szCs w:val="22"/>
          <w:lang w:eastAsia="en-AU"/>
        </w:rPr>
        <w:t>SC07 8443.32.00 72 - PDPs: Dot matrix</w:t>
      </w:r>
    </w:p>
    <w:p w:rsidR="004360E0" w:rsidRDefault="004360E0">
      <w:pPr>
        <w:rPr>
          <w:rFonts w:ascii="Arial" w:hAnsi="Arial" w:cs="Arial"/>
          <w:b/>
          <w:bCs/>
          <w:color w:val="000000"/>
          <w:szCs w:val="22"/>
          <w:lang w:eastAsia="en-AU"/>
        </w:rPr>
      </w:pPr>
    </w:p>
    <w:p w:rsidR="009C1547" w:rsidRPr="004360E0" w:rsidRDefault="002652C5" w:rsidP="004360E0">
      <w:pPr>
        <w:pStyle w:val="Caption"/>
        <w:keepNext/>
      </w:pPr>
      <w:r>
        <w:t xml:space="preserve">Figure </w:t>
      </w:r>
      <w:r w:rsidR="007118B4">
        <w:t>5-8</w:t>
      </w:r>
      <w:r>
        <w:t xml:space="preserve">    </w:t>
      </w:r>
      <w:r w:rsidR="004360E0">
        <w:t xml:space="preserve"> </w:t>
      </w:r>
      <w:r w:rsidR="00AC1355">
        <w:t>HTISC frequency distribution in CF year</w:t>
      </w:r>
    </w:p>
    <w:p w:rsidR="009C1547" w:rsidRDefault="009C1547">
      <w:pPr>
        <w:rPr>
          <w:rFonts w:ascii="Arial" w:hAnsi="Arial" w:cs="Arial"/>
          <w:b/>
          <w:bCs/>
          <w:color w:val="000000"/>
          <w:szCs w:val="22"/>
          <w:lang w:eastAsia="en-AU"/>
        </w:rPr>
      </w:pPr>
      <w:r w:rsidRPr="009C1547">
        <w:rPr>
          <w:rFonts w:ascii="Arial" w:hAnsi="Arial" w:cs="Arial"/>
          <w:b/>
          <w:bCs/>
          <w:noProof/>
          <w:color w:val="000000"/>
          <w:szCs w:val="22"/>
          <w:lang w:eastAsia="en-AU"/>
        </w:rPr>
        <w:drawing>
          <wp:inline distT="0" distB="0" distL="0" distR="0">
            <wp:extent cx="4889500" cy="2984500"/>
            <wp:effectExtent l="19050" t="0" r="25400" b="6350"/>
            <wp:docPr id="29"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C1547" w:rsidRDefault="009C1547">
      <w:pPr>
        <w:rPr>
          <w:szCs w:val="22"/>
        </w:rPr>
      </w:pPr>
    </w:p>
    <w:p w:rsidR="00CC616F" w:rsidRDefault="00CC616F">
      <w:pPr>
        <w:rPr>
          <w:szCs w:val="22"/>
        </w:rPr>
      </w:pPr>
    </w:p>
    <w:p w:rsidR="00D73340" w:rsidRDefault="00D73340" w:rsidP="00D73340">
      <w:pPr>
        <w:pStyle w:val="Caption"/>
      </w:pPr>
    </w:p>
    <w:p w:rsidR="001E0B4D" w:rsidRPr="00D73340" w:rsidRDefault="00207129" w:rsidP="00D73340">
      <w:pPr>
        <w:pStyle w:val="Caption"/>
      </w:pPr>
      <w:r>
        <w:t xml:space="preserve">Table 5-6   </w:t>
      </w:r>
      <w:r w:rsidR="00D73340">
        <w:t>Conversion factor statistics</w:t>
      </w:r>
    </w:p>
    <w:tbl>
      <w:tblPr>
        <w:tblW w:w="7260" w:type="dxa"/>
        <w:tblInd w:w="95" w:type="dxa"/>
        <w:tblLook w:val="04A0"/>
      </w:tblPr>
      <w:tblGrid>
        <w:gridCol w:w="1660"/>
        <w:gridCol w:w="1120"/>
        <w:gridCol w:w="1120"/>
        <w:gridCol w:w="1120"/>
        <w:gridCol w:w="1120"/>
        <w:gridCol w:w="1120"/>
      </w:tblGrid>
      <w:tr w:rsidR="00F56846" w:rsidRPr="00F56846">
        <w:trPr>
          <w:trHeight w:val="450"/>
        </w:trPr>
        <w:tc>
          <w:tcPr>
            <w:tcW w:w="1660" w:type="dxa"/>
            <w:tcBorders>
              <w:top w:val="single" w:sz="4" w:space="0" w:color="auto"/>
              <w:left w:val="single" w:sz="4" w:space="0" w:color="auto"/>
              <w:bottom w:val="single" w:sz="4" w:space="0" w:color="auto"/>
              <w:right w:val="single" w:sz="4" w:space="0" w:color="auto"/>
            </w:tcBorders>
            <w:shd w:val="clear" w:color="000000" w:fill="D8D8D8"/>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CF year</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No. of ABS imports</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 ABS imports included</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Min weight</w:t>
            </w:r>
            <w:r w:rsidRPr="00F56846">
              <w:rPr>
                <w:rFonts w:ascii="Calibri" w:hAnsi="Calibri" w:cs="Calibri"/>
                <w:color w:val="000000"/>
                <w:sz w:val="16"/>
                <w:szCs w:val="16"/>
                <w:lang w:eastAsia="en-AU"/>
              </w:rPr>
              <w:br/>
              <w:t>(kg)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Max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Standard deviation</w:t>
            </w:r>
          </w:p>
        </w:tc>
      </w:tr>
      <w:tr w:rsidR="00F56846" w:rsidRPr="00F56846">
        <w:trPr>
          <w:trHeight w:val="225"/>
        </w:trPr>
        <w:tc>
          <w:tcPr>
            <w:tcW w:w="1660" w:type="dxa"/>
            <w:tcBorders>
              <w:top w:val="nil"/>
              <w:left w:val="single" w:sz="4" w:space="0" w:color="auto"/>
              <w:bottom w:val="single" w:sz="4" w:space="0" w:color="auto"/>
              <w:right w:val="single" w:sz="4" w:space="0" w:color="auto"/>
            </w:tcBorders>
            <w:shd w:val="clear" w:color="auto" w:fill="auto"/>
            <w:noWrap/>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2010-11</w:t>
            </w:r>
          </w:p>
        </w:tc>
        <w:tc>
          <w:tcPr>
            <w:tcW w:w="1120" w:type="dxa"/>
            <w:tcBorders>
              <w:top w:val="nil"/>
              <w:left w:val="nil"/>
              <w:bottom w:val="single" w:sz="4" w:space="0" w:color="auto"/>
              <w:right w:val="single" w:sz="4" w:space="0" w:color="auto"/>
            </w:tcBorders>
            <w:shd w:val="clear" w:color="auto" w:fill="auto"/>
            <w:noWrap/>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9,922</w:t>
            </w:r>
          </w:p>
        </w:tc>
        <w:tc>
          <w:tcPr>
            <w:tcW w:w="1120" w:type="dxa"/>
            <w:tcBorders>
              <w:top w:val="nil"/>
              <w:left w:val="nil"/>
              <w:bottom w:val="single" w:sz="4" w:space="0" w:color="auto"/>
              <w:right w:val="single" w:sz="4" w:space="0" w:color="auto"/>
            </w:tcBorders>
            <w:shd w:val="clear" w:color="auto" w:fill="auto"/>
            <w:noWrap/>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17%</w:t>
            </w:r>
          </w:p>
        </w:tc>
        <w:tc>
          <w:tcPr>
            <w:tcW w:w="1120" w:type="dxa"/>
            <w:tcBorders>
              <w:top w:val="nil"/>
              <w:left w:val="nil"/>
              <w:bottom w:val="single" w:sz="4" w:space="0" w:color="auto"/>
              <w:right w:val="single" w:sz="4" w:space="0" w:color="auto"/>
            </w:tcBorders>
            <w:shd w:val="clear" w:color="auto" w:fill="auto"/>
            <w:noWrap/>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2</w:t>
            </w:r>
          </w:p>
        </w:tc>
        <w:tc>
          <w:tcPr>
            <w:tcW w:w="1120" w:type="dxa"/>
            <w:tcBorders>
              <w:top w:val="nil"/>
              <w:left w:val="nil"/>
              <w:bottom w:val="single" w:sz="4" w:space="0" w:color="auto"/>
              <w:right w:val="single" w:sz="4" w:space="0" w:color="auto"/>
            </w:tcBorders>
            <w:shd w:val="clear" w:color="auto" w:fill="auto"/>
            <w:noWrap/>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35.0</w:t>
            </w:r>
          </w:p>
        </w:tc>
        <w:tc>
          <w:tcPr>
            <w:tcW w:w="1120" w:type="dxa"/>
            <w:tcBorders>
              <w:top w:val="nil"/>
              <w:left w:val="nil"/>
              <w:bottom w:val="single" w:sz="4" w:space="0" w:color="auto"/>
              <w:right w:val="single" w:sz="4" w:space="0" w:color="auto"/>
            </w:tcBorders>
            <w:shd w:val="clear" w:color="auto" w:fill="auto"/>
            <w:noWrap/>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0.6</w:t>
            </w:r>
          </w:p>
        </w:tc>
      </w:tr>
      <w:tr w:rsidR="00F56846" w:rsidRPr="00F56846">
        <w:trPr>
          <w:trHeight w:val="225"/>
        </w:trPr>
        <w:tc>
          <w:tcPr>
            <w:tcW w:w="1660" w:type="dxa"/>
            <w:tcBorders>
              <w:top w:val="nil"/>
              <w:left w:val="nil"/>
              <w:bottom w:val="nil"/>
              <w:right w:val="nil"/>
            </w:tcBorders>
            <w:shd w:val="clear" w:color="auto" w:fill="auto"/>
            <w:noWrap/>
            <w:vAlign w:val="bottom"/>
          </w:tcPr>
          <w:p w:rsidR="00F56846" w:rsidRPr="00F56846" w:rsidRDefault="00F56846" w:rsidP="00F56846">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F56846" w:rsidRPr="00F56846" w:rsidRDefault="00F56846" w:rsidP="00F56846">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F56846" w:rsidRPr="00F56846" w:rsidRDefault="00F56846" w:rsidP="00F56846">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F56846" w:rsidRPr="00F56846" w:rsidRDefault="00F56846" w:rsidP="00F56846">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F56846" w:rsidRPr="00F56846" w:rsidRDefault="00F56846" w:rsidP="00F56846">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F56846" w:rsidRPr="00F56846" w:rsidRDefault="00F56846" w:rsidP="00F56846">
            <w:pPr>
              <w:rPr>
                <w:rFonts w:ascii="Calibri" w:hAnsi="Calibri" w:cs="Calibri"/>
                <w:color w:val="000000"/>
                <w:sz w:val="16"/>
                <w:szCs w:val="16"/>
                <w:lang w:eastAsia="en-AU"/>
              </w:rPr>
            </w:pPr>
          </w:p>
        </w:tc>
      </w:tr>
      <w:tr w:rsidR="00F56846" w:rsidRPr="00F56846">
        <w:trPr>
          <w:trHeight w:val="450"/>
        </w:trPr>
        <w:tc>
          <w:tcPr>
            <w:tcW w:w="1660" w:type="dxa"/>
            <w:tcBorders>
              <w:top w:val="single" w:sz="4" w:space="0" w:color="auto"/>
              <w:left w:val="single" w:sz="4" w:space="0" w:color="auto"/>
              <w:bottom w:val="nil"/>
              <w:right w:val="single" w:sz="4" w:space="0" w:color="auto"/>
            </w:tcBorders>
            <w:shd w:val="clear" w:color="000000" w:fill="D8D8D8"/>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Method</w:t>
            </w:r>
          </w:p>
        </w:tc>
        <w:tc>
          <w:tcPr>
            <w:tcW w:w="1120" w:type="dxa"/>
            <w:tcBorders>
              <w:top w:val="single" w:sz="4" w:space="0" w:color="auto"/>
              <w:left w:val="nil"/>
              <w:bottom w:val="nil"/>
              <w:right w:val="single" w:sz="4" w:space="0" w:color="auto"/>
            </w:tcBorders>
            <w:shd w:val="clear" w:color="000000" w:fill="D8D8D8"/>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Measure of average</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Average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Lower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Upper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Confidence interval ± (kg)</w:t>
            </w:r>
          </w:p>
        </w:tc>
      </w:tr>
      <w:tr w:rsidR="00F56846" w:rsidRPr="00F56846">
        <w:trPr>
          <w:trHeight w:val="48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Approximation to the normal distribution</w:t>
            </w:r>
          </w:p>
        </w:tc>
        <w:tc>
          <w:tcPr>
            <w:tcW w:w="1120" w:type="dxa"/>
            <w:tcBorders>
              <w:top w:val="single" w:sz="4" w:space="0" w:color="auto"/>
              <w:left w:val="nil"/>
              <w:bottom w:val="single" w:sz="4" w:space="0" w:color="auto"/>
              <w:right w:val="single" w:sz="4" w:space="0" w:color="auto"/>
            </w:tcBorders>
            <w:shd w:val="clear" w:color="auto" w:fill="auto"/>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Mean</w:t>
            </w:r>
          </w:p>
        </w:tc>
        <w:tc>
          <w:tcPr>
            <w:tcW w:w="1120" w:type="dxa"/>
            <w:tcBorders>
              <w:top w:val="nil"/>
              <w:left w:val="nil"/>
              <w:bottom w:val="single" w:sz="4" w:space="0" w:color="auto"/>
              <w:right w:val="single" w:sz="4" w:space="0" w:color="auto"/>
            </w:tcBorders>
            <w:shd w:val="clear" w:color="auto" w:fill="auto"/>
            <w:noWrap/>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8.3</w:t>
            </w:r>
          </w:p>
        </w:tc>
        <w:tc>
          <w:tcPr>
            <w:tcW w:w="1120" w:type="dxa"/>
            <w:tcBorders>
              <w:top w:val="nil"/>
              <w:left w:val="nil"/>
              <w:bottom w:val="single" w:sz="4" w:space="0" w:color="auto"/>
              <w:right w:val="single" w:sz="4" w:space="0" w:color="auto"/>
            </w:tcBorders>
            <w:shd w:val="clear" w:color="auto" w:fill="auto"/>
            <w:noWrap/>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7.2</w:t>
            </w:r>
          </w:p>
        </w:tc>
        <w:tc>
          <w:tcPr>
            <w:tcW w:w="1120" w:type="dxa"/>
            <w:tcBorders>
              <w:top w:val="nil"/>
              <w:left w:val="nil"/>
              <w:bottom w:val="single" w:sz="4" w:space="0" w:color="auto"/>
              <w:right w:val="single" w:sz="4" w:space="0" w:color="auto"/>
            </w:tcBorders>
            <w:shd w:val="clear" w:color="auto" w:fill="auto"/>
            <w:noWrap/>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9.5</w:t>
            </w:r>
          </w:p>
        </w:tc>
        <w:tc>
          <w:tcPr>
            <w:tcW w:w="1120" w:type="dxa"/>
            <w:tcBorders>
              <w:top w:val="nil"/>
              <w:left w:val="nil"/>
              <w:bottom w:val="single" w:sz="4" w:space="0" w:color="auto"/>
              <w:right w:val="single" w:sz="4" w:space="0" w:color="auto"/>
            </w:tcBorders>
            <w:shd w:val="clear" w:color="auto" w:fill="auto"/>
            <w:noWrap/>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1.1</w:t>
            </w:r>
          </w:p>
        </w:tc>
      </w:tr>
      <w:tr w:rsidR="00F56846" w:rsidRPr="00F56846">
        <w:trPr>
          <w:trHeight w:val="480"/>
        </w:trPr>
        <w:tc>
          <w:tcPr>
            <w:tcW w:w="1660" w:type="dxa"/>
            <w:tcBorders>
              <w:top w:val="nil"/>
              <w:left w:val="single" w:sz="4" w:space="0" w:color="auto"/>
              <w:bottom w:val="single" w:sz="4" w:space="0" w:color="auto"/>
              <w:right w:val="single" w:sz="4" w:space="0" w:color="auto"/>
            </w:tcBorders>
            <w:shd w:val="clear" w:color="auto" w:fill="auto"/>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Use of percentiles</w:t>
            </w:r>
          </w:p>
        </w:tc>
        <w:tc>
          <w:tcPr>
            <w:tcW w:w="1120" w:type="dxa"/>
            <w:tcBorders>
              <w:top w:val="nil"/>
              <w:left w:val="nil"/>
              <w:bottom w:val="single" w:sz="4" w:space="0" w:color="auto"/>
              <w:right w:val="single" w:sz="4" w:space="0" w:color="auto"/>
            </w:tcBorders>
            <w:shd w:val="clear" w:color="auto" w:fill="auto"/>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Median</w:t>
            </w:r>
          </w:p>
        </w:tc>
        <w:tc>
          <w:tcPr>
            <w:tcW w:w="1120" w:type="dxa"/>
            <w:tcBorders>
              <w:top w:val="nil"/>
              <w:left w:val="nil"/>
              <w:bottom w:val="single" w:sz="4" w:space="0" w:color="auto"/>
              <w:right w:val="single" w:sz="4" w:space="0" w:color="auto"/>
            </w:tcBorders>
            <w:shd w:val="clear" w:color="auto" w:fill="auto"/>
            <w:noWrap/>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9.2</w:t>
            </w:r>
          </w:p>
        </w:tc>
        <w:tc>
          <w:tcPr>
            <w:tcW w:w="1120" w:type="dxa"/>
            <w:tcBorders>
              <w:top w:val="nil"/>
              <w:left w:val="nil"/>
              <w:bottom w:val="single" w:sz="4" w:space="0" w:color="auto"/>
              <w:right w:val="single" w:sz="4" w:space="0" w:color="auto"/>
            </w:tcBorders>
            <w:shd w:val="clear" w:color="auto" w:fill="auto"/>
            <w:noWrap/>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2.2</w:t>
            </w:r>
          </w:p>
        </w:tc>
        <w:tc>
          <w:tcPr>
            <w:tcW w:w="1120" w:type="dxa"/>
            <w:tcBorders>
              <w:top w:val="nil"/>
              <w:left w:val="nil"/>
              <w:bottom w:val="single" w:sz="4" w:space="0" w:color="auto"/>
              <w:right w:val="single" w:sz="4" w:space="0" w:color="auto"/>
            </w:tcBorders>
            <w:shd w:val="clear" w:color="auto" w:fill="auto"/>
            <w:noWrap/>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31.6</w:t>
            </w:r>
          </w:p>
        </w:tc>
        <w:tc>
          <w:tcPr>
            <w:tcW w:w="1120" w:type="dxa"/>
            <w:tcBorders>
              <w:top w:val="nil"/>
              <w:left w:val="nil"/>
              <w:bottom w:val="single" w:sz="4" w:space="0" w:color="auto"/>
              <w:right w:val="single" w:sz="4" w:space="0" w:color="auto"/>
            </w:tcBorders>
            <w:shd w:val="clear" w:color="auto" w:fill="auto"/>
            <w:noWrap/>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22.5</w:t>
            </w:r>
          </w:p>
        </w:tc>
      </w:tr>
      <w:tr w:rsidR="00F56846" w:rsidRPr="00F56846">
        <w:trPr>
          <w:trHeight w:val="225"/>
        </w:trPr>
        <w:tc>
          <w:tcPr>
            <w:tcW w:w="1660" w:type="dxa"/>
            <w:tcBorders>
              <w:top w:val="nil"/>
              <w:left w:val="nil"/>
              <w:bottom w:val="nil"/>
              <w:right w:val="nil"/>
            </w:tcBorders>
            <w:shd w:val="clear" w:color="auto" w:fill="auto"/>
            <w:noWrap/>
            <w:vAlign w:val="bottom"/>
          </w:tcPr>
          <w:p w:rsidR="00F56846" w:rsidRPr="00F56846" w:rsidRDefault="00F56846" w:rsidP="00F56846">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F56846" w:rsidRPr="00F56846" w:rsidRDefault="00F56846" w:rsidP="00F56846">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F56846" w:rsidRPr="00F56846" w:rsidRDefault="00F56846" w:rsidP="00F56846">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F56846" w:rsidRPr="00F56846" w:rsidRDefault="00F56846" w:rsidP="00F56846">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F56846" w:rsidRPr="00F56846" w:rsidRDefault="00F56846" w:rsidP="00F56846">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F56846" w:rsidRPr="00F56846" w:rsidRDefault="00F56846" w:rsidP="00F56846">
            <w:pPr>
              <w:rPr>
                <w:rFonts w:ascii="Calibri" w:hAnsi="Calibri" w:cs="Calibri"/>
                <w:color w:val="000000"/>
                <w:sz w:val="16"/>
                <w:szCs w:val="16"/>
                <w:lang w:eastAsia="en-AU"/>
              </w:rPr>
            </w:pPr>
          </w:p>
        </w:tc>
      </w:tr>
      <w:tr w:rsidR="00F56846" w:rsidRPr="00F56846">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tcPr>
          <w:p w:rsidR="00F56846" w:rsidRPr="00F56846" w:rsidRDefault="00F56846" w:rsidP="00F56846">
            <w:pPr>
              <w:rPr>
                <w:rFonts w:ascii="Calibri" w:hAnsi="Calibri" w:cs="Calibri"/>
                <w:color w:val="000000"/>
                <w:sz w:val="16"/>
                <w:szCs w:val="16"/>
                <w:lang w:eastAsia="en-AU"/>
              </w:rPr>
            </w:pPr>
            <w:r w:rsidRPr="00F56846">
              <w:rPr>
                <w:rFonts w:ascii="Calibri" w:hAnsi="Calibri" w:cs="Calibri"/>
                <w:color w:val="000000"/>
                <w:sz w:val="16"/>
                <w:szCs w:val="16"/>
                <w:lang w:eastAsia="en-AU"/>
              </w:rPr>
              <w:t>Year</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2010-11</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2009-10</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2008-09</w:t>
            </w:r>
          </w:p>
        </w:tc>
      </w:tr>
      <w:tr w:rsidR="00A90A8F" w:rsidRPr="00F56846">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90A8F" w:rsidRPr="00F56846" w:rsidRDefault="00A90A8F" w:rsidP="00F56846">
            <w:pPr>
              <w:rPr>
                <w:rFonts w:ascii="Calibri" w:hAnsi="Calibri" w:cs="Calibri"/>
                <w:color w:val="000000"/>
                <w:sz w:val="16"/>
                <w:szCs w:val="16"/>
                <w:lang w:eastAsia="en-AU"/>
              </w:rPr>
            </w:pPr>
            <w:r w:rsidRPr="00CB6A7D">
              <w:rPr>
                <w:rFonts w:ascii="Calibri" w:hAnsi="Calibri" w:cs="Calibri"/>
                <w:color w:val="000000"/>
                <w:sz w:val="16"/>
                <w:szCs w:val="16"/>
                <w:lang w:eastAsia="en-AU"/>
              </w:rPr>
              <w:t>Percentage by which the conversion factor over or under estimates the weight of imports</w:t>
            </w:r>
          </w:p>
        </w:tc>
        <w:tc>
          <w:tcPr>
            <w:tcW w:w="1120" w:type="dxa"/>
            <w:tcBorders>
              <w:top w:val="nil"/>
              <w:left w:val="nil"/>
              <w:bottom w:val="single" w:sz="4" w:space="0" w:color="auto"/>
              <w:right w:val="single" w:sz="4" w:space="0" w:color="auto"/>
            </w:tcBorders>
            <w:shd w:val="clear" w:color="auto" w:fill="auto"/>
            <w:noWrap/>
            <w:vAlign w:val="center"/>
          </w:tcPr>
          <w:p w:rsidR="00A90A8F" w:rsidRDefault="00A90A8F">
            <w:pPr>
              <w:jc w:val="center"/>
              <w:rPr>
                <w:rFonts w:ascii="Calibri" w:hAnsi="Calibri" w:cs="Calibri"/>
                <w:color w:val="000000"/>
                <w:sz w:val="16"/>
                <w:szCs w:val="16"/>
              </w:rPr>
            </w:pPr>
            <w:r>
              <w:rPr>
                <w:rFonts w:ascii="Calibri" w:hAnsi="Calibri" w:cs="Calibri"/>
                <w:color w:val="000000"/>
                <w:sz w:val="16"/>
                <w:szCs w:val="16"/>
              </w:rPr>
              <w:t>0%</w:t>
            </w:r>
          </w:p>
        </w:tc>
        <w:tc>
          <w:tcPr>
            <w:tcW w:w="1120" w:type="dxa"/>
            <w:tcBorders>
              <w:top w:val="nil"/>
              <w:left w:val="nil"/>
              <w:bottom w:val="single" w:sz="4" w:space="0" w:color="auto"/>
              <w:right w:val="single" w:sz="4" w:space="0" w:color="auto"/>
            </w:tcBorders>
            <w:shd w:val="clear" w:color="auto" w:fill="auto"/>
            <w:noWrap/>
            <w:vAlign w:val="center"/>
          </w:tcPr>
          <w:p w:rsidR="00A90A8F" w:rsidRDefault="00A90A8F">
            <w:pPr>
              <w:jc w:val="center"/>
              <w:rPr>
                <w:rFonts w:ascii="Calibri" w:hAnsi="Calibri" w:cs="Calibri"/>
                <w:color w:val="000000"/>
                <w:sz w:val="16"/>
                <w:szCs w:val="16"/>
              </w:rPr>
            </w:pPr>
            <w:r>
              <w:rPr>
                <w:rFonts w:ascii="Calibri" w:hAnsi="Calibri" w:cs="Calibri"/>
                <w:color w:val="000000"/>
                <w:sz w:val="16"/>
                <w:szCs w:val="16"/>
              </w:rPr>
              <w:t>16%</w:t>
            </w:r>
          </w:p>
        </w:tc>
        <w:tc>
          <w:tcPr>
            <w:tcW w:w="1120" w:type="dxa"/>
            <w:tcBorders>
              <w:top w:val="nil"/>
              <w:left w:val="nil"/>
              <w:bottom w:val="single" w:sz="4" w:space="0" w:color="auto"/>
              <w:right w:val="single" w:sz="4" w:space="0" w:color="auto"/>
            </w:tcBorders>
            <w:shd w:val="clear" w:color="auto" w:fill="auto"/>
            <w:noWrap/>
            <w:vAlign w:val="center"/>
          </w:tcPr>
          <w:p w:rsidR="00A90A8F" w:rsidRDefault="00A90A8F">
            <w:pPr>
              <w:jc w:val="center"/>
              <w:rPr>
                <w:rFonts w:ascii="Calibri" w:hAnsi="Calibri" w:cs="Calibri"/>
                <w:color w:val="000000"/>
                <w:sz w:val="16"/>
                <w:szCs w:val="16"/>
              </w:rPr>
            </w:pPr>
            <w:r>
              <w:rPr>
                <w:rFonts w:ascii="Calibri" w:hAnsi="Calibri" w:cs="Calibri"/>
                <w:color w:val="000000"/>
                <w:sz w:val="16"/>
                <w:szCs w:val="16"/>
              </w:rPr>
              <w:t>25%</w:t>
            </w:r>
          </w:p>
        </w:tc>
      </w:tr>
    </w:tbl>
    <w:p w:rsidR="00F56846" w:rsidRDefault="00F56846" w:rsidP="005D1179">
      <w:pPr>
        <w:jc w:val="both"/>
        <w:rPr>
          <w:szCs w:val="22"/>
        </w:rPr>
      </w:pPr>
    </w:p>
    <w:p w:rsidR="001A78F2" w:rsidRDefault="001E0B4D">
      <w:pPr>
        <w:rPr>
          <w:szCs w:val="22"/>
        </w:rPr>
      </w:pPr>
      <w:r w:rsidRPr="005A3097">
        <w:rPr>
          <w:b/>
          <w:szCs w:val="22"/>
        </w:rPr>
        <w:t>Distribution:</w:t>
      </w:r>
      <w:r>
        <w:rPr>
          <w:b/>
          <w:szCs w:val="22"/>
        </w:rPr>
        <w:t xml:space="preserve"> </w:t>
      </w:r>
      <w:r w:rsidR="00334B04">
        <w:rPr>
          <w:szCs w:val="22"/>
        </w:rPr>
        <w:t>Narrow</w:t>
      </w:r>
      <w:r w:rsidR="00D618EE">
        <w:rPr>
          <w:szCs w:val="22"/>
        </w:rPr>
        <w:t xml:space="preserve"> distribution</w:t>
      </w:r>
      <w:r>
        <w:rPr>
          <w:szCs w:val="22"/>
        </w:rPr>
        <w:t xml:space="preserve"> </w:t>
      </w:r>
      <w:r w:rsidR="00D618EE">
        <w:rPr>
          <w:szCs w:val="22"/>
        </w:rPr>
        <w:t>compared to other PDPs</w:t>
      </w:r>
      <w:r>
        <w:rPr>
          <w:szCs w:val="22"/>
        </w:rPr>
        <w:t xml:space="preserve">, </w:t>
      </w:r>
      <w:r w:rsidR="00304B14">
        <w:rPr>
          <w:szCs w:val="22"/>
        </w:rPr>
        <w:t xml:space="preserve">with the </w:t>
      </w:r>
      <w:r>
        <w:rPr>
          <w:szCs w:val="22"/>
        </w:rPr>
        <w:t xml:space="preserve">main cluster between </w:t>
      </w:r>
      <w:r w:rsidR="00334B04">
        <w:rPr>
          <w:szCs w:val="22"/>
        </w:rPr>
        <w:t xml:space="preserve">4 </w:t>
      </w:r>
      <w:r>
        <w:rPr>
          <w:szCs w:val="22"/>
        </w:rPr>
        <w:t xml:space="preserve">-12 </w:t>
      </w:r>
      <w:r w:rsidR="00334B04">
        <w:rPr>
          <w:szCs w:val="22"/>
        </w:rPr>
        <w:t>kg. Only</w:t>
      </w:r>
      <w:r>
        <w:rPr>
          <w:szCs w:val="22"/>
        </w:rPr>
        <w:t xml:space="preserve"> one brand report</w:t>
      </w:r>
      <w:r w:rsidR="00334B04">
        <w:rPr>
          <w:szCs w:val="22"/>
        </w:rPr>
        <w:t>ed</w:t>
      </w:r>
      <w:r>
        <w:rPr>
          <w:szCs w:val="22"/>
        </w:rPr>
        <w:t xml:space="preserve"> against this code.</w:t>
      </w:r>
    </w:p>
    <w:p w:rsidR="001A78F2" w:rsidRDefault="001E0B4D">
      <w:pPr>
        <w:rPr>
          <w:szCs w:val="22"/>
        </w:rPr>
      </w:pPr>
      <w:r>
        <w:rPr>
          <w:b/>
          <w:szCs w:val="22"/>
        </w:rPr>
        <w:t xml:space="preserve">Proposed conversion factor: </w:t>
      </w:r>
      <w:r>
        <w:rPr>
          <w:szCs w:val="22"/>
        </w:rPr>
        <w:t>8.3 kg.</w:t>
      </w:r>
    </w:p>
    <w:p w:rsidR="001A78F2" w:rsidRDefault="001E0B4D">
      <w:pPr>
        <w:rPr>
          <w:szCs w:val="22"/>
        </w:rPr>
      </w:pPr>
      <w:r>
        <w:rPr>
          <w:b/>
          <w:szCs w:val="22"/>
        </w:rPr>
        <w:t xml:space="preserve">Proposed confidence interval: </w:t>
      </w:r>
      <w:r>
        <w:rPr>
          <w:szCs w:val="22"/>
        </w:rPr>
        <w:t xml:space="preserve"> &gt; 2</w:t>
      </w:r>
      <w:r w:rsidR="00D618EE">
        <w:rPr>
          <w:szCs w:val="22"/>
        </w:rPr>
        <w:t>.2</w:t>
      </w:r>
      <w:r>
        <w:rPr>
          <w:szCs w:val="22"/>
        </w:rPr>
        <w:t xml:space="preserve"> kg, &lt; </w:t>
      </w:r>
      <w:r w:rsidR="00D618EE">
        <w:rPr>
          <w:szCs w:val="22"/>
        </w:rPr>
        <w:t>31.6</w:t>
      </w:r>
      <w:r w:rsidR="009C1547">
        <w:rPr>
          <w:szCs w:val="22"/>
        </w:rPr>
        <w:t xml:space="preserve"> kg</w:t>
      </w:r>
    </w:p>
    <w:p w:rsidR="001A78F2" w:rsidRDefault="00C62346">
      <w:pPr>
        <w:rPr>
          <w:szCs w:val="22"/>
        </w:rPr>
      </w:pPr>
      <w:r>
        <w:rPr>
          <w:b/>
          <w:szCs w:val="22"/>
        </w:rPr>
        <w:t xml:space="preserve">Variation over time: </w:t>
      </w:r>
      <w:r w:rsidR="00112A79">
        <w:rPr>
          <w:szCs w:val="22"/>
        </w:rPr>
        <w:t>High</w:t>
      </w:r>
    </w:p>
    <w:p w:rsidR="001E0B4D" w:rsidRDefault="001E0B4D" w:rsidP="005D1179">
      <w:pPr>
        <w:jc w:val="both"/>
        <w:rPr>
          <w:szCs w:val="22"/>
        </w:rPr>
      </w:pPr>
    </w:p>
    <w:p w:rsidR="001E0B4D" w:rsidRDefault="001E0B4D" w:rsidP="005D1179">
      <w:pPr>
        <w:jc w:val="both"/>
        <w:rPr>
          <w:szCs w:val="22"/>
        </w:rPr>
      </w:pPr>
    </w:p>
    <w:p w:rsidR="009C1547" w:rsidRDefault="009C1547">
      <w:pPr>
        <w:rPr>
          <w:rFonts w:ascii="Arial" w:hAnsi="Arial" w:cs="Arial"/>
          <w:b/>
          <w:bCs/>
          <w:color w:val="000000"/>
          <w:szCs w:val="22"/>
          <w:lang w:eastAsia="en-AU"/>
        </w:rPr>
      </w:pPr>
      <w:r>
        <w:rPr>
          <w:rFonts w:ascii="Arial" w:hAnsi="Arial" w:cs="Arial"/>
          <w:b/>
          <w:bCs/>
          <w:color w:val="000000"/>
          <w:szCs w:val="22"/>
          <w:lang w:eastAsia="en-AU"/>
        </w:rPr>
        <w:br w:type="page"/>
      </w:r>
    </w:p>
    <w:p w:rsidR="001E0B4D" w:rsidRDefault="009C1547" w:rsidP="005D1179">
      <w:pPr>
        <w:jc w:val="both"/>
        <w:rPr>
          <w:rFonts w:ascii="Arial" w:hAnsi="Arial" w:cs="Arial"/>
          <w:b/>
          <w:bCs/>
          <w:color w:val="000000"/>
          <w:szCs w:val="22"/>
          <w:lang w:eastAsia="en-AU"/>
        </w:rPr>
      </w:pPr>
      <w:r w:rsidRPr="00F56846">
        <w:rPr>
          <w:rFonts w:ascii="Arial" w:hAnsi="Arial" w:cs="Arial"/>
          <w:b/>
          <w:bCs/>
          <w:color w:val="000000"/>
          <w:szCs w:val="22"/>
          <w:lang w:eastAsia="en-AU"/>
        </w:rPr>
        <w:t>SC07 8443.32.00 74 - PDPs: Laser</w:t>
      </w:r>
    </w:p>
    <w:p w:rsidR="004360E0" w:rsidRDefault="004360E0" w:rsidP="005D1179">
      <w:pPr>
        <w:jc w:val="both"/>
        <w:rPr>
          <w:rFonts w:ascii="Arial" w:hAnsi="Arial" w:cs="Arial"/>
          <w:b/>
          <w:bCs/>
          <w:color w:val="000000"/>
          <w:szCs w:val="22"/>
          <w:lang w:eastAsia="en-AU"/>
        </w:rPr>
      </w:pPr>
    </w:p>
    <w:p w:rsidR="009C1547" w:rsidRDefault="007118B4" w:rsidP="00CC616F">
      <w:pPr>
        <w:pStyle w:val="Caption"/>
        <w:keepNext/>
        <w:tabs>
          <w:tab w:val="left" w:pos="5207"/>
        </w:tabs>
      </w:pPr>
      <w:r>
        <w:t>Figure 5-9</w:t>
      </w:r>
      <w:r w:rsidR="002652C5">
        <w:t xml:space="preserve">     </w:t>
      </w:r>
      <w:r w:rsidR="004360E0">
        <w:t xml:space="preserve"> </w:t>
      </w:r>
      <w:r w:rsidR="00AC1355">
        <w:t>HTISC frequency distribution in CF year</w:t>
      </w:r>
      <w:r w:rsidR="00CC616F">
        <w:tab/>
      </w:r>
    </w:p>
    <w:p w:rsidR="00CC616F" w:rsidRDefault="00CC616F" w:rsidP="00CC616F">
      <w:pPr>
        <w:rPr>
          <w:lang w:val="en-GB"/>
        </w:rPr>
      </w:pPr>
      <w:r w:rsidRPr="00CC616F">
        <w:rPr>
          <w:noProof/>
          <w:lang w:eastAsia="en-AU"/>
        </w:rPr>
        <w:drawing>
          <wp:inline distT="0" distB="0" distL="0" distR="0">
            <wp:extent cx="4889500" cy="2984500"/>
            <wp:effectExtent l="19050" t="0" r="25400" b="6350"/>
            <wp:docPr id="77"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C616F" w:rsidRDefault="00CC616F" w:rsidP="00CC616F">
      <w:pPr>
        <w:rPr>
          <w:lang w:val="en-GB"/>
        </w:rPr>
      </w:pPr>
    </w:p>
    <w:p w:rsidR="00CC616F" w:rsidRDefault="00CC616F" w:rsidP="00CC616F">
      <w:pPr>
        <w:rPr>
          <w:lang w:val="en-GB"/>
        </w:rPr>
      </w:pPr>
    </w:p>
    <w:p w:rsidR="00CC616F" w:rsidRDefault="00CC616F" w:rsidP="00CC616F">
      <w:pPr>
        <w:rPr>
          <w:lang w:val="en-GB"/>
        </w:rPr>
      </w:pPr>
    </w:p>
    <w:p w:rsidR="00CC616F" w:rsidRDefault="00CC616F" w:rsidP="00CC616F">
      <w:pPr>
        <w:rPr>
          <w:lang w:val="en-GB"/>
        </w:rPr>
      </w:pPr>
    </w:p>
    <w:p w:rsidR="009C1547" w:rsidRDefault="009C1547" w:rsidP="005D1179">
      <w:pPr>
        <w:jc w:val="both"/>
        <w:rPr>
          <w:rFonts w:ascii="Arial" w:hAnsi="Arial" w:cs="Arial"/>
          <w:b/>
          <w:bCs/>
          <w:color w:val="000000"/>
          <w:szCs w:val="22"/>
          <w:lang w:eastAsia="en-AU"/>
        </w:rPr>
      </w:pPr>
    </w:p>
    <w:p w:rsidR="009C1547" w:rsidRDefault="009C1547" w:rsidP="005D1179">
      <w:pPr>
        <w:jc w:val="both"/>
        <w:rPr>
          <w:rFonts w:ascii="Arial" w:hAnsi="Arial" w:cs="Arial"/>
          <w:b/>
          <w:bCs/>
          <w:color w:val="000000"/>
          <w:szCs w:val="22"/>
          <w:lang w:eastAsia="en-AU"/>
        </w:rPr>
      </w:pPr>
    </w:p>
    <w:p w:rsidR="009C1547" w:rsidRDefault="009C1547" w:rsidP="005D1179">
      <w:pPr>
        <w:jc w:val="both"/>
        <w:rPr>
          <w:szCs w:val="22"/>
        </w:rPr>
      </w:pPr>
    </w:p>
    <w:p w:rsidR="00F56846" w:rsidRPr="00D73340" w:rsidRDefault="00207129" w:rsidP="00D73340">
      <w:pPr>
        <w:pStyle w:val="Caption"/>
      </w:pPr>
      <w:r>
        <w:t xml:space="preserve">Table 5-7   </w:t>
      </w:r>
      <w:r w:rsidR="00D73340">
        <w:t>Conversion factor statistics</w:t>
      </w:r>
    </w:p>
    <w:tbl>
      <w:tblPr>
        <w:tblW w:w="7260" w:type="dxa"/>
        <w:tblInd w:w="93" w:type="dxa"/>
        <w:tblLook w:val="04A0"/>
      </w:tblPr>
      <w:tblGrid>
        <w:gridCol w:w="1660"/>
        <w:gridCol w:w="1120"/>
        <w:gridCol w:w="1120"/>
        <w:gridCol w:w="1120"/>
        <w:gridCol w:w="1120"/>
        <w:gridCol w:w="1120"/>
      </w:tblGrid>
      <w:tr w:rsidR="00F56846" w:rsidRPr="00F56846">
        <w:trPr>
          <w:trHeight w:val="450"/>
        </w:trPr>
        <w:tc>
          <w:tcPr>
            <w:tcW w:w="1660" w:type="dxa"/>
            <w:tcBorders>
              <w:top w:val="single" w:sz="4" w:space="0" w:color="auto"/>
              <w:left w:val="single" w:sz="4" w:space="0" w:color="auto"/>
              <w:bottom w:val="single" w:sz="4" w:space="0" w:color="auto"/>
              <w:right w:val="single" w:sz="4" w:space="0" w:color="auto"/>
            </w:tcBorders>
            <w:shd w:val="clear" w:color="000000" w:fill="D8D8D8"/>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CF year</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No. of ABS imports</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 ABS imports included</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Min weight</w:t>
            </w:r>
            <w:r w:rsidRPr="00F56846">
              <w:rPr>
                <w:rFonts w:ascii="Calibri" w:hAnsi="Calibri" w:cs="Calibri"/>
                <w:color w:val="000000"/>
                <w:sz w:val="16"/>
                <w:szCs w:val="16"/>
                <w:lang w:eastAsia="en-AU"/>
              </w:rPr>
              <w:br/>
              <w:t>(kg)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Max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Standard deviation</w:t>
            </w:r>
          </w:p>
        </w:tc>
      </w:tr>
      <w:tr w:rsidR="00F56846" w:rsidRPr="00F56846">
        <w:trPr>
          <w:trHeight w:val="225"/>
        </w:trPr>
        <w:tc>
          <w:tcPr>
            <w:tcW w:w="1660" w:type="dxa"/>
            <w:tcBorders>
              <w:top w:val="nil"/>
              <w:left w:val="single" w:sz="4" w:space="0" w:color="auto"/>
              <w:bottom w:val="single" w:sz="4" w:space="0" w:color="auto"/>
              <w:right w:val="single" w:sz="4" w:space="0" w:color="auto"/>
            </w:tcBorders>
            <w:shd w:val="clear" w:color="auto" w:fill="auto"/>
            <w:noWrap/>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2010-11</w:t>
            </w:r>
          </w:p>
        </w:tc>
        <w:tc>
          <w:tcPr>
            <w:tcW w:w="1120" w:type="dxa"/>
            <w:tcBorders>
              <w:top w:val="nil"/>
              <w:left w:val="nil"/>
              <w:bottom w:val="single" w:sz="4" w:space="0" w:color="auto"/>
              <w:right w:val="single" w:sz="4" w:space="0" w:color="auto"/>
            </w:tcBorders>
            <w:shd w:val="clear" w:color="auto" w:fill="auto"/>
            <w:noWrap/>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460,659</w:t>
            </w:r>
          </w:p>
        </w:tc>
        <w:tc>
          <w:tcPr>
            <w:tcW w:w="1120" w:type="dxa"/>
            <w:tcBorders>
              <w:top w:val="nil"/>
              <w:left w:val="nil"/>
              <w:bottom w:val="single" w:sz="4" w:space="0" w:color="auto"/>
              <w:right w:val="single" w:sz="4" w:space="0" w:color="auto"/>
            </w:tcBorders>
            <w:shd w:val="clear" w:color="auto" w:fill="auto"/>
            <w:noWrap/>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21%</w:t>
            </w:r>
          </w:p>
        </w:tc>
        <w:tc>
          <w:tcPr>
            <w:tcW w:w="1120" w:type="dxa"/>
            <w:tcBorders>
              <w:top w:val="nil"/>
              <w:left w:val="nil"/>
              <w:bottom w:val="single" w:sz="4" w:space="0" w:color="auto"/>
              <w:right w:val="single" w:sz="4" w:space="0" w:color="auto"/>
            </w:tcBorders>
            <w:shd w:val="clear" w:color="auto" w:fill="auto"/>
            <w:noWrap/>
            <w:vAlign w:val="center"/>
          </w:tcPr>
          <w:p w:rsidR="00F56846" w:rsidRPr="00F56846" w:rsidRDefault="00F56846" w:rsidP="00665B2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4.9</w:t>
            </w:r>
          </w:p>
        </w:tc>
        <w:tc>
          <w:tcPr>
            <w:tcW w:w="1120" w:type="dxa"/>
            <w:tcBorders>
              <w:top w:val="nil"/>
              <w:left w:val="nil"/>
              <w:bottom w:val="single" w:sz="4" w:space="0" w:color="auto"/>
              <w:right w:val="single" w:sz="4" w:space="0" w:color="auto"/>
            </w:tcBorders>
            <w:shd w:val="clear" w:color="auto" w:fill="auto"/>
            <w:noWrap/>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145.0</w:t>
            </w:r>
          </w:p>
        </w:tc>
        <w:tc>
          <w:tcPr>
            <w:tcW w:w="1120" w:type="dxa"/>
            <w:tcBorders>
              <w:top w:val="nil"/>
              <w:left w:val="nil"/>
              <w:bottom w:val="single" w:sz="4" w:space="0" w:color="auto"/>
              <w:right w:val="single" w:sz="4" w:space="0" w:color="auto"/>
            </w:tcBorders>
            <w:shd w:val="clear" w:color="auto" w:fill="auto"/>
            <w:noWrap/>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0.3</w:t>
            </w:r>
          </w:p>
        </w:tc>
      </w:tr>
      <w:tr w:rsidR="00F56846" w:rsidRPr="00F56846">
        <w:trPr>
          <w:trHeight w:val="225"/>
        </w:trPr>
        <w:tc>
          <w:tcPr>
            <w:tcW w:w="1660" w:type="dxa"/>
            <w:tcBorders>
              <w:top w:val="nil"/>
              <w:left w:val="nil"/>
              <w:bottom w:val="nil"/>
              <w:right w:val="nil"/>
            </w:tcBorders>
            <w:shd w:val="clear" w:color="auto" w:fill="auto"/>
            <w:noWrap/>
            <w:vAlign w:val="bottom"/>
          </w:tcPr>
          <w:p w:rsidR="00F56846" w:rsidRPr="00F56846" w:rsidRDefault="00F56846" w:rsidP="00F56846">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F56846" w:rsidRPr="00F56846" w:rsidRDefault="00F56846" w:rsidP="00F56846">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F56846" w:rsidRPr="00F56846" w:rsidRDefault="00F56846" w:rsidP="00F56846">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F56846" w:rsidRPr="00F56846" w:rsidRDefault="00F56846" w:rsidP="00F56846">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F56846" w:rsidRPr="00F56846" w:rsidRDefault="00F56846" w:rsidP="00F56846">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F56846" w:rsidRPr="00F56846" w:rsidRDefault="00F56846" w:rsidP="00F56846">
            <w:pPr>
              <w:rPr>
                <w:rFonts w:ascii="Calibri" w:hAnsi="Calibri" w:cs="Calibri"/>
                <w:color w:val="000000"/>
                <w:sz w:val="16"/>
                <w:szCs w:val="16"/>
                <w:lang w:eastAsia="en-AU"/>
              </w:rPr>
            </w:pPr>
          </w:p>
        </w:tc>
      </w:tr>
      <w:tr w:rsidR="00F56846" w:rsidRPr="00F56846">
        <w:trPr>
          <w:trHeight w:val="450"/>
        </w:trPr>
        <w:tc>
          <w:tcPr>
            <w:tcW w:w="1660" w:type="dxa"/>
            <w:tcBorders>
              <w:top w:val="single" w:sz="4" w:space="0" w:color="auto"/>
              <w:left w:val="single" w:sz="4" w:space="0" w:color="auto"/>
              <w:bottom w:val="nil"/>
              <w:right w:val="single" w:sz="4" w:space="0" w:color="auto"/>
            </w:tcBorders>
            <w:shd w:val="clear" w:color="000000" w:fill="D8D8D8"/>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Method</w:t>
            </w:r>
          </w:p>
        </w:tc>
        <w:tc>
          <w:tcPr>
            <w:tcW w:w="1120" w:type="dxa"/>
            <w:tcBorders>
              <w:top w:val="single" w:sz="4" w:space="0" w:color="auto"/>
              <w:left w:val="nil"/>
              <w:bottom w:val="nil"/>
              <w:right w:val="single" w:sz="4" w:space="0" w:color="auto"/>
            </w:tcBorders>
            <w:shd w:val="clear" w:color="000000" w:fill="D8D8D8"/>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Measure of average</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Average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Lower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Upper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Confidence interval ± (kg)</w:t>
            </w:r>
          </w:p>
        </w:tc>
      </w:tr>
      <w:tr w:rsidR="00F56846" w:rsidRPr="00F56846">
        <w:trPr>
          <w:trHeight w:val="48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Approximation to the normal distribution</w:t>
            </w:r>
          </w:p>
        </w:tc>
        <w:tc>
          <w:tcPr>
            <w:tcW w:w="1120" w:type="dxa"/>
            <w:tcBorders>
              <w:top w:val="single" w:sz="4" w:space="0" w:color="auto"/>
              <w:left w:val="nil"/>
              <w:bottom w:val="single" w:sz="4" w:space="0" w:color="auto"/>
              <w:right w:val="single" w:sz="4" w:space="0" w:color="auto"/>
            </w:tcBorders>
            <w:shd w:val="clear" w:color="auto" w:fill="auto"/>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Mean</w:t>
            </w:r>
          </w:p>
        </w:tc>
        <w:tc>
          <w:tcPr>
            <w:tcW w:w="1120" w:type="dxa"/>
            <w:tcBorders>
              <w:top w:val="nil"/>
              <w:left w:val="nil"/>
              <w:bottom w:val="single" w:sz="4" w:space="0" w:color="auto"/>
              <w:right w:val="single" w:sz="4" w:space="0" w:color="auto"/>
            </w:tcBorders>
            <w:shd w:val="clear" w:color="auto" w:fill="auto"/>
            <w:noWrap/>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9.5</w:t>
            </w:r>
          </w:p>
        </w:tc>
        <w:tc>
          <w:tcPr>
            <w:tcW w:w="1120" w:type="dxa"/>
            <w:tcBorders>
              <w:top w:val="nil"/>
              <w:left w:val="nil"/>
              <w:bottom w:val="single" w:sz="4" w:space="0" w:color="auto"/>
              <w:right w:val="single" w:sz="4" w:space="0" w:color="auto"/>
            </w:tcBorders>
            <w:shd w:val="clear" w:color="auto" w:fill="auto"/>
            <w:noWrap/>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8.9</w:t>
            </w:r>
          </w:p>
        </w:tc>
        <w:tc>
          <w:tcPr>
            <w:tcW w:w="1120" w:type="dxa"/>
            <w:tcBorders>
              <w:top w:val="nil"/>
              <w:left w:val="nil"/>
              <w:bottom w:val="single" w:sz="4" w:space="0" w:color="auto"/>
              <w:right w:val="single" w:sz="4" w:space="0" w:color="auto"/>
            </w:tcBorders>
            <w:shd w:val="clear" w:color="auto" w:fill="auto"/>
            <w:noWrap/>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10.0</w:t>
            </w:r>
          </w:p>
        </w:tc>
        <w:tc>
          <w:tcPr>
            <w:tcW w:w="1120" w:type="dxa"/>
            <w:tcBorders>
              <w:top w:val="nil"/>
              <w:left w:val="nil"/>
              <w:bottom w:val="single" w:sz="4" w:space="0" w:color="auto"/>
              <w:right w:val="single" w:sz="4" w:space="0" w:color="auto"/>
            </w:tcBorders>
            <w:shd w:val="clear" w:color="auto" w:fill="auto"/>
            <w:noWrap/>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0.6</w:t>
            </w:r>
          </w:p>
        </w:tc>
      </w:tr>
      <w:tr w:rsidR="00F56846" w:rsidRPr="00F56846">
        <w:trPr>
          <w:trHeight w:val="480"/>
        </w:trPr>
        <w:tc>
          <w:tcPr>
            <w:tcW w:w="1660" w:type="dxa"/>
            <w:tcBorders>
              <w:top w:val="nil"/>
              <w:left w:val="single" w:sz="4" w:space="0" w:color="auto"/>
              <w:bottom w:val="single" w:sz="4" w:space="0" w:color="auto"/>
              <w:right w:val="single" w:sz="4" w:space="0" w:color="auto"/>
            </w:tcBorders>
            <w:shd w:val="clear" w:color="auto" w:fill="auto"/>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Use of percentiles</w:t>
            </w:r>
          </w:p>
        </w:tc>
        <w:tc>
          <w:tcPr>
            <w:tcW w:w="1120" w:type="dxa"/>
            <w:tcBorders>
              <w:top w:val="nil"/>
              <w:left w:val="nil"/>
              <w:bottom w:val="single" w:sz="4" w:space="0" w:color="auto"/>
              <w:right w:val="single" w:sz="4" w:space="0" w:color="auto"/>
            </w:tcBorders>
            <w:shd w:val="clear" w:color="auto" w:fill="auto"/>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Median</w:t>
            </w:r>
          </w:p>
        </w:tc>
        <w:tc>
          <w:tcPr>
            <w:tcW w:w="1120" w:type="dxa"/>
            <w:tcBorders>
              <w:top w:val="nil"/>
              <w:left w:val="nil"/>
              <w:bottom w:val="single" w:sz="4" w:space="0" w:color="auto"/>
              <w:right w:val="single" w:sz="4" w:space="0" w:color="auto"/>
            </w:tcBorders>
            <w:shd w:val="clear" w:color="auto" w:fill="auto"/>
            <w:noWrap/>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10.9</w:t>
            </w:r>
          </w:p>
        </w:tc>
        <w:tc>
          <w:tcPr>
            <w:tcW w:w="1120" w:type="dxa"/>
            <w:tcBorders>
              <w:top w:val="nil"/>
              <w:left w:val="nil"/>
              <w:bottom w:val="single" w:sz="4" w:space="0" w:color="auto"/>
              <w:right w:val="single" w:sz="4" w:space="0" w:color="auto"/>
            </w:tcBorders>
            <w:shd w:val="clear" w:color="auto" w:fill="auto"/>
            <w:noWrap/>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0.6</w:t>
            </w:r>
          </w:p>
        </w:tc>
        <w:tc>
          <w:tcPr>
            <w:tcW w:w="1120" w:type="dxa"/>
            <w:tcBorders>
              <w:top w:val="nil"/>
              <w:left w:val="nil"/>
              <w:bottom w:val="single" w:sz="4" w:space="0" w:color="auto"/>
              <w:right w:val="single" w:sz="4" w:space="0" w:color="auto"/>
            </w:tcBorders>
            <w:shd w:val="clear" w:color="auto" w:fill="auto"/>
            <w:noWrap/>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60.8</w:t>
            </w:r>
          </w:p>
        </w:tc>
        <w:tc>
          <w:tcPr>
            <w:tcW w:w="1120" w:type="dxa"/>
            <w:tcBorders>
              <w:top w:val="nil"/>
              <w:left w:val="nil"/>
              <w:bottom w:val="single" w:sz="4" w:space="0" w:color="auto"/>
              <w:right w:val="single" w:sz="4" w:space="0" w:color="auto"/>
            </w:tcBorders>
            <w:shd w:val="clear" w:color="auto" w:fill="auto"/>
            <w:noWrap/>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49.9</w:t>
            </w:r>
          </w:p>
        </w:tc>
      </w:tr>
      <w:tr w:rsidR="00F56846" w:rsidRPr="00F56846">
        <w:trPr>
          <w:trHeight w:val="225"/>
        </w:trPr>
        <w:tc>
          <w:tcPr>
            <w:tcW w:w="1660" w:type="dxa"/>
            <w:tcBorders>
              <w:top w:val="nil"/>
              <w:left w:val="nil"/>
              <w:bottom w:val="nil"/>
              <w:right w:val="nil"/>
            </w:tcBorders>
            <w:shd w:val="clear" w:color="auto" w:fill="auto"/>
            <w:noWrap/>
            <w:vAlign w:val="bottom"/>
          </w:tcPr>
          <w:p w:rsidR="00F56846" w:rsidRPr="00F56846" w:rsidRDefault="00F56846" w:rsidP="00F56846">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F56846" w:rsidRPr="00F56846" w:rsidRDefault="00F56846" w:rsidP="00F56846">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F56846" w:rsidRPr="00F56846" w:rsidRDefault="00F56846" w:rsidP="00F56846">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F56846" w:rsidRPr="00F56846" w:rsidRDefault="00F56846" w:rsidP="00F56846">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F56846" w:rsidRPr="00F56846" w:rsidRDefault="00F56846" w:rsidP="00F56846">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F56846" w:rsidRPr="00F56846" w:rsidRDefault="00F56846" w:rsidP="00F56846">
            <w:pPr>
              <w:rPr>
                <w:rFonts w:ascii="Calibri" w:hAnsi="Calibri" w:cs="Calibri"/>
                <w:color w:val="000000"/>
                <w:sz w:val="16"/>
                <w:szCs w:val="16"/>
                <w:lang w:eastAsia="en-AU"/>
              </w:rPr>
            </w:pPr>
          </w:p>
        </w:tc>
      </w:tr>
      <w:tr w:rsidR="00F56846" w:rsidRPr="00F56846">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tcPr>
          <w:p w:rsidR="00F56846" w:rsidRPr="00F56846" w:rsidRDefault="00F56846" w:rsidP="00F56846">
            <w:pPr>
              <w:rPr>
                <w:rFonts w:ascii="Calibri" w:hAnsi="Calibri" w:cs="Calibri"/>
                <w:color w:val="000000"/>
                <w:sz w:val="16"/>
                <w:szCs w:val="16"/>
                <w:lang w:eastAsia="en-AU"/>
              </w:rPr>
            </w:pPr>
            <w:r w:rsidRPr="00F56846">
              <w:rPr>
                <w:rFonts w:ascii="Calibri" w:hAnsi="Calibri" w:cs="Calibri"/>
                <w:color w:val="000000"/>
                <w:sz w:val="16"/>
                <w:szCs w:val="16"/>
                <w:lang w:eastAsia="en-AU"/>
              </w:rPr>
              <w:t>Year</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2010-11</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2009-10</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F56846" w:rsidRPr="00F56846" w:rsidRDefault="00F56846"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2008-09</w:t>
            </w:r>
          </w:p>
        </w:tc>
      </w:tr>
      <w:tr w:rsidR="00A90A8F" w:rsidRPr="00F56846">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90A8F" w:rsidRPr="00F56846" w:rsidRDefault="00A90A8F" w:rsidP="00F56846">
            <w:pPr>
              <w:rPr>
                <w:rFonts w:ascii="Calibri" w:hAnsi="Calibri" w:cs="Calibri"/>
                <w:color w:val="000000"/>
                <w:sz w:val="16"/>
                <w:szCs w:val="16"/>
                <w:lang w:eastAsia="en-AU"/>
              </w:rPr>
            </w:pPr>
            <w:r w:rsidRPr="00CB6A7D">
              <w:rPr>
                <w:rFonts w:ascii="Calibri" w:hAnsi="Calibri" w:cs="Calibri"/>
                <w:color w:val="000000"/>
                <w:sz w:val="16"/>
                <w:szCs w:val="16"/>
                <w:lang w:eastAsia="en-AU"/>
              </w:rPr>
              <w:t>Percentage by which the conversion factor over or under estimates the weight of imports</w:t>
            </w:r>
          </w:p>
        </w:tc>
        <w:tc>
          <w:tcPr>
            <w:tcW w:w="1120" w:type="dxa"/>
            <w:tcBorders>
              <w:top w:val="nil"/>
              <w:left w:val="nil"/>
              <w:bottom w:val="single" w:sz="4" w:space="0" w:color="auto"/>
              <w:right w:val="single" w:sz="4" w:space="0" w:color="auto"/>
            </w:tcBorders>
            <w:shd w:val="clear" w:color="auto" w:fill="auto"/>
            <w:noWrap/>
            <w:vAlign w:val="center"/>
          </w:tcPr>
          <w:p w:rsidR="00A90A8F" w:rsidRPr="00F56846" w:rsidRDefault="00A90A8F" w:rsidP="00F56846">
            <w:pPr>
              <w:jc w:val="center"/>
              <w:rPr>
                <w:rFonts w:ascii="Calibri" w:hAnsi="Calibri" w:cs="Calibri"/>
                <w:color w:val="000000"/>
                <w:sz w:val="16"/>
                <w:szCs w:val="16"/>
                <w:lang w:eastAsia="en-AU"/>
              </w:rPr>
            </w:pPr>
            <w:r w:rsidRPr="00F56846">
              <w:rPr>
                <w:rFonts w:ascii="Calibri" w:hAnsi="Calibri" w:cs="Calibri"/>
                <w:color w:val="000000"/>
                <w:sz w:val="16"/>
                <w:szCs w:val="16"/>
                <w:lang w:eastAsia="en-AU"/>
              </w:rPr>
              <w:t>100%</w:t>
            </w:r>
          </w:p>
        </w:tc>
        <w:tc>
          <w:tcPr>
            <w:tcW w:w="1120" w:type="dxa"/>
            <w:tcBorders>
              <w:top w:val="nil"/>
              <w:left w:val="nil"/>
              <w:bottom w:val="single" w:sz="4" w:space="0" w:color="auto"/>
              <w:right w:val="single" w:sz="4" w:space="0" w:color="auto"/>
            </w:tcBorders>
            <w:shd w:val="clear" w:color="auto" w:fill="auto"/>
            <w:noWrap/>
            <w:vAlign w:val="center"/>
          </w:tcPr>
          <w:p w:rsidR="00A90A8F" w:rsidRDefault="00A90A8F">
            <w:pPr>
              <w:jc w:val="center"/>
              <w:rPr>
                <w:rFonts w:ascii="Calibri" w:hAnsi="Calibri" w:cs="Calibri"/>
                <w:color w:val="000000"/>
                <w:sz w:val="16"/>
                <w:szCs w:val="16"/>
              </w:rPr>
            </w:pPr>
            <w:r>
              <w:rPr>
                <w:rFonts w:ascii="Calibri" w:hAnsi="Calibri" w:cs="Calibri"/>
                <w:color w:val="000000"/>
                <w:sz w:val="16"/>
                <w:szCs w:val="16"/>
              </w:rPr>
              <w:t>-60%</w:t>
            </w:r>
          </w:p>
        </w:tc>
        <w:tc>
          <w:tcPr>
            <w:tcW w:w="1120" w:type="dxa"/>
            <w:tcBorders>
              <w:top w:val="nil"/>
              <w:left w:val="nil"/>
              <w:bottom w:val="single" w:sz="4" w:space="0" w:color="auto"/>
              <w:right w:val="single" w:sz="4" w:space="0" w:color="auto"/>
            </w:tcBorders>
            <w:shd w:val="clear" w:color="auto" w:fill="auto"/>
            <w:noWrap/>
            <w:vAlign w:val="center"/>
          </w:tcPr>
          <w:p w:rsidR="00A90A8F" w:rsidRDefault="00A90A8F">
            <w:pPr>
              <w:jc w:val="center"/>
              <w:rPr>
                <w:rFonts w:ascii="Calibri" w:hAnsi="Calibri" w:cs="Calibri"/>
                <w:color w:val="000000"/>
                <w:sz w:val="16"/>
                <w:szCs w:val="16"/>
              </w:rPr>
            </w:pPr>
            <w:r>
              <w:rPr>
                <w:rFonts w:ascii="Calibri" w:hAnsi="Calibri" w:cs="Calibri"/>
                <w:color w:val="000000"/>
                <w:sz w:val="16"/>
                <w:szCs w:val="16"/>
              </w:rPr>
              <w:t>3%</w:t>
            </w:r>
          </w:p>
        </w:tc>
      </w:tr>
    </w:tbl>
    <w:p w:rsidR="00F56846" w:rsidRDefault="00F56846" w:rsidP="005D1179">
      <w:pPr>
        <w:jc w:val="both"/>
        <w:rPr>
          <w:szCs w:val="22"/>
        </w:rPr>
      </w:pPr>
    </w:p>
    <w:p w:rsidR="00F56846" w:rsidRDefault="00F56846" w:rsidP="005D1179">
      <w:pPr>
        <w:jc w:val="both"/>
        <w:rPr>
          <w:szCs w:val="22"/>
        </w:rPr>
      </w:pPr>
    </w:p>
    <w:p w:rsidR="001A78F2" w:rsidRDefault="00D618EE">
      <w:pPr>
        <w:rPr>
          <w:szCs w:val="22"/>
        </w:rPr>
      </w:pPr>
      <w:r w:rsidRPr="005A3097">
        <w:rPr>
          <w:b/>
          <w:szCs w:val="22"/>
        </w:rPr>
        <w:t>Distribution:</w:t>
      </w:r>
      <w:r>
        <w:rPr>
          <w:b/>
          <w:szCs w:val="22"/>
        </w:rPr>
        <w:t xml:space="preserve"> </w:t>
      </w:r>
      <w:r w:rsidR="00334B04">
        <w:rPr>
          <w:szCs w:val="22"/>
        </w:rPr>
        <w:t>Low</w:t>
      </w:r>
      <w:r>
        <w:rPr>
          <w:szCs w:val="22"/>
        </w:rPr>
        <w:t xml:space="preserve"> </w:t>
      </w:r>
      <w:r w:rsidR="00334B04">
        <w:rPr>
          <w:szCs w:val="22"/>
        </w:rPr>
        <w:t xml:space="preserve">weight </w:t>
      </w:r>
      <w:r w:rsidR="00C62346">
        <w:rPr>
          <w:szCs w:val="22"/>
        </w:rPr>
        <w:t>variation</w:t>
      </w:r>
      <w:r>
        <w:rPr>
          <w:szCs w:val="22"/>
        </w:rPr>
        <w:t xml:space="preserve">, </w:t>
      </w:r>
      <w:r w:rsidR="00304B14">
        <w:rPr>
          <w:szCs w:val="22"/>
        </w:rPr>
        <w:t xml:space="preserve">with the </w:t>
      </w:r>
      <w:r>
        <w:rPr>
          <w:szCs w:val="22"/>
        </w:rPr>
        <w:t>majority of units between 0-</w:t>
      </w:r>
      <w:r w:rsidR="00334B04">
        <w:rPr>
          <w:szCs w:val="22"/>
        </w:rPr>
        <w:t>1</w:t>
      </w:r>
      <w:r>
        <w:rPr>
          <w:szCs w:val="22"/>
        </w:rPr>
        <w:t>0 kg.</w:t>
      </w:r>
      <w:r w:rsidR="00334B04">
        <w:rPr>
          <w:szCs w:val="22"/>
        </w:rPr>
        <w:t xml:space="preserve"> </w:t>
      </w:r>
    </w:p>
    <w:p w:rsidR="001A78F2" w:rsidRDefault="00D618EE">
      <w:pPr>
        <w:rPr>
          <w:szCs w:val="22"/>
        </w:rPr>
      </w:pPr>
      <w:r>
        <w:rPr>
          <w:b/>
          <w:szCs w:val="22"/>
        </w:rPr>
        <w:t xml:space="preserve">Proposed conversion factor: </w:t>
      </w:r>
      <w:r>
        <w:rPr>
          <w:szCs w:val="22"/>
        </w:rPr>
        <w:t>9.5 kg.</w:t>
      </w:r>
    </w:p>
    <w:p w:rsidR="001A78F2" w:rsidRDefault="00D618EE">
      <w:pPr>
        <w:rPr>
          <w:szCs w:val="22"/>
        </w:rPr>
      </w:pPr>
      <w:r>
        <w:rPr>
          <w:b/>
          <w:szCs w:val="22"/>
        </w:rPr>
        <w:t xml:space="preserve">Proposed confidence interval: </w:t>
      </w:r>
      <w:r w:rsidR="009C1547">
        <w:rPr>
          <w:szCs w:val="22"/>
        </w:rPr>
        <w:t>&gt; 0.6 kg, &lt; 60.8 kg</w:t>
      </w:r>
    </w:p>
    <w:p w:rsidR="00A86019" w:rsidRDefault="00C62346" w:rsidP="00562504">
      <w:pPr>
        <w:rPr>
          <w:szCs w:val="22"/>
        </w:rPr>
      </w:pPr>
      <w:r>
        <w:rPr>
          <w:b/>
          <w:szCs w:val="22"/>
        </w:rPr>
        <w:t xml:space="preserve">Variation over time: </w:t>
      </w:r>
      <w:r w:rsidR="00112A79">
        <w:rPr>
          <w:szCs w:val="22"/>
        </w:rPr>
        <w:t>High</w:t>
      </w:r>
      <w:r w:rsidR="00EC1CB8">
        <w:rPr>
          <w:szCs w:val="22"/>
        </w:rPr>
        <w:br w:type="page"/>
      </w:r>
    </w:p>
    <w:p w:rsidR="001A78F2" w:rsidRDefault="00A86019">
      <w:pPr>
        <w:rPr>
          <w:rFonts w:ascii="Arial" w:hAnsi="Arial" w:cs="Arial"/>
          <w:b/>
          <w:szCs w:val="22"/>
        </w:rPr>
      </w:pPr>
      <w:r w:rsidRPr="002146B1">
        <w:rPr>
          <w:rFonts w:ascii="Arial" w:hAnsi="Arial" w:cs="Arial"/>
          <w:b/>
          <w:szCs w:val="22"/>
        </w:rPr>
        <w:t>Data Gaps</w:t>
      </w:r>
      <w:r w:rsidR="00EF751B">
        <w:rPr>
          <w:rFonts w:ascii="Arial" w:hAnsi="Arial" w:cs="Arial"/>
          <w:b/>
          <w:szCs w:val="22"/>
        </w:rPr>
        <w:t xml:space="preserve"> and Exclusions</w:t>
      </w:r>
    </w:p>
    <w:p w:rsidR="001A78F2" w:rsidRDefault="001A78F2">
      <w:pPr>
        <w:rPr>
          <w:rFonts w:ascii="Arial" w:hAnsi="Arial" w:cs="Arial"/>
          <w:b/>
          <w:szCs w:val="22"/>
        </w:rPr>
      </w:pPr>
    </w:p>
    <w:p w:rsidR="001A78F2" w:rsidRDefault="00A86019" w:rsidP="00EF751B">
      <w:pPr>
        <w:rPr>
          <w:szCs w:val="22"/>
        </w:rPr>
      </w:pPr>
      <w:r w:rsidRPr="002146B1">
        <w:rPr>
          <w:szCs w:val="22"/>
        </w:rPr>
        <w:t>No</w:t>
      </w:r>
      <w:r>
        <w:rPr>
          <w:szCs w:val="22"/>
        </w:rPr>
        <w:t xml:space="preserve"> imports reported for</w:t>
      </w:r>
      <w:r w:rsidR="00EF751B">
        <w:rPr>
          <w:szCs w:val="22"/>
        </w:rPr>
        <w:t>:</w:t>
      </w:r>
      <w:r w:rsidR="004D5CD8">
        <w:rPr>
          <w:szCs w:val="22"/>
        </w:rPr>
        <w:t xml:space="preserve"> </w:t>
      </w:r>
      <w:r w:rsidRPr="00EF751B">
        <w:rPr>
          <w:szCs w:val="22"/>
        </w:rPr>
        <w:t>SC07 8443.32.00 95- PDPs: Other</w:t>
      </w:r>
    </w:p>
    <w:p w:rsidR="00EF751B" w:rsidRPr="00EF751B" w:rsidRDefault="00EF751B" w:rsidP="00EF751B">
      <w:pPr>
        <w:rPr>
          <w:szCs w:val="22"/>
        </w:rPr>
      </w:pPr>
    </w:p>
    <w:p w:rsidR="00EF751B" w:rsidRDefault="00EF751B" w:rsidP="00EF751B">
      <w:pPr>
        <w:rPr>
          <w:szCs w:val="22"/>
        </w:rPr>
      </w:pPr>
      <w:r>
        <w:rPr>
          <w:szCs w:val="22"/>
        </w:rPr>
        <w:t xml:space="preserve">With only 0.1% of imports represented and a mean of 0.9 kg compared to 8.3-9.5kg in the other PDP HTISCs it was concluded that there was not sufficient data on which deduce this mean as being representive of the weighted mean weight of this HTISC. In agreement with the Department,’ </w:t>
      </w:r>
      <w:r w:rsidRPr="00EF751B">
        <w:rPr>
          <w:szCs w:val="22"/>
        </w:rPr>
        <w:t>SC07 8443.32.00 79 - PDPs: Other printers</w:t>
      </w:r>
      <w:r>
        <w:rPr>
          <w:szCs w:val="22"/>
        </w:rPr>
        <w:t>’ has been excluded.</w:t>
      </w:r>
    </w:p>
    <w:p w:rsidR="00EF751B" w:rsidRPr="00EF751B" w:rsidRDefault="00EF751B" w:rsidP="00EF751B">
      <w:pPr>
        <w:rPr>
          <w:b/>
          <w:szCs w:val="22"/>
        </w:rPr>
      </w:pPr>
    </w:p>
    <w:p w:rsidR="001A78F2" w:rsidRDefault="007B08F0">
      <w:pPr>
        <w:rPr>
          <w:szCs w:val="22"/>
        </w:rPr>
      </w:pPr>
      <w:r w:rsidRPr="007B08F0">
        <w:rPr>
          <w:b/>
          <w:szCs w:val="22"/>
        </w:rPr>
        <w:t>Recommendation:</w:t>
      </w:r>
      <w:r w:rsidRPr="007B08F0">
        <w:rPr>
          <w:szCs w:val="22"/>
        </w:rPr>
        <w:t xml:space="preserve"> Assign conversion</w:t>
      </w:r>
      <w:r w:rsidR="000319BF">
        <w:rPr>
          <w:szCs w:val="22"/>
        </w:rPr>
        <w:t xml:space="preserve"> factors for these codes at </w:t>
      </w:r>
      <w:r w:rsidR="00EF751B">
        <w:rPr>
          <w:szCs w:val="22"/>
        </w:rPr>
        <w:t>the CTCN level.</w:t>
      </w:r>
    </w:p>
    <w:p w:rsidR="00562504" w:rsidRDefault="00562504">
      <w:pPr>
        <w:rPr>
          <w:szCs w:val="22"/>
        </w:rPr>
      </w:pPr>
    </w:p>
    <w:p w:rsidR="00562504" w:rsidRDefault="00562504">
      <w:pPr>
        <w:rPr>
          <w:rFonts w:ascii="Arial" w:hAnsi="Arial" w:cs="Arial"/>
          <w:b/>
          <w:bCs/>
          <w:color w:val="000000"/>
          <w:szCs w:val="22"/>
          <w:lang w:eastAsia="en-AU"/>
        </w:rPr>
      </w:pPr>
      <w:r w:rsidRPr="00A86019">
        <w:rPr>
          <w:rFonts w:ascii="Arial" w:hAnsi="Arial" w:cs="Arial"/>
          <w:b/>
          <w:bCs/>
          <w:color w:val="000000"/>
          <w:szCs w:val="22"/>
          <w:lang w:eastAsia="en-AU"/>
        </w:rPr>
        <w:t>CTCN 8443.32.00 - Personal or desktop printers</w:t>
      </w:r>
    </w:p>
    <w:p w:rsidR="004360E0" w:rsidRDefault="004360E0">
      <w:pPr>
        <w:rPr>
          <w:rFonts w:ascii="Arial" w:hAnsi="Arial" w:cs="Arial"/>
          <w:b/>
          <w:bCs/>
          <w:color w:val="000000"/>
          <w:szCs w:val="22"/>
          <w:lang w:eastAsia="en-AU"/>
        </w:rPr>
      </w:pPr>
    </w:p>
    <w:p w:rsidR="004360E0" w:rsidRDefault="002652C5" w:rsidP="004360E0">
      <w:pPr>
        <w:pStyle w:val="Caption"/>
        <w:keepNext/>
      </w:pPr>
      <w:r>
        <w:t>Figure 5-</w:t>
      </w:r>
      <w:r w:rsidR="007118B4">
        <w:t>10</w:t>
      </w:r>
      <w:r>
        <w:t xml:space="preserve"> </w:t>
      </w:r>
      <w:r w:rsidR="007C78DA">
        <w:t xml:space="preserve">  </w:t>
      </w:r>
      <w:r w:rsidR="00AC1355">
        <w:t>CTCN frequency distribution in CF year</w:t>
      </w:r>
    </w:p>
    <w:p w:rsidR="00994DCE" w:rsidRDefault="00994DCE" w:rsidP="00994DCE">
      <w:pPr>
        <w:rPr>
          <w:lang w:val="en-GB"/>
        </w:rPr>
      </w:pPr>
      <w:r w:rsidRPr="00994DCE">
        <w:rPr>
          <w:noProof/>
          <w:lang w:eastAsia="en-AU"/>
        </w:rPr>
        <w:drawing>
          <wp:inline distT="0" distB="0" distL="0" distR="0">
            <wp:extent cx="4889500" cy="2984500"/>
            <wp:effectExtent l="19050" t="0" r="25400" b="6350"/>
            <wp:docPr id="84"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A78F2" w:rsidRDefault="001A78F2">
      <w:pPr>
        <w:rPr>
          <w:szCs w:val="22"/>
        </w:rPr>
      </w:pPr>
    </w:p>
    <w:p w:rsidR="00562504" w:rsidRDefault="00562504">
      <w:pPr>
        <w:rPr>
          <w:szCs w:val="22"/>
        </w:rPr>
      </w:pPr>
    </w:p>
    <w:p w:rsidR="00562504" w:rsidRDefault="00562504">
      <w:pPr>
        <w:rPr>
          <w:szCs w:val="22"/>
        </w:rPr>
      </w:pPr>
    </w:p>
    <w:p w:rsidR="00A86019" w:rsidRPr="00D73340" w:rsidRDefault="00207129" w:rsidP="00D73340">
      <w:pPr>
        <w:pStyle w:val="Caption"/>
      </w:pPr>
      <w:r>
        <w:t xml:space="preserve">Table 5-8   </w:t>
      </w:r>
      <w:r w:rsidR="00D73340">
        <w:t>Conversion factor statistics</w:t>
      </w:r>
    </w:p>
    <w:tbl>
      <w:tblPr>
        <w:tblW w:w="7260" w:type="dxa"/>
        <w:tblInd w:w="93" w:type="dxa"/>
        <w:tblLook w:val="04A0"/>
      </w:tblPr>
      <w:tblGrid>
        <w:gridCol w:w="1660"/>
        <w:gridCol w:w="1120"/>
        <w:gridCol w:w="1120"/>
        <w:gridCol w:w="1120"/>
        <w:gridCol w:w="1120"/>
        <w:gridCol w:w="1120"/>
      </w:tblGrid>
      <w:tr w:rsidR="00A86019" w:rsidRPr="00A86019">
        <w:trPr>
          <w:trHeight w:val="450"/>
        </w:trPr>
        <w:tc>
          <w:tcPr>
            <w:tcW w:w="1660" w:type="dxa"/>
            <w:tcBorders>
              <w:top w:val="single" w:sz="4" w:space="0" w:color="auto"/>
              <w:left w:val="single" w:sz="4" w:space="0" w:color="auto"/>
              <w:bottom w:val="single" w:sz="4" w:space="0" w:color="auto"/>
              <w:right w:val="single" w:sz="4" w:space="0" w:color="auto"/>
            </w:tcBorders>
            <w:shd w:val="clear" w:color="000000" w:fill="D8D8D8"/>
            <w:vAlign w:val="center"/>
          </w:tcPr>
          <w:p w:rsidR="00A86019" w:rsidRPr="00A86019" w:rsidRDefault="00A86019" w:rsidP="00A86019">
            <w:pPr>
              <w:jc w:val="center"/>
              <w:rPr>
                <w:rFonts w:ascii="Calibri" w:hAnsi="Calibri" w:cs="Calibri"/>
                <w:color w:val="000000"/>
                <w:sz w:val="16"/>
                <w:szCs w:val="16"/>
                <w:lang w:eastAsia="en-AU"/>
              </w:rPr>
            </w:pPr>
            <w:r w:rsidRPr="00A86019">
              <w:rPr>
                <w:rFonts w:ascii="Calibri" w:hAnsi="Calibri" w:cs="Calibri"/>
                <w:color w:val="000000"/>
                <w:sz w:val="16"/>
                <w:szCs w:val="16"/>
                <w:lang w:eastAsia="en-AU"/>
              </w:rPr>
              <w:t>CF year</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A86019" w:rsidRPr="00A86019" w:rsidRDefault="00A86019" w:rsidP="00A86019">
            <w:pPr>
              <w:jc w:val="center"/>
              <w:rPr>
                <w:rFonts w:ascii="Calibri" w:hAnsi="Calibri" w:cs="Calibri"/>
                <w:color w:val="000000"/>
                <w:sz w:val="16"/>
                <w:szCs w:val="16"/>
                <w:lang w:eastAsia="en-AU"/>
              </w:rPr>
            </w:pPr>
            <w:r w:rsidRPr="00A86019">
              <w:rPr>
                <w:rFonts w:ascii="Calibri" w:hAnsi="Calibri" w:cs="Calibri"/>
                <w:color w:val="000000"/>
                <w:sz w:val="16"/>
                <w:szCs w:val="16"/>
                <w:lang w:eastAsia="en-AU"/>
              </w:rPr>
              <w:t>No. of ABS imports</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A86019" w:rsidRPr="00A86019" w:rsidRDefault="00A86019" w:rsidP="00A86019">
            <w:pPr>
              <w:jc w:val="center"/>
              <w:rPr>
                <w:rFonts w:ascii="Calibri" w:hAnsi="Calibri" w:cs="Calibri"/>
                <w:color w:val="000000"/>
                <w:sz w:val="16"/>
                <w:szCs w:val="16"/>
                <w:lang w:eastAsia="en-AU"/>
              </w:rPr>
            </w:pPr>
            <w:r w:rsidRPr="00A86019">
              <w:rPr>
                <w:rFonts w:ascii="Calibri" w:hAnsi="Calibri" w:cs="Calibri"/>
                <w:color w:val="000000"/>
                <w:sz w:val="16"/>
                <w:szCs w:val="16"/>
                <w:lang w:eastAsia="en-AU"/>
              </w:rPr>
              <w:t>% ABS imports included</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A86019" w:rsidRPr="00A86019" w:rsidRDefault="00A86019" w:rsidP="00A86019">
            <w:pPr>
              <w:jc w:val="center"/>
              <w:rPr>
                <w:rFonts w:ascii="Calibri" w:hAnsi="Calibri" w:cs="Calibri"/>
                <w:color w:val="000000"/>
                <w:sz w:val="16"/>
                <w:szCs w:val="16"/>
                <w:lang w:eastAsia="en-AU"/>
              </w:rPr>
            </w:pPr>
            <w:r w:rsidRPr="00A86019">
              <w:rPr>
                <w:rFonts w:ascii="Calibri" w:hAnsi="Calibri" w:cs="Calibri"/>
                <w:color w:val="000000"/>
                <w:sz w:val="16"/>
                <w:szCs w:val="16"/>
                <w:lang w:eastAsia="en-AU"/>
              </w:rPr>
              <w:t>Min weight</w:t>
            </w:r>
            <w:r w:rsidRPr="00A86019">
              <w:rPr>
                <w:rFonts w:ascii="Calibri" w:hAnsi="Calibri" w:cs="Calibri"/>
                <w:color w:val="000000"/>
                <w:sz w:val="16"/>
                <w:szCs w:val="16"/>
                <w:lang w:eastAsia="en-AU"/>
              </w:rPr>
              <w:br/>
              <w:t>(kg)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A86019" w:rsidRPr="00A86019" w:rsidRDefault="00A86019" w:rsidP="00A86019">
            <w:pPr>
              <w:jc w:val="center"/>
              <w:rPr>
                <w:rFonts w:ascii="Calibri" w:hAnsi="Calibri" w:cs="Calibri"/>
                <w:color w:val="000000"/>
                <w:sz w:val="16"/>
                <w:szCs w:val="16"/>
                <w:lang w:eastAsia="en-AU"/>
              </w:rPr>
            </w:pPr>
            <w:r w:rsidRPr="00A86019">
              <w:rPr>
                <w:rFonts w:ascii="Calibri" w:hAnsi="Calibri" w:cs="Calibri"/>
                <w:color w:val="000000"/>
                <w:sz w:val="16"/>
                <w:szCs w:val="16"/>
                <w:lang w:eastAsia="en-AU"/>
              </w:rPr>
              <w:t>Max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A86019" w:rsidRPr="00A86019" w:rsidRDefault="00A86019" w:rsidP="00A86019">
            <w:pPr>
              <w:jc w:val="center"/>
              <w:rPr>
                <w:rFonts w:ascii="Calibri" w:hAnsi="Calibri" w:cs="Calibri"/>
                <w:color w:val="000000"/>
                <w:sz w:val="16"/>
                <w:szCs w:val="16"/>
                <w:lang w:eastAsia="en-AU"/>
              </w:rPr>
            </w:pPr>
            <w:r w:rsidRPr="00A86019">
              <w:rPr>
                <w:rFonts w:ascii="Calibri" w:hAnsi="Calibri" w:cs="Calibri"/>
                <w:color w:val="000000"/>
                <w:sz w:val="16"/>
                <w:szCs w:val="16"/>
                <w:lang w:eastAsia="en-AU"/>
              </w:rPr>
              <w:t>Standard deviation</w:t>
            </w:r>
          </w:p>
        </w:tc>
      </w:tr>
      <w:tr w:rsidR="00A86019" w:rsidRPr="00A86019">
        <w:trPr>
          <w:trHeight w:val="225"/>
        </w:trPr>
        <w:tc>
          <w:tcPr>
            <w:tcW w:w="1660" w:type="dxa"/>
            <w:tcBorders>
              <w:top w:val="nil"/>
              <w:left w:val="single" w:sz="4" w:space="0" w:color="auto"/>
              <w:bottom w:val="single" w:sz="4" w:space="0" w:color="auto"/>
              <w:right w:val="single" w:sz="4" w:space="0" w:color="auto"/>
            </w:tcBorders>
            <w:shd w:val="clear" w:color="auto" w:fill="auto"/>
            <w:noWrap/>
            <w:vAlign w:val="center"/>
          </w:tcPr>
          <w:p w:rsidR="00A86019" w:rsidRPr="00A86019" w:rsidRDefault="00A86019" w:rsidP="00A86019">
            <w:pPr>
              <w:jc w:val="center"/>
              <w:rPr>
                <w:rFonts w:ascii="Calibri" w:hAnsi="Calibri" w:cs="Calibri"/>
                <w:color w:val="000000"/>
                <w:sz w:val="16"/>
                <w:szCs w:val="16"/>
                <w:lang w:eastAsia="en-AU"/>
              </w:rPr>
            </w:pPr>
            <w:r w:rsidRPr="00A86019">
              <w:rPr>
                <w:rFonts w:ascii="Calibri" w:hAnsi="Calibri" w:cs="Calibri"/>
                <w:color w:val="000000"/>
                <w:sz w:val="16"/>
                <w:szCs w:val="16"/>
                <w:lang w:eastAsia="en-AU"/>
              </w:rPr>
              <w:t>2010-11</w:t>
            </w:r>
          </w:p>
        </w:tc>
        <w:tc>
          <w:tcPr>
            <w:tcW w:w="1120" w:type="dxa"/>
            <w:tcBorders>
              <w:top w:val="nil"/>
              <w:left w:val="nil"/>
              <w:bottom w:val="single" w:sz="4" w:space="0" w:color="auto"/>
              <w:right w:val="single" w:sz="4" w:space="0" w:color="auto"/>
            </w:tcBorders>
            <w:shd w:val="clear" w:color="auto" w:fill="auto"/>
            <w:noWrap/>
            <w:vAlign w:val="center"/>
          </w:tcPr>
          <w:p w:rsidR="00A86019" w:rsidRPr="00A86019" w:rsidRDefault="00A86019" w:rsidP="00A86019">
            <w:pPr>
              <w:jc w:val="center"/>
              <w:rPr>
                <w:rFonts w:ascii="Calibri" w:hAnsi="Calibri" w:cs="Calibri"/>
                <w:color w:val="000000"/>
                <w:sz w:val="16"/>
                <w:szCs w:val="16"/>
                <w:lang w:eastAsia="en-AU"/>
              </w:rPr>
            </w:pPr>
            <w:r w:rsidRPr="00A86019">
              <w:rPr>
                <w:rFonts w:ascii="Calibri" w:hAnsi="Calibri" w:cs="Calibri"/>
                <w:color w:val="000000"/>
                <w:sz w:val="16"/>
                <w:szCs w:val="16"/>
                <w:lang w:eastAsia="en-AU"/>
              </w:rPr>
              <w:t>660,755</w:t>
            </w:r>
          </w:p>
        </w:tc>
        <w:tc>
          <w:tcPr>
            <w:tcW w:w="1120" w:type="dxa"/>
            <w:tcBorders>
              <w:top w:val="nil"/>
              <w:left w:val="nil"/>
              <w:bottom w:val="single" w:sz="4" w:space="0" w:color="auto"/>
              <w:right w:val="single" w:sz="4" w:space="0" w:color="auto"/>
            </w:tcBorders>
            <w:shd w:val="clear" w:color="auto" w:fill="auto"/>
            <w:noWrap/>
            <w:vAlign w:val="center"/>
          </w:tcPr>
          <w:p w:rsidR="00A86019" w:rsidRPr="00A86019" w:rsidRDefault="00A86019" w:rsidP="00A86019">
            <w:pPr>
              <w:jc w:val="center"/>
              <w:rPr>
                <w:rFonts w:ascii="Calibri" w:hAnsi="Calibri" w:cs="Calibri"/>
                <w:color w:val="000000"/>
                <w:sz w:val="16"/>
                <w:szCs w:val="16"/>
                <w:lang w:eastAsia="en-AU"/>
              </w:rPr>
            </w:pPr>
            <w:r w:rsidRPr="00A86019">
              <w:rPr>
                <w:rFonts w:ascii="Calibri" w:hAnsi="Calibri" w:cs="Calibri"/>
                <w:color w:val="000000"/>
                <w:sz w:val="16"/>
                <w:szCs w:val="16"/>
                <w:lang w:eastAsia="en-AU"/>
              </w:rPr>
              <w:t>29%</w:t>
            </w:r>
          </w:p>
        </w:tc>
        <w:tc>
          <w:tcPr>
            <w:tcW w:w="1120" w:type="dxa"/>
            <w:tcBorders>
              <w:top w:val="nil"/>
              <w:left w:val="nil"/>
              <w:bottom w:val="single" w:sz="4" w:space="0" w:color="auto"/>
              <w:right w:val="single" w:sz="4" w:space="0" w:color="auto"/>
            </w:tcBorders>
            <w:shd w:val="clear" w:color="auto" w:fill="auto"/>
            <w:noWrap/>
            <w:vAlign w:val="center"/>
          </w:tcPr>
          <w:p w:rsidR="00A86019" w:rsidRPr="00A86019" w:rsidRDefault="00665B26" w:rsidP="00A86019">
            <w:pPr>
              <w:jc w:val="center"/>
              <w:rPr>
                <w:rFonts w:ascii="Calibri" w:hAnsi="Calibri" w:cs="Calibri"/>
                <w:color w:val="000000"/>
                <w:sz w:val="16"/>
                <w:szCs w:val="16"/>
                <w:lang w:eastAsia="en-AU"/>
              </w:rPr>
            </w:pPr>
            <w:r>
              <w:rPr>
                <w:rFonts w:ascii="Calibri" w:hAnsi="Calibri" w:cs="Calibri"/>
                <w:color w:val="000000"/>
                <w:sz w:val="16"/>
                <w:szCs w:val="16"/>
                <w:lang w:eastAsia="en-AU"/>
              </w:rPr>
              <w:t>1.0</w:t>
            </w:r>
          </w:p>
        </w:tc>
        <w:tc>
          <w:tcPr>
            <w:tcW w:w="1120" w:type="dxa"/>
            <w:tcBorders>
              <w:top w:val="nil"/>
              <w:left w:val="nil"/>
              <w:bottom w:val="single" w:sz="4" w:space="0" w:color="auto"/>
              <w:right w:val="single" w:sz="4" w:space="0" w:color="auto"/>
            </w:tcBorders>
            <w:shd w:val="clear" w:color="auto" w:fill="auto"/>
            <w:noWrap/>
            <w:vAlign w:val="center"/>
          </w:tcPr>
          <w:p w:rsidR="00A86019" w:rsidRPr="00A86019" w:rsidRDefault="009522ED" w:rsidP="00A86019">
            <w:pPr>
              <w:jc w:val="center"/>
              <w:rPr>
                <w:rFonts w:ascii="Calibri" w:hAnsi="Calibri" w:cs="Calibri"/>
                <w:color w:val="000000"/>
                <w:sz w:val="16"/>
                <w:szCs w:val="16"/>
                <w:lang w:eastAsia="en-AU"/>
              </w:rPr>
            </w:pPr>
            <w:r>
              <w:rPr>
                <w:rFonts w:ascii="Calibri" w:hAnsi="Calibri" w:cs="Calibri"/>
                <w:color w:val="000000"/>
                <w:sz w:val="16"/>
                <w:szCs w:val="16"/>
                <w:lang w:eastAsia="en-AU"/>
              </w:rPr>
              <w:t>285</w:t>
            </w:r>
            <w:r w:rsidR="00665B26">
              <w:rPr>
                <w:rFonts w:ascii="Calibri" w:hAnsi="Calibri" w:cs="Calibri"/>
                <w:color w:val="000000"/>
                <w:sz w:val="16"/>
                <w:szCs w:val="16"/>
                <w:lang w:eastAsia="en-AU"/>
              </w:rPr>
              <w:t>.0</w:t>
            </w:r>
          </w:p>
        </w:tc>
        <w:tc>
          <w:tcPr>
            <w:tcW w:w="1120" w:type="dxa"/>
            <w:tcBorders>
              <w:top w:val="nil"/>
              <w:left w:val="nil"/>
              <w:bottom w:val="single" w:sz="4" w:space="0" w:color="auto"/>
              <w:right w:val="single" w:sz="4" w:space="0" w:color="auto"/>
            </w:tcBorders>
            <w:shd w:val="clear" w:color="auto" w:fill="auto"/>
            <w:noWrap/>
            <w:vAlign w:val="center"/>
          </w:tcPr>
          <w:p w:rsidR="00A86019" w:rsidRPr="00A86019" w:rsidRDefault="00A86019" w:rsidP="00A86019">
            <w:pPr>
              <w:jc w:val="center"/>
              <w:rPr>
                <w:rFonts w:ascii="Calibri" w:hAnsi="Calibri" w:cs="Calibri"/>
                <w:color w:val="000000"/>
                <w:sz w:val="16"/>
                <w:szCs w:val="16"/>
                <w:lang w:eastAsia="en-AU"/>
              </w:rPr>
            </w:pPr>
            <w:r w:rsidRPr="00A86019">
              <w:rPr>
                <w:rFonts w:ascii="Calibri" w:hAnsi="Calibri" w:cs="Calibri"/>
                <w:color w:val="000000"/>
                <w:sz w:val="16"/>
                <w:szCs w:val="16"/>
                <w:lang w:eastAsia="en-AU"/>
              </w:rPr>
              <w:t>0.1</w:t>
            </w:r>
          </w:p>
        </w:tc>
      </w:tr>
      <w:tr w:rsidR="00A86019" w:rsidRPr="00A86019">
        <w:trPr>
          <w:trHeight w:val="225"/>
        </w:trPr>
        <w:tc>
          <w:tcPr>
            <w:tcW w:w="1660" w:type="dxa"/>
            <w:tcBorders>
              <w:top w:val="nil"/>
              <w:left w:val="nil"/>
              <w:bottom w:val="nil"/>
              <w:right w:val="nil"/>
            </w:tcBorders>
            <w:shd w:val="clear" w:color="auto" w:fill="auto"/>
            <w:noWrap/>
            <w:vAlign w:val="bottom"/>
          </w:tcPr>
          <w:p w:rsidR="00A86019" w:rsidRPr="00A86019" w:rsidRDefault="00A86019" w:rsidP="00A86019">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A86019" w:rsidRPr="00A86019" w:rsidRDefault="00A86019" w:rsidP="00A86019">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A86019" w:rsidRPr="00A86019" w:rsidRDefault="00A86019" w:rsidP="00A86019">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A86019" w:rsidRPr="00A86019" w:rsidRDefault="00A86019" w:rsidP="00A86019">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A86019" w:rsidRPr="00A86019" w:rsidRDefault="00A86019" w:rsidP="00A86019">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A86019" w:rsidRPr="00A86019" w:rsidRDefault="00A86019" w:rsidP="00A86019">
            <w:pPr>
              <w:rPr>
                <w:rFonts w:ascii="Calibri" w:hAnsi="Calibri" w:cs="Calibri"/>
                <w:color w:val="000000"/>
                <w:sz w:val="16"/>
                <w:szCs w:val="16"/>
                <w:lang w:eastAsia="en-AU"/>
              </w:rPr>
            </w:pPr>
          </w:p>
        </w:tc>
      </w:tr>
      <w:tr w:rsidR="00A86019" w:rsidRPr="00A86019">
        <w:trPr>
          <w:trHeight w:val="450"/>
        </w:trPr>
        <w:tc>
          <w:tcPr>
            <w:tcW w:w="1660" w:type="dxa"/>
            <w:tcBorders>
              <w:top w:val="single" w:sz="4" w:space="0" w:color="auto"/>
              <w:left w:val="single" w:sz="4" w:space="0" w:color="auto"/>
              <w:bottom w:val="nil"/>
              <w:right w:val="single" w:sz="4" w:space="0" w:color="auto"/>
            </w:tcBorders>
            <w:shd w:val="clear" w:color="000000" w:fill="D8D8D8"/>
            <w:vAlign w:val="center"/>
          </w:tcPr>
          <w:p w:rsidR="00A86019" w:rsidRPr="00A86019" w:rsidRDefault="00A86019" w:rsidP="00A86019">
            <w:pPr>
              <w:jc w:val="center"/>
              <w:rPr>
                <w:rFonts w:ascii="Calibri" w:hAnsi="Calibri" w:cs="Calibri"/>
                <w:color w:val="000000"/>
                <w:sz w:val="16"/>
                <w:szCs w:val="16"/>
                <w:lang w:eastAsia="en-AU"/>
              </w:rPr>
            </w:pPr>
            <w:r w:rsidRPr="00A86019">
              <w:rPr>
                <w:rFonts w:ascii="Calibri" w:hAnsi="Calibri" w:cs="Calibri"/>
                <w:color w:val="000000"/>
                <w:sz w:val="16"/>
                <w:szCs w:val="16"/>
                <w:lang w:eastAsia="en-AU"/>
              </w:rPr>
              <w:t>Method</w:t>
            </w:r>
          </w:p>
        </w:tc>
        <w:tc>
          <w:tcPr>
            <w:tcW w:w="1120" w:type="dxa"/>
            <w:tcBorders>
              <w:top w:val="single" w:sz="4" w:space="0" w:color="auto"/>
              <w:left w:val="nil"/>
              <w:bottom w:val="nil"/>
              <w:right w:val="single" w:sz="4" w:space="0" w:color="auto"/>
            </w:tcBorders>
            <w:shd w:val="clear" w:color="000000" w:fill="D8D8D8"/>
            <w:vAlign w:val="center"/>
          </w:tcPr>
          <w:p w:rsidR="00A86019" w:rsidRPr="00A86019" w:rsidRDefault="00A86019" w:rsidP="00A86019">
            <w:pPr>
              <w:jc w:val="center"/>
              <w:rPr>
                <w:rFonts w:ascii="Calibri" w:hAnsi="Calibri" w:cs="Calibri"/>
                <w:color w:val="000000"/>
                <w:sz w:val="16"/>
                <w:szCs w:val="16"/>
                <w:lang w:eastAsia="en-AU"/>
              </w:rPr>
            </w:pPr>
            <w:r w:rsidRPr="00A86019">
              <w:rPr>
                <w:rFonts w:ascii="Calibri" w:hAnsi="Calibri" w:cs="Calibri"/>
                <w:color w:val="000000"/>
                <w:sz w:val="16"/>
                <w:szCs w:val="16"/>
                <w:lang w:eastAsia="en-AU"/>
              </w:rPr>
              <w:t>Measure of average</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A86019" w:rsidRPr="00A86019" w:rsidRDefault="00A86019" w:rsidP="00A86019">
            <w:pPr>
              <w:jc w:val="center"/>
              <w:rPr>
                <w:rFonts w:ascii="Calibri" w:hAnsi="Calibri" w:cs="Calibri"/>
                <w:color w:val="000000"/>
                <w:sz w:val="16"/>
                <w:szCs w:val="16"/>
                <w:lang w:eastAsia="en-AU"/>
              </w:rPr>
            </w:pPr>
            <w:r w:rsidRPr="00A86019">
              <w:rPr>
                <w:rFonts w:ascii="Calibri" w:hAnsi="Calibri" w:cs="Calibri"/>
                <w:color w:val="000000"/>
                <w:sz w:val="16"/>
                <w:szCs w:val="16"/>
                <w:lang w:eastAsia="en-AU"/>
              </w:rPr>
              <w:t>Average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A86019" w:rsidRPr="00A86019" w:rsidRDefault="00A86019" w:rsidP="00A86019">
            <w:pPr>
              <w:jc w:val="center"/>
              <w:rPr>
                <w:rFonts w:ascii="Calibri" w:hAnsi="Calibri" w:cs="Calibri"/>
                <w:color w:val="000000"/>
                <w:sz w:val="16"/>
                <w:szCs w:val="16"/>
                <w:lang w:eastAsia="en-AU"/>
              </w:rPr>
            </w:pPr>
            <w:r w:rsidRPr="00A86019">
              <w:rPr>
                <w:rFonts w:ascii="Calibri" w:hAnsi="Calibri" w:cs="Calibri"/>
                <w:color w:val="000000"/>
                <w:sz w:val="16"/>
                <w:szCs w:val="16"/>
                <w:lang w:eastAsia="en-AU"/>
              </w:rPr>
              <w:t>Lower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A86019" w:rsidRPr="00A86019" w:rsidRDefault="00A86019" w:rsidP="00A86019">
            <w:pPr>
              <w:jc w:val="center"/>
              <w:rPr>
                <w:rFonts w:ascii="Calibri" w:hAnsi="Calibri" w:cs="Calibri"/>
                <w:color w:val="000000"/>
                <w:sz w:val="16"/>
                <w:szCs w:val="16"/>
                <w:lang w:eastAsia="en-AU"/>
              </w:rPr>
            </w:pPr>
            <w:r w:rsidRPr="00A86019">
              <w:rPr>
                <w:rFonts w:ascii="Calibri" w:hAnsi="Calibri" w:cs="Calibri"/>
                <w:color w:val="000000"/>
                <w:sz w:val="16"/>
                <w:szCs w:val="16"/>
                <w:lang w:eastAsia="en-AU"/>
              </w:rPr>
              <w:t>Upper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A86019" w:rsidRPr="00A86019" w:rsidRDefault="00A86019" w:rsidP="00A86019">
            <w:pPr>
              <w:jc w:val="center"/>
              <w:rPr>
                <w:rFonts w:ascii="Calibri" w:hAnsi="Calibri" w:cs="Calibri"/>
                <w:color w:val="000000"/>
                <w:sz w:val="16"/>
                <w:szCs w:val="16"/>
                <w:lang w:eastAsia="en-AU"/>
              </w:rPr>
            </w:pPr>
            <w:r w:rsidRPr="00A86019">
              <w:rPr>
                <w:rFonts w:ascii="Calibri" w:hAnsi="Calibri" w:cs="Calibri"/>
                <w:color w:val="000000"/>
                <w:sz w:val="16"/>
                <w:szCs w:val="16"/>
                <w:lang w:eastAsia="en-AU"/>
              </w:rPr>
              <w:t>Confidence interval ± (kg)</w:t>
            </w:r>
          </w:p>
        </w:tc>
      </w:tr>
      <w:tr w:rsidR="00A86019" w:rsidRPr="00A86019">
        <w:trPr>
          <w:trHeight w:val="48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A86019" w:rsidRPr="00A86019" w:rsidRDefault="00A86019" w:rsidP="00A86019">
            <w:pPr>
              <w:jc w:val="center"/>
              <w:rPr>
                <w:rFonts w:ascii="Calibri" w:hAnsi="Calibri" w:cs="Calibri"/>
                <w:color w:val="000000"/>
                <w:sz w:val="16"/>
                <w:szCs w:val="16"/>
                <w:lang w:eastAsia="en-AU"/>
              </w:rPr>
            </w:pPr>
            <w:r w:rsidRPr="00A86019">
              <w:rPr>
                <w:rFonts w:ascii="Calibri" w:hAnsi="Calibri" w:cs="Calibri"/>
                <w:color w:val="000000"/>
                <w:sz w:val="16"/>
                <w:szCs w:val="16"/>
                <w:lang w:eastAsia="en-AU"/>
              </w:rPr>
              <w:t>Approximation to the normal distribution</w:t>
            </w:r>
          </w:p>
        </w:tc>
        <w:tc>
          <w:tcPr>
            <w:tcW w:w="1120" w:type="dxa"/>
            <w:tcBorders>
              <w:top w:val="single" w:sz="4" w:space="0" w:color="auto"/>
              <w:left w:val="nil"/>
              <w:bottom w:val="single" w:sz="4" w:space="0" w:color="auto"/>
              <w:right w:val="single" w:sz="4" w:space="0" w:color="auto"/>
            </w:tcBorders>
            <w:shd w:val="clear" w:color="auto" w:fill="auto"/>
            <w:vAlign w:val="center"/>
          </w:tcPr>
          <w:p w:rsidR="00A86019" w:rsidRPr="00A86019" w:rsidRDefault="00A86019" w:rsidP="00A86019">
            <w:pPr>
              <w:jc w:val="center"/>
              <w:rPr>
                <w:rFonts w:ascii="Calibri" w:hAnsi="Calibri" w:cs="Calibri"/>
                <w:color w:val="000000"/>
                <w:sz w:val="16"/>
                <w:szCs w:val="16"/>
                <w:lang w:eastAsia="en-AU"/>
              </w:rPr>
            </w:pPr>
            <w:r w:rsidRPr="00A86019">
              <w:rPr>
                <w:rFonts w:ascii="Calibri" w:hAnsi="Calibri" w:cs="Calibri"/>
                <w:color w:val="000000"/>
                <w:sz w:val="16"/>
                <w:szCs w:val="16"/>
                <w:lang w:eastAsia="en-AU"/>
              </w:rPr>
              <w:t>Mean</w:t>
            </w:r>
          </w:p>
        </w:tc>
        <w:tc>
          <w:tcPr>
            <w:tcW w:w="1120" w:type="dxa"/>
            <w:tcBorders>
              <w:top w:val="nil"/>
              <w:left w:val="nil"/>
              <w:bottom w:val="single" w:sz="4" w:space="0" w:color="auto"/>
              <w:right w:val="single" w:sz="4" w:space="0" w:color="auto"/>
            </w:tcBorders>
            <w:shd w:val="clear" w:color="auto" w:fill="auto"/>
            <w:noWrap/>
            <w:vAlign w:val="center"/>
          </w:tcPr>
          <w:p w:rsidR="00A86019" w:rsidRPr="00A86019" w:rsidRDefault="00A86019" w:rsidP="00A86019">
            <w:pPr>
              <w:jc w:val="center"/>
              <w:rPr>
                <w:rFonts w:ascii="Calibri" w:hAnsi="Calibri" w:cs="Calibri"/>
                <w:color w:val="000000"/>
                <w:sz w:val="16"/>
                <w:szCs w:val="16"/>
                <w:lang w:eastAsia="en-AU"/>
              </w:rPr>
            </w:pPr>
            <w:r w:rsidRPr="00A86019">
              <w:rPr>
                <w:rFonts w:ascii="Calibri" w:hAnsi="Calibri" w:cs="Calibri"/>
                <w:color w:val="000000"/>
                <w:sz w:val="16"/>
                <w:szCs w:val="16"/>
                <w:lang w:eastAsia="en-AU"/>
              </w:rPr>
              <w:t>8.9</w:t>
            </w:r>
          </w:p>
        </w:tc>
        <w:tc>
          <w:tcPr>
            <w:tcW w:w="1120" w:type="dxa"/>
            <w:tcBorders>
              <w:top w:val="nil"/>
              <w:left w:val="nil"/>
              <w:bottom w:val="single" w:sz="4" w:space="0" w:color="auto"/>
              <w:right w:val="single" w:sz="4" w:space="0" w:color="auto"/>
            </w:tcBorders>
            <w:shd w:val="clear" w:color="auto" w:fill="auto"/>
            <w:noWrap/>
            <w:vAlign w:val="center"/>
          </w:tcPr>
          <w:p w:rsidR="00A86019" w:rsidRPr="00A86019" w:rsidRDefault="00A86019" w:rsidP="00A86019">
            <w:pPr>
              <w:jc w:val="center"/>
              <w:rPr>
                <w:rFonts w:ascii="Calibri" w:hAnsi="Calibri" w:cs="Calibri"/>
                <w:color w:val="000000"/>
                <w:sz w:val="16"/>
                <w:szCs w:val="16"/>
                <w:lang w:eastAsia="en-AU"/>
              </w:rPr>
            </w:pPr>
            <w:r w:rsidRPr="00A86019">
              <w:rPr>
                <w:rFonts w:ascii="Calibri" w:hAnsi="Calibri" w:cs="Calibri"/>
                <w:color w:val="000000"/>
                <w:sz w:val="16"/>
                <w:szCs w:val="16"/>
                <w:lang w:eastAsia="en-AU"/>
              </w:rPr>
              <w:t>8.7</w:t>
            </w:r>
          </w:p>
        </w:tc>
        <w:tc>
          <w:tcPr>
            <w:tcW w:w="1120" w:type="dxa"/>
            <w:tcBorders>
              <w:top w:val="nil"/>
              <w:left w:val="nil"/>
              <w:bottom w:val="single" w:sz="4" w:space="0" w:color="auto"/>
              <w:right w:val="single" w:sz="4" w:space="0" w:color="auto"/>
            </w:tcBorders>
            <w:shd w:val="clear" w:color="auto" w:fill="auto"/>
            <w:noWrap/>
            <w:vAlign w:val="center"/>
          </w:tcPr>
          <w:p w:rsidR="00A86019" w:rsidRPr="00A86019" w:rsidRDefault="00A86019" w:rsidP="00A86019">
            <w:pPr>
              <w:jc w:val="center"/>
              <w:rPr>
                <w:rFonts w:ascii="Calibri" w:hAnsi="Calibri" w:cs="Calibri"/>
                <w:color w:val="000000"/>
                <w:sz w:val="16"/>
                <w:szCs w:val="16"/>
                <w:lang w:eastAsia="en-AU"/>
              </w:rPr>
            </w:pPr>
            <w:r w:rsidRPr="00A86019">
              <w:rPr>
                <w:rFonts w:ascii="Calibri" w:hAnsi="Calibri" w:cs="Calibri"/>
                <w:color w:val="000000"/>
                <w:sz w:val="16"/>
                <w:szCs w:val="16"/>
                <w:lang w:eastAsia="en-AU"/>
              </w:rPr>
              <w:t>9.1</w:t>
            </w:r>
          </w:p>
        </w:tc>
        <w:tc>
          <w:tcPr>
            <w:tcW w:w="1120" w:type="dxa"/>
            <w:tcBorders>
              <w:top w:val="nil"/>
              <w:left w:val="nil"/>
              <w:bottom w:val="single" w:sz="4" w:space="0" w:color="auto"/>
              <w:right w:val="single" w:sz="4" w:space="0" w:color="auto"/>
            </w:tcBorders>
            <w:shd w:val="clear" w:color="auto" w:fill="auto"/>
            <w:noWrap/>
            <w:vAlign w:val="center"/>
          </w:tcPr>
          <w:p w:rsidR="00A86019" w:rsidRPr="00A86019" w:rsidRDefault="00A86019" w:rsidP="00A86019">
            <w:pPr>
              <w:jc w:val="center"/>
              <w:rPr>
                <w:rFonts w:ascii="Calibri" w:hAnsi="Calibri" w:cs="Calibri"/>
                <w:color w:val="000000"/>
                <w:sz w:val="16"/>
                <w:szCs w:val="16"/>
                <w:lang w:eastAsia="en-AU"/>
              </w:rPr>
            </w:pPr>
            <w:r w:rsidRPr="00A86019">
              <w:rPr>
                <w:rFonts w:ascii="Calibri" w:hAnsi="Calibri" w:cs="Calibri"/>
                <w:color w:val="000000"/>
                <w:sz w:val="16"/>
                <w:szCs w:val="16"/>
                <w:lang w:eastAsia="en-AU"/>
              </w:rPr>
              <w:t>0.2</w:t>
            </w:r>
          </w:p>
        </w:tc>
      </w:tr>
      <w:tr w:rsidR="00A86019" w:rsidRPr="00A86019">
        <w:trPr>
          <w:trHeight w:val="480"/>
        </w:trPr>
        <w:tc>
          <w:tcPr>
            <w:tcW w:w="1660" w:type="dxa"/>
            <w:tcBorders>
              <w:top w:val="nil"/>
              <w:left w:val="single" w:sz="4" w:space="0" w:color="auto"/>
              <w:bottom w:val="single" w:sz="4" w:space="0" w:color="auto"/>
              <w:right w:val="single" w:sz="4" w:space="0" w:color="auto"/>
            </w:tcBorders>
            <w:shd w:val="clear" w:color="auto" w:fill="auto"/>
            <w:vAlign w:val="center"/>
          </w:tcPr>
          <w:p w:rsidR="00A86019" w:rsidRPr="00A86019" w:rsidRDefault="00A86019" w:rsidP="00A86019">
            <w:pPr>
              <w:jc w:val="center"/>
              <w:rPr>
                <w:rFonts w:ascii="Calibri" w:hAnsi="Calibri" w:cs="Calibri"/>
                <w:color w:val="000000"/>
                <w:sz w:val="16"/>
                <w:szCs w:val="16"/>
                <w:lang w:eastAsia="en-AU"/>
              </w:rPr>
            </w:pPr>
            <w:r w:rsidRPr="00A86019">
              <w:rPr>
                <w:rFonts w:ascii="Calibri" w:hAnsi="Calibri" w:cs="Calibri"/>
                <w:color w:val="000000"/>
                <w:sz w:val="16"/>
                <w:szCs w:val="16"/>
                <w:lang w:eastAsia="en-AU"/>
              </w:rPr>
              <w:t>Use of percentiles</w:t>
            </w:r>
          </w:p>
        </w:tc>
        <w:tc>
          <w:tcPr>
            <w:tcW w:w="1120" w:type="dxa"/>
            <w:tcBorders>
              <w:top w:val="nil"/>
              <w:left w:val="nil"/>
              <w:bottom w:val="single" w:sz="4" w:space="0" w:color="auto"/>
              <w:right w:val="single" w:sz="4" w:space="0" w:color="auto"/>
            </w:tcBorders>
            <w:shd w:val="clear" w:color="auto" w:fill="auto"/>
            <w:vAlign w:val="center"/>
          </w:tcPr>
          <w:p w:rsidR="00A86019" w:rsidRPr="00A86019" w:rsidRDefault="00A86019" w:rsidP="00A86019">
            <w:pPr>
              <w:jc w:val="center"/>
              <w:rPr>
                <w:rFonts w:ascii="Calibri" w:hAnsi="Calibri" w:cs="Calibri"/>
                <w:color w:val="000000"/>
                <w:sz w:val="16"/>
                <w:szCs w:val="16"/>
                <w:lang w:eastAsia="en-AU"/>
              </w:rPr>
            </w:pPr>
            <w:r w:rsidRPr="00A86019">
              <w:rPr>
                <w:rFonts w:ascii="Calibri" w:hAnsi="Calibri" w:cs="Calibri"/>
                <w:color w:val="000000"/>
                <w:sz w:val="16"/>
                <w:szCs w:val="16"/>
                <w:lang w:eastAsia="en-AU"/>
              </w:rPr>
              <w:t>Median</w:t>
            </w:r>
          </w:p>
        </w:tc>
        <w:tc>
          <w:tcPr>
            <w:tcW w:w="1120" w:type="dxa"/>
            <w:tcBorders>
              <w:top w:val="nil"/>
              <w:left w:val="nil"/>
              <w:bottom w:val="single" w:sz="4" w:space="0" w:color="auto"/>
              <w:right w:val="single" w:sz="4" w:space="0" w:color="auto"/>
            </w:tcBorders>
            <w:shd w:val="clear" w:color="auto" w:fill="auto"/>
            <w:noWrap/>
            <w:vAlign w:val="center"/>
          </w:tcPr>
          <w:p w:rsidR="00A86019" w:rsidRPr="00A86019" w:rsidRDefault="00A86019" w:rsidP="00A86019">
            <w:pPr>
              <w:jc w:val="center"/>
              <w:rPr>
                <w:rFonts w:ascii="Calibri" w:hAnsi="Calibri" w:cs="Calibri"/>
                <w:color w:val="000000"/>
                <w:sz w:val="16"/>
                <w:szCs w:val="16"/>
                <w:lang w:eastAsia="en-AU"/>
              </w:rPr>
            </w:pPr>
            <w:r w:rsidRPr="00A86019">
              <w:rPr>
                <w:rFonts w:ascii="Calibri" w:hAnsi="Calibri" w:cs="Calibri"/>
                <w:color w:val="000000"/>
                <w:sz w:val="16"/>
                <w:szCs w:val="16"/>
                <w:lang w:eastAsia="en-AU"/>
              </w:rPr>
              <w:t>10.6</w:t>
            </w:r>
          </w:p>
        </w:tc>
        <w:tc>
          <w:tcPr>
            <w:tcW w:w="1120" w:type="dxa"/>
            <w:tcBorders>
              <w:top w:val="nil"/>
              <w:left w:val="nil"/>
              <w:bottom w:val="single" w:sz="4" w:space="0" w:color="auto"/>
              <w:right w:val="single" w:sz="4" w:space="0" w:color="auto"/>
            </w:tcBorders>
            <w:shd w:val="clear" w:color="auto" w:fill="auto"/>
            <w:noWrap/>
            <w:vAlign w:val="center"/>
          </w:tcPr>
          <w:p w:rsidR="00A86019" w:rsidRPr="00A86019" w:rsidRDefault="00A86019" w:rsidP="00A86019">
            <w:pPr>
              <w:jc w:val="center"/>
              <w:rPr>
                <w:rFonts w:ascii="Calibri" w:hAnsi="Calibri" w:cs="Calibri"/>
                <w:color w:val="000000"/>
                <w:sz w:val="16"/>
                <w:szCs w:val="16"/>
                <w:lang w:eastAsia="en-AU"/>
              </w:rPr>
            </w:pPr>
            <w:r w:rsidRPr="00A86019">
              <w:rPr>
                <w:rFonts w:ascii="Calibri" w:hAnsi="Calibri" w:cs="Calibri"/>
                <w:color w:val="000000"/>
                <w:sz w:val="16"/>
                <w:szCs w:val="16"/>
                <w:lang w:eastAsia="en-AU"/>
              </w:rPr>
              <w:t>2.0</w:t>
            </w:r>
          </w:p>
        </w:tc>
        <w:tc>
          <w:tcPr>
            <w:tcW w:w="1120" w:type="dxa"/>
            <w:tcBorders>
              <w:top w:val="nil"/>
              <w:left w:val="nil"/>
              <w:bottom w:val="single" w:sz="4" w:space="0" w:color="auto"/>
              <w:right w:val="single" w:sz="4" w:space="0" w:color="auto"/>
            </w:tcBorders>
            <w:shd w:val="clear" w:color="auto" w:fill="auto"/>
            <w:noWrap/>
            <w:vAlign w:val="center"/>
          </w:tcPr>
          <w:p w:rsidR="00A86019" w:rsidRPr="00A86019" w:rsidRDefault="00A86019" w:rsidP="00A86019">
            <w:pPr>
              <w:jc w:val="center"/>
              <w:rPr>
                <w:rFonts w:ascii="Calibri" w:hAnsi="Calibri" w:cs="Calibri"/>
                <w:color w:val="000000"/>
                <w:sz w:val="16"/>
                <w:szCs w:val="16"/>
                <w:lang w:eastAsia="en-AU"/>
              </w:rPr>
            </w:pPr>
            <w:r w:rsidRPr="00A86019">
              <w:rPr>
                <w:rFonts w:ascii="Calibri" w:hAnsi="Calibri" w:cs="Calibri"/>
                <w:color w:val="000000"/>
                <w:sz w:val="16"/>
                <w:szCs w:val="16"/>
                <w:lang w:eastAsia="en-AU"/>
              </w:rPr>
              <w:t>190.0</w:t>
            </w:r>
          </w:p>
        </w:tc>
        <w:tc>
          <w:tcPr>
            <w:tcW w:w="1120" w:type="dxa"/>
            <w:tcBorders>
              <w:top w:val="nil"/>
              <w:left w:val="nil"/>
              <w:bottom w:val="single" w:sz="4" w:space="0" w:color="auto"/>
              <w:right w:val="single" w:sz="4" w:space="0" w:color="auto"/>
            </w:tcBorders>
            <w:shd w:val="clear" w:color="auto" w:fill="auto"/>
            <w:noWrap/>
            <w:vAlign w:val="center"/>
          </w:tcPr>
          <w:p w:rsidR="00A86019" w:rsidRPr="00A86019" w:rsidRDefault="00A86019" w:rsidP="00A86019">
            <w:pPr>
              <w:jc w:val="center"/>
              <w:rPr>
                <w:rFonts w:ascii="Calibri" w:hAnsi="Calibri" w:cs="Calibri"/>
                <w:color w:val="000000"/>
                <w:sz w:val="16"/>
                <w:szCs w:val="16"/>
                <w:lang w:eastAsia="en-AU"/>
              </w:rPr>
            </w:pPr>
            <w:r w:rsidRPr="00A86019">
              <w:rPr>
                <w:rFonts w:ascii="Calibri" w:hAnsi="Calibri" w:cs="Calibri"/>
                <w:color w:val="000000"/>
                <w:sz w:val="16"/>
                <w:szCs w:val="16"/>
                <w:lang w:eastAsia="en-AU"/>
              </w:rPr>
              <w:t>179.4</w:t>
            </w:r>
          </w:p>
        </w:tc>
      </w:tr>
      <w:tr w:rsidR="00A86019" w:rsidRPr="00A86019">
        <w:trPr>
          <w:trHeight w:val="225"/>
        </w:trPr>
        <w:tc>
          <w:tcPr>
            <w:tcW w:w="1660" w:type="dxa"/>
            <w:tcBorders>
              <w:top w:val="nil"/>
              <w:left w:val="nil"/>
              <w:bottom w:val="nil"/>
              <w:right w:val="nil"/>
            </w:tcBorders>
            <w:shd w:val="clear" w:color="auto" w:fill="auto"/>
            <w:noWrap/>
            <w:vAlign w:val="bottom"/>
          </w:tcPr>
          <w:p w:rsidR="00A86019" w:rsidRPr="00A86019" w:rsidRDefault="00A86019" w:rsidP="00A86019">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A86019" w:rsidRPr="00A86019" w:rsidRDefault="00A86019" w:rsidP="00A86019">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A86019" w:rsidRPr="00A86019" w:rsidRDefault="00A86019" w:rsidP="00A86019">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A86019" w:rsidRPr="00A86019" w:rsidRDefault="00A86019" w:rsidP="00A86019">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A86019" w:rsidRPr="00A86019" w:rsidRDefault="00A86019" w:rsidP="00A86019">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A86019" w:rsidRPr="00A86019" w:rsidRDefault="00A86019" w:rsidP="00A86019">
            <w:pPr>
              <w:rPr>
                <w:rFonts w:ascii="Calibri" w:hAnsi="Calibri" w:cs="Calibri"/>
                <w:color w:val="000000"/>
                <w:sz w:val="16"/>
                <w:szCs w:val="16"/>
                <w:lang w:eastAsia="en-AU"/>
              </w:rPr>
            </w:pPr>
          </w:p>
        </w:tc>
      </w:tr>
      <w:tr w:rsidR="00A86019" w:rsidRPr="00A86019">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tcPr>
          <w:p w:rsidR="00A86019" w:rsidRPr="00A86019" w:rsidRDefault="00A86019" w:rsidP="00A86019">
            <w:pPr>
              <w:rPr>
                <w:rFonts w:ascii="Calibri" w:hAnsi="Calibri" w:cs="Calibri"/>
                <w:color w:val="000000"/>
                <w:sz w:val="16"/>
                <w:szCs w:val="16"/>
                <w:lang w:eastAsia="en-AU"/>
              </w:rPr>
            </w:pPr>
            <w:r w:rsidRPr="00A86019">
              <w:rPr>
                <w:rFonts w:ascii="Calibri" w:hAnsi="Calibri" w:cs="Calibri"/>
                <w:color w:val="000000"/>
                <w:sz w:val="16"/>
                <w:szCs w:val="16"/>
                <w:lang w:eastAsia="en-AU"/>
              </w:rPr>
              <w:t>Year</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A86019" w:rsidRPr="00A86019" w:rsidRDefault="00A86019" w:rsidP="00A86019">
            <w:pPr>
              <w:jc w:val="center"/>
              <w:rPr>
                <w:rFonts w:ascii="Calibri" w:hAnsi="Calibri" w:cs="Calibri"/>
                <w:color w:val="000000"/>
                <w:sz w:val="16"/>
                <w:szCs w:val="16"/>
                <w:lang w:eastAsia="en-AU"/>
              </w:rPr>
            </w:pPr>
            <w:r w:rsidRPr="00A86019">
              <w:rPr>
                <w:rFonts w:ascii="Calibri" w:hAnsi="Calibri" w:cs="Calibri"/>
                <w:color w:val="000000"/>
                <w:sz w:val="16"/>
                <w:szCs w:val="16"/>
                <w:lang w:eastAsia="en-AU"/>
              </w:rPr>
              <w:t>2010-11</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A86019" w:rsidRPr="00A86019" w:rsidRDefault="00A86019" w:rsidP="00A86019">
            <w:pPr>
              <w:jc w:val="center"/>
              <w:rPr>
                <w:rFonts w:ascii="Calibri" w:hAnsi="Calibri" w:cs="Calibri"/>
                <w:color w:val="000000"/>
                <w:sz w:val="16"/>
                <w:szCs w:val="16"/>
                <w:lang w:eastAsia="en-AU"/>
              </w:rPr>
            </w:pPr>
            <w:r w:rsidRPr="00A86019">
              <w:rPr>
                <w:rFonts w:ascii="Calibri" w:hAnsi="Calibri" w:cs="Calibri"/>
                <w:color w:val="000000"/>
                <w:sz w:val="16"/>
                <w:szCs w:val="16"/>
                <w:lang w:eastAsia="en-AU"/>
              </w:rPr>
              <w:t>2009-10</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A86019" w:rsidRPr="00A86019" w:rsidRDefault="00A86019" w:rsidP="00A86019">
            <w:pPr>
              <w:jc w:val="center"/>
              <w:rPr>
                <w:rFonts w:ascii="Calibri" w:hAnsi="Calibri" w:cs="Calibri"/>
                <w:color w:val="000000"/>
                <w:sz w:val="16"/>
                <w:szCs w:val="16"/>
                <w:lang w:eastAsia="en-AU"/>
              </w:rPr>
            </w:pPr>
            <w:r w:rsidRPr="00A86019">
              <w:rPr>
                <w:rFonts w:ascii="Calibri" w:hAnsi="Calibri" w:cs="Calibri"/>
                <w:color w:val="000000"/>
                <w:sz w:val="16"/>
                <w:szCs w:val="16"/>
                <w:lang w:eastAsia="en-AU"/>
              </w:rPr>
              <w:t>2008-09</w:t>
            </w:r>
          </w:p>
        </w:tc>
      </w:tr>
      <w:tr w:rsidR="00562504" w:rsidRPr="00A86019">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562504" w:rsidRPr="00A86019" w:rsidRDefault="00562504" w:rsidP="00A86019">
            <w:pPr>
              <w:rPr>
                <w:rFonts w:ascii="Calibri" w:hAnsi="Calibri" w:cs="Calibri"/>
                <w:color w:val="000000"/>
                <w:sz w:val="16"/>
                <w:szCs w:val="16"/>
                <w:lang w:eastAsia="en-AU"/>
              </w:rPr>
            </w:pPr>
            <w:r w:rsidRPr="00CB6A7D">
              <w:rPr>
                <w:rFonts w:ascii="Calibri" w:hAnsi="Calibri" w:cs="Calibri"/>
                <w:color w:val="000000"/>
                <w:sz w:val="16"/>
                <w:szCs w:val="16"/>
                <w:lang w:eastAsia="en-AU"/>
              </w:rPr>
              <w:t>Percentage by which the conversion factor over or under estimates the weight of imports</w:t>
            </w:r>
          </w:p>
        </w:tc>
        <w:tc>
          <w:tcPr>
            <w:tcW w:w="1120" w:type="dxa"/>
            <w:tcBorders>
              <w:top w:val="nil"/>
              <w:left w:val="nil"/>
              <w:bottom w:val="single" w:sz="4" w:space="0" w:color="auto"/>
              <w:right w:val="single" w:sz="4" w:space="0" w:color="auto"/>
            </w:tcBorders>
            <w:shd w:val="clear" w:color="auto" w:fill="auto"/>
            <w:noWrap/>
            <w:vAlign w:val="center"/>
          </w:tcPr>
          <w:p w:rsidR="00562504" w:rsidRPr="00A86019" w:rsidRDefault="00562504" w:rsidP="00A86019">
            <w:pPr>
              <w:jc w:val="center"/>
              <w:rPr>
                <w:rFonts w:ascii="Calibri" w:hAnsi="Calibri" w:cs="Calibri"/>
                <w:color w:val="000000"/>
                <w:sz w:val="16"/>
                <w:szCs w:val="16"/>
                <w:lang w:eastAsia="en-AU"/>
              </w:rPr>
            </w:pPr>
            <w:r w:rsidRPr="00A86019">
              <w:rPr>
                <w:rFonts w:ascii="Calibri" w:hAnsi="Calibri" w:cs="Calibri"/>
                <w:color w:val="000000"/>
                <w:sz w:val="16"/>
                <w:szCs w:val="16"/>
                <w:lang w:eastAsia="en-AU"/>
              </w:rPr>
              <w:t>100%</w:t>
            </w:r>
          </w:p>
        </w:tc>
        <w:tc>
          <w:tcPr>
            <w:tcW w:w="1120" w:type="dxa"/>
            <w:tcBorders>
              <w:top w:val="nil"/>
              <w:left w:val="nil"/>
              <w:bottom w:val="single" w:sz="4" w:space="0" w:color="auto"/>
              <w:right w:val="single" w:sz="4" w:space="0" w:color="auto"/>
            </w:tcBorders>
            <w:shd w:val="clear" w:color="auto" w:fill="auto"/>
            <w:noWrap/>
            <w:vAlign w:val="center"/>
          </w:tcPr>
          <w:p w:rsidR="00562504" w:rsidRDefault="00562504">
            <w:pPr>
              <w:jc w:val="center"/>
              <w:rPr>
                <w:rFonts w:ascii="Calibri" w:hAnsi="Calibri" w:cs="Calibri"/>
                <w:color w:val="000000"/>
                <w:sz w:val="16"/>
                <w:szCs w:val="16"/>
              </w:rPr>
            </w:pPr>
            <w:r>
              <w:rPr>
                <w:rFonts w:ascii="Calibri" w:hAnsi="Calibri" w:cs="Calibri"/>
                <w:color w:val="000000"/>
                <w:sz w:val="16"/>
                <w:szCs w:val="16"/>
              </w:rPr>
              <w:t>-35%</w:t>
            </w:r>
          </w:p>
        </w:tc>
        <w:tc>
          <w:tcPr>
            <w:tcW w:w="1120" w:type="dxa"/>
            <w:tcBorders>
              <w:top w:val="nil"/>
              <w:left w:val="nil"/>
              <w:bottom w:val="single" w:sz="4" w:space="0" w:color="auto"/>
              <w:right w:val="single" w:sz="4" w:space="0" w:color="auto"/>
            </w:tcBorders>
            <w:shd w:val="clear" w:color="auto" w:fill="auto"/>
            <w:noWrap/>
            <w:vAlign w:val="center"/>
          </w:tcPr>
          <w:p w:rsidR="00562504" w:rsidRDefault="00562504">
            <w:pPr>
              <w:jc w:val="center"/>
              <w:rPr>
                <w:rFonts w:ascii="Calibri" w:hAnsi="Calibri" w:cs="Calibri"/>
                <w:color w:val="000000"/>
                <w:sz w:val="16"/>
                <w:szCs w:val="16"/>
              </w:rPr>
            </w:pPr>
            <w:r>
              <w:rPr>
                <w:rFonts w:ascii="Calibri" w:hAnsi="Calibri" w:cs="Calibri"/>
                <w:color w:val="000000"/>
                <w:sz w:val="16"/>
                <w:szCs w:val="16"/>
              </w:rPr>
              <w:t>-2%</w:t>
            </w:r>
          </w:p>
        </w:tc>
      </w:tr>
    </w:tbl>
    <w:p w:rsidR="00A86019" w:rsidRDefault="00A86019" w:rsidP="0057667C">
      <w:pPr>
        <w:jc w:val="both"/>
        <w:rPr>
          <w:szCs w:val="22"/>
        </w:rPr>
      </w:pPr>
    </w:p>
    <w:p w:rsidR="001A78F2" w:rsidRDefault="00A86019">
      <w:pPr>
        <w:rPr>
          <w:szCs w:val="22"/>
        </w:rPr>
      </w:pPr>
      <w:r w:rsidRPr="005A3097">
        <w:rPr>
          <w:b/>
          <w:szCs w:val="22"/>
        </w:rPr>
        <w:t>Distribution:</w:t>
      </w:r>
      <w:r>
        <w:rPr>
          <w:b/>
          <w:szCs w:val="22"/>
        </w:rPr>
        <w:t xml:space="preserve"> </w:t>
      </w:r>
      <w:r>
        <w:rPr>
          <w:szCs w:val="22"/>
        </w:rPr>
        <w:t xml:space="preserve">Low weight </w:t>
      </w:r>
      <w:r w:rsidR="00C62346">
        <w:rPr>
          <w:szCs w:val="22"/>
        </w:rPr>
        <w:t>variation</w:t>
      </w:r>
      <w:r>
        <w:rPr>
          <w:szCs w:val="22"/>
        </w:rPr>
        <w:t xml:space="preserve">, </w:t>
      </w:r>
      <w:r w:rsidR="00304B14">
        <w:rPr>
          <w:szCs w:val="22"/>
        </w:rPr>
        <w:t xml:space="preserve">with the </w:t>
      </w:r>
      <w:r>
        <w:rPr>
          <w:szCs w:val="22"/>
        </w:rPr>
        <w:t xml:space="preserve">vast majority between 0-10 kg, tailing off to </w:t>
      </w:r>
      <w:r w:rsidR="00304B14">
        <w:rPr>
          <w:szCs w:val="22"/>
        </w:rPr>
        <w:t>approximately</w:t>
      </w:r>
      <w:r>
        <w:rPr>
          <w:szCs w:val="22"/>
        </w:rPr>
        <w:t xml:space="preserve"> 1 unit representing each 10 kg weight group up to and including the &gt; 200</w:t>
      </w:r>
      <w:r w:rsidR="00304B14">
        <w:rPr>
          <w:szCs w:val="22"/>
        </w:rPr>
        <w:t xml:space="preserve"> kg group. </w:t>
      </w:r>
    </w:p>
    <w:p w:rsidR="001A78F2" w:rsidRDefault="00A86019">
      <w:pPr>
        <w:rPr>
          <w:szCs w:val="22"/>
        </w:rPr>
      </w:pPr>
      <w:r>
        <w:rPr>
          <w:b/>
          <w:szCs w:val="22"/>
        </w:rPr>
        <w:t xml:space="preserve">Proposed conversion factor: </w:t>
      </w:r>
      <w:r>
        <w:rPr>
          <w:szCs w:val="22"/>
        </w:rPr>
        <w:t>8.9 kg.</w:t>
      </w:r>
    </w:p>
    <w:p w:rsidR="001A78F2" w:rsidRDefault="00A86019">
      <w:pPr>
        <w:rPr>
          <w:szCs w:val="22"/>
        </w:rPr>
      </w:pPr>
      <w:r>
        <w:rPr>
          <w:b/>
          <w:szCs w:val="22"/>
        </w:rPr>
        <w:t xml:space="preserve">Proposed confidence interval: </w:t>
      </w:r>
      <w:r>
        <w:rPr>
          <w:szCs w:val="22"/>
        </w:rPr>
        <w:t xml:space="preserve"> </w:t>
      </w:r>
      <w:r w:rsidR="009522ED">
        <w:rPr>
          <w:szCs w:val="22"/>
        </w:rPr>
        <w:t>&gt; 2 kg, &lt; 190 kg</w:t>
      </w:r>
    </w:p>
    <w:p w:rsidR="00562504" w:rsidRDefault="00C62346">
      <w:pPr>
        <w:rPr>
          <w:szCs w:val="22"/>
        </w:rPr>
      </w:pPr>
      <w:r>
        <w:rPr>
          <w:b/>
          <w:szCs w:val="22"/>
        </w:rPr>
        <w:t xml:space="preserve">Variation over time: </w:t>
      </w:r>
      <w:r w:rsidR="00112A79">
        <w:rPr>
          <w:szCs w:val="22"/>
        </w:rPr>
        <w:t>High</w:t>
      </w:r>
    </w:p>
    <w:p w:rsidR="00562504" w:rsidRDefault="00562504" w:rsidP="00593F01">
      <w:pPr>
        <w:rPr>
          <w:szCs w:val="22"/>
        </w:rPr>
      </w:pPr>
    </w:p>
    <w:p w:rsidR="00593F01" w:rsidRPr="00E206B2" w:rsidRDefault="00593F01" w:rsidP="00593F01">
      <w:pPr>
        <w:rPr>
          <w:szCs w:val="22"/>
        </w:rPr>
      </w:pPr>
    </w:p>
    <w:p w:rsidR="00593F01" w:rsidRDefault="00593F01" w:rsidP="002E1A14">
      <w:pPr>
        <w:pStyle w:val="Heading2"/>
      </w:pPr>
      <w:bookmarkStart w:id="44" w:name="_Toc303860084"/>
      <w:bookmarkStart w:id="45" w:name="_Toc304967187"/>
      <w:r w:rsidRPr="00593F01">
        <w:t xml:space="preserve">Computer </w:t>
      </w:r>
      <w:r>
        <w:t>mobile units</w:t>
      </w:r>
      <w:bookmarkEnd w:id="44"/>
      <w:bookmarkEnd w:id="45"/>
    </w:p>
    <w:p w:rsidR="00E5733D" w:rsidRDefault="00E5733D" w:rsidP="00E5733D">
      <w:pPr>
        <w:rPr>
          <w:rFonts w:ascii="Arial" w:hAnsi="Arial" w:cs="Arial"/>
          <w:b/>
          <w:bCs/>
          <w:color w:val="000000"/>
          <w:szCs w:val="22"/>
          <w:lang w:eastAsia="en-AU"/>
        </w:rPr>
      </w:pPr>
    </w:p>
    <w:p w:rsidR="00E5733D" w:rsidRDefault="00E5733D" w:rsidP="00E5733D">
      <w:pPr>
        <w:rPr>
          <w:szCs w:val="22"/>
        </w:rPr>
      </w:pPr>
      <w:r>
        <w:rPr>
          <w:rFonts w:ascii="Arial" w:hAnsi="Arial" w:cs="Arial"/>
          <w:b/>
          <w:bCs/>
          <w:color w:val="000000"/>
          <w:szCs w:val="22"/>
          <w:lang w:eastAsia="en-AU"/>
        </w:rPr>
        <w:t>Summary of ABS Imports</w:t>
      </w:r>
    </w:p>
    <w:p w:rsidR="00AC6110" w:rsidRDefault="00AC6110">
      <w:pPr>
        <w:rPr>
          <w:szCs w:val="22"/>
        </w:rPr>
      </w:pPr>
    </w:p>
    <w:p w:rsidR="00AC6110" w:rsidRDefault="00AC6110" w:rsidP="00AC6110">
      <w:pPr>
        <w:rPr>
          <w:szCs w:val="22"/>
          <w:lang w:val="en-US"/>
        </w:rPr>
      </w:pPr>
      <w:r>
        <w:rPr>
          <w:szCs w:val="22"/>
        </w:rPr>
        <w:t xml:space="preserve">According to ABS import data, </w:t>
      </w:r>
      <w:r w:rsidR="00902095">
        <w:rPr>
          <w:szCs w:val="22"/>
        </w:rPr>
        <w:t>4,436,026</w:t>
      </w:r>
      <w:r>
        <w:rPr>
          <w:szCs w:val="22"/>
        </w:rPr>
        <w:t xml:space="preserve"> units of </w:t>
      </w:r>
      <w:r w:rsidR="00902095">
        <w:rPr>
          <w:szCs w:val="22"/>
        </w:rPr>
        <w:t>computer mobile units</w:t>
      </w:r>
      <w:r>
        <w:rPr>
          <w:szCs w:val="22"/>
        </w:rPr>
        <w:t xml:space="preserve"> were imported in 2011. The proportions are shown in </w:t>
      </w:r>
      <w:r w:rsidR="007118B4">
        <w:rPr>
          <w:szCs w:val="22"/>
        </w:rPr>
        <w:t>Figure 5-11</w:t>
      </w:r>
      <w:r w:rsidR="00207129">
        <w:rPr>
          <w:szCs w:val="22"/>
        </w:rPr>
        <w:t>.</w:t>
      </w:r>
      <w:r>
        <w:rPr>
          <w:szCs w:val="22"/>
          <w:lang w:val="en-US"/>
        </w:rPr>
        <w:t xml:space="preserve">The dominant HTISC in this CTCN is </w:t>
      </w:r>
      <w:r w:rsidR="00902095" w:rsidRPr="00902095">
        <w:rPr>
          <w:szCs w:val="22"/>
          <w:lang w:val="en-US"/>
        </w:rPr>
        <w:t>Laptops, notebooks and palmtops</w:t>
      </w:r>
      <w:r>
        <w:rPr>
          <w:szCs w:val="22"/>
          <w:lang w:val="en-US"/>
        </w:rPr>
        <w:t>.</w:t>
      </w:r>
    </w:p>
    <w:p w:rsidR="00AC6110" w:rsidRDefault="00AC6110" w:rsidP="00AC6110">
      <w:pPr>
        <w:rPr>
          <w:szCs w:val="22"/>
          <w:lang w:val="en-US"/>
        </w:rPr>
      </w:pPr>
    </w:p>
    <w:p w:rsidR="00AC6110" w:rsidRDefault="00AC6110" w:rsidP="00AC6110">
      <w:pPr>
        <w:rPr>
          <w:szCs w:val="22"/>
          <w:lang w:val="en-US"/>
        </w:rPr>
      </w:pPr>
      <w:r>
        <w:rPr>
          <w:szCs w:val="22"/>
          <w:lang w:val="en-US"/>
        </w:rPr>
        <w:t>Note that for</w:t>
      </w:r>
      <w:r w:rsidR="00902095">
        <w:rPr>
          <w:szCs w:val="22"/>
          <w:lang w:val="en-US"/>
        </w:rPr>
        <w:t xml:space="preserve"> </w:t>
      </w:r>
      <w:r w:rsidR="00902095" w:rsidRPr="007B08F0">
        <w:rPr>
          <w:szCs w:val="22"/>
          <w:lang w:val="en-US"/>
        </w:rPr>
        <w:t>Computer mobile units: other</w:t>
      </w:r>
      <w:r w:rsidR="00902095">
        <w:rPr>
          <w:szCs w:val="22"/>
          <w:lang w:val="en-US"/>
        </w:rPr>
        <w:t xml:space="preserve">, no imports were recorded by participating brand owners for 2010-11 or 2009-10. Therefore the conversion factor for this HTISC </w:t>
      </w:r>
      <w:r>
        <w:rPr>
          <w:szCs w:val="22"/>
          <w:lang w:val="en-US"/>
        </w:rPr>
        <w:t>is based on 2008-09 data.</w:t>
      </w:r>
    </w:p>
    <w:p w:rsidR="00AC6110" w:rsidRDefault="00AC6110" w:rsidP="00AC6110">
      <w:pPr>
        <w:rPr>
          <w:szCs w:val="22"/>
          <w:lang w:val="en-US"/>
        </w:rPr>
      </w:pPr>
    </w:p>
    <w:p w:rsidR="00AC6110" w:rsidRDefault="00AC6110" w:rsidP="00AC6110">
      <w:pPr>
        <w:rPr>
          <w:szCs w:val="22"/>
          <w:lang w:val="en-US"/>
        </w:rPr>
      </w:pPr>
    </w:p>
    <w:p w:rsidR="00593F01" w:rsidRPr="00AC6110" w:rsidRDefault="007118B4" w:rsidP="00AC6110">
      <w:pPr>
        <w:pStyle w:val="Caption"/>
        <w:keepNext/>
      </w:pPr>
      <w:r>
        <w:t>Figure 5-11</w:t>
      </w:r>
      <w:r w:rsidR="002652C5">
        <w:t xml:space="preserve"> </w:t>
      </w:r>
      <w:r w:rsidR="00AC6110">
        <w:t xml:space="preserve"> Proportion of HTISCs in 2010-11 CTCN imports data (according to ABS)</w:t>
      </w:r>
    </w:p>
    <w:p w:rsidR="00593F01" w:rsidRDefault="00AC6110" w:rsidP="00593F01">
      <w:pPr>
        <w:rPr>
          <w:szCs w:val="22"/>
        </w:rPr>
      </w:pPr>
      <w:r w:rsidRPr="00AC6110">
        <w:rPr>
          <w:noProof/>
          <w:szCs w:val="22"/>
          <w:lang w:eastAsia="en-AU"/>
        </w:rPr>
        <w:drawing>
          <wp:inline distT="0" distB="0" distL="0" distR="0">
            <wp:extent cx="4572000" cy="2743200"/>
            <wp:effectExtent l="0" t="0" r="0" b="0"/>
            <wp:docPr id="32"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93F01" w:rsidRDefault="00593F01" w:rsidP="00593F01">
      <w:pPr>
        <w:rPr>
          <w:szCs w:val="22"/>
        </w:rPr>
      </w:pPr>
    </w:p>
    <w:p w:rsidR="00593F01" w:rsidRDefault="00593F01" w:rsidP="00593F01">
      <w:pPr>
        <w:rPr>
          <w:szCs w:val="22"/>
        </w:rPr>
      </w:pPr>
    </w:p>
    <w:p w:rsidR="00902095" w:rsidRDefault="00902095">
      <w:pPr>
        <w:rPr>
          <w:szCs w:val="22"/>
        </w:rPr>
      </w:pPr>
      <w:r>
        <w:rPr>
          <w:szCs w:val="22"/>
        </w:rPr>
        <w:br w:type="page"/>
      </w:r>
    </w:p>
    <w:p w:rsidR="00593F01" w:rsidRDefault="00902095" w:rsidP="00593F01">
      <w:pPr>
        <w:rPr>
          <w:rFonts w:ascii="Arial" w:hAnsi="Arial" w:cs="Arial"/>
          <w:b/>
          <w:bCs/>
          <w:color w:val="000000"/>
          <w:szCs w:val="22"/>
          <w:lang w:eastAsia="en-AU"/>
        </w:rPr>
      </w:pPr>
      <w:r w:rsidRPr="007B08F0">
        <w:rPr>
          <w:rFonts w:ascii="Arial" w:hAnsi="Arial" w:cs="Arial"/>
          <w:b/>
          <w:bCs/>
          <w:color w:val="000000"/>
          <w:szCs w:val="22"/>
          <w:lang w:eastAsia="en-AU"/>
        </w:rPr>
        <w:t>SC07 8471.30.00 20 - Computer mobile units: Laptops, notebooks and palmtops</w:t>
      </w:r>
    </w:p>
    <w:p w:rsidR="004360E0" w:rsidRDefault="004360E0" w:rsidP="00593F01">
      <w:pPr>
        <w:rPr>
          <w:rFonts w:ascii="Arial" w:hAnsi="Arial" w:cs="Arial"/>
          <w:b/>
          <w:bCs/>
          <w:color w:val="000000"/>
          <w:szCs w:val="22"/>
          <w:lang w:eastAsia="en-AU"/>
        </w:rPr>
      </w:pPr>
    </w:p>
    <w:p w:rsidR="00902095" w:rsidRDefault="007118B4" w:rsidP="004360E0">
      <w:pPr>
        <w:pStyle w:val="Caption"/>
        <w:keepNext/>
      </w:pPr>
      <w:r>
        <w:t>Figure 5-12</w:t>
      </w:r>
      <w:r w:rsidR="002652C5">
        <w:t xml:space="preserve">  </w:t>
      </w:r>
      <w:r w:rsidR="004360E0">
        <w:t xml:space="preserve"> </w:t>
      </w:r>
      <w:r w:rsidR="00AC1355">
        <w:t>HTISC frequency distribution in CF year</w:t>
      </w:r>
    </w:p>
    <w:p w:rsidR="00994DCE" w:rsidRDefault="008F5DD2" w:rsidP="00994DCE">
      <w:pPr>
        <w:rPr>
          <w:lang w:val="en-GB"/>
        </w:rPr>
      </w:pPr>
      <w:r w:rsidRPr="008F5DD2">
        <w:rPr>
          <w:noProof/>
          <w:lang w:eastAsia="en-AU"/>
        </w:rPr>
        <w:drawing>
          <wp:inline distT="0" distB="0" distL="0" distR="0">
            <wp:extent cx="4889500" cy="2984500"/>
            <wp:effectExtent l="19050" t="0" r="25400" b="6350"/>
            <wp:docPr id="88"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94DCE" w:rsidRDefault="00994DCE" w:rsidP="00994DCE">
      <w:pPr>
        <w:rPr>
          <w:lang w:val="en-GB"/>
        </w:rPr>
      </w:pPr>
    </w:p>
    <w:p w:rsidR="00994DCE" w:rsidRDefault="00994DCE" w:rsidP="00994DCE">
      <w:pPr>
        <w:rPr>
          <w:lang w:val="en-GB"/>
        </w:rPr>
      </w:pPr>
    </w:p>
    <w:p w:rsidR="00593F01" w:rsidRDefault="00593F01" w:rsidP="00593F01">
      <w:pPr>
        <w:rPr>
          <w:szCs w:val="22"/>
        </w:rPr>
      </w:pPr>
    </w:p>
    <w:p w:rsidR="00902095" w:rsidRDefault="00902095" w:rsidP="00593F01">
      <w:pPr>
        <w:rPr>
          <w:szCs w:val="22"/>
        </w:rPr>
      </w:pPr>
    </w:p>
    <w:p w:rsidR="00902095" w:rsidRDefault="00902095" w:rsidP="00593F01">
      <w:pPr>
        <w:rPr>
          <w:szCs w:val="22"/>
        </w:rPr>
      </w:pPr>
    </w:p>
    <w:p w:rsidR="00902095" w:rsidRPr="00D73340" w:rsidRDefault="00207129" w:rsidP="00D73340">
      <w:pPr>
        <w:pStyle w:val="Caption"/>
      </w:pPr>
      <w:r>
        <w:t xml:space="preserve">Table 5-9   </w:t>
      </w:r>
      <w:r w:rsidR="00D73340">
        <w:t>Conversion factor statistics</w:t>
      </w:r>
    </w:p>
    <w:tbl>
      <w:tblPr>
        <w:tblW w:w="7260" w:type="dxa"/>
        <w:tblInd w:w="93" w:type="dxa"/>
        <w:tblLook w:val="04A0"/>
      </w:tblPr>
      <w:tblGrid>
        <w:gridCol w:w="1660"/>
        <w:gridCol w:w="1120"/>
        <w:gridCol w:w="1120"/>
        <w:gridCol w:w="1120"/>
        <w:gridCol w:w="1120"/>
        <w:gridCol w:w="1120"/>
      </w:tblGrid>
      <w:tr w:rsidR="007B08F0" w:rsidRPr="007B08F0">
        <w:trPr>
          <w:trHeight w:val="450"/>
        </w:trPr>
        <w:tc>
          <w:tcPr>
            <w:tcW w:w="1660" w:type="dxa"/>
            <w:tcBorders>
              <w:top w:val="single" w:sz="4" w:space="0" w:color="auto"/>
              <w:left w:val="single" w:sz="4" w:space="0" w:color="auto"/>
              <w:bottom w:val="single" w:sz="4" w:space="0" w:color="auto"/>
              <w:right w:val="single" w:sz="4" w:space="0" w:color="auto"/>
            </w:tcBorders>
            <w:shd w:val="clear" w:color="000000" w:fill="D8D8D8"/>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CF year</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No. of ABS imports</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 ABS imports included</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Min weight</w:t>
            </w:r>
            <w:r w:rsidRPr="007B08F0">
              <w:rPr>
                <w:rFonts w:ascii="Calibri" w:hAnsi="Calibri" w:cs="Calibri"/>
                <w:color w:val="000000"/>
                <w:sz w:val="16"/>
                <w:szCs w:val="16"/>
                <w:lang w:eastAsia="en-AU"/>
              </w:rPr>
              <w:br/>
              <w:t>(kg)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Max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Standard deviation</w:t>
            </w:r>
          </w:p>
        </w:tc>
      </w:tr>
      <w:tr w:rsidR="007B08F0" w:rsidRPr="007B08F0">
        <w:trPr>
          <w:trHeight w:val="225"/>
        </w:trPr>
        <w:tc>
          <w:tcPr>
            <w:tcW w:w="1660" w:type="dxa"/>
            <w:tcBorders>
              <w:top w:val="nil"/>
              <w:left w:val="single" w:sz="4" w:space="0" w:color="auto"/>
              <w:bottom w:val="single" w:sz="4" w:space="0" w:color="auto"/>
              <w:right w:val="single" w:sz="4" w:space="0" w:color="auto"/>
            </w:tcBorders>
            <w:shd w:val="clear" w:color="auto" w:fill="auto"/>
            <w:noWrap/>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2010-11</w:t>
            </w:r>
          </w:p>
        </w:tc>
        <w:tc>
          <w:tcPr>
            <w:tcW w:w="1120" w:type="dxa"/>
            <w:tcBorders>
              <w:top w:val="nil"/>
              <w:left w:val="nil"/>
              <w:bottom w:val="single" w:sz="4" w:space="0" w:color="auto"/>
              <w:right w:val="single" w:sz="4" w:space="0" w:color="auto"/>
            </w:tcBorders>
            <w:shd w:val="clear" w:color="auto" w:fill="auto"/>
            <w:noWrap/>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4,436,026</w:t>
            </w:r>
          </w:p>
        </w:tc>
        <w:tc>
          <w:tcPr>
            <w:tcW w:w="1120" w:type="dxa"/>
            <w:tcBorders>
              <w:top w:val="nil"/>
              <w:left w:val="nil"/>
              <w:bottom w:val="single" w:sz="4" w:space="0" w:color="auto"/>
              <w:right w:val="single" w:sz="4" w:space="0" w:color="auto"/>
            </w:tcBorders>
            <w:shd w:val="clear" w:color="auto" w:fill="auto"/>
            <w:noWrap/>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54%</w:t>
            </w:r>
          </w:p>
        </w:tc>
        <w:tc>
          <w:tcPr>
            <w:tcW w:w="1120" w:type="dxa"/>
            <w:tcBorders>
              <w:top w:val="nil"/>
              <w:left w:val="nil"/>
              <w:bottom w:val="single" w:sz="4" w:space="0" w:color="auto"/>
              <w:right w:val="single" w:sz="4" w:space="0" w:color="auto"/>
            </w:tcBorders>
            <w:shd w:val="clear" w:color="auto" w:fill="auto"/>
            <w:noWrap/>
            <w:vAlign w:val="center"/>
          </w:tcPr>
          <w:p w:rsidR="007B08F0" w:rsidRPr="007B08F0" w:rsidRDefault="007B08F0" w:rsidP="00665B26">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0.</w:t>
            </w:r>
            <w:r w:rsidR="00665B26">
              <w:rPr>
                <w:rFonts w:ascii="Calibri" w:hAnsi="Calibri" w:cs="Calibri"/>
                <w:color w:val="000000"/>
                <w:sz w:val="16"/>
                <w:szCs w:val="16"/>
                <w:lang w:eastAsia="en-AU"/>
              </w:rPr>
              <w:t>1</w:t>
            </w:r>
          </w:p>
        </w:tc>
        <w:tc>
          <w:tcPr>
            <w:tcW w:w="1120" w:type="dxa"/>
            <w:tcBorders>
              <w:top w:val="nil"/>
              <w:left w:val="nil"/>
              <w:bottom w:val="single" w:sz="4" w:space="0" w:color="auto"/>
              <w:right w:val="single" w:sz="4" w:space="0" w:color="auto"/>
            </w:tcBorders>
            <w:shd w:val="clear" w:color="auto" w:fill="auto"/>
            <w:noWrap/>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4.5</w:t>
            </w:r>
          </w:p>
        </w:tc>
        <w:tc>
          <w:tcPr>
            <w:tcW w:w="1120" w:type="dxa"/>
            <w:tcBorders>
              <w:top w:val="nil"/>
              <w:left w:val="nil"/>
              <w:bottom w:val="single" w:sz="4" w:space="0" w:color="auto"/>
              <w:right w:val="single" w:sz="4" w:space="0" w:color="auto"/>
            </w:tcBorders>
            <w:shd w:val="clear" w:color="auto" w:fill="auto"/>
            <w:noWrap/>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0.1</w:t>
            </w:r>
          </w:p>
        </w:tc>
      </w:tr>
      <w:tr w:rsidR="007B08F0" w:rsidRPr="007B08F0">
        <w:trPr>
          <w:trHeight w:val="225"/>
        </w:trPr>
        <w:tc>
          <w:tcPr>
            <w:tcW w:w="1660" w:type="dxa"/>
            <w:tcBorders>
              <w:top w:val="nil"/>
              <w:left w:val="nil"/>
              <w:bottom w:val="nil"/>
              <w:right w:val="nil"/>
            </w:tcBorders>
            <w:shd w:val="clear" w:color="auto" w:fill="auto"/>
            <w:noWrap/>
            <w:vAlign w:val="bottom"/>
          </w:tcPr>
          <w:p w:rsidR="007B08F0" w:rsidRPr="007B08F0" w:rsidRDefault="007B08F0" w:rsidP="007B08F0">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7B08F0" w:rsidRPr="007B08F0" w:rsidRDefault="007B08F0" w:rsidP="007B08F0">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7B08F0" w:rsidRPr="007B08F0" w:rsidRDefault="007B08F0" w:rsidP="007B08F0">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7B08F0" w:rsidRPr="007B08F0" w:rsidRDefault="007B08F0" w:rsidP="007B08F0">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7B08F0" w:rsidRPr="007B08F0" w:rsidRDefault="007B08F0" w:rsidP="007B08F0">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7B08F0" w:rsidRPr="007B08F0" w:rsidRDefault="007B08F0" w:rsidP="007B08F0">
            <w:pPr>
              <w:rPr>
                <w:rFonts w:ascii="Calibri" w:hAnsi="Calibri" w:cs="Calibri"/>
                <w:color w:val="000000"/>
                <w:sz w:val="16"/>
                <w:szCs w:val="16"/>
                <w:lang w:eastAsia="en-AU"/>
              </w:rPr>
            </w:pPr>
          </w:p>
        </w:tc>
      </w:tr>
      <w:tr w:rsidR="007B08F0" w:rsidRPr="007B08F0">
        <w:trPr>
          <w:trHeight w:val="450"/>
        </w:trPr>
        <w:tc>
          <w:tcPr>
            <w:tcW w:w="1660" w:type="dxa"/>
            <w:tcBorders>
              <w:top w:val="single" w:sz="4" w:space="0" w:color="auto"/>
              <w:left w:val="single" w:sz="4" w:space="0" w:color="auto"/>
              <w:bottom w:val="nil"/>
              <w:right w:val="single" w:sz="4" w:space="0" w:color="auto"/>
            </w:tcBorders>
            <w:shd w:val="clear" w:color="000000" w:fill="D8D8D8"/>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Method</w:t>
            </w:r>
          </w:p>
        </w:tc>
        <w:tc>
          <w:tcPr>
            <w:tcW w:w="1120" w:type="dxa"/>
            <w:tcBorders>
              <w:top w:val="single" w:sz="4" w:space="0" w:color="auto"/>
              <w:left w:val="nil"/>
              <w:bottom w:val="nil"/>
              <w:right w:val="single" w:sz="4" w:space="0" w:color="auto"/>
            </w:tcBorders>
            <w:shd w:val="clear" w:color="000000" w:fill="D8D8D8"/>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Measure of average</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Average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Lower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Upper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Confidence interval ± (kg)</w:t>
            </w:r>
          </w:p>
        </w:tc>
      </w:tr>
      <w:tr w:rsidR="007B08F0" w:rsidRPr="007B08F0">
        <w:trPr>
          <w:trHeight w:val="48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Approximation to the normal distribution</w:t>
            </w:r>
          </w:p>
        </w:tc>
        <w:tc>
          <w:tcPr>
            <w:tcW w:w="1120" w:type="dxa"/>
            <w:tcBorders>
              <w:top w:val="single" w:sz="4" w:space="0" w:color="auto"/>
              <w:left w:val="nil"/>
              <w:bottom w:val="single" w:sz="4" w:space="0" w:color="auto"/>
              <w:right w:val="single" w:sz="4" w:space="0" w:color="auto"/>
            </w:tcBorders>
            <w:shd w:val="clear" w:color="auto" w:fill="auto"/>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Mean</w:t>
            </w:r>
          </w:p>
        </w:tc>
        <w:tc>
          <w:tcPr>
            <w:tcW w:w="1120" w:type="dxa"/>
            <w:tcBorders>
              <w:top w:val="nil"/>
              <w:left w:val="nil"/>
              <w:bottom w:val="single" w:sz="4" w:space="0" w:color="auto"/>
              <w:right w:val="single" w:sz="4" w:space="0" w:color="auto"/>
            </w:tcBorders>
            <w:shd w:val="clear" w:color="auto" w:fill="auto"/>
            <w:noWrap/>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2.4</w:t>
            </w:r>
          </w:p>
        </w:tc>
        <w:tc>
          <w:tcPr>
            <w:tcW w:w="1120" w:type="dxa"/>
            <w:tcBorders>
              <w:top w:val="nil"/>
              <w:left w:val="nil"/>
              <w:bottom w:val="single" w:sz="4" w:space="0" w:color="auto"/>
              <w:right w:val="single" w:sz="4" w:space="0" w:color="auto"/>
            </w:tcBorders>
            <w:shd w:val="clear" w:color="auto" w:fill="auto"/>
            <w:noWrap/>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2.3</w:t>
            </w:r>
          </w:p>
        </w:tc>
        <w:tc>
          <w:tcPr>
            <w:tcW w:w="1120" w:type="dxa"/>
            <w:tcBorders>
              <w:top w:val="nil"/>
              <w:left w:val="nil"/>
              <w:bottom w:val="single" w:sz="4" w:space="0" w:color="auto"/>
              <w:right w:val="single" w:sz="4" w:space="0" w:color="auto"/>
            </w:tcBorders>
            <w:shd w:val="clear" w:color="auto" w:fill="auto"/>
            <w:noWrap/>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2.5</w:t>
            </w:r>
          </w:p>
        </w:tc>
        <w:tc>
          <w:tcPr>
            <w:tcW w:w="1120" w:type="dxa"/>
            <w:tcBorders>
              <w:top w:val="nil"/>
              <w:left w:val="nil"/>
              <w:bottom w:val="single" w:sz="4" w:space="0" w:color="auto"/>
              <w:right w:val="single" w:sz="4" w:space="0" w:color="auto"/>
            </w:tcBorders>
            <w:shd w:val="clear" w:color="auto" w:fill="auto"/>
            <w:noWrap/>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0.1</w:t>
            </w:r>
          </w:p>
        </w:tc>
      </w:tr>
      <w:tr w:rsidR="007B08F0" w:rsidRPr="007B08F0">
        <w:trPr>
          <w:trHeight w:val="480"/>
        </w:trPr>
        <w:tc>
          <w:tcPr>
            <w:tcW w:w="1660" w:type="dxa"/>
            <w:tcBorders>
              <w:top w:val="nil"/>
              <w:left w:val="single" w:sz="4" w:space="0" w:color="auto"/>
              <w:bottom w:val="single" w:sz="4" w:space="0" w:color="auto"/>
              <w:right w:val="single" w:sz="4" w:space="0" w:color="auto"/>
            </w:tcBorders>
            <w:shd w:val="clear" w:color="auto" w:fill="auto"/>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Use of percentiles</w:t>
            </w:r>
          </w:p>
        </w:tc>
        <w:tc>
          <w:tcPr>
            <w:tcW w:w="1120" w:type="dxa"/>
            <w:tcBorders>
              <w:top w:val="nil"/>
              <w:left w:val="nil"/>
              <w:bottom w:val="single" w:sz="4" w:space="0" w:color="auto"/>
              <w:right w:val="single" w:sz="4" w:space="0" w:color="auto"/>
            </w:tcBorders>
            <w:shd w:val="clear" w:color="auto" w:fill="auto"/>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Median</w:t>
            </w:r>
          </w:p>
        </w:tc>
        <w:tc>
          <w:tcPr>
            <w:tcW w:w="1120" w:type="dxa"/>
            <w:tcBorders>
              <w:top w:val="nil"/>
              <w:left w:val="nil"/>
              <w:bottom w:val="single" w:sz="4" w:space="0" w:color="auto"/>
              <w:right w:val="single" w:sz="4" w:space="0" w:color="auto"/>
            </w:tcBorders>
            <w:shd w:val="clear" w:color="auto" w:fill="auto"/>
            <w:noWrap/>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3.0</w:t>
            </w:r>
          </w:p>
        </w:tc>
        <w:tc>
          <w:tcPr>
            <w:tcW w:w="1120" w:type="dxa"/>
            <w:tcBorders>
              <w:top w:val="nil"/>
              <w:left w:val="nil"/>
              <w:bottom w:val="single" w:sz="4" w:space="0" w:color="auto"/>
              <w:right w:val="single" w:sz="4" w:space="0" w:color="auto"/>
            </w:tcBorders>
            <w:shd w:val="clear" w:color="auto" w:fill="auto"/>
            <w:noWrap/>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0.6</w:t>
            </w:r>
          </w:p>
        </w:tc>
        <w:tc>
          <w:tcPr>
            <w:tcW w:w="1120" w:type="dxa"/>
            <w:tcBorders>
              <w:top w:val="nil"/>
              <w:left w:val="nil"/>
              <w:bottom w:val="single" w:sz="4" w:space="0" w:color="auto"/>
              <w:right w:val="single" w:sz="4" w:space="0" w:color="auto"/>
            </w:tcBorders>
            <w:shd w:val="clear" w:color="auto" w:fill="auto"/>
            <w:noWrap/>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3.9</w:t>
            </w:r>
          </w:p>
        </w:tc>
        <w:tc>
          <w:tcPr>
            <w:tcW w:w="1120" w:type="dxa"/>
            <w:tcBorders>
              <w:top w:val="nil"/>
              <w:left w:val="nil"/>
              <w:bottom w:val="single" w:sz="4" w:space="0" w:color="auto"/>
              <w:right w:val="single" w:sz="4" w:space="0" w:color="auto"/>
            </w:tcBorders>
            <w:shd w:val="clear" w:color="auto" w:fill="auto"/>
            <w:noWrap/>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2.5</w:t>
            </w:r>
          </w:p>
        </w:tc>
      </w:tr>
      <w:tr w:rsidR="007B08F0" w:rsidRPr="007B08F0">
        <w:trPr>
          <w:trHeight w:val="225"/>
        </w:trPr>
        <w:tc>
          <w:tcPr>
            <w:tcW w:w="1660" w:type="dxa"/>
            <w:tcBorders>
              <w:top w:val="nil"/>
              <w:left w:val="nil"/>
              <w:bottom w:val="nil"/>
              <w:right w:val="nil"/>
            </w:tcBorders>
            <w:shd w:val="clear" w:color="auto" w:fill="auto"/>
            <w:noWrap/>
            <w:vAlign w:val="bottom"/>
          </w:tcPr>
          <w:p w:rsidR="007B08F0" w:rsidRPr="007B08F0" w:rsidRDefault="007B08F0" w:rsidP="007B08F0">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7B08F0" w:rsidRPr="007B08F0" w:rsidRDefault="007B08F0" w:rsidP="007B08F0">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7B08F0" w:rsidRPr="007B08F0" w:rsidRDefault="007B08F0" w:rsidP="007B08F0">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7B08F0" w:rsidRPr="007B08F0" w:rsidRDefault="007B08F0" w:rsidP="007B08F0">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7B08F0" w:rsidRPr="007B08F0" w:rsidRDefault="007B08F0" w:rsidP="007B08F0">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7B08F0" w:rsidRPr="007B08F0" w:rsidRDefault="007B08F0" w:rsidP="007B08F0">
            <w:pPr>
              <w:rPr>
                <w:rFonts w:ascii="Calibri" w:hAnsi="Calibri" w:cs="Calibri"/>
                <w:color w:val="000000"/>
                <w:sz w:val="16"/>
                <w:szCs w:val="16"/>
                <w:lang w:eastAsia="en-AU"/>
              </w:rPr>
            </w:pPr>
          </w:p>
        </w:tc>
      </w:tr>
      <w:tr w:rsidR="007B08F0" w:rsidRPr="007B08F0">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tcPr>
          <w:p w:rsidR="007B08F0" w:rsidRPr="007B08F0" w:rsidRDefault="007B08F0" w:rsidP="007B08F0">
            <w:pPr>
              <w:rPr>
                <w:rFonts w:ascii="Calibri" w:hAnsi="Calibri" w:cs="Calibri"/>
                <w:color w:val="000000"/>
                <w:sz w:val="16"/>
                <w:szCs w:val="16"/>
                <w:lang w:eastAsia="en-AU"/>
              </w:rPr>
            </w:pPr>
            <w:r w:rsidRPr="007B08F0">
              <w:rPr>
                <w:rFonts w:ascii="Calibri" w:hAnsi="Calibri" w:cs="Calibri"/>
                <w:color w:val="000000"/>
                <w:sz w:val="16"/>
                <w:szCs w:val="16"/>
                <w:lang w:eastAsia="en-AU"/>
              </w:rPr>
              <w:t>Year</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2010-11</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2009-10</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2008-09</w:t>
            </w:r>
          </w:p>
        </w:tc>
      </w:tr>
      <w:tr w:rsidR="00902095" w:rsidRPr="007B08F0">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02095" w:rsidRPr="007B08F0" w:rsidRDefault="00902095" w:rsidP="007B08F0">
            <w:pPr>
              <w:rPr>
                <w:rFonts w:ascii="Calibri" w:hAnsi="Calibri" w:cs="Calibri"/>
                <w:color w:val="000000"/>
                <w:sz w:val="16"/>
                <w:szCs w:val="16"/>
                <w:lang w:eastAsia="en-AU"/>
              </w:rPr>
            </w:pPr>
            <w:r w:rsidRPr="00CB6A7D">
              <w:rPr>
                <w:rFonts w:ascii="Calibri" w:hAnsi="Calibri" w:cs="Calibri"/>
                <w:color w:val="000000"/>
                <w:sz w:val="16"/>
                <w:szCs w:val="16"/>
                <w:lang w:eastAsia="en-AU"/>
              </w:rPr>
              <w:t>Percentage by which the conversion factor over or under estimates the weight of imports</w:t>
            </w:r>
          </w:p>
        </w:tc>
        <w:tc>
          <w:tcPr>
            <w:tcW w:w="1120" w:type="dxa"/>
            <w:tcBorders>
              <w:top w:val="nil"/>
              <w:left w:val="nil"/>
              <w:bottom w:val="single" w:sz="4" w:space="0" w:color="auto"/>
              <w:right w:val="single" w:sz="4" w:space="0" w:color="auto"/>
            </w:tcBorders>
            <w:shd w:val="clear" w:color="auto" w:fill="auto"/>
            <w:noWrap/>
            <w:vAlign w:val="center"/>
          </w:tcPr>
          <w:p w:rsidR="00902095" w:rsidRDefault="00902095">
            <w:pPr>
              <w:jc w:val="center"/>
              <w:rPr>
                <w:rFonts w:ascii="Calibri" w:hAnsi="Calibri" w:cs="Calibri"/>
                <w:color w:val="000000"/>
                <w:sz w:val="16"/>
                <w:szCs w:val="16"/>
              </w:rPr>
            </w:pPr>
            <w:r>
              <w:rPr>
                <w:rFonts w:ascii="Calibri" w:hAnsi="Calibri" w:cs="Calibri"/>
                <w:color w:val="000000"/>
                <w:sz w:val="16"/>
                <w:szCs w:val="16"/>
              </w:rPr>
              <w:t>0%</w:t>
            </w:r>
          </w:p>
        </w:tc>
        <w:tc>
          <w:tcPr>
            <w:tcW w:w="1120" w:type="dxa"/>
            <w:tcBorders>
              <w:top w:val="nil"/>
              <w:left w:val="nil"/>
              <w:bottom w:val="single" w:sz="4" w:space="0" w:color="auto"/>
              <w:right w:val="single" w:sz="4" w:space="0" w:color="auto"/>
            </w:tcBorders>
            <w:shd w:val="clear" w:color="auto" w:fill="auto"/>
            <w:noWrap/>
            <w:vAlign w:val="center"/>
          </w:tcPr>
          <w:p w:rsidR="00902095" w:rsidRDefault="00902095">
            <w:pPr>
              <w:jc w:val="center"/>
              <w:rPr>
                <w:rFonts w:ascii="Calibri" w:hAnsi="Calibri" w:cs="Calibri"/>
                <w:color w:val="000000"/>
                <w:sz w:val="16"/>
                <w:szCs w:val="16"/>
              </w:rPr>
            </w:pPr>
            <w:r>
              <w:rPr>
                <w:rFonts w:ascii="Calibri" w:hAnsi="Calibri" w:cs="Calibri"/>
                <w:color w:val="000000"/>
                <w:sz w:val="16"/>
                <w:szCs w:val="16"/>
              </w:rPr>
              <w:t>-22%</w:t>
            </w:r>
          </w:p>
        </w:tc>
        <w:tc>
          <w:tcPr>
            <w:tcW w:w="1120" w:type="dxa"/>
            <w:tcBorders>
              <w:top w:val="nil"/>
              <w:left w:val="nil"/>
              <w:bottom w:val="single" w:sz="4" w:space="0" w:color="auto"/>
              <w:right w:val="single" w:sz="4" w:space="0" w:color="auto"/>
            </w:tcBorders>
            <w:shd w:val="clear" w:color="auto" w:fill="auto"/>
            <w:noWrap/>
            <w:vAlign w:val="center"/>
          </w:tcPr>
          <w:p w:rsidR="00902095" w:rsidRDefault="00902095">
            <w:pPr>
              <w:jc w:val="center"/>
              <w:rPr>
                <w:rFonts w:ascii="Calibri" w:hAnsi="Calibri" w:cs="Calibri"/>
                <w:color w:val="000000"/>
                <w:sz w:val="16"/>
                <w:szCs w:val="16"/>
              </w:rPr>
            </w:pPr>
            <w:r>
              <w:rPr>
                <w:rFonts w:ascii="Calibri" w:hAnsi="Calibri" w:cs="Calibri"/>
                <w:color w:val="000000"/>
                <w:sz w:val="16"/>
                <w:szCs w:val="16"/>
              </w:rPr>
              <w:t>-29%</w:t>
            </w:r>
          </w:p>
        </w:tc>
      </w:tr>
    </w:tbl>
    <w:p w:rsidR="007B08F0" w:rsidRDefault="007B08F0" w:rsidP="00593F01">
      <w:pPr>
        <w:rPr>
          <w:szCs w:val="22"/>
        </w:rPr>
      </w:pPr>
    </w:p>
    <w:p w:rsidR="001A78F2" w:rsidRDefault="002B5D22">
      <w:pPr>
        <w:rPr>
          <w:szCs w:val="22"/>
        </w:rPr>
      </w:pPr>
      <w:r w:rsidRPr="005A3097">
        <w:rPr>
          <w:b/>
          <w:szCs w:val="22"/>
        </w:rPr>
        <w:t>Distribution:</w:t>
      </w:r>
      <w:r>
        <w:rPr>
          <w:b/>
          <w:szCs w:val="22"/>
        </w:rPr>
        <w:t xml:space="preserve"> </w:t>
      </w:r>
      <w:r>
        <w:rPr>
          <w:szCs w:val="22"/>
        </w:rPr>
        <w:t>Comparatively narrower distribution to MDFs and PDPs. A</w:t>
      </w:r>
      <w:r w:rsidR="00C37F76">
        <w:rPr>
          <w:szCs w:val="22"/>
        </w:rPr>
        <w:t xml:space="preserve">ll units between 0.5 and 4 kg. </w:t>
      </w:r>
      <w:r>
        <w:rPr>
          <w:szCs w:val="22"/>
        </w:rPr>
        <w:t xml:space="preserve">Relatively high </w:t>
      </w:r>
      <w:r w:rsidR="00C62346">
        <w:rPr>
          <w:szCs w:val="22"/>
        </w:rPr>
        <w:t>variation</w:t>
      </w:r>
      <w:r>
        <w:rPr>
          <w:szCs w:val="22"/>
        </w:rPr>
        <w:t xml:space="preserve"> within this narrow distribution.</w:t>
      </w:r>
    </w:p>
    <w:p w:rsidR="001A78F2" w:rsidRDefault="002B5D22">
      <w:pPr>
        <w:rPr>
          <w:szCs w:val="22"/>
        </w:rPr>
      </w:pPr>
      <w:r>
        <w:rPr>
          <w:b/>
          <w:szCs w:val="22"/>
        </w:rPr>
        <w:t xml:space="preserve">Proposed conversion factor: </w:t>
      </w:r>
      <w:r>
        <w:rPr>
          <w:szCs w:val="22"/>
        </w:rPr>
        <w:t>2.4 kg.</w:t>
      </w:r>
    </w:p>
    <w:p w:rsidR="001A78F2" w:rsidRDefault="002B5D22">
      <w:pPr>
        <w:rPr>
          <w:szCs w:val="22"/>
        </w:rPr>
      </w:pPr>
      <w:r>
        <w:rPr>
          <w:b/>
          <w:szCs w:val="22"/>
        </w:rPr>
        <w:t xml:space="preserve">Proposed confidence interval: </w:t>
      </w:r>
      <w:r>
        <w:rPr>
          <w:szCs w:val="22"/>
        </w:rPr>
        <w:t xml:space="preserve"> </w:t>
      </w:r>
      <w:r w:rsidR="00B330B4">
        <w:rPr>
          <w:szCs w:val="22"/>
        </w:rPr>
        <w:t>&gt;</w:t>
      </w:r>
      <w:r>
        <w:rPr>
          <w:szCs w:val="22"/>
        </w:rPr>
        <w:t xml:space="preserve"> 0.</w:t>
      </w:r>
      <w:r w:rsidR="00B330B4">
        <w:rPr>
          <w:szCs w:val="22"/>
        </w:rPr>
        <w:t>6</w:t>
      </w:r>
      <w:r>
        <w:rPr>
          <w:szCs w:val="22"/>
        </w:rPr>
        <w:t xml:space="preserve"> kg</w:t>
      </w:r>
      <w:r w:rsidR="00B330B4">
        <w:rPr>
          <w:szCs w:val="22"/>
        </w:rPr>
        <w:t>, &lt; 3.9</w:t>
      </w:r>
      <w:r w:rsidR="00304B14">
        <w:rPr>
          <w:szCs w:val="22"/>
        </w:rPr>
        <w:t xml:space="preserve"> kg</w:t>
      </w:r>
    </w:p>
    <w:p w:rsidR="001A78F2" w:rsidRDefault="00C62346">
      <w:pPr>
        <w:rPr>
          <w:szCs w:val="22"/>
        </w:rPr>
      </w:pPr>
      <w:r>
        <w:rPr>
          <w:b/>
          <w:szCs w:val="22"/>
        </w:rPr>
        <w:t xml:space="preserve">Variation over time: </w:t>
      </w:r>
      <w:r w:rsidR="00112A79">
        <w:rPr>
          <w:szCs w:val="22"/>
        </w:rPr>
        <w:t>High</w:t>
      </w:r>
    </w:p>
    <w:p w:rsidR="007B08F0" w:rsidRDefault="007B08F0" w:rsidP="00593F01">
      <w:pPr>
        <w:rPr>
          <w:szCs w:val="22"/>
        </w:rPr>
      </w:pPr>
    </w:p>
    <w:p w:rsidR="00902095" w:rsidRDefault="00902095" w:rsidP="00593F01">
      <w:pPr>
        <w:rPr>
          <w:szCs w:val="22"/>
        </w:rPr>
      </w:pPr>
    </w:p>
    <w:p w:rsidR="00902095" w:rsidRDefault="00902095" w:rsidP="00593F01">
      <w:pPr>
        <w:rPr>
          <w:szCs w:val="22"/>
        </w:rPr>
      </w:pPr>
    </w:p>
    <w:p w:rsidR="00902095" w:rsidRDefault="00902095">
      <w:pPr>
        <w:rPr>
          <w:rFonts w:ascii="Arial" w:hAnsi="Arial" w:cs="Arial"/>
          <w:b/>
          <w:bCs/>
          <w:color w:val="000000"/>
          <w:szCs w:val="22"/>
          <w:lang w:eastAsia="en-AU"/>
        </w:rPr>
      </w:pPr>
      <w:r>
        <w:rPr>
          <w:rFonts w:ascii="Arial" w:hAnsi="Arial" w:cs="Arial"/>
          <w:b/>
          <w:bCs/>
          <w:color w:val="000000"/>
          <w:szCs w:val="22"/>
          <w:lang w:eastAsia="en-AU"/>
        </w:rPr>
        <w:br w:type="page"/>
      </w:r>
    </w:p>
    <w:p w:rsidR="00902095" w:rsidRDefault="00902095" w:rsidP="00593F01">
      <w:pPr>
        <w:rPr>
          <w:szCs w:val="22"/>
        </w:rPr>
      </w:pPr>
      <w:r w:rsidRPr="007B08F0">
        <w:rPr>
          <w:rFonts w:ascii="Arial" w:hAnsi="Arial" w:cs="Arial"/>
          <w:b/>
          <w:bCs/>
          <w:color w:val="000000"/>
          <w:szCs w:val="22"/>
          <w:lang w:eastAsia="en-AU"/>
        </w:rPr>
        <w:t>SC07 8471.30.00 90 - Computer mobile units: other</w:t>
      </w:r>
    </w:p>
    <w:p w:rsidR="00902095" w:rsidRDefault="00902095" w:rsidP="00593F01">
      <w:pPr>
        <w:rPr>
          <w:szCs w:val="22"/>
        </w:rPr>
      </w:pPr>
    </w:p>
    <w:p w:rsidR="00902095" w:rsidRPr="004360E0" w:rsidRDefault="007118B4" w:rsidP="004360E0">
      <w:pPr>
        <w:pStyle w:val="Caption"/>
        <w:keepNext/>
      </w:pPr>
      <w:r>
        <w:t>Figure 5-13</w:t>
      </w:r>
      <w:r w:rsidR="002652C5">
        <w:t xml:space="preserve">   </w:t>
      </w:r>
      <w:r w:rsidR="004360E0">
        <w:t xml:space="preserve"> </w:t>
      </w:r>
      <w:r w:rsidR="00AC1355">
        <w:t>HTISC frequency distribution in CF year</w:t>
      </w:r>
    </w:p>
    <w:p w:rsidR="00902095" w:rsidRDefault="00902095" w:rsidP="00593F01">
      <w:pPr>
        <w:rPr>
          <w:szCs w:val="22"/>
        </w:rPr>
      </w:pPr>
      <w:r w:rsidRPr="00902095">
        <w:rPr>
          <w:noProof/>
          <w:szCs w:val="22"/>
          <w:lang w:eastAsia="en-AU"/>
        </w:rPr>
        <w:drawing>
          <wp:inline distT="0" distB="0" distL="0" distR="0">
            <wp:extent cx="4889500" cy="2984500"/>
            <wp:effectExtent l="19050" t="0" r="25400" b="6350"/>
            <wp:docPr id="34"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02095" w:rsidRDefault="00902095" w:rsidP="00593F01">
      <w:pPr>
        <w:rPr>
          <w:szCs w:val="22"/>
        </w:rPr>
      </w:pPr>
    </w:p>
    <w:p w:rsidR="00902095" w:rsidRDefault="00902095" w:rsidP="00593F01">
      <w:pPr>
        <w:rPr>
          <w:szCs w:val="22"/>
        </w:rPr>
      </w:pPr>
    </w:p>
    <w:p w:rsidR="007B08F0" w:rsidRPr="00D73340" w:rsidRDefault="00207129" w:rsidP="00D73340">
      <w:pPr>
        <w:pStyle w:val="Caption"/>
      </w:pPr>
      <w:r>
        <w:t xml:space="preserve">Table 5-10   </w:t>
      </w:r>
      <w:r w:rsidR="00D73340">
        <w:t>Conversion factor statistics</w:t>
      </w:r>
    </w:p>
    <w:tbl>
      <w:tblPr>
        <w:tblW w:w="7260" w:type="dxa"/>
        <w:tblInd w:w="93" w:type="dxa"/>
        <w:tblLook w:val="04A0"/>
      </w:tblPr>
      <w:tblGrid>
        <w:gridCol w:w="1660"/>
        <w:gridCol w:w="1120"/>
        <w:gridCol w:w="1120"/>
        <w:gridCol w:w="1120"/>
        <w:gridCol w:w="1120"/>
        <w:gridCol w:w="1120"/>
      </w:tblGrid>
      <w:tr w:rsidR="007B08F0" w:rsidRPr="007B08F0">
        <w:trPr>
          <w:trHeight w:val="450"/>
        </w:trPr>
        <w:tc>
          <w:tcPr>
            <w:tcW w:w="1660" w:type="dxa"/>
            <w:tcBorders>
              <w:top w:val="single" w:sz="4" w:space="0" w:color="auto"/>
              <w:left w:val="single" w:sz="4" w:space="0" w:color="auto"/>
              <w:bottom w:val="single" w:sz="4" w:space="0" w:color="auto"/>
              <w:right w:val="single" w:sz="4" w:space="0" w:color="auto"/>
            </w:tcBorders>
            <w:shd w:val="clear" w:color="000000" w:fill="D8D8D8"/>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CF year</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No. of ABS imports</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 ABS imports included</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Min weight</w:t>
            </w:r>
            <w:r w:rsidRPr="007B08F0">
              <w:rPr>
                <w:rFonts w:ascii="Calibri" w:hAnsi="Calibri" w:cs="Calibri"/>
                <w:color w:val="000000"/>
                <w:sz w:val="16"/>
                <w:szCs w:val="16"/>
                <w:lang w:eastAsia="en-AU"/>
              </w:rPr>
              <w:br/>
              <w:t>(kg)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Max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Standard deviation</w:t>
            </w:r>
          </w:p>
        </w:tc>
      </w:tr>
      <w:tr w:rsidR="007B08F0" w:rsidRPr="007B08F0">
        <w:trPr>
          <w:trHeight w:val="225"/>
        </w:trPr>
        <w:tc>
          <w:tcPr>
            <w:tcW w:w="1660" w:type="dxa"/>
            <w:tcBorders>
              <w:top w:val="nil"/>
              <w:left w:val="single" w:sz="4" w:space="0" w:color="auto"/>
              <w:bottom w:val="single" w:sz="4" w:space="0" w:color="auto"/>
              <w:right w:val="single" w:sz="4" w:space="0" w:color="auto"/>
            </w:tcBorders>
            <w:shd w:val="clear" w:color="auto" w:fill="auto"/>
            <w:noWrap/>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2008-09</w:t>
            </w:r>
          </w:p>
        </w:tc>
        <w:tc>
          <w:tcPr>
            <w:tcW w:w="1120" w:type="dxa"/>
            <w:tcBorders>
              <w:top w:val="nil"/>
              <w:left w:val="nil"/>
              <w:bottom w:val="single" w:sz="4" w:space="0" w:color="auto"/>
              <w:right w:val="single" w:sz="4" w:space="0" w:color="auto"/>
            </w:tcBorders>
            <w:shd w:val="clear" w:color="auto" w:fill="auto"/>
            <w:noWrap/>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99,298</w:t>
            </w:r>
          </w:p>
        </w:tc>
        <w:tc>
          <w:tcPr>
            <w:tcW w:w="1120" w:type="dxa"/>
            <w:tcBorders>
              <w:top w:val="nil"/>
              <w:left w:val="nil"/>
              <w:bottom w:val="single" w:sz="4" w:space="0" w:color="auto"/>
              <w:right w:val="single" w:sz="4" w:space="0" w:color="auto"/>
            </w:tcBorders>
            <w:shd w:val="clear" w:color="auto" w:fill="auto"/>
            <w:noWrap/>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0</w:t>
            </w:r>
            <w:r w:rsidR="00902095">
              <w:rPr>
                <w:rFonts w:ascii="Calibri" w:hAnsi="Calibri" w:cs="Calibri"/>
                <w:color w:val="000000"/>
                <w:sz w:val="16"/>
                <w:szCs w:val="16"/>
                <w:lang w:eastAsia="en-AU"/>
              </w:rPr>
              <w:t>.1</w:t>
            </w:r>
            <w:r w:rsidRPr="007B08F0">
              <w:rPr>
                <w:rFonts w:ascii="Calibri" w:hAnsi="Calibri" w:cs="Calibri"/>
                <w:color w:val="000000"/>
                <w:sz w:val="16"/>
                <w:szCs w:val="16"/>
                <w:lang w:eastAsia="en-AU"/>
              </w:rPr>
              <w:t>%</w:t>
            </w:r>
          </w:p>
        </w:tc>
        <w:tc>
          <w:tcPr>
            <w:tcW w:w="1120" w:type="dxa"/>
            <w:tcBorders>
              <w:top w:val="nil"/>
              <w:left w:val="nil"/>
              <w:bottom w:val="single" w:sz="4" w:space="0" w:color="auto"/>
              <w:right w:val="single" w:sz="4" w:space="0" w:color="auto"/>
            </w:tcBorders>
            <w:shd w:val="clear" w:color="auto" w:fill="auto"/>
            <w:noWrap/>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3</w:t>
            </w:r>
            <w:r w:rsidR="00902095">
              <w:rPr>
                <w:rFonts w:ascii="Calibri" w:hAnsi="Calibri" w:cs="Calibri"/>
                <w:color w:val="000000"/>
                <w:sz w:val="16"/>
                <w:szCs w:val="16"/>
                <w:lang w:eastAsia="en-AU"/>
              </w:rPr>
              <w:t>.0</w:t>
            </w:r>
          </w:p>
        </w:tc>
        <w:tc>
          <w:tcPr>
            <w:tcW w:w="1120" w:type="dxa"/>
            <w:tcBorders>
              <w:top w:val="nil"/>
              <w:left w:val="nil"/>
              <w:bottom w:val="single" w:sz="4" w:space="0" w:color="auto"/>
              <w:right w:val="single" w:sz="4" w:space="0" w:color="auto"/>
            </w:tcBorders>
            <w:shd w:val="clear" w:color="auto" w:fill="auto"/>
            <w:noWrap/>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3.0</w:t>
            </w:r>
          </w:p>
        </w:tc>
        <w:tc>
          <w:tcPr>
            <w:tcW w:w="1120" w:type="dxa"/>
            <w:tcBorders>
              <w:top w:val="nil"/>
              <w:left w:val="nil"/>
              <w:bottom w:val="single" w:sz="4" w:space="0" w:color="auto"/>
              <w:right w:val="single" w:sz="4" w:space="0" w:color="auto"/>
            </w:tcBorders>
            <w:shd w:val="clear" w:color="auto" w:fill="auto"/>
            <w:noWrap/>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0.0</w:t>
            </w:r>
          </w:p>
        </w:tc>
      </w:tr>
      <w:tr w:rsidR="007B08F0" w:rsidRPr="007B08F0">
        <w:trPr>
          <w:trHeight w:val="225"/>
        </w:trPr>
        <w:tc>
          <w:tcPr>
            <w:tcW w:w="1660" w:type="dxa"/>
            <w:tcBorders>
              <w:top w:val="nil"/>
              <w:left w:val="nil"/>
              <w:bottom w:val="nil"/>
              <w:right w:val="nil"/>
            </w:tcBorders>
            <w:shd w:val="clear" w:color="auto" w:fill="auto"/>
            <w:noWrap/>
            <w:vAlign w:val="bottom"/>
          </w:tcPr>
          <w:p w:rsidR="007B08F0" w:rsidRPr="007B08F0" w:rsidRDefault="007B08F0" w:rsidP="007B08F0">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7B08F0" w:rsidRPr="007B08F0" w:rsidRDefault="007B08F0" w:rsidP="007B08F0">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7B08F0" w:rsidRPr="007B08F0" w:rsidRDefault="007B08F0" w:rsidP="007B08F0">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7B08F0" w:rsidRPr="007B08F0" w:rsidRDefault="007B08F0" w:rsidP="007B08F0">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7B08F0" w:rsidRPr="007B08F0" w:rsidRDefault="007B08F0" w:rsidP="007B08F0">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7B08F0" w:rsidRPr="007B08F0" w:rsidRDefault="007B08F0" w:rsidP="007B08F0">
            <w:pPr>
              <w:rPr>
                <w:rFonts w:ascii="Calibri" w:hAnsi="Calibri" w:cs="Calibri"/>
                <w:color w:val="000000"/>
                <w:sz w:val="16"/>
                <w:szCs w:val="16"/>
                <w:lang w:eastAsia="en-AU"/>
              </w:rPr>
            </w:pPr>
          </w:p>
        </w:tc>
      </w:tr>
      <w:tr w:rsidR="007B08F0" w:rsidRPr="007B08F0">
        <w:trPr>
          <w:trHeight w:val="450"/>
        </w:trPr>
        <w:tc>
          <w:tcPr>
            <w:tcW w:w="1660" w:type="dxa"/>
            <w:tcBorders>
              <w:top w:val="single" w:sz="4" w:space="0" w:color="auto"/>
              <w:left w:val="single" w:sz="4" w:space="0" w:color="auto"/>
              <w:bottom w:val="nil"/>
              <w:right w:val="single" w:sz="4" w:space="0" w:color="auto"/>
            </w:tcBorders>
            <w:shd w:val="clear" w:color="000000" w:fill="D8D8D8"/>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Method</w:t>
            </w:r>
          </w:p>
        </w:tc>
        <w:tc>
          <w:tcPr>
            <w:tcW w:w="1120" w:type="dxa"/>
            <w:tcBorders>
              <w:top w:val="single" w:sz="4" w:space="0" w:color="auto"/>
              <w:left w:val="nil"/>
              <w:bottom w:val="nil"/>
              <w:right w:val="single" w:sz="4" w:space="0" w:color="auto"/>
            </w:tcBorders>
            <w:shd w:val="clear" w:color="000000" w:fill="D8D8D8"/>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Measure of average</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Average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Lower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Upper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Confidence interval ± (kg)</w:t>
            </w:r>
          </w:p>
        </w:tc>
      </w:tr>
      <w:tr w:rsidR="007B08F0" w:rsidRPr="007B08F0">
        <w:trPr>
          <w:trHeight w:val="48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Approximation to the normal distribution</w:t>
            </w:r>
          </w:p>
        </w:tc>
        <w:tc>
          <w:tcPr>
            <w:tcW w:w="1120" w:type="dxa"/>
            <w:tcBorders>
              <w:top w:val="single" w:sz="4" w:space="0" w:color="auto"/>
              <w:left w:val="nil"/>
              <w:bottom w:val="single" w:sz="4" w:space="0" w:color="auto"/>
              <w:right w:val="single" w:sz="4" w:space="0" w:color="auto"/>
            </w:tcBorders>
            <w:shd w:val="clear" w:color="auto" w:fill="auto"/>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Mean</w:t>
            </w:r>
          </w:p>
        </w:tc>
        <w:tc>
          <w:tcPr>
            <w:tcW w:w="1120" w:type="dxa"/>
            <w:tcBorders>
              <w:top w:val="nil"/>
              <w:left w:val="nil"/>
              <w:bottom w:val="single" w:sz="4" w:space="0" w:color="auto"/>
              <w:right w:val="single" w:sz="4" w:space="0" w:color="auto"/>
            </w:tcBorders>
            <w:shd w:val="clear" w:color="auto" w:fill="auto"/>
            <w:noWrap/>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3.0</w:t>
            </w:r>
          </w:p>
        </w:tc>
        <w:tc>
          <w:tcPr>
            <w:tcW w:w="1120" w:type="dxa"/>
            <w:tcBorders>
              <w:top w:val="nil"/>
              <w:left w:val="nil"/>
              <w:bottom w:val="single" w:sz="4" w:space="0" w:color="auto"/>
              <w:right w:val="single" w:sz="4" w:space="0" w:color="auto"/>
            </w:tcBorders>
            <w:shd w:val="clear" w:color="auto" w:fill="auto"/>
            <w:noWrap/>
            <w:vAlign w:val="center"/>
          </w:tcPr>
          <w:p w:rsidR="007B08F0" w:rsidRPr="007B08F0" w:rsidRDefault="00210D52"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3.0</w:t>
            </w:r>
          </w:p>
        </w:tc>
        <w:tc>
          <w:tcPr>
            <w:tcW w:w="1120" w:type="dxa"/>
            <w:tcBorders>
              <w:top w:val="nil"/>
              <w:left w:val="nil"/>
              <w:bottom w:val="single" w:sz="4" w:space="0" w:color="auto"/>
              <w:right w:val="single" w:sz="4" w:space="0" w:color="auto"/>
            </w:tcBorders>
            <w:shd w:val="clear" w:color="auto" w:fill="auto"/>
            <w:noWrap/>
            <w:vAlign w:val="center"/>
          </w:tcPr>
          <w:p w:rsidR="007B08F0" w:rsidRPr="007B08F0" w:rsidRDefault="00210D52"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3.0</w:t>
            </w:r>
          </w:p>
        </w:tc>
        <w:tc>
          <w:tcPr>
            <w:tcW w:w="1120" w:type="dxa"/>
            <w:tcBorders>
              <w:top w:val="nil"/>
              <w:left w:val="nil"/>
              <w:bottom w:val="single" w:sz="4" w:space="0" w:color="auto"/>
              <w:right w:val="single" w:sz="4" w:space="0" w:color="auto"/>
            </w:tcBorders>
            <w:shd w:val="clear" w:color="auto" w:fill="auto"/>
            <w:noWrap/>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0.0</w:t>
            </w:r>
          </w:p>
        </w:tc>
      </w:tr>
      <w:tr w:rsidR="007B08F0" w:rsidRPr="007B08F0">
        <w:trPr>
          <w:trHeight w:val="480"/>
        </w:trPr>
        <w:tc>
          <w:tcPr>
            <w:tcW w:w="1660" w:type="dxa"/>
            <w:tcBorders>
              <w:top w:val="nil"/>
              <w:left w:val="single" w:sz="4" w:space="0" w:color="auto"/>
              <w:bottom w:val="single" w:sz="4" w:space="0" w:color="auto"/>
              <w:right w:val="single" w:sz="4" w:space="0" w:color="auto"/>
            </w:tcBorders>
            <w:shd w:val="clear" w:color="auto" w:fill="auto"/>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Use of percentiles</w:t>
            </w:r>
          </w:p>
        </w:tc>
        <w:tc>
          <w:tcPr>
            <w:tcW w:w="1120" w:type="dxa"/>
            <w:tcBorders>
              <w:top w:val="nil"/>
              <w:left w:val="nil"/>
              <w:bottom w:val="single" w:sz="4" w:space="0" w:color="auto"/>
              <w:right w:val="single" w:sz="4" w:space="0" w:color="auto"/>
            </w:tcBorders>
            <w:shd w:val="clear" w:color="auto" w:fill="auto"/>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Median</w:t>
            </w:r>
          </w:p>
        </w:tc>
        <w:tc>
          <w:tcPr>
            <w:tcW w:w="1120" w:type="dxa"/>
            <w:tcBorders>
              <w:top w:val="nil"/>
              <w:left w:val="nil"/>
              <w:bottom w:val="single" w:sz="4" w:space="0" w:color="auto"/>
              <w:right w:val="single" w:sz="4" w:space="0" w:color="auto"/>
            </w:tcBorders>
            <w:shd w:val="clear" w:color="auto" w:fill="auto"/>
            <w:noWrap/>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3.0</w:t>
            </w:r>
          </w:p>
        </w:tc>
        <w:tc>
          <w:tcPr>
            <w:tcW w:w="1120" w:type="dxa"/>
            <w:tcBorders>
              <w:top w:val="nil"/>
              <w:left w:val="nil"/>
              <w:bottom w:val="single" w:sz="4" w:space="0" w:color="auto"/>
              <w:right w:val="single" w:sz="4" w:space="0" w:color="auto"/>
            </w:tcBorders>
            <w:shd w:val="clear" w:color="auto" w:fill="auto"/>
            <w:noWrap/>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3.0</w:t>
            </w:r>
          </w:p>
        </w:tc>
        <w:tc>
          <w:tcPr>
            <w:tcW w:w="1120" w:type="dxa"/>
            <w:tcBorders>
              <w:top w:val="nil"/>
              <w:left w:val="nil"/>
              <w:bottom w:val="single" w:sz="4" w:space="0" w:color="auto"/>
              <w:right w:val="single" w:sz="4" w:space="0" w:color="auto"/>
            </w:tcBorders>
            <w:shd w:val="clear" w:color="auto" w:fill="auto"/>
            <w:noWrap/>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3.0</w:t>
            </w:r>
          </w:p>
        </w:tc>
        <w:tc>
          <w:tcPr>
            <w:tcW w:w="1120" w:type="dxa"/>
            <w:tcBorders>
              <w:top w:val="nil"/>
              <w:left w:val="nil"/>
              <w:bottom w:val="single" w:sz="4" w:space="0" w:color="auto"/>
              <w:right w:val="single" w:sz="4" w:space="0" w:color="auto"/>
            </w:tcBorders>
            <w:shd w:val="clear" w:color="auto" w:fill="auto"/>
            <w:noWrap/>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0.0</w:t>
            </w:r>
          </w:p>
        </w:tc>
      </w:tr>
      <w:tr w:rsidR="007B08F0" w:rsidRPr="007B08F0">
        <w:trPr>
          <w:trHeight w:val="225"/>
        </w:trPr>
        <w:tc>
          <w:tcPr>
            <w:tcW w:w="1660" w:type="dxa"/>
            <w:tcBorders>
              <w:top w:val="nil"/>
              <w:left w:val="nil"/>
              <w:bottom w:val="nil"/>
              <w:right w:val="nil"/>
            </w:tcBorders>
            <w:shd w:val="clear" w:color="auto" w:fill="auto"/>
            <w:noWrap/>
            <w:vAlign w:val="bottom"/>
          </w:tcPr>
          <w:p w:rsidR="007B08F0" w:rsidRPr="007B08F0" w:rsidRDefault="007B08F0" w:rsidP="007B08F0">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7B08F0" w:rsidRPr="007B08F0" w:rsidRDefault="007B08F0" w:rsidP="007B08F0">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7B08F0" w:rsidRPr="007B08F0" w:rsidRDefault="007B08F0" w:rsidP="007B08F0">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7B08F0" w:rsidRPr="007B08F0" w:rsidRDefault="007B08F0" w:rsidP="007B08F0">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7B08F0" w:rsidRPr="007B08F0" w:rsidRDefault="007B08F0" w:rsidP="007B08F0">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7B08F0" w:rsidRPr="007B08F0" w:rsidRDefault="007B08F0" w:rsidP="007B08F0">
            <w:pPr>
              <w:rPr>
                <w:rFonts w:ascii="Calibri" w:hAnsi="Calibri" w:cs="Calibri"/>
                <w:color w:val="000000"/>
                <w:sz w:val="16"/>
                <w:szCs w:val="16"/>
                <w:lang w:eastAsia="en-AU"/>
              </w:rPr>
            </w:pPr>
          </w:p>
        </w:tc>
      </w:tr>
      <w:tr w:rsidR="007B08F0" w:rsidRPr="007B08F0">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tcPr>
          <w:p w:rsidR="007B08F0" w:rsidRPr="007B08F0" w:rsidRDefault="007B08F0" w:rsidP="007B08F0">
            <w:pPr>
              <w:rPr>
                <w:rFonts w:ascii="Calibri" w:hAnsi="Calibri" w:cs="Calibri"/>
                <w:color w:val="000000"/>
                <w:sz w:val="16"/>
                <w:szCs w:val="16"/>
                <w:lang w:eastAsia="en-AU"/>
              </w:rPr>
            </w:pPr>
            <w:r w:rsidRPr="007B08F0">
              <w:rPr>
                <w:rFonts w:ascii="Calibri" w:hAnsi="Calibri" w:cs="Calibri"/>
                <w:color w:val="000000"/>
                <w:sz w:val="16"/>
                <w:szCs w:val="16"/>
                <w:lang w:eastAsia="en-AU"/>
              </w:rPr>
              <w:t>Year</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2010-11</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2009-10</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2008-09</w:t>
            </w:r>
          </w:p>
        </w:tc>
      </w:tr>
      <w:tr w:rsidR="007B08F0" w:rsidRPr="007B08F0">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B08F0" w:rsidRPr="007B08F0" w:rsidRDefault="001C6F7A" w:rsidP="007B08F0">
            <w:pPr>
              <w:rPr>
                <w:rFonts w:ascii="Calibri" w:hAnsi="Calibri" w:cs="Calibri"/>
                <w:color w:val="000000"/>
                <w:sz w:val="16"/>
                <w:szCs w:val="16"/>
                <w:lang w:eastAsia="en-AU"/>
              </w:rPr>
            </w:pPr>
            <w:r w:rsidRPr="00CB6A7D">
              <w:rPr>
                <w:rFonts w:ascii="Calibri" w:hAnsi="Calibri" w:cs="Calibri"/>
                <w:color w:val="000000"/>
                <w:sz w:val="16"/>
                <w:szCs w:val="16"/>
                <w:lang w:eastAsia="en-AU"/>
              </w:rPr>
              <w:t>Percentage by which the conversion factor over or under estimates the weight of imports</w:t>
            </w:r>
          </w:p>
        </w:tc>
        <w:tc>
          <w:tcPr>
            <w:tcW w:w="1120" w:type="dxa"/>
            <w:tcBorders>
              <w:top w:val="nil"/>
              <w:left w:val="nil"/>
              <w:bottom w:val="single" w:sz="4" w:space="0" w:color="auto"/>
              <w:right w:val="single" w:sz="4" w:space="0" w:color="auto"/>
            </w:tcBorders>
            <w:shd w:val="clear" w:color="auto" w:fill="auto"/>
            <w:noWrap/>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 </w:t>
            </w:r>
          </w:p>
        </w:tc>
        <w:tc>
          <w:tcPr>
            <w:tcW w:w="1120" w:type="dxa"/>
            <w:tcBorders>
              <w:top w:val="nil"/>
              <w:left w:val="nil"/>
              <w:bottom w:val="single" w:sz="4" w:space="0" w:color="auto"/>
              <w:right w:val="single" w:sz="4" w:space="0" w:color="auto"/>
            </w:tcBorders>
            <w:shd w:val="clear" w:color="auto" w:fill="auto"/>
            <w:noWrap/>
            <w:vAlign w:val="center"/>
          </w:tcPr>
          <w:p w:rsidR="007B08F0" w:rsidRPr="007B08F0" w:rsidRDefault="007B08F0" w:rsidP="007B08F0">
            <w:pPr>
              <w:jc w:val="center"/>
              <w:rPr>
                <w:rFonts w:ascii="Calibri" w:hAnsi="Calibri" w:cs="Calibri"/>
                <w:color w:val="000000"/>
                <w:sz w:val="16"/>
                <w:szCs w:val="16"/>
                <w:lang w:eastAsia="en-AU"/>
              </w:rPr>
            </w:pPr>
          </w:p>
        </w:tc>
        <w:tc>
          <w:tcPr>
            <w:tcW w:w="1120" w:type="dxa"/>
            <w:tcBorders>
              <w:top w:val="nil"/>
              <w:left w:val="nil"/>
              <w:bottom w:val="single" w:sz="4" w:space="0" w:color="auto"/>
              <w:right w:val="single" w:sz="4" w:space="0" w:color="auto"/>
            </w:tcBorders>
            <w:shd w:val="clear" w:color="auto" w:fill="auto"/>
            <w:noWrap/>
            <w:vAlign w:val="center"/>
          </w:tcPr>
          <w:p w:rsidR="007B08F0" w:rsidRPr="007B08F0" w:rsidRDefault="007B08F0" w:rsidP="007B08F0">
            <w:pPr>
              <w:jc w:val="center"/>
              <w:rPr>
                <w:rFonts w:ascii="Calibri" w:hAnsi="Calibri" w:cs="Calibri"/>
                <w:color w:val="000000"/>
                <w:sz w:val="16"/>
                <w:szCs w:val="16"/>
                <w:lang w:eastAsia="en-AU"/>
              </w:rPr>
            </w:pPr>
            <w:r w:rsidRPr="007B08F0">
              <w:rPr>
                <w:rFonts w:ascii="Calibri" w:hAnsi="Calibri" w:cs="Calibri"/>
                <w:color w:val="000000"/>
                <w:sz w:val="16"/>
                <w:szCs w:val="16"/>
                <w:lang w:eastAsia="en-AU"/>
              </w:rPr>
              <w:t>0%</w:t>
            </w:r>
          </w:p>
        </w:tc>
      </w:tr>
    </w:tbl>
    <w:p w:rsidR="007B08F0" w:rsidRDefault="007B08F0" w:rsidP="00593F01">
      <w:pPr>
        <w:rPr>
          <w:szCs w:val="22"/>
        </w:rPr>
      </w:pPr>
    </w:p>
    <w:p w:rsidR="001A78F2" w:rsidRDefault="00210D52">
      <w:pPr>
        <w:rPr>
          <w:szCs w:val="22"/>
        </w:rPr>
      </w:pPr>
      <w:r w:rsidRPr="005A3097">
        <w:rPr>
          <w:b/>
          <w:szCs w:val="22"/>
        </w:rPr>
        <w:t>Distribution:</w:t>
      </w:r>
      <w:r>
        <w:rPr>
          <w:b/>
          <w:szCs w:val="22"/>
        </w:rPr>
        <w:t xml:space="preserve"> </w:t>
      </w:r>
      <w:r>
        <w:rPr>
          <w:szCs w:val="22"/>
        </w:rPr>
        <w:t>One brand reporting one model</w:t>
      </w:r>
    </w:p>
    <w:p w:rsidR="001A78F2" w:rsidRDefault="00210D52">
      <w:pPr>
        <w:rPr>
          <w:szCs w:val="22"/>
        </w:rPr>
      </w:pPr>
      <w:r>
        <w:rPr>
          <w:b/>
          <w:szCs w:val="22"/>
        </w:rPr>
        <w:t xml:space="preserve">Proposed conversion factor: </w:t>
      </w:r>
      <w:r>
        <w:rPr>
          <w:szCs w:val="22"/>
        </w:rPr>
        <w:t>3 kg.</w:t>
      </w:r>
    </w:p>
    <w:p w:rsidR="001A78F2" w:rsidRDefault="00210D52">
      <w:pPr>
        <w:rPr>
          <w:szCs w:val="22"/>
        </w:rPr>
      </w:pPr>
      <w:r>
        <w:rPr>
          <w:b/>
          <w:szCs w:val="22"/>
        </w:rPr>
        <w:t xml:space="preserve">Proposed confidence interval: </w:t>
      </w:r>
      <w:r>
        <w:rPr>
          <w:szCs w:val="22"/>
        </w:rPr>
        <w:t xml:space="preserve"> </w:t>
      </w:r>
      <w:r w:rsidRPr="00F56846">
        <w:rPr>
          <w:szCs w:val="22"/>
        </w:rPr>
        <w:t>±</w:t>
      </w:r>
      <w:r>
        <w:rPr>
          <w:szCs w:val="22"/>
        </w:rPr>
        <w:t xml:space="preserve"> 0 kg</w:t>
      </w:r>
    </w:p>
    <w:p w:rsidR="001A78F2" w:rsidRDefault="00C62346">
      <w:pPr>
        <w:rPr>
          <w:szCs w:val="22"/>
        </w:rPr>
      </w:pPr>
      <w:r>
        <w:rPr>
          <w:b/>
          <w:szCs w:val="22"/>
        </w:rPr>
        <w:t xml:space="preserve">Variation over time: </w:t>
      </w:r>
      <w:r w:rsidR="00254D33">
        <w:rPr>
          <w:szCs w:val="22"/>
        </w:rPr>
        <w:t>U</w:t>
      </w:r>
      <w:r w:rsidR="00112A79">
        <w:rPr>
          <w:szCs w:val="22"/>
        </w:rPr>
        <w:t>nknown</w:t>
      </w:r>
    </w:p>
    <w:p w:rsidR="007B08F0" w:rsidRDefault="007B08F0" w:rsidP="00304B14">
      <w:pPr>
        <w:rPr>
          <w:szCs w:val="22"/>
        </w:rPr>
      </w:pPr>
    </w:p>
    <w:p w:rsidR="001A78F2" w:rsidRDefault="001A78F2">
      <w:pPr>
        <w:rPr>
          <w:szCs w:val="22"/>
        </w:rPr>
      </w:pPr>
    </w:p>
    <w:p w:rsidR="001A78F2" w:rsidRDefault="001A78F2">
      <w:pPr>
        <w:rPr>
          <w:szCs w:val="22"/>
        </w:rPr>
      </w:pPr>
    </w:p>
    <w:p w:rsidR="007B08F0" w:rsidRDefault="007B08F0" w:rsidP="00593F01">
      <w:pPr>
        <w:rPr>
          <w:szCs w:val="22"/>
        </w:rPr>
      </w:pPr>
    </w:p>
    <w:p w:rsidR="007B08F0" w:rsidRDefault="007B08F0" w:rsidP="00593F01">
      <w:pPr>
        <w:rPr>
          <w:szCs w:val="22"/>
        </w:rPr>
      </w:pPr>
    </w:p>
    <w:p w:rsidR="007B08F0" w:rsidRDefault="007B08F0" w:rsidP="00593F01">
      <w:pPr>
        <w:rPr>
          <w:szCs w:val="22"/>
        </w:rPr>
      </w:pPr>
    </w:p>
    <w:p w:rsidR="00902095" w:rsidRDefault="00902095">
      <w:pPr>
        <w:rPr>
          <w:szCs w:val="22"/>
        </w:rPr>
      </w:pPr>
      <w:r>
        <w:rPr>
          <w:szCs w:val="22"/>
        </w:rPr>
        <w:br w:type="page"/>
      </w:r>
    </w:p>
    <w:p w:rsidR="00593F01" w:rsidRPr="00E5733D" w:rsidRDefault="00593F01" w:rsidP="00E5733D">
      <w:pPr>
        <w:pStyle w:val="Heading2"/>
      </w:pPr>
      <w:bookmarkStart w:id="46" w:name="_Toc303860085"/>
      <w:bookmarkStart w:id="47" w:name="_Toc304967188"/>
      <w:r w:rsidRPr="00593F01">
        <w:t>Computer desktops and similar</w:t>
      </w:r>
      <w:r w:rsidR="00382C08">
        <w:t xml:space="preserve"> (A)</w:t>
      </w:r>
      <w:bookmarkEnd w:id="46"/>
      <w:bookmarkEnd w:id="47"/>
    </w:p>
    <w:p w:rsidR="00E5733D" w:rsidRDefault="00E5733D">
      <w:pPr>
        <w:rPr>
          <w:szCs w:val="22"/>
        </w:rPr>
      </w:pPr>
    </w:p>
    <w:p w:rsidR="00E5733D" w:rsidRDefault="00E5733D" w:rsidP="00E5733D">
      <w:pPr>
        <w:rPr>
          <w:szCs w:val="22"/>
        </w:rPr>
      </w:pPr>
      <w:r>
        <w:rPr>
          <w:rFonts w:ascii="Arial" w:hAnsi="Arial" w:cs="Arial"/>
          <w:b/>
          <w:bCs/>
          <w:color w:val="000000"/>
          <w:szCs w:val="22"/>
          <w:lang w:eastAsia="en-AU"/>
        </w:rPr>
        <w:t>Summary of ABS Imports</w:t>
      </w:r>
    </w:p>
    <w:p w:rsidR="00E5733D" w:rsidRDefault="00E5733D">
      <w:pPr>
        <w:rPr>
          <w:szCs w:val="22"/>
        </w:rPr>
      </w:pPr>
    </w:p>
    <w:p w:rsidR="001A78F2" w:rsidRDefault="008B510A">
      <w:pPr>
        <w:rPr>
          <w:szCs w:val="22"/>
        </w:rPr>
      </w:pPr>
      <w:r w:rsidRPr="008B510A">
        <w:rPr>
          <w:szCs w:val="22"/>
        </w:rPr>
        <w:t>Comprising in the same housing at least a central processing unit and an input and output unit, whether or not combined</w:t>
      </w:r>
      <w:r w:rsidR="00DD5230">
        <w:rPr>
          <w:szCs w:val="22"/>
        </w:rPr>
        <w:t>.</w:t>
      </w:r>
    </w:p>
    <w:p w:rsidR="001C6F7A" w:rsidRDefault="001C6F7A">
      <w:pPr>
        <w:rPr>
          <w:szCs w:val="22"/>
        </w:rPr>
      </w:pPr>
    </w:p>
    <w:p w:rsidR="001C6F7A" w:rsidRDefault="001C6F7A" w:rsidP="001C6F7A">
      <w:pPr>
        <w:rPr>
          <w:szCs w:val="22"/>
          <w:lang w:val="en-US"/>
        </w:rPr>
      </w:pPr>
      <w:r>
        <w:rPr>
          <w:szCs w:val="22"/>
        </w:rPr>
        <w:t xml:space="preserve">According to ABS import data, 256,203 units of </w:t>
      </w:r>
      <w:r w:rsidR="00667794" w:rsidRPr="00593F01">
        <w:t>Computer desktops and similar</w:t>
      </w:r>
      <w:r w:rsidR="00667794">
        <w:t xml:space="preserve"> </w:t>
      </w:r>
      <w:r>
        <w:rPr>
          <w:szCs w:val="22"/>
        </w:rPr>
        <w:t>were imported in 2011. The proportions are shown in</w:t>
      </w:r>
      <w:r w:rsidR="007C78DA">
        <w:rPr>
          <w:szCs w:val="22"/>
        </w:rPr>
        <w:t xml:space="preserve"> Figure 5-14</w:t>
      </w:r>
      <w:r>
        <w:rPr>
          <w:szCs w:val="22"/>
        </w:rPr>
        <w:t xml:space="preserve">. </w:t>
      </w:r>
      <w:r>
        <w:rPr>
          <w:szCs w:val="22"/>
          <w:lang w:val="en-US"/>
        </w:rPr>
        <w:t xml:space="preserve">The dominant HTISC in this CTCN is </w:t>
      </w:r>
      <w:r w:rsidR="005637F8">
        <w:rPr>
          <w:i/>
          <w:szCs w:val="22"/>
          <w:lang w:val="en-US"/>
        </w:rPr>
        <w:t>Computer desktops and similar: Other</w:t>
      </w:r>
      <w:r w:rsidRPr="001C6F7A">
        <w:rPr>
          <w:i/>
          <w:szCs w:val="22"/>
          <w:lang w:val="en-US"/>
        </w:rPr>
        <w:t>.</w:t>
      </w:r>
    </w:p>
    <w:p w:rsidR="001C6F7A" w:rsidRDefault="001C6F7A">
      <w:pPr>
        <w:rPr>
          <w:szCs w:val="22"/>
        </w:rPr>
      </w:pPr>
    </w:p>
    <w:p w:rsidR="001C6F7A" w:rsidRDefault="001C6F7A" w:rsidP="001C6F7A">
      <w:pPr>
        <w:rPr>
          <w:szCs w:val="22"/>
          <w:lang w:val="en-US"/>
        </w:rPr>
      </w:pPr>
    </w:p>
    <w:p w:rsidR="001C6F7A" w:rsidRPr="00AC6110" w:rsidRDefault="007C78DA" w:rsidP="001C6F7A">
      <w:pPr>
        <w:pStyle w:val="Caption"/>
        <w:keepNext/>
      </w:pPr>
      <w:r>
        <w:t>Figure 5-14</w:t>
      </w:r>
      <w:r w:rsidR="002652C5">
        <w:t xml:space="preserve">    </w:t>
      </w:r>
      <w:r w:rsidR="001C6F7A">
        <w:t xml:space="preserve"> Proportion of HTISCs in 2010-11 CTCN imports data (according to ABS)</w:t>
      </w:r>
    </w:p>
    <w:p w:rsidR="001A78F2" w:rsidRDefault="001A78F2">
      <w:pPr>
        <w:rPr>
          <w:szCs w:val="22"/>
        </w:rPr>
      </w:pPr>
    </w:p>
    <w:p w:rsidR="00DD5230" w:rsidRDefault="00DD5230" w:rsidP="005D1179">
      <w:pPr>
        <w:jc w:val="both"/>
        <w:rPr>
          <w:szCs w:val="22"/>
        </w:rPr>
      </w:pPr>
      <w:r w:rsidRPr="00DD5230">
        <w:rPr>
          <w:noProof/>
          <w:szCs w:val="22"/>
          <w:lang w:eastAsia="en-AU"/>
        </w:rPr>
        <w:drawing>
          <wp:inline distT="0" distB="0" distL="0" distR="0">
            <wp:extent cx="4572000" cy="2743200"/>
            <wp:effectExtent l="0" t="0" r="0" b="0"/>
            <wp:docPr id="13"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D5230" w:rsidRDefault="00DD5230" w:rsidP="005D1179">
      <w:pPr>
        <w:jc w:val="both"/>
        <w:rPr>
          <w:szCs w:val="22"/>
        </w:rPr>
      </w:pPr>
    </w:p>
    <w:p w:rsidR="001C6F7A" w:rsidRDefault="001C6F7A">
      <w:pPr>
        <w:rPr>
          <w:rFonts w:ascii="Arial" w:hAnsi="Arial" w:cs="Arial"/>
          <w:b/>
          <w:bCs/>
          <w:color w:val="000000"/>
          <w:szCs w:val="22"/>
          <w:lang w:eastAsia="en-AU"/>
        </w:rPr>
      </w:pPr>
      <w:r>
        <w:rPr>
          <w:rFonts w:ascii="Arial" w:hAnsi="Arial" w:cs="Arial"/>
          <w:b/>
          <w:bCs/>
          <w:color w:val="000000"/>
          <w:szCs w:val="22"/>
          <w:lang w:eastAsia="en-AU"/>
        </w:rPr>
        <w:br w:type="page"/>
      </w:r>
    </w:p>
    <w:p w:rsidR="001C6F7A" w:rsidRDefault="001C6F7A" w:rsidP="005D1179">
      <w:pPr>
        <w:jc w:val="both"/>
        <w:rPr>
          <w:rFonts w:ascii="Arial" w:hAnsi="Arial" w:cs="Arial"/>
          <w:b/>
          <w:bCs/>
          <w:color w:val="000000"/>
          <w:szCs w:val="22"/>
          <w:lang w:eastAsia="en-AU"/>
        </w:rPr>
      </w:pPr>
      <w:r w:rsidRPr="008B510A">
        <w:rPr>
          <w:rFonts w:ascii="Arial" w:hAnsi="Arial" w:cs="Arial"/>
          <w:b/>
          <w:bCs/>
          <w:color w:val="000000"/>
          <w:szCs w:val="22"/>
          <w:lang w:eastAsia="en-AU"/>
        </w:rPr>
        <w:t>SC07 8471.41.00 21 - Computer desktops and similar: Personal computers</w:t>
      </w:r>
    </w:p>
    <w:p w:rsidR="001C6F7A" w:rsidRDefault="001C6F7A" w:rsidP="005D1179">
      <w:pPr>
        <w:jc w:val="both"/>
        <w:rPr>
          <w:szCs w:val="22"/>
        </w:rPr>
      </w:pPr>
    </w:p>
    <w:p w:rsidR="004360E0" w:rsidRPr="004360E0" w:rsidRDefault="007C78DA" w:rsidP="004360E0">
      <w:pPr>
        <w:pStyle w:val="Caption"/>
        <w:keepNext/>
      </w:pPr>
      <w:r>
        <w:t>Figure 5-15</w:t>
      </w:r>
      <w:r w:rsidR="002652C5">
        <w:t xml:space="preserve">    </w:t>
      </w:r>
      <w:r w:rsidR="004360E0">
        <w:t xml:space="preserve"> </w:t>
      </w:r>
      <w:r w:rsidR="00AC1355">
        <w:t>HTISC frequency distribution in CF year</w:t>
      </w:r>
    </w:p>
    <w:p w:rsidR="001C6F7A" w:rsidRDefault="001C6F7A" w:rsidP="005D1179">
      <w:pPr>
        <w:jc w:val="both"/>
        <w:rPr>
          <w:szCs w:val="22"/>
        </w:rPr>
      </w:pPr>
      <w:r w:rsidRPr="001C6F7A">
        <w:rPr>
          <w:noProof/>
          <w:szCs w:val="22"/>
          <w:lang w:eastAsia="en-AU"/>
        </w:rPr>
        <w:drawing>
          <wp:inline distT="0" distB="0" distL="0" distR="0">
            <wp:extent cx="4889500" cy="2984500"/>
            <wp:effectExtent l="19050" t="0" r="25400" b="6350"/>
            <wp:docPr id="35"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C6F7A" w:rsidRDefault="001C6F7A" w:rsidP="005D1179">
      <w:pPr>
        <w:jc w:val="both"/>
        <w:rPr>
          <w:szCs w:val="22"/>
        </w:rPr>
      </w:pPr>
    </w:p>
    <w:p w:rsidR="00D73340" w:rsidRDefault="00D73340" w:rsidP="00D73340">
      <w:pPr>
        <w:pStyle w:val="Caption"/>
      </w:pPr>
    </w:p>
    <w:p w:rsidR="008B510A" w:rsidRPr="00D73340" w:rsidRDefault="00207129" w:rsidP="00D73340">
      <w:pPr>
        <w:pStyle w:val="Caption"/>
      </w:pPr>
      <w:r>
        <w:t xml:space="preserve">Table 5-11   </w:t>
      </w:r>
      <w:r w:rsidR="00D73340">
        <w:t>Conversion factor statistics</w:t>
      </w:r>
    </w:p>
    <w:tbl>
      <w:tblPr>
        <w:tblW w:w="7260" w:type="dxa"/>
        <w:tblInd w:w="93" w:type="dxa"/>
        <w:tblLook w:val="04A0"/>
      </w:tblPr>
      <w:tblGrid>
        <w:gridCol w:w="1660"/>
        <w:gridCol w:w="1120"/>
        <w:gridCol w:w="1120"/>
        <w:gridCol w:w="1120"/>
        <w:gridCol w:w="1120"/>
        <w:gridCol w:w="1120"/>
      </w:tblGrid>
      <w:tr w:rsidR="008B510A" w:rsidRPr="008B510A">
        <w:trPr>
          <w:trHeight w:val="450"/>
        </w:trPr>
        <w:tc>
          <w:tcPr>
            <w:tcW w:w="1660" w:type="dxa"/>
            <w:tcBorders>
              <w:top w:val="single" w:sz="4" w:space="0" w:color="auto"/>
              <w:left w:val="single" w:sz="4" w:space="0" w:color="auto"/>
              <w:bottom w:val="single" w:sz="4" w:space="0" w:color="auto"/>
              <w:right w:val="single" w:sz="4" w:space="0" w:color="auto"/>
            </w:tcBorders>
            <w:shd w:val="clear" w:color="000000" w:fill="D8D8D8"/>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CF year</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No. of ABS imports</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 ABS imports included</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Min weight</w:t>
            </w:r>
            <w:r w:rsidRPr="008B510A">
              <w:rPr>
                <w:rFonts w:ascii="Calibri" w:hAnsi="Calibri" w:cs="Calibri"/>
                <w:color w:val="000000"/>
                <w:sz w:val="16"/>
                <w:szCs w:val="16"/>
                <w:lang w:eastAsia="en-AU"/>
              </w:rPr>
              <w:br/>
              <w:t>(kg)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Max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Standard deviation</w:t>
            </w:r>
          </w:p>
        </w:tc>
      </w:tr>
      <w:tr w:rsidR="008B510A" w:rsidRPr="008B510A">
        <w:trPr>
          <w:trHeight w:val="225"/>
        </w:trPr>
        <w:tc>
          <w:tcPr>
            <w:tcW w:w="1660" w:type="dxa"/>
            <w:tcBorders>
              <w:top w:val="nil"/>
              <w:left w:val="single" w:sz="4" w:space="0" w:color="auto"/>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2010-11</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108,371</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166%</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1C6F7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1.3</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19.3</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1.8</w:t>
            </w:r>
          </w:p>
        </w:tc>
      </w:tr>
      <w:tr w:rsidR="008B510A" w:rsidRPr="008B510A">
        <w:trPr>
          <w:trHeight w:val="225"/>
        </w:trPr>
        <w:tc>
          <w:tcPr>
            <w:tcW w:w="1660" w:type="dxa"/>
            <w:tcBorders>
              <w:top w:val="nil"/>
              <w:left w:val="nil"/>
              <w:bottom w:val="nil"/>
              <w:right w:val="nil"/>
            </w:tcBorders>
            <w:shd w:val="clear" w:color="auto" w:fill="auto"/>
            <w:noWrap/>
            <w:vAlign w:val="bottom"/>
          </w:tcPr>
          <w:p w:rsidR="008B510A" w:rsidRPr="008B510A" w:rsidRDefault="008B510A" w:rsidP="008B510A">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8B510A" w:rsidRPr="008B510A" w:rsidRDefault="008B510A" w:rsidP="008B510A">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8B510A" w:rsidRPr="008B510A" w:rsidRDefault="008B510A" w:rsidP="008B510A">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8B510A" w:rsidRPr="008B510A" w:rsidRDefault="008B510A" w:rsidP="008B510A">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8B510A" w:rsidRPr="008B510A" w:rsidRDefault="008B510A" w:rsidP="008B510A">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8B510A" w:rsidRPr="008B510A" w:rsidRDefault="008B510A" w:rsidP="008B510A">
            <w:pPr>
              <w:rPr>
                <w:rFonts w:ascii="Calibri" w:hAnsi="Calibri" w:cs="Calibri"/>
                <w:color w:val="000000"/>
                <w:sz w:val="16"/>
                <w:szCs w:val="16"/>
                <w:lang w:eastAsia="en-AU"/>
              </w:rPr>
            </w:pPr>
          </w:p>
        </w:tc>
      </w:tr>
      <w:tr w:rsidR="008B510A" w:rsidRPr="008B510A">
        <w:trPr>
          <w:trHeight w:val="450"/>
        </w:trPr>
        <w:tc>
          <w:tcPr>
            <w:tcW w:w="1660" w:type="dxa"/>
            <w:tcBorders>
              <w:top w:val="single" w:sz="4" w:space="0" w:color="auto"/>
              <w:left w:val="single" w:sz="4" w:space="0" w:color="auto"/>
              <w:bottom w:val="nil"/>
              <w:right w:val="single" w:sz="4" w:space="0" w:color="auto"/>
            </w:tcBorders>
            <w:shd w:val="clear" w:color="000000" w:fill="D8D8D8"/>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Method</w:t>
            </w:r>
          </w:p>
        </w:tc>
        <w:tc>
          <w:tcPr>
            <w:tcW w:w="1120" w:type="dxa"/>
            <w:tcBorders>
              <w:top w:val="single" w:sz="4" w:space="0" w:color="auto"/>
              <w:left w:val="nil"/>
              <w:bottom w:val="nil"/>
              <w:right w:val="single" w:sz="4" w:space="0" w:color="auto"/>
            </w:tcBorders>
            <w:shd w:val="clear" w:color="000000" w:fill="D8D8D8"/>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Measure of average</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Average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Lower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Upper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Confidence interval ± (kg)</w:t>
            </w:r>
          </w:p>
        </w:tc>
      </w:tr>
      <w:tr w:rsidR="008B510A" w:rsidRPr="008B510A">
        <w:trPr>
          <w:trHeight w:val="48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Approximation to the normal distribution</w:t>
            </w:r>
          </w:p>
        </w:tc>
        <w:tc>
          <w:tcPr>
            <w:tcW w:w="1120" w:type="dxa"/>
            <w:tcBorders>
              <w:top w:val="single" w:sz="4" w:space="0" w:color="auto"/>
              <w:left w:val="nil"/>
              <w:bottom w:val="single" w:sz="4" w:space="0" w:color="auto"/>
              <w:right w:val="single" w:sz="4" w:space="0" w:color="auto"/>
            </w:tcBorders>
            <w:shd w:val="clear" w:color="auto" w:fill="auto"/>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Mean</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10.7</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7.1</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14.3</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3.6</w:t>
            </w:r>
          </w:p>
        </w:tc>
      </w:tr>
      <w:tr w:rsidR="008B510A" w:rsidRPr="008B510A">
        <w:trPr>
          <w:trHeight w:val="480"/>
        </w:trPr>
        <w:tc>
          <w:tcPr>
            <w:tcW w:w="1660" w:type="dxa"/>
            <w:tcBorders>
              <w:top w:val="nil"/>
              <w:left w:val="single" w:sz="4" w:space="0" w:color="auto"/>
              <w:bottom w:val="single" w:sz="4" w:space="0" w:color="auto"/>
              <w:right w:val="single" w:sz="4" w:space="0" w:color="auto"/>
            </w:tcBorders>
            <w:shd w:val="clear" w:color="auto" w:fill="auto"/>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Use of percentiles</w:t>
            </w:r>
          </w:p>
        </w:tc>
        <w:tc>
          <w:tcPr>
            <w:tcW w:w="1120" w:type="dxa"/>
            <w:tcBorders>
              <w:top w:val="nil"/>
              <w:left w:val="nil"/>
              <w:bottom w:val="single" w:sz="4" w:space="0" w:color="auto"/>
              <w:right w:val="single" w:sz="4" w:space="0" w:color="auto"/>
            </w:tcBorders>
            <w:shd w:val="clear" w:color="auto" w:fill="auto"/>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Median</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13.8</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9.1</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17.7</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4.7</w:t>
            </w:r>
          </w:p>
        </w:tc>
      </w:tr>
      <w:tr w:rsidR="008B510A" w:rsidRPr="008B510A">
        <w:trPr>
          <w:trHeight w:val="225"/>
        </w:trPr>
        <w:tc>
          <w:tcPr>
            <w:tcW w:w="1660" w:type="dxa"/>
            <w:tcBorders>
              <w:top w:val="nil"/>
              <w:left w:val="nil"/>
              <w:bottom w:val="nil"/>
              <w:right w:val="nil"/>
            </w:tcBorders>
            <w:shd w:val="clear" w:color="auto" w:fill="auto"/>
            <w:noWrap/>
            <w:vAlign w:val="bottom"/>
          </w:tcPr>
          <w:p w:rsidR="008B510A" w:rsidRPr="008B510A" w:rsidRDefault="008B510A" w:rsidP="008B510A">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8B510A" w:rsidRPr="008B510A" w:rsidRDefault="008B510A" w:rsidP="008B510A">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8B510A" w:rsidRPr="008B510A" w:rsidRDefault="008B510A" w:rsidP="008B510A">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8B510A" w:rsidRPr="008B510A" w:rsidRDefault="008B510A" w:rsidP="008B510A">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8B510A" w:rsidRPr="008B510A" w:rsidRDefault="008B510A" w:rsidP="008B510A">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8B510A" w:rsidRPr="008B510A" w:rsidRDefault="008B510A" w:rsidP="008B510A">
            <w:pPr>
              <w:rPr>
                <w:rFonts w:ascii="Calibri" w:hAnsi="Calibri" w:cs="Calibri"/>
                <w:color w:val="000000"/>
                <w:sz w:val="16"/>
                <w:szCs w:val="16"/>
                <w:lang w:eastAsia="en-AU"/>
              </w:rPr>
            </w:pPr>
          </w:p>
        </w:tc>
      </w:tr>
      <w:tr w:rsidR="008B510A" w:rsidRPr="008B510A">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tcPr>
          <w:p w:rsidR="008B510A" w:rsidRPr="008B510A" w:rsidRDefault="008B510A" w:rsidP="008B510A">
            <w:pPr>
              <w:rPr>
                <w:rFonts w:ascii="Calibri" w:hAnsi="Calibri" w:cs="Calibri"/>
                <w:color w:val="000000"/>
                <w:sz w:val="16"/>
                <w:szCs w:val="16"/>
                <w:lang w:eastAsia="en-AU"/>
              </w:rPr>
            </w:pPr>
            <w:r w:rsidRPr="008B510A">
              <w:rPr>
                <w:rFonts w:ascii="Calibri" w:hAnsi="Calibri" w:cs="Calibri"/>
                <w:color w:val="000000"/>
                <w:sz w:val="16"/>
                <w:szCs w:val="16"/>
                <w:lang w:eastAsia="en-AU"/>
              </w:rPr>
              <w:t>Year</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2010-11</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2009-10</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2008-09</w:t>
            </w:r>
          </w:p>
        </w:tc>
      </w:tr>
      <w:tr w:rsidR="008B510A" w:rsidRPr="008B510A">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B510A" w:rsidRPr="008B510A" w:rsidRDefault="001C6F7A" w:rsidP="008B510A">
            <w:pPr>
              <w:rPr>
                <w:rFonts w:ascii="Calibri" w:hAnsi="Calibri" w:cs="Calibri"/>
                <w:color w:val="000000"/>
                <w:sz w:val="16"/>
                <w:szCs w:val="16"/>
                <w:lang w:eastAsia="en-AU"/>
              </w:rPr>
            </w:pPr>
            <w:r w:rsidRPr="00CB6A7D">
              <w:rPr>
                <w:rFonts w:ascii="Calibri" w:hAnsi="Calibri" w:cs="Calibri"/>
                <w:color w:val="000000"/>
                <w:sz w:val="16"/>
                <w:szCs w:val="16"/>
                <w:lang w:eastAsia="en-AU"/>
              </w:rPr>
              <w:t>Percentage by which the conversion factor over or under estimates the weight of imports</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1C6F7A" w:rsidP="008B510A">
            <w:pPr>
              <w:jc w:val="center"/>
              <w:rPr>
                <w:rFonts w:ascii="Calibri" w:hAnsi="Calibri" w:cs="Calibri"/>
                <w:color w:val="000000"/>
                <w:sz w:val="16"/>
                <w:szCs w:val="16"/>
                <w:lang w:eastAsia="en-AU"/>
              </w:rPr>
            </w:pPr>
            <w:r>
              <w:rPr>
                <w:rFonts w:ascii="Calibri" w:hAnsi="Calibri" w:cs="Calibri"/>
                <w:color w:val="000000"/>
                <w:sz w:val="16"/>
                <w:szCs w:val="16"/>
                <w:lang w:eastAsia="en-AU"/>
              </w:rPr>
              <w:t>0</w:t>
            </w:r>
            <w:r w:rsidR="008B510A" w:rsidRPr="008B510A">
              <w:rPr>
                <w:rFonts w:ascii="Calibri" w:hAnsi="Calibri" w:cs="Calibri"/>
                <w:color w:val="000000"/>
                <w:sz w:val="16"/>
                <w:szCs w:val="16"/>
                <w:lang w:eastAsia="en-AU"/>
              </w:rPr>
              <w:t>%</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3%</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7%</w:t>
            </w:r>
          </w:p>
        </w:tc>
      </w:tr>
    </w:tbl>
    <w:p w:rsidR="008B510A" w:rsidRDefault="008B510A" w:rsidP="005D1179">
      <w:pPr>
        <w:jc w:val="both"/>
        <w:rPr>
          <w:szCs w:val="22"/>
        </w:rPr>
      </w:pPr>
    </w:p>
    <w:p w:rsidR="001A78F2" w:rsidRDefault="006D24D8">
      <w:pPr>
        <w:rPr>
          <w:szCs w:val="22"/>
        </w:rPr>
      </w:pPr>
      <w:r w:rsidRPr="005A3097">
        <w:rPr>
          <w:b/>
          <w:szCs w:val="22"/>
        </w:rPr>
        <w:t>Distribution:</w:t>
      </w:r>
      <w:r>
        <w:rPr>
          <w:b/>
          <w:szCs w:val="22"/>
        </w:rPr>
        <w:t xml:space="preserve"> </w:t>
      </w:r>
      <w:r w:rsidR="00DD5230">
        <w:rPr>
          <w:szCs w:val="22"/>
        </w:rPr>
        <w:t>Relatively narrow distribution.  Two distinct clusters: 9-10 kg and 13-14 kg.</w:t>
      </w:r>
    </w:p>
    <w:p w:rsidR="001A78F2" w:rsidRDefault="006D24D8">
      <w:pPr>
        <w:rPr>
          <w:szCs w:val="22"/>
        </w:rPr>
      </w:pPr>
      <w:r>
        <w:rPr>
          <w:b/>
          <w:szCs w:val="22"/>
        </w:rPr>
        <w:t xml:space="preserve">Proposed conversion factor: </w:t>
      </w:r>
      <w:r w:rsidR="00D62834">
        <w:rPr>
          <w:szCs w:val="22"/>
        </w:rPr>
        <w:t>10</w:t>
      </w:r>
      <w:r w:rsidR="00DD5230">
        <w:rPr>
          <w:szCs w:val="22"/>
        </w:rPr>
        <w:t>.</w:t>
      </w:r>
      <w:r w:rsidR="00D62834">
        <w:rPr>
          <w:szCs w:val="22"/>
        </w:rPr>
        <w:t>7</w:t>
      </w:r>
      <w:r w:rsidR="00DD5230">
        <w:rPr>
          <w:szCs w:val="22"/>
        </w:rPr>
        <w:t xml:space="preserve"> </w:t>
      </w:r>
      <w:r>
        <w:rPr>
          <w:szCs w:val="22"/>
        </w:rPr>
        <w:t>kg.</w:t>
      </w:r>
    </w:p>
    <w:p w:rsidR="001A78F2" w:rsidRDefault="006D24D8">
      <w:pPr>
        <w:rPr>
          <w:szCs w:val="22"/>
        </w:rPr>
      </w:pPr>
      <w:r>
        <w:rPr>
          <w:b/>
          <w:szCs w:val="22"/>
        </w:rPr>
        <w:t xml:space="preserve">Proposed confidence interval: </w:t>
      </w:r>
      <w:r>
        <w:rPr>
          <w:szCs w:val="22"/>
        </w:rPr>
        <w:t xml:space="preserve"> </w:t>
      </w:r>
      <w:r w:rsidR="00DD5230">
        <w:rPr>
          <w:szCs w:val="22"/>
        </w:rPr>
        <w:t xml:space="preserve">&gt; 9.1 kg, &lt; 17.7 </w:t>
      </w:r>
      <w:r w:rsidR="001C6F7A">
        <w:rPr>
          <w:szCs w:val="22"/>
        </w:rPr>
        <w:t>kg</w:t>
      </w:r>
    </w:p>
    <w:p w:rsidR="001A78F2" w:rsidRDefault="00C62346">
      <w:pPr>
        <w:rPr>
          <w:szCs w:val="22"/>
        </w:rPr>
      </w:pPr>
      <w:r>
        <w:rPr>
          <w:b/>
          <w:szCs w:val="22"/>
        </w:rPr>
        <w:t xml:space="preserve">Variation over time: </w:t>
      </w:r>
      <w:r w:rsidR="00DD5230">
        <w:rPr>
          <w:szCs w:val="22"/>
        </w:rPr>
        <w:t>Low</w:t>
      </w:r>
    </w:p>
    <w:p w:rsidR="001A78F2" w:rsidRDefault="001A78F2">
      <w:pPr>
        <w:rPr>
          <w:szCs w:val="22"/>
        </w:rPr>
      </w:pPr>
    </w:p>
    <w:p w:rsidR="001C6F7A" w:rsidRDefault="001C6F7A">
      <w:pPr>
        <w:rPr>
          <w:rFonts w:ascii="Arial" w:hAnsi="Arial" w:cs="Arial"/>
          <w:b/>
          <w:bCs/>
          <w:color w:val="000000"/>
          <w:szCs w:val="22"/>
          <w:lang w:eastAsia="en-AU"/>
        </w:rPr>
      </w:pPr>
      <w:r>
        <w:rPr>
          <w:rFonts w:ascii="Arial" w:hAnsi="Arial" w:cs="Arial"/>
          <w:b/>
          <w:bCs/>
          <w:color w:val="000000"/>
          <w:szCs w:val="22"/>
          <w:lang w:eastAsia="en-AU"/>
        </w:rPr>
        <w:br w:type="page"/>
      </w:r>
    </w:p>
    <w:p w:rsidR="006D24D8" w:rsidRDefault="001C6F7A" w:rsidP="005D1179">
      <w:pPr>
        <w:jc w:val="both"/>
        <w:rPr>
          <w:rFonts w:ascii="Arial" w:hAnsi="Arial" w:cs="Arial"/>
          <w:b/>
          <w:bCs/>
          <w:color w:val="000000"/>
          <w:szCs w:val="22"/>
          <w:lang w:eastAsia="en-AU"/>
        </w:rPr>
      </w:pPr>
      <w:r w:rsidRPr="008B510A">
        <w:rPr>
          <w:rFonts w:ascii="Arial" w:hAnsi="Arial" w:cs="Arial"/>
          <w:b/>
          <w:bCs/>
          <w:color w:val="000000"/>
          <w:szCs w:val="22"/>
          <w:lang w:eastAsia="en-AU"/>
        </w:rPr>
        <w:t>SC07 8471.41.00 91 - Computer desktops and similar: Other</w:t>
      </w:r>
    </w:p>
    <w:p w:rsidR="004360E0" w:rsidRDefault="004360E0" w:rsidP="004360E0">
      <w:pPr>
        <w:pStyle w:val="Caption"/>
        <w:keepNext/>
      </w:pPr>
    </w:p>
    <w:p w:rsidR="006D24D8" w:rsidRPr="004360E0" w:rsidRDefault="007C78DA" w:rsidP="004360E0">
      <w:pPr>
        <w:pStyle w:val="Caption"/>
        <w:keepNext/>
      </w:pPr>
      <w:r>
        <w:t>Figure 5-16</w:t>
      </w:r>
      <w:r w:rsidR="002652C5">
        <w:t xml:space="preserve">   </w:t>
      </w:r>
      <w:r w:rsidR="00AC1355">
        <w:t>HTISC frequency distribution in CF year</w:t>
      </w:r>
    </w:p>
    <w:p w:rsidR="006D24D8" w:rsidRDefault="001C6F7A" w:rsidP="005D1179">
      <w:pPr>
        <w:jc w:val="both"/>
        <w:rPr>
          <w:szCs w:val="22"/>
        </w:rPr>
      </w:pPr>
      <w:r w:rsidRPr="001C6F7A">
        <w:rPr>
          <w:noProof/>
          <w:szCs w:val="22"/>
          <w:lang w:eastAsia="en-AU"/>
        </w:rPr>
        <w:drawing>
          <wp:inline distT="0" distB="0" distL="0" distR="0">
            <wp:extent cx="4889500" cy="2984500"/>
            <wp:effectExtent l="19050" t="0" r="25400" b="6350"/>
            <wp:docPr id="37"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C6F7A" w:rsidRDefault="001C6F7A" w:rsidP="005D1179">
      <w:pPr>
        <w:jc w:val="both"/>
        <w:rPr>
          <w:szCs w:val="22"/>
        </w:rPr>
      </w:pPr>
    </w:p>
    <w:p w:rsidR="00D73340" w:rsidRDefault="00D73340" w:rsidP="00D73340">
      <w:pPr>
        <w:pStyle w:val="Caption"/>
      </w:pPr>
    </w:p>
    <w:p w:rsidR="001C6F7A" w:rsidRPr="00D73340" w:rsidRDefault="00207129" w:rsidP="00D73340">
      <w:pPr>
        <w:pStyle w:val="Caption"/>
      </w:pPr>
      <w:r>
        <w:t xml:space="preserve">Table 5-12   </w:t>
      </w:r>
      <w:r w:rsidR="00D73340">
        <w:t>Conversion factor statistics</w:t>
      </w:r>
    </w:p>
    <w:tbl>
      <w:tblPr>
        <w:tblW w:w="7260" w:type="dxa"/>
        <w:tblInd w:w="93" w:type="dxa"/>
        <w:tblLook w:val="04A0"/>
      </w:tblPr>
      <w:tblGrid>
        <w:gridCol w:w="1660"/>
        <w:gridCol w:w="1120"/>
        <w:gridCol w:w="1120"/>
        <w:gridCol w:w="1120"/>
        <w:gridCol w:w="1120"/>
        <w:gridCol w:w="1120"/>
      </w:tblGrid>
      <w:tr w:rsidR="008B510A" w:rsidRPr="008B510A">
        <w:trPr>
          <w:trHeight w:val="450"/>
        </w:trPr>
        <w:tc>
          <w:tcPr>
            <w:tcW w:w="1660" w:type="dxa"/>
            <w:tcBorders>
              <w:top w:val="single" w:sz="4" w:space="0" w:color="auto"/>
              <w:left w:val="single" w:sz="4" w:space="0" w:color="auto"/>
              <w:bottom w:val="single" w:sz="4" w:space="0" w:color="auto"/>
              <w:right w:val="single" w:sz="4" w:space="0" w:color="auto"/>
            </w:tcBorders>
            <w:shd w:val="clear" w:color="000000" w:fill="D8D8D8"/>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CF year</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No. of ABS imports</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 ABS imports included</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Min weight</w:t>
            </w:r>
            <w:r w:rsidRPr="008B510A">
              <w:rPr>
                <w:rFonts w:ascii="Calibri" w:hAnsi="Calibri" w:cs="Calibri"/>
                <w:color w:val="000000"/>
                <w:sz w:val="16"/>
                <w:szCs w:val="16"/>
                <w:lang w:eastAsia="en-AU"/>
              </w:rPr>
              <w:br/>
              <w:t>(kg)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Max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Standard deviation</w:t>
            </w:r>
          </w:p>
        </w:tc>
      </w:tr>
      <w:tr w:rsidR="008B510A" w:rsidRPr="008B510A">
        <w:trPr>
          <w:trHeight w:val="225"/>
        </w:trPr>
        <w:tc>
          <w:tcPr>
            <w:tcW w:w="1660" w:type="dxa"/>
            <w:tcBorders>
              <w:top w:val="nil"/>
              <w:left w:val="single" w:sz="4" w:space="0" w:color="auto"/>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2010-11</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147,832</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0</w:t>
            </w:r>
            <w:r w:rsidR="001C6F7A">
              <w:rPr>
                <w:rFonts w:ascii="Calibri" w:hAnsi="Calibri" w:cs="Calibri"/>
                <w:color w:val="000000"/>
                <w:sz w:val="16"/>
                <w:szCs w:val="16"/>
                <w:lang w:eastAsia="en-AU"/>
              </w:rPr>
              <w:t>.3</w:t>
            </w:r>
            <w:r w:rsidRPr="008B510A">
              <w:rPr>
                <w:rFonts w:ascii="Calibri" w:hAnsi="Calibri" w:cs="Calibri"/>
                <w:color w:val="000000"/>
                <w:sz w:val="16"/>
                <w:szCs w:val="16"/>
                <w:lang w:eastAsia="en-AU"/>
              </w:rPr>
              <w:t>%</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10</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10.0</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0.0</w:t>
            </w:r>
          </w:p>
        </w:tc>
      </w:tr>
      <w:tr w:rsidR="008B510A" w:rsidRPr="008B510A">
        <w:trPr>
          <w:trHeight w:val="225"/>
        </w:trPr>
        <w:tc>
          <w:tcPr>
            <w:tcW w:w="1660" w:type="dxa"/>
            <w:tcBorders>
              <w:top w:val="nil"/>
              <w:left w:val="nil"/>
              <w:bottom w:val="nil"/>
              <w:right w:val="nil"/>
            </w:tcBorders>
            <w:shd w:val="clear" w:color="auto" w:fill="auto"/>
            <w:noWrap/>
            <w:vAlign w:val="bottom"/>
          </w:tcPr>
          <w:p w:rsidR="008B510A" w:rsidRPr="008B510A" w:rsidRDefault="008B510A" w:rsidP="008B510A">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8B510A" w:rsidRPr="008B510A" w:rsidRDefault="008B510A" w:rsidP="008B510A">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8B510A" w:rsidRPr="008B510A" w:rsidRDefault="008B510A" w:rsidP="008B510A">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8B510A" w:rsidRPr="008B510A" w:rsidRDefault="008B510A" w:rsidP="008B510A">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8B510A" w:rsidRPr="008B510A" w:rsidRDefault="008B510A" w:rsidP="008B510A">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8B510A" w:rsidRPr="008B510A" w:rsidRDefault="008B510A" w:rsidP="008B510A">
            <w:pPr>
              <w:rPr>
                <w:rFonts w:ascii="Calibri" w:hAnsi="Calibri" w:cs="Calibri"/>
                <w:color w:val="000000"/>
                <w:sz w:val="16"/>
                <w:szCs w:val="16"/>
                <w:lang w:eastAsia="en-AU"/>
              </w:rPr>
            </w:pPr>
          </w:p>
        </w:tc>
      </w:tr>
      <w:tr w:rsidR="008B510A" w:rsidRPr="008B510A">
        <w:trPr>
          <w:trHeight w:val="450"/>
        </w:trPr>
        <w:tc>
          <w:tcPr>
            <w:tcW w:w="1660" w:type="dxa"/>
            <w:tcBorders>
              <w:top w:val="single" w:sz="4" w:space="0" w:color="auto"/>
              <w:left w:val="single" w:sz="4" w:space="0" w:color="auto"/>
              <w:bottom w:val="nil"/>
              <w:right w:val="single" w:sz="4" w:space="0" w:color="auto"/>
            </w:tcBorders>
            <w:shd w:val="clear" w:color="000000" w:fill="D8D8D8"/>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Method</w:t>
            </w:r>
          </w:p>
        </w:tc>
        <w:tc>
          <w:tcPr>
            <w:tcW w:w="1120" w:type="dxa"/>
            <w:tcBorders>
              <w:top w:val="single" w:sz="4" w:space="0" w:color="auto"/>
              <w:left w:val="nil"/>
              <w:bottom w:val="nil"/>
              <w:right w:val="single" w:sz="4" w:space="0" w:color="auto"/>
            </w:tcBorders>
            <w:shd w:val="clear" w:color="000000" w:fill="D8D8D8"/>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Measure of average</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Average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Lower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Upper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Confidence interval ± (kg)</w:t>
            </w:r>
          </w:p>
        </w:tc>
      </w:tr>
      <w:tr w:rsidR="008B510A" w:rsidRPr="008B510A">
        <w:trPr>
          <w:trHeight w:val="48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Approximation to the normal distribution</w:t>
            </w:r>
          </w:p>
        </w:tc>
        <w:tc>
          <w:tcPr>
            <w:tcW w:w="1120" w:type="dxa"/>
            <w:tcBorders>
              <w:top w:val="single" w:sz="4" w:space="0" w:color="auto"/>
              <w:left w:val="nil"/>
              <w:bottom w:val="single" w:sz="4" w:space="0" w:color="auto"/>
              <w:right w:val="single" w:sz="4" w:space="0" w:color="auto"/>
            </w:tcBorders>
            <w:shd w:val="clear" w:color="auto" w:fill="auto"/>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Mean</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10.0</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0.0</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0.0</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0.0</w:t>
            </w:r>
          </w:p>
        </w:tc>
      </w:tr>
      <w:tr w:rsidR="008B510A" w:rsidRPr="008B510A">
        <w:trPr>
          <w:trHeight w:val="480"/>
        </w:trPr>
        <w:tc>
          <w:tcPr>
            <w:tcW w:w="1660" w:type="dxa"/>
            <w:tcBorders>
              <w:top w:val="nil"/>
              <w:left w:val="single" w:sz="4" w:space="0" w:color="auto"/>
              <w:bottom w:val="single" w:sz="4" w:space="0" w:color="auto"/>
              <w:right w:val="single" w:sz="4" w:space="0" w:color="auto"/>
            </w:tcBorders>
            <w:shd w:val="clear" w:color="auto" w:fill="auto"/>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Use of percentiles</w:t>
            </w:r>
          </w:p>
        </w:tc>
        <w:tc>
          <w:tcPr>
            <w:tcW w:w="1120" w:type="dxa"/>
            <w:tcBorders>
              <w:top w:val="nil"/>
              <w:left w:val="nil"/>
              <w:bottom w:val="single" w:sz="4" w:space="0" w:color="auto"/>
              <w:right w:val="single" w:sz="4" w:space="0" w:color="auto"/>
            </w:tcBorders>
            <w:shd w:val="clear" w:color="auto" w:fill="auto"/>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Median</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10.0</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10.0</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10.0</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0.0</w:t>
            </w:r>
          </w:p>
        </w:tc>
      </w:tr>
      <w:tr w:rsidR="008B510A" w:rsidRPr="008B510A">
        <w:trPr>
          <w:trHeight w:val="225"/>
        </w:trPr>
        <w:tc>
          <w:tcPr>
            <w:tcW w:w="1660" w:type="dxa"/>
            <w:tcBorders>
              <w:top w:val="nil"/>
              <w:left w:val="nil"/>
              <w:bottom w:val="nil"/>
              <w:right w:val="nil"/>
            </w:tcBorders>
            <w:shd w:val="clear" w:color="auto" w:fill="auto"/>
            <w:noWrap/>
            <w:vAlign w:val="bottom"/>
          </w:tcPr>
          <w:p w:rsidR="008B510A" w:rsidRPr="008B510A" w:rsidRDefault="008B510A" w:rsidP="008B510A">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8B510A" w:rsidRPr="008B510A" w:rsidRDefault="008B510A" w:rsidP="008B510A">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8B510A" w:rsidRPr="008B510A" w:rsidRDefault="008B510A" w:rsidP="008B510A">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8B510A" w:rsidRPr="008B510A" w:rsidRDefault="008B510A" w:rsidP="008B510A">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8B510A" w:rsidRPr="008B510A" w:rsidRDefault="008B510A" w:rsidP="008B510A">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8B510A" w:rsidRPr="008B510A" w:rsidRDefault="008B510A" w:rsidP="008B510A">
            <w:pPr>
              <w:rPr>
                <w:rFonts w:ascii="Calibri" w:hAnsi="Calibri" w:cs="Calibri"/>
                <w:color w:val="000000"/>
                <w:sz w:val="16"/>
                <w:szCs w:val="16"/>
                <w:lang w:eastAsia="en-AU"/>
              </w:rPr>
            </w:pPr>
          </w:p>
        </w:tc>
      </w:tr>
      <w:tr w:rsidR="008B510A" w:rsidRPr="008B510A">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tcPr>
          <w:p w:rsidR="008B510A" w:rsidRPr="008B510A" w:rsidRDefault="008B510A" w:rsidP="008B510A">
            <w:pPr>
              <w:rPr>
                <w:rFonts w:ascii="Calibri" w:hAnsi="Calibri" w:cs="Calibri"/>
                <w:color w:val="000000"/>
                <w:sz w:val="16"/>
                <w:szCs w:val="16"/>
                <w:lang w:eastAsia="en-AU"/>
              </w:rPr>
            </w:pPr>
            <w:r w:rsidRPr="008B510A">
              <w:rPr>
                <w:rFonts w:ascii="Calibri" w:hAnsi="Calibri" w:cs="Calibri"/>
                <w:color w:val="000000"/>
                <w:sz w:val="16"/>
                <w:szCs w:val="16"/>
                <w:lang w:eastAsia="en-AU"/>
              </w:rPr>
              <w:t>Year</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2010-11</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2009-10</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2008-09</w:t>
            </w:r>
          </w:p>
        </w:tc>
      </w:tr>
      <w:tr w:rsidR="008B510A" w:rsidRPr="008B510A">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B510A" w:rsidRPr="008B510A" w:rsidRDefault="00382C08" w:rsidP="008B510A">
            <w:pPr>
              <w:rPr>
                <w:rFonts w:ascii="Calibri" w:hAnsi="Calibri" w:cs="Calibri"/>
                <w:color w:val="000000"/>
                <w:sz w:val="16"/>
                <w:szCs w:val="16"/>
                <w:lang w:eastAsia="en-AU"/>
              </w:rPr>
            </w:pPr>
            <w:r w:rsidRPr="00CB6A7D">
              <w:rPr>
                <w:rFonts w:ascii="Calibri" w:hAnsi="Calibri" w:cs="Calibri"/>
                <w:color w:val="000000"/>
                <w:sz w:val="16"/>
                <w:szCs w:val="16"/>
                <w:lang w:eastAsia="en-AU"/>
              </w:rPr>
              <w:t>Percentage by which the conversion factor over or under estimates the weight of imports</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0%</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0%</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0%</w:t>
            </w:r>
          </w:p>
        </w:tc>
      </w:tr>
    </w:tbl>
    <w:p w:rsidR="008B510A" w:rsidRDefault="008B510A" w:rsidP="005D1179">
      <w:pPr>
        <w:jc w:val="both"/>
        <w:rPr>
          <w:szCs w:val="22"/>
        </w:rPr>
      </w:pPr>
    </w:p>
    <w:p w:rsidR="001A78F2" w:rsidRDefault="001A78F2">
      <w:pPr>
        <w:rPr>
          <w:szCs w:val="22"/>
        </w:rPr>
      </w:pPr>
    </w:p>
    <w:p w:rsidR="001A78F2" w:rsidRDefault="00DD5230">
      <w:pPr>
        <w:rPr>
          <w:szCs w:val="22"/>
        </w:rPr>
      </w:pPr>
      <w:r w:rsidRPr="005A3097">
        <w:rPr>
          <w:b/>
          <w:szCs w:val="22"/>
        </w:rPr>
        <w:t>Distribution:</w:t>
      </w:r>
      <w:r>
        <w:rPr>
          <w:b/>
          <w:szCs w:val="22"/>
        </w:rPr>
        <w:t xml:space="preserve"> </w:t>
      </w:r>
      <w:r>
        <w:rPr>
          <w:szCs w:val="22"/>
        </w:rPr>
        <w:t>One brand reporting one model.</w:t>
      </w:r>
    </w:p>
    <w:p w:rsidR="001A78F2" w:rsidRDefault="00DD5230">
      <w:pPr>
        <w:rPr>
          <w:szCs w:val="22"/>
        </w:rPr>
      </w:pPr>
      <w:r>
        <w:rPr>
          <w:b/>
          <w:szCs w:val="22"/>
        </w:rPr>
        <w:t xml:space="preserve">Proposed conversion factor: </w:t>
      </w:r>
      <w:r>
        <w:rPr>
          <w:szCs w:val="22"/>
        </w:rPr>
        <w:t>10 kg.</w:t>
      </w:r>
    </w:p>
    <w:p w:rsidR="001A78F2" w:rsidRDefault="00DD5230">
      <w:pPr>
        <w:rPr>
          <w:szCs w:val="22"/>
        </w:rPr>
      </w:pPr>
      <w:r>
        <w:rPr>
          <w:b/>
          <w:szCs w:val="22"/>
        </w:rPr>
        <w:t xml:space="preserve">Proposed confidence interval: </w:t>
      </w:r>
      <w:r>
        <w:rPr>
          <w:szCs w:val="22"/>
        </w:rPr>
        <w:t xml:space="preserve"> </w:t>
      </w:r>
      <w:r w:rsidRPr="00F56846">
        <w:rPr>
          <w:szCs w:val="22"/>
        </w:rPr>
        <w:t>±</w:t>
      </w:r>
      <w:r>
        <w:rPr>
          <w:szCs w:val="22"/>
        </w:rPr>
        <w:t xml:space="preserve"> 0 kg</w:t>
      </w:r>
    </w:p>
    <w:p w:rsidR="001A78F2" w:rsidRDefault="00C62346">
      <w:pPr>
        <w:rPr>
          <w:szCs w:val="22"/>
        </w:rPr>
      </w:pPr>
      <w:r>
        <w:rPr>
          <w:b/>
          <w:szCs w:val="22"/>
        </w:rPr>
        <w:t xml:space="preserve">Variation over time: </w:t>
      </w:r>
      <w:r w:rsidR="00112A79">
        <w:rPr>
          <w:szCs w:val="22"/>
        </w:rPr>
        <w:t>None</w:t>
      </w:r>
    </w:p>
    <w:p w:rsidR="00DD5230" w:rsidRDefault="00DD5230" w:rsidP="00304B14">
      <w:pPr>
        <w:rPr>
          <w:szCs w:val="22"/>
        </w:rPr>
      </w:pPr>
    </w:p>
    <w:p w:rsidR="001A78F2" w:rsidRDefault="001A78F2">
      <w:pPr>
        <w:rPr>
          <w:rFonts w:ascii="Arial" w:hAnsi="Arial" w:cs="Arial"/>
          <w:b/>
          <w:szCs w:val="22"/>
        </w:rPr>
      </w:pPr>
    </w:p>
    <w:p w:rsidR="00DD5230" w:rsidRDefault="00DD5230" w:rsidP="00304B14">
      <w:pPr>
        <w:rPr>
          <w:szCs w:val="22"/>
        </w:rPr>
      </w:pPr>
    </w:p>
    <w:p w:rsidR="009522BF" w:rsidRDefault="009522BF">
      <w:pPr>
        <w:rPr>
          <w:szCs w:val="22"/>
        </w:rPr>
      </w:pPr>
    </w:p>
    <w:p w:rsidR="008B510A" w:rsidRPr="00E206B2" w:rsidRDefault="008B510A" w:rsidP="008B510A">
      <w:pPr>
        <w:rPr>
          <w:szCs w:val="22"/>
        </w:rPr>
      </w:pPr>
    </w:p>
    <w:p w:rsidR="001C6F7A" w:rsidRDefault="001C6F7A">
      <w:pPr>
        <w:rPr>
          <w:rFonts w:ascii="Arial" w:hAnsi="Arial" w:cs="Arial"/>
          <w:b/>
          <w:bCs/>
          <w:iCs/>
          <w:sz w:val="28"/>
          <w:szCs w:val="22"/>
        </w:rPr>
      </w:pPr>
      <w:r>
        <w:br w:type="page"/>
      </w:r>
    </w:p>
    <w:p w:rsidR="008B510A" w:rsidRDefault="008B510A" w:rsidP="002E1A14">
      <w:pPr>
        <w:pStyle w:val="Heading2"/>
      </w:pPr>
      <w:bookmarkStart w:id="48" w:name="_Toc303860086"/>
      <w:bookmarkStart w:id="49" w:name="_Toc304967189"/>
      <w:r w:rsidRPr="00593F01">
        <w:t>Computer desktops and similar</w:t>
      </w:r>
      <w:r w:rsidR="00C424AE">
        <w:t xml:space="preserve"> (</w:t>
      </w:r>
      <w:r w:rsidR="00382C08">
        <w:t>B</w:t>
      </w:r>
      <w:r w:rsidR="00C424AE">
        <w:t>)</w:t>
      </w:r>
      <w:bookmarkEnd w:id="48"/>
      <w:bookmarkEnd w:id="49"/>
    </w:p>
    <w:p w:rsidR="00E5733D" w:rsidRDefault="00E5733D" w:rsidP="00E5733D">
      <w:pPr>
        <w:rPr>
          <w:rFonts w:ascii="Arial" w:hAnsi="Arial" w:cs="Arial"/>
          <w:b/>
          <w:bCs/>
          <w:color w:val="000000"/>
          <w:szCs w:val="22"/>
          <w:lang w:eastAsia="en-AU"/>
        </w:rPr>
      </w:pPr>
    </w:p>
    <w:p w:rsidR="008B510A" w:rsidRPr="00E5733D" w:rsidRDefault="00E5733D" w:rsidP="008B510A">
      <w:pPr>
        <w:rPr>
          <w:szCs w:val="22"/>
        </w:rPr>
      </w:pPr>
      <w:r>
        <w:rPr>
          <w:rFonts w:ascii="Arial" w:hAnsi="Arial" w:cs="Arial"/>
          <w:b/>
          <w:bCs/>
          <w:color w:val="000000"/>
          <w:szCs w:val="22"/>
          <w:lang w:eastAsia="en-AU"/>
        </w:rPr>
        <w:t>Summary of ABS Imports</w:t>
      </w:r>
    </w:p>
    <w:p w:rsidR="001A78F2" w:rsidRDefault="001A78F2">
      <w:pPr>
        <w:rPr>
          <w:szCs w:val="22"/>
        </w:rPr>
      </w:pPr>
    </w:p>
    <w:p w:rsidR="00382C08" w:rsidRDefault="001C6F7A" w:rsidP="001C6F7A">
      <w:pPr>
        <w:rPr>
          <w:szCs w:val="22"/>
        </w:rPr>
      </w:pPr>
      <w:r>
        <w:rPr>
          <w:szCs w:val="22"/>
        </w:rPr>
        <w:t xml:space="preserve">According to ABS import data, </w:t>
      </w:r>
      <w:r w:rsidR="00945E32">
        <w:rPr>
          <w:szCs w:val="22"/>
        </w:rPr>
        <w:t>987,981</w:t>
      </w:r>
      <w:r>
        <w:rPr>
          <w:szCs w:val="22"/>
        </w:rPr>
        <w:t xml:space="preserve"> units </w:t>
      </w:r>
      <w:r w:rsidR="00667794">
        <w:rPr>
          <w:szCs w:val="22"/>
        </w:rPr>
        <w:t xml:space="preserve">of </w:t>
      </w:r>
      <w:r w:rsidR="00667794" w:rsidRPr="00593F01">
        <w:t>Computer desktops and similar</w:t>
      </w:r>
      <w:r w:rsidR="00667794">
        <w:t xml:space="preserve"> </w:t>
      </w:r>
      <w:r>
        <w:rPr>
          <w:szCs w:val="22"/>
        </w:rPr>
        <w:t xml:space="preserve">were imported in 2011. The proportions are shown in </w:t>
      </w:r>
      <w:r w:rsidR="007C78DA">
        <w:rPr>
          <w:szCs w:val="22"/>
        </w:rPr>
        <w:t>Figure 5-17</w:t>
      </w:r>
      <w:r w:rsidR="00C37F76">
        <w:rPr>
          <w:szCs w:val="22"/>
        </w:rPr>
        <w:t xml:space="preserve">. </w:t>
      </w:r>
    </w:p>
    <w:p w:rsidR="00382C08" w:rsidRDefault="00382C08" w:rsidP="001C6F7A">
      <w:pPr>
        <w:rPr>
          <w:szCs w:val="22"/>
        </w:rPr>
      </w:pPr>
    </w:p>
    <w:p w:rsidR="001C6F7A" w:rsidRDefault="00382C08" w:rsidP="001C6F7A">
      <w:pPr>
        <w:rPr>
          <w:szCs w:val="22"/>
          <w:lang w:val="en-US"/>
        </w:rPr>
      </w:pPr>
      <w:r>
        <w:rPr>
          <w:szCs w:val="22"/>
        </w:rPr>
        <w:t>I</w:t>
      </w:r>
      <w:r w:rsidR="001C6F7A">
        <w:rPr>
          <w:szCs w:val="22"/>
          <w:lang w:val="en-US"/>
        </w:rPr>
        <w:t xml:space="preserve">n this CTCN </w:t>
      </w:r>
      <w:r>
        <w:rPr>
          <w:szCs w:val="22"/>
          <w:lang w:val="en-US"/>
        </w:rPr>
        <w:t xml:space="preserve">the only HTISC for which data was provided is </w:t>
      </w:r>
      <w:r w:rsidRPr="001C6F7A">
        <w:rPr>
          <w:i/>
          <w:szCs w:val="22"/>
          <w:lang w:val="en-US"/>
        </w:rPr>
        <w:t>Personal computer</w:t>
      </w:r>
      <w:r w:rsidR="003D6B8B">
        <w:rPr>
          <w:i/>
          <w:szCs w:val="22"/>
          <w:lang w:val="en-US"/>
        </w:rPr>
        <w:t>s</w:t>
      </w:r>
      <w:r w:rsidR="0054081E">
        <w:rPr>
          <w:i/>
          <w:szCs w:val="22"/>
          <w:lang w:val="en-US"/>
        </w:rPr>
        <w:t>.</w:t>
      </w:r>
    </w:p>
    <w:p w:rsidR="001C6F7A" w:rsidRDefault="001C6F7A">
      <w:pPr>
        <w:rPr>
          <w:szCs w:val="22"/>
        </w:rPr>
      </w:pPr>
    </w:p>
    <w:p w:rsidR="001C6F7A" w:rsidRPr="00382C08" w:rsidRDefault="007C78DA" w:rsidP="00382C08">
      <w:pPr>
        <w:pStyle w:val="Caption"/>
        <w:keepNext/>
      </w:pPr>
      <w:r>
        <w:t>Figure 5-17</w:t>
      </w:r>
      <w:r w:rsidR="00382C08">
        <w:t xml:space="preserve"> Proportion of HTISCs in 2010-11 CTCN imports data (according to ABS)</w:t>
      </w:r>
    </w:p>
    <w:p w:rsidR="001C6F7A" w:rsidRDefault="00E71254">
      <w:pPr>
        <w:rPr>
          <w:szCs w:val="22"/>
        </w:rPr>
      </w:pPr>
      <w:r w:rsidRPr="001C6F7A">
        <w:rPr>
          <w:noProof/>
          <w:szCs w:val="22"/>
          <w:lang w:eastAsia="en-AU"/>
        </w:rPr>
        <w:drawing>
          <wp:inline distT="0" distB="0" distL="0" distR="0">
            <wp:extent cx="4572000" cy="2743200"/>
            <wp:effectExtent l="0" t="0" r="0" b="0"/>
            <wp:docPr id="40"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C6F7A" w:rsidRDefault="001C6F7A">
      <w:pPr>
        <w:rPr>
          <w:szCs w:val="22"/>
        </w:rPr>
      </w:pPr>
    </w:p>
    <w:p w:rsidR="00382C08" w:rsidRDefault="00382C08">
      <w:pPr>
        <w:rPr>
          <w:rFonts w:ascii="Arial" w:hAnsi="Arial" w:cs="Arial"/>
          <w:b/>
          <w:bCs/>
          <w:color w:val="000000"/>
          <w:szCs w:val="22"/>
          <w:lang w:eastAsia="en-AU"/>
        </w:rPr>
      </w:pPr>
      <w:r>
        <w:rPr>
          <w:rFonts w:ascii="Arial" w:hAnsi="Arial" w:cs="Arial"/>
          <w:b/>
          <w:bCs/>
          <w:color w:val="000000"/>
          <w:szCs w:val="22"/>
          <w:lang w:eastAsia="en-AU"/>
        </w:rPr>
        <w:br w:type="page"/>
      </w:r>
    </w:p>
    <w:p w:rsidR="001C6F7A" w:rsidRDefault="00E71254">
      <w:pPr>
        <w:rPr>
          <w:szCs w:val="22"/>
        </w:rPr>
      </w:pPr>
      <w:r w:rsidRPr="008B510A">
        <w:rPr>
          <w:rFonts w:ascii="Arial" w:hAnsi="Arial" w:cs="Arial"/>
          <w:b/>
          <w:bCs/>
          <w:color w:val="000000"/>
          <w:szCs w:val="22"/>
          <w:lang w:eastAsia="en-AU"/>
        </w:rPr>
        <w:t>SC07 8471.49.00 22 - Computer desktops and similar: Personal computers</w:t>
      </w:r>
    </w:p>
    <w:p w:rsidR="001C6F7A" w:rsidRDefault="001C6F7A" w:rsidP="00304B14"/>
    <w:p w:rsidR="001C6F7A" w:rsidRDefault="007C78DA" w:rsidP="004360E0">
      <w:pPr>
        <w:pStyle w:val="Caption"/>
        <w:keepNext/>
      </w:pPr>
      <w:r>
        <w:t>Figure 5-18</w:t>
      </w:r>
      <w:r w:rsidR="002652C5">
        <w:t xml:space="preserve"> </w:t>
      </w:r>
      <w:r w:rsidR="004360E0">
        <w:t xml:space="preserve"> </w:t>
      </w:r>
      <w:r w:rsidR="00AC1355">
        <w:t>HTISC frequency distribution in CF year</w:t>
      </w:r>
    </w:p>
    <w:p w:rsidR="008F5DD2" w:rsidRDefault="008F5DD2" w:rsidP="008F5DD2">
      <w:pPr>
        <w:rPr>
          <w:lang w:val="en-GB"/>
        </w:rPr>
      </w:pPr>
      <w:r w:rsidRPr="008F5DD2">
        <w:rPr>
          <w:noProof/>
          <w:lang w:eastAsia="en-AU"/>
        </w:rPr>
        <w:drawing>
          <wp:inline distT="0" distB="0" distL="0" distR="0">
            <wp:extent cx="4889500" cy="2984500"/>
            <wp:effectExtent l="19050" t="0" r="25400" b="6350"/>
            <wp:docPr id="91"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8F5DD2" w:rsidRDefault="008F5DD2" w:rsidP="008F5DD2">
      <w:pPr>
        <w:rPr>
          <w:lang w:val="en-GB"/>
        </w:rPr>
      </w:pPr>
    </w:p>
    <w:p w:rsidR="001C6F7A" w:rsidRDefault="001C6F7A" w:rsidP="00304B14"/>
    <w:p w:rsidR="001C6F7A" w:rsidRPr="008B510A" w:rsidRDefault="001C6F7A" w:rsidP="00304B14"/>
    <w:p w:rsidR="008B510A" w:rsidRPr="00D73340" w:rsidRDefault="00207129" w:rsidP="00D73340">
      <w:pPr>
        <w:pStyle w:val="Caption"/>
      </w:pPr>
      <w:r>
        <w:t xml:space="preserve">Table 5-13  </w:t>
      </w:r>
      <w:r w:rsidR="00D73340">
        <w:t>Conversion factor statistics</w:t>
      </w:r>
    </w:p>
    <w:tbl>
      <w:tblPr>
        <w:tblW w:w="7260" w:type="dxa"/>
        <w:tblInd w:w="93" w:type="dxa"/>
        <w:tblLook w:val="04A0"/>
      </w:tblPr>
      <w:tblGrid>
        <w:gridCol w:w="1660"/>
        <w:gridCol w:w="1120"/>
        <w:gridCol w:w="1120"/>
        <w:gridCol w:w="1120"/>
        <w:gridCol w:w="1120"/>
        <w:gridCol w:w="1120"/>
      </w:tblGrid>
      <w:tr w:rsidR="008B510A" w:rsidRPr="008B510A">
        <w:trPr>
          <w:trHeight w:val="450"/>
        </w:trPr>
        <w:tc>
          <w:tcPr>
            <w:tcW w:w="1660" w:type="dxa"/>
            <w:tcBorders>
              <w:top w:val="single" w:sz="4" w:space="0" w:color="auto"/>
              <w:left w:val="single" w:sz="4" w:space="0" w:color="auto"/>
              <w:bottom w:val="single" w:sz="4" w:space="0" w:color="auto"/>
              <w:right w:val="single" w:sz="4" w:space="0" w:color="auto"/>
            </w:tcBorders>
            <w:shd w:val="clear" w:color="000000" w:fill="D8D8D8"/>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CF year</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No. of ABS imports</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 ABS imports included</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Min weight</w:t>
            </w:r>
            <w:r w:rsidRPr="008B510A">
              <w:rPr>
                <w:rFonts w:ascii="Calibri" w:hAnsi="Calibri" w:cs="Calibri"/>
                <w:color w:val="000000"/>
                <w:sz w:val="16"/>
                <w:szCs w:val="16"/>
                <w:lang w:eastAsia="en-AU"/>
              </w:rPr>
              <w:br/>
              <w:t>(kg)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Max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Standard deviation</w:t>
            </w:r>
          </w:p>
        </w:tc>
      </w:tr>
      <w:tr w:rsidR="008B510A" w:rsidRPr="008B510A">
        <w:trPr>
          <w:trHeight w:val="225"/>
        </w:trPr>
        <w:tc>
          <w:tcPr>
            <w:tcW w:w="1660" w:type="dxa"/>
            <w:tcBorders>
              <w:top w:val="nil"/>
              <w:left w:val="single" w:sz="4" w:space="0" w:color="auto"/>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2010-11</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791,883</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2%</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9.4</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26.0</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0.8</w:t>
            </w:r>
          </w:p>
        </w:tc>
      </w:tr>
      <w:tr w:rsidR="008B510A" w:rsidRPr="008B510A">
        <w:trPr>
          <w:trHeight w:val="225"/>
        </w:trPr>
        <w:tc>
          <w:tcPr>
            <w:tcW w:w="1660" w:type="dxa"/>
            <w:tcBorders>
              <w:top w:val="nil"/>
              <w:left w:val="nil"/>
              <w:bottom w:val="nil"/>
              <w:right w:val="nil"/>
            </w:tcBorders>
            <w:shd w:val="clear" w:color="auto" w:fill="auto"/>
            <w:noWrap/>
            <w:vAlign w:val="bottom"/>
          </w:tcPr>
          <w:p w:rsidR="008B510A" w:rsidRPr="008B510A" w:rsidRDefault="008B510A" w:rsidP="008B510A">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8B510A" w:rsidRPr="008B510A" w:rsidRDefault="008B510A" w:rsidP="008B510A">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8B510A" w:rsidRPr="008B510A" w:rsidRDefault="008B510A" w:rsidP="008B510A">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8B510A" w:rsidRPr="008B510A" w:rsidRDefault="008B510A" w:rsidP="008B510A">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8B510A" w:rsidRPr="008B510A" w:rsidRDefault="008B510A" w:rsidP="008B510A">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8B510A" w:rsidRPr="008B510A" w:rsidRDefault="008B510A" w:rsidP="008B510A">
            <w:pPr>
              <w:rPr>
                <w:rFonts w:ascii="Calibri" w:hAnsi="Calibri" w:cs="Calibri"/>
                <w:color w:val="000000"/>
                <w:sz w:val="16"/>
                <w:szCs w:val="16"/>
                <w:lang w:eastAsia="en-AU"/>
              </w:rPr>
            </w:pPr>
          </w:p>
        </w:tc>
      </w:tr>
      <w:tr w:rsidR="008B510A" w:rsidRPr="008B510A">
        <w:trPr>
          <w:trHeight w:val="450"/>
        </w:trPr>
        <w:tc>
          <w:tcPr>
            <w:tcW w:w="1660" w:type="dxa"/>
            <w:tcBorders>
              <w:top w:val="single" w:sz="4" w:space="0" w:color="auto"/>
              <w:left w:val="single" w:sz="4" w:space="0" w:color="auto"/>
              <w:bottom w:val="nil"/>
              <w:right w:val="single" w:sz="4" w:space="0" w:color="auto"/>
            </w:tcBorders>
            <w:shd w:val="clear" w:color="000000" w:fill="D8D8D8"/>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Method</w:t>
            </w:r>
          </w:p>
        </w:tc>
        <w:tc>
          <w:tcPr>
            <w:tcW w:w="1120" w:type="dxa"/>
            <w:tcBorders>
              <w:top w:val="single" w:sz="4" w:space="0" w:color="auto"/>
              <w:left w:val="nil"/>
              <w:bottom w:val="nil"/>
              <w:right w:val="single" w:sz="4" w:space="0" w:color="auto"/>
            </w:tcBorders>
            <w:shd w:val="clear" w:color="000000" w:fill="D8D8D8"/>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Measure of average</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Average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Lower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Upper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Confidence interval ± (kg)</w:t>
            </w:r>
          </w:p>
        </w:tc>
      </w:tr>
      <w:tr w:rsidR="008B510A" w:rsidRPr="008B510A">
        <w:trPr>
          <w:trHeight w:val="48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Approximation to the normal distribution</w:t>
            </w:r>
          </w:p>
        </w:tc>
        <w:tc>
          <w:tcPr>
            <w:tcW w:w="1120" w:type="dxa"/>
            <w:tcBorders>
              <w:top w:val="single" w:sz="4" w:space="0" w:color="auto"/>
              <w:left w:val="nil"/>
              <w:bottom w:val="single" w:sz="4" w:space="0" w:color="auto"/>
              <w:right w:val="single" w:sz="4" w:space="0" w:color="auto"/>
            </w:tcBorders>
            <w:shd w:val="clear" w:color="auto" w:fill="auto"/>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Mean</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13.5</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12.0</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15.1</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1.5</w:t>
            </w:r>
          </w:p>
        </w:tc>
      </w:tr>
      <w:tr w:rsidR="008B510A" w:rsidRPr="008B510A">
        <w:trPr>
          <w:trHeight w:val="480"/>
        </w:trPr>
        <w:tc>
          <w:tcPr>
            <w:tcW w:w="1660" w:type="dxa"/>
            <w:tcBorders>
              <w:top w:val="nil"/>
              <w:left w:val="single" w:sz="4" w:space="0" w:color="auto"/>
              <w:bottom w:val="single" w:sz="4" w:space="0" w:color="auto"/>
              <w:right w:val="single" w:sz="4" w:space="0" w:color="auto"/>
            </w:tcBorders>
            <w:shd w:val="clear" w:color="auto" w:fill="auto"/>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Use of percentiles</w:t>
            </w:r>
          </w:p>
        </w:tc>
        <w:tc>
          <w:tcPr>
            <w:tcW w:w="1120" w:type="dxa"/>
            <w:tcBorders>
              <w:top w:val="nil"/>
              <w:left w:val="nil"/>
              <w:bottom w:val="single" w:sz="4" w:space="0" w:color="auto"/>
              <w:right w:val="single" w:sz="4" w:space="0" w:color="auto"/>
            </w:tcBorders>
            <w:shd w:val="clear" w:color="auto" w:fill="auto"/>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Median</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14.7</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1.8</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15.9</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12.9</w:t>
            </w:r>
          </w:p>
        </w:tc>
      </w:tr>
      <w:tr w:rsidR="008B510A" w:rsidRPr="008B510A">
        <w:trPr>
          <w:trHeight w:val="225"/>
        </w:trPr>
        <w:tc>
          <w:tcPr>
            <w:tcW w:w="1660" w:type="dxa"/>
            <w:tcBorders>
              <w:top w:val="nil"/>
              <w:left w:val="nil"/>
              <w:bottom w:val="nil"/>
              <w:right w:val="nil"/>
            </w:tcBorders>
            <w:shd w:val="clear" w:color="auto" w:fill="auto"/>
            <w:noWrap/>
            <w:vAlign w:val="bottom"/>
          </w:tcPr>
          <w:p w:rsidR="008B510A" w:rsidRPr="008B510A" w:rsidRDefault="008B510A" w:rsidP="008B510A">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8B510A" w:rsidRPr="008B510A" w:rsidRDefault="008B510A" w:rsidP="008B510A">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8B510A" w:rsidRPr="008B510A" w:rsidRDefault="008B510A" w:rsidP="008B510A">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8B510A" w:rsidRPr="008B510A" w:rsidRDefault="008B510A" w:rsidP="008B510A">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8B510A" w:rsidRPr="008B510A" w:rsidRDefault="008B510A" w:rsidP="008B510A">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8B510A" w:rsidRPr="008B510A" w:rsidRDefault="008B510A" w:rsidP="008B510A">
            <w:pPr>
              <w:rPr>
                <w:rFonts w:ascii="Calibri" w:hAnsi="Calibri" w:cs="Calibri"/>
                <w:color w:val="000000"/>
                <w:sz w:val="16"/>
                <w:szCs w:val="16"/>
                <w:lang w:eastAsia="en-AU"/>
              </w:rPr>
            </w:pPr>
          </w:p>
        </w:tc>
      </w:tr>
      <w:tr w:rsidR="008B510A" w:rsidRPr="008B510A">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tcPr>
          <w:p w:rsidR="008B510A" w:rsidRPr="008B510A" w:rsidRDefault="008B510A" w:rsidP="008B510A">
            <w:pPr>
              <w:rPr>
                <w:rFonts w:ascii="Calibri" w:hAnsi="Calibri" w:cs="Calibri"/>
                <w:color w:val="000000"/>
                <w:sz w:val="16"/>
                <w:szCs w:val="16"/>
                <w:lang w:eastAsia="en-AU"/>
              </w:rPr>
            </w:pPr>
            <w:r w:rsidRPr="008B510A">
              <w:rPr>
                <w:rFonts w:ascii="Calibri" w:hAnsi="Calibri" w:cs="Calibri"/>
                <w:color w:val="000000"/>
                <w:sz w:val="16"/>
                <w:szCs w:val="16"/>
                <w:lang w:eastAsia="en-AU"/>
              </w:rPr>
              <w:t>Year</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2010-11</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2009-10</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2008-09</w:t>
            </w:r>
          </w:p>
        </w:tc>
      </w:tr>
      <w:tr w:rsidR="0054081E" w:rsidRPr="008B510A">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54081E" w:rsidRPr="008B510A" w:rsidRDefault="0054081E" w:rsidP="008B510A">
            <w:pPr>
              <w:rPr>
                <w:rFonts w:ascii="Calibri" w:hAnsi="Calibri" w:cs="Calibri"/>
                <w:color w:val="000000"/>
                <w:sz w:val="16"/>
                <w:szCs w:val="16"/>
                <w:lang w:eastAsia="en-AU"/>
              </w:rPr>
            </w:pPr>
            <w:r w:rsidRPr="00CB6A7D">
              <w:rPr>
                <w:rFonts w:ascii="Calibri" w:hAnsi="Calibri" w:cs="Calibri"/>
                <w:color w:val="000000"/>
                <w:sz w:val="16"/>
                <w:szCs w:val="16"/>
                <w:lang w:eastAsia="en-AU"/>
              </w:rPr>
              <w:t>Percentage by which the conversion factor over or under estimates the weight of imports</w:t>
            </w:r>
          </w:p>
        </w:tc>
        <w:tc>
          <w:tcPr>
            <w:tcW w:w="1120" w:type="dxa"/>
            <w:tcBorders>
              <w:top w:val="nil"/>
              <w:left w:val="nil"/>
              <w:bottom w:val="single" w:sz="4" w:space="0" w:color="auto"/>
              <w:right w:val="single" w:sz="4" w:space="0" w:color="auto"/>
            </w:tcBorders>
            <w:shd w:val="clear" w:color="auto" w:fill="auto"/>
            <w:noWrap/>
            <w:vAlign w:val="center"/>
          </w:tcPr>
          <w:p w:rsidR="0054081E" w:rsidRDefault="0054081E">
            <w:pPr>
              <w:jc w:val="center"/>
              <w:rPr>
                <w:rFonts w:ascii="Calibri" w:hAnsi="Calibri" w:cs="Calibri"/>
                <w:color w:val="000000"/>
                <w:sz w:val="16"/>
                <w:szCs w:val="16"/>
              </w:rPr>
            </w:pPr>
            <w:r>
              <w:rPr>
                <w:rFonts w:ascii="Calibri" w:hAnsi="Calibri" w:cs="Calibri"/>
                <w:color w:val="000000"/>
                <w:sz w:val="16"/>
                <w:szCs w:val="16"/>
              </w:rPr>
              <w:t>0%</w:t>
            </w:r>
          </w:p>
        </w:tc>
        <w:tc>
          <w:tcPr>
            <w:tcW w:w="1120" w:type="dxa"/>
            <w:tcBorders>
              <w:top w:val="nil"/>
              <w:left w:val="nil"/>
              <w:bottom w:val="single" w:sz="4" w:space="0" w:color="auto"/>
              <w:right w:val="single" w:sz="4" w:space="0" w:color="auto"/>
            </w:tcBorders>
            <w:shd w:val="clear" w:color="auto" w:fill="auto"/>
            <w:noWrap/>
            <w:vAlign w:val="center"/>
          </w:tcPr>
          <w:p w:rsidR="0054081E" w:rsidRDefault="0054081E">
            <w:pPr>
              <w:jc w:val="center"/>
              <w:rPr>
                <w:rFonts w:ascii="Calibri" w:hAnsi="Calibri" w:cs="Calibri"/>
                <w:color w:val="000000"/>
                <w:sz w:val="16"/>
                <w:szCs w:val="16"/>
              </w:rPr>
            </w:pPr>
            <w:r>
              <w:rPr>
                <w:rFonts w:ascii="Calibri" w:hAnsi="Calibri" w:cs="Calibri"/>
                <w:color w:val="000000"/>
                <w:sz w:val="16"/>
                <w:szCs w:val="16"/>
              </w:rPr>
              <w:t>-100%</w:t>
            </w:r>
          </w:p>
        </w:tc>
        <w:tc>
          <w:tcPr>
            <w:tcW w:w="1120" w:type="dxa"/>
            <w:tcBorders>
              <w:top w:val="nil"/>
              <w:left w:val="nil"/>
              <w:bottom w:val="single" w:sz="4" w:space="0" w:color="auto"/>
              <w:right w:val="single" w:sz="4" w:space="0" w:color="auto"/>
            </w:tcBorders>
            <w:shd w:val="clear" w:color="auto" w:fill="auto"/>
            <w:noWrap/>
            <w:vAlign w:val="center"/>
          </w:tcPr>
          <w:p w:rsidR="0054081E" w:rsidRDefault="0054081E">
            <w:pPr>
              <w:jc w:val="center"/>
              <w:rPr>
                <w:rFonts w:ascii="Calibri" w:hAnsi="Calibri" w:cs="Calibri"/>
                <w:color w:val="000000"/>
                <w:sz w:val="16"/>
                <w:szCs w:val="16"/>
              </w:rPr>
            </w:pPr>
            <w:r>
              <w:rPr>
                <w:rFonts w:ascii="Calibri" w:hAnsi="Calibri" w:cs="Calibri"/>
                <w:color w:val="000000"/>
                <w:sz w:val="16"/>
                <w:szCs w:val="16"/>
              </w:rPr>
              <w:t>38%</w:t>
            </w:r>
          </w:p>
        </w:tc>
      </w:tr>
    </w:tbl>
    <w:p w:rsidR="008B510A" w:rsidRDefault="008B510A" w:rsidP="005D1179">
      <w:pPr>
        <w:jc w:val="both"/>
        <w:rPr>
          <w:szCs w:val="22"/>
        </w:rPr>
      </w:pPr>
    </w:p>
    <w:p w:rsidR="001A78F2" w:rsidRDefault="00DD5230">
      <w:pPr>
        <w:rPr>
          <w:szCs w:val="22"/>
        </w:rPr>
      </w:pPr>
      <w:r w:rsidRPr="005A3097">
        <w:rPr>
          <w:b/>
          <w:szCs w:val="22"/>
        </w:rPr>
        <w:t>Distribution:</w:t>
      </w:r>
      <w:r>
        <w:rPr>
          <w:b/>
          <w:szCs w:val="22"/>
        </w:rPr>
        <w:t xml:space="preserve"> </w:t>
      </w:r>
      <w:r>
        <w:rPr>
          <w:szCs w:val="22"/>
        </w:rPr>
        <w:t>Relatively narrow distribution.  Main cluster between 14-16 kg</w:t>
      </w:r>
    </w:p>
    <w:p w:rsidR="001A78F2" w:rsidRDefault="00DD5230">
      <w:pPr>
        <w:rPr>
          <w:szCs w:val="22"/>
        </w:rPr>
      </w:pPr>
      <w:r>
        <w:rPr>
          <w:b/>
          <w:szCs w:val="22"/>
        </w:rPr>
        <w:t xml:space="preserve">Proposed conversion factor: </w:t>
      </w:r>
      <w:r>
        <w:rPr>
          <w:szCs w:val="22"/>
        </w:rPr>
        <w:t>13.5 kg.</w:t>
      </w:r>
    </w:p>
    <w:p w:rsidR="001A78F2" w:rsidRDefault="00DD5230">
      <w:pPr>
        <w:rPr>
          <w:szCs w:val="22"/>
        </w:rPr>
      </w:pPr>
      <w:r>
        <w:rPr>
          <w:b/>
          <w:szCs w:val="22"/>
        </w:rPr>
        <w:t xml:space="preserve">Proposed confidence interval: </w:t>
      </w:r>
      <w:r w:rsidR="0054081E">
        <w:rPr>
          <w:szCs w:val="22"/>
        </w:rPr>
        <w:t xml:space="preserve"> &gt; 1.8 kg, &lt; 15.9 kg</w:t>
      </w:r>
    </w:p>
    <w:p w:rsidR="001A78F2" w:rsidRDefault="00C62346">
      <w:pPr>
        <w:rPr>
          <w:szCs w:val="22"/>
        </w:rPr>
      </w:pPr>
      <w:r>
        <w:rPr>
          <w:b/>
          <w:szCs w:val="22"/>
        </w:rPr>
        <w:t xml:space="preserve">Variation over time: </w:t>
      </w:r>
      <w:r w:rsidR="005F4D72">
        <w:rPr>
          <w:szCs w:val="22"/>
        </w:rPr>
        <w:t>High</w:t>
      </w:r>
    </w:p>
    <w:p w:rsidR="001A78F2" w:rsidRDefault="001A78F2">
      <w:pPr>
        <w:rPr>
          <w:rFonts w:ascii="Arial" w:hAnsi="Arial" w:cs="Arial"/>
          <w:b/>
          <w:szCs w:val="22"/>
        </w:rPr>
      </w:pPr>
    </w:p>
    <w:p w:rsidR="001A78F2" w:rsidRDefault="008B510A">
      <w:pPr>
        <w:rPr>
          <w:rFonts w:ascii="Arial" w:hAnsi="Arial" w:cs="Arial"/>
          <w:b/>
          <w:szCs w:val="22"/>
        </w:rPr>
      </w:pPr>
      <w:r w:rsidRPr="002146B1">
        <w:rPr>
          <w:rFonts w:ascii="Arial" w:hAnsi="Arial" w:cs="Arial"/>
          <w:b/>
          <w:szCs w:val="22"/>
        </w:rPr>
        <w:t>Data Gaps</w:t>
      </w:r>
    </w:p>
    <w:p w:rsidR="001A78F2" w:rsidRDefault="001A78F2">
      <w:pPr>
        <w:rPr>
          <w:rFonts w:ascii="Arial" w:hAnsi="Arial" w:cs="Arial"/>
          <w:b/>
          <w:szCs w:val="22"/>
        </w:rPr>
      </w:pPr>
    </w:p>
    <w:p w:rsidR="001A78F2" w:rsidRDefault="005F4D72">
      <w:pPr>
        <w:rPr>
          <w:szCs w:val="22"/>
        </w:rPr>
      </w:pPr>
      <w:r w:rsidRPr="002146B1">
        <w:rPr>
          <w:szCs w:val="22"/>
        </w:rPr>
        <w:t>No</w:t>
      </w:r>
      <w:r>
        <w:rPr>
          <w:szCs w:val="22"/>
        </w:rPr>
        <w:t xml:space="preserve"> imports reported for:</w:t>
      </w:r>
    </w:p>
    <w:p w:rsidR="001A78F2" w:rsidRDefault="005F4D72">
      <w:pPr>
        <w:pStyle w:val="ListParagraph"/>
        <w:numPr>
          <w:ilvl w:val="0"/>
          <w:numId w:val="31"/>
        </w:numPr>
        <w:rPr>
          <w:szCs w:val="22"/>
        </w:rPr>
      </w:pPr>
      <w:r w:rsidRPr="005F4D72">
        <w:rPr>
          <w:szCs w:val="22"/>
        </w:rPr>
        <w:t>SC07 8471.49.00 92 - Computer desktops and similar: Other</w:t>
      </w:r>
    </w:p>
    <w:p w:rsidR="001A78F2" w:rsidRDefault="001A78F2">
      <w:pPr>
        <w:rPr>
          <w:b/>
          <w:szCs w:val="22"/>
        </w:rPr>
      </w:pPr>
    </w:p>
    <w:p w:rsidR="00EC1CB8" w:rsidRDefault="005F4D72">
      <w:pPr>
        <w:rPr>
          <w:szCs w:val="22"/>
        </w:rPr>
      </w:pPr>
      <w:r w:rsidRPr="007B08F0">
        <w:rPr>
          <w:b/>
          <w:szCs w:val="22"/>
        </w:rPr>
        <w:t>Recommendation:</w:t>
      </w:r>
      <w:r w:rsidRPr="007B08F0">
        <w:rPr>
          <w:szCs w:val="22"/>
        </w:rPr>
        <w:t xml:space="preserve"> Assign conversion factors </w:t>
      </w:r>
      <w:r>
        <w:rPr>
          <w:szCs w:val="22"/>
        </w:rPr>
        <w:t xml:space="preserve">for </w:t>
      </w:r>
      <w:r w:rsidRPr="005F4D72">
        <w:rPr>
          <w:szCs w:val="22"/>
        </w:rPr>
        <w:t xml:space="preserve">SC07 8471.49.00 </w:t>
      </w:r>
      <w:r>
        <w:rPr>
          <w:szCs w:val="22"/>
        </w:rPr>
        <w:t>2</w:t>
      </w:r>
      <w:r w:rsidRPr="005F4D72">
        <w:rPr>
          <w:szCs w:val="22"/>
        </w:rPr>
        <w:t>2</w:t>
      </w:r>
      <w:r>
        <w:rPr>
          <w:szCs w:val="22"/>
        </w:rPr>
        <w:t xml:space="preserve"> for this code. </w:t>
      </w:r>
      <w:r w:rsidR="0054081E">
        <w:rPr>
          <w:szCs w:val="22"/>
        </w:rPr>
        <w:t>With</w:t>
      </w:r>
      <w:r>
        <w:rPr>
          <w:szCs w:val="22"/>
        </w:rPr>
        <w:t xml:space="preserve"> </w:t>
      </w:r>
      <w:r w:rsidR="0054081E">
        <w:rPr>
          <w:szCs w:val="22"/>
        </w:rPr>
        <w:t xml:space="preserve">data for </w:t>
      </w:r>
      <w:r>
        <w:rPr>
          <w:szCs w:val="22"/>
        </w:rPr>
        <w:t>only one HTISC code in this CTCN</w:t>
      </w:r>
      <w:r w:rsidR="00C37F76">
        <w:rPr>
          <w:szCs w:val="22"/>
        </w:rPr>
        <w:t xml:space="preserve">, </w:t>
      </w:r>
      <w:r w:rsidR="0054081E">
        <w:rPr>
          <w:szCs w:val="22"/>
        </w:rPr>
        <w:t>the CTCN factor is</w:t>
      </w:r>
      <w:r>
        <w:rPr>
          <w:szCs w:val="22"/>
        </w:rPr>
        <w:t xml:space="preserve"> identical to that </w:t>
      </w:r>
      <w:r w:rsidR="0054081E">
        <w:rPr>
          <w:szCs w:val="22"/>
        </w:rPr>
        <w:t>of</w:t>
      </w:r>
      <w:r>
        <w:rPr>
          <w:szCs w:val="22"/>
        </w:rPr>
        <w:t xml:space="preserve"> </w:t>
      </w:r>
      <w:r w:rsidRPr="005F4D72">
        <w:rPr>
          <w:szCs w:val="22"/>
        </w:rPr>
        <w:t xml:space="preserve">SC07 8471.49.00 </w:t>
      </w:r>
      <w:r>
        <w:rPr>
          <w:szCs w:val="22"/>
        </w:rPr>
        <w:t>2</w:t>
      </w:r>
      <w:r w:rsidRPr="005F4D72">
        <w:rPr>
          <w:szCs w:val="22"/>
        </w:rPr>
        <w:t>2</w:t>
      </w:r>
      <w:r w:rsidR="0054081E">
        <w:rPr>
          <w:szCs w:val="22"/>
        </w:rPr>
        <w:t>.</w:t>
      </w:r>
    </w:p>
    <w:p w:rsidR="00EC1CB8" w:rsidRDefault="00EC1CB8">
      <w:pPr>
        <w:rPr>
          <w:szCs w:val="22"/>
        </w:rPr>
      </w:pPr>
    </w:p>
    <w:p w:rsidR="008B510A" w:rsidRDefault="008B510A" w:rsidP="002E1A14">
      <w:pPr>
        <w:pStyle w:val="Heading2"/>
      </w:pPr>
      <w:bookmarkStart w:id="50" w:name="_Toc303860087"/>
      <w:bookmarkStart w:id="51" w:name="_Toc304967190"/>
      <w:r w:rsidRPr="00593F01">
        <w:t>Computer desktops and similar</w:t>
      </w:r>
      <w:r w:rsidR="00C424AE">
        <w:t xml:space="preserve"> (</w:t>
      </w:r>
      <w:r w:rsidR="00382C08">
        <w:t>C</w:t>
      </w:r>
      <w:r w:rsidR="00C424AE">
        <w:t>)</w:t>
      </w:r>
      <w:bookmarkEnd w:id="50"/>
      <w:bookmarkEnd w:id="51"/>
    </w:p>
    <w:p w:rsidR="00A17A10" w:rsidRDefault="00A17A10" w:rsidP="00A17A10"/>
    <w:p w:rsidR="00E5733D" w:rsidRDefault="00E5733D" w:rsidP="00E5733D">
      <w:pPr>
        <w:rPr>
          <w:szCs w:val="22"/>
        </w:rPr>
      </w:pPr>
      <w:r>
        <w:rPr>
          <w:rFonts w:ascii="Arial" w:hAnsi="Arial" w:cs="Arial"/>
          <w:b/>
          <w:bCs/>
          <w:color w:val="000000"/>
          <w:szCs w:val="22"/>
          <w:lang w:eastAsia="en-AU"/>
        </w:rPr>
        <w:t>Summary of ABS Imports</w:t>
      </w:r>
    </w:p>
    <w:p w:rsidR="001A78F2" w:rsidRDefault="001A78F2">
      <w:pPr>
        <w:rPr>
          <w:szCs w:val="22"/>
        </w:rPr>
      </w:pPr>
    </w:p>
    <w:p w:rsidR="00945E32" w:rsidRDefault="00945E32" w:rsidP="00945E32">
      <w:pPr>
        <w:rPr>
          <w:szCs w:val="22"/>
        </w:rPr>
      </w:pPr>
      <w:r>
        <w:rPr>
          <w:szCs w:val="22"/>
        </w:rPr>
        <w:t xml:space="preserve">According to ABS import data, 369,023 units of </w:t>
      </w:r>
      <w:r w:rsidR="00667794" w:rsidRPr="00593F01">
        <w:t>Computer desktops and similar</w:t>
      </w:r>
      <w:r w:rsidR="00667794">
        <w:t xml:space="preserve"> </w:t>
      </w:r>
      <w:r>
        <w:rPr>
          <w:szCs w:val="22"/>
        </w:rPr>
        <w:t>were imported in 2011. The proportions are shown in</w:t>
      </w:r>
      <w:r w:rsidR="00207129" w:rsidRPr="00207129">
        <w:rPr>
          <w:szCs w:val="22"/>
        </w:rPr>
        <w:t xml:space="preserve"> </w:t>
      </w:r>
      <w:r w:rsidR="00207129">
        <w:rPr>
          <w:szCs w:val="22"/>
        </w:rPr>
        <w:t>Figure 5</w:t>
      </w:r>
      <w:r w:rsidR="007C78DA">
        <w:rPr>
          <w:szCs w:val="22"/>
        </w:rPr>
        <w:t>-19</w:t>
      </w:r>
      <w:r w:rsidR="003D6B8B">
        <w:rPr>
          <w:szCs w:val="22"/>
        </w:rPr>
        <w:t>.</w:t>
      </w:r>
    </w:p>
    <w:p w:rsidR="00945E32" w:rsidRDefault="00945E32" w:rsidP="00945E32">
      <w:pPr>
        <w:rPr>
          <w:szCs w:val="22"/>
        </w:rPr>
      </w:pPr>
    </w:p>
    <w:p w:rsidR="00945E32" w:rsidRDefault="003D6B8B" w:rsidP="00945E32">
      <w:pPr>
        <w:rPr>
          <w:szCs w:val="22"/>
          <w:lang w:val="en-US"/>
        </w:rPr>
      </w:pPr>
      <w:r>
        <w:rPr>
          <w:szCs w:val="22"/>
          <w:lang w:val="en-US"/>
        </w:rPr>
        <w:t xml:space="preserve">The dominant HTISC in this CTCN is </w:t>
      </w:r>
      <w:r w:rsidRPr="003D6B8B">
        <w:rPr>
          <w:i/>
          <w:szCs w:val="22"/>
          <w:lang w:val="en-US"/>
        </w:rPr>
        <w:t>Central processing units for personal computers</w:t>
      </w:r>
      <w:r w:rsidRPr="001C6F7A">
        <w:rPr>
          <w:i/>
          <w:szCs w:val="22"/>
          <w:lang w:val="en-US"/>
        </w:rPr>
        <w:t>.</w:t>
      </w:r>
    </w:p>
    <w:p w:rsidR="00945E32" w:rsidRDefault="00945E32" w:rsidP="00945E32">
      <w:pPr>
        <w:rPr>
          <w:szCs w:val="22"/>
        </w:rPr>
      </w:pPr>
    </w:p>
    <w:p w:rsidR="00945E32" w:rsidRPr="00382C08" w:rsidRDefault="007C78DA" w:rsidP="00945E32">
      <w:pPr>
        <w:pStyle w:val="Caption"/>
        <w:keepNext/>
      </w:pPr>
      <w:r>
        <w:t>Figure 5-19</w:t>
      </w:r>
      <w:r w:rsidR="002652C5">
        <w:t xml:space="preserve"> </w:t>
      </w:r>
      <w:r w:rsidR="00945E32">
        <w:t xml:space="preserve"> Proportion of HTISCs in 2010-11 CTCN imports data (according to ABS)</w:t>
      </w:r>
    </w:p>
    <w:p w:rsidR="00A17A10" w:rsidRDefault="003D6B8B" w:rsidP="00304B14">
      <w:r w:rsidRPr="003D6B8B">
        <w:rPr>
          <w:noProof/>
          <w:lang w:eastAsia="en-AU"/>
        </w:rPr>
        <w:drawing>
          <wp:inline distT="0" distB="0" distL="0" distR="0">
            <wp:extent cx="4572000" cy="2743200"/>
            <wp:effectExtent l="0" t="0" r="0" b="0"/>
            <wp:docPr id="41"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9522BF" w:rsidRDefault="009522BF"/>
    <w:p w:rsidR="00A17A10" w:rsidRDefault="00A17A10" w:rsidP="00A17A10"/>
    <w:p w:rsidR="009B5E66" w:rsidRDefault="009B5E66">
      <w:pPr>
        <w:rPr>
          <w:rFonts w:ascii="Arial" w:hAnsi="Arial" w:cs="Arial"/>
          <w:b/>
          <w:bCs/>
          <w:color w:val="000000"/>
          <w:szCs w:val="22"/>
          <w:lang w:eastAsia="en-AU"/>
        </w:rPr>
      </w:pPr>
      <w:r>
        <w:rPr>
          <w:rFonts w:ascii="Arial" w:hAnsi="Arial" w:cs="Arial"/>
          <w:b/>
          <w:bCs/>
          <w:color w:val="000000"/>
          <w:szCs w:val="22"/>
          <w:lang w:eastAsia="en-AU"/>
        </w:rPr>
        <w:br w:type="page"/>
      </w:r>
    </w:p>
    <w:p w:rsidR="00A17A10" w:rsidRPr="00A17A10" w:rsidRDefault="003D6B8B" w:rsidP="00A17A10">
      <w:r w:rsidRPr="008B510A">
        <w:rPr>
          <w:rFonts w:ascii="Arial" w:hAnsi="Arial" w:cs="Arial"/>
          <w:b/>
          <w:bCs/>
          <w:color w:val="000000"/>
          <w:szCs w:val="22"/>
          <w:lang w:eastAsia="en-AU"/>
        </w:rPr>
        <w:t>SC07 8471.50.00 23 - Computer desktops and similar: Central</w:t>
      </w:r>
      <w:r w:rsidR="001D75D5">
        <w:rPr>
          <w:rFonts w:ascii="Arial" w:hAnsi="Arial" w:cs="Arial"/>
          <w:b/>
          <w:bCs/>
          <w:color w:val="000000"/>
          <w:szCs w:val="22"/>
          <w:lang w:eastAsia="en-AU"/>
        </w:rPr>
        <w:t xml:space="preserve"> processing units for personal computers</w:t>
      </w:r>
    </w:p>
    <w:p w:rsidR="008B510A" w:rsidRDefault="008B510A" w:rsidP="008B510A">
      <w:pPr>
        <w:jc w:val="both"/>
        <w:rPr>
          <w:szCs w:val="22"/>
        </w:rPr>
      </w:pPr>
    </w:p>
    <w:p w:rsidR="008E1F92" w:rsidRPr="004360E0" w:rsidRDefault="007C78DA" w:rsidP="004360E0">
      <w:pPr>
        <w:pStyle w:val="Caption"/>
        <w:keepNext/>
      </w:pPr>
      <w:r>
        <w:t>Figure 5-20</w:t>
      </w:r>
      <w:r w:rsidR="002652C5">
        <w:t xml:space="preserve">  </w:t>
      </w:r>
      <w:r w:rsidR="004360E0">
        <w:t xml:space="preserve"> </w:t>
      </w:r>
      <w:r w:rsidR="00AC1355">
        <w:t>HTISC frequency distribution in CF year</w:t>
      </w:r>
    </w:p>
    <w:p w:rsidR="008E1F92" w:rsidRDefault="003D6B8B" w:rsidP="008B510A">
      <w:pPr>
        <w:jc w:val="both"/>
        <w:rPr>
          <w:szCs w:val="22"/>
        </w:rPr>
      </w:pPr>
      <w:r w:rsidRPr="003D6B8B">
        <w:rPr>
          <w:noProof/>
          <w:szCs w:val="22"/>
          <w:lang w:eastAsia="en-AU"/>
        </w:rPr>
        <w:drawing>
          <wp:inline distT="0" distB="0" distL="0" distR="0">
            <wp:extent cx="4889500" cy="2984500"/>
            <wp:effectExtent l="19050" t="0" r="25400" b="6350"/>
            <wp:docPr id="42"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D73340" w:rsidRDefault="00D73340" w:rsidP="00D73340">
      <w:pPr>
        <w:pStyle w:val="Caption"/>
      </w:pPr>
    </w:p>
    <w:p w:rsidR="009B5E66" w:rsidRPr="00D73340" w:rsidRDefault="00207129" w:rsidP="00D73340">
      <w:pPr>
        <w:pStyle w:val="Caption"/>
      </w:pPr>
      <w:r>
        <w:t xml:space="preserve">Table 5-14  </w:t>
      </w:r>
      <w:r w:rsidR="00D73340">
        <w:t>Conversion factor statistics</w:t>
      </w:r>
    </w:p>
    <w:tbl>
      <w:tblPr>
        <w:tblW w:w="7260" w:type="dxa"/>
        <w:tblInd w:w="93" w:type="dxa"/>
        <w:tblLook w:val="04A0"/>
      </w:tblPr>
      <w:tblGrid>
        <w:gridCol w:w="1660"/>
        <w:gridCol w:w="1120"/>
        <w:gridCol w:w="1120"/>
        <w:gridCol w:w="1120"/>
        <w:gridCol w:w="1120"/>
        <w:gridCol w:w="1120"/>
      </w:tblGrid>
      <w:tr w:rsidR="008B510A" w:rsidRPr="008B510A">
        <w:trPr>
          <w:trHeight w:val="450"/>
        </w:trPr>
        <w:tc>
          <w:tcPr>
            <w:tcW w:w="1660" w:type="dxa"/>
            <w:tcBorders>
              <w:top w:val="single" w:sz="4" w:space="0" w:color="auto"/>
              <w:left w:val="single" w:sz="4" w:space="0" w:color="auto"/>
              <w:bottom w:val="single" w:sz="4" w:space="0" w:color="auto"/>
              <w:right w:val="single" w:sz="4" w:space="0" w:color="auto"/>
            </w:tcBorders>
            <w:shd w:val="clear" w:color="000000" w:fill="D8D8D8"/>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CF year</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No. of ABS imports</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 ABS imports included</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Min weight</w:t>
            </w:r>
            <w:r w:rsidRPr="008B510A">
              <w:rPr>
                <w:rFonts w:ascii="Calibri" w:hAnsi="Calibri" w:cs="Calibri"/>
                <w:color w:val="000000"/>
                <w:sz w:val="16"/>
                <w:szCs w:val="16"/>
                <w:lang w:eastAsia="en-AU"/>
              </w:rPr>
              <w:br/>
              <w:t>(kg)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Max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Standard deviation</w:t>
            </w:r>
          </w:p>
        </w:tc>
      </w:tr>
      <w:tr w:rsidR="008B510A" w:rsidRPr="008B510A">
        <w:trPr>
          <w:trHeight w:val="225"/>
        </w:trPr>
        <w:tc>
          <w:tcPr>
            <w:tcW w:w="1660" w:type="dxa"/>
            <w:tcBorders>
              <w:top w:val="nil"/>
              <w:left w:val="single" w:sz="4" w:space="0" w:color="auto"/>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2010-11</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285,333</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70%</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0.01</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15.9</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1.4</w:t>
            </w:r>
          </w:p>
        </w:tc>
      </w:tr>
      <w:tr w:rsidR="008B510A" w:rsidRPr="008B510A">
        <w:trPr>
          <w:trHeight w:val="225"/>
        </w:trPr>
        <w:tc>
          <w:tcPr>
            <w:tcW w:w="1660" w:type="dxa"/>
            <w:tcBorders>
              <w:top w:val="nil"/>
              <w:left w:val="nil"/>
              <w:bottom w:val="nil"/>
              <w:right w:val="nil"/>
            </w:tcBorders>
            <w:shd w:val="clear" w:color="auto" w:fill="auto"/>
            <w:noWrap/>
            <w:vAlign w:val="bottom"/>
          </w:tcPr>
          <w:p w:rsidR="008B510A" w:rsidRPr="008B510A" w:rsidRDefault="008B510A" w:rsidP="008B510A">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8B510A" w:rsidRPr="008B510A" w:rsidRDefault="008B510A" w:rsidP="008B510A">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8B510A" w:rsidRPr="008B510A" w:rsidRDefault="008B510A" w:rsidP="008B510A">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8B510A" w:rsidRPr="008B510A" w:rsidRDefault="008B510A" w:rsidP="008B510A">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8B510A" w:rsidRPr="008B510A" w:rsidRDefault="008B510A" w:rsidP="008B510A">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8B510A" w:rsidRPr="008B510A" w:rsidRDefault="008B510A" w:rsidP="008B510A">
            <w:pPr>
              <w:rPr>
                <w:rFonts w:ascii="Calibri" w:hAnsi="Calibri" w:cs="Calibri"/>
                <w:color w:val="000000"/>
                <w:sz w:val="16"/>
                <w:szCs w:val="16"/>
                <w:lang w:eastAsia="en-AU"/>
              </w:rPr>
            </w:pPr>
          </w:p>
        </w:tc>
      </w:tr>
      <w:tr w:rsidR="008B510A" w:rsidRPr="008B510A">
        <w:trPr>
          <w:trHeight w:val="450"/>
        </w:trPr>
        <w:tc>
          <w:tcPr>
            <w:tcW w:w="1660" w:type="dxa"/>
            <w:tcBorders>
              <w:top w:val="single" w:sz="4" w:space="0" w:color="auto"/>
              <w:left w:val="single" w:sz="4" w:space="0" w:color="auto"/>
              <w:bottom w:val="nil"/>
              <w:right w:val="single" w:sz="4" w:space="0" w:color="auto"/>
            </w:tcBorders>
            <w:shd w:val="clear" w:color="000000" w:fill="D8D8D8"/>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Method</w:t>
            </w:r>
          </w:p>
        </w:tc>
        <w:tc>
          <w:tcPr>
            <w:tcW w:w="1120" w:type="dxa"/>
            <w:tcBorders>
              <w:top w:val="single" w:sz="4" w:space="0" w:color="auto"/>
              <w:left w:val="nil"/>
              <w:bottom w:val="nil"/>
              <w:right w:val="single" w:sz="4" w:space="0" w:color="auto"/>
            </w:tcBorders>
            <w:shd w:val="clear" w:color="000000" w:fill="D8D8D8"/>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Measure of average</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Average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Lower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Upper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Confidence interval ± (kg)</w:t>
            </w:r>
          </w:p>
        </w:tc>
      </w:tr>
      <w:tr w:rsidR="008B510A" w:rsidRPr="008B510A">
        <w:trPr>
          <w:trHeight w:val="48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Approximation to the normal distribution</w:t>
            </w:r>
          </w:p>
        </w:tc>
        <w:tc>
          <w:tcPr>
            <w:tcW w:w="1120" w:type="dxa"/>
            <w:tcBorders>
              <w:top w:val="single" w:sz="4" w:space="0" w:color="auto"/>
              <w:left w:val="nil"/>
              <w:bottom w:val="single" w:sz="4" w:space="0" w:color="auto"/>
              <w:right w:val="single" w:sz="4" w:space="0" w:color="auto"/>
            </w:tcBorders>
            <w:shd w:val="clear" w:color="auto" w:fill="auto"/>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Mean</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10.4</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7.6</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13.2</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2.8</w:t>
            </w:r>
          </w:p>
        </w:tc>
      </w:tr>
      <w:tr w:rsidR="008B510A" w:rsidRPr="008B510A">
        <w:trPr>
          <w:trHeight w:val="480"/>
        </w:trPr>
        <w:tc>
          <w:tcPr>
            <w:tcW w:w="1660" w:type="dxa"/>
            <w:tcBorders>
              <w:top w:val="nil"/>
              <w:left w:val="single" w:sz="4" w:space="0" w:color="auto"/>
              <w:bottom w:val="single" w:sz="4" w:space="0" w:color="auto"/>
              <w:right w:val="single" w:sz="4" w:space="0" w:color="auto"/>
            </w:tcBorders>
            <w:shd w:val="clear" w:color="auto" w:fill="auto"/>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Use of percentiles</w:t>
            </w:r>
          </w:p>
        </w:tc>
        <w:tc>
          <w:tcPr>
            <w:tcW w:w="1120" w:type="dxa"/>
            <w:tcBorders>
              <w:top w:val="nil"/>
              <w:left w:val="nil"/>
              <w:bottom w:val="single" w:sz="4" w:space="0" w:color="auto"/>
              <w:right w:val="single" w:sz="4" w:space="0" w:color="auto"/>
            </w:tcBorders>
            <w:shd w:val="clear" w:color="auto" w:fill="auto"/>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Median</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9.8</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9.5</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15.9</w:t>
            </w:r>
          </w:p>
        </w:tc>
        <w:tc>
          <w:tcPr>
            <w:tcW w:w="1120" w:type="dxa"/>
            <w:tcBorders>
              <w:top w:val="nil"/>
              <w:left w:val="nil"/>
              <w:bottom w:val="single" w:sz="4" w:space="0" w:color="auto"/>
              <w:right w:val="single" w:sz="4" w:space="0" w:color="auto"/>
            </w:tcBorders>
            <w:shd w:val="clear" w:color="auto" w:fill="auto"/>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6.0</w:t>
            </w:r>
          </w:p>
        </w:tc>
      </w:tr>
      <w:tr w:rsidR="008B510A" w:rsidRPr="008B510A">
        <w:trPr>
          <w:trHeight w:val="225"/>
        </w:trPr>
        <w:tc>
          <w:tcPr>
            <w:tcW w:w="1660" w:type="dxa"/>
            <w:tcBorders>
              <w:top w:val="nil"/>
              <w:left w:val="nil"/>
              <w:bottom w:val="nil"/>
              <w:right w:val="nil"/>
            </w:tcBorders>
            <w:shd w:val="clear" w:color="auto" w:fill="auto"/>
            <w:noWrap/>
            <w:vAlign w:val="bottom"/>
          </w:tcPr>
          <w:p w:rsidR="008B510A" w:rsidRPr="008B510A" w:rsidRDefault="008B510A" w:rsidP="008B510A">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8B510A" w:rsidRPr="008B510A" w:rsidRDefault="008B510A" w:rsidP="008B510A">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8B510A" w:rsidRPr="008B510A" w:rsidRDefault="008B510A" w:rsidP="008B510A">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8B510A" w:rsidRPr="008B510A" w:rsidRDefault="008B510A" w:rsidP="008B510A">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8B510A" w:rsidRPr="008B510A" w:rsidRDefault="008B510A" w:rsidP="008B510A">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8B510A" w:rsidRPr="008B510A" w:rsidRDefault="008B510A" w:rsidP="008B510A">
            <w:pPr>
              <w:rPr>
                <w:rFonts w:ascii="Calibri" w:hAnsi="Calibri" w:cs="Calibri"/>
                <w:color w:val="000000"/>
                <w:sz w:val="16"/>
                <w:szCs w:val="16"/>
                <w:lang w:eastAsia="en-AU"/>
              </w:rPr>
            </w:pPr>
          </w:p>
        </w:tc>
      </w:tr>
      <w:tr w:rsidR="008B510A" w:rsidRPr="008B510A">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tcPr>
          <w:p w:rsidR="008B510A" w:rsidRPr="008B510A" w:rsidRDefault="008B510A" w:rsidP="008B510A">
            <w:pPr>
              <w:rPr>
                <w:rFonts w:ascii="Calibri" w:hAnsi="Calibri" w:cs="Calibri"/>
                <w:color w:val="000000"/>
                <w:sz w:val="16"/>
                <w:szCs w:val="16"/>
                <w:lang w:eastAsia="en-AU"/>
              </w:rPr>
            </w:pPr>
            <w:r w:rsidRPr="008B510A">
              <w:rPr>
                <w:rFonts w:ascii="Calibri" w:hAnsi="Calibri" w:cs="Calibri"/>
                <w:color w:val="000000"/>
                <w:sz w:val="16"/>
                <w:szCs w:val="16"/>
                <w:lang w:eastAsia="en-AU"/>
              </w:rPr>
              <w:t>Year</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2010-11</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2009-10</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8B510A" w:rsidRPr="008B510A" w:rsidRDefault="008B510A" w:rsidP="008B510A">
            <w:pPr>
              <w:jc w:val="center"/>
              <w:rPr>
                <w:rFonts w:ascii="Calibri" w:hAnsi="Calibri" w:cs="Calibri"/>
                <w:color w:val="000000"/>
                <w:sz w:val="16"/>
                <w:szCs w:val="16"/>
                <w:lang w:eastAsia="en-AU"/>
              </w:rPr>
            </w:pPr>
            <w:r w:rsidRPr="008B510A">
              <w:rPr>
                <w:rFonts w:ascii="Calibri" w:hAnsi="Calibri" w:cs="Calibri"/>
                <w:color w:val="000000"/>
                <w:sz w:val="16"/>
                <w:szCs w:val="16"/>
                <w:lang w:eastAsia="en-AU"/>
              </w:rPr>
              <w:t>2008-09</w:t>
            </w:r>
          </w:p>
        </w:tc>
      </w:tr>
      <w:tr w:rsidR="003D6B8B" w:rsidRPr="008B510A">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D6B8B" w:rsidRPr="008B510A" w:rsidRDefault="003D6B8B" w:rsidP="008B510A">
            <w:pPr>
              <w:rPr>
                <w:rFonts w:ascii="Calibri" w:hAnsi="Calibri" w:cs="Calibri"/>
                <w:color w:val="000000"/>
                <w:sz w:val="16"/>
                <w:szCs w:val="16"/>
                <w:lang w:eastAsia="en-AU"/>
              </w:rPr>
            </w:pPr>
            <w:r w:rsidRPr="00CB6A7D">
              <w:rPr>
                <w:rFonts w:ascii="Calibri" w:hAnsi="Calibri" w:cs="Calibri"/>
                <w:color w:val="000000"/>
                <w:sz w:val="16"/>
                <w:szCs w:val="16"/>
                <w:lang w:eastAsia="en-AU"/>
              </w:rPr>
              <w:t>Percentage by which the conversion factor over or under estimates the weight of imports</w:t>
            </w:r>
          </w:p>
        </w:tc>
        <w:tc>
          <w:tcPr>
            <w:tcW w:w="1120" w:type="dxa"/>
            <w:tcBorders>
              <w:top w:val="nil"/>
              <w:left w:val="nil"/>
              <w:bottom w:val="single" w:sz="4" w:space="0" w:color="auto"/>
              <w:right w:val="single" w:sz="4" w:space="0" w:color="auto"/>
            </w:tcBorders>
            <w:shd w:val="clear" w:color="auto" w:fill="auto"/>
            <w:noWrap/>
            <w:vAlign w:val="center"/>
          </w:tcPr>
          <w:p w:rsidR="003D6B8B" w:rsidRDefault="003D6B8B">
            <w:pPr>
              <w:jc w:val="center"/>
              <w:rPr>
                <w:rFonts w:ascii="Calibri" w:hAnsi="Calibri" w:cs="Calibri"/>
                <w:color w:val="000000"/>
                <w:sz w:val="16"/>
                <w:szCs w:val="16"/>
              </w:rPr>
            </w:pPr>
            <w:r>
              <w:rPr>
                <w:rFonts w:ascii="Calibri" w:hAnsi="Calibri" w:cs="Calibri"/>
                <w:color w:val="000000"/>
                <w:sz w:val="16"/>
                <w:szCs w:val="16"/>
              </w:rPr>
              <w:t>0%</w:t>
            </w:r>
          </w:p>
        </w:tc>
        <w:tc>
          <w:tcPr>
            <w:tcW w:w="1120" w:type="dxa"/>
            <w:tcBorders>
              <w:top w:val="nil"/>
              <w:left w:val="nil"/>
              <w:bottom w:val="single" w:sz="4" w:space="0" w:color="auto"/>
              <w:right w:val="single" w:sz="4" w:space="0" w:color="auto"/>
            </w:tcBorders>
            <w:shd w:val="clear" w:color="auto" w:fill="auto"/>
            <w:noWrap/>
            <w:vAlign w:val="center"/>
          </w:tcPr>
          <w:p w:rsidR="003D6B8B" w:rsidRDefault="003D6B8B">
            <w:pPr>
              <w:jc w:val="center"/>
              <w:rPr>
                <w:rFonts w:ascii="Calibri" w:hAnsi="Calibri" w:cs="Calibri"/>
                <w:color w:val="000000"/>
                <w:sz w:val="16"/>
                <w:szCs w:val="16"/>
              </w:rPr>
            </w:pPr>
            <w:r>
              <w:rPr>
                <w:rFonts w:ascii="Calibri" w:hAnsi="Calibri" w:cs="Calibri"/>
                <w:color w:val="000000"/>
                <w:sz w:val="16"/>
                <w:szCs w:val="16"/>
              </w:rPr>
              <w:t>4%</w:t>
            </w:r>
          </w:p>
        </w:tc>
        <w:tc>
          <w:tcPr>
            <w:tcW w:w="1120" w:type="dxa"/>
            <w:tcBorders>
              <w:top w:val="nil"/>
              <w:left w:val="nil"/>
              <w:bottom w:val="single" w:sz="4" w:space="0" w:color="auto"/>
              <w:right w:val="single" w:sz="4" w:space="0" w:color="auto"/>
            </w:tcBorders>
            <w:shd w:val="clear" w:color="auto" w:fill="auto"/>
            <w:noWrap/>
            <w:vAlign w:val="center"/>
          </w:tcPr>
          <w:p w:rsidR="003D6B8B" w:rsidRDefault="003D6B8B">
            <w:pPr>
              <w:jc w:val="center"/>
              <w:rPr>
                <w:rFonts w:ascii="Calibri" w:hAnsi="Calibri" w:cs="Calibri"/>
                <w:color w:val="000000"/>
                <w:sz w:val="16"/>
                <w:szCs w:val="16"/>
              </w:rPr>
            </w:pPr>
            <w:r>
              <w:rPr>
                <w:rFonts w:ascii="Calibri" w:hAnsi="Calibri" w:cs="Calibri"/>
                <w:color w:val="000000"/>
                <w:sz w:val="16"/>
                <w:szCs w:val="16"/>
              </w:rPr>
              <w:t>4%</w:t>
            </w:r>
          </w:p>
        </w:tc>
      </w:tr>
    </w:tbl>
    <w:p w:rsidR="001A78F2" w:rsidRDefault="001A78F2">
      <w:pPr>
        <w:rPr>
          <w:szCs w:val="22"/>
        </w:rPr>
      </w:pPr>
    </w:p>
    <w:p w:rsidR="001A78F2" w:rsidRDefault="007475CE">
      <w:pPr>
        <w:rPr>
          <w:szCs w:val="22"/>
        </w:rPr>
      </w:pPr>
      <w:r w:rsidRPr="005A3097">
        <w:rPr>
          <w:b/>
          <w:szCs w:val="22"/>
        </w:rPr>
        <w:t>Distribution:</w:t>
      </w:r>
      <w:r>
        <w:rPr>
          <w:b/>
          <w:szCs w:val="22"/>
        </w:rPr>
        <w:t xml:space="preserve"> </w:t>
      </w:r>
      <w:r>
        <w:rPr>
          <w:szCs w:val="22"/>
        </w:rPr>
        <w:t>Majority of imports between 9 – 10 kg.</w:t>
      </w:r>
    </w:p>
    <w:p w:rsidR="001A78F2" w:rsidRDefault="007475CE">
      <w:pPr>
        <w:rPr>
          <w:szCs w:val="22"/>
        </w:rPr>
      </w:pPr>
      <w:r>
        <w:rPr>
          <w:b/>
          <w:szCs w:val="22"/>
        </w:rPr>
        <w:t xml:space="preserve">Proposed conversion factor: </w:t>
      </w:r>
      <w:r w:rsidRPr="008B510A">
        <w:rPr>
          <w:szCs w:val="22"/>
        </w:rPr>
        <w:t>10.4</w:t>
      </w:r>
      <w:r w:rsidRPr="007475CE">
        <w:rPr>
          <w:szCs w:val="22"/>
        </w:rPr>
        <w:t xml:space="preserve"> </w:t>
      </w:r>
      <w:r>
        <w:rPr>
          <w:szCs w:val="22"/>
        </w:rPr>
        <w:t>kg.</w:t>
      </w:r>
    </w:p>
    <w:p w:rsidR="001A78F2" w:rsidRDefault="007475CE">
      <w:pPr>
        <w:rPr>
          <w:szCs w:val="22"/>
        </w:rPr>
      </w:pPr>
      <w:r>
        <w:rPr>
          <w:b/>
          <w:szCs w:val="22"/>
        </w:rPr>
        <w:t xml:space="preserve">Proposed confidence interval: </w:t>
      </w:r>
      <w:r>
        <w:rPr>
          <w:szCs w:val="22"/>
        </w:rPr>
        <w:t xml:space="preserve"> &gt; 9.5 kg, &lt; 15.9 kg to represent </w:t>
      </w:r>
      <w:r w:rsidR="00C62346">
        <w:rPr>
          <w:szCs w:val="22"/>
        </w:rPr>
        <w:t>variation</w:t>
      </w:r>
    </w:p>
    <w:p w:rsidR="001A78F2" w:rsidRDefault="00C62346">
      <w:pPr>
        <w:rPr>
          <w:szCs w:val="22"/>
        </w:rPr>
      </w:pPr>
      <w:r>
        <w:rPr>
          <w:b/>
          <w:szCs w:val="22"/>
        </w:rPr>
        <w:t xml:space="preserve">Variation over time: </w:t>
      </w:r>
      <w:r w:rsidR="00A17A10">
        <w:rPr>
          <w:szCs w:val="22"/>
        </w:rPr>
        <w:t>Low</w:t>
      </w:r>
    </w:p>
    <w:p w:rsidR="003D6B8B" w:rsidRDefault="003D6B8B">
      <w:pPr>
        <w:rPr>
          <w:szCs w:val="22"/>
        </w:rPr>
      </w:pPr>
    </w:p>
    <w:p w:rsidR="001A78F2" w:rsidRDefault="001A78F2">
      <w:pPr>
        <w:rPr>
          <w:szCs w:val="22"/>
        </w:rPr>
      </w:pPr>
    </w:p>
    <w:p w:rsidR="003D6B8B" w:rsidRDefault="003D6B8B">
      <w:pPr>
        <w:rPr>
          <w:szCs w:val="22"/>
        </w:rPr>
      </w:pPr>
    </w:p>
    <w:p w:rsidR="009B5E66" w:rsidRDefault="009B5E66">
      <w:pPr>
        <w:rPr>
          <w:rFonts w:ascii="Arial" w:hAnsi="Arial" w:cs="Arial"/>
          <w:b/>
          <w:bCs/>
          <w:color w:val="000000"/>
          <w:szCs w:val="22"/>
          <w:lang w:eastAsia="en-AU"/>
        </w:rPr>
      </w:pPr>
      <w:r>
        <w:rPr>
          <w:rFonts w:ascii="Arial" w:hAnsi="Arial" w:cs="Arial"/>
          <w:b/>
          <w:bCs/>
          <w:color w:val="000000"/>
          <w:szCs w:val="22"/>
          <w:lang w:eastAsia="en-AU"/>
        </w:rPr>
        <w:br w:type="page"/>
      </w:r>
    </w:p>
    <w:p w:rsidR="003D6B8B" w:rsidRDefault="003D6B8B">
      <w:pPr>
        <w:rPr>
          <w:szCs w:val="22"/>
        </w:rPr>
      </w:pPr>
      <w:r w:rsidRPr="00A17A10">
        <w:rPr>
          <w:rFonts w:ascii="Arial" w:hAnsi="Arial" w:cs="Arial"/>
          <w:b/>
          <w:bCs/>
          <w:color w:val="000000"/>
          <w:szCs w:val="22"/>
          <w:lang w:eastAsia="en-AU"/>
        </w:rPr>
        <w:t>SC07 8471.50.00 93 - Computer desktops and similar: Other</w:t>
      </w:r>
    </w:p>
    <w:p w:rsidR="003D6B8B" w:rsidRDefault="003D6B8B">
      <w:pPr>
        <w:rPr>
          <w:szCs w:val="22"/>
        </w:rPr>
      </w:pPr>
    </w:p>
    <w:p w:rsidR="004360E0" w:rsidRDefault="007C78DA" w:rsidP="004360E0">
      <w:pPr>
        <w:pStyle w:val="Caption"/>
        <w:keepNext/>
      </w:pPr>
      <w:r>
        <w:t>Figure 5-21</w:t>
      </w:r>
      <w:r w:rsidR="002652C5">
        <w:t xml:space="preserve">  </w:t>
      </w:r>
      <w:r w:rsidR="004360E0">
        <w:t xml:space="preserve"> </w:t>
      </w:r>
      <w:r w:rsidR="00AC1355">
        <w:t>HTISC frequency distribution in CF year</w:t>
      </w:r>
    </w:p>
    <w:p w:rsidR="00ED6E29" w:rsidRDefault="00ED6E29" w:rsidP="00ED6E29">
      <w:pPr>
        <w:rPr>
          <w:lang w:val="en-GB"/>
        </w:rPr>
      </w:pPr>
      <w:r w:rsidRPr="00ED6E29">
        <w:rPr>
          <w:noProof/>
          <w:lang w:eastAsia="en-AU"/>
        </w:rPr>
        <w:drawing>
          <wp:inline distT="0" distB="0" distL="0" distR="0">
            <wp:extent cx="4889500" cy="2984500"/>
            <wp:effectExtent l="19050" t="0" r="25400" b="6350"/>
            <wp:docPr id="6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ED6E29" w:rsidRDefault="00ED6E29" w:rsidP="00ED6E29">
      <w:pPr>
        <w:rPr>
          <w:lang w:val="en-GB"/>
        </w:rPr>
      </w:pPr>
    </w:p>
    <w:p w:rsidR="00ED6E29" w:rsidRDefault="00ED6E29" w:rsidP="00ED6E29">
      <w:pPr>
        <w:rPr>
          <w:lang w:val="en-GB"/>
        </w:rPr>
      </w:pPr>
    </w:p>
    <w:p w:rsidR="00ED6E29" w:rsidRPr="00ED6E29" w:rsidRDefault="00ED6E29" w:rsidP="00ED6E29">
      <w:pPr>
        <w:rPr>
          <w:lang w:val="en-GB"/>
        </w:rPr>
      </w:pPr>
    </w:p>
    <w:p w:rsidR="003D6B8B" w:rsidRDefault="003D6B8B">
      <w:pPr>
        <w:rPr>
          <w:szCs w:val="22"/>
        </w:rPr>
      </w:pPr>
    </w:p>
    <w:p w:rsidR="001A78F2" w:rsidRDefault="001A78F2">
      <w:pPr>
        <w:rPr>
          <w:szCs w:val="22"/>
        </w:rPr>
      </w:pPr>
    </w:p>
    <w:p w:rsidR="00D73340" w:rsidRDefault="00D73340" w:rsidP="00D73340">
      <w:pPr>
        <w:pStyle w:val="Caption"/>
      </w:pPr>
    </w:p>
    <w:p w:rsidR="009B5E66" w:rsidRPr="00D73340" w:rsidRDefault="00207129" w:rsidP="00D73340">
      <w:pPr>
        <w:pStyle w:val="Caption"/>
      </w:pPr>
      <w:r>
        <w:t xml:space="preserve">Table 5-15 </w:t>
      </w:r>
      <w:r w:rsidR="00D73340">
        <w:t>Conversion factor statistics</w:t>
      </w:r>
    </w:p>
    <w:tbl>
      <w:tblPr>
        <w:tblW w:w="7260" w:type="dxa"/>
        <w:tblInd w:w="95" w:type="dxa"/>
        <w:tblLook w:val="04A0"/>
      </w:tblPr>
      <w:tblGrid>
        <w:gridCol w:w="1660"/>
        <w:gridCol w:w="1120"/>
        <w:gridCol w:w="1120"/>
        <w:gridCol w:w="1120"/>
        <w:gridCol w:w="1120"/>
        <w:gridCol w:w="1120"/>
      </w:tblGrid>
      <w:tr w:rsidR="00A17A10" w:rsidRPr="00A17A10">
        <w:trPr>
          <w:trHeight w:val="450"/>
        </w:trPr>
        <w:tc>
          <w:tcPr>
            <w:tcW w:w="1660" w:type="dxa"/>
            <w:tcBorders>
              <w:top w:val="single" w:sz="4" w:space="0" w:color="auto"/>
              <w:left w:val="single" w:sz="4" w:space="0" w:color="auto"/>
              <w:bottom w:val="single" w:sz="4" w:space="0" w:color="auto"/>
              <w:right w:val="single" w:sz="4" w:space="0" w:color="auto"/>
            </w:tcBorders>
            <w:shd w:val="clear" w:color="000000" w:fill="D8D8D8"/>
            <w:vAlign w:val="center"/>
          </w:tcPr>
          <w:p w:rsidR="00A17A10" w:rsidRPr="00A17A10" w:rsidRDefault="00A17A10" w:rsidP="00A17A10">
            <w:pPr>
              <w:jc w:val="center"/>
              <w:rPr>
                <w:rFonts w:ascii="Calibri" w:hAnsi="Calibri" w:cs="Calibri"/>
                <w:color w:val="000000"/>
                <w:sz w:val="16"/>
                <w:szCs w:val="16"/>
                <w:lang w:eastAsia="en-AU"/>
              </w:rPr>
            </w:pPr>
            <w:r w:rsidRPr="00A17A10">
              <w:rPr>
                <w:rFonts w:ascii="Calibri" w:hAnsi="Calibri" w:cs="Calibri"/>
                <w:color w:val="000000"/>
                <w:sz w:val="16"/>
                <w:szCs w:val="16"/>
                <w:lang w:eastAsia="en-AU"/>
              </w:rPr>
              <w:t>CF year</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A17A10" w:rsidRPr="00A17A10" w:rsidRDefault="00A17A10" w:rsidP="00A17A10">
            <w:pPr>
              <w:jc w:val="center"/>
              <w:rPr>
                <w:rFonts w:ascii="Calibri" w:hAnsi="Calibri" w:cs="Calibri"/>
                <w:color w:val="000000"/>
                <w:sz w:val="16"/>
                <w:szCs w:val="16"/>
                <w:lang w:eastAsia="en-AU"/>
              </w:rPr>
            </w:pPr>
            <w:r w:rsidRPr="00A17A10">
              <w:rPr>
                <w:rFonts w:ascii="Calibri" w:hAnsi="Calibri" w:cs="Calibri"/>
                <w:color w:val="000000"/>
                <w:sz w:val="16"/>
                <w:szCs w:val="16"/>
                <w:lang w:eastAsia="en-AU"/>
              </w:rPr>
              <w:t>No. of ABS imports</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A17A10" w:rsidRPr="00A17A10" w:rsidRDefault="00A17A10" w:rsidP="00A17A10">
            <w:pPr>
              <w:jc w:val="center"/>
              <w:rPr>
                <w:rFonts w:ascii="Calibri" w:hAnsi="Calibri" w:cs="Calibri"/>
                <w:color w:val="000000"/>
                <w:sz w:val="16"/>
                <w:szCs w:val="16"/>
                <w:lang w:eastAsia="en-AU"/>
              </w:rPr>
            </w:pPr>
            <w:r w:rsidRPr="00A17A10">
              <w:rPr>
                <w:rFonts w:ascii="Calibri" w:hAnsi="Calibri" w:cs="Calibri"/>
                <w:color w:val="000000"/>
                <w:sz w:val="16"/>
                <w:szCs w:val="16"/>
                <w:lang w:eastAsia="en-AU"/>
              </w:rPr>
              <w:t>% ABS imports included</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A17A10" w:rsidRPr="00A17A10" w:rsidRDefault="00A17A10" w:rsidP="00A17A10">
            <w:pPr>
              <w:jc w:val="center"/>
              <w:rPr>
                <w:rFonts w:ascii="Calibri" w:hAnsi="Calibri" w:cs="Calibri"/>
                <w:color w:val="000000"/>
                <w:sz w:val="16"/>
                <w:szCs w:val="16"/>
                <w:lang w:eastAsia="en-AU"/>
              </w:rPr>
            </w:pPr>
            <w:r w:rsidRPr="00A17A10">
              <w:rPr>
                <w:rFonts w:ascii="Calibri" w:hAnsi="Calibri" w:cs="Calibri"/>
                <w:color w:val="000000"/>
                <w:sz w:val="16"/>
                <w:szCs w:val="16"/>
                <w:lang w:eastAsia="en-AU"/>
              </w:rPr>
              <w:t>Min weight</w:t>
            </w:r>
            <w:r w:rsidRPr="00A17A10">
              <w:rPr>
                <w:rFonts w:ascii="Calibri" w:hAnsi="Calibri" w:cs="Calibri"/>
                <w:color w:val="000000"/>
                <w:sz w:val="16"/>
                <w:szCs w:val="16"/>
                <w:lang w:eastAsia="en-AU"/>
              </w:rPr>
              <w:br/>
              <w:t>(kg)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A17A10" w:rsidRPr="00A17A10" w:rsidRDefault="00A17A10" w:rsidP="00A17A10">
            <w:pPr>
              <w:jc w:val="center"/>
              <w:rPr>
                <w:rFonts w:ascii="Calibri" w:hAnsi="Calibri" w:cs="Calibri"/>
                <w:color w:val="000000"/>
                <w:sz w:val="16"/>
                <w:szCs w:val="16"/>
                <w:lang w:eastAsia="en-AU"/>
              </w:rPr>
            </w:pPr>
            <w:r w:rsidRPr="00A17A10">
              <w:rPr>
                <w:rFonts w:ascii="Calibri" w:hAnsi="Calibri" w:cs="Calibri"/>
                <w:color w:val="000000"/>
                <w:sz w:val="16"/>
                <w:szCs w:val="16"/>
                <w:lang w:eastAsia="en-AU"/>
              </w:rPr>
              <w:t>Max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A17A10" w:rsidRPr="00A17A10" w:rsidRDefault="00A17A10" w:rsidP="00A17A10">
            <w:pPr>
              <w:jc w:val="center"/>
              <w:rPr>
                <w:rFonts w:ascii="Calibri" w:hAnsi="Calibri" w:cs="Calibri"/>
                <w:color w:val="000000"/>
                <w:sz w:val="16"/>
                <w:szCs w:val="16"/>
                <w:lang w:eastAsia="en-AU"/>
              </w:rPr>
            </w:pPr>
            <w:r w:rsidRPr="00A17A10">
              <w:rPr>
                <w:rFonts w:ascii="Calibri" w:hAnsi="Calibri" w:cs="Calibri"/>
                <w:color w:val="000000"/>
                <w:sz w:val="16"/>
                <w:szCs w:val="16"/>
                <w:lang w:eastAsia="en-AU"/>
              </w:rPr>
              <w:t>Standard deviation</w:t>
            </w:r>
          </w:p>
        </w:tc>
      </w:tr>
      <w:tr w:rsidR="00A17A10" w:rsidRPr="00A17A10">
        <w:trPr>
          <w:trHeight w:val="225"/>
        </w:trPr>
        <w:tc>
          <w:tcPr>
            <w:tcW w:w="1660" w:type="dxa"/>
            <w:tcBorders>
              <w:top w:val="nil"/>
              <w:left w:val="single" w:sz="4" w:space="0" w:color="auto"/>
              <w:bottom w:val="single" w:sz="4" w:space="0" w:color="auto"/>
              <w:right w:val="single" w:sz="4" w:space="0" w:color="auto"/>
            </w:tcBorders>
            <w:shd w:val="clear" w:color="auto" w:fill="auto"/>
            <w:noWrap/>
            <w:vAlign w:val="center"/>
          </w:tcPr>
          <w:p w:rsidR="00A17A10" w:rsidRPr="00A17A10" w:rsidRDefault="00A17A10" w:rsidP="00A17A10">
            <w:pPr>
              <w:jc w:val="center"/>
              <w:rPr>
                <w:rFonts w:ascii="Calibri" w:hAnsi="Calibri" w:cs="Calibri"/>
                <w:color w:val="000000"/>
                <w:sz w:val="16"/>
                <w:szCs w:val="16"/>
                <w:lang w:eastAsia="en-AU"/>
              </w:rPr>
            </w:pPr>
            <w:r w:rsidRPr="00A17A10">
              <w:rPr>
                <w:rFonts w:ascii="Calibri" w:hAnsi="Calibri" w:cs="Calibri"/>
                <w:color w:val="000000"/>
                <w:sz w:val="16"/>
                <w:szCs w:val="16"/>
                <w:lang w:eastAsia="en-AU"/>
              </w:rPr>
              <w:t>2010-11</w:t>
            </w:r>
          </w:p>
        </w:tc>
        <w:tc>
          <w:tcPr>
            <w:tcW w:w="1120" w:type="dxa"/>
            <w:tcBorders>
              <w:top w:val="nil"/>
              <w:left w:val="nil"/>
              <w:bottom w:val="single" w:sz="4" w:space="0" w:color="auto"/>
              <w:right w:val="single" w:sz="4" w:space="0" w:color="auto"/>
            </w:tcBorders>
            <w:shd w:val="clear" w:color="auto" w:fill="auto"/>
            <w:noWrap/>
            <w:vAlign w:val="center"/>
          </w:tcPr>
          <w:p w:rsidR="00A17A10" w:rsidRPr="00A17A10" w:rsidRDefault="00A17A10" w:rsidP="00A17A10">
            <w:pPr>
              <w:jc w:val="center"/>
              <w:rPr>
                <w:rFonts w:ascii="Calibri" w:hAnsi="Calibri" w:cs="Calibri"/>
                <w:color w:val="000000"/>
                <w:sz w:val="16"/>
                <w:szCs w:val="16"/>
                <w:lang w:eastAsia="en-AU"/>
              </w:rPr>
            </w:pPr>
            <w:r w:rsidRPr="00A17A10">
              <w:rPr>
                <w:rFonts w:ascii="Calibri" w:hAnsi="Calibri" w:cs="Calibri"/>
                <w:color w:val="000000"/>
                <w:sz w:val="16"/>
                <w:szCs w:val="16"/>
                <w:lang w:eastAsia="en-AU"/>
              </w:rPr>
              <w:t>83,690</w:t>
            </w:r>
          </w:p>
        </w:tc>
        <w:tc>
          <w:tcPr>
            <w:tcW w:w="1120" w:type="dxa"/>
            <w:tcBorders>
              <w:top w:val="nil"/>
              <w:left w:val="nil"/>
              <w:bottom w:val="single" w:sz="4" w:space="0" w:color="auto"/>
              <w:right w:val="single" w:sz="4" w:space="0" w:color="auto"/>
            </w:tcBorders>
            <w:shd w:val="clear" w:color="auto" w:fill="auto"/>
            <w:noWrap/>
            <w:vAlign w:val="center"/>
          </w:tcPr>
          <w:p w:rsidR="00A17A10" w:rsidRPr="00A17A10" w:rsidRDefault="00A17A10" w:rsidP="00A17A10">
            <w:pPr>
              <w:jc w:val="center"/>
              <w:rPr>
                <w:rFonts w:ascii="Calibri" w:hAnsi="Calibri" w:cs="Calibri"/>
                <w:color w:val="000000"/>
                <w:sz w:val="16"/>
                <w:szCs w:val="16"/>
                <w:lang w:eastAsia="en-AU"/>
              </w:rPr>
            </w:pPr>
            <w:r w:rsidRPr="00A17A10">
              <w:rPr>
                <w:rFonts w:ascii="Calibri" w:hAnsi="Calibri" w:cs="Calibri"/>
                <w:color w:val="000000"/>
                <w:sz w:val="16"/>
                <w:szCs w:val="16"/>
                <w:lang w:eastAsia="en-AU"/>
              </w:rPr>
              <w:t>5%</w:t>
            </w:r>
          </w:p>
        </w:tc>
        <w:tc>
          <w:tcPr>
            <w:tcW w:w="1120" w:type="dxa"/>
            <w:tcBorders>
              <w:top w:val="nil"/>
              <w:left w:val="nil"/>
              <w:bottom w:val="single" w:sz="4" w:space="0" w:color="auto"/>
              <w:right w:val="single" w:sz="4" w:space="0" w:color="auto"/>
            </w:tcBorders>
            <w:shd w:val="clear" w:color="auto" w:fill="auto"/>
            <w:noWrap/>
            <w:vAlign w:val="center"/>
          </w:tcPr>
          <w:p w:rsidR="00A17A10" w:rsidRPr="00A17A10" w:rsidRDefault="00A17A10" w:rsidP="00665B26">
            <w:pPr>
              <w:jc w:val="center"/>
              <w:rPr>
                <w:rFonts w:ascii="Calibri" w:hAnsi="Calibri" w:cs="Calibri"/>
                <w:color w:val="000000"/>
                <w:sz w:val="16"/>
                <w:szCs w:val="16"/>
                <w:lang w:eastAsia="en-AU"/>
              </w:rPr>
            </w:pPr>
            <w:r w:rsidRPr="00A17A10">
              <w:rPr>
                <w:rFonts w:ascii="Calibri" w:hAnsi="Calibri" w:cs="Calibri"/>
                <w:color w:val="000000"/>
                <w:sz w:val="16"/>
                <w:szCs w:val="16"/>
                <w:lang w:eastAsia="en-AU"/>
              </w:rPr>
              <w:t>0.</w:t>
            </w:r>
            <w:r w:rsidR="00665B26">
              <w:rPr>
                <w:rFonts w:ascii="Calibri" w:hAnsi="Calibri" w:cs="Calibri"/>
                <w:color w:val="000000"/>
                <w:sz w:val="16"/>
                <w:szCs w:val="16"/>
                <w:lang w:eastAsia="en-AU"/>
              </w:rPr>
              <w:t>7</w:t>
            </w:r>
          </w:p>
        </w:tc>
        <w:tc>
          <w:tcPr>
            <w:tcW w:w="1120" w:type="dxa"/>
            <w:tcBorders>
              <w:top w:val="nil"/>
              <w:left w:val="nil"/>
              <w:bottom w:val="single" w:sz="4" w:space="0" w:color="auto"/>
              <w:right w:val="single" w:sz="4" w:space="0" w:color="auto"/>
            </w:tcBorders>
            <w:shd w:val="clear" w:color="auto" w:fill="auto"/>
            <w:noWrap/>
            <w:vAlign w:val="center"/>
          </w:tcPr>
          <w:p w:rsidR="00A17A10" w:rsidRPr="00A17A10" w:rsidRDefault="00A17A10" w:rsidP="00A17A10">
            <w:pPr>
              <w:jc w:val="center"/>
              <w:rPr>
                <w:rFonts w:ascii="Calibri" w:hAnsi="Calibri" w:cs="Calibri"/>
                <w:color w:val="000000"/>
                <w:sz w:val="16"/>
                <w:szCs w:val="16"/>
                <w:lang w:eastAsia="en-AU"/>
              </w:rPr>
            </w:pPr>
            <w:r w:rsidRPr="00A17A10">
              <w:rPr>
                <w:rFonts w:ascii="Calibri" w:hAnsi="Calibri" w:cs="Calibri"/>
                <w:color w:val="000000"/>
                <w:sz w:val="16"/>
                <w:szCs w:val="16"/>
                <w:lang w:eastAsia="en-AU"/>
              </w:rPr>
              <w:t>136.0</w:t>
            </w:r>
          </w:p>
        </w:tc>
        <w:tc>
          <w:tcPr>
            <w:tcW w:w="1120" w:type="dxa"/>
            <w:tcBorders>
              <w:top w:val="nil"/>
              <w:left w:val="nil"/>
              <w:bottom w:val="single" w:sz="4" w:space="0" w:color="auto"/>
              <w:right w:val="single" w:sz="4" w:space="0" w:color="auto"/>
            </w:tcBorders>
            <w:shd w:val="clear" w:color="auto" w:fill="auto"/>
            <w:noWrap/>
            <w:vAlign w:val="center"/>
          </w:tcPr>
          <w:p w:rsidR="00A17A10" w:rsidRPr="00A17A10" w:rsidRDefault="00A17A10" w:rsidP="00A17A10">
            <w:pPr>
              <w:jc w:val="center"/>
              <w:rPr>
                <w:rFonts w:ascii="Calibri" w:hAnsi="Calibri" w:cs="Calibri"/>
                <w:color w:val="000000"/>
                <w:sz w:val="16"/>
                <w:szCs w:val="16"/>
                <w:lang w:eastAsia="en-AU"/>
              </w:rPr>
            </w:pPr>
            <w:r w:rsidRPr="00A17A10">
              <w:rPr>
                <w:rFonts w:ascii="Calibri" w:hAnsi="Calibri" w:cs="Calibri"/>
                <w:color w:val="000000"/>
                <w:sz w:val="16"/>
                <w:szCs w:val="16"/>
                <w:lang w:eastAsia="en-AU"/>
              </w:rPr>
              <w:t>0.2</w:t>
            </w:r>
          </w:p>
        </w:tc>
      </w:tr>
      <w:tr w:rsidR="00A17A10" w:rsidRPr="00A17A10">
        <w:trPr>
          <w:trHeight w:val="225"/>
        </w:trPr>
        <w:tc>
          <w:tcPr>
            <w:tcW w:w="1660" w:type="dxa"/>
            <w:tcBorders>
              <w:top w:val="nil"/>
              <w:left w:val="nil"/>
              <w:bottom w:val="nil"/>
              <w:right w:val="nil"/>
            </w:tcBorders>
            <w:shd w:val="clear" w:color="auto" w:fill="auto"/>
            <w:noWrap/>
            <w:vAlign w:val="bottom"/>
          </w:tcPr>
          <w:p w:rsidR="00A17A10" w:rsidRPr="00A17A10" w:rsidRDefault="00A17A10" w:rsidP="00A17A10">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A17A10" w:rsidRPr="00A17A10" w:rsidRDefault="00A17A10" w:rsidP="00A17A10">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A17A10" w:rsidRPr="00A17A10" w:rsidRDefault="00A17A10" w:rsidP="00A17A10">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A17A10" w:rsidRPr="00A17A10" w:rsidRDefault="00A17A10" w:rsidP="00A17A10">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A17A10" w:rsidRPr="00A17A10" w:rsidRDefault="00A17A10" w:rsidP="00A17A10">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A17A10" w:rsidRPr="00A17A10" w:rsidRDefault="00A17A10" w:rsidP="00A17A10">
            <w:pPr>
              <w:rPr>
                <w:rFonts w:ascii="Calibri" w:hAnsi="Calibri" w:cs="Calibri"/>
                <w:color w:val="000000"/>
                <w:sz w:val="16"/>
                <w:szCs w:val="16"/>
                <w:lang w:eastAsia="en-AU"/>
              </w:rPr>
            </w:pPr>
          </w:p>
        </w:tc>
      </w:tr>
      <w:tr w:rsidR="00A17A10" w:rsidRPr="00A17A10">
        <w:trPr>
          <w:trHeight w:val="450"/>
        </w:trPr>
        <w:tc>
          <w:tcPr>
            <w:tcW w:w="1660" w:type="dxa"/>
            <w:tcBorders>
              <w:top w:val="single" w:sz="4" w:space="0" w:color="auto"/>
              <w:left w:val="single" w:sz="4" w:space="0" w:color="auto"/>
              <w:bottom w:val="nil"/>
              <w:right w:val="single" w:sz="4" w:space="0" w:color="auto"/>
            </w:tcBorders>
            <w:shd w:val="clear" w:color="000000" w:fill="D8D8D8"/>
            <w:vAlign w:val="center"/>
          </w:tcPr>
          <w:p w:rsidR="00A17A10" w:rsidRPr="00A17A10" w:rsidRDefault="00A17A10" w:rsidP="00A17A10">
            <w:pPr>
              <w:jc w:val="center"/>
              <w:rPr>
                <w:rFonts w:ascii="Calibri" w:hAnsi="Calibri" w:cs="Calibri"/>
                <w:color w:val="000000"/>
                <w:sz w:val="16"/>
                <w:szCs w:val="16"/>
                <w:lang w:eastAsia="en-AU"/>
              </w:rPr>
            </w:pPr>
            <w:r w:rsidRPr="00A17A10">
              <w:rPr>
                <w:rFonts w:ascii="Calibri" w:hAnsi="Calibri" w:cs="Calibri"/>
                <w:color w:val="000000"/>
                <w:sz w:val="16"/>
                <w:szCs w:val="16"/>
                <w:lang w:eastAsia="en-AU"/>
              </w:rPr>
              <w:t>Method</w:t>
            </w:r>
          </w:p>
        </w:tc>
        <w:tc>
          <w:tcPr>
            <w:tcW w:w="1120" w:type="dxa"/>
            <w:tcBorders>
              <w:top w:val="single" w:sz="4" w:space="0" w:color="auto"/>
              <w:left w:val="nil"/>
              <w:bottom w:val="nil"/>
              <w:right w:val="single" w:sz="4" w:space="0" w:color="auto"/>
            </w:tcBorders>
            <w:shd w:val="clear" w:color="000000" w:fill="D8D8D8"/>
            <w:vAlign w:val="center"/>
          </w:tcPr>
          <w:p w:rsidR="00A17A10" w:rsidRPr="00A17A10" w:rsidRDefault="00A17A10" w:rsidP="00A17A10">
            <w:pPr>
              <w:jc w:val="center"/>
              <w:rPr>
                <w:rFonts w:ascii="Calibri" w:hAnsi="Calibri" w:cs="Calibri"/>
                <w:color w:val="000000"/>
                <w:sz w:val="16"/>
                <w:szCs w:val="16"/>
                <w:lang w:eastAsia="en-AU"/>
              </w:rPr>
            </w:pPr>
            <w:r w:rsidRPr="00A17A10">
              <w:rPr>
                <w:rFonts w:ascii="Calibri" w:hAnsi="Calibri" w:cs="Calibri"/>
                <w:color w:val="000000"/>
                <w:sz w:val="16"/>
                <w:szCs w:val="16"/>
                <w:lang w:eastAsia="en-AU"/>
              </w:rPr>
              <w:t>Measure of average</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A17A10" w:rsidRPr="00A17A10" w:rsidRDefault="00A17A10" w:rsidP="00A17A10">
            <w:pPr>
              <w:jc w:val="center"/>
              <w:rPr>
                <w:rFonts w:ascii="Calibri" w:hAnsi="Calibri" w:cs="Calibri"/>
                <w:color w:val="000000"/>
                <w:sz w:val="16"/>
                <w:szCs w:val="16"/>
                <w:lang w:eastAsia="en-AU"/>
              </w:rPr>
            </w:pPr>
            <w:r w:rsidRPr="00A17A10">
              <w:rPr>
                <w:rFonts w:ascii="Calibri" w:hAnsi="Calibri" w:cs="Calibri"/>
                <w:color w:val="000000"/>
                <w:sz w:val="16"/>
                <w:szCs w:val="16"/>
                <w:lang w:eastAsia="en-AU"/>
              </w:rPr>
              <w:t>Average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A17A10" w:rsidRPr="00A17A10" w:rsidRDefault="00A17A10" w:rsidP="00A17A10">
            <w:pPr>
              <w:jc w:val="center"/>
              <w:rPr>
                <w:rFonts w:ascii="Calibri" w:hAnsi="Calibri" w:cs="Calibri"/>
                <w:color w:val="000000"/>
                <w:sz w:val="16"/>
                <w:szCs w:val="16"/>
                <w:lang w:eastAsia="en-AU"/>
              </w:rPr>
            </w:pPr>
            <w:r w:rsidRPr="00A17A10">
              <w:rPr>
                <w:rFonts w:ascii="Calibri" w:hAnsi="Calibri" w:cs="Calibri"/>
                <w:color w:val="000000"/>
                <w:sz w:val="16"/>
                <w:szCs w:val="16"/>
                <w:lang w:eastAsia="en-AU"/>
              </w:rPr>
              <w:t>Lower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A17A10" w:rsidRPr="00A17A10" w:rsidRDefault="00A17A10" w:rsidP="00A17A10">
            <w:pPr>
              <w:jc w:val="center"/>
              <w:rPr>
                <w:rFonts w:ascii="Calibri" w:hAnsi="Calibri" w:cs="Calibri"/>
                <w:color w:val="000000"/>
                <w:sz w:val="16"/>
                <w:szCs w:val="16"/>
                <w:lang w:eastAsia="en-AU"/>
              </w:rPr>
            </w:pPr>
            <w:r w:rsidRPr="00A17A10">
              <w:rPr>
                <w:rFonts w:ascii="Calibri" w:hAnsi="Calibri" w:cs="Calibri"/>
                <w:color w:val="000000"/>
                <w:sz w:val="16"/>
                <w:szCs w:val="16"/>
                <w:lang w:eastAsia="en-AU"/>
              </w:rPr>
              <w:t>Upper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A17A10" w:rsidRPr="00A17A10" w:rsidRDefault="00A17A10" w:rsidP="00A17A10">
            <w:pPr>
              <w:jc w:val="center"/>
              <w:rPr>
                <w:rFonts w:ascii="Calibri" w:hAnsi="Calibri" w:cs="Calibri"/>
                <w:color w:val="000000"/>
                <w:sz w:val="16"/>
                <w:szCs w:val="16"/>
                <w:lang w:eastAsia="en-AU"/>
              </w:rPr>
            </w:pPr>
            <w:r w:rsidRPr="00A17A10">
              <w:rPr>
                <w:rFonts w:ascii="Calibri" w:hAnsi="Calibri" w:cs="Calibri"/>
                <w:color w:val="000000"/>
                <w:sz w:val="16"/>
                <w:szCs w:val="16"/>
                <w:lang w:eastAsia="en-AU"/>
              </w:rPr>
              <w:t>Confidence interval ± (kg)</w:t>
            </w:r>
          </w:p>
        </w:tc>
      </w:tr>
      <w:tr w:rsidR="00A17A10" w:rsidRPr="00A17A10">
        <w:trPr>
          <w:trHeight w:val="48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A17A10" w:rsidRPr="00A17A10" w:rsidRDefault="00A17A10" w:rsidP="00A17A10">
            <w:pPr>
              <w:jc w:val="center"/>
              <w:rPr>
                <w:rFonts w:ascii="Calibri" w:hAnsi="Calibri" w:cs="Calibri"/>
                <w:color w:val="000000"/>
                <w:sz w:val="16"/>
                <w:szCs w:val="16"/>
                <w:lang w:eastAsia="en-AU"/>
              </w:rPr>
            </w:pPr>
            <w:r w:rsidRPr="00A17A10">
              <w:rPr>
                <w:rFonts w:ascii="Calibri" w:hAnsi="Calibri" w:cs="Calibri"/>
                <w:color w:val="000000"/>
                <w:sz w:val="16"/>
                <w:szCs w:val="16"/>
                <w:lang w:eastAsia="en-AU"/>
              </w:rPr>
              <w:t>Approximation to the normal distribution</w:t>
            </w:r>
          </w:p>
        </w:tc>
        <w:tc>
          <w:tcPr>
            <w:tcW w:w="1120" w:type="dxa"/>
            <w:tcBorders>
              <w:top w:val="single" w:sz="4" w:space="0" w:color="auto"/>
              <w:left w:val="nil"/>
              <w:bottom w:val="single" w:sz="4" w:space="0" w:color="auto"/>
              <w:right w:val="single" w:sz="4" w:space="0" w:color="auto"/>
            </w:tcBorders>
            <w:shd w:val="clear" w:color="auto" w:fill="auto"/>
            <w:vAlign w:val="center"/>
          </w:tcPr>
          <w:p w:rsidR="00A17A10" w:rsidRPr="00A17A10" w:rsidRDefault="00A17A10" w:rsidP="00A17A10">
            <w:pPr>
              <w:jc w:val="center"/>
              <w:rPr>
                <w:rFonts w:ascii="Calibri" w:hAnsi="Calibri" w:cs="Calibri"/>
                <w:color w:val="000000"/>
                <w:sz w:val="16"/>
                <w:szCs w:val="16"/>
                <w:lang w:eastAsia="en-AU"/>
              </w:rPr>
            </w:pPr>
            <w:r w:rsidRPr="00A17A10">
              <w:rPr>
                <w:rFonts w:ascii="Calibri" w:hAnsi="Calibri" w:cs="Calibri"/>
                <w:color w:val="000000"/>
                <w:sz w:val="16"/>
                <w:szCs w:val="16"/>
                <w:lang w:eastAsia="en-AU"/>
              </w:rPr>
              <w:t>Mean</w:t>
            </w:r>
          </w:p>
        </w:tc>
        <w:tc>
          <w:tcPr>
            <w:tcW w:w="1120" w:type="dxa"/>
            <w:tcBorders>
              <w:top w:val="nil"/>
              <w:left w:val="nil"/>
              <w:bottom w:val="single" w:sz="4" w:space="0" w:color="auto"/>
              <w:right w:val="single" w:sz="4" w:space="0" w:color="auto"/>
            </w:tcBorders>
            <w:shd w:val="clear" w:color="auto" w:fill="auto"/>
            <w:noWrap/>
            <w:vAlign w:val="center"/>
          </w:tcPr>
          <w:p w:rsidR="00A17A10" w:rsidRPr="00A17A10" w:rsidRDefault="00A17A10" w:rsidP="00A17A10">
            <w:pPr>
              <w:jc w:val="center"/>
              <w:rPr>
                <w:rFonts w:ascii="Calibri" w:hAnsi="Calibri" w:cs="Calibri"/>
                <w:color w:val="000000"/>
                <w:sz w:val="16"/>
                <w:szCs w:val="16"/>
                <w:lang w:eastAsia="en-AU"/>
              </w:rPr>
            </w:pPr>
            <w:r w:rsidRPr="00A17A10">
              <w:rPr>
                <w:rFonts w:ascii="Calibri" w:hAnsi="Calibri" w:cs="Calibri"/>
                <w:color w:val="000000"/>
                <w:sz w:val="16"/>
                <w:szCs w:val="16"/>
                <w:lang w:eastAsia="en-AU"/>
              </w:rPr>
              <w:t>13.2</w:t>
            </w:r>
          </w:p>
        </w:tc>
        <w:tc>
          <w:tcPr>
            <w:tcW w:w="1120" w:type="dxa"/>
            <w:tcBorders>
              <w:top w:val="nil"/>
              <w:left w:val="nil"/>
              <w:bottom w:val="single" w:sz="4" w:space="0" w:color="auto"/>
              <w:right w:val="single" w:sz="4" w:space="0" w:color="auto"/>
            </w:tcBorders>
            <w:shd w:val="clear" w:color="auto" w:fill="auto"/>
            <w:noWrap/>
            <w:vAlign w:val="center"/>
          </w:tcPr>
          <w:p w:rsidR="00A17A10" w:rsidRPr="00A17A10" w:rsidRDefault="00A17A10" w:rsidP="00A17A10">
            <w:pPr>
              <w:jc w:val="center"/>
              <w:rPr>
                <w:rFonts w:ascii="Calibri" w:hAnsi="Calibri" w:cs="Calibri"/>
                <w:color w:val="000000"/>
                <w:sz w:val="16"/>
                <w:szCs w:val="16"/>
                <w:lang w:eastAsia="en-AU"/>
              </w:rPr>
            </w:pPr>
            <w:r w:rsidRPr="00A17A10">
              <w:rPr>
                <w:rFonts w:ascii="Calibri" w:hAnsi="Calibri" w:cs="Calibri"/>
                <w:color w:val="000000"/>
                <w:sz w:val="16"/>
                <w:szCs w:val="16"/>
                <w:lang w:eastAsia="en-AU"/>
              </w:rPr>
              <w:t>12.8</w:t>
            </w:r>
          </w:p>
        </w:tc>
        <w:tc>
          <w:tcPr>
            <w:tcW w:w="1120" w:type="dxa"/>
            <w:tcBorders>
              <w:top w:val="nil"/>
              <w:left w:val="nil"/>
              <w:bottom w:val="single" w:sz="4" w:space="0" w:color="auto"/>
              <w:right w:val="single" w:sz="4" w:space="0" w:color="auto"/>
            </w:tcBorders>
            <w:shd w:val="clear" w:color="auto" w:fill="auto"/>
            <w:noWrap/>
            <w:vAlign w:val="center"/>
          </w:tcPr>
          <w:p w:rsidR="00A17A10" w:rsidRPr="00A17A10" w:rsidRDefault="00A17A10" w:rsidP="00A17A10">
            <w:pPr>
              <w:jc w:val="center"/>
              <w:rPr>
                <w:rFonts w:ascii="Calibri" w:hAnsi="Calibri" w:cs="Calibri"/>
                <w:color w:val="000000"/>
                <w:sz w:val="16"/>
                <w:szCs w:val="16"/>
                <w:lang w:eastAsia="en-AU"/>
              </w:rPr>
            </w:pPr>
            <w:r w:rsidRPr="00A17A10">
              <w:rPr>
                <w:rFonts w:ascii="Calibri" w:hAnsi="Calibri" w:cs="Calibri"/>
                <w:color w:val="000000"/>
                <w:sz w:val="16"/>
                <w:szCs w:val="16"/>
                <w:lang w:eastAsia="en-AU"/>
              </w:rPr>
              <w:t>13.6</w:t>
            </w:r>
          </w:p>
        </w:tc>
        <w:tc>
          <w:tcPr>
            <w:tcW w:w="1120" w:type="dxa"/>
            <w:tcBorders>
              <w:top w:val="nil"/>
              <w:left w:val="nil"/>
              <w:bottom w:val="single" w:sz="4" w:space="0" w:color="auto"/>
              <w:right w:val="single" w:sz="4" w:space="0" w:color="auto"/>
            </w:tcBorders>
            <w:shd w:val="clear" w:color="auto" w:fill="auto"/>
            <w:noWrap/>
            <w:vAlign w:val="center"/>
          </w:tcPr>
          <w:p w:rsidR="00A17A10" w:rsidRPr="00A17A10" w:rsidRDefault="00A17A10" w:rsidP="00A17A10">
            <w:pPr>
              <w:jc w:val="center"/>
              <w:rPr>
                <w:rFonts w:ascii="Calibri" w:hAnsi="Calibri" w:cs="Calibri"/>
                <w:color w:val="000000"/>
                <w:sz w:val="16"/>
                <w:szCs w:val="16"/>
                <w:lang w:eastAsia="en-AU"/>
              </w:rPr>
            </w:pPr>
            <w:r w:rsidRPr="00A17A10">
              <w:rPr>
                <w:rFonts w:ascii="Calibri" w:hAnsi="Calibri" w:cs="Calibri"/>
                <w:color w:val="000000"/>
                <w:sz w:val="16"/>
                <w:szCs w:val="16"/>
                <w:lang w:eastAsia="en-AU"/>
              </w:rPr>
              <w:t>0.4</w:t>
            </w:r>
          </w:p>
        </w:tc>
      </w:tr>
      <w:tr w:rsidR="00A17A10" w:rsidRPr="00A17A10">
        <w:trPr>
          <w:trHeight w:val="480"/>
        </w:trPr>
        <w:tc>
          <w:tcPr>
            <w:tcW w:w="1660" w:type="dxa"/>
            <w:tcBorders>
              <w:top w:val="nil"/>
              <w:left w:val="single" w:sz="4" w:space="0" w:color="auto"/>
              <w:bottom w:val="single" w:sz="4" w:space="0" w:color="auto"/>
              <w:right w:val="single" w:sz="4" w:space="0" w:color="auto"/>
            </w:tcBorders>
            <w:shd w:val="clear" w:color="auto" w:fill="auto"/>
            <w:vAlign w:val="center"/>
          </w:tcPr>
          <w:p w:rsidR="00A17A10" w:rsidRPr="00A17A10" w:rsidRDefault="00A17A10" w:rsidP="00A17A10">
            <w:pPr>
              <w:jc w:val="center"/>
              <w:rPr>
                <w:rFonts w:ascii="Calibri" w:hAnsi="Calibri" w:cs="Calibri"/>
                <w:color w:val="000000"/>
                <w:sz w:val="16"/>
                <w:szCs w:val="16"/>
                <w:lang w:eastAsia="en-AU"/>
              </w:rPr>
            </w:pPr>
            <w:r w:rsidRPr="00A17A10">
              <w:rPr>
                <w:rFonts w:ascii="Calibri" w:hAnsi="Calibri" w:cs="Calibri"/>
                <w:color w:val="000000"/>
                <w:sz w:val="16"/>
                <w:szCs w:val="16"/>
                <w:lang w:eastAsia="en-AU"/>
              </w:rPr>
              <w:t>Use of percentiles</w:t>
            </w:r>
          </w:p>
        </w:tc>
        <w:tc>
          <w:tcPr>
            <w:tcW w:w="1120" w:type="dxa"/>
            <w:tcBorders>
              <w:top w:val="nil"/>
              <w:left w:val="nil"/>
              <w:bottom w:val="single" w:sz="4" w:space="0" w:color="auto"/>
              <w:right w:val="single" w:sz="4" w:space="0" w:color="auto"/>
            </w:tcBorders>
            <w:shd w:val="clear" w:color="auto" w:fill="auto"/>
            <w:vAlign w:val="center"/>
          </w:tcPr>
          <w:p w:rsidR="00A17A10" w:rsidRPr="00A17A10" w:rsidRDefault="00A17A10" w:rsidP="00A17A10">
            <w:pPr>
              <w:jc w:val="center"/>
              <w:rPr>
                <w:rFonts w:ascii="Calibri" w:hAnsi="Calibri" w:cs="Calibri"/>
                <w:color w:val="000000"/>
                <w:sz w:val="16"/>
                <w:szCs w:val="16"/>
                <w:lang w:eastAsia="en-AU"/>
              </w:rPr>
            </w:pPr>
            <w:r w:rsidRPr="00A17A10">
              <w:rPr>
                <w:rFonts w:ascii="Calibri" w:hAnsi="Calibri" w:cs="Calibri"/>
                <w:color w:val="000000"/>
                <w:sz w:val="16"/>
                <w:szCs w:val="16"/>
                <w:lang w:eastAsia="en-AU"/>
              </w:rPr>
              <w:t>Median</w:t>
            </w:r>
          </w:p>
        </w:tc>
        <w:tc>
          <w:tcPr>
            <w:tcW w:w="1120" w:type="dxa"/>
            <w:tcBorders>
              <w:top w:val="nil"/>
              <w:left w:val="nil"/>
              <w:bottom w:val="single" w:sz="4" w:space="0" w:color="auto"/>
              <w:right w:val="single" w:sz="4" w:space="0" w:color="auto"/>
            </w:tcBorders>
            <w:shd w:val="clear" w:color="auto" w:fill="auto"/>
            <w:noWrap/>
            <w:vAlign w:val="center"/>
          </w:tcPr>
          <w:p w:rsidR="00A17A10" w:rsidRPr="00A17A10" w:rsidRDefault="00A17A10" w:rsidP="00A17A10">
            <w:pPr>
              <w:jc w:val="center"/>
              <w:rPr>
                <w:rFonts w:ascii="Calibri" w:hAnsi="Calibri" w:cs="Calibri"/>
                <w:color w:val="000000"/>
                <w:sz w:val="16"/>
                <w:szCs w:val="16"/>
                <w:lang w:eastAsia="en-AU"/>
              </w:rPr>
            </w:pPr>
            <w:r w:rsidRPr="00A17A10">
              <w:rPr>
                <w:rFonts w:ascii="Calibri" w:hAnsi="Calibri" w:cs="Calibri"/>
                <w:color w:val="000000"/>
                <w:sz w:val="16"/>
                <w:szCs w:val="16"/>
                <w:lang w:eastAsia="en-AU"/>
              </w:rPr>
              <w:t>15.7</w:t>
            </w:r>
          </w:p>
        </w:tc>
        <w:tc>
          <w:tcPr>
            <w:tcW w:w="1120" w:type="dxa"/>
            <w:tcBorders>
              <w:top w:val="nil"/>
              <w:left w:val="nil"/>
              <w:bottom w:val="single" w:sz="4" w:space="0" w:color="auto"/>
              <w:right w:val="single" w:sz="4" w:space="0" w:color="auto"/>
            </w:tcBorders>
            <w:shd w:val="clear" w:color="auto" w:fill="auto"/>
            <w:noWrap/>
            <w:vAlign w:val="center"/>
          </w:tcPr>
          <w:p w:rsidR="00A17A10" w:rsidRPr="00A17A10" w:rsidRDefault="00A17A10" w:rsidP="00A17A10">
            <w:pPr>
              <w:jc w:val="center"/>
              <w:rPr>
                <w:rFonts w:ascii="Calibri" w:hAnsi="Calibri" w:cs="Calibri"/>
                <w:color w:val="000000"/>
                <w:sz w:val="16"/>
                <w:szCs w:val="16"/>
                <w:lang w:eastAsia="en-AU"/>
              </w:rPr>
            </w:pPr>
            <w:r w:rsidRPr="00A17A10">
              <w:rPr>
                <w:rFonts w:ascii="Calibri" w:hAnsi="Calibri" w:cs="Calibri"/>
                <w:color w:val="000000"/>
                <w:sz w:val="16"/>
                <w:szCs w:val="16"/>
                <w:lang w:eastAsia="en-AU"/>
              </w:rPr>
              <w:t>6.0</w:t>
            </w:r>
          </w:p>
        </w:tc>
        <w:tc>
          <w:tcPr>
            <w:tcW w:w="1120" w:type="dxa"/>
            <w:tcBorders>
              <w:top w:val="nil"/>
              <w:left w:val="nil"/>
              <w:bottom w:val="single" w:sz="4" w:space="0" w:color="auto"/>
              <w:right w:val="single" w:sz="4" w:space="0" w:color="auto"/>
            </w:tcBorders>
            <w:shd w:val="clear" w:color="auto" w:fill="auto"/>
            <w:noWrap/>
            <w:vAlign w:val="center"/>
          </w:tcPr>
          <w:p w:rsidR="00A17A10" w:rsidRPr="00A17A10" w:rsidRDefault="00A17A10" w:rsidP="00A17A10">
            <w:pPr>
              <w:jc w:val="center"/>
              <w:rPr>
                <w:rFonts w:ascii="Calibri" w:hAnsi="Calibri" w:cs="Calibri"/>
                <w:color w:val="000000"/>
                <w:sz w:val="16"/>
                <w:szCs w:val="16"/>
                <w:lang w:eastAsia="en-AU"/>
              </w:rPr>
            </w:pPr>
            <w:r w:rsidRPr="00A17A10">
              <w:rPr>
                <w:rFonts w:ascii="Calibri" w:hAnsi="Calibri" w:cs="Calibri"/>
                <w:color w:val="000000"/>
                <w:sz w:val="16"/>
                <w:szCs w:val="16"/>
                <w:lang w:eastAsia="en-AU"/>
              </w:rPr>
              <w:t>54.5</w:t>
            </w:r>
          </w:p>
        </w:tc>
        <w:tc>
          <w:tcPr>
            <w:tcW w:w="1120" w:type="dxa"/>
            <w:tcBorders>
              <w:top w:val="nil"/>
              <w:left w:val="nil"/>
              <w:bottom w:val="single" w:sz="4" w:space="0" w:color="auto"/>
              <w:right w:val="single" w:sz="4" w:space="0" w:color="auto"/>
            </w:tcBorders>
            <w:shd w:val="clear" w:color="auto" w:fill="auto"/>
            <w:noWrap/>
            <w:vAlign w:val="center"/>
          </w:tcPr>
          <w:p w:rsidR="00A17A10" w:rsidRPr="00A17A10" w:rsidRDefault="00A17A10" w:rsidP="00A17A10">
            <w:pPr>
              <w:jc w:val="center"/>
              <w:rPr>
                <w:rFonts w:ascii="Calibri" w:hAnsi="Calibri" w:cs="Calibri"/>
                <w:color w:val="000000"/>
                <w:sz w:val="16"/>
                <w:szCs w:val="16"/>
                <w:lang w:eastAsia="en-AU"/>
              </w:rPr>
            </w:pPr>
            <w:r w:rsidRPr="00A17A10">
              <w:rPr>
                <w:rFonts w:ascii="Calibri" w:hAnsi="Calibri" w:cs="Calibri"/>
                <w:color w:val="000000"/>
                <w:sz w:val="16"/>
                <w:szCs w:val="16"/>
                <w:lang w:eastAsia="en-AU"/>
              </w:rPr>
              <w:t>38.8</w:t>
            </w:r>
          </w:p>
        </w:tc>
      </w:tr>
      <w:tr w:rsidR="00A17A10" w:rsidRPr="00A17A10">
        <w:trPr>
          <w:trHeight w:val="225"/>
        </w:trPr>
        <w:tc>
          <w:tcPr>
            <w:tcW w:w="1660" w:type="dxa"/>
            <w:tcBorders>
              <w:top w:val="nil"/>
              <w:left w:val="nil"/>
              <w:bottom w:val="nil"/>
              <w:right w:val="nil"/>
            </w:tcBorders>
            <w:shd w:val="clear" w:color="auto" w:fill="auto"/>
            <w:noWrap/>
            <w:vAlign w:val="bottom"/>
          </w:tcPr>
          <w:p w:rsidR="00A17A10" w:rsidRPr="00A17A10" w:rsidRDefault="00A17A10" w:rsidP="00A17A10">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A17A10" w:rsidRPr="00A17A10" w:rsidRDefault="00A17A10" w:rsidP="00A17A10">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A17A10" w:rsidRPr="00A17A10" w:rsidRDefault="00A17A10" w:rsidP="00A17A10">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A17A10" w:rsidRPr="00A17A10" w:rsidRDefault="00A17A10" w:rsidP="00A17A10">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A17A10" w:rsidRPr="00A17A10" w:rsidRDefault="00A17A10" w:rsidP="00A17A10">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A17A10" w:rsidRPr="00A17A10" w:rsidRDefault="00A17A10" w:rsidP="00A17A10">
            <w:pPr>
              <w:rPr>
                <w:rFonts w:ascii="Calibri" w:hAnsi="Calibri" w:cs="Calibri"/>
                <w:color w:val="000000"/>
                <w:sz w:val="16"/>
                <w:szCs w:val="16"/>
                <w:lang w:eastAsia="en-AU"/>
              </w:rPr>
            </w:pPr>
          </w:p>
        </w:tc>
      </w:tr>
      <w:tr w:rsidR="00A17A10" w:rsidRPr="00A17A10">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tcPr>
          <w:p w:rsidR="00A17A10" w:rsidRPr="00A17A10" w:rsidRDefault="00A17A10" w:rsidP="00A17A10">
            <w:pPr>
              <w:rPr>
                <w:rFonts w:ascii="Calibri" w:hAnsi="Calibri" w:cs="Calibri"/>
                <w:color w:val="000000"/>
                <w:sz w:val="16"/>
                <w:szCs w:val="16"/>
                <w:lang w:eastAsia="en-AU"/>
              </w:rPr>
            </w:pPr>
            <w:r w:rsidRPr="00A17A10">
              <w:rPr>
                <w:rFonts w:ascii="Calibri" w:hAnsi="Calibri" w:cs="Calibri"/>
                <w:color w:val="000000"/>
                <w:sz w:val="16"/>
                <w:szCs w:val="16"/>
                <w:lang w:eastAsia="en-AU"/>
              </w:rPr>
              <w:t>Year</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A17A10" w:rsidRPr="00A17A10" w:rsidRDefault="00A17A10" w:rsidP="00A17A10">
            <w:pPr>
              <w:jc w:val="center"/>
              <w:rPr>
                <w:rFonts w:ascii="Calibri" w:hAnsi="Calibri" w:cs="Calibri"/>
                <w:color w:val="000000"/>
                <w:sz w:val="16"/>
                <w:szCs w:val="16"/>
                <w:lang w:eastAsia="en-AU"/>
              </w:rPr>
            </w:pPr>
            <w:r w:rsidRPr="00A17A10">
              <w:rPr>
                <w:rFonts w:ascii="Calibri" w:hAnsi="Calibri" w:cs="Calibri"/>
                <w:color w:val="000000"/>
                <w:sz w:val="16"/>
                <w:szCs w:val="16"/>
                <w:lang w:eastAsia="en-AU"/>
              </w:rPr>
              <w:t>2010-11</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A17A10" w:rsidRPr="00A17A10" w:rsidRDefault="00A17A10" w:rsidP="00A17A10">
            <w:pPr>
              <w:jc w:val="center"/>
              <w:rPr>
                <w:rFonts w:ascii="Calibri" w:hAnsi="Calibri" w:cs="Calibri"/>
                <w:color w:val="000000"/>
                <w:sz w:val="16"/>
                <w:szCs w:val="16"/>
                <w:lang w:eastAsia="en-AU"/>
              </w:rPr>
            </w:pPr>
            <w:r w:rsidRPr="00A17A10">
              <w:rPr>
                <w:rFonts w:ascii="Calibri" w:hAnsi="Calibri" w:cs="Calibri"/>
                <w:color w:val="000000"/>
                <w:sz w:val="16"/>
                <w:szCs w:val="16"/>
                <w:lang w:eastAsia="en-AU"/>
              </w:rPr>
              <w:t>2009-10</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A17A10" w:rsidRPr="00A17A10" w:rsidRDefault="00A17A10" w:rsidP="00A17A10">
            <w:pPr>
              <w:jc w:val="center"/>
              <w:rPr>
                <w:rFonts w:ascii="Calibri" w:hAnsi="Calibri" w:cs="Calibri"/>
                <w:color w:val="000000"/>
                <w:sz w:val="16"/>
                <w:szCs w:val="16"/>
                <w:lang w:eastAsia="en-AU"/>
              </w:rPr>
            </w:pPr>
            <w:r w:rsidRPr="00A17A10">
              <w:rPr>
                <w:rFonts w:ascii="Calibri" w:hAnsi="Calibri" w:cs="Calibri"/>
                <w:color w:val="000000"/>
                <w:sz w:val="16"/>
                <w:szCs w:val="16"/>
                <w:lang w:eastAsia="en-AU"/>
              </w:rPr>
              <w:t>2008-09</w:t>
            </w:r>
          </w:p>
        </w:tc>
      </w:tr>
      <w:tr w:rsidR="003D6B8B" w:rsidRPr="00A17A10">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D6B8B" w:rsidRPr="00A17A10" w:rsidRDefault="003D6B8B" w:rsidP="00A17A10">
            <w:pPr>
              <w:rPr>
                <w:rFonts w:ascii="Calibri" w:hAnsi="Calibri" w:cs="Calibri"/>
                <w:color w:val="000000"/>
                <w:sz w:val="16"/>
                <w:szCs w:val="16"/>
                <w:lang w:eastAsia="en-AU"/>
              </w:rPr>
            </w:pPr>
            <w:r w:rsidRPr="00CB6A7D">
              <w:rPr>
                <w:rFonts w:ascii="Calibri" w:hAnsi="Calibri" w:cs="Calibri"/>
                <w:color w:val="000000"/>
                <w:sz w:val="16"/>
                <w:szCs w:val="16"/>
                <w:lang w:eastAsia="en-AU"/>
              </w:rPr>
              <w:t>Percentage by which the conversion factor over or under estimates the weight of imports</w:t>
            </w:r>
          </w:p>
        </w:tc>
        <w:tc>
          <w:tcPr>
            <w:tcW w:w="1120" w:type="dxa"/>
            <w:tcBorders>
              <w:top w:val="nil"/>
              <w:left w:val="nil"/>
              <w:bottom w:val="single" w:sz="4" w:space="0" w:color="auto"/>
              <w:right w:val="single" w:sz="4" w:space="0" w:color="auto"/>
            </w:tcBorders>
            <w:shd w:val="clear" w:color="auto" w:fill="auto"/>
            <w:noWrap/>
            <w:vAlign w:val="center"/>
          </w:tcPr>
          <w:p w:rsidR="003D6B8B" w:rsidRDefault="003D6B8B">
            <w:pPr>
              <w:jc w:val="center"/>
              <w:rPr>
                <w:rFonts w:ascii="Calibri" w:hAnsi="Calibri" w:cs="Calibri"/>
                <w:color w:val="000000"/>
                <w:sz w:val="16"/>
                <w:szCs w:val="16"/>
              </w:rPr>
            </w:pPr>
            <w:r>
              <w:rPr>
                <w:rFonts w:ascii="Calibri" w:hAnsi="Calibri" w:cs="Calibri"/>
                <w:color w:val="000000"/>
                <w:sz w:val="16"/>
                <w:szCs w:val="16"/>
              </w:rPr>
              <w:t>0%</w:t>
            </w:r>
          </w:p>
        </w:tc>
        <w:tc>
          <w:tcPr>
            <w:tcW w:w="1120" w:type="dxa"/>
            <w:tcBorders>
              <w:top w:val="nil"/>
              <w:left w:val="nil"/>
              <w:bottom w:val="single" w:sz="4" w:space="0" w:color="auto"/>
              <w:right w:val="single" w:sz="4" w:space="0" w:color="auto"/>
            </w:tcBorders>
            <w:shd w:val="clear" w:color="auto" w:fill="auto"/>
            <w:noWrap/>
            <w:vAlign w:val="center"/>
          </w:tcPr>
          <w:p w:rsidR="003D6B8B" w:rsidRDefault="003D6B8B">
            <w:pPr>
              <w:jc w:val="center"/>
              <w:rPr>
                <w:rFonts w:ascii="Calibri" w:hAnsi="Calibri" w:cs="Calibri"/>
                <w:color w:val="000000"/>
                <w:sz w:val="16"/>
                <w:szCs w:val="16"/>
              </w:rPr>
            </w:pPr>
            <w:r>
              <w:rPr>
                <w:rFonts w:ascii="Calibri" w:hAnsi="Calibri" w:cs="Calibri"/>
                <w:color w:val="000000"/>
                <w:sz w:val="16"/>
                <w:szCs w:val="16"/>
              </w:rPr>
              <w:t>-100%</w:t>
            </w:r>
          </w:p>
        </w:tc>
        <w:tc>
          <w:tcPr>
            <w:tcW w:w="1120" w:type="dxa"/>
            <w:tcBorders>
              <w:top w:val="nil"/>
              <w:left w:val="nil"/>
              <w:bottom w:val="single" w:sz="4" w:space="0" w:color="auto"/>
              <w:right w:val="single" w:sz="4" w:space="0" w:color="auto"/>
            </w:tcBorders>
            <w:shd w:val="clear" w:color="auto" w:fill="auto"/>
            <w:noWrap/>
            <w:vAlign w:val="center"/>
          </w:tcPr>
          <w:p w:rsidR="003D6B8B" w:rsidRDefault="003D6B8B">
            <w:pPr>
              <w:jc w:val="center"/>
              <w:rPr>
                <w:rFonts w:ascii="Calibri" w:hAnsi="Calibri" w:cs="Calibri"/>
                <w:color w:val="000000"/>
                <w:sz w:val="16"/>
                <w:szCs w:val="16"/>
              </w:rPr>
            </w:pPr>
            <w:r>
              <w:rPr>
                <w:rFonts w:ascii="Calibri" w:hAnsi="Calibri" w:cs="Calibri"/>
                <w:color w:val="000000"/>
                <w:sz w:val="16"/>
                <w:szCs w:val="16"/>
              </w:rPr>
              <w:t>39%</w:t>
            </w:r>
          </w:p>
        </w:tc>
      </w:tr>
    </w:tbl>
    <w:p w:rsidR="00A17A10" w:rsidRDefault="00A17A10" w:rsidP="005D1179">
      <w:pPr>
        <w:jc w:val="both"/>
        <w:rPr>
          <w:szCs w:val="22"/>
        </w:rPr>
      </w:pPr>
    </w:p>
    <w:p w:rsidR="001A78F2" w:rsidRDefault="001B4686">
      <w:pPr>
        <w:rPr>
          <w:szCs w:val="22"/>
        </w:rPr>
      </w:pPr>
      <w:r w:rsidRPr="005A3097">
        <w:rPr>
          <w:b/>
          <w:szCs w:val="22"/>
        </w:rPr>
        <w:t>Distribution:</w:t>
      </w:r>
      <w:r>
        <w:rPr>
          <w:b/>
          <w:szCs w:val="22"/>
        </w:rPr>
        <w:t xml:space="preserve"> </w:t>
      </w:r>
      <w:r>
        <w:rPr>
          <w:szCs w:val="22"/>
        </w:rPr>
        <w:t>Wide distribution with majority between 0 - 30 kg</w:t>
      </w:r>
    </w:p>
    <w:p w:rsidR="001A78F2" w:rsidRDefault="001B4686">
      <w:pPr>
        <w:rPr>
          <w:szCs w:val="22"/>
        </w:rPr>
      </w:pPr>
      <w:r>
        <w:rPr>
          <w:b/>
          <w:szCs w:val="22"/>
        </w:rPr>
        <w:t xml:space="preserve">Proposed conversion factor: </w:t>
      </w:r>
      <w:r w:rsidRPr="008B510A">
        <w:rPr>
          <w:szCs w:val="22"/>
        </w:rPr>
        <w:t>1</w:t>
      </w:r>
      <w:r>
        <w:rPr>
          <w:szCs w:val="22"/>
        </w:rPr>
        <w:t>3</w:t>
      </w:r>
      <w:r w:rsidR="001C6F7A">
        <w:rPr>
          <w:szCs w:val="22"/>
        </w:rPr>
        <w:t>.</w:t>
      </w:r>
      <w:r>
        <w:rPr>
          <w:szCs w:val="22"/>
        </w:rPr>
        <w:t>2</w:t>
      </w:r>
      <w:r w:rsidRPr="007475CE">
        <w:rPr>
          <w:szCs w:val="22"/>
        </w:rPr>
        <w:t xml:space="preserve"> </w:t>
      </w:r>
      <w:r>
        <w:rPr>
          <w:szCs w:val="22"/>
        </w:rPr>
        <w:t>kg.</w:t>
      </w:r>
    </w:p>
    <w:p w:rsidR="001A78F2" w:rsidRDefault="001B4686">
      <w:pPr>
        <w:rPr>
          <w:szCs w:val="22"/>
        </w:rPr>
      </w:pPr>
      <w:r>
        <w:rPr>
          <w:b/>
          <w:szCs w:val="22"/>
        </w:rPr>
        <w:t xml:space="preserve">Proposed confidence interval: </w:t>
      </w:r>
      <w:r>
        <w:rPr>
          <w:szCs w:val="22"/>
        </w:rPr>
        <w:t xml:space="preserve"> &gt; 6</w:t>
      </w:r>
      <w:r w:rsidR="007C78DA">
        <w:rPr>
          <w:szCs w:val="22"/>
        </w:rPr>
        <w:t>.0</w:t>
      </w:r>
      <w:r>
        <w:rPr>
          <w:szCs w:val="22"/>
        </w:rPr>
        <w:t xml:space="preserve"> kg, &lt; 54.5 kg to represent </w:t>
      </w:r>
      <w:r w:rsidR="00C62346">
        <w:rPr>
          <w:szCs w:val="22"/>
        </w:rPr>
        <w:t>variation</w:t>
      </w:r>
    </w:p>
    <w:p w:rsidR="001A78F2" w:rsidRDefault="00C62346">
      <w:pPr>
        <w:rPr>
          <w:szCs w:val="22"/>
        </w:rPr>
      </w:pPr>
      <w:r>
        <w:rPr>
          <w:b/>
          <w:szCs w:val="22"/>
        </w:rPr>
        <w:t xml:space="preserve">Variation over time: </w:t>
      </w:r>
      <w:r w:rsidR="001B4686">
        <w:rPr>
          <w:szCs w:val="22"/>
        </w:rPr>
        <w:t>High</w:t>
      </w:r>
    </w:p>
    <w:p w:rsidR="001A78F2" w:rsidRDefault="001A78F2">
      <w:pPr>
        <w:rPr>
          <w:szCs w:val="22"/>
        </w:rPr>
      </w:pPr>
    </w:p>
    <w:p w:rsidR="001A78F2" w:rsidRDefault="001A78F2">
      <w:pPr>
        <w:rPr>
          <w:rFonts w:ascii="Arial" w:hAnsi="Arial" w:cs="Arial"/>
          <w:b/>
          <w:szCs w:val="22"/>
        </w:rPr>
      </w:pPr>
    </w:p>
    <w:p w:rsidR="001A78F2" w:rsidRDefault="001A78F2">
      <w:pPr>
        <w:rPr>
          <w:szCs w:val="22"/>
        </w:rPr>
      </w:pPr>
    </w:p>
    <w:p w:rsidR="001A78F2" w:rsidRDefault="001A78F2">
      <w:pPr>
        <w:rPr>
          <w:szCs w:val="22"/>
        </w:rPr>
      </w:pPr>
    </w:p>
    <w:p w:rsidR="001A78F2" w:rsidRDefault="001A78F2">
      <w:pPr>
        <w:rPr>
          <w:szCs w:val="22"/>
        </w:rPr>
      </w:pPr>
    </w:p>
    <w:p w:rsidR="009B5E66" w:rsidRDefault="009B5E66">
      <w:pPr>
        <w:rPr>
          <w:rFonts w:ascii="Arial" w:hAnsi="Arial" w:cs="Arial"/>
          <w:b/>
          <w:bCs/>
          <w:iCs/>
          <w:sz w:val="28"/>
          <w:szCs w:val="22"/>
        </w:rPr>
      </w:pPr>
      <w:r>
        <w:br w:type="page"/>
      </w:r>
    </w:p>
    <w:p w:rsidR="000941E0" w:rsidRPr="000941E0" w:rsidRDefault="00CC33FC" w:rsidP="002E1A14">
      <w:pPr>
        <w:pStyle w:val="Heading2"/>
      </w:pPr>
      <w:bookmarkStart w:id="52" w:name="_Toc303860088"/>
      <w:bookmarkStart w:id="53" w:name="_Toc304967191"/>
      <w:r>
        <w:t>Control d</w:t>
      </w:r>
      <w:r w:rsidR="000941E0" w:rsidRPr="000941E0">
        <w:t>evices</w:t>
      </w:r>
      <w:bookmarkEnd w:id="52"/>
      <w:bookmarkEnd w:id="53"/>
    </w:p>
    <w:p w:rsidR="000941E0" w:rsidRDefault="000941E0" w:rsidP="005D1179">
      <w:pPr>
        <w:jc w:val="both"/>
        <w:rPr>
          <w:szCs w:val="22"/>
        </w:rPr>
      </w:pPr>
    </w:p>
    <w:p w:rsidR="00E5733D" w:rsidRDefault="00E5733D" w:rsidP="00E5733D">
      <w:pPr>
        <w:rPr>
          <w:szCs w:val="22"/>
        </w:rPr>
      </w:pPr>
      <w:r>
        <w:rPr>
          <w:rFonts w:ascii="Arial" w:hAnsi="Arial" w:cs="Arial"/>
          <w:b/>
          <w:bCs/>
          <w:color w:val="000000"/>
          <w:szCs w:val="22"/>
          <w:lang w:eastAsia="en-AU"/>
        </w:rPr>
        <w:t>Summary of ABS Imports</w:t>
      </w:r>
    </w:p>
    <w:p w:rsidR="00E5733D" w:rsidRDefault="00E5733D" w:rsidP="005D1179">
      <w:pPr>
        <w:jc w:val="both"/>
        <w:rPr>
          <w:szCs w:val="22"/>
        </w:rPr>
      </w:pPr>
    </w:p>
    <w:p w:rsidR="000C28BD" w:rsidRDefault="000C28BD" w:rsidP="000C28BD">
      <w:pPr>
        <w:rPr>
          <w:szCs w:val="22"/>
        </w:rPr>
      </w:pPr>
      <w:r>
        <w:rPr>
          <w:szCs w:val="22"/>
        </w:rPr>
        <w:t xml:space="preserve">According to ABS import data, 6,167,931 units of </w:t>
      </w:r>
      <w:r w:rsidR="00667794">
        <w:rPr>
          <w:szCs w:val="22"/>
        </w:rPr>
        <w:t>control devices</w:t>
      </w:r>
      <w:r>
        <w:rPr>
          <w:szCs w:val="22"/>
        </w:rPr>
        <w:t xml:space="preserve"> were imported in 20</w:t>
      </w:r>
      <w:r w:rsidR="00FC1B3D">
        <w:rPr>
          <w:szCs w:val="22"/>
        </w:rPr>
        <w:t>10-</w:t>
      </w:r>
      <w:r>
        <w:rPr>
          <w:szCs w:val="22"/>
        </w:rPr>
        <w:t xml:space="preserve">11.  The proportions are shown in </w:t>
      </w:r>
      <w:r w:rsidR="007354B2">
        <w:rPr>
          <w:szCs w:val="22"/>
        </w:rPr>
        <w:t>Figure 5-22</w:t>
      </w:r>
      <w:r>
        <w:rPr>
          <w:szCs w:val="22"/>
        </w:rPr>
        <w:t>.</w:t>
      </w:r>
    </w:p>
    <w:p w:rsidR="000C28BD" w:rsidRDefault="000C28BD" w:rsidP="000C28BD">
      <w:pPr>
        <w:rPr>
          <w:szCs w:val="22"/>
        </w:rPr>
      </w:pPr>
    </w:p>
    <w:p w:rsidR="000C28BD" w:rsidRPr="000C28BD" w:rsidRDefault="000C28BD" w:rsidP="000C28BD">
      <w:pPr>
        <w:rPr>
          <w:szCs w:val="22"/>
          <w:lang w:val="en-US"/>
        </w:rPr>
      </w:pPr>
      <w:r>
        <w:rPr>
          <w:szCs w:val="22"/>
          <w:lang w:val="en-US"/>
        </w:rPr>
        <w:t xml:space="preserve">The dominant HTISC in this CTCN is </w:t>
      </w:r>
      <w:r>
        <w:rPr>
          <w:i/>
          <w:szCs w:val="22"/>
          <w:lang w:val="en-US"/>
        </w:rPr>
        <w:t>Mouse/trackball</w:t>
      </w:r>
      <w:r>
        <w:rPr>
          <w:szCs w:val="22"/>
          <w:lang w:val="en-US"/>
        </w:rPr>
        <w:t xml:space="preserve">, followed by </w:t>
      </w:r>
      <w:r w:rsidRPr="00FC1B3D">
        <w:rPr>
          <w:i/>
          <w:szCs w:val="22"/>
          <w:lang w:val="en-US"/>
        </w:rPr>
        <w:t>keyboards</w:t>
      </w:r>
      <w:r>
        <w:rPr>
          <w:szCs w:val="22"/>
          <w:lang w:val="en-US"/>
        </w:rPr>
        <w:t>.</w:t>
      </w:r>
    </w:p>
    <w:p w:rsidR="000C28BD" w:rsidRDefault="000C28BD" w:rsidP="000C28BD">
      <w:pPr>
        <w:rPr>
          <w:i/>
          <w:szCs w:val="22"/>
          <w:lang w:val="en-US"/>
        </w:rPr>
      </w:pPr>
    </w:p>
    <w:p w:rsidR="000C28BD" w:rsidRDefault="000C28BD" w:rsidP="000C28BD">
      <w:pPr>
        <w:rPr>
          <w:szCs w:val="22"/>
        </w:rPr>
      </w:pPr>
      <w:r>
        <w:rPr>
          <w:szCs w:val="22"/>
          <w:lang w:val="en-US"/>
        </w:rPr>
        <w:t>Note that several brands indicated that these peripheral devices were imported but could not provide weight data.</w:t>
      </w:r>
    </w:p>
    <w:p w:rsidR="000C28BD" w:rsidRDefault="000C28BD" w:rsidP="000C28BD">
      <w:pPr>
        <w:rPr>
          <w:i/>
          <w:szCs w:val="22"/>
          <w:lang w:val="en-US"/>
        </w:rPr>
      </w:pPr>
    </w:p>
    <w:p w:rsidR="000C28BD" w:rsidRDefault="000C28BD" w:rsidP="000C28BD">
      <w:pPr>
        <w:rPr>
          <w:szCs w:val="22"/>
          <w:lang w:val="en-US"/>
        </w:rPr>
      </w:pPr>
    </w:p>
    <w:p w:rsidR="000C28BD" w:rsidRDefault="000C28BD" w:rsidP="000C28BD">
      <w:pPr>
        <w:rPr>
          <w:szCs w:val="22"/>
        </w:rPr>
      </w:pPr>
    </w:p>
    <w:p w:rsidR="000C28BD" w:rsidRPr="000C28BD" w:rsidRDefault="007354B2" w:rsidP="000C28BD">
      <w:pPr>
        <w:pStyle w:val="Caption"/>
        <w:keepNext/>
      </w:pPr>
      <w:r>
        <w:t>Figure 5-22</w:t>
      </w:r>
      <w:r w:rsidR="002652C5">
        <w:t xml:space="preserve">  </w:t>
      </w:r>
      <w:r w:rsidR="000C28BD">
        <w:t>Proportion of HTISCs in 2010-11 CTCN imports data (according to ABS)</w:t>
      </w:r>
    </w:p>
    <w:p w:rsidR="000941E0" w:rsidRDefault="00667794" w:rsidP="005D1179">
      <w:pPr>
        <w:jc w:val="both"/>
        <w:rPr>
          <w:szCs w:val="22"/>
        </w:rPr>
      </w:pPr>
      <w:r w:rsidRPr="00667794">
        <w:rPr>
          <w:noProof/>
          <w:szCs w:val="22"/>
          <w:lang w:eastAsia="en-AU"/>
        </w:rPr>
        <w:drawing>
          <wp:inline distT="0" distB="0" distL="0" distR="0">
            <wp:extent cx="4572000" cy="2743200"/>
            <wp:effectExtent l="0" t="0" r="0" b="0"/>
            <wp:docPr id="5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0941E0" w:rsidRDefault="000941E0" w:rsidP="005D1179">
      <w:pPr>
        <w:jc w:val="both"/>
        <w:rPr>
          <w:szCs w:val="22"/>
        </w:rPr>
      </w:pPr>
    </w:p>
    <w:p w:rsidR="000941E0" w:rsidRDefault="000941E0" w:rsidP="005D1179">
      <w:pPr>
        <w:jc w:val="both"/>
        <w:rPr>
          <w:szCs w:val="22"/>
        </w:rPr>
      </w:pPr>
    </w:p>
    <w:p w:rsidR="000C28BD" w:rsidRDefault="000C28BD">
      <w:pPr>
        <w:rPr>
          <w:szCs w:val="22"/>
        </w:rPr>
      </w:pPr>
      <w:r>
        <w:rPr>
          <w:szCs w:val="22"/>
        </w:rPr>
        <w:br w:type="page"/>
      </w:r>
    </w:p>
    <w:p w:rsidR="000C28BD" w:rsidRDefault="000C28BD" w:rsidP="005D1179">
      <w:pPr>
        <w:jc w:val="both"/>
        <w:rPr>
          <w:szCs w:val="22"/>
        </w:rPr>
      </w:pPr>
      <w:r w:rsidRPr="00B02F83">
        <w:rPr>
          <w:rFonts w:ascii="Arial" w:hAnsi="Arial" w:cs="Arial"/>
          <w:b/>
          <w:bCs/>
          <w:color w:val="000000"/>
          <w:szCs w:val="22"/>
          <w:lang w:eastAsia="en-AU"/>
        </w:rPr>
        <w:t>SC07 8471.60.00 55 - Keyboards</w:t>
      </w:r>
    </w:p>
    <w:p w:rsidR="000C28BD" w:rsidRDefault="000C28BD" w:rsidP="005D1179">
      <w:pPr>
        <w:jc w:val="both"/>
        <w:rPr>
          <w:szCs w:val="22"/>
        </w:rPr>
      </w:pPr>
    </w:p>
    <w:p w:rsidR="000C28BD" w:rsidRDefault="007354B2" w:rsidP="004360E0">
      <w:pPr>
        <w:pStyle w:val="Caption"/>
        <w:keepNext/>
      </w:pPr>
      <w:r>
        <w:t>Figure 5-23</w:t>
      </w:r>
      <w:r w:rsidR="002652C5">
        <w:t xml:space="preserve">  </w:t>
      </w:r>
      <w:r w:rsidR="00AC1355">
        <w:t>HTISC frequency distribution in CF year</w:t>
      </w:r>
    </w:p>
    <w:p w:rsidR="00ED6E29" w:rsidRDefault="00ED6E29" w:rsidP="00ED6E29">
      <w:pPr>
        <w:rPr>
          <w:lang w:val="en-GB"/>
        </w:rPr>
      </w:pPr>
      <w:r w:rsidRPr="00ED6E29">
        <w:rPr>
          <w:noProof/>
          <w:lang w:eastAsia="en-AU"/>
        </w:rPr>
        <w:drawing>
          <wp:inline distT="0" distB="0" distL="0" distR="0">
            <wp:extent cx="4889500" cy="2984500"/>
            <wp:effectExtent l="19050" t="0" r="25400" b="6350"/>
            <wp:docPr id="75"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ED6E29" w:rsidRDefault="00ED6E29" w:rsidP="00ED6E29">
      <w:pPr>
        <w:rPr>
          <w:lang w:val="en-GB"/>
        </w:rPr>
      </w:pPr>
    </w:p>
    <w:p w:rsidR="00ED6E29" w:rsidRDefault="00ED6E29" w:rsidP="00ED6E29">
      <w:pPr>
        <w:rPr>
          <w:lang w:val="en-GB"/>
        </w:rPr>
      </w:pPr>
    </w:p>
    <w:p w:rsidR="00ED6E29" w:rsidRPr="00ED6E29" w:rsidRDefault="00ED6E29" w:rsidP="00ED6E29">
      <w:pPr>
        <w:rPr>
          <w:lang w:val="en-GB"/>
        </w:rPr>
      </w:pPr>
    </w:p>
    <w:p w:rsidR="000C28BD" w:rsidRDefault="000C28BD" w:rsidP="005D1179">
      <w:pPr>
        <w:jc w:val="both"/>
        <w:rPr>
          <w:szCs w:val="22"/>
        </w:rPr>
      </w:pPr>
    </w:p>
    <w:p w:rsidR="000C28BD" w:rsidRDefault="000C28BD" w:rsidP="005D1179">
      <w:pPr>
        <w:jc w:val="both"/>
        <w:rPr>
          <w:szCs w:val="22"/>
        </w:rPr>
      </w:pPr>
    </w:p>
    <w:p w:rsidR="000C28BD" w:rsidRDefault="000C28BD" w:rsidP="005D1179">
      <w:pPr>
        <w:jc w:val="both"/>
        <w:rPr>
          <w:szCs w:val="22"/>
        </w:rPr>
      </w:pPr>
    </w:p>
    <w:p w:rsidR="000941E0" w:rsidRPr="00D73340" w:rsidRDefault="00207129" w:rsidP="00D73340">
      <w:pPr>
        <w:pStyle w:val="Caption"/>
      </w:pPr>
      <w:r>
        <w:t xml:space="preserve">Table 5-16 </w:t>
      </w:r>
      <w:r w:rsidR="00D73340">
        <w:t>Conversion factor statistics</w:t>
      </w:r>
    </w:p>
    <w:tbl>
      <w:tblPr>
        <w:tblW w:w="7260" w:type="dxa"/>
        <w:tblInd w:w="93" w:type="dxa"/>
        <w:tblLook w:val="04A0"/>
      </w:tblPr>
      <w:tblGrid>
        <w:gridCol w:w="1660"/>
        <w:gridCol w:w="1120"/>
        <w:gridCol w:w="1120"/>
        <w:gridCol w:w="1120"/>
        <w:gridCol w:w="1120"/>
        <w:gridCol w:w="1120"/>
      </w:tblGrid>
      <w:tr w:rsidR="00B02F83" w:rsidRPr="00B02F83">
        <w:trPr>
          <w:trHeight w:val="450"/>
        </w:trPr>
        <w:tc>
          <w:tcPr>
            <w:tcW w:w="1660" w:type="dxa"/>
            <w:tcBorders>
              <w:top w:val="single" w:sz="4" w:space="0" w:color="auto"/>
              <w:left w:val="single" w:sz="4" w:space="0" w:color="auto"/>
              <w:bottom w:val="single" w:sz="4" w:space="0" w:color="auto"/>
              <w:right w:val="single" w:sz="4" w:space="0" w:color="auto"/>
            </w:tcBorders>
            <w:shd w:val="clear" w:color="000000" w:fill="D8D8D8"/>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CF year</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No. of ABS imports</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 ABS imports included</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Min weight</w:t>
            </w:r>
            <w:r w:rsidRPr="00B02F83">
              <w:rPr>
                <w:rFonts w:ascii="Calibri" w:hAnsi="Calibri" w:cs="Calibri"/>
                <w:color w:val="000000"/>
                <w:sz w:val="16"/>
                <w:szCs w:val="16"/>
                <w:lang w:eastAsia="en-AU"/>
              </w:rPr>
              <w:br/>
              <w:t>(kg)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Max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Standard deviation</w:t>
            </w:r>
          </w:p>
        </w:tc>
      </w:tr>
      <w:tr w:rsidR="00B02F83" w:rsidRPr="00B02F83">
        <w:trPr>
          <w:trHeight w:val="225"/>
        </w:trPr>
        <w:tc>
          <w:tcPr>
            <w:tcW w:w="1660" w:type="dxa"/>
            <w:tcBorders>
              <w:top w:val="nil"/>
              <w:left w:val="single" w:sz="4" w:space="0" w:color="auto"/>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2010-11</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1,816,342</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8%</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0.03</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2.7</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0.1</w:t>
            </w:r>
          </w:p>
        </w:tc>
      </w:tr>
      <w:tr w:rsidR="00B02F83" w:rsidRPr="00B02F83">
        <w:trPr>
          <w:trHeight w:val="225"/>
        </w:trPr>
        <w:tc>
          <w:tcPr>
            <w:tcW w:w="1660" w:type="dxa"/>
            <w:tcBorders>
              <w:top w:val="nil"/>
              <w:left w:val="nil"/>
              <w:bottom w:val="nil"/>
              <w:right w:val="nil"/>
            </w:tcBorders>
            <w:shd w:val="clear" w:color="auto" w:fill="auto"/>
            <w:noWrap/>
            <w:vAlign w:val="bottom"/>
          </w:tcPr>
          <w:p w:rsidR="00B02F83" w:rsidRPr="00B02F83" w:rsidRDefault="00B02F83" w:rsidP="00B02F8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02F83" w:rsidRPr="00B02F83" w:rsidRDefault="00B02F83" w:rsidP="00B02F8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02F83" w:rsidRPr="00B02F83" w:rsidRDefault="00B02F83" w:rsidP="00B02F8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02F83" w:rsidRPr="00B02F83" w:rsidRDefault="00B02F83" w:rsidP="00B02F8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02F83" w:rsidRPr="00B02F83" w:rsidRDefault="00B02F83" w:rsidP="00B02F8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02F83" w:rsidRPr="00B02F83" w:rsidRDefault="00B02F83" w:rsidP="00B02F83">
            <w:pPr>
              <w:rPr>
                <w:rFonts w:ascii="Calibri" w:hAnsi="Calibri" w:cs="Calibri"/>
                <w:color w:val="000000"/>
                <w:sz w:val="16"/>
                <w:szCs w:val="16"/>
                <w:lang w:eastAsia="en-AU"/>
              </w:rPr>
            </w:pPr>
          </w:p>
        </w:tc>
      </w:tr>
      <w:tr w:rsidR="00B02F83" w:rsidRPr="00B02F83">
        <w:trPr>
          <w:trHeight w:val="450"/>
        </w:trPr>
        <w:tc>
          <w:tcPr>
            <w:tcW w:w="1660" w:type="dxa"/>
            <w:tcBorders>
              <w:top w:val="single" w:sz="4" w:space="0" w:color="auto"/>
              <w:left w:val="single" w:sz="4" w:space="0" w:color="auto"/>
              <w:bottom w:val="nil"/>
              <w:right w:val="single" w:sz="4" w:space="0" w:color="auto"/>
            </w:tcBorders>
            <w:shd w:val="clear" w:color="000000" w:fill="D8D8D8"/>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Method</w:t>
            </w:r>
          </w:p>
        </w:tc>
        <w:tc>
          <w:tcPr>
            <w:tcW w:w="1120" w:type="dxa"/>
            <w:tcBorders>
              <w:top w:val="single" w:sz="4" w:space="0" w:color="auto"/>
              <w:left w:val="nil"/>
              <w:bottom w:val="nil"/>
              <w:right w:val="single" w:sz="4" w:space="0" w:color="auto"/>
            </w:tcBorders>
            <w:shd w:val="clear" w:color="000000" w:fill="D8D8D8"/>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Measure of average</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Average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Lower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Upper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Confidence interval ± (kg)</w:t>
            </w:r>
          </w:p>
        </w:tc>
      </w:tr>
      <w:tr w:rsidR="00B02F83" w:rsidRPr="00B02F83">
        <w:trPr>
          <w:trHeight w:val="48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Approximation to the normal distribution</w:t>
            </w:r>
          </w:p>
        </w:tc>
        <w:tc>
          <w:tcPr>
            <w:tcW w:w="1120" w:type="dxa"/>
            <w:tcBorders>
              <w:top w:val="single" w:sz="4" w:space="0" w:color="auto"/>
              <w:left w:val="nil"/>
              <w:bottom w:val="single" w:sz="4" w:space="0" w:color="auto"/>
              <w:right w:val="single" w:sz="4" w:space="0" w:color="auto"/>
            </w:tcBorders>
            <w:shd w:val="clear" w:color="auto" w:fill="auto"/>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Mean</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0.8</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0.6</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1.1</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0.3</w:t>
            </w:r>
          </w:p>
        </w:tc>
      </w:tr>
      <w:tr w:rsidR="00B02F83" w:rsidRPr="00B02F83">
        <w:trPr>
          <w:trHeight w:val="480"/>
        </w:trPr>
        <w:tc>
          <w:tcPr>
            <w:tcW w:w="1660" w:type="dxa"/>
            <w:tcBorders>
              <w:top w:val="nil"/>
              <w:left w:val="single" w:sz="4" w:space="0" w:color="auto"/>
              <w:bottom w:val="single" w:sz="4" w:space="0" w:color="auto"/>
              <w:right w:val="single" w:sz="4" w:space="0" w:color="auto"/>
            </w:tcBorders>
            <w:shd w:val="clear" w:color="auto" w:fill="auto"/>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Use of percentiles</w:t>
            </w:r>
          </w:p>
        </w:tc>
        <w:tc>
          <w:tcPr>
            <w:tcW w:w="1120" w:type="dxa"/>
            <w:tcBorders>
              <w:top w:val="nil"/>
              <w:left w:val="nil"/>
              <w:bottom w:val="single" w:sz="4" w:space="0" w:color="auto"/>
              <w:right w:val="single" w:sz="4" w:space="0" w:color="auto"/>
            </w:tcBorders>
            <w:shd w:val="clear" w:color="auto" w:fill="auto"/>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Median</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0.9</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0.9</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1.5</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0.6</w:t>
            </w:r>
          </w:p>
        </w:tc>
      </w:tr>
      <w:tr w:rsidR="00B02F83" w:rsidRPr="00B02F83">
        <w:trPr>
          <w:trHeight w:val="225"/>
        </w:trPr>
        <w:tc>
          <w:tcPr>
            <w:tcW w:w="1660" w:type="dxa"/>
            <w:tcBorders>
              <w:top w:val="nil"/>
              <w:left w:val="nil"/>
              <w:bottom w:val="nil"/>
              <w:right w:val="nil"/>
            </w:tcBorders>
            <w:shd w:val="clear" w:color="auto" w:fill="auto"/>
            <w:noWrap/>
            <w:vAlign w:val="bottom"/>
          </w:tcPr>
          <w:p w:rsidR="00B02F83" w:rsidRPr="00B02F83" w:rsidRDefault="00B02F83" w:rsidP="00B02F8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02F83" w:rsidRPr="00B02F83" w:rsidRDefault="00B02F83" w:rsidP="00B02F8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02F83" w:rsidRPr="00B02F83" w:rsidRDefault="00B02F83" w:rsidP="00B02F8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02F83" w:rsidRPr="00B02F83" w:rsidRDefault="00B02F83" w:rsidP="00B02F8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02F83" w:rsidRPr="00B02F83" w:rsidRDefault="00B02F83" w:rsidP="00B02F8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02F83" w:rsidRPr="00B02F83" w:rsidRDefault="00B02F83" w:rsidP="00B02F83">
            <w:pPr>
              <w:rPr>
                <w:rFonts w:ascii="Calibri" w:hAnsi="Calibri" w:cs="Calibri"/>
                <w:color w:val="000000"/>
                <w:sz w:val="16"/>
                <w:szCs w:val="16"/>
                <w:lang w:eastAsia="en-AU"/>
              </w:rPr>
            </w:pPr>
          </w:p>
        </w:tc>
      </w:tr>
      <w:tr w:rsidR="00B02F83" w:rsidRPr="00B02F83">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tcPr>
          <w:p w:rsidR="00B02F83" w:rsidRPr="00B02F83" w:rsidRDefault="00B02F83" w:rsidP="00B02F83">
            <w:pPr>
              <w:rPr>
                <w:rFonts w:ascii="Calibri" w:hAnsi="Calibri" w:cs="Calibri"/>
                <w:color w:val="000000"/>
                <w:sz w:val="16"/>
                <w:szCs w:val="16"/>
                <w:lang w:eastAsia="en-AU"/>
              </w:rPr>
            </w:pPr>
            <w:r w:rsidRPr="00B02F83">
              <w:rPr>
                <w:rFonts w:ascii="Calibri" w:hAnsi="Calibri" w:cs="Calibri"/>
                <w:color w:val="000000"/>
                <w:sz w:val="16"/>
                <w:szCs w:val="16"/>
                <w:lang w:eastAsia="en-AU"/>
              </w:rPr>
              <w:t>Year</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2010-11</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2009-10</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2008-09</w:t>
            </w:r>
          </w:p>
        </w:tc>
      </w:tr>
      <w:tr w:rsidR="00FC1B3D" w:rsidRPr="00B02F83" w:rsidTr="000C28BD">
        <w:trPr>
          <w:trHeight w:val="497"/>
        </w:trPr>
        <w:tc>
          <w:tcPr>
            <w:tcW w:w="39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C1B3D" w:rsidRPr="00A17A10" w:rsidRDefault="00FC1B3D" w:rsidP="00E5733D">
            <w:pPr>
              <w:rPr>
                <w:rFonts w:ascii="Calibri" w:hAnsi="Calibri" w:cs="Calibri"/>
                <w:color w:val="000000"/>
                <w:sz w:val="16"/>
                <w:szCs w:val="16"/>
                <w:lang w:eastAsia="en-AU"/>
              </w:rPr>
            </w:pPr>
            <w:r w:rsidRPr="00CB6A7D">
              <w:rPr>
                <w:rFonts w:ascii="Calibri" w:hAnsi="Calibri" w:cs="Calibri"/>
                <w:color w:val="000000"/>
                <w:sz w:val="16"/>
                <w:szCs w:val="16"/>
                <w:lang w:eastAsia="en-AU"/>
              </w:rPr>
              <w:t>Percentage by which the conversion factor over or under estimates the weight of imports</w:t>
            </w:r>
          </w:p>
        </w:tc>
        <w:tc>
          <w:tcPr>
            <w:tcW w:w="1120" w:type="dxa"/>
            <w:tcBorders>
              <w:top w:val="nil"/>
              <w:left w:val="nil"/>
              <w:bottom w:val="single" w:sz="4" w:space="0" w:color="auto"/>
              <w:right w:val="single" w:sz="4" w:space="0" w:color="auto"/>
            </w:tcBorders>
            <w:shd w:val="clear" w:color="auto" w:fill="auto"/>
            <w:noWrap/>
            <w:vAlign w:val="center"/>
          </w:tcPr>
          <w:p w:rsidR="00FC1B3D" w:rsidRDefault="00FC1B3D">
            <w:pPr>
              <w:jc w:val="center"/>
              <w:rPr>
                <w:rFonts w:ascii="Calibri" w:hAnsi="Calibri" w:cs="Calibri"/>
                <w:color w:val="000000"/>
                <w:sz w:val="16"/>
                <w:szCs w:val="16"/>
              </w:rPr>
            </w:pPr>
            <w:r>
              <w:rPr>
                <w:rFonts w:ascii="Calibri" w:hAnsi="Calibri" w:cs="Calibri"/>
                <w:color w:val="000000"/>
                <w:sz w:val="16"/>
                <w:szCs w:val="16"/>
              </w:rPr>
              <w:t>0%</w:t>
            </w:r>
          </w:p>
        </w:tc>
        <w:tc>
          <w:tcPr>
            <w:tcW w:w="1120" w:type="dxa"/>
            <w:tcBorders>
              <w:top w:val="nil"/>
              <w:left w:val="nil"/>
              <w:bottom w:val="single" w:sz="4" w:space="0" w:color="auto"/>
              <w:right w:val="single" w:sz="4" w:space="0" w:color="auto"/>
            </w:tcBorders>
            <w:shd w:val="clear" w:color="auto" w:fill="auto"/>
            <w:noWrap/>
            <w:vAlign w:val="center"/>
          </w:tcPr>
          <w:p w:rsidR="00FC1B3D" w:rsidRDefault="00FC1B3D">
            <w:pPr>
              <w:jc w:val="center"/>
              <w:rPr>
                <w:rFonts w:ascii="Calibri" w:hAnsi="Calibri" w:cs="Calibri"/>
                <w:color w:val="000000"/>
                <w:sz w:val="16"/>
                <w:szCs w:val="16"/>
              </w:rPr>
            </w:pPr>
            <w:r>
              <w:rPr>
                <w:rFonts w:ascii="Calibri" w:hAnsi="Calibri" w:cs="Calibri"/>
                <w:color w:val="000000"/>
                <w:sz w:val="16"/>
                <w:szCs w:val="16"/>
              </w:rPr>
              <w:t>2%</w:t>
            </w:r>
          </w:p>
        </w:tc>
        <w:tc>
          <w:tcPr>
            <w:tcW w:w="1120" w:type="dxa"/>
            <w:tcBorders>
              <w:top w:val="nil"/>
              <w:left w:val="nil"/>
              <w:bottom w:val="single" w:sz="4" w:space="0" w:color="auto"/>
              <w:right w:val="single" w:sz="4" w:space="0" w:color="auto"/>
            </w:tcBorders>
            <w:shd w:val="clear" w:color="auto" w:fill="auto"/>
            <w:noWrap/>
            <w:vAlign w:val="center"/>
          </w:tcPr>
          <w:p w:rsidR="00FC1B3D" w:rsidRDefault="00FC1B3D">
            <w:pPr>
              <w:jc w:val="center"/>
              <w:rPr>
                <w:rFonts w:ascii="Calibri" w:hAnsi="Calibri" w:cs="Calibri"/>
                <w:color w:val="000000"/>
                <w:sz w:val="16"/>
                <w:szCs w:val="16"/>
              </w:rPr>
            </w:pPr>
            <w:r>
              <w:rPr>
                <w:rFonts w:ascii="Calibri" w:hAnsi="Calibri" w:cs="Calibri"/>
                <w:color w:val="000000"/>
                <w:sz w:val="16"/>
                <w:szCs w:val="16"/>
              </w:rPr>
              <w:t>3%</w:t>
            </w:r>
          </w:p>
        </w:tc>
      </w:tr>
    </w:tbl>
    <w:p w:rsidR="000941E0" w:rsidRDefault="000941E0" w:rsidP="005D1179">
      <w:pPr>
        <w:jc w:val="both"/>
        <w:rPr>
          <w:szCs w:val="22"/>
        </w:rPr>
      </w:pPr>
    </w:p>
    <w:p w:rsidR="00B02F83" w:rsidRDefault="00B02F83" w:rsidP="00B02F83">
      <w:pPr>
        <w:jc w:val="both"/>
        <w:rPr>
          <w:szCs w:val="22"/>
        </w:rPr>
      </w:pPr>
      <w:r w:rsidRPr="005A3097">
        <w:rPr>
          <w:b/>
          <w:szCs w:val="22"/>
        </w:rPr>
        <w:t>Distribution:</w:t>
      </w:r>
      <w:r>
        <w:rPr>
          <w:b/>
          <w:szCs w:val="22"/>
        </w:rPr>
        <w:t xml:space="preserve"> </w:t>
      </w:r>
      <w:r>
        <w:rPr>
          <w:szCs w:val="22"/>
        </w:rPr>
        <w:t>Narrow distribution with majority between 0.5 - 1 kg</w:t>
      </w:r>
    </w:p>
    <w:p w:rsidR="00B02F83" w:rsidRDefault="00B02F83" w:rsidP="00B02F83">
      <w:pPr>
        <w:jc w:val="both"/>
        <w:rPr>
          <w:szCs w:val="22"/>
        </w:rPr>
      </w:pPr>
      <w:r>
        <w:rPr>
          <w:b/>
          <w:szCs w:val="22"/>
        </w:rPr>
        <w:t xml:space="preserve">Proposed conversion factor: </w:t>
      </w:r>
      <w:r>
        <w:rPr>
          <w:szCs w:val="22"/>
        </w:rPr>
        <w:t>0.8</w:t>
      </w:r>
      <w:r w:rsidRPr="007475CE">
        <w:rPr>
          <w:szCs w:val="22"/>
        </w:rPr>
        <w:t xml:space="preserve"> </w:t>
      </w:r>
      <w:r>
        <w:rPr>
          <w:szCs w:val="22"/>
        </w:rPr>
        <w:t>kg.</w:t>
      </w:r>
    </w:p>
    <w:p w:rsidR="00B02F83" w:rsidRDefault="00B02F83" w:rsidP="00B02F83">
      <w:pPr>
        <w:jc w:val="both"/>
        <w:rPr>
          <w:szCs w:val="22"/>
        </w:rPr>
      </w:pPr>
      <w:r>
        <w:rPr>
          <w:b/>
          <w:szCs w:val="22"/>
        </w:rPr>
        <w:t>Proposed confidence interval</w:t>
      </w:r>
      <w:r w:rsidRPr="00B02F83">
        <w:rPr>
          <w:szCs w:val="22"/>
        </w:rPr>
        <w:t xml:space="preserve">: </w:t>
      </w:r>
      <w:r>
        <w:rPr>
          <w:szCs w:val="22"/>
        </w:rPr>
        <w:t xml:space="preserve"> </w:t>
      </w:r>
      <w:r w:rsidRPr="00B02F83">
        <w:rPr>
          <w:szCs w:val="22"/>
        </w:rPr>
        <w:t>±</w:t>
      </w:r>
      <w:r>
        <w:rPr>
          <w:szCs w:val="22"/>
        </w:rPr>
        <w:t xml:space="preserve"> 0.3</w:t>
      </w:r>
      <w:r w:rsidR="00304B14">
        <w:rPr>
          <w:szCs w:val="22"/>
        </w:rPr>
        <w:t xml:space="preserve"> kg</w:t>
      </w:r>
    </w:p>
    <w:p w:rsidR="00B02F83" w:rsidRDefault="00C62346" w:rsidP="00B02F83">
      <w:pPr>
        <w:jc w:val="both"/>
        <w:rPr>
          <w:szCs w:val="22"/>
        </w:rPr>
      </w:pPr>
      <w:r>
        <w:rPr>
          <w:b/>
          <w:szCs w:val="22"/>
        </w:rPr>
        <w:t xml:space="preserve">Variation over time: </w:t>
      </w:r>
      <w:r w:rsidR="00B02F83">
        <w:rPr>
          <w:szCs w:val="22"/>
        </w:rPr>
        <w:t>Low</w:t>
      </w:r>
    </w:p>
    <w:p w:rsidR="00B02F83" w:rsidRDefault="00B02F83" w:rsidP="005D1179">
      <w:pPr>
        <w:jc w:val="both"/>
        <w:rPr>
          <w:szCs w:val="22"/>
        </w:rPr>
      </w:pPr>
    </w:p>
    <w:p w:rsidR="00B02F83" w:rsidRDefault="00B02F83" w:rsidP="005D1179">
      <w:pPr>
        <w:jc w:val="both"/>
        <w:rPr>
          <w:szCs w:val="22"/>
        </w:rPr>
      </w:pPr>
    </w:p>
    <w:p w:rsidR="000C28BD" w:rsidRDefault="000C28BD">
      <w:pPr>
        <w:rPr>
          <w:rFonts w:ascii="Arial" w:hAnsi="Arial" w:cs="Arial"/>
          <w:b/>
          <w:bCs/>
          <w:color w:val="000000"/>
          <w:szCs w:val="22"/>
          <w:lang w:eastAsia="en-AU"/>
        </w:rPr>
      </w:pPr>
      <w:r>
        <w:rPr>
          <w:rFonts w:ascii="Arial" w:hAnsi="Arial" w:cs="Arial"/>
          <w:b/>
          <w:bCs/>
          <w:color w:val="000000"/>
          <w:szCs w:val="22"/>
          <w:lang w:eastAsia="en-AU"/>
        </w:rPr>
        <w:br w:type="page"/>
      </w:r>
    </w:p>
    <w:p w:rsidR="00B02F83" w:rsidRDefault="000C28BD" w:rsidP="005D1179">
      <w:pPr>
        <w:jc w:val="both"/>
        <w:rPr>
          <w:rFonts w:ascii="Arial" w:hAnsi="Arial" w:cs="Arial"/>
          <w:b/>
          <w:bCs/>
          <w:color w:val="000000"/>
          <w:szCs w:val="22"/>
          <w:lang w:eastAsia="en-AU"/>
        </w:rPr>
      </w:pPr>
      <w:r w:rsidRPr="00B02F83">
        <w:rPr>
          <w:rFonts w:ascii="Arial" w:hAnsi="Arial" w:cs="Arial"/>
          <w:b/>
          <w:bCs/>
          <w:color w:val="000000"/>
          <w:szCs w:val="22"/>
          <w:lang w:eastAsia="en-AU"/>
        </w:rPr>
        <w:t>SC07 8471.60.00 92 - Mouse/trackball</w:t>
      </w:r>
    </w:p>
    <w:p w:rsidR="000C28BD" w:rsidRDefault="000C28BD" w:rsidP="005D1179">
      <w:pPr>
        <w:jc w:val="both"/>
        <w:rPr>
          <w:rFonts w:ascii="Arial" w:hAnsi="Arial" w:cs="Arial"/>
          <w:b/>
          <w:bCs/>
          <w:color w:val="000000"/>
          <w:szCs w:val="22"/>
          <w:lang w:eastAsia="en-AU"/>
        </w:rPr>
      </w:pPr>
    </w:p>
    <w:p w:rsidR="004360E0" w:rsidRDefault="007354B2" w:rsidP="004360E0">
      <w:pPr>
        <w:pStyle w:val="Caption"/>
        <w:keepNext/>
      </w:pPr>
      <w:r>
        <w:t>Figure 5-24</w:t>
      </w:r>
      <w:r w:rsidR="002652C5">
        <w:t xml:space="preserve">  </w:t>
      </w:r>
      <w:r w:rsidR="00AC1355">
        <w:t>HTISC frequency distribution in CF year</w:t>
      </w:r>
    </w:p>
    <w:p w:rsidR="005D62F3" w:rsidRDefault="005D62F3" w:rsidP="005D62F3">
      <w:pPr>
        <w:rPr>
          <w:lang w:val="en-GB"/>
        </w:rPr>
      </w:pPr>
      <w:r w:rsidRPr="005D62F3">
        <w:rPr>
          <w:noProof/>
          <w:lang w:eastAsia="en-AU"/>
        </w:rPr>
        <w:drawing>
          <wp:inline distT="0" distB="0" distL="0" distR="0">
            <wp:extent cx="4889500" cy="2984500"/>
            <wp:effectExtent l="19050" t="0" r="25400" b="6350"/>
            <wp:docPr id="80"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5D62F3" w:rsidRDefault="005D62F3" w:rsidP="005D62F3">
      <w:pPr>
        <w:rPr>
          <w:lang w:val="en-GB"/>
        </w:rPr>
      </w:pPr>
    </w:p>
    <w:p w:rsidR="005D62F3" w:rsidRDefault="005D62F3" w:rsidP="005D62F3">
      <w:pPr>
        <w:rPr>
          <w:lang w:val="en-GB"/>
        </w:rPr>
      </w:pPr>
    </w:p>
    <w:p w:rsidR="005D62F3" w:rsidRDefault="005D62F3" w:rsidP="005D62F3">
      <w:pPr>
        <w:rPr>
          <w:lang w:val="en-GB"/>
        </w:rPr>
      </w:pPr>
    </w:p>
    <w:p w:rsidR="000C28BD" w:rsidRDefault="000C28BD" w:rsidP="005D1179">
      <w:pPr>
        <w:jc w:val="both"/>
        <w:rPr>
          <w:szCs w:val="22"/>
        </w:rPr>
      </w:pPr>
    </w:p>
    <w:p w:rsidR="00D73340" w:rsidRDefault="00D73340" w:rsidP="00D73340">
      <w:pPr>
        <w:pStyle w:val="Caption"/>
      </w:pPr>
    </w:p>
    <w:p w:rsidR="00B02F83" w:rsidRPr="00D73340" w:rsidRDefault="00207129" w:rsidP="00D73340">
      <w:pPr>
        <w:pStyle w:val="Caption"/>
      </w:pPr>
      <w:r>
        <w:t xml:space="preserve">Table 5-17 </w:t>
      </w:r>
      <w:r w:rsidR="00D73340">
        <w:t>Conversion factor statistics</w:t>
      </w:r>
    </w:p>
    <w:tbl>
      <w:tblPr>
        <w:tblW w:w="7260" w:type="dxa"/>
        <w:tblInd w:w="93" w:type="dxa"/>
        <w:tblLook w:val="04A0"/>
      </w:tblPr>
      <w:tblGrid>
        <w:gridCol w:w="1660"/>
        <w:gridCol w:w="1120"/>
        <w:gridCol w:w="1120"/>
        <w:gridCol w:w="1120"/>
        <w:gridCol w:w="1120"/>
        <w:gridCol w:w="1120"/>
      </w:tblGrid>
      <w:tr w:rsidR="00B02F83" w:rsidRPr="00B02F83">
        <w:trPr>
          <w:trHeight w:val="450"/>
        </w:trPr>
        <w:tc>
          <w:tcPr>
            <w:tcW w:w="1660" w:type="dxa"/>
            <w:tcBorders>
              <w:top w:val="single" w:sz="4" w:space="0" w:color="auto"/>
              <w:left w:val="single" w:sz="4" w:space="0" w:color="auto"/>
              <w:bottom w:val="single" w:sz="4" w:space="0" w:color="auto"/>
              <w:right w:val="single" w:sz="4" w:space="0" w:color="auto"/>
            </w:tcBorders>
            <w:shd w:val="clear" w:color="000000" w:fill="D8D8D8"/>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CF year</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No. of ABS imports</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 ABS imports included</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Min weight</w:t>
            </w:r>
            <w:r w:rsidRPr="00B02F83">
              <w:rPr>
                <w:rFonts w:ascii="Calibri" w:hAnsi="Calibri" w:cs="Calibri"/>
                <w:color w:val="000000"/>
                <w:sz w:val="16"/>
                <w:szCs w:val="16"/>
                <w:lang w:eastAsia="en-AU"/>
              </w:rPr>
              <w:br/>
              <w:t>(kg)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Max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Standard deviation</w:t>
            </w:r>
          </w:p>
        </w:tc>
      </w:tr>
      <w:tr w:rsidR="00B02F83" w:rsidRPr="00B02F83">
        <w:trPr>
          <w:trHeight w:val="225"/>
        </w:trPr>
        <w:tc>
          <w:tcPr>
            <w:tcW w:w="1660" w:type="dxa"/>
            <w:tcBorders>
              <w:top w:val="nil"/>
              <w:left w:val="single" w:sz="4" w:space="0" w:color="auto"/>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2010-11</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3,470,082</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5%</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665B26">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0.0</w:t>
            </w:r>
            <w:r w:rsidR="00665B26">
              <w:rPr>
                <w:rFonts w:ascii="Calibri" w:hAnsi="Calibri" w:cs="Calibri"/>
                <w:color w:val="000000"/>
                <w:sz w:val="16"/>
                <w:szCs w:val="16"/>
                <w:lang w:eastAsia="en-AU"/>
              </w:rPr>
              <w:t>5</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8.9</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0.0</w:t>
            </w:r>
          </w:p>
        </w:tc>
      </w:tr>
      <w:tr w:rsidR="00B02F83" w:rsidRPr="00B02F83">
        <w:trPr>
          <w:trHeight w:val="225"/>
        </w:trPr>
        <w:tc>
          <w:tcPr>
            <w:tcW w:w="1660" w:type="dxa"/>
            <w:tcBorders>
              <w:top w:val="nil"/>
              <w:left w:val="nil"/>
              <w:bottom w:val="nil"/>
              <w:right w:val="nil"/>
            </w:tcBorders>
            <w:shd w:val="clear" w:color="auto" w:fill="auto"/>
            <w:noWrap/>
            <w:vAlign w:val="bottom"/>
          </w:tcPr>
          <w:p w:rsidR="00B02F83" w:rsidRPr="00B02F83" w:rsidRDefault="00B02F83" w:rsidP="00B02F8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02F83" w:rsidRPr="00B02F83" w:rsidRDefault="00B02F83" w:rsidP="00B02F8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02F83" w:rsidRPr="00B02F83" w:rsidRDefault="00B02F83" w:rsidP="00B02F8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02F83" w:rsidRPr="00B02F83" w:rsidRDefault="00B02F83" w:rsidP="00B02F8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02F83" w:rsidRPr="00B02F83" w:rsidRDefault="00B02F83" w:rsidP="00B02F8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02F83" w:rsidRPr="00B02F83" w:rsidRDefault="00B02F83" w:rsidP="00B02F83">
            <w:pPr>
              <w:rPr>
                <w:rFonts w:ascii="Calibri" w:hAnsi="Calibri" w:cs="Calibri"/>
                <w:color w:val="000000"/>
                <w:sz w:val="16"/>
                <w:szCs w:val="16"/>
                <w:lang w:eastAsia="en-AU"/>
              </w:rPr>
            </w:pPr>
          </w:p>
        </w:tc>
      </w:tr>
      <w:tr w:rsidR="00B02F83" w:rsidRPr="00B02F83">
        <w:trPr>
          <w:trHeight w:val="450"/>
        </w:trPr>
        <w:tc>
          <w:tcPr>
            <w:tcW w:w="1660" w:type="dxa"/>
            <w:tcBorders>
              <w:top w:val="single" w:sz="4" w:space="0" w:color="auto"/>
              <w:left w:val="single" w:sz="4" w:space="0" w:color="auto"/>
              <w:bottom w:val="nil"/>
              <w:right w:val="single" w:sz="4" w:space="0" w:color="auto"/>
            </w:tcBorders>
            <w:shd w:val="clear" w:color="000000" w:fill="D8D8D8"/>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Method</w:t>
            </w:r>
          </w:p>
        </w:tc>
        <w:tc>
          <w:tcPr>
            <w:tcW w:w="1120" w:type="dxa"/>
            <w:tcBorders>
              <w:top w:val="single" w:sz="4" w:space="0" w:color="auto"/>
              <w:left w:val="nil"/>
              <w:bottom w:val="nil"/>
              <w:right w:val="single" w:sz="4" w:space="0" w:color="auto"/>
            </w:tcBorders>
            <w:shd w:val="clear" w:color="000000" w:fill="D8D8D8"/>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Measure of average</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Average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Lower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Upper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Confidence interval ± (kg)</w:t>
            </w:r>
          </w:p>
        </w:tc>
      </w:tr>
      <w:tr w:rsidR="00B02F83" w:rsidRPr="00B02F83">
        <w:trPr>
          <w:trHeight w:val="48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Approximation to the normal distribution</w:t>
            </w:r>
          </w:p>
        </w:tc>
        <w:tc>
          <w:tcPr>
            <w:tcW w:w="1120" w:type="dxa"/>
            <w:tcBorders>
              <w:top w:val="single" w:sz="4" w:space="0" w:color="auto"/>
              <w:left w:val="nil"/>
              <w:bottom w:val="single" w:sz="4" w:space="0" w:color="auto"/>
              <w:right w:val="single" w:sz="4" w:space="0" w:color="auto"/>
            </w:tcBorders>
            <w:shd w:val="clear" w:color="auto" w:fill="auto"/>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Mean</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0.3</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0.3</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0.4</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0.0</w:t>
            </w:r>
          </w:p>
        </w:tc>
      </w:tr>
      <w:tr w:rsidR="00B02F83" w:rsidRPr="00B02F83">
        <w:trPr>
          <w:trHeight w:val="480"/>
        </w:trPr>
        <w:tc>
          <w:tcPr>
            <w:tcW w:w="1660" w:type="dxa"/>
            <w:tcBorders>
              <w:top w:val="nil"/>
              <w:left w:val="single" w:sz="4" w:space="0" w:color="auto"/>
              <w:bottom w:val="single" w:sz="4" w:space="0" w:color="auto"/>
              <w:right w:val="single" w:sz="4" w:space="0" w:color="auto"/>
            </w:tcBorders>
            <w:shd w:val="clear" w:color="auto" w:fill="auto"/>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Use of percentiles</w:t>
            </w:r>
          </w:p>
        </w:tc>
        <w:tc>
          <w:tcPr>
            <w:tcW w:w="1120" w:type="dxa"/>
            <w:tcBorders>
              <w:top w:val="nil"/>
              <w:left w:val="nil"/>
              <w:bottom w:val="single" w:sz="4" w:space="0" w:color="auto"/>
              <w:right w:val="single" w:sz="4" w:space="0" w:color="auto"/>
            </w:tcBorders>
            <w:shd w:val="clear" w:color="auto" w:fill="auto"/>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Median</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0.5</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0.1</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1.0</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0.5</w:t>
            </w:r>
          </w:p>
        </w:tc>
      </w:tr>
      <w:tr w:rsidR="00B02F83" w:rsidRPr="00B02F83">
        <w:trPr>
          <w:trHeight w:val="225"/>
        </w:trPr>
        <w:tc>
          <w:tcPr>
            <w:tcW w:w="1660" w:type="dxa"/>
            <w:tcBorders>
              <w:top w:val="nil"/>
              <w:left w:val="nil"/>
              <w:bottom w:val="nil"/>
              <w:right w:val="nil"/>
            </w:tcBorders>
            <w:shd w:val="clear" w:color="auto" w:fill="auto"/>
            <w:noWrap/>
            <w:vAlign w:val="bottom"/>
          </w:tcPr>
          <w:p w:rsidR="00B02F83" w:rsidRPr="00B02F83" w:rsidRDefault="00B02F83" w:rsidP="00B02F8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02F83" w:rsidRPr="00B02F83" w:rsidRDefault="00B02F83" w:rsidP="00B02F8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02F83" w:rsidRPr="00B02F83" w:rsidRDefault="00B02F83" w:rsidP="00B02F8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02F83" w:rsidRPr="00B02F83" w:rsidRDefault="00B02F83" w:rsidP="00B02F8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02F83" w:rsidRPr="00B02F83" w:rsidRDefault="00B02F83" w:rsidP="00B02F8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02F83" w:rsidRPr="00B02F83" w:rsidRDefault="00B02F83" w:rsidP="00B02F83">
            <w:pPr>
              <w:rPr>
                <w:rFonts w:ascii="Calibri" w:hAnsi="Calibri" w:cs="Calibri"/>
                <w:color w:val="000000"/>
                <w:sz w:val="16"/>
                <w:szCs w:val="16"/>
                <w:lang w:eastAsia="en-AU"/>
              </w:rPr>
            </w:pPr>
          </w:p>
        </w:tc>
      </w:tr>
      <w:tr w:rsidR="00B02F83" w:rsidRPr="00B02F83">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tcPr>
          <w:p w:rsidR="00B02F83" w:rsidRPr="00B02F83" w:rsidRDefault="00B02F83" w:rsidP="00B02F83">
            <w:pPr>
              <w:rPr>
                <w:rFonts w:ascii="Calibri" w:hAnsi="Calibri" w:cs="Calibri"/>
                <w:color w:val="000000"/>
                <w:sz w:val="16"/>
                <w:szCs w:val="16"/>
                <w:lang w:eastAsia="en-AU"/>
              </w:rPr>
            </w:pPr>
            <w:r w:rsidRPr="00B02F83">
              <w:rPr>
                <w:rFonts w:ascii="Calibri" w:hAnsi="Calibri" w:cs="Calibri"/>
                <w:color w:val="000000"/>
                <w:sz w:val="16"/>
                <w:szCs w:val="16"/>
                <w:lang w:eastAsia="en-AU"/>
              </w:rPr>
              <w:t>Year</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2010-11</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2009-10</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2008-09</w:t>
            </w:r>
          </w:p>
        </w:tc>
      </w:tr>
      <w:tr w:rsidR="00FC1B3D" w:rsidRPr="00B02F83">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C1B3D" w:rsidRPr="00B02F83" w:rsidRDefault="00FC1B3D" w:rsidP="00B02F83">
            <w:pPr>
              <w:rPr>
                <w:rFonts w:ascii="Calibri" w:hAnsi="Calibri" w:cs="Calibri"/>
                <w:color w:val="000000"/>
                <w:sz w:val="16"/>
                <w:szCs w:val="16"/>
                <w:lang w:eastAsia="en-AU"/>
              </w:rPr>
            </w:pPr>
            <w:r w:rsidRPr="00CB6A7D">
              <w:rPr>
                <w:rFonts w:ascii="Calibri" w:hAnsi="Calibri" w:cs="Calibri"/>
                <w:color w:val="000000"/>
                <w:sz w:val="16"/>
                <w:szCs w:val="16"/>
                <w:lang w:eastAsia="en-AU"/>
              </w:rPr>
              <w:t>Percentage by which the conversion factor over or under estimates the weight of imports</w:t>
            </w:r>
          </w:p>
        </w:tc>
        <w:tc>
          <w:tcPr>
            <w:tcW w:w="1120" w:type="dxa"/>
            <w:tcBorders>
              <w:top w:val="nil"/>
              <w:left w:val="nil"/>
              <w:bottom w:val="single" w:sz="4" w:space="0" w:color="auto"/>
              <w:right w:val="single" w:sz="4" w:space="0" w:color="auto"/>
            </w:tcBorders>
            <w:shd w:val="clear" w:color="auto" w:fill="auto"/>
            <w:noWrap/>
            <w:vAlign w:val="center"/>
          </w:tcPr>
          <w:p w:rsidR="00FC1B3D" w:rsidRDefault="00FC1B3D">
            <w:pPr>
              <w:jc w:val="center"/>
              <w:rPr>
                <w:rFonts w:ascii="Calibri" w:hAnsi="Calibri" w:cs="Calibri"/>
                <w:color w:val="000000"/>
                <w:sz w:val="16"/>
                <w:szCs w:val="16"/>
              </w:rPr>
            </w:pPr>
            <w:r>
              <w:rPr>
                <w:rFonts w:ascii="Calibri" w:hAnsi="Calibri" w:cs="Calibri"/>
                <w:color w:val="000000"/>
                <w:sz w:val="16"/>
                <w:szCs w:val="16"/>
              </w:rPr>
              <w:t>0%</w:t>
            </w:r>
          </w:p>
        </w:tc>
        <w:tc>
          <w:tcPr>
            <w:tcW w:w="1120" w:type="dxa"/>
            <w:tcBorders>
              <w:top w:val="nil"/>
              <w:left w:val="nil"/>
              <w:bottom w:val="single" w:sz="4" w:space="0" w:color="auto"/>
              <w:right w:val="single" w:sz="4" w:space="0" w:color="auto"/>
            </w:tcBorders>
            <w:shd w:val="clear" w:color="auto" w:fill="auto"/>
            <w:noWrap/>
            <w:vAlign w:val="center"/>
          </w:tcPr>
          <w:p w:rsidR="00FC1B3D" w:rsidRDefault="00FC1B3D">
            <w:pPr>
              <w:jc w:val="center"/>
              <w:rPr>
                <w:rFonts w:ascii="Calibri" w:hAnsi="Calibri" w:cs="Calibri"/>
                <w:color w:val="000000"/>
                <w:sz w:val="16"/>
                <w:szCs w:val="16"/>
              </w:rPr>
            </w:pPr>
            <w:r>
              <w:rPr>
                <w:rFonts w:ascii="Calibri" w:hAnsi="Calibri" w:cs="Calibri"/>
                <w:color w:val="000000"/>
                <w:sz w:val="16"/>
                <w:szCs w:val="16"/>
              </w:rPr>
              <w:t>36%</w:t>
            </w:r>
          </w:p>
        </w:tc>
        <w:tc>
          <w:tcPr>
            <w:tcW w:w="1120" w:type="dxa"/>
            <w:tcBorders>
              <w:top w:val="nil"/>
              <w:left w:val="nil"/>
              <w:bottom w:val="single" w:sz="4" w:space="0" w:color="auto"/>
              <w:right w:val="single" w:sz="4" w:space="0" w:color="auto"/>
            </w:tcBorders>
            <w:shd w:val="clear" w:color="auto" w:fill="auto"/>
            <w:noWrap/>
            <w:vAlign w:val="center"/>
          </w:tcPr>
          <w:p w:rsidR="00FC1B3D" w:rsidRDefault="00FC1B3D">
            <w:pPr>
              <w:jc w:val="center"/>
              <w:rPr>
                <w:rFonts w:ascii="Calibri" w:hAnsi="Calibri" w:cs="Calibri"/>
                <w:color w:val="000000"/>
                <w:sz w:val="16"/>
                <w:szCs w:val="16"/>
              </w:rPr>
            </w:pPr>
            <w:r>
              <w:rPr>
                <w:rFonts w:ascii="Calibri" w:hAnsi="Calibri" w:cs="Calibri"/>
                <w:color w:val="000000"/>
                <w:sz w:val="16"/>
                <w:szCs w:val="16"/>
              </w:rPr>
              <w:t>55%</w:t>
            </w:r>
          </w:p>
        </w:tc>
      </w:tr>
    </w:tbl>
    <w:p w:rsidR="00B02F83" w:rsidRDefault="00B02F83" w:rsidP="005D1179">
      <w:pPr>
        <w:jc w:val="both"/>
        <w:rPr>
          <w:szCs w:val="22"/>
        </w:rPr>
      </w:pPr>
    </w:p>
    <w:p w:rsidR="001A78F2" w:rsidRDefault="00693314">
      <w:pPr>
        <w:rPr>
          <w:szCs w:val="22"/>
        </w:rPr>
      </w:pPr>
      <w:r w:rsidRPr="005A3097">
        <w:rPr>
          <w:b/>
          <w:szCs w:val="22"/>
        </w:rPr>
        <w:t>Distribution:</w:t>
      </w:r>
      <w:r>
        <w:rPr>
          <w:b/>
          <w:szCs w:val="22"/>
        </w:rPr>
        <w:t xml:space="preserve"> </w:t>
      </w:r>
      <w:r>
        <w:rPr>
          <w:szCs w:val="22"/>
        </w:rPr>
        <w:t>Narrow distribution with majority between 0 – 1.5 kg</w:t>
      </w:r>
    </w:p>
    <w:p w:rsidR="001A78F2" w:rsidRDefault="00693314">
      <w:pPr>
        <w:rPr>
          <w:szCs w:val="22"/>
        </w:rPr>
      </w:pPr>
      <w:r>
        <w:rPr>
          <w:b/>
          <w:szCs w:val="22"/>
        </w:rPr>
        <w:t xml:space="preserve">Proposed conversion factor: </w:t>
      </w:r>
      <w:r>
        <w:rPr>
          <w:szCs w:val="22"/>
        </w:rPr>
        <w:t>0.3</w:t>
      </w:r>
      <w:r w:rsidRPr="007475CE">
        <w:rPr>
          <w:szCs w:val="22"/>
        </w:rPr>
        <w:t xml:space="preserve"> </w:t>
      </w:r>
      <w:r>
        <w:rPr>
          <w:szCs w:val="22"/>
        </w:rPr>
        <w:t>kg.</w:t>
      </w:r>
    </w:p>
    <w:p w:rsidR="001A78F2" w:rsidRDefault="00693314">
      <w:pPr>
        <w:rPr>
          <w:szCs w:val="22"/>
        </w:rPr>
      </w:pPr>
      <w:r>
        <w:rPr>
          <w:b/>
          <w:szCs w:val="22"/>
        </w:rPr>
        <w:t>Proposed confidence interval</w:t>
      </w:r>
      <w:r w:rsidRPr="00B02F83">
        <w:rPr>
          <w:szCs w:val="22"/>
        </w:rPr>
        <w:t xml:space="preserve">: </w:t>
      </w:r>
      <w:r>
        <w:rPr>
          <w:szCs w:val="22"/>
        </w:rPr>
        <w:t xml:space="preserve"> &gt; 0.1 kg, </w:t>
      </w:r>
      <w:r w:rsidR="00CF23D0">
        <w:rPr>
          <w:szCs w:val="22"/>
        </w:rPr>
        <w:t>&lt;</w:t>
      </w:r>
      <w:r>
        <w:rPr>
          <w:szCs w:val="22"/>
        </w:rPr>
        <w:t>1</w:t>
      </w:r>
      <w:r w:rsidR="007354B2">
        <w:rPr>
          <w:szCs w:val="22"/>
        </w:rPr>
        <w:t>.0</w:t>
      </w:r>
      <w:r>
        <w:rPr>
          <w:szCs w:val="22"/>
        </w:rPr>
        <w:t xml:space="preserve"> kg to represent </w:t>
      </w:r>
      <w:r w:rsidR="00C62346">
        <w:rPr>
          <w:szCs w:val="22"/>
        </w:rPr>
        <w:t>variation</w:t>
      </w:r>
    </w:p>
    <w:p w:rsidR="001A78F2" w:rsidRDefault="00C62346">
      <w:pPr>
        <w:rPr>
          <w:szCs w:val="22"/>
        </w:rPr>
      </w:pPr>
      <w:r>
        <w:rPr>
          <w:b/>
          <w:szCs w:val="22"/>
        </w:rPr>
        <w:t xml:space="preserve">Variation over time: </w:t>
      </w:r>
      <w:r w:rsidR="00693314">
        <w:rPr>
          <w:szCs w:val="22"/>
        </w:rPr>
        <w:t>High</w:t>
      </w:r>
    </w:p>
    <w:p w:rsidR="00EC1CB8" w:rsidRDefault="00EC1CB8">
      <w:pPr>
        <w:rPr>
          <w:szCs w:val="22"/>
        </w:rPr>
      </w:pPr>
      <w:r>
        <w:rPr>
          <w:szCs w:val="22"/>
        </w:rPr>
        <w:br w:type="page"/>
      </w:r>
    </w:p>
    <w:p w:rsidR="000C28BD" w:rsidRPr="00B02F83" w:rsidRDefault="000C28BD" w:rsidP="000C28BD">
      <w:pPr>
        <w:rPr>
          <w:rFonts w:ascii="Arial" w:hAnsi="Arial" w:cs="Arial"/>
          <w:b/>
          <w:bCs/>
          <w:color w:val="000000"/>
          <w:szCs w:val="22"/>
          <w:lang w:eastAsia="en-AU"/>
        </w:rPr>
      </w:pPr>
      <w:r w:rsidRPr="00B02F83">
        <w:rPr>
          <w:rFonts w:ascii="Arial" w:hAnsi="Arial" w:cs="Arial"/>
          <w:b/>
          <w:bCs/>
          <w:color w:val="000000"/>
          <w:szCs w:val="22"/>
          <w:lang w:eastAsia="en-AU"/>
        </w:rPr>
        <w:t>SC07 8471.60.00 95 - Scanners</w:t>
      </w:r>
    </w:p>
    <w:p w:rsidR="000C28BD" w:rsidRDefault="000C28BD">
      <w:pPr>
        <w:rPr>
          <w:szCs w:val="22"/>
        </w:rPr>
      </w:pPr>
    </w:p>
    <w:p w:rsidR="004360E0" w:rsidRDefault="002652C5" w:rsidP="004360E0">
      <w:pPr>
        <w:pStyle w:val="Caption"/>
        <w:keepNext/>
      </w:pPr>
      <w:r>
        <w:t>Figure 5-2</w:t>
      </w:r>
      <w:r w:rsidR="007354B2">
        <w:t>5</w:t>
      </w:r>
      <w:r>
        <w:t xml:space="preserve">  </w:t>
      </w:r>
      <w:r w:rsidR="00AC1355">
        <w:t>HTISC frequency distribution in CF year</w:t>
      </w:r>
    </w:p>
    <w:p w:rsidR="005D62F3" w:rsidRDefault="005D62F3" w:rsidP="005D62F3">
      <w:pPr>
        <w:rPr>
          <w:lang w:val="en-GB"/>
        </w:rPr>
      </w:pPr>
      <w:r w:rsidRPr="005D62F3">
        <w:rPr>
          <w:noProof/>
          <w:lang w:eastAsia="en-AU"/>
        </w:rPr>
        <w:drawing>
          <wp:inline distT="0" distB="0" distL="0" distR="0">
            <wp:extent cx="4889500" cy="2984500"/>
            <wp:effectExtent l="19050" t="0" r="25400" b="6350"/>
            <wp:docPr id="79"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5D62F3" w:rsidRDefault="005D62F3" w:rsidP="005D62F3">
      <w:pPr>
        <w:rPr>
          <w:lang w:val="en-GB"/>
        </w:rPr>
      </w:pPr>
    </w:p>
    <w:p w:rsidR="005D62F3" w:rsidRDefault="005D62F3" w:rsidP="005D62F3">
      <w:pPr>
        <w:rPr>
          <w:lang w:val="en-GB"/>
        </w:rPr>
      </w:pPr>
    </w:p>
    <w:p w:rsidR="00FC1B3D" w:rsidRDefault="00FC1B3D" w:rsidP="005D1179">
      <w:pPr>
        <w:jc w:val="both"/>
        <w:rPr>
          <w:szCs w:val="22"/>
        </w:rPr>
      </w:pPr>
    </w:p>
    <w:p w:rsidR="00FC1B3D" w:rsidRDefault="00FC1B3D" w:rsidP="005D1179">
      <w:pPr>
        <w:jc w:val="both"/>
        <w:rPr>
          <w:szCs w:val="22"/>
        </w:rPr>
      </w:pPr>
    </w:p>
    <w:p w:rsidR="00FC1B3D" w:rsidRDefault="00FC1B3D" w:rsidP="005D1179">
      <w:pPr>
        <w:jc w:val="both"/>
        <w:rPr>
          <w:szCs w:val="22"/>
        </w:rPr>
      </w:pPr>
    </w:p>
    <w:p w:rsidR="00FC1B3D" w:rsidRPr="00D73340" w:rsidRDefault="00207129" w:rsidP="00D73340">
      <w:pPr>
        <w:pStyle w:val="Caption"/>
      </w:pPr>
      <w:r>
        <w:t xml:space="preserve">Table 5-18 </w:t>
      </w:r>
      <w:r w:rsidR="00D73340">
        <w:t>Conversion factor statistics</w:t>
      </w:r>
    </w:p>
    <w:tbl>
      <w:tblPr>
        <w:tblW w:w="7260" w:type="dxa"/>
        <w:tblInd w:w="93" w:type="dxa"/>
        <w:tblLook w:val="04A0"/>
      </w:tblPr>
      <w:tblGrid>
        <w:gridCol w:w="1660"/>
        <w:gridCol w:w="1120"/>
        <w:gridCol w:w="1120"/>
        <w:gridCol w:w="1120"/>
        <w:gridCol w:w="1120"/>
        <w:gridCol w:w="1120"/>
      </w:tblGrid>
      <w:tr w:rsidR="00B02F83" w:rsidRPr="00B02F83">
        <w:trPr>
          <w:trHeight w:val="450"/>
        </w:trPr>
        <w:tc>
          <w:tcPr>
            <w:tcW w:w="1660" w:type="dxa"/>
            <w:tcBorders>
              <w:top w:val="single" w:sz="4" w:space="0" w:color="auto"/>
              <w:left w:val="single" w:sz="4" w:space="0" w:color="auto"/>
              <w:bottom w:val="single" w:sz="4" w:space="0" w:color="auto"/>
              <w:right w:val="single" w:sz="4" w:space="0" w:color="auto"/>
            </w:tcBorders>
            <w:shd w:val="clear" w:color="000000" w:fill="D8D8D8"/>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CF year</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No. of ABS imports</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 ABS imports included</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Min weight</w:t>
            </w:r>
            <w:r w:rsidRPr="00B02F83">
              <w:rPr>
                <w:rFonts w:ascii="Calibri" w:hAnsi="Calibri" w:cs="Calibri"/>
                <w:color w:val="000000"/>
                <w:sz w:val="16"/>
                <w:szCs w:val="16"/>
                <w:lang w:eastAsia="en-AU"/>
              </w:rPr>
              <w:br/>
              <w:t>(kg)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Max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Standard deviation</w:t>
            </w:r>
          </w:p>
        </w:tc>
      </w:tr>
      <w:tr w:rsidR="00B02F83" w:rsidRPr="00B02F83">
        <w:trPr>
          <w:trHeight w:val="225"/>
        </w:trPr>
        <w:tc>
          <w:tcPr>
            <w:tcW w:w="1660" w:type="dxa"/>
            <w:tcBorders>
              <w:top w:val="nil"/>
              <w:left w:val="single" w:sz="4" w:space="0" w:color="auto"/>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2010-11</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266,499</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20%</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665B26">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0.8</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151.8</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0.1</w:t>
            </w:r>
          </w:p>
        </w:tc>
      </w:tr>
      <w:tr w:rsidR="00B02F83" w:rsidRPr="00B02F83">
        <w:trPr>
          <w:trHeight w:val="225"/>
        </w:trPr>
        <w:tc>
          <w:tcPr>
            <w:tcW w:w="1660" w:type="dxa"/>
            <w:tcBorders>
              <w:top w:val="nil"/>
              <w:left w:val="nil"/>
              <w:bottom w:val="nil"/>
              <w:right w:val="nil"/>
            </w:tcBorders>
            <w:shd w:val="clear" w:color="auto" w:fill="auto"/>
            <w:noWrap/>
            <w:vAlign w:val="bottom"/>
          </w:tcPr>
          <w:p w:rsidR="00B02F83" w:rsidRPr="00B02F83" w:rsidRDefault="00B02F83" w:rsidP="00B02F8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02F83" w:rsidRPr="00B02F83" w:rsidRDefault="00B02F83" w:rsidP="00B02F8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02F83" w:rsidRPr="00B02F83" w:rsidRDefault="00B02F83" w:rsidP="00B02F8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02F83" w:rsidRPr="00B02F83" w:rsidRDefault="00B02F83" w:rsidP="00B02F8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02F83" w:rsidRPr="00B02F83" w:rsidRDefault="00B02F83" w:rsidP="00B02F8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02F83" w:rsidRPr="00B02F83" w:rsidRDefault="00B02F83" w:rsidP="00B02F83">
            <w:pPr>
              <w:rPr>
                <w:rFonts w:ascii="Calibri" w:hAnsi="Calibri" w:cs="Calibri"/>
                <w:color w:val="000000"/>
                <w:sz w:val="16"/>
                <w:szCs w:val="16"/>
                <w:lang w:eastAsia="en-AU"/>
              </w:rPr>
            </w:pPr>
          </w:p>
        </w:tc>
      </w:tr>
      <w:tr w:rsidR="00B02F83" w:rsidRPr="00B02F83">
        <w:trPr>
          <w:trHeight w:val="450"/>
        </w:trPr>
        <w:tc>
          <w:tcPr>
            <w:tcW w:w="1660" w:type="dxa"/>
            <w:tcBorders>
              <w:top w:val="single" w:sz="4" w:space="0" w:color="auto"/>
              <w:left w:val="single" w:sz="4" w:space="0" w:color="auto"/>
              <w:bottom w:val="nil"/>
              <w:right w:val="single" w:sz="4" w:space="0" w:color="auto"/>
            </w:tcBorders>
            <w:shd w:val="clear" w:color="000000" w:fill="D8D8D8"/>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Method</w:t>
            </w:r>
          </w:p>
        </w:tc>
        <w:tc>
          <w:tcPr>
            <w:tcW w:w="1120" w:type="dxa"/>
            <w:tcBorders>
              <w:top w:val="single" w:sz="4" w:space="0" w:color="auto"/>
              <w:left w:val="nil"/>
              <w:bottom w:val="nil"/>
              <w:right w:val="single" w:sz="4" w:space="0" w:color="auto"/>
            </w:tcBorders>
            <w:shd w:val="clear" w:color="000000" w:fill="D8D8D8"/>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Measure of average</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Average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Lower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Upper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Confidence interval ± (kg)</w:t>
            </w:r>
          </w:p>
        </w:tc>
      </w:tr>
      <w:tr w:rsidR="00B02F83" w:rsidRPr="00B02F83">
        <w:trPr>
          <w:trHeight w:val="48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Approximation to the normal distribution</w:t>
            </w:r>
          </w:p>
        </w:tc>
        <w:tc>
          <w:tcPr>
            <w:tcW w:w="1120" w:type="dxa"/>
            <w:tcBorders>
              <w:top w:val="single" w:sz="4" w:space="0" w:color="auto"/>
              <w:left w:val="nil"/>
              <w:bottom w:val="single" w:sz="4" w:space="0" w:color="auto"/>
              <w:right w:val="single" w:sz="4" w:space="0" w:color="auto"/>
            </w:tcBorders>
            <w:shd w:val="clear" w:color="auto" w:fill="auto"/>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Mean</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3.5</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3.2</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3.7</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0.2</w:t>
            </w:r>
          </w:p>
        </w:tc>
      </w:tr>
      <w:tr w:rsidR="00B02F83" w:rsidRPr="00B02F83">
        <w:trPr>
          <w:trHeight w:val="480"/>
        </w:trPr>
        <w:tc>
          <w:tcPr>
            <w:tcW w:w="1660" w:type="dxa"/>
            <w:tcBorders>
              <w:top w:val="nil"/>
              <w:left w:val="single" w:sz="4" w:space="0" w:color="auto"/>
              <w:bottom w:val="single" w:sz="4" w:space="0" w:color="auto"/>
              <w:right w:val="single" w:sz="4" w:space="0" w:color="auto"/>
            </w:tcBorders>
            <w:shd w:val="clear" w:color="auto" w:fill="auto"/>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Use of percentiles</w:t>
            </w:r>
          </w:p>
        </w:tc>
        <w:tc>
          <w:tcPr>
            <w:tcW w:w="1120" w:type="dxa"/>
            <w:tcBorders>
              <w:top w:val="nil"/>
              <w:left w:val="nil"/>
              <w:bottom w:val="single" w:sz="4" w:space="0" w:color="auto"/>
              <w:right w:val="single" w:sz="4" w:space="0" w:color="auto"/>
            </w:tcBorders>
            <w:shd w:val="clear" w:color="auto" w:fill="auto"/>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Median</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3.8</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1.8</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25.7</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21.9</w:t>
            </w:r>
          </w:p>
        </w:tc>
      </w:tr>
      <w:tr w:rsidR="00B02F83" w:rsidRPr="00B02F83">
        <w:trPr>
          <w:trHeight w:val="225"/>
        </w:trPr>
        <w:tc>
          <w:tcPr>
            <w:tcW w:w="1660" w:type="dxa"/>
            <w:tcBorders>
              <w:top w:val="nil"/>
              <w:left w:val="nil"/>
              <w:bottom w:val="nil"/>
              <w:right w:val="nil"/>
            </w:tcBorders>
            <w:shd w:val="clear" w:color="auto" w:fill="auto"/>
            <w:noWrap/>
            <w:vAlign w:val="bottom"/>
          </w:tcPr>
          <w:p w:rsidR="00B02F83" w:rsidRPr="00B02F83" w:rsidRDefault="00B02F83" w:rsidP="00B02F8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02F83" w:rsidRPr="00B02F83" w:rsidRDefault="00B02F83" w:rsidP="00B02F8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02F83" w:rsidRPr="00B02F83" w:rsidRDefault="00B02F83" w:rsidP="00B02F8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02F83" w:rsidRPr="00B02F83" w:rsidRDefault="00B02F83" w:rsidP="00B02F8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02F83" w:rsidRPr="00B02F83" w:rsidRDefault="00B02F83" w:rsidP="00B02F8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02F83" w:rsidRPr="00B02F83" w:rsidRDefault="00B02F83" w:rsidP="00B02F83">
            <w:pPr>
              <w:rPr>
                <w:rFonts w:ascii="Calibri" w:hAnsi="Calibri" w:cs="Calibri"/>
                <w:color w:val="000000"/>
                <w:sz w:val="16"/>
                <w:szCs w:val="16"/>
                <w:lang w:eastAsia="en-AU"/>
              </w:rPr>
            </w:pPr>
          </w:p>
        </w:tc>
      </w:tr>
      <w:tr w:rsidR="00B02F83" w:rsidRPr="00B02F83">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tcPr>
          <w:p w:rsidR="00B02F83" w:rsidRPr="00B02F83" w:rsidRDefault="00B02F83" w:rsidP="00B02F83">
            <w:pPr>
              <w:rPr>
                <w:rFonts w:ascii="Calibri" w:hAnsi="Calibri" w:cs="Calibri"/>
                <w:color w:val="000000"/>
                <w:sz w:val="16"/>
                <w:szCs w:val="16"/>
                <w:lang w:eastAsia="en-AU"/>
              </w:rPr>
            </w:pPr>
            <w:r w:rsidRPr="00B02F83">
              <w:rPr>
                <w:rFonts w:ascii="Calibri" w:hAnsi="Calibri" w:cs="Calibri"/>
                <w:color w:val="000000"/>
                <w:sz w:val="16"/>
                <w:szCs w:val="16"/>
                <w:lang w:eastAsia="en-AU"/>
              </w:rPr>
              <w:t>Year</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2010-11</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2009-10</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2008-09</w:t>
            </w:r>
          </w:p>
        </w:tc>
      </w:tr>
      <w:tr w:rsidR="00FC1B3D" w:rsidRPr="00B02F83">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C1B3D" w:rsidRPr="00B02F83" w:rsidRDefault="00FC1B3D" w:rsidP="00B02F83">
            <w:pPr>
              <w:rPr>
                <w:rFonts w:ascii="Calibri" w:hAnsi="Calibri" w:cs="Calibri"/>
                <w:color w:val="000000"/>
                <w:sz w:val="16"/>
                <w:szCs w:val="16"/>
                <w:lang w:eastAsia="en-AU"/>
              </w:rPr>
            </w:pPr>
            <w:r w:rsidRPr="00CB6A7D">
              <w:rPr>
                <w:rFonts w:ascii="Calibri" w:hAnsi="Calibri" w:cs="Calibri"/>
                <w:color w:val="000000"/>
                <w:sz w:val="16"/>
                <w:szCs w:val="16"/>
                <w:lang w:eastAsia="en-AU"/>
              </w:rPr>
              <w:t>Percentage by which the conversion factor over or under estimates the weight of imports</w:t>
            </w:r>
          </w:p>
        </w:tc>
        <w:tc>
          <w:tcPr>
            <w:tcW w:w="1120" w:type="dxa"/>
            <w:tcBorders>
              <w:top w:val="nil"/>
              <w:left w:val="nil"/>
              <w:bottom w:val="single" w:sz="4" w:space="0" w:color="auto"/>
              <w:right w:val="single" w:sz="4" w:space="0" w:color="auto"/>
            </w:tcBorders>
            <w:shd w:val="clear" w:color="auto" w:fill="auto"/>
            <w:noWrap/>
            <w:vAlign w:val="center"/>
          </w:tcPr>
          <w:p w:rsidR="00FC1B3D" w:rsidRDefault="00FC1B3D">
            <w:pPr>
              <w:jc w:val="center"/>
              <w:rPr>
                <w:rFonts w:ascii="Calibri" w:hAnsi="Calibri" w:cs="Calibri"/>
                <w:color w:val="000000"/>
                <w:sz w:val="16"/>
                <w:szCs w:val="16"/>
              </w:rPr>
            </w:pPr>
            <w:r>
              <w:rPr>
                <w:rFonts w:ascii="Calibri" w:hAnsi="Calibri" w:cs="Calibri"/>
                <w:color w:val="000000"/>
                <w:sz w:val="16"/>
                <w:szCs w:val="16"/>
              </w:rPr>
              <w:t>0%</w:t>
            </w:r>
          </w:p>
        </w:tc>
        <w:tc>
          <w:tcPr>
            <w:tcW w:w="1120" w:type="dxa"/>
            <w:tcBorders>
              <w:top w:val="nil"/>
              <w:left w:val="nil"/>
              <w:bottom w:val="single" w:sz="4" w:space="0" w:color="auto"/>
              <w:right w:val="single" w:sz="4" w:space="0" w:color="auto"/>
            </w:tcBorders>
            <w:shd w:val="clear" w:color="auto" w:fill="auto"/>
            <w:noWrap/>
            <w:vAlign w:val="center"/>
          </w:tcPr>
          <w:p w:rsidR="00FC1B3D" w:rsidRDefault="00FC1B3D">
            <w:pPr>
              <w:jc w:val="center"/>
              <w:rPr>
                <w:rFonts w:ascii="Calibri" w:hAnsi="Calibri" w:cs="Calibri"/>
                <w:color w:val="000000"/>
                <w:sz w:val="16"/>
                <w:szCs w:val="16"/>
              </w:rPr>
            </w:pPr>
            <w:r>
              <w:rPr>
                <w:rFonts w:ascii="Calibri" w:hAnsi="Calibri" w:cs="Calibri"/>
                <w:color w:val="000000"/>
                <w:sz w:val="16"/>
                <w:szCs w:val="16"/>
              </w:rPr>
              <w:t>-17%</w:t>
            </w:r>
          </w:p>
        </w:tc>
        <w:tc>
          <w:tcPr>
            <w:tcW w:w="1120" w:type="dxa"/>
            <w:tcBorders>
              <w:top w:val="nil"/>
              <w:left w:val="nil"/>
              <w:bottom w:val="single" w:sz="4" w:space="0" w:color="auto"/>
              <w:right w:val="single" w:sz="4" w:space="0" w:color="auto"/>
            </w:tcBorders>
            <w:shd w:val="clear" w:color="auto" w:fill="auto"/>
            <w:noWrap/>
            <w:vAlign w:val="center"/>
          </w:tcPr>
          <w:p w:rsidR="00FC1B3D" w:rsidRDefault="00FC1B3D">
            <w:pPr>
              <w:jc w:val="center"/>
              <w:rPr>
                <w:rFonts w:ascii="Calibri" w:hAnsi="Calibri" w:cs="Calibri"/>
                <w:color w:val="000000"/>
                <w:sz w:val="16"/>
                <w:szCs w:val="16"/>
              </w:rPr>
            </w:pPr>
            <w:r>
              <w:rPr>
                <w:rFonts w:ascii="Calibri" w:hAnsi="Calibri" w:cs="Calibri"/>
                <w:color w:val="000000"/>
                <w:sz w:val="16"/>
                <w:szCs w:val="16"/>
              </w:rPr>
              <w:t>-21%</w:t>
            </w:r>
          </w:p>
        </w:tc>
      </w:tr>
    </w:tbl>
    <w:p w:rsidR="001A78F2" w:rsidRDefault="001A78F2">
      <w:pPr>
        <w:rPr>
          <w:szCs w:val="22"/>
        </w:rPr>
      </w:pPr>
    </w:p>
    <w:p w:rsidR="001A78F2" w:rsidRDefault="00BE08B7">
      <w:pPr>
        <w:rPr>
          <w:szCs w:val="22"/>
        </w:rPr>
      </w:pPr>
      <w:r w:rsidRPr="005A3097">
        <w:rPr>
          <w:b/>
          <w:szCs w:val="22"/>
        </w:rPr>
        <w:t>Distribution:</w:t>
      </w:r>
      <w:r>
        <w:rPr>
          <w:b/>
          <w:szCs w:val="22"/>
        </w:rPr>
        <w:t xml:space="preserve"> </w:t>
      </w:r>
      <w:r>
        <w:rPr>
          <w:szCs w:val="22"/>
        </w:rPr>
        <w:t>All imports between 0-10 kg</w:t>
      </w:r>
    </w:p>
    <w:p w:rsidR="001A78F2" w:rsidRDefault="00BE08B7">
      <w:pPr>
        <w:rPr>
          <w:szCs w:val="22"/>
        </w:rPr>
      </w:pPr>
      <w:r>
        <w:rPr>
          <w:b/>
          <w:szCs w:val="22"/>
        </w:rPr>
        <w:t xml:space="preserve">Proposed conversion factor: </w:t>
      </w:r>
      <w:r>
        <w:rPr>
          <w:szCs w:val="22"/>
        </w:rPr>
        <w:t>3.5</w:t>
      </w:r>
      <w:r w:rsidRPr="007475CE">
        <w:rPr>
          <w:szCs w:val="22"/>
        </w:rPr>
        <w:t xml:space="preserve"> </w:t>
      </w:r>
      <w:r>
        <w:rPr>
          <w:szCs w:val="22"/>
        </w:rPr>
        <w:t>kg.</w:t>
      </w:r>
    </w:p>
    <w:p w:rsidR="001A78F2" w:rsidRDefault="00BE08B7">
      <w:pPr>
        <w:rPr>
          <w:szCs w:val="22"/>
        </w:rPr>
      </w:pPr>
      <w:r>
        <w:rPr>
          <w:b/>
          <w:szCs w:val="22"/>
        </w:rPr>
        <w:t>Proposed confidence interval</w:t>
      </w:r>
      <w:r w:rsidRPr="00B02F83">
        <w:rPr>
          <w:szCs w:val="22"/>
        </w:rPr>
        <w:t xml:space="preserve">: </w:t>
      </w:r>
      <w:r>
        <w:rPr>
          <w:szCs w:val="22"/>
        </w:rPr>
        <w:t xml:space="preserve"> </w:t>
      </w:r>
      <w:r w:rsidR="004C4625">
        <w:rPr>
          <w:szCs w:val="22"/>
        </w:rPr>
        <w:t xml:space="preserve">&gt; 1.8 kg, </w:t>
      </w:r>
      <w:r w:rsidR="00CF23D0">
        <w:rPr>
          <w:szCs w:val="22"/>
        </w:rPr>
        <w:t>&lt;</w:t>
      </w:r>
      <w:r w:rsidR="004C4625">
        <w:rPr>
          <w:szCs w:val="22"/>
        </w:rPr>
        <w:t xml:space="preserve">25.7 kg to represent </w:t>
      </w:r>
      <w:r w:rsidR="00C62346">
        <w:rPr>
          <w:szCs w:val="22"/>
        </w:rPr>
        <w:t>variation</w:t>
      </w:r>
    </w:p>
    <w:p w:rsidR="001A78F2" w:rsidRDefault="00C62346">
      <w:pPr>
        <w:rPr>
          <w:szCs w:val="22"/>
        </w:rPr>
      </w:pPr>
      <w:r>
        <w:rPr>
          <w:b/>
          <w:szCs w:val="22"/>
        </w:rPr>
        <w:t xml:space="preserve">Variation over time: </w:t>
      </w:r>
      <w:r w:rsidR="00112A79">
        <w:rPr>
          <w:szCs w:val="22"/>
        </w:rPr>
        <w:t>High</w:t>
      </w:r>
    </w:p>
    <w:p w:rsidR="001A78F2" w:rsidRDefault="001A78F2">
      <w:pPr>
        <w:rPr>
          <w:szCs w:val="22"/>
        </w:rPr>
      </w:pPr>
    </w:p>
    <w:p w:rsidR="000C28BD" w:rsidRDefault="000C28BD">
      <w:pPr>
        <w:rPr>
          <w:szCs w:val="22"/>
        </w:rPr>
      </w:pPr>
    </w:p>
    <w:p w:rsidR="0031529B" w:rsidRDefault="0031529B">
      <w:pPr>
        <w:rPr>
          <w:rFonts w:ascii="Arial" w:hAnsi="Arial" w:cs="Arial"/>
          <w:b/>
          <w:bCs/>
          <w:color w:val="000000"/>
          <w:szCs w:val="22"/>
          <w:lang w:eastAsia="en-AU"/>
        </w:rPr>
      </w:pPr>
      <w:r>
        <w:rPr>
          <w:rFonts w:ascii="Arial" w:hAnsi="Arial" w:cs="Arial"/>
          <w:b/>
          <w:bCs/>
          <w:color w:val="000000"/>
          <w:szCs w:val="22"/>
          <w:lang w:eastAsia="en-AU"/>
        </w:rPr>
        <w:br w:type="page"/>
      </w:r>
    </w:p>
    <w:p w:rsidR="00FC1B3D" w:rsidRDefault="000C28BD">
      <w:pPr>
        <w:rPr>
          <w:rFonts w:ascii="Arial" w:hAnsi="Arial" w:cs="Arial"/>
          <w:b/>
          <w:bCs/>
          <w:color w:val="000000"/>
          <w:szCs w:val="22"/>
          <w:lang w:eastAsia="en-AU"/>
        </w:rPr>
      </w:pPr>
      <w:r w:rsidRPr="00B02F83">
        <w:rPr>
          <w:rFonts w:ascii="Arial" w:hAnsi="Arial" w:cs="Arial"/>
          <w:b/>
          <w:bCs/>
          <w:color w:val="000000"/>
          <w:szCs w:val="22"/>
          <w:lang w:eastAsia="en-AU"/>
        </w:rPr>
        <w:t xml:space="preserve">SC07 8471.60.00 98 </w:t>
      </w:r>
      <w:r w:rsidR="00FC1B3D">
        <w:rPr>
          <w:rFonts w:ascii="Arial" w:hAnsi="Arial" w:cs="Arial"/>
          <w:b/>
          <w:bCs/>
          <w:color w:val="000000"/>
          <w:szCs w:val="22"/>
          <w:lang w:eastAsia="en-AU"/>
        </w:rPr>
        <w:t>–</w:t>
      </w:r>
      <w:r w:rsidRPr="00B02F83">
        <w:rPr>
          <w:rFonts w:ascii="Arial" w:hAnsi="Arial" w:cs="Arial"/>
          <w:b/>
          <w:bCs/>
          <w:color w:val="000000"/>
          <w:szCs w:val="22"/>
          <w:lang w:eastAsia="en-AU"/>
        </w:rPr>
        <w:t xml:space="preserve"> other</w:t>
      </w:r>
    </w:p>
    <w:p w:rsidR="00FC1B3D" w:rsidRDefault="00FC1B3D">
      <w:pPr>
        <w:rPr>
          <w:rFonts w:ascii="Arial" w:hAnsi="Arial" w:cs="Arial"/>
          <w:b/>
          <w:bCs/>
          <w:color w:val="000000"/>
          <w:szCs w:val="22"/>
          <w:lang w:eastAsia="en-AU"/>
        </w:rPr>
      </w:pPr>
    </w:p>
    <w:p w:rsidR="00FC1B3D" w:rsidRPr="004360E0" w:rsidRDefault="007354B2" w:rsidP="004360E0">
      <w:pPr>
        <w:pStyle w:val="Caption"/>
        <w:keepNext/>
      </w:pPr>
      <w:r>
        <w:t>Figure 5-26</w:t>
      </w:r>
      <w:r w:rsidR="002652C5">
        <w:t xml:space="preserve">  </w:t>
      </w:r>
      <w:r w:rsidR="00AC1355">
        <w:t>HTISC frequency distribution in CF year</w:t>
      </w:r>
    </w:p>
    <w:p w:rsidR="00FC1B3D" w:rsidRDefault="00FC1B3D">
      <w:pPr>
        <w:rPr>
          <w:rFonts w:ascii="Arial" w:hAnsi="Arial" w:cs="Arial"/>
          <w:b/>
          <w:bCs/>
          <w:color w:val="000000"/>
          <w:szCs w:val="22"/>
          <w:lang w:eastAsia="en-AU"/>
        </w:rPr>
      </w:pPr>
      <w:r w:rsidRPr="00FC1B3D">
        <w:rPr>
          <w:rFonts w:ascii="Arial" w:hAnsi="Arial" w:cs="Arial"/>
          <w:b/>
          <w:bCs/>
          <w:noProof/>
          <w:color w:val="000000"/>
          <w:szCs w:val="22"/>
          <w:lang w:eastAsia="en-AU"/>
        </w:rPr>
        <w:drawing>
          <wp:inline distT="0" distB="0" distL="0" distR="0">
            <wp:extent cx="4889500" cy="2984500"/>
            <wp:effectExtent l="19050" t="0" r="25400" b="6350"/>
            <wp:docPr id="4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FC1B3D" w:rsidRDefault="00FC1B3D">
      <w:pPr>
        <w:rPr>
          <w:szCs w:val="22"/>
        </w:rPr>
      </w:pPr>
    </w:p>
    <w:p w:rsidR="00D73340" w:rsidRDefault="00D73340" w:rsidP="00D73340">
      <w:pPr>
        <w:pStyle w:val="Caption"/>
      </w:pPr>
    </w:p>
    <w:p w:rsidR="00B02F83" w:rsidRPr="00D73340" w:rsidRDefault="00207129" w:rsidP="00D73340">
      <w:pPr>
        <w:pStyle w:val="Caption"/>
      </w:pPr>
      <w:r>
        <w:t xml:space="preserve">Table 5-19 </w:t>
      </w:r>
      <w:r w:rsidR="00D73340">
        <w:t>Conversion factor statistics</w:t>
      </w:r>
    </w:p>
    <w:tbl>
      <w:tblPr>
        <w:tblW w:w="7260" w:type="dxa"/>
        <w:tblInd w:w="93" w:type="dxa"/>
        <w:tblLook w:val="04A0"/>
      </w:tblPr>
      <w:tblGrid>
        <w:gridCol w:w="1660"/>
        <w:gridCol w:w="1120"/>
        <w:gridCol w:w="1120"/>
        <w:gridCol w:w="1120"/>
        <w:gridCol w:w="1120"/>
        <w:gridCol w:w="1120"/>
      </w:tblGrid>
      <w:tr w:rsidR="00B02F83" w:rsidRPr="00B02F83">
        <w:trPr>
          <w:trHeight w:val="450"/>
        </w:trPr>
        <w:tc>
          <w:tcPr>
            <w:tcW w:w="1660" w:type="dxa"/>
            <w:tcBorders>
              <w:top w:val="single" w:sz="4" w:space="0" w:color="auto"/>
              <w:left w:val="single" w:sz="4" w:space="0" w:color="auto"/>
              <w:bottom w:val="single" w:sz="4" w:space="0" w:color="auto"/>
              <w:right w:val="single" w:sz="4" w:space="0" w:color="auto"/>
            </w:tcBorders>
            <w:shd w:val="clear" w:color="000000" w:fill="D8D8D8"/>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CF year</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No. of ABS imports</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 ABS imports included</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Min weight</w:t>
            </w:r>
            <w:r w:rsidRPr="00B02F83">
              <w:rPr>
                <w:rFonts w:ascii="Calibri" w:hAnsi="Calibri" w:cs="Calibri"/>
                <w:color w:val="000000"/>
                <w:sz w:val="16"/>
                <w:szCs w:val="16"/>
                <w:lang w:eastAsia="en-AU"/>
              </w:rPr>
              <w:br/>
              <w:t>(kg)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Max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Standard deviation</w:t>
            </w:r>
          </w:p>
        </w:tc>
      </w:tr>
      <w:tr w:rsidR="00B02F83" w:rsidRPr="00B02F83">
        <w:trPr>
          <w:trHeight w:val="225"/>
        </w:trPr>
        <w:tc>
          <w:tcPr>
            <w:tcW w:w="1660" w:type="dxa"/>
            <w:tcBorders>
              <w:top w:val="nil"/>
              <w:left w:val="single" w:sz="4" w:space="0" w:color="auto"/>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2010-11</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514,526</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1%</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665B26">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0.</w:t>
            </w:r>
            <w:r w:rsidR="00665B26">
              <w:rPr>
                <w:rFonts w:ascii="Calibri" w:hAnsi="Calibri" w:cs="Calibri"/>
                <w:color w:val="000000"/>
                <w:sz w:val="16"/>
                <w:szCs w:val="16"/>
                <w:lang w:eastAsia="en-AU"/>
              </w:rPr>
              <w:t>1</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9.5</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0.1</w:t>
            </w:r>
          </w:p>
        </w:tc>
      </w:tr>
      <w:tr w:rsidR="00B02F83" w:rsidRPr="00B02F83">
        <w:trPr>
          <w:trHeight w:val="225"/>
        </w:trPr>
        <w:tc>
          <w:tcPr>
            <w:tcW w:w="1660" w:type="dxa"/>
            <w:tcBorders>
              <w:top w:val="nil"/>
              <w:left w:val="nil"/>
              <w:bottom w:val="nil"/>
              <w:right w:val="nil"/>
            </w:tcBorders>
            <w:shd w:val="clear" w:color="auto" w:fill="auto"/>
            <w:noWrap/>
            <w:vAlign w:val="bottom"/>
          </w:tcPr>
          <w:p w:rsidR="00B02F83" w:rsidRPr="00B02F83" w:rsidRDefault="00B02F83" w:rsidP="00B02F8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02F83" w:rsidRPr="00B02F83" w:rsidRDefault="00B02F83" w:rsidP="00B02F8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02F83" w:rsidRPr="00B02F83" w:rsidRDefault="00B02F83" w:rsidP="00B02F8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02F83" w:rsidRPr="00B02F83" w:rsidRDefault="00B02F83" w:rsidP="00B02F8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02F83" w:rsidRPr="00B02F83" w:rsidRDefault="00B02F83" w:rsidP="00B02F8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02F83" w:rsidRPr="00B02F83" w:rsidRDefault="00B02F83" w:rsidP="00B02F83">
            <w:pPr>
              <w:rPr>
                <w:rFonts w:ascii="Calibri" w:hAnsi="Calibri" w:cs="Calibri"/>
                <w:color w:val="000000"/>
                <w:sz w:val="16"/>
                <w:szCs w:val="16"/>
                <w:lang w:eastAsia="en-AU"/>
              </w:rPr>
            </w:pPr>
          </w:p>
        </w:tc>
      </w:tr>
      <w:tr w:rsidR="00B02F83" w:rsidRPr="00B02F83">
        <w:trPr>
          <w:trHeight w:val="450"/>
        </w:trPr>
        <w:tc>
          <w:tcPr>
            <w:tcW w:w="1660" w:type="dxa"/>
            <w:tcBorders>
              <w:top w:val="single" w:sz="4" w:space="0" w:color="auto"/>
              <w:left w:val="single" w:sz="4" w:space="0" w:color="auto"/>
              <w:bottom w:val="nil"/>
              <w:right w:val="single" w:sz="4" w:space="0" w:color="auto"/>
            </w:tcBorders>
            <w:shd w:val="clear" w:color="000000" w:fill="D8D8D8"/>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Method</w:t>
            </w:r>
          </w:p>
        </w:tc>
        <w:tc>
          <w:tcPr>
            <w:tcW w:w="1120" w:type="dxa"/>
            <w:tcBorders>
              <w:top w:val="single" w:sz="4" w:space="0" w:color="auto"/>
              <w:left w:val="nil"/>
              <w:bottom w:val="nil"/>
              <w:right w:val="single" w:sz="4" w:space="0" w:color="auto"/>
            </w:tcBorders>
            <w:shd w:val="clear" w:color="000000" w:fill="D8D8D8"/>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Measure of average</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Average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Lower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Upper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Confidence interval ± (kg)</w:t>
            </w:r>
          </w:p>
        </w:tc>
      </w:tr>
      <w:tr w:rsidR="00B02F83" w:rsidRPr="00B02F83">
        <w:trPr>
          <w:trHeight w:val="48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Approximation to the normal distribution</w:t>
            </w:r>
          </w:p>
        </w:tc>
        <w:tc>
          <w:tcPr>
            <w:tcW w:w="1120" w:type="dxa"/>
            <w:tcBorders>
              <w:top w:val="single" w:sz="4" w:space="0" w:color="auto"/>
              <w:left w:val="nil"/>
              <w:bottom w:val="single" w:sz="4" w:space="0" w:color="auto"/>
              <w:right w:val="single" w:sz="4" w:space="0" w:color="auto"/>
            </w:tcBorders>
            <w:shd w:val="clear" w:color="auto" w:fill="auto"/>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Mean</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0.6</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0.4</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0.8</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0.2</w:t>
            </w:r>
          </w:p>
        </w:tc>
      </w:tr>
      <w:tr w:rsidR="00B02F83" w:rsidRPr="00B02F83">
        <w:trPr>
          <w:trHeight w:val="480"/>
        </w:trPr>
        <w:tc>
          <w:tcPr>
            <w:tcW w:w="1660" w:type="dxa"/>
            <w:tcBorders>
              <w:top w:val="nil"/>
              <w:left w:val="single" w:sz="4" w:space="0" w:color="auto"/>
              <w:bottom w:val="single" w:sz="4" w:space="0" w:color="auto"/>
              <w:right w:val="single" w:sz="4" w:space="0" w:color="auto"/>
            </w:tcBorders>
            <w:shd w:val="clear" w:color="auto" w:fill="auto"/>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Use of percentiles</w:t>
            </w:r>
          </w:p>
        </w:tc>
        <w:tc>
          <w:tcPr>
            <w:tcW w:w="1120" w:type="dxa"/>
            <w:tcBorders>
              <w:top w:val="nil"/>
              <w:left w:val="nil"/>
              <w:bottom w:val="single" w:sz="4" w:space="0" w:color="auto"/>
              <w:right w:val="single" w:sz="4" w:space="0" w:color="auto"/>
            </w:tcBorders>
            <w:shd w:val="clear" w:color="auto" w:fill="auto"/>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Median</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1.5</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0.3</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9.1</w:t>
            </w:r>
          </w:p>
        </w:tc>
        <w:tc>
          <w:tcPr>
            <w:tcW w:w="1120" w:type="dxa"/>
            <w:tcBorders>
              <w:top w:val="nil"/>
              <w:left w:val="nil"/>
              <w:bottom w:val="single" w:sz="4" w:space="0" w:color="auto"/>
              <w:right w:val="single" w:sz="4" w:space="0" w:color="auto"/>
            </w:tcBorders>
            <w:shd w:val="clear" w:color="auto" w:fill="auto"/>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7.5</w:t>
            </w:r>
          </w:p>
        </w:tc>
      </w:tr>
      <w:tr w:rsidR="00B02F83" w:rsidRPr="00B02F83">
        <w:trPr>
          <w:trHeight w:val="225"/>
        </w:trPr>
        <w:tc>
          <w:tcPr>
            <w:tcW w:w="1660" w:type="dxa"/>
            <w:tcBorders>
              <w:top w:val="nil"/>
              <w:left w:val="nil"/>
              <w:bottom w:val="nil"/>
              <w:right w:val="nil"/>
            </w:tcBorders>
            <w:shd w:val="clear" w:color="auto" w:fill="auto"/>
            <w:noWrap/>
            <w:vAlign w:val="bottom"/>
          </w:tcPr>
          <w:p w:rsidR="00B02F83" w:rsidRPr="00B02F83" w:rsidRDefault="00B02F83" w:rsidP="00B02F8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02F83" w:rsidRPr="00B02F83" w:rsidRDefault="00B02F83" w:rsidP="00B02F8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02F83" w:rsidRPr="00B02F83" w:rsidRDefault="00B02F83" w:rsidP="00B02F8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02F83" w:rsidRPr="00B02F83" w:rsidRDefault="00B02F83" w:rsidP="00B02F8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02F83" w:rsidRPr="00B02F83" w:rsidRDefault="00B02F83" w:rsidP="00B02F8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02F83" w:rsidRPr="00B02F83" w:rsidRDefault="00B02F83" w:rsidP="00B02F83">
            <w:pPr>
              <w:rPr>
                <w:rFonts w:ascii="Calibri" w:hAnsi="Calibri" w:cs="Calibri"/>
                <w:color w:val="000000"/>
                <w:sz w:val="16"/>
                <w:szCs w:val="16"/>
                <w:lang w:eastAsia="en-AU"/>
              </w:rPr>
            </w:pPr>
          </w:p>
        </w:tc>
      </w:tr>
      <w:tr w:rsidR="00B02F83" w:rsidRPr="00B02F83">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tcPr>
          <w:p w:rsidR="00B02F83" w:rsidRPr="00B02F83" w:rsidRDefault="00B02F83" w:rsidP="00B02F83">
            <w:pPr>
              <w:rPr>
                <w:rFonts w:ascii="Calibri" w:hAnsi="Calibri" w:cs="Calibri"/>
                <w:color w:val="000000"/>
                <w:sz w:val="16"/>
                <w:szCs w:val="16"/>
                <w:lang w:eastAsia="en-AU"/>
              </w:rPr>
            </w:pPr>
            <w:r w:rsidRPr="00B02F83">
              <w:rPr>
                <w:rFonts w:ascii="Calibri" w:hAnsi="Calibri" w:cs="Calibri"/>
                <w:color w:val="000000"/>
                <w:sz w:val="16"/>
                <w:szCs w:val="16"/>
                <w:lang w:eastAsia="en-AU"/>
              </w:rPr>
              <w:t>Year</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2010-11</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2009-10</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B02F83" w:rsidRPr="00B02F83" w:rsidRDefault="00B02F83" w:rsidP="00B02F83">
            <w:pPr>
              <w:jc w:val="center"/>
              <w:rPr>
                <w:rFonts w:ascii="Calibri" w:hAnsi="Calibri" w:cs="Calibri"/>
                <w:color w:val="000000"/>
                <w:sz w:val="16"/>
                <w:szCs w:val="16"/>
                <w:lang w:eastAsia="en-AU"/>
              </w:rPr>
            </w:pPr>
            <w:r w:rsidRPr="00B02F83">
              <w:rPr>
                <w:rFonts w:ascii="Calibri" w:hAnsi="Calibri" w:cs="Calibri"/>
                <w:color w:val="000000"/>
                <w:sz w:val="16"/>
                <w:szCs w:val="16"/>
                <w:lang w:eastAsia="en-AU"/>
              </w:rPr>
              <w:t>2008-09</w:t>
            </w:r>
          </w:p>
        </w:tc>
      </w:tr>
      <w:tr w:rsidR="00FC1B3D" w:rsidRPr="00B02F83">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C1B3D" w:rsidRPr="00B02F83" w:rsidRDefault="0075578C" w:rsidP="00B02F83">
            <w:pPr>
              <w:rPr>
                <w:rFonts w:ascii="Calibri" w:hAnsi="Calibri" w:cs="Calibri"/>
                <w:color w:val="000000"/>
                <w:sz w:val="16"/>
                <w:szCs w:val="16"/>
                <w:lang w:eastAsia="en-AU"/>
              </w:rPr>
            </w:pPr>
            <w:r w:rsidRPr="00CB6A7D">
              <w:rPr>
                <w:rFonts w:ascii="Calibri" w:hAnsi="Calibri" w:cs="Calibri"/>
                <w:color w:val="000000"/>
                <w:sz w:val="16"/>
                <w:szCs w:val="16"/>
                <w:lang w:eastAsia="en-AU"/>
              </w:rPr>
              <w:t>Percentage by which the conversion factor over or under estimates the weight of imports</w:t>
            </w:r>
          </w:p>
        </w:tc>
        <w:tc>
          <w:tcPr>
            <w:tcW w:w="1120" w:type="dxa"/>
            <w:tcBorders>
              <w:top w:val="nil"/>
              <w:left w:val="nil"/>
              <w:bottom w:val="single" w:sz="4" w:space="0" w:color="auto"/>
              <w:right w:val="single" w:sz="4" w:space="0" w:color="auto"/>
            </w:tcBorders>
            <w:shd w:val="clear" w:color="auto" w:fill="auto"/>
            <w:noWrap/>
            <w:vAlign w:val="center"/>
          </w:tcPr>
          <w:p w:rsidR="00FC1B3D" w:rsidRDefault="00FC1B3D">
            <w:pPr>
              <w:jc w:val="center"/>
              <w:rPr>
                <w:rFonts w:ascii="Calibri" w:hAnsi="Calibri" w:cs="Calibri"/>
                <w:color w:val="000000"/>
                <w:sz w:val="16"/>
                <w:szCs w:val="16"/>
              </w:rPr>
            </w:pPr>
            <w:r>
              <w:rPr>
                <w:rFonts w:ascii="Calibri" w:hAnsi="Calibri" w:cs="Calibri"/>
                <w:color w:val="000000"/>
                <w:sz w:val="16"/>
                <w:szCs w:val="16"/>
              </w:rPr>
              <w:t>0%</w:t>
            </w:r>
          </w:p>
        </w:tc>
        <w:tc>
          <w:tcPr>
            <w:tcW w:w="1120" w:type="dxa"/>
            <w:tcBorders>
              <w:top w:val="nil"/>
              <w:left w:val="nil"/>
              <w:bottom w:val="single" w:sz="4" w:space="0" w:color="auto"/>
              <w:right w:val="single" w:sz="4" w:space="0" w:color="auto"/>
            </w:tcBorders>
            <w:shd w:val="clear" w:color="auto" w:fill="auto"/>
            <w:noWrap/>
            <w:vAlign w:val="center"/>
          </w:tcPr>
          <w:p w:rsidR="00FC1B3D" w:rsidRDefault="00FC1B3D">
            <w:pPr>
              <w:jc w:val="center"/>
              <w:rPr>
                <w:rFonts w:ascii="Calibri" w:hAnsi="Calibri" w:cs="Calibri"/>
                <w:color w:val="000000"/>
                <w:sz w:val="16"/>
                <w:szCs w:val="16"/>
              </w:rPr>
            </w:pPr>
            <w:r>
              <w:rPr>
                <w:rFonts w:ascii="Calibri" w:hAnsi="Calibri" w:cs="Calibri"/>
                <w:color w:val="000000"/>
                <w:sz w:val="16"/>
                <w:szCs w:val="16"/>
              </w:rPr>
              <w:t>221%</w:t>
            </w:r>
          </w:p>
        </w:tc>
        <w:tc>
          <w:tcPr>
            <w:tcW w:w="1120" w:type="dxa"/>
            <w:tcBorders>
              <w:top w:val="nil"/>
              <w:left w:val="nil"/>
              <w:bottom w:val="single" w:sz="4" w:space="0" w:color="auto"/>
              <w:right w:val="single" w:sz="4" w:space="0" w:color="auto"/>
            </w:tcBorders>
            <w:shd w:val="clear" w:color="auto" w:fill="auto"/>
            <w:noWrap/>
            <w:vAlign w:val="center"/>
          </w:tcPr>
          <w:p w:rsidR="00FC1B3D" w:rsidRDefault="00FC1B3D">
            <w:pPr>
              <w:jc w:val="center"/>
              <w:rPr>
                <w:rFonts w:ascii="Calibri" w:hAnsi="Calibri" w:cs="Calibri"/>
                <w:color w:val="000000"/>
                <w:sz w:val="16"/>
                <w:szCs w:val="16"/>
              </w:rPr>
            </w:pPr>
            <w:r>
              <w:rPr>
                <w:rFonts w:ascii="Calibri" w:hAnsi="Calibri" w:cs="Calibri"/>
                <w:color w:val="000000"/>
                <w:sz w:val="16"/>
                <w:szCs w:val="16"/>
              </w:rPr>
              <w:t>12%</w:t>
            </w:r>
          </w:p>
        </w:tc>
      </w:tr>
    </w:tbl>
    <w:p w:rsidR="001A78F2" w:rsidRDefault="001A78F2">
      <w:pPr>
        <w:rPr>
          <w:szCs w:val="22"/>
        </w:rPr>
      </w:pPr>
    </w:p>
    <w:p w:rsidR="001A78F2" w:rsidRDefault="00EA2009">
      <w:pPr>
        <w:rPr>
          <w:szCs w:val="22"/>
        </w:rPr>
      </w:pPr>
      <w:r w:rsidRPr="005A3097">
        <w:rPr>
          <w:b/>
          <w:szCs w:val="22"/>
        </w:rPr>
        <w:t>Distribution:</w:t>
      </w:r>
      <w:r>
        <w:rPr>
          <w:b/>
          <w:szCs w:val="22"/>
        </w:rPr>
        <w:t xml:space="preserve"> </w:t>
      </w:r>
      <w:r>
        <w:rPr>
          <w:szCs w:val="22"/>
        </w:rPr>
        <w:t>All imports between 0-10 kg</w:t>
      </w:r>
    </w:p>
    <w:p w:rsidR="001A78F2" w:rsidRDefault="00EA2009">
      <w:pPr>
        <w:rPr>
          <w:szCs w:val="22"/>
        </w:rPr>
      </w:pPr>
      <w:r>
        <w:rPr>
          <w:b/>
          <w:szCs w:val="22"/>
        </w:rPr>
        <w:t xml:space="preserve">Proposed conversion factor: </w:t>
      </w:r>
      <w:r>
        <w:rPr>
          <w:szCs w:val="22"/>
        </w:rPr>
        <w:t>0.6</w:t>
      </w:r>
      <w:r w:rsidRPr="007475CE">
        <w:rPr>
          <w:szCs w:val="22"/>
        </w:rPr>
        <w:t xml:space="preserve"> </w:t>
      </w:r>
      <w:r>
        <w:rPr>
          <w:szCs w:val="22"/>
        </w:rPr>
        <w:t>kg.</w:t>
      </w:r>
    </w:p>
    <w:p w:rsidR="001A78F2" w:rsidRDefault="00EA2009">
      <w:pPr>
        <w:rPr>
          <w:szCs w:val="22"/>
        </w:rPr>
      </w:pPr>
      <w:r>
        <w:rPr>
          <w:b/>
          <w:szCs w:val="22"/>
        </w:rPr>
        <w:t>Proposed confidence interval</w:t>
      </w:r>
      <w:r w:rsidRPr="00B02F83">
        <w:rPr>
          <w:szCs w:val="22"/>
        </w:rPr>
        <w:t xml:space="preserve">: </w:t>
      </w:r>
      <w:r>
        <w:rPr>
          <w:szCs w:val="22"/>
        </w:rPr>
        <w:t xml:space="preserve"> &gt; 0.3 kg, </w:t>
      </w:r>
      <w:r w:rsidR="00CF23D0">
        <w:rPr>
          <w:szCs w:val="22"/>
        </w:rPr>
        <w:t>&lt;</w:t>
      </w:r>
      <w:r>
        <w:rPr>
          <w:szCs w:val="22"/>
        </w:rPr>
        <w:t xml:space="preserve">9.1 kg to represent </w:t>
      </w:r>
      <w:r w:rsidR="00C62346">
        <w:rPr>
          <w:szCs w:val="22"/>
        </w:rPr>
        <w:t>variation</w:t>
      </w:r>
    </w:p>
    <w:p w:rsidR="001A78F2" w:rsidRDefault="00C62346">
      <w:pPr>
        <w:rPr>
          <w:szCs w:val="22"/>
        </w:rPr>
      </w:pPr>
      <w:r>
        <w:rPr>
          <w:b/>
          <w:szCs w:val="22"/>
        </w:rPr>
        <w:t xml:space="preserve">Variation over time: </w:t>
      </w:r>
      <w:r w:rsidR="00112A79">
        <w:rPr>
          <w:szCs w:val="22"/>
        </w:rPr>
        <w:t>High</w:t>
      </w:r>
    </w:p>
    <w:p w:rsidR="001A78F2" w:rsidRDefault="001A78F2">
      <w:pPr>
        <w:rPr>
          <w:szCs w:val="22"/>
        </w:rPr>
      </w:pPr>
    </w:p>
    <w:p w:rsidR="001A78F2" w:rsidRDefault="001A78F2">
      <w:pPr>
        <w:rPr>
          <w:szCs w:val="22"/>
        </w:rPr>
      </w:pPr>
    </w:p>
    <w:p w:rsidR="001A78F2" w:rsidRDefault="00EA2009">
      <w:pPr>
        <w:rPr>
          <w:rFonts w:ascii="Arial" w:hAnsi="Arial" w:cs="Arial"/>
          <w:b/>
          <w:szCs w:val="22"/>
        </w:rPr>
      </w:pPr>
      <w:r w:rsidRPr="002146B1">
        <w:rPr>
          <w:rFonts w:ascii="Arial" w:hAnsi="Arial" w:cs="Arial"/>
          <w:b/>
          <w:szCs w:val="22"/>
        </w:rPr>
        <w:t>Data Gaps</w:t>
      </w:r>
    </w:p>
    <w:p w:rsidR="001A78F2" w:rsidRDefault="001A78F2">
      <w:pPr>
        <w:rPr>
          <w:rFonts w:ascii="Arial" w:hAnsi="Arial" w:cs="Arial"/>
          <w:b/>
          <w:szCs w:val="22"/>
        </w:rPr>
      </w:pPr>
    </w:p>
    <w:p w:rsidR="001A78F2" w:rsidRDefault="00EA2009">
      <w:pPr>
        <w:rPr>
          <w:szCs w:val="22"/>
        </w:rPr>
      </w:pPr>
      <w:r w:rsidRPr="002146B1">
        <w:rPr>
          <w:szCs w:val="22"/>
        </w:rPr>
        <w:t>No</w:t>
      </w:r>
      <w:r>
        <w:rPr>
          <w:szCs w:val="22"/>
        </w:rPr>
        <w:t xml:space="preserve"> imports reported for:</w:t>
      </w:r>
    </w:p>
    <w:p w:rsidR="001A78F2" w:rsidRDefault="00EA2009">
      <w:pPr>
        <w:pStyle w:val="ListParagraph"/>
        <w:numPr>
          <w:ilvl w:val="0"/>
          <w:numId w:val="31"/>
        </w:numPr>
        <w:rPr>
          <w:szCs w:val="22"/>
        </w:rPr>
      </w:pPr>
      <w:r w:rsidRPr="005F4D72">
        <w:rPr>
          <w:szCs w:val="22"/>
        </w:rPr>
        <w:t xml:space="preserve">SC07 </w:t>
      </w:r>
      <w:r w:rsidRPr="00EA2009">
        <w:rPr>
          <w:szCs w:val="22"/>
        </w:rPr>
        <w:t>8471.60.00 91</w:t>
      </w:r>
      <w:r w:rsidRPr="005F4D72">
        <w:rPr>
          <w:szCs w:val="22"/>
        </w:rPr>
        <w:t xml:space="preserve">- </w:t>
      </w:r>
      <w:r w:rsidRPr="00EA2009">
        <w:rPr>
          <w:szCs w:val="22"/>
        </w:rPr>
        <w:t>Joystick/game pads</w:t>
      </w:r>
    </w:p>
    <w:p w:rsidR="001A78F2" w:rsidRDefault="001A78F2">
      <w:pPr>
        <w:rPr>
          <w:b/>
          <w:szCs w:val="22"/>
        </w:rPr>
      </w:pPr>
    </w:p>
    <w:p w:rsidR="001A78F2" w:rsidRDefault="00EA2009">
      <w:pPr>
        <w:rPr>
          <w:szCs w:val="22"/>
        </w:rPr>
      </w:pPr>
      <w:r w:rsidRPr="00EA2009">
        <w:rPr>
          <w:b/>
          <w:szCs w:val="22"/>
        </w:rPr>
        <w:t>Recommendation:</w:t>
      </w:r>
      <w:r>
        <w:rPr>
          <w:szCs w:val="22"/>
        </w:rPr>
        <w:t xml:space="preserve"> apply conversion factor for </w:t>
      </w:r>
      <w:r w:rsidRPr="00B02F83">
        <w:rPr>
          <w:szCs w:val="22"/>
        </w:rPr>
        <w:t xml:space="preserve">SC07 8471.60.00 98 </w:t>
      </w:r>
      <w:r>
        <w:rPr>
          <w:szCs w:val="22"/>
        </w:rPr>
        <w:t>–</w:t>
      </w:r>
      <w:r w:rsidRPr="00B02F83">
        <w:rPr>
          <w:szCs w:val="22"/>
        </w:rPr>
        <w:t xml:space="preserve"> </w:t>
      </w:r>
      <w:r w:rsidRPr="0075578C">
        <w:rPr>
          <w:i/>
          <w:szCs w:val="22"/>
        </w:rPr>
        <w:t>other</w:t>
      </w:r>
      <w:r>
        <w:rPr>
          <w:szCs w:val="22"/>
        </w:rPr>
        <w:t xml:space="preserve">. </w:t>
      </w:r>
      <w:r w:rsidR="0075578C">
        <w:rPr>
          <w:szCs w:val="22"/>
        </w:rPr>
        <w:t>The c</w:t>
      </w:r>
      <w:r>
        <w:rPr>
          <w:szCs w:val="22"/>
        </w:rPr>
        <w:t xml:space="preserve">onversion factor at CTCN level </w:t>
      </w:r>
      <w:r w:rsidR="0075578C">
        <w:rPr>
          <w:szCs w:val="22"/>
        </w:rPr>
        <w:t xml:space="preserve">is </w:t>
      </w:r>
      <w:r>
        <w:rPr>
          <w:szCs w:val="22"/>
        </w:rPr>
        <w:t>considered to be too heavy for this code due to including heavier items such as scanners and keyboards.</w:t>
      </w:r>
    </w:p>
    <w:p w:rsidR="00EC1CB8" w:rsidRDefault="00ED195F" w:rsidP="00EC1CB8">
      <w:pPr>
        <w:rPr>
          <w:szCs w:val="22"/>
        </w:rPr>
      </w:pPr>
      <w:r>
        <w:rPr>
          <w:szCs w:val="22"/>
        </w:rPr>
        <w:br w:type="page"/>
      </w:r>
      <w:r w:rsidR="00EC1CB8">
        <w:rPr>
          <w:szCs w:val="22"/>
        </w:rPr>
        <w:t xml:space="preserve"> </w:t>
      </w:r>
    </w:p>
    <w:p w:rsidR="00EC1CB8" w:rsidRPr="000941E0" w:rsidRDefault="009977E2" w:rsidP="002E1A14">
      <w:pPr>
        <w:pStyle w:val="Heading2"/>
      </w:pPr>
      <w:bookmarkStart w:id="54" w:name="_Toc303860089"/>
      <w:bookmarkStart w:id="55" w:name="_Toc304967192"/>
      <w:r>
        <w:t>Storage units for computers</w:t>
      </w:r>
      <w:bookmarkEnd w:id="54"/>
      <w:bookmarkEnd w:id="55"/>
    </w:p>
    <w:p w:rsidR="00ED195F" w:rsidRDefault="00ED195F" w:rsidP="00ED195F"/>
    <w:p w:rsidR="00E5733D" w:rsidRDefault="00E5733D" w:rsidP="00E5733D">
      <w:pPr>
        <w:rPr>
          <w:szCs w:val="22"/>
        </w:rPr>
      </w:pPr>
      <w:r>
        <w:rPr>
          <w:rFonts w:ascii="Arial" w:hAnsi="Arial" w:cs="Arial"/>
          <w:b/>
          <w:bCs/>
          <w:color w:val="000000"/>
          <w:szCs w:val="22"/>
          <w:lang w:eastAsia="en-AU"/>
        </w:rPr>
        <w:t>Summary of ABS Imports</w:t>
      </w:r>
    </w:p>
    <w:p w:rsidR="00E5733D" w:rsidRDefault="00E5733D" w:rsidP="00606932">
      <w:pPr>
        <w:rPr>
          <w:szCs w:val="22"/>
        </w:rPr>
      </w:pPr>
    </w:p>
    <w:p w:rsidR="00606932" w:rsidRDefault="00606932" w:rsidP="00606932">
      <w:pPr>
        <w:rPr>
          <w:szCs w:val="22"/>
          <w:lang w:val="en-US"/>
        </w:rPr>
      </w:pPr>
      <w:r>
        <w:rPr>
          <w:szCs w:val="22"/>
        </w:rPr>
        <w:t xml:space="preserve">According to ABS import data, </w:t>
      </w:r>
      <w:r w:rsidR="00667794">
        <w:rPr>
          <w:szCs w:val="22"/>
        </w:rPr>
        <w:t xml:space="preserve">10,764,459 </w:t>
      </w:r>
      <w:r>
        <w:rPr>
          <w:szCs w:val="22"/>
        </w:rPr>
        <w:t xml:space="preserve">units of </w:t>
      </w:r>
      <w:r w:rsidR="00667794">
        <w:rPr>
          <w:szCs w:val="22"/>
        </w:rPr>
        <w:t xml:space="preserve">storage units for computers </w:t>
      </w:r>
      <w:r>
        <w:rPr>
          <w:szCs w:val="22"/>
        </w:rPr>
        <w:t xml:space="preserve">were imported in 2010-11. The proportions are shown in </w:t>
      </w:r>
      <w:r w:rsidR="00207129">
        <w:rPr>
          <w:szCs w:val="22"/>
        </w:rPr>
        <w:t>Figure 5-2</w:t>
      </w:r>
      <w:r w:rsidR="009F14B1">
        <w:rPr>
          <w:szCs w:val="22"/>
        </w:rPr>
        <w:t>7</w:t>
      </w:r>
      <w:r w:rsidR="00667794">
        <w:rPr>
          <w:szCs w:val="22"/>
        </w:rPr>
        <w:t xml:space="preserve">. </w:t>
      </w:r>
      <w:r w:rsidR="00AD48DA">
        <w:rPr>
          <w:szCs w:val="22"/>
          <w:lang w:val="en-US"/>
        </w:rPr>
        <w:t xml:space="preserve">The dominant HTISC in this CTCN is </w:t>
      </w:r>
      <w:r w:rsidR="00AD48DA">
        <w:rPr>
          <w:i/>
          <w:szCs w:val="22"/>
          <w:lang w:val="en-US"/>
        </w:rPr>
        <w:t>hard drives</w:t>
      </w:r>
      <w:r w:rsidR="00AD48DA">
        <w:rPr>
          <w:szCs w:val="22"/>
          <w:lang w:val="en-US"/>
        </w:rPr>
        <w:t>.</w:t>
      </w:r>
    </w:p>
    <w:p w:rsidR="00AD48DA" w:rsidRDefault="00AD48DA" w:rsidP="00606932">
      <w:pPr>
        <w:rPr>
          <w:i/>
          <w:szCs w:val="22"/>
          <w:lang w:val="en-US"/>
        </w:rPr>
      </w:pPr>
    </w:p>
    <w:p w:rsidR="00606932" w:rsidRDefault="00606932" w:rsidP="00606932">
      <w:pPr>
        <w:rPr>
          <w:szCs w:val="22"/>
        </w:rPr>
      </w:pPr>
      <w:r>
        <w:rPr>
          <w:szCs w:val="22"/>
          <w:lang w:val="en-US"/>
        </w:rPr>
        <w:t>Note that several brands indicated that these peripheral devices were imported but could not provide weight data.</w:t>
      </w:r>
    </w:p>
    <w:p w:rsidR="001A78F2" w:rsidRDefault="001A78F2">
      <w:pPr>
        <w:rPr>
          <w:szCs w:val="22"/>
          <w:lang w:val="en-US"/>
        </w:rPr>
      </w:pPr>
    </w:p>
    <w:p w:rsidR="001A78F2" w:rsidRDefault="00667794">
      <w:pPr>
        <w:rPr>
          <w:szCs w:val="22"/>
          <w:lang w:val="en-US"/>
        </w:rPr>
      </w:pPr>
      <w:r>
        <w:rPr>
          <w:szCs w:val="22"/>
          <w:lang w:val="en-US"/>
        </w:rPr>
        <w:t xml:space="preserve">There were no imports reported by participating brands in 2010-11 for </w:t>
      </w:r>
      <w:r w:rsidRPr="00667794">
        <w:rPr>
          <w:i/>
          <w:szCs w:val="22"/>
          <w:lang w:val="en-US"/>
        </w:rPr>
        <w:t>floppy drives</w:t>
      </w:r>
      <w:r w:rsidR="001D75D5">
        <w:rPr>
          <w:szCs w:val="22"/>
          <w:lang w:val="en-US"/>
        </w:rPr>
        <w:t>;</w:t>
      </w:r>
      <w:r>
        <w:rPr>
          <w:szCs w:val="22"/>
          <w:lang w:val="en-US"/>
        </w:rPr>
        <w:t xml:space="preserve"> the conversion factor </w:t>
      </w:r>
      <w:r w:rsidR="002F5182">
        <w:rPr>
          <w:szCs w:val="22"/>
          <w:lang w:val="en-US"/>
        </w:rPr>
        <w:t xml:space="preserve">year for </w:t>
      </w:r>
      <w:r w:rsidR="002F5182" w:rsidRPr="00667794">
        <w:rPr>
          <w:i/>
          <w:szCs w:val="22"/>
          <w:lang w:val="en-US"/>
        </w:rPr>
        <w:t>floppy drives</w:t>
      </w:r>
      <w:r w:rsidR="002F5182">
        <w:rPr>
          <w:szCs w:val="22"/>
          <w:lang w:val="en-US"/>
        </w:rPr>
        <w:t xml:space="preserve"> is 2008-2009.</w:t>
      </w:r>
    </w:p>
    <w:p w:rsidR="00667794" w:rsidRDefault="00667794" w:rsidP="00E55318"/>
    <w:p w:rsidR="00667794" w:rsidRDefault="00667794" w:rsidP="00E55318"/>
    <w:p w:rsidR="00667794" w:rsidRPr="000C28BD" w:rsidRDefault="009F14B1" w:rsidP="00667794">
      <w:pPr>
        <w:pStyle w:val="Caption"/>
        <w:keepNext/>
      </w:pPr>
      <w:r>
        <w:t>Figure 5-27</w:t>
      </w:r>
      <w:r w:rsidR="002652C5">
        <w:t xml:space="preserve">  </w:t>
      </w:r>
      <w:r w:rsidR="00667794">
        <w:t>Proportion of HTISCs in 2010-11 CTCN imports data (according to ABS)</w:t>
      </w:r>
    </w:p>
    <w:p w:rsidR="00667794" w:rsidRDefault="00667794" w:rsidP="00E55318">
      <w:r w:rsidRPr="00667794">
        <w:rPr>
          <w:noProof/>
          <w:lang w:eastAsia="en-AU"/>
        </w:rPr>
        <w:drawing>
          <wp:inline distT="0" distB="0" distL="0" distR="0">
            <wp:extent cx="4572000" cy="2743200"/>
            <wp:effectExtent l="0" t="0" r="0" b="0"/>
            <wp:docPr id="5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9522BF" w:rsidRDefault="009522BF"/>
    <w:p w:rsidR="00ED195F" w:rsidRDefault="00ED195F" w:rsidP="00ED195F"/>
    <w:p w:rsidR="00ED195F" w:rsidRDefault="00ED195F" w:rsidP="00ED195F"/>
    <w:p w:rsidR="000941E0" w:rsidRPr="00B3611E" w:rsidRDefault="000941E0" w:rsidP="00B3611E"/>
    <w:p w:rsidR="00ED195F" w:rsidRDefault="00ED195F" w:rsidP="005D1179">
      <w:pPr>
        <w:jc w:val="both"/>
        <w:rPr>
          <w:szCs w:val="22"/>
        </w:rPr>
      </w:pPr>
    </w:p>
    <w:p w:rsidR="003E3C96" w:rsidRDefault="003E3C96">
      <w:pPr>
        <w:rPr>
          <w:rFonts w:ascii="Arial" w:hAnsi="Arial" w:cs="Arial"/>
          <w:b/>
          <w:bCs/>
          <w:color w:val="000000"/>
          <w:szCs w:val="22"/>
          <w:lang w:eastAsia="en-AU"/>
        </w:rPr>
      </w:pPr>
      <w:r>
        <w:rPr>
          <w:rFonts w:ascii="Arial" w:hAnsi="Arial" w:cs="Arial"/>
          <w:b/>
          <w:bCs/>
          <w:color w:val="000000"/>
          <w:szCs w:val="22"/>
          <w:lang w:eastAsia="en-AU"/>
        </w:rPr>
        <w:br w:type="page"/>
      </w:r>
    </w:p>
    <w:p w:rsidR="00B3611E" w:rsidRDefault="00B3611E" w:rsidP="005D1179">
      <w:pPr>
        <w:jc w:val="both"/>
        <w:rPr>
          <w:rFonts w:ascii="Arial" w:hAnsi="Arial" w:cs="Arial"/>
          <w:b/>
          <w:bCs/>
          <w:color w:val="000000"/>
          <w:szCs w:val="22"/>
          <w:lang w:eastAsia="en-AU"/>
        </w:rPr>
      </w:pPr>
      <w:r w:rsidRPr="00ED195F">
        <w:rPr>
          <w:rFonts w:ascii="Arial" w:hAnsi="Arial" w:cs="Arial"/>
          <w:b/>
          <w:bCs/>
          <w:color w:val="000000"/>
          <w:szCs w:val="22"/>
          <w:lang w:eastAsia="en-AU"/>
        </w:rPr>
        <w:t>SC07 8471.70.00 20 - CD Drives (incl burners)</w:t>
      </w:r>
    </w:p>
    <w:p w:rsidR="004360E0" w:rsidRDefault="004360E0" w:rsidP="004360E0">
      <w:pPr>
        <w:pStyle w:val="Caption"/>
        <w:keepNext/>
      </w:pPr>
    </w:p>
    <w:p w:rsidR="00B3611E" w:rsidRPr="004360E0" w:rsidRDefault="009F14B1" w:rsidP="004360E0">
      <w:pPr>
        <w:pStyle w:val="Caption"/>
        <w:keepNext/>
      </w:pPr>
      <w:r>
        <w:t>Figure 5-28</w:t>
      </w:r>
      <w:r w:rsidR="002652C5">
        <w:t xml:space="preserve">  </w:t>
      </w:r>
      <w:r w:rsidR="00AC1355">
        <w:t>HTISC frequency distribution in CF year</w:t>
      </w:r>
    </w:p>
    <w:p w:rsidR="003E3C96" w:rsidRDefault="003E3C96" w:rsidP="005D1179">
      <w:pPr>
        <w:jc w:val="both"/>
        <w:rPr>
          <w:szCs w:val="22"/>
        </w:rPr>
      </w:pPr>
      <w:r w:rsidRPr="003E3C96">
        <w:rPr>
          <w:noProof/>
          <w:szCs w:val="22"/>
          <w:lang w:eastAsia="en-AU"/>
        </w:rPr>
        <w:drawing>
          <wp:inline distT="0" distB="0" distL="0" distR="0">
            <wp:extent cx="4889500" cy="2984500"/>
            <wp:effectExtent l="19050" t="0" r="25400" b="6350"/>
            <wp:docPr id="4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3E3C96" w:rsidRDefault="003E3C96" w:rsidP="005D1179">
      <w:pPr>
        <w:jc w:val="both"/>
        <w:rPr>
          <w:szCs w:val="22"/>
        </w:rPr>
      </w:pPr>
    </w:p>
    <w:p w:rsidR="003E3C96" w:rsidRDefault="003E3C96" w:rsidP="005D1179">
      <w:pPr>
        <w:jc w:val="both"/>
        <w:rPr>
          <w:szCs w:val="22"/>
        </w:rPr>
      </w:pPr>
    </w:p>
    <w:p w:rsidR="00ED195F" w:rsidRPr="00D73340" w:rsidRDefault="00207129" w:rsidP="00D73340">
      <w:pPr>
        <w:pStyle w:val="Caption"/>
      </w:pPr>
      <w:r>
        <w:t xml:space="preserve">Table 5-20 </w:t>
      </w:r>
      <w:r w:rsidR="00D73340">
        <w:t>Conversion factor statistics</w:t>
      </w:r>
    </w:p>
    <w:tbl>
      <w:tblPr>
        <w:tblW w:w="7260" w:type="dxa"/>
        <w:tblInd w:w="93" w:type="dxa"/>
        <w:tblLook w:val="04A0"/>
      </w:tblPr>
      <w:tblGrid>
        <w:gridCol w:w="1660"/>
        <w:gridCol w:w="1120"/>
        <w:gridCol w:w="1120"/>
        <w:gridCol w:w="1120"/>
        <w:gridCol w:w="1120"/>
        <w:gridCol w:w="1120"/>
      </w:tblGrid>
      <w:tr w:rsidR="00ED195F" w:rsidRPr="00ED195F">
        <w:trPr>
          <w:trHeight w:val="450"/>
        </w:trPr>
        <w:tc>
          <w:tcPr>
            <w:tcW w:w="1660" w:type="dxa"/>
            <w:tcBorders>
              <w:top w:val="single" w:sz="4" w:space="0" w:color="auto"/>
              <w:left w:val="single" w:sz="4" w:space="0" w:color="auto"/>
              <w:bottom w:val="single" w:sz="4" w:space="0" w:color="auto"/>
              <w:right w:val="single" w:sz="4" w:space="0" w:color="auto"/>
            </w:tcBorders>
            <w:shd w:val="clear" w:color="000000" w:fill="D8D8D8"/>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CF year</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No. of ABS imports</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 ABS imports included</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Min weight</w:t>
            </w:r>
            <w:r w:rsidRPr="00ED195F">
              <w:rPr>
                <w:rFonts w:ascii="Calibri" w:hAnsi="Calibri" w:cs="Calibri"/>
                <w:color w:val="000000"/>
                <w:sz w:val="16"/>
                <w:szCs w:val="16"/>
                <w:lang w:eastAsia="en-AU"/>
              </w:rPr>
              <w:br/>
              <w:t>(kg)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Max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Standard deviation</w:t>
            </w:r>
          </w:p>
        </w:tc>
      </w:tr>
      <w:tr w:rsidR="00ED195F" w:rsidRPr="00ED195F">
        <w:trPr>
          <w:trHeight w:val="225"/>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2010-11</w:t>
            </w:r>
          </w:p>
        </w:tc>
        <w:tc>
          <w:tcPr>
            <w:tcW w:w="1120" w:type="dxa"/>
            <w:tcBorders>
              <w:top w:val="nil"/>
              <w:left w:val="nil"/>
              <w:bottom w:val="single" w:sz="4" w:space="0" w:color="auto"/>
              <w:right w:val="single" w:sz="4" w:space="0" w:color="auto"/>
            </w:tcBorders>
            <w:shd w:val="clear" w:color="auto" w:fill="auto"/>
            <w:noWrap/>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66,961</w:t>
            </w:r>
          </w:p>
        </w:tc>
        <w:tc>
          <w:tcPr>
            <w:tcW w:w="1120" w:type="dxa"/>
            <w:tcBorders>
              <w:top w:val="nil"/>
              <w:left w:val="nil"/>
              <w:bottom w:val="single" w:sz="4" w:space="0" w:color="auto"/>
              <w:right w:val="single" w:sz="4" w:space="0" w:color="auto"/>
            </w:tcBorders>
            <w:shd w:val="clear" w:color="auto" w:fill="auto"/>
            <w:noWrap/>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7%</w:t>
            </w:r>
          </w:p>
        </w:tc>
        <w:tc>
          <w:tcPr>
            <w:tcW w:w="1120" w:type="dxa"/>
            <w:tcBorders>
              <w:top w:val="nil"/>
              <w:left w:val="nil"/>
              <w:bottom w:val="single" w:sz="4" w:space="0" w:color="auto"/>
              <w:right w:val="single" w:sz="4" w:space="0" w:color="auto"/>
            </w:tcBorders>
            <w:shd w:val="clear" w:color="auto" w:fill="auto"/>
            <w:noWrap/>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0.3</w:t>
            </w:r>
          </w:p>
        </w:tc>
        <w:tc>
          <w:tcPr>
            <w:tcW w:w="1120" w:type="dxa"/>
            <w:tcBorders>
              <w:top w:val="nil"/>
              <w:left w:val="nil"/>
              <w:bottom w:val="single" w:sz="4" w:space="0" w:color="auto"/>
              <w:right w:val="single" w:sz="4" w:space="0" w:color="auto"/>
            </w:tcBorders>
            <w:shd w:val="clear" w:color="auto" w:fill="auto"/>
            <w:noWrap/>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1.0</w:t>
            </w:r>
          </w:p>
        </w:tc>
        <w:tc>
          <w:tcPr>
            <w:tcW w:w="1120" w:type="dxa"/>
            <w:tcBorders>
              <w:top w:val="nil"/>
              <w:left w:val="nil"/>
              <w:bottom w:val="single" w:sz="4" w:space="0" w:color="auto"/>
              <w:right w:val="single" w:sz="4" w:space="0" w:color="auto"/>
            </w:tcBorders>
            <w:shd w:val="clear" w:color="auto" w:fill="auto"/>
            <w:noWrap/>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0.7</w:t>
            </w:r>
          </w:p>
        </w:tc>
      </w:tr>
      <w:tr w:rsidR="00ED195F" w:rsidRPr="00ED195F">
        <w:trPr>
          <w:trHeight w:val="225"/>
        </w:trPr>
        <w:tc>
          <w:tcPr>
            <w:tcW w:w="1660" w:type="dxa"/>
            <w:tcBorders>
              <w:top w:val="nil"/>
              <w:left w:val="nil"/>
              <w:bottom w:val="nil"/>
              <w:right w:val="nil"/>
            </w:tcBorders>
            <w:shd w:val="clear" w:color="auto" w:fill="auto"/>
            <w:noWrap/>
            <w:vAlign w:val="bottom"/>
          </w:tcPr>
          <w:p w:rsidR="00ED195F" w:rsidRPr="00ED195F" w:rsidRDefault="00ED195F" w:rsidP="00ED195F">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ED195F" w:rsidRPr="00ED195F" w:rsidRDefault="00ED195F" w:rsidP="00ED195F">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ED195F" w:rsidRPr="00ED195F" w:rsidRDefault="00ED195F" w:rsidP="00ED195F">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ED195F" w:rsidRPr="00ED195F" w:rsidRDefault="00ED195F" w:rsidP="00ED195F">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ED195F" w:rsidRPr="00ED195F" w:rsidRDefault="00ED195F" w:rsidP="00ED195F">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ED195F" w:rsidRPr="00ED195F" w:rsidRDefault="00ED195F" w:rsidP="00ED195F">
            <w:pPr>
              <w:rPr>
                <w:rFonts w:ascii="Calibri" w:hAnsi="Calibri" w:cs="Calibri"/>
                <w:color w:val="000000"/>
                <w:sz w:val="16"/>
                <w:szCs w:val="16"/>
                <w:lang w:eastAsia="en-AU"/>
              </w:rPr>
            </w:pPr>
          </w:p>
        </w:tc>
      </w:tr>
      <w:tr w:rsidR="00ED195F" w:rsidRPr="00ED195F">
        <w:trPr>
          <w:trHeight w:val="450"/>
        </w:trPr>
        <w:tc>
          <w:tcPr>
            <w:tcW w:w="1660" w:type="dxa"/>
            <w:tcBorders>
              <w:top w:val="single" w:sz="4" w:space="0" w:color="auto"/>
              <w:left w:val="single" w:sz="4" w:space="0" w:color="auto"/>
              <w:bottom w:val="nil"/>
              <w:right w:val="single" w:sz="4" w:space="0" w:color="auto"/>
            </w:tcBorders>
            <w:shd w:val="clear" w:color="000000" w:fill="D8D8D8"/>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Method</w:t>
            </w:r>
          </w:p>
        </w:tc>
        <w:tc>
          <w:tcPr>
            <w:tcW w:w="1120" w:type="dxa"/>
            <w:tcBorders>
              <w:top w:val="single" w:sz="4" w:space="0" w:color="auto"/>
              <w:left w:val="nil"/>
              <w:bottom w:val="nil"/>
              <w:right w:val="single" w:sz="4" w:space="0" w:color="auto"/>
            </w:tcBorders>
            <w:shd w:val="clear" w:color="000000" w:fill="D8D8D8"/>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Measure of average</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Average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Lower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Upper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Confidence interval ± (kg)</w:t>
            </w:r>
          </w:p>
        </w:tc>
      </w:tr>
      <w:tr w:rsidR="00ED195F" w:rsidRPr="00ED195F">
        <w:trPr>
          <w:trHeight w:val="48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Approximation to the normal distribution</w:t>
            </w:r>
          </w:p>
        </w:tc>
        <w:tc>
          <w:tcPr>
            <w:tcW w:w="1120" w:type="dxa"/>
            <w:tcBorders>
              <w:top w:val="single" w:sz="4" w:space="0" w:color="auto"/>
              <w:left w:val="nil"/>
              <w:bottom w:val="single" w:sz="4" w:space="0" w:color="auto"/>
              <w:right w:val="single" w:sz="4" w:space="0" w:color="auto"/>
            </w:tcBorders>
            <w:shd w:val="clear" w:color="auto" w:fill="auto"/>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Mean</w:t>
            </w:r>
          </w:p>
        </w:tc>
        <w:tc>
          <w:tcPr>
            <w:tcW w:w="1120" w:type="dxa"/>
            <w:tcBorders>
              <w:top w:val="nil"/>
              <w:left w:val="nil"/>
              <w:bottom w:val="single" w:sz="4" w:space="0" w:color="auto"/>
              <w:right w:val="single" w:sz="4" w:space="0" w:color="auto"/>
            </w:tcBorders>
            <w:shd w:val="clear" w:color="auto" w:fill="auto"/>
            <w:noWrap/>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1.0</w:t>
            </w:r>
          </w:p>
        </w:tc>
        <w:tc>
          <w:tcPr>
            <w:tcW w:w="1120" w:type="dxa"/>
            <w:tcBorders>
              <w:top w:val="nil"/>
              <w:left w:val="nil"/>
              <w:bottom w:val="single" w:sz="4" w:space="0" w:color="auto"/>
              <w:right w:val="single" w:sz="4" w:space="0" w:color="auto"/>
            </w:tcBorders>
            <w:shd w:val="clear" w:color="auto" w:fill="auto"/>
            <w:noWrap/>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-0.4</w:t>
            </w:r>
          </w:p>
        </w:tc>
        <w:tc>
          <w:tcPr>
            <w:tcW w:w="1120" w:type="dxa"/>
            <w:tcBorders>
              <w:top w:val="nil"/>
              <w:left w:val="nil"/>
              <w:bottom w:val="single" w:sz="4" w:space="0" w:color="auto"/>
              <w:right w:val="single" w:sz="4" w:space="0" w:color="auto"/>
            </w:tcBorders>
            <w:shd w:val="clear" w:color="auto" w:fill="auto"/>
            <w:noWrap/>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2.4</w:t>
            </w:r>
          </w:p>
        </w:tc>
        <w:tc>
          <w:tcPr>
            <w:tcW w:w="1120" w:type="dxa"/>
            <w:tcBorders>
              <w:top w:val="nil"/>
              <w:left w:val="nil"/>
              <w:bottom w:val="single" w:sz="4" w:space="0" w:color="auto"/>
              <w:right w:val="single" w:sz="4" w:space="0" w:color="auto"/>
            </w:tcBorders>
            <w:shd w:val="clear" w:color="auto" w:fill="auto"/>
            <w:noWrap/>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1.4</w:t>
            </w:r>
          </w:p>
        </w:tc>
      </w:tr>
      <w:tr w:rsidR="00ED195F" w:rsidRPr="00ED195F">
        <w:trPr>
          <w:trHeight w:val="480"/>
        </w:trPr>
        <w:tc>
          <w:tcPr>
            <w:tcW w:w="1660" w:type="dxa"/>
            <w:tcBorders>
              <w:top w:val="nil"/>
              <w:left w:val="single" w:sz="4" w:space="0" w:color="auto"/>
              <w:bottom w:val="single" w:sz="4" w:space="0" w:color="auto"/>
              <w:right w:val="single" w:sz="4" w:space="0" w:color="auto"/>
            </w:tcBorders>
            <w:shd w:val="clear" w:color="auto" w:fill="auto"/>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Use of percentiles</w:t>
            </w:r>
          </w:p>
        </w:tc>
        <w:tc>
          <w:tcPr>
            <w:tcW w:w="1120" w:type="dxa"/>
            <w:tcBorders>
              <w:top w:val="nil"/>
              <w:left w:val="nil"/>
              <w:bottom w:val="single" w:sz="4" w:space="0" w:color="auto"/>
              <w:right w:val="single" w:sz="4" w:space="0" w:color="auto"/>
            </w:tcBorders>
            <w:shd w:val="clear" w:color="auto" w:fill="auto"/>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Median</w:t>
            </w:r>
          </w:p>
        </w:tc>
        <w:tc>
          <w:tcPr>
            <w:tcW w:w="1120" w:type="dxa"/>
            <w:tcBorders>
              <w:top w:val="nil"/>
              <w:left w:val="nil"/>
              <w:bottom w:val="single" w:sz="4" w:space="0" w:color="auto"/>
              <w:right w:val="single" w:sz="4" w:space="0" w:color="auto"/>
            </w:tcBorders>
            <w:shd w:val="clear" w:color="auto" w:fill="auto"/>
            <w:noWrap/>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0.6</w:t>
            </w:r>
          </w:p>
        </w:tc>
        <w:tc>
          <w:tcPr>
            <w:tcW w:w="1120" w:type="dxa"/>
            <w:tcBorders>
              <w:top w:val="nil"/>
              <w:left w:val="nil"/>
              <w:bottom w:val="single" w:sz="4" w:space="0" w:color="auto"/>
              <w:right w:val="single" w:sz="4" w:space="0" w:color="auto"/>
            </w:tcBorders>
            <w:shd w:val="clear" w:color="auto" w:fill="auto"/>
            <w:noWrap/>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0.3</w:t>
            </w:r>
          </w:p>
        </w:tc>
        <w:tc>
          <w:tcPr>
            <w:tcW w:w="1120" w:type="dxa"/>
            <w:tcBorders>
              <w:top w:val="nil"/>
              <w:left w:val="nil"/>
              <w:bottom w:val="single" w:sz="4" w:space="0" w:color="auto"/>
              <w:right w:val="single" w:sz="4" w:space="0" w:color="auto"/>
            </w:tcBorders>
            <w:shd w:val="clear" w:color="auto" w:fill="auto"/>
            <w:noWrap/>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1.0</w:t>
            </w:r>
          </w:p>
        </w:tc>
        <w:tc>
          <w:tcPr>
            <w:tcW w:w="1120" w:type="dxa"/>
            <w:tcBorders>
              <w:top w:val="nil"/>
              <w:left w:val="nil"/>
              <w:bottom w:val="single" w:sz="4" w:space="0" w:color="auto"/>
              <w:right w:val="single" w:sz="4" w:space="0" w:color="auto"/>
            </w:tcBorders>
            <w:shd w:val="clear" w:color="auto" w:fill="auto"/>
            <w:noWrap/>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0.3</w:t>
            </w:r>
          </w:p>
        </w:tc>
      </w:tr>
      <w:tr w:rsidR="00ED195F" w:rsidRPr="00ED195F">
        <w:trPr>
          <w:trHeight w:val="225"/>
        </w:trPr>
        <w:tc>
          <w:tcPr>
            <w:tcW w:w="1660" w:type="dxa"/>
            <w:tcBorders>
              <w:top w:val="nil"/>
              <w:left w:val="nil"/>
              <w:bottom w:val="nil"/>
              <w:right w:val="nil"/>
            </w:tcBorders>
            <w:shd w:val="clear" w:color="auto" w:fill="auto"/>
            <w:noWrap/>
            <w:vAlign w:val="bottom"/>
          </w:tcPr>
          <w:p w:rsidR="00ED195F" w:rsidRPr="00ED195F" w:rsidRDefault="00ED195F" w:rsidP="00ED195F">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ED195F" w:rsidRPr="00ED195F" w:rsidRDefault="00ED195F" w:rsidP="00ED195F">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ED195F" w:rsidRPr="00ED195F" w:rsidRDefault="00ED195F" w:rsidP="00ED195F">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ED195F" w:rsidRPr="00ED195F" w:rsidRDefault="00ED195F" w:rsidP="00ED195F">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ED195F" w:rsidRPr="00ED195F" w:rsidRDefault="00ED195F" w:rsidP="00ED195F">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ED195F" w:rsidRPr="00ED195F" w:rsidRDefault="00ED195F" w:rsidP="00ED195F">
            <w:pPr>
              <w:rPr>
                <w:rFonts w:ascii="Calibri" w:hAnsi="Calibri" w:cs="Calibri"/>
                <w:color w:val="000000"/>
                <w:sz w:val="16"/>
                <w:szCs w:val="16"/>
                <w:lang w:eastAsia="en-AU"/>
              </w:rPr>
            </w:pPr>
          </w:p>
        </w:tc>
      </w:tr>
      <w:tr w:rsidR="00ED195F" w:rsidRPr="00ED195F">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tcPr>
          <w:p w:rsidR="00ED195F" w:rsidRPr="00ED195F" w:rsidRDefault="00ED195F" w:rsidP="00ED195F">
            <w:pPr>
              <w:rPr>
                <w:rFonts w:ascii="Calibri" w:hAnsi="Calibri" w:cs="Calibri"/>
                <w:color w:val="000000"/>
                <w:sz w:val="16"/>
                <w:szCs w:val="16"/>
                <w:lang w:eastAsia="en-AU"/>
              </w:rPr>
            </w:pPr>
            <w:r w:rsidRPr="00ED195F">
              <w:rPr>
                <w:rFonts w:ascii="Calibri" w:hAnsi="Calibri" w:cs="Calibri"/>
                <w:color w:val="000000"/>
                <w:sz w:val="16"/>
                <w:szCs w:val="16"/>
                <w:lang w:eastAsia="en-AU"/>
              </w:rPr>
              <w:t>Year</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2010-11</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2009-10</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2008-09</w:t>
            </w:r>
          </w:p>
        </w:tc>
      </w:tr>
      <w:tr w:rsidR="00B3611E" w:rsidRPr="00ED195F">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611E" w:rsidRPr="00ED195F" w:rsidRDefault="00B3611E" w:rsidP="00ED195F">
            <w:pPr>
              <w:rPr>
                <w:rFonts w:ascii="Calibri" w:hAnsi="Calibri" w:cs="Calibri"/>
                <w:color w:val="000000"/>
                <w:sz w:val="16"/>
                <w:szCs w:val="16"/>
                <w:lang w:eastAsia="en-AU"/>
              </w:rPr>
            </w:pPr>
            <w:r w:rsidRPr="00CB6A7D">
              <w:rPr>
                <w:rFonts w:ascii="Calibri" w:hAnsi="Calibri" w:cs="Calibri"/>
                <w:color w:val="000000"/>
                <w:sz w:val="16"/>
                <w:szCs w:val="16"/>
                <w:lang w:eastAsia="en-AU"/>
              </w:rPr>
              <w:t>Percentage by which the conversion factor over or under estimates the weight of imports</w:t>
            </w:r>
          </w:p>
        </w:tc>
        <w:tc>
          <w:tcPr>
            <w:tcW w:w="1120" w:type="dxa"/>
            <w:tcBorders>
              <w:top w:val="nil"/>
              <w:left w:val="nil"/>
              <w:bottom w:val="single" w:sz="4" w:space="0" w:color="auto"/>
              <w:right w:val="single" w:sz="4" w:space="0" w:color="auto"/>
            </w:tcBorders>
            <w:shd w:val="clear" w:color="auto" w:fill="auto"/>
            <w:noWrap/>
            <w:vAlign w:val="center"/>
          </w:tcPr>
          <w:p w:rsidR="00B3611E" w:rsidRDefault="00B3611E">
            <w:pPr>
              <w:jc w:val="center"/>
              <w:rPr>
                <w:rFonts w:ascii="Calibri" w:hAnsi="Calibri" w:cs="Calibri"/>
                <w:color w:val="000000"/>
                <w:sz w:val="16"/>
                <w:szCs w:val="16"/>
              </w:rPr>
            </w:pPr>
            <w:r>
              <w:rPr>
                <w:rFonts w:ascii="Calibri" w:hAnsi="Calibri" w:cs="Calibri"/>
                <w:color w:val="000000"/>
                <w:sz w:val="16"/>
                <w:szCs w:val="16"/>
              </w:rPr>
              <w:t>0%</w:t>
            </w:r>
          </w:p>
        </w:tc>
        <w:tc>
          <w:tcPr>
            <w:tcW w:w="1120" w:type="dxa"/>
            <w:tcBorders>
              <w:top w:val="nil"/>
              <w:left w:val="nil"/>
              <w:bottom w:val="single" w:sz="4" w:space="0" w:color="auto"/>
              <w:right w:val="single" w:sz="4" w:space="0" w:color="auto"/>
            </w:tcBorders>
            <w:shd w:val="clear" w:color="auto" w:fill="auto"/>
            <w:noWrap/>
            <w:vAlign w:val="center"/>
          </w:tcPr>
          <w:p w:rsidR="00B3611E" w:rsidRDefault="00B3611E">
            <w:pPr>
              <w:jc w:val="center"/>
              <w:rPr>
                <w:rFonts w:ascii="Calibri" w:hAnsi="Calibri" w:cs="Calibri"/>
                <w:color w:val="000000"/>
                <w:sz w:val="16"/>
                <w:szCs w:val="16"/>
              </w:rPr>
            </w:pPr>
            <w:r>
              <w:rPr>
                <w:rFonts w:ascii="Calibri" w:hAnsi="Calibri" w:cs="Calibri"/>
                <w:color w:val="000000"/>
                <w:sz w:val="16"/>
                <w:szCs w:val="16"/>
              </w:rPr>
              <w:t>0%</w:t>
            </w:r>
          </w:p>
        </w:tc>
        <w:tc>
          <w:tcPr>
            <w:tcW w:w="1120" w:type="dxa"/>
            <w:tcBorders>
              <w:top w:val="nil"/>
              <w:left w:val="nil"/>
              <w:bottom w:val="single" w:sz="4" w:space="0" w:color="auto"/>
              <w:right w:val="single" w:sz="4" w:space="0" w:color="auto"/>
            </w:tcBorders>
            <w:shd w:val="clear" w:color="auto" w:fill="auto"/>
            <w:noWrap/>
            <w:vAlign w:val="center"/>
          </w:tcPr>
          <w:p w:rsidR="00B3611E" w:rsidRDefault="00B3611E">
            <w:pPr>
              <w:jc w:val="center"/>
              <w:rPr>
                <w:rFonts w:ascii="Calibri" w:hAnsi="Calibri" w:cs="Calibri"/>
                <w:color w:val="000000"/>
                <w:sz w:val="16"/>
                <w:szCs w:val="16"/>
              </w:rPr>
            </w:pPr>
            <w:r>
              <w:rPr>
                <w:rFonts w:ascii="Calibri" w:hAnsi="Calibri" w:cs="Calibri"/>
                <w:color w:val="000000"/>
                <w:sz w:val="16"/>
                <w:szCs w:val="16"/>
              </w:rPr>
              <w:t>2%</w:t>
            </w:r>
          </w:p>
        </w:tc>
      </w:tr>
    </w:tbl>
    <w:p w:rsidR="001A78F2" w:rsidRDefault="001A78F2">
      <w:pPr>
        <w:rPr>
          <w:szCs w:val="22"/>
        </w:rPr>
      </w:pPr>
    </w:p>
    <w:p w:rsidR="001A78F2" w:rsidRDefault="00ED195F">
      <w:pPr>
        <w:rPr>
          <w:szCs w:val="22"/>
        </w:rPr>
      </w:pPr>
      <w:r w:rsidRPr="005A3097">
        <w:rPr>
          <w:b/>
          <w:szCs w:val="22"/>
        </w:rPr>
        <w:t>Distribution:</w:t>
      </w:r>
      <w:r>
        <w:rPr>
          <w:b/>
          <w:szCs w:val="22"/>
        </w:rPr>
        <w:t xml:space="preserve"> </w:t>
      </w:r>
      <w:r>
        <w:rPr>
          <w:szCs w:val="22"/>
        </w:rPr>
        <w:t xml:space="preserve">All imports between </w:t>
      </w:r>
      <w:r w:rsidR="002F5182">
        <w:rPr>
          <w:szCs w:val="22"/>
        </w:rPr>
        <w:t>0-1</w:t>
      </w:r>
      <w:r w:rsidR="009F14B1">
        <w:rPr>
          <w:szCs w:val="22"/>
        </w:rPr>
        <w:t>.0</w:t>
      </w:r>
      <w:r>
        <w:rPr>
          <w:szCs w:val="22"/>
        </w:rPr>
        <w:t xml:space="preserve"> kg</w:t>
      </w:r>
    </w:p>
    <w:p w:rsidR="001A78F2" w:rsidRDefault="00ED195F">
      <w:pPr>
        <w:rPr>
          <w:szCs w:val="22"/>
        </w:rPr>
      </w:pPr>
      <w:r>
        <w:rPr>
          <w:b/>
          <w:szCs w:val="22"/>
        </w:rPr>
        <w:t xml:space="preserve">Proposed conversion factor: </w:t>
      </w:r>
      <w:r w:rsidR="002F5182">
        <w:rPr>
          <w:szCs w:val="22"/>
        </w:rPr>
        <w:t>1</w:t>
      </w:r>
      <w:r w:rsidR="009F14B1">
        <w:rPr>
          <w:szCs w:val="22"/>
        </w:rPr>
        <w:t>.0</w:t>
      </w:r>
      <w:r w:rsidRPr="007475CE">
        <w:rPr>
          <w:szCs w:val="22"/>
        </w:rPr>
        <w:t xml:space="preserve"> </w:t>
      </w:r>
      <w:r>
        <w:rPr>
          <w:szCs w:val="22"/>
        </w:rPr>
        <w:t>kg.</w:t>
      </w:r>
    </w:p>
    <w:p w:rsidR="001A78F2" w:rsidRDefault="00ED195F">
      <w:pPr>
        <w:rPr>
          <w:szCs w:val="22"/>
        </w:rPr>
      </w:pPr>
      <w:r>
        <w:rPr>
          <w:b/>
          <w:szCs w:val="22"/>
        </w:rPr>
        <w:t>Proposed confidence interval</w:t>
      </w:r>
      <w:r w:rsidRPr="00B02F83">
        <w:rPr>
          <w:szCs w:val="22"/>
        </w:rPr>
        <w:t xml:space="preserve">: </w:t>
      </w:r>
      <w:r>
        <w:rPr>
          <w:szCs w:val="22"/>
        </w:rPr>
        <w:t xml:space="preserve"> &gt; 0.3 kg, </w:t>
      </w:r>
      <w:r w:rsidR="00B3611E">
        <w:rPr>
          <w:szCs w:val="22"/>
        </w:rPr>
        <w:t xml:space="preserve">&lt; </w:t>
      </w:r>
      <w:r w:rsidR="002F5182">
        <w:rPr>
          <w:szCs w:val="22"/>
        </w:rPr>
        <w:t>1</w:t>
      </w:r>
      <w:r w:rsidR="009F14B1">
        <w:rPr>
          <w:szCs w:val="22"/>
        </w:rPr>
        <w:t>.0</w:t>
      </w:r>
      <w:r w:rsidR="002F5182">
        <w:rPr>
          <w:szCs w:val="22"/>
        </w:rPr>
        <w:t xml:space="preserve"> kg</w:t>
      </w:r>
    </w:p>
    <w:p w:rsidR="001A78F2" w:rsidRDefault="00C62346">
      <w:pPr>
        <w:rPr>
          <w:szCs w:val="22"/>
        </w:rPr>
      </w:pPr>
      <w:r>
        <w:rPr>
          <w:b/>
          <w:szCs w:val="22"/>
        </w:rPr>
        <w:t xml:space="preserve">Variation over time: </w:t>
      </w:r>
      <w:r w:rsidR="002F5182">
        <w:rPr>
          <w:szCs w:val="22"/>
        </w:rPr>
        <w:t>Low</w:t>
      </w:r>
    </w:p>
    <w:p w:rsidR="001A78F2" w:rsidRDefault="001A78F2">
      <w:pPr>
        <w:rPr>
          <w:szCs w:val="22"/>
        </w:rPr>
      </w:pPr>
    </w:p>
    <w:p w:rsidR="001A78F2" w:rsidRDefault="001A78F2">
      <w:pPr>
        <w:rPr>
          <w:szCs w:val="22"/>
        </w:rPr>
      </w:pPr>
    </w:p>
    <w:p w:rsidR="002F5182" w:rsidRDefault="002F5182" w:rsidP="005D1179">
      <w:pPr>
        <w:jc w:val="both"/>
        <w:rPr>
          <w:szCs w:val="22"/>
        </w:rPr>
      </w:pPr>
    </w:p>
    <w:p w:rsidR="003E3C96" w:rsidRDefault="003E3C96">
      <w:pPr>
        <w:rPr>
          <w:rFonts w:ascii="Arial" w:hAnsi="Arial" w:cs="Arial"/>
          <w:b/>
          <w:bCs/>
          <w:color w:val="000000"/>
          <w:szCs w:val="22"/>
          <w:lang w:eastAsia="en-AU"/>
        </w:rPr>
      </w:pPr>
      <w:r>
        <w:rPr>
          <w:rFonts w:ascii="Arial" w:hAnsi="Arial" w:cs="Arial"/>
          <w:b/>
          <w:bCs/>
          <w:color w:val="000000"/>
          <w:szCs w:val="22"/>
          <w:lang w:eastAsia="en-AU"/>
        </w:rPr>
        <w:br w:type="page"/>
      </w:r>
    </w:p>
    <w:p w:rsidR="002F5182" w:rsidRDefault="00B3611E" w:rsidP="005D1179">
      <w:pPr>
        <w:jc w:val="both"/>
        <w:rPr>
          <w:rFonts w:ascii="Arial" w:hAnsi="Arial" w:cs="Arial"/>
          <w:b/>
          <w:bCs/>
          <w:color w:val="000000"/>
          <w:szCs w:val="22"/>
          <w:lang w:eastAsia="en-AU"/>
        </w:rPr>
      </w:pPr>
      <w:r w:rsidRPr="00ED195F">
        <w:rPr>
          <w:rFonts w:ascii="Arial" w:hAnsi="Arial" w:cs="Arial"/>
          <w:b/>
          <w:bCs/>
          <w:color w:val="000000"/>
          <w:szCs w:val="22"/>
          <w:lang w:eastAsia="en-AU"/>
        </w:rPr>
        <w:t>SC07 8471.70.00 25 - DVD drives (incl burners)</w:t>
      </w:r>
    </w:p>
    <w:p w:rsidR="004360E0" w:rsidRDefault="004360E0" w:rsidP="004360E0">
      <w:pPr>
        <w:pStyle w:val="Caption"/>
        <w:keepNext/>
      </w:pPr>
    </w:p>
    <w:p w:rsidR="00B3611E" w:rsidRPr="004360E0" w:rsidRDefault="009F14B1" w:rsidP="004360E0">
      <w:pPr>
        <w:pStyle w:val="Caption"/>
        <w:keepNext/>
      </w:pPr>
      <w:r>
        <w:t>Figure 5-29</w:t>
      </w:r>
      <w:r w:rsidR="002652C5">
        <w:t xml:space="preserve">  </w:t>
      </w:r>
      <w:r w:rsidR="00AC1355">
        <w:t>HTISC frequency distribution in CF year</w:t>
      </w:r>
    </w:p>
    <w:p w:rsidR="003E3C96" w:rsidRDefault="003E3C96" w:rsidP="005D1179">
      <w:pPr>
        <w:jc w:val="both"/>
        <w:rPr>
          <w:szCs w:val="22"/>
        </w:rPr>
      </w:pPr>
      <w:r w:rsidRPr="003E3C96">
        <w:rPr>
          <w:noProof/>
          <w:szCs w:val="22"/>
          <w:lang w:eastAsia="en-AU"/>
        </w:rPr>
        <w:drawing>
          <wp:inline distT="0" distB="0" distL="0" distR="0">
            <wp:extent cx="4889500" cy="2984500"/>
            <wp:effectExtent l="19050" t="0" r="25400" b="6350"/>
            <wp:docPr id="5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B3611E" w:rsidRDefault="00B3611E" w:rsidP="005D1179">
      <w:pPr>
        <w:jc w:val="both"/>
        <w:rPr>
          <w:szCs w:val="22"/>
        </w:rPr>
      </w:pPr>
    </w:p>
    <w:p w:rsidR="00D73340" w:rsidRDefault="00D73340" w:rsidP="00D73340">
      <w:pPr>
        <w:pStyle w:val="Caption"/>
      </w:pPr>
    </w:p>
    <w:p w:rsidR="003E3C96" w:rsidRPr="00D73340" w:rsidRDefault="00207129" w:rsidP="00D73340">
      <w:pPr>
        <w:pStyle w:val="Caption"/>
      </w:pPr>
      <w:r>
        <w:t xml:space="preserve">Table 5-21 </w:t>
      </w:r>
      <w:r w:rsidR="00D73340">
        <w:t>Conversion factor statistics</w:t>
      </w:r>
    </w:p>
    <w:tbl>
      <w:tblPr>
        <w:tblW w:w="7260" w:type="dxa"/>
        <w:tblInd w:w="93" w:type="dxa"/>
        <w:tblLook w:val="04A0"/>
      </w:tblPr>
      <w:tblGrid>
        <w:gridCol w:w="1660"/>
        <w:gridCol w:w="1120"/>
        <w:gridCol w:w="1120"/>
        <w:gridCol w:w="1120"/>
        <w:gridCol w:w="1120"/>
        <w:gridCol w:w="1120"/>
      </w:tblGrid>
      <w:tr w:rsidR="00ED195F" w:rsidRPr="00ED195F">
        <w:trPr>
          <w:trHeight w:val="450"/>
        </w:trPr>
        <w:tc>
          <w:tcPr>
            <w:tcW w:w="1660" w:type="dxa"/>
            <w:tcBorders>
              <w:top w:val="single" w:sz="4" w:space="0" w:color="auto"/>
              <w:left w:val="single" w:sz="4" w:space="0" w:color="auto"/>
              <w:bottom w:val="single" w:sz="4" w:space="0" w:color="auto"/>
              <w:right w:val="single" w:sz="4" w:space="0" w:color="auto"/>
            </w:tcBorders>
            <w:shd w:val="clear" w:color="000000" w:fill="D8D8D8"/>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CF year</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No. of ABS imports</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 ABS imports included</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Min weight</w:t>
            </w:r>
            <w:r w:rsidRPr="00ED195F">
              <w:rPr>
                <w:rFonts w:ascii="Calibri" w:hAnsi="Calibri" w:cs="Calibri"/>
                <w:color w:val="000000"/>
                <w:sz w:val="16"/>
                <w:szCs w:val="16"/>
                <w:lang w:eastAsia="en-AU"/>
              </w:rPr>
              <w:br/>
              <w:t>(kg)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Max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Standard deviation</w:t>
            </w:r>
          </w:p>
        </w:tc>
      </w:tr>
      <w:tr w:rsidR="00ED195F" w:rsidRPr="00ED195F">
        <w:trPr>
          <w:trHeight w:val="225"/>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2010-11</w:t>
            </w:r>
          </w:p>
        </w:tc>
        <w:tc>
          <w:tcPr>
            <w:tcW w:w="1120" w:type="dxa"/>
            <w:tcBorders>
              <w:top w:val="nil"/>
              <w:left w:val="nil"/>
              <w:bottom w:val="single" w:sz="4" w:space="0" w:color="auto"/>
              <w:right w:val="single" w:sz="4" w:space="0" w:color="auto"/>
            </w:tcBorders>
            <w:shd w:val="clear" w:color="auto" w:fill="auto"/>
            <w:noWrap/>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1,191,409</w:t>
            </w:r>
          </w:p>
        </w:tc>
        <w:tc>
          <w:tcPr>
            <w:tcW w:w="1120" w:type="dxa"/>
            <w:tcBorders>
              <w:top w:val="nil"/>
              <w:left w:val="nil"/>
              <w:bottom w:val="single" w:sz="4" w:space="0" w:color="auto"/>
              <w:right w:val="single" w:sz="4" w:space="0" w:color="auto"/>
            </w:tcBorders>
            <w:shd w:val="clear" w:color="auto" w:fill="auto"/>
            <w:noWrap/>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1%</w:t>
            </w:r>
          </w:p>
        </w:tc>
        <w:tc>
          <w:tcPr>
            <w:tcW w:w="1120" w:type="dxa"/>
            <w:tcBorders>
              <w:top w:val="nil"/>
              <w:left w:val="nil"/>
              <w:bottom w:val="single" w:sz="4" w:space="0" w:color="auto"/>
              <w:right w:val="single" w:sz="4" w:space="0" w:color="auto"/>
            </w:tcBorders>
            <w:shd w:val="clear" w:color="auto" w:fill="auto"/>
            <w:noWrap/>
            <w:vAlign w:val="center"/>
          </w:tcPr>
          <w:p w:rsidR="00ED195F" w:rsidRPr="00ED195F" w:rsidRDefault="00ED195F" w:rsidP="00665B26">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0.2</w:t>
            </w:r>
          </w:p>
        </w:tc>
        <w:tc>
          <w:tcPr>
            <w:tcW w:w="1120" w:type="dxa"/>
            <w:tcBorders>
              <w:top w:val="nil"/>
              <w:left w:val="nil"/>
              <w:bottom w:val="single" w:sz="4" w:space="0" w:color="auto"/>
              <w:right w:val="single" w:sz="4" w:space="0" w:color="auto"/>
            </w:tcBorders>
            <w:shd w:val="clear" w:color="auto" w:fill="auto"/>
            <w:noWrap/>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1.0</w:t>
            </w:r>
          </w:p>
        </w:tc>
        <w:tc>
          <w:tcPr>
            <w:tcW w:w="1120" w:type="dxa"/>
            <w:tcBorders>
              <w:top w:val="nil"/>
              <w:left w:val="nil"/>
              <w:bottom w:val="single" w:sz="4" w:space="0" w:color="auto"/>
              <w:right w:val="single" w:sz="4" w:space="0" w:color="auto"/>
            </w:tcBorders>
            <w:shd w:val="clear" w:color="auto" w:fill="auto"/>
            <w:noWrap/>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0.1</w:t>
            </w:r>
          </w:p>
        </w:tc>
      </w:tr>
      <w:tr w:rsidR="00ED195F" w:rsidRPr="00ED195F">
        <w:trPr>
          <w:trHeight w:val="225"/>
        </w:trPr>
        <w:tc>
          <w:tcPr>
            <w:tcW w:w="1660" w:type="dxa"/>
            <w:tcBorders>
              <w:top w:val="nil"/>
              <w:left w:val="nil"/>
              <w:bottom w:val="nil"/>
              <w:right w:val="nil"/>
            </w:tcBorders>
            <w:shd w:val="clear" w:color="auto" w:fill="auto"/>
            <w:noWrap/>
            <w:vAlign w:val="bottom"/>
          </w:tcPr>
          <w:p w:rsidR="00ED195F" w:rsidRPr="00ED195F" w:rsidRDefault="00ED195F" w:rsidP="00ED195F">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ED195F" w:rsidRPr="00ED195F" w:rsidRDefault="00ED195F" w:rsidP="00ED195F">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ED195F" w:rsidRPr="00ED195F" w:rsidRDefault="00ED195F" w:rsidP="00ED195F">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ED195F" w:rsidRPr="00ED195F" w:rsidRDefault="00ED195F" w:rsidP="00ED195F">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ED195F" w:rsidRPr="00ED195F" w:rsidRDefault="00ED195F" w:rsidP="00ED195F">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ED195F" w:rsidRPr="00ED195F" w:rsidRDefault="00ED195F" w:rsidP="00ED195F">
            <w:pPr>
              <w:rPr>
                <w:rFonts w:ascii="Calibri" w:hAnsi="Calibri" w:cs="Calibri"/>
                <w:color w:val="000000"/>
                <w:sz w:val="16"/>
                <w:szCs w:val="16"/>
                <w:lang w:eastAsia="en-AU"/>
              </w:rPr>
            </w:pPr>
          </w:p>
        </w:tc>
      </w:tr>
      <w:tr w:rsidR="00ED195F" w:rsidRPr="00ED195F">
        <w:trPr>
          <w:trHeight w:val="450"/>
        </w:trPr>
        <w:tc>
          <w:tcPr>
            <w:tcW w:w="1660" w:type="dxa"/>
            <w:tcBorders>
              <w:top w:val="single" w:sz="4" w:space="0" w:color="auto"/>
              <w:left w:val="single" w:sz="4" w:space="0" w:color="auto"/>
              <w:bottom w:val="nil"/>
              <w:right w:val="single" w:sz="4" w:space="0" w:color="auto"/>
            </w:tcBorders>
            <w:shd w:val="clear" w:color="000000" w:fill="D8D8D8"/>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Method</w:t>
            </w:r>
          </w:p>
        </w:tc>
        <w:tc>
          <w:tcPr>
            <w:tcW w:w="1120" w:type="dxa"/>
            <w:tcBorders>
              <w:top w:val="single" w:sz="4" w:space="0" w:color="auto"/>
              <w:left w:val="nil"/>
              <w:bottom w:val="nil"/>
              <w:right w:val="single" w:sz="4" w:space="0" w:color="auto"/>
            </w:tcBorders>
            <w:shd w:val="clear" w:color="000000" w:fill="D8D8D8"/>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Measure of average</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Average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Lower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Upper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Confidence interval ± (kg)</w:t>
            </w:r>
          </w:p>
        </w:tc>
      </w:tr>
      <w:tr w:rsidR="00ED195F" w:rsidRPr="00ED195F">
        <w:trPr>
          <w:trHeight w:val="48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Approximation to the normal distribution</w:t>
            </w:r>
          </w:p>
        </w:tc>
        <w:tc>
          <w:tcPr>
            <w:tcW w:w="1120" w:type="dxa"/>
            <w:tcBorders>
              <w:top w:val="single" w:sz="4" w:space="0" w:color="auto"/>
              <w:left w:val="nil"/>
              <w:bottom w:val="single" w:sz="4" w:space="0" w:color="auto"/>
              <w:right w:val="single" w:sz="4" w:space="0" w:color="auto"/>
            </w:tcBorders>
            <w:shd w:val="clear" w:color="auto" w:fill="auto"/>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Mean</w:t>
            </w:r>
          </w:p>
        </w:tc>
        <w:tc>
          <w:tcPr>
            <w:tcW w:w="1120" w:type="dxa"/>
            <w:tcBorders>
              <w:top w:val="nil"/>
              <w:left w:val="nil"/>
              <w:bottom w:val="single" w:sz="4" w:space="0" w:color="auto"/>
              <w:right w:val="single" w:sz="4" w:space="0" w:color="auto"/>
            </w:tcBorders>
            <w:shd w:val="clear" w:color="auto" w:fill="auto"/>
            <w:noWrap/>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0.6</w:t>
            </w:r>
          </w:p>
        </w:tc>
        <w:tc>
          <w:tcPr>
            <w:tcW w:w="1120" w:type="dxa"/>
            <w:tcBorders>
              <w:top w:val="nil"/>
              <w:left w:val="nil"/>
              <w:bottom w:val="single" w:sz="4" w:space="0" w:color="auto"/>
              <w:right w:val="single" w:sz="4" w:space="0" w:color="auto"/>
            </w:tcBorders>
            <w:shd w:val="clear" w:color="auto" w:fill="auto"/>
            <w:noWrap/>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0.4</w:t>
            </w:r>
          </w:p>
        </w:tc>
        <w:tc>
          <w:tcPr>
            <w:tcW w:w="1120" w:type="dxa"/>
            <w:tcBorders>
              <w:top w:val="nil"/>
              <w:left w:val="nil"/>
              <w:bottom w:val="single" w:sz="4" w:space="0" w:color="auto"/>
              <w:right w:val="single" w:sz="4" w:space="0" w:color="auto"/>
            </w:tcBorders>
            <w:shd w:val="clear" w:color="auto" w:fill="auto"/>
            <w:noWrap/>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0.7</w:t>
            </w:r>
          </w:p>
        </w:tc>
        <w:tc>
          <w:tcPr>
            <w:tcW w:w="1120" w:type="dxa"/>
            <w:tcBorders>
              <w:top w:val="nil"/>
              <w:left w:val="nil"/>
              <w:bottom w:val="single" w:sz="4" w:space="0" w:color="auto"/>
              <w:right w:val="single" w:sz="4" w:space="0" w:color="auto"/>
            </w:tcBorders>
            <w:shd w:val="clear" w:color="auto" w:fill="auto"/>
            <w:noWrap/>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0.1</w:t>
            </w:r>
          </w:p>
        </w:tc>
      </w:tr>
      <w:tr w:rsidR="00ED195F" w:rsidRPr="00ED195F">
        <w:trPr>
          <w:trHeight w:val="480"/>
        </w:trPr>
        <w:tc>
          <w:tcPr>
            <w:tcW w:w="1660" w:type="dxa"/>
            <w:tcBorders>
              <w:top w:val="nil"/>
              <w:left w:val="single" w:sz="4" w:space="0" w:color="auto"/>
              <w:bottom w:val="single" w:sz="4" w:space="0" w:color="auto"/>
              <w:right w:val="single" w:sz="4" w:space="0" w:color="auto"/>
            </w:tcBorders>
            <w:shd w:val="clear" w:color="auto" w:fill="auto"/>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Use of percentiles</w:t>
            </w:r>
          </w:p>
        </w:tc>
        <w:tc>
          <w:tcPr>
            <w:tcW w:w="1120" w:type="dxa"/>
            <w:tcBorders>
              <w:top w:val="nil"/>
              <w:left w:val="nil"/>
              <w:bottom w:val="single" w:sz="4" w:space="0" w:color="auto"/>
              <w:right w:val="single" w:sz="4" w:space="0" w:color="auto"/>
            </w:tcBorders>
            <w:shd w:val="clear" w:color="auto" w:fill="auto"/>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Median</w:t>
            </w:r>
          </w:p>
        </w:tc>
        <w:tc>
          <w:tcPr>
            <w:tcW w:w="1120" w:type="dxa"/>
            <w:tcBorders>
              <w:top w:val="nil"/>
              <w:left w:val="nil"/>
              <w:bottom w:val="single" w:sz="4" w:space="0" w:color="auto"/>
              <w:right w:val="single" w:sz="4" w:space="0" w:color="auto"/>
            </w:tcBorders>
            <w:shd w:val="clear" w:color="auto" w:fill="auto"/>
            <w:noWrap/>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0.9</w:t>
            </w:r>
          </w:p>
        </w:tc>
        <w:tc>
          <w:tcPr>
            <w:tcW w:w="1120" w:type="dxa"/>
            <w:tcBorders>
              <w:top w:val="nil"/>
              <w:left w:val="nil"/>
              <w:bottom w:val="single" w:sz="4" w:space="0" w:color="auto"/>
              <w:right w:val="single" w:sz="4" w:space="0" w:color="auto"/>
            </w:tcBorders>
            <w:shd w:val="clear" w:color="auto" w:fill="auto"/>
            <w:noWrap/>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0.2</w:t>
            </w:r>
          </w:p>
        </w:tc>
        <w:tc>
          <w:tcPr>
            <w:tcW w:w="1120" w:type="dxa"/>
            <w:tcBorders>
              <w:top w:val="nil"/>
              <w:left w:val="nil"/>
              <w:bottom w:val="single" w:sz="4" w:space="0" w:color="auto"/>
              <w:right w:val="single" w:sz="4" w:space="0" w:color="auto"/>
            </w:tcBorders>
            <w:shd w:val="clear" w:color="auto" w:fill="auto"/>
            <w:noWrap/>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1.0</w:t>
            </w:r>
          </w:p>
        </w:tc>
        <w:tc>
          <w:tcPr>
            <w:tcW w:w="1120" w:type="dxa"/>
            <w:tcBorders>
              <w:top w:val="nil"/>
              <w:left w:val="nil"/>
              <w:bottom w:val="single" w:sz="4" w:space="0" w:color="auto"/>
              <w:right w:val="single" w:sz="4" w:space="0" w:color="auto"/>
            </w:tcBorders>
            <w:shd w:val="clear" w:color="auto" w:fill="auto"/>
            <w:noWrap/>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0.6</w:t>
            </w:r>
          </w:p>
        </w:tc>
      </w:tr>
      <w:tr w:rsidR="00ED195F" w:rsidRPr="00ED195F">
        <w:trPr>
          <w:trHeight w:val="225"/>
        </w:trPr>
        <w:tc>
          <w:tcPr>
            <w:tcW w:w="1660" w:type="dxa"/>
            <w:tcBorders>
              <w:top w:val="nil"/>
              <w:left w:val="nil"/>
              <w:bottom w:val="nil"/>
              <w:right w:val="nil"/>
            </w:tcBorders>
            <w:shd w:val="clear" w:color="auto" w:fill="auto"/>
            <w:noWrap/>
            <w:vAlign w:val="bottom"/>
          </w:tcPr>
          <w:p w:rsidR="00ED195F" w:rsidRPr="00ED195F" w:rsidRDefault="00ED195F" w:rsidP="00ED195F">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ED195F" w:rsidRPr="00ED195F" w:rsidRDefault="00ED195F" w:rsidP="00ED195F">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ED195F" w:rsidRPr="00ED195F" w:rsidRDefault="00ED195F" w:rsidP="00ED195F">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ED195F" w:rsidRPr="00ED195F" w:rsidRDefault="00ED195F" w:rsidP="00ED195F">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ED195F" w:rsidRPr="00ED195F" w:rsidRDefault="00ED195F" w:rsidP="00ED195F">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ED195F" w:rsidRPr="00ED195F" w:rsidRDefault="00ED195F" w:rsidP="00ED195F">
            <w:pPr>
              <w:rPr>
                <w:rFonts w:ascii="Calibri" w:hAnsi="Calibri" w:cs="Calibri"/>
                <w:color w:val="000000"/>
                <w:sz w:val="16"/>
                <w:szCs w:val="16"/>
                <w:lang w:eastAsia="en-AU"/>
              </w:rPr>
            </w:pPr>
          </w:p>
        </w:tc>
      </w:tr>
      <w:tr w:rsidR="00ED195F" w:rsidRPr="00ED195F">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tcPr>
          <w:p w:rsidR="00ED195F" w:rsidRPr="00ED195F" w:rsidRDefault="00ED195F" w:rsidP="00ED195F">
            <w:pPr>
              <w:rPr>
                <w:rFonts w:ascii="Calibri" w:hAnsi="Calibri" w:cs="Calibri"/>
                <w:color w:val="000000"/>
                <w:sz w:val="16"/>
                <w:szCs w:val="16"/>
                <w:lang w:eastAsia="en-AU"/>
              </w:rPr>
            </w:pPr>
            <w:r w:rsidRPr="00ED195F">
              <w:rPr>
                <w:rFonts w:ascii="Calibri" w:hAnsi="Calibri" w:cs="Calibri"/>
                <w:color w:val="000000"/>
                <w:sz w:val="16"/>
                <w:szCs w:val="16"/>
                <w:lang w:eastAsia="en-AU"/>
              </w:rPr>
              <w:t>Year</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2010-11</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2009-10</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2008-09</w:t>
            </w:r>
          </w:p>
        </w:tc>
      </w:tr>
      <w:tr w:rsidR="00B3611E" w:rsidRPr="00ED195F">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611E" w:rsidRPr="00ED195F" w:rsidRDefault="00B3611E" w:rsidP="00ED195F">
            <w:pPr>
              <w:rPr>
                <w:rFonts w:ascii="Calibri" w:hAnsi="Calibri" w:cs="Calibri"/>
                <w:color w:val="000000"/>
                <w:sz w:val="16"/>
                <w:szCs w:val="16"/>
                <w:lang w:eastAsia="en-AU"/>
              </w:rPr>
            </w:pPr>
            <w:r w:rsidRPr="00CB6A7D">
              <w:rPr>
                <w:rFonts w:ascii="Calibri" w:hAnsi="Calibri" w:cs="Calibri"/>
                <w:color w:val="000000"/>
                <w:sz w:val="16"/>
                <w:szCs w:val="16"/>
                <w:lang w:eastAsia="en-AU"/>
              </w:rPr>
              <w:t>Percentage by which the conversion factor over or under estimates the weight of imports</w:t>
            </w:r>
          </w:p>
        </w:tc>
        <w:tc>
          <w:tcPr>
            <w:tcW w:w="1120" w:type="dxa"/>
            <w:tcBorders>
              <w:top w:val="nil"/>
              <w:left w:val="nil"/>
              <w:bottom w:val="single" w:sz="4" w:space="0" w:color="auto"/>
              <w:right w:val="single" w:sz="4" w:space="0" w:color="auto"/>
            </w:tcBorders>
            <w:shd w:val="clear" w:color="auto" w:fill="auto"/>
            <w:noWrap/>
            <w:vAlign w:val="center"/>
          </w:tcPr>
          <w:p w:rsidR="00B3611E" w:rsidRDefault="00B3611E">
            <w:pPr>
              <w:jc w:val="center"/>
              <w:rPr>
                <w:rFonts w:ascii="Calibri" w:hAnsi="Calibri" w:cs="Calibri"/>
                <w:color w:val="000000"/>
                <w:sz w:val="16"/>
                <w:szCs w:val="16"/>
              </w:rPr>
            </w:pPr>
            <w:r>
              <w:rPr>
                <w:rFonts w:ascii="Calibri" w:hAnsi="Calibri" w:cs="Calibri"/>
                <w:color w:val="000000"/>
                <w:sz w:val="16"/>
                <w:szCs w:val="16"/>
              </w:rPr>
              <w:t>0%</w:t>
            </w:r>
          </w:p>
        </w:tc>
        <w:tc>
          <w:tcPr>
            <w:tcW w:w="1120" w:type="dxa"/>
            <w:tcBorders>
              <w:top w:val="nil"/>
              <w:left w:val="nil"/>
              <w:bottom w:val="single" w:sz="4" w:space="0" w:color="auto"/>
              <w:right w:val="single" w:sz="4" w:space="0" w:color="auto"/>
            </w:tcBorders>
            <w:shd w:val="clear" w:color="auto" w:fill="auto"/>
            <w:noWrap/>
            <w:vAlign w:val="center"/>
          </w:tcPr>
          <w:p w:rsidR="00B3611E" w:rsidRDefault="00B3611E">
            <w:pPr>
              <w:jc w:val="center"/>
              <w:rPr>
                <w:rFonts w:ascii="Calibri" w:hAnsi="Calibri" w:cs="Calibri"/>
                <w:color w:val="000000"/>
                <w:sz w:val="16"/>
                <w:szCs w:val="16"/>
              </w:rPr>
            </w:pPr>
            <w:r>
              <w:rPr>
                <w:rFonts w:ascii="Calibri" w:hAnsi="Calibri" w:cs="Calibri"/>
                <w:color w:val="000000"/>
                <w:sz w:val="16"/>
                <w:szCs w:val="16"/>
              </w:rPr>
              <w:t>10%</w:t>
            </w:r>
          </w:p>
        </w:tc>
        <w:tc>
          <w:tcPr>
            <w:tcW w:w="1120" w:type="dxa"/>
            <w:tcBorders>
              <w:top w:val="nil"/>
              <w:left w:val="nil"/>
              <w:bottom w:val="single" w:sz="4" w:space="0" w:color="auto"/>
              <w:right w:val="single" w:sz="4" w:space="0" w:color="auto"/>
            </w:tcBorders>
            <w:shd w:val="clear" w:color="auto" w:fill="auto"/>
            <w:noWrap/>
            <w:vAlign w:val="center"/>
          </w:tcPr>
          <w:p w:rsidR="00B3611E" w:rsidRDefault="00B3611E">
            <w:pPr>
              <w:jc w:val="center"/>
              <w:rPr>
                <w:rFonts w:ascii="Calibri" w:hAnsi="Calibri" w:cs="Calibri"/>
                <w:color w:val="000000"/>
                <w:sz w:val="16"/>
                <w:szCs w:val="16"/>
              </w:rPr>
            </w:pPr>
            <w:r>
              <w:rPr>
                <w:rFonts w:ascii="Calibri" w:hAnsi="Calibri" w:cs="Calibri"/>
                <w:color w:val="000000"/>
                <w:sz w:val="16"/>
                <w:szCs w:val="16"/>
              </w:rPr>
              <w:t>22%</w:t>
            </w:r>
          </w:p>
        </w:tc>
      </w:tr>
    </w:tbl>
    <w:p w:rsidR="000941E0" w:rsidRDefault="000941E0" w:rsidP="005D1179">
      <w:pPr>
        <w:jc w:val="both"/>
        <w:rPr>
          <w:szCs w:val="22"/>
        </w:rPr>
      </w:pPr>
    </w:p>
    <w:p w:rsidR="001A78F2" w:rsidRDefault="002F5182">
      <w:pPr>
        <w:rPr>
          <w:szCs w:val="22"/>
        </w:rPr>
      </w:pPr>
      <w:r w:rsidRPr="005A3097">
        <w:rPr>
          <w:b/>
          <w:szCs w:val="22"/>
        </w:rPr>
        <w:t>Distribution:</w:t>
      </w:r>
      <w:r>
        <w:rPr>
          <w:b/>
          <w:szCs w:val="22"/>
        </w:rPr>
        <w:t xml:space="preserve"> </w:t>
      </w:r>
      <w:r>
        <w:rPr>
          <w:szCs w:val="22"/>
        </w:rPr>
        <w:t>All imports between 0-1</w:t>
      </w:r>
      <w:r w:rsidR="009F14B1">
        <w:rPr>
          <w:szCs w:val="22"/>
        </w:rPr>
        <w:t>.0</w:t>
      </w:r>
      <w:r>
        <w:rPr>
          <w:szCs w:val="22"/>
        </w:rPr>
        <w:t xml:space="preserve"> kg</w:t>
      </w:r>
    </w:p>
    <w:p w:rsidR="001A78F2" w:rsidRDefault="002F5182">
      <w:pPr>
        <w:rPr>
          <w:szCs w:val="22"/>
        </w:rPr>
      </w:pPr>
      <w:r>
        <w:rPr>
          <w:b/>
          <w:szCs w:val="22"/>
        </w:rPr>
        <w:t xml:space="preserve">Proposed conversion factor: </w:t>
      </w:r>
      <w:r>
        <w:rPr>
          <w:szCs w:val="22"/>
        </w:rPr>
        <w:t>0.6</w:t>
      </w:r>
      <w:r w:rsidRPr="007475CE">
        <w:rPr>
          <w:szCs w:val="22"/>
        </w:rPr>
        <w:t xml:space="preserve"> </w:t>
      </w:r>
      <w:r>
        <w:rPr>
          <w:szCs w:val="22"/>
        </w:rPr>
        <w:t>kg.</w:t>
      </w:r>
    </w:p>
    <w:p w:rsidR="001A78F2" w:rsidRDefault="002F5182">
      <w:pPr>
        <w:rPr>
          <w:szCs w:val="22"/>
        </w:rPr>
      </w:pPr>
      <w:r>
        <w:rPr>
          <w:b/>
          <w:szCs w:val="22"/>
        </w:rPr>
        <w:t>Proposed confidence interval</w:t>
      </w:r>
      <w:r w:rsidRPr="00B02F83">
        <w:rPr>
          <w:szCs w:val="22"/>
        </w:rPr>
        <w:t xml:space="preserve">: </w:t>
      </w:r>
      <w:r>
        <w:rPr>
          <w:szCs w:val="22"/>
        </w:rPr>
        <w:t xml:space="preserve"> &gt; 0.2 kg, </w:t>
      </w:r>
      <w:r w:rsidR="00B3611E">
        <w:rPr>
          <w:szCs w:val="22"/>
        </w:rPr>
        <w:t xml:space="preserve">&lt; </w:t>
      </w:r>
      <w:r>
        <w:rPr>
          <w:szCs w:val="22"/>
        </w:rPr>
        <w:t>1</w:t>
      </w:r>
      <w:r w:rsidR="009F14B1">
        <w:rPr>
          <w:szCs w:val="22"/>
        </w:rPr>
        <w:t>.0</w:t>
      </w:r>
      <w:r>
        <w:rPr>
          <w:szCs w:val="22"/>
        </w:rPr>
        <w:t xml:space="preserve"> kg</w:t>
      </w:r>
    </w:p>
    <w:p w:rsidR="001A78F2" w:rsidRDefault="00C62346">
      <w:pPr>
        <w:rPr>
          <w:szCs w:val="22"/>
        </w:rPr>
      </w:pPr>
      <w:r>
        <w:rPr>
          <w:b/>
          <w:szCs w:val="22"/>
        </w:rPr>
        <w:t xml:space="preserve">Variation over time: </w:t>
      </w:r>
      <w:r w:rsidR="00112A79">
        <w:rPr>
          <w:szCs w:val="22"/>
        </w:rPr>
        <w:t>High</w:t>
      </w:r>
    </w:p>
    <w:p w:rsidR="001A78F2" w:rsidRDefault="001A78F2">
      <w:pPr>
        <w:rPr>
          <w:szCs w:val="22"/>
        </w:rPr>
      </w:pPr>
    </w:p>
    <w:p w:rsidR="001A78F2" w:rsidRDefault="001A78F2">
      <w:pPr>
        <w:rPr>
          <w:szCs w:val="22"/>
        </w:rPr>
      </w:pPr>
    </w:p>
    <w:p w:rsidR="003E3C96" w:rsidRDefault="003E3C96">
      <w:pPr>
        <w:rPr>
          <w:rFonts w:ascii="Arial" w:hAnsi="Arial" w:cs="Arial"/>
          <w:b/>
          <w:bCs/>
          <w:color w:val="000000"/>
          <w:szCs w:val="22"/>
          <w:lang w:eastAsia="en-AU"/>
        </w:rPr>
      </w:pPr>
      <w:r>
        <w:rPr>
          <w:rFonts w:ascii="Arial" w:hAnsi="Arial" w:cs="Arial"/>
          <w:b/>
          <w:bCs/>
          <w:color w:val="000000"/>
          <w:szCs w:val="22"/>
          <w:lang w:eastAsia="en-AU"/>
        </w:rPr>
        <w:br w:type="page"/>
      </w:r>
    </w:p>
    <w:p w:rsidR="001A78F2" w:rsidRDefault="00B3611E">
      <w:pPr>
        <w:rPr>
          <w:rFonts w:ascii="Arial" w:hAnsi="Arial" w:cs="Arial"/>
          <w:b/>
          <w:bCs/>
          <w:color w:val="000000"/>
          <w:szCs w:val="22"/>
          <w:lang w:eastAsia="en-AU"/>
        </w:rPr>
      </w:pPr>
      <w:r w:rsidRPr="00ED195F">
        <w:rPr>
          <w:rFonts w:ascii="Arial" w:hAnsi="Arial" w:cs="Arial"/>
          <w:b/>
          <w:bCs/>
          <w:color w:val="000000"/>
          <w:szCs w:val="22"/>
          <w:lang w:eastAsia="en-AU"/>
        </w:rPr>
        <w:t>SC07 8471.70.00 74 - Hard drives</w:t>
      </w:r>
    </w:p>
    <w:p w:rsidR="004360E0" w:rsidRDefault="004360E0" w:rsidP="004360E0">
      <w:pPr>
        <w:pStyle w:val="Caption"/>
        <w:keepNext/>
      </w:pPr>
    </w:p>
    <w:p w:rsidR="001A78F2" w:rsidRDefault="009F14B1" w:rsidP="004360E0">
      <w:pPr>
        <w:pStyle w:val="Caption"/>
        <w:keepNext/>
      </w:pPr>
      <w:r>
        <w:t>Figure 5-30</w:t>
      </w:r>
      <w:r w:rsidR="002652C5">
        <w:t xml:space="preserve">  </w:t>
      </w:r>
      <w:r w:rsidR="00AC1355">
        <w:t>HTISC frequency distribution in CF year</w:t>
      </w:r>
    </w:p>
    <w:p w:rsidR="005D62F3" w:rsidRDefault="005D62F3" w:rsidP="005D62F3">
      <w:pPr>
        <w:rPr>
          <w:lang w:val="en-GB"/>
        </w:rPr>
      </w:pPr>
      <w:r w:rsidRPr="005D62F3">
        <w:rPr>
          <w:noProof/>
          <w:lang w:eastAsia="en-AU"/>
        </w:rPr>
        <w:drawing>
          <wp:inline distT="0" distB="0" distL="0" distR="0">
            <wp:extent cx="4889500" cy="2984500"/>
            <wp:effectExtent l="19050" t="0" r="25400" b="6350"/>
            <wp:docPr id="89"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5D62F3" w:rsidRDefault="005D62F3" w:rsidP="005D62F3">
      <w:pPr>
        <w:rPr>
          <w:lang w:val="en-GB"/>
        </w:rPr>
      </w:pPr>
    </w:p>
    <w:p w:rsidR="005D62F3" w:rsidRDefault="005D62F3" w:rsidP="005D62F3">
      <w:pPr>
        <w:rPr>
          <w:lang w:val="en-GB"/>
        </w:rPr>
      </w:pPr>
    </w:p>
    <w:p w:rsidR="003E3C96" w:rsidRDefault="003E3C96">
      <w:pPr>
        <w:rPr>
          <w:szCs w:val="22"/>
        </w:rPr>
      </w:pPr>
    </w:p>
    <w:p w:rsidR="003E3C96" w:rsidRDefault="003E3C96">
      <w:pPr>
        <w:rPr>
          <w:szCs w:val="22"/>
        </w:rPr>
      </w:pPr>
    </w:p>
    <w:p w:rsidR="00D73340" w:rsidRDefault="00D73340" w:rsidP="00D73340">
      <w:pPr>
        <w:pStyle w:val="Caption"/>
      </w:pPr>
    </w:p>
    <w:p w:rsidR="003E3C96" w:rsidRPr="00D73340" w:rsidRDefault="00207129" w:rsidP="00D73340">
      <w:pPr>
        <w:pStyle w:val="Caption"/>
      </w:pPr>
      <w:r>
        <w:t xml:space="preserve">Table 5-22 </w:t>
      </w:r>
      <w:r w:rsidR="00D73340">
        <w:t>Conversion factor statistics</w:t>
      </w:r>
    </w:p>
    <w:tbl>
      <w:tblPr>
        <w:tblW w:w="7260" w:type="dxa"/>
        <w:tblInd w:w="93" w:type="dxa"/>
        <w:tblLook w:val="04A0"/>
      </w:tblPr>
      <w:tblGrid>
        <w:gridCol w:w="1660"/>
        <w:gridCol w:w="1120"/>
        <w:gridCol w:w="1120"/>
        <w:gridCol w:w="1120"/>
        <w:gridCol w:w="1120"/>
        <w:gridCol w:w="1120"/>
      </w:tblGrid>
      <w:tr w:rsidR="00ED195F" w:rsidRPr="00ED195F">
        <w:trPr>
          <w:trHeight w:val="450"/>
        </w:trPr>
        <w:tc>
          <w:tcPr>
            <w:tcW w:w="1660" w:type="dxa"/>
            <w:tcBorders>
              <w:top w:val="single" w:sz="4" w:space="0" w:color="auto"/>
              <w:left w:val="single" w:sz="4" w:space="0" w:color="auto"/>
              <w:bottom w:val="single" w:sz="4" w:space="0" w:color="auto"/>
              <w:right w:val="single" w:sz="4" w:space="0" w:color="auto"/>
            </w:tcBorders>
            <w:shd w:val="clear" w:color="000000" w:fill="D8D8D8"/>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CF year</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No. of ABS imports</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 ABS imports included</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Min weight</w:t>
            </w:r>
            <w:r w:rsidRPr="00ED195F">
              <w:rPr>
                <w:rFonts w:ascii="Calibri" w:hAnsi="Calibri" w:cs="Calibri"/>
                <w:color w:val="000000"/>
                <w:sz w:val="16"/>
                <w:szCs w:val="16"/>
                <w:lang w:eastAsia="en-AU"/>
              </w:rPr>
              <w:br/>
              <w:t>(kg)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Max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Standard deviation</w:t>
            </w:r>
          </w:p>
        </w:tc>
      </w:tr>
      <w:tr w:rsidR="00ED195F" w:rsidRPr="00ED195F">
        <w:trPr>
          <w:trHeight w:val="225"/>
        </w:trPr>
        <w:tc>
          <w:tcPr>
            <w:tcW w:w="1660" w:type="dxa"/>
            <w:tcBorders>
              <w:top w:val="nil"/>
              <w:left w:val="single" w:sz="4" w:space="0" w:color="auto"/>
              <w:bottom w:val="single" w:sz="4" w:space="0" w:color="auto"/>
              <w:right w:val="single" w:sz="4" w:space="0" w:color="auto"/>
            </w:tcBorders>
            <w:shd w:val="clear" w:color="auto" w:fill="auto"/>
            <w:noWrap/>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2010-11</w:t>
            </w:r>
          </w:p>
        </w:tc>
        <w:tc>
          <w:tcPr>
            <w:tcW w:w="1120" w:type="dxa"/>
            <w:tcBorders>
              <w:top w:val="nil"/>
              <w:left w:val="nil"/>
              <w:bottom w:val="single" w:sz="4" w:space="0" w:color="auto"/>
              <w:right w:val="single" w:sz="4" w:space="0" w:color="auto"/>
            </w:tcBorders>
            <w:shd w:val="clear" w:color="auto" w:fill="auto"/>
            <w:noWrap/>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6,324,542</w:t>
            </w:r>
          </w:p>
        </w:tc>
        <w:tc>
          <w:tcPr>
            <w:tcW w:w="1120" w:type="dxa"/>
            <w:tcBorders>
              <w:top w:val="nil"/>
              <w:left w:val="nil"/>
              <w:bottom w:val="single" w:sz="4" w:space="0" w:color="auto"/>
              <w:right w:val="single" w:sz="4" w:space="0" w:color="auto"/>
            </w:tcBorders>
            <w:shd w:val="clear" w:color="auto" w:fill="auto"/>
            <w:noWrap/>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2%</w:t>
            </w:r>
          </w:p>
        </w:tc>
        <w:tc>
          <w:tcPr>
            <w:tcW w:w="1120" w:type="dxa"/>
            <w:tcBorders>
              <w:top w:val="nil"/>
              <w:left w:val="nil"/>
              <w:bottom w:val="single" w:sz="4" w:space="0" w:color="auto"/>
              <w:right w:val="single" w:sz="4" w:space="0" w:color="auto"/>
            </w:tcBorders>
            <w:shd w:val="clear" w:color="auto" w:fill="auto"/>
            <w:noWrap/>
            <w:vAlign w:val="center"/>
          </w:tcPr>
          <w:p w:rsidR="00ED195F" w:rsidRPr="00ED195F" w:rsidRDefault="00ED195F" w:rsidP="00665B26">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0.1</w:t>
            </w:r>
          </w:p>
        </w:tc>
        <w:tc>
          <w:tcPr>
            <w:tcW w:w="1120" w:type="dxa"/>
            <w:tcBorders>
              <w:top w:val="nil"/>
              <w:left w:val="nil"/>
              <w:bottom w:val="single" w:sz="4" w:space="0" w:color="auto"/>
              <w:right w:val="single" w:sz="4" w:space="0" w:color="auto"/>
            </w:tcBorders>
            <w:shd w:val="clear" w:color="auto" w:fill="auto"/>
            <w:noWrap/>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207.5</w:t>
            </w:r>
          </w:p>
        </w:tc>
        <w:tc>
          <w:tcPr>
            <w:tcW w:w="1120" w:type="dxa"/>
            <w:tcBorders>
              <w:top w:val="nil"/>
              <w:left w:val="nil"/>
              <w:bottom w:val="single" w:sz="4" w:space="0" w:color="auto"/>
              <w:right w:val="single" w:sz="4" w:space="0" w:color="auto"/>
            </w:tcBorders>
            <w:shd w:val="clear" w:color="auto" w:fill="auto"/>
            <w:noWrap/>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0.0</w:t>
            </w:r>
          </w:p>
        </w:tc>
      </w:tr>
      <w:tr w:rsidR="00ED195F" w:rsidRPr="00ED195F">
        <w:trPr>
          <w:trHeight w:val="225"/>
        </w:trPr>
        <w:tc>
          <w:tcPr>
            <w:tcW w:w="1660" w:type="dxa"/>
            <w:tcBorders>
              <w:top w:val="nil"/>
              <w:left w:val="nil"/>
              <w:bottom w:val="nil"/>
              <w:right w:val="nil"/>
            </w:tcBorders>
            <w:shd w:val="clear" w:color="auto" w:fill="auto"/>
            <w:noWrap/>
            <w:vAlign w:val="bottom"/>
          </w:tcPr>
          <w:p w:rsidR="00ED195F" w:rsidRPr="00ED195F" w:rsidRDefault="00ED195F" w:rsidP="00ED195F">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ED195F" w:rsidRPr="00ED195F" w:rsidRDefault="00ED195F" w:rsidP="00ED195F">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ED195F" w:rsidRPr="00ED195F" w:rsidRDefault="00ED195F" w:rsidP="00ED195F">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ED195F" w:rsidRPr="00ED195F" w:rsidRDefault="00ED195F" w:rsidP="00ED195F">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ED195F" w:rsidRPr="00ED195F" w:rsidRDefault="00ED195F" w:rsidP="00ED195F">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ED195F" w:rsidRPr="00ED195F" w:rsidRDefault="00ED195F" w:rsidP="00ED195F">
            <w:pPr>
              <w:rPr>
                <w:rFonts w:ascii="Calibri" w:hAnsi="Calibri" w:cs="Calibri"/>
                <w:color w:val="000000"/>
                <w:sz w:val="16"/>
                <w:szCs w:val="16"/>
                <w:lang w:eastAsia="en-AU"/>
              </w:rPr>
            </w:pPr>
          </w:p>
        </w:tc>
      </w:tr>
      <w:tr w:rsidR="00ED195F" w:rsidRPr="00ED195F">
        <w:trPr>
          <w:trHeight w:val="450"/>
        </w:trPr>
        <w:tc>
          <w:tcPr>
            <w:tcW w:w="1660" w:type="dxa"/>
            <w:tcBorders>
              <w:top w:val="single" w:sz="4" w:space="0" w:color="auto"/>
              <w:left w:val="single" w:sz="4" w:space="0" w:color="auto"/>
              <w:bottom w:val="nil"/>
              <w:right w:val="single" w:sz="4" w:space="0" w:color="auto"/>
            </w:tcBorders>
            <w:shd w:val="clear" w:color="000000" w:fill="D8D8D8"/>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Method</w:t>
            </w:r>
          </w:p>
        </w:tc>
        <w:tc>
          <w:tcPr>
            <w:tcW w:w="1120" w:type="dxa"/>
            <w:tcBorders>
              <w:top w:val="single" w:sz="4" w:space="0" w:color="auto"/>
              <w:left w:val="nil"/>
              <w:bottom w:val="nil"/>
              <w:right w:val="single" w:sz="4" w:space="0" w:color="auto"/>
            </w:tcBorders>
            <w:shd w:val="clear" w:color="000000" w:fill="D8D8D8"/>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Measure of average</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Average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Lower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Upper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Confidence interval ± (kg)</w:t>
            </w:r>
          </w:p>
        </w:tc>
      </w:tr>
      <w:tr w:rsidR="00ED195F" w:rsidRPr="00ED195F">
        <w:trPr>
          <w:trHeight w:val="48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Approximation to the normal distribution</w:t>
            </w:r>
          </w:p>
        </w:tc>
        <w:tc>
          <w:tcPr>
            <w:tcW w:w="1120" w:type="dxa"/>
            <w:tcBorders>
              <w:top w:val="single" w:sz="4" w:space="0" w:color="auto"/>
              <w:left w:val="nil"/>
              <w:bottom w:val="single" w:sz="4" w:space="0" w:color="auto"/>
              <w:right w:val="single" w:sz="4" w:space="0" w:color="auto"/>
            </w:tcBorders>
            <w:shd w:val="clear" w:color="auto" w:fill="auto"/>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Mean</w:t>
            </w:r>
          </w:p>
        </w:tc>
        <w:tc>
          <w:tcPr>
            <w:tcW w:w="1120" w:type="dxa"/>
            <w:tcBorders>
              <w:top w:val="nil"/>
              <w:left w:val="nil"/>
              <w:bottom w:val="single" w:sz="4" w:space="0" w:color="auto"/>
              <w:right w:val="single" w:sz="4" w:space="0" w:color="auto"/>
            </w:tcBorders>
            <w:shd w:val="clear" w:color="auto" w:fill="auto"/>
            <w:noWrap/>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0.6</w:t>
            </w:r>
          </w:p>
        </w:tc>
        <w:tc>
          <w:tcPr>
            <w:tcW w:w="1120" w:type="dxa"/>
            <w:tcBorders>
              <w:top w:val="nil"/>
              <w:left w:val="nil"/>
              <w:bottom w:val="single" w:sz="4" w:space="0" w:color="auto"/>
              <w:right w:val="single" w:sz="4" w:space="0" w:color="auto"/>
            </w:tcBorders>
            <w:shd w:val="clear" w:color="auto" w:fill="auto"/>
            <w:noWrap/>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0.6</w:t>
            </w:r>
          </w:p>
        </w:tc>
        <w:tc>
          <w:tcPr>
            <w:tcW w:w="1120" w:type="dxa"/>
            <w:tcBorders>
              <w:top w:val="nil"/>
              <w:left w:val="nil"/>
              <w:bottom w:val="single" w:sz="4" w:space="0" w:color="auto"/>
              <w:right w:val="single" w:sz="4" w:space="0" w:color="auto"/>
            </w:tcBorders>
            <w:shd w:val="clear" w:color="auto" w:fill="auto"/>
            <w:noWrap/>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0.6</w:t>
            </w:r>
          </w:p>
        </w:tc>
        <w:tc>
          <w:tcPr>
            <w:tcW w:w="1120" w:type="dxa"/>
            <w:tcBorders>
              <w:top w:val="nil"/>
              <w:left w:val="nil"/>
              <w:bottom w:val="single" w:sz="4" w:space="0" w:color="auto"/>
              <w:right w:val="single" w:sz="4" w:space="0" w:color="auto"/>
            </w:tcBorders>
            <w:shd w:val="clear" w:color="auto" w:fill="auto"/>
            <w:noWrap/>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0.0</w:t>
            </w:r>
          </w:p>
        </w:tc>
      </w:tr>
      <w:tr w:rsidR="00ED195F" w:rsidRPr="00ED195F">
        <w:trPr>
          <w:trHeight w:val="480"/>
        </w:trPr>
        <w:tc>
          <w:tcPr>
            <w:tcW w:w="1660" w:type="dxa"/>
            <w:tcBorders>
              <w:top w:val="nil"/>
              <w:left w:val="single" w:sz="4" w:space="0" w:color="auto"/>
              <w:bottom w:val="single" w:sz="4" w:space="0" w:color="auto"/>
              <w:right w:val="single" w:sz="4" w:space="0" w:color="auto"/>
            </w:tcBorders>
            <w:shd w:val="clear" w:color="auto" w:fill="auto"/>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Use of percentiles</w:t>
            </w:r>
          </w:p>
        </w:tc>
        <w:tc>
          <w:tcPr>
            <w:tcW w:w="1120" w:type="dxa"/>
            <w:tcBorders>
              <w:top w:val="nil"/>
              <w:left w:val="nil"/>
              <w:bottom w:val="single" w:sz="4" w:space="0" w:color="auto"/>
              <w:right w:val="single" w:sz="4" w:space="0" w:color="auto"/>
            </w:tcBorders>
            <w:shd w:val="clear" w:color="auto" w:fill="auto"/>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Median</w:t>
            </w:r>
          </w:p>
        </w:tc>
        <w:tc>
          <w:tcPr>
            <w:tcW w:w="1120" w:type="dxa"/>
            <w:tcBorders>
              <w:top w:val="nil"/>
              <w:left w:val="nil"/>
              <w:bottom w:val="single" w:sz="4" w:space="0" w:color="auto"/>
              <w:right w:val="single" w:sz="4" w:space="0" w:color="auto"/>
            </w:tcBorders>
            <w:shd w:val="clear" w:color="auto" w:fill="auto"/>
            <w:noWrap/>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0.7</w:t>
            </w:r>
          </w:p>
        </w:tc>
        <w:tc>
          <w:tcPr>
            <w:tcW w:w="1120" w:type="dxa"/>
            <w:tcBorders>
              <w:top w:val="nil"/>
              <w:left w:val="nil"/>
              <w:bottom w:val="single" w:sz="4" w:space="0" w:color="auto"/>
              <w:right w:val="single" w:sz="4" w:space="0" w:color="auto"/>
            </w:tcBorders>
            <w:shd w:val="clear" w:color="auto" w:fill="auto"/>
            <w:noWrap/>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0.2</w:t>
            </w:r>
          </w:p>
        </w:tc>
        <w:tc>
          <w:tcPr>
            <w:tcW w:w="1120" w:type="dxa"/>
            <w:tcBorders>
              <w:top w:val="nil"/>
              <w:left w:val="nil"/>
              <w:bottom w:val="single" w:sz="4" w:space="0" w:color="auto"/>
              <w:right w:val="single" w:sz="4" w:space="0" w:color="auto"/>
            </w:tcBorders>
            <w:shd w:val="clear" w:color="auto" w:fill="auto"/>
            <w:noWrap/>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54.6</w:t>
            </w:r>
          </w:p>
        </w:tc>
        <w:tc>
          <w:tcPr>
            <w:tcW w:w="1120" w:type="dxa"/>
            <w:tcBorders>
              <w:top w:val="nil"/>
              <w:left w:val="nil"/>
              <w:bottom w:val="single" w:sz="4" w:space="0" w:color="auto"/>
              <w:right w:val="single" w:sz="4" w:space="0" w:color="auto"/>
            </w:tcBorders>
            <w:shd w:val="clear" w:color="auto" w:fill="auto"/>
            <w:noWrap/>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53.9</w:t>
            </w:r>
          </w:p>
        </w:tc>
      </w:tr>
      <w:tr w:rsidR="00ED195F" w:rsidRPr="00ED195F">
        <w:trPr>
          <w:trHeight w:val="225"/>
        </w:trPr>
        <w:tc>
          <w:tcPr>
            <w:tcW w:w="1660" w:type="dxa"/>
            <w:tcBorders>
              <w:top w:val="nil"/>
              <w:left w:val="nil"/>
              <w:bottom w:val="nil"/>
              <w:right w:val="nil"/>
            </w:tcBorders>
            <w:shd w:val="clear" w:color="auto" w:fill="auto"/>
            <w:noWrap/>
            <w:vAlign w:val="bottom"/>
          </w:tcPr>
          <w:p w:rsidR="00ED195F" w:rsidRPr="00ED195F" w:rsidRDefault="00ED195F" w:rsidP="00ED195F">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ED195F" w:rsidRPr="00ED195F" w:rsidRDefault="00ED195F" w:rsidP="00ED195F">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ED195F" w:rsidRPr="00ED195F" w:rsidRDefault="00ED195F" w:rsidP="00ED195F">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ED195F" w:rsidRPr="00ED195F" w:rsidRDefault="00ED195F" w:rsidP="00ED195F">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ED195F" w:rsidRPr="00ED195F" w:rsidRDefault="00ED195F" w:rsidP="00ED195F">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ED195F" w:rsidRPr="00ED195F" w:rsidRDefault="00ED195F" w:rsidP="00ED195F">
            <w:pPr>
              <w:rPr>
                <w:rFonts w:ascii="Calibri" w:hAnsi="Calibri" w:cs="Calibri"/>
                <w:color w:val="000000"/>
                <w:sz w:val="16"/>
                <w:szCs w:val="16"/>
                <w:lang w:eastAsia="en-AU"/>
              </w:rPr>
            </w:pPr>
          </w:p>
        </w:tc>
      </w:tr>
      <w:tr w:rsidR="00ED195F" w:rsidRPr="00ED195F">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tcPr>
          <w:p w:rsidR="00ED195F" w:rsidRPr="00ED195F" w:rsidRDefault="00ED195F" w:rsidP="00ED195F">
            <w:pPr>
              <w:rPr>
                <w:rFonts w:ascii="Calibri" w:hAnsi="Calibri" w:cs="Calibri"/>
                <w:color w:val="000000"/>
                <w:sz w:val="16"/>
                <w:szCs w:val="16"/>
                <w:lang w:eastAsia="en-AU"/>
              </w:rPr>
            </w:pPr>
            <w:r w:rsidRPr="00ED195F">
              <w:rPr>
                <w:rFonts w:ascii="Calibri" w:hAnsi="Calibri" w:cs="Calibri"/>
                <w:color w:val="000000"/>
                <w:sz w:val="16"/>
                <w:szCs w:val="16"/>
                <w:lang w:eastAsia="en-AU"/>
              </w:rPr>
              <w:t>Year</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2010-11</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2009-10</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ED195F" w:rsidRPr="00ED195F" w:rsidRDefault="00ED195F" w:rsidP="00ED195F">
            <w:pPr>
              <w:jc w:val="center"/>
              <w:rPr>
                <w:rFonts w:ascii="Calibri" w:hAnsi="Calibri" w:cs="Calibri"/>
                <w:color w:val="000000"/>
                <w:sz w:val="16"/>
                <w:szCs w:val="16"/>
                <w:lang w:eastAsia="en-AU"/>
              </w:rPr>
            </w:pPr>
            <w:r w:rsidRPr="00ED195F">
              <w:rPr>
                <w:rFonts w:ascii="Calibri" w:hAnsi="Calibri" w:cs="Calibri"/>
                <w:color w:val="000000"/>
                <w:sz w:val="16"/>
                <w:szCs w:val="16"/>
                <w:lang w:eastAsia="en-AU"/>
              </w:rPr>
              <w:t>2008-09</w:t>
            </w:r>
          </w:p>
        </w:tc>
      </w:tr>
      <w:tr w:rsidR="00B3611E" w:rsidRPr="00ED195F">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611E" w:rsidRPr="00ED195F" w:rsidRDefault="00B3611E" w:rsidP="00ED195F">
            <w:pPr>
              <w:rPr>
                <w:rFonts w:ascii="Calibri" w:hAnsi="Calibri" w:cs="Calibri"/>
                <w:color w:val="000000"/>
                <w:sz w:val="16"/>
                <w:szCs w:val="16"/>
                <w:lang w:eastAsia="en-AU"/>
              </w:rPr>
            </w:pPr>
            <w:r w:rsidRPr="00CB6A7D">
              <w:rPr>
                <w:rFonts w:ascii="Calibri" w:hAnsi="Calibri" w:cs="Calibri"/>
                <w:color w:val="000000"/>
                <w:sz w:val="16"/>
                <w:szCs w:val="16"/>
                <w:lang w:eastAsia="en-AU"/>
              </w:rPr>
              <w:t>Percentage by which the conversion factor over or under estimates the weight of imports</w:t>
            </w:r>
          </w:p>
        </w:tc>
        <w:tc>
          <w:tcPr>
            <w:tcW w:w="1120" w:type="dxa"/>
            <w:tcBorders>
              <w:top w:val="nil"/>
              <w:left w:val="nil"/>
              <w:bottom w:val="single" w:sz="4" w:space="0" w:color="auto"/>
              <w:right w:val="single" w:sz="4" w:space="0" w:color="auto"/>
            </w:tcBorders>
            <w:shd w:val="clear" w:color="auto" w:fill="auto"/>
            <w:noWrap/>
            <w:vAlign w:val="center"/>
          </w:tcPr>
          <w:p w:rsidR="00B3611E" w:rsidRDefault="00B3611E">
            <w:pPr>
              <w:jc w:val="center"/>
              <w:rPr>
                <w:rFonts w:ascii="Calibri" w:hAnsi="Calibri" w:cs="Calibri"/>
                <w:color w:val="000000"/>
                <w:sz w:val="16"/>
                <w:szCs w:val="16"/>
              </w:rPr>
            </w:pPr>
            <w:r>
              <w:rPr>
                <w:rFonts w:ascii="Calibri" w:hAnsi="Calibri" w:cs="Calibri"/>
                <w:color w:val="000000"/>
                <w:sz w:val="16"/>
                <w:szCs w:val="16"/>
              </w:rPr>
              <w:t>0%</w:t>
            </w:r>
          </w:p>
        </w:tc>
        <w:tc>
          <w:tcPr>
            <w:tcW w:w="1120" w:type="dxa"/>
            <w:tcBorders>
              <w:top w:val="nil"/>
              <w:left w:val="nil"/>
              <w:bottom w:val="single" w:sz="4" w:space="0" w:color="auto"/>
              <w:right w:val="single" w:sz="4" w:space="0" w:color="auto"/>
            </w:tcBorders>
            <w:shd w:val="clear" w:color="auto" w:fill="auto"/>
            <w:noWrap/>
            <w:vAlign w:val="center"/>
          </w:tcPr>
          <w:p w:rsidR="00B3611E" w:rsidRDefault="00B3611E">
            <w:pPr>
              <w:jc w:val="center"/>
              <w:rPr>
                <w:rFonts w:ascii="Calibri" w:hAnsi="Calibri" w:cs="Calibri"/>
                <w:color w:val="000000"/>
                <w:sz w:val="16"/>
                <w:szCs w:val="16"/>
              </w:rPr>
            </w:pPr>
            <w:r>
              <w:rPr>
                <w:rFonts w:ascii="Calibri" w:hAnsi="Calibri" w:cs="Calibri"/>
                <w:color w:val="000000"/>
                <w:sz w:val="16"/>
                <w:szCs w:val="16"/>
              </w:rPr>
              <w:t>117%</w:t>
            </w:r>
          </w:p>
        </w:tc>
        <w:tc>
          <w:tcPr>
            <w:tcW w:w="1120" w:type="dxa"/>
            <w:tcBorders>
              <w:top w:val="nil"/>
              <w:left w:val="nil"/>
              <w:bottom w:val="single" w:sz="4" w:space="0" w:color="auto"/>
              <w:right w:val="single" w:sz="4" w:space="0" w:color="auto"/>
            </w:tcBorders>
            <w:shd w:val="clear" w:color="auto" w:fill="auto"/>
            <w:noWrap/>
            <w:vAlign w:val="center"/>
          </w:tcPr>
          <w:p w:rsidR="00B3611E" w:rsidRDefault="00B3611E">
            <w:pPr>
              <w:jc w:val="center"/>
              <w:rPr>
                <w:rFonts w:ascii="Calibri" w:hAnsi="Calibri" w:cs="Calibri"/>
                <w:color w:val="000000"/>
                <w:sz w:val="16"/>
                <w:szCs w:val="16"/>
              </w:rPr>
            </w:pPr>
            <w:r>
              <w:rPr>
                <w:rFonts w:ascii="Calibri" w:hAnsi="Calibri" w:cs="Calibri"/>
                <w:color w:val="000000"/>
                <w:sz w:val="16"/>
                <w:szCs w:val="16"/>
              </w:rPr>
              <w:t>58%</w:t>
            </w:r>
          </w:p>
        </w:tc>
      </w:tr>
    </w:tbl>
    <w:p w:rsidR="000941E0" w:rsidRDefault="000941E0" w:rsidP="005D1179">
      <w:pPr>
        <w:jc w:val="both"/>
        <w:rPr>
          <w:szCs w:val="22"/>
        </w:rPr>
      </w:pPr>
    </w:p>
    <w:p w:rsidR="001A78F2" w:rsidRDefault="002F5182">
      <w:pPr>
        <w:rPr>
          <w:szCs w:val="22"/>
        </w:rPr>
      </w:pPr>
      <w:r w:rsidRPr="005A3097">
        <w:rPr>
          <w:b/>
          <w:szCs w:val="22"/>
        </w:rPr>
        <w:t>Distribution:</w:t>
      </w:r>
      <w:r>
        <w:rPr>
          <w:b/>
          <w:szCs w:val="22"/>
        </w:rPr>
        <w:t xml:space="preserve"> </w:t>
      </w:r>
      <w:r>
        <w:rPr>
          <w:szCs w:val="22"/>
        </w:rPr>
        <w:t xml:space="preserve">Wide distribution. </w:t>
      </w:r>
      <w:r w:rsidR="00E55318">
        <w:rPr>
          <w:szCs w:val="22"/>
        </w:rPr>
        <w:t>The v</w:t>
      </w:r>
      <w:r>
        <w:rPr>
          <w:szCs w:val="22"/>
        </w:rPr>
        <w:t xml:space="preserve">ast majority of imports </w:t>
      </w:r>
      <w:r w:rsidR="00E55318">
        <w:rPr>
          <w:szCs w:val="22"/>
        </w:rPr>
        <w:t xml:space="preserve">are </w:t>
      </w:r>
      <w:r>
        <w:rPr>
          <w:szCs w:val="22"/>
        </w:rPr>
        <w:t>between 0-10 kg</w:t>
      </w:r>
      <w:r w:rsidR="003F2D51">
        <w:rPr>
          <w:szCs w:val="22"/>
        </w:rPr>
        <w:t xml:space="preserve"> with a small of number of units greater than</w:t>
      </w:r>
      <w:r>
        <w:rPr>
          <w:szCs w:val="22"/>
        </w:rPr>
        <w:t xml:space="preserve"> 10 </w:t>
      </w:r>
      <w:r w:rsidR="003F2D51">
        <w:rPr>
          <w:szCs w:val="22"/>
        </w:rPr>
        <w:t xml:space="preserve">kg </w:t>
      </w:r>
      <w:r>
        <w:rPr>
          <w:szCs w:val="22"/>
        </w:rPr>
        <w:t xml:space="preserve">including </w:t>
      </w:r>
      <w:r w:rsidR="003F2D51">
        <w:rPr>
          <w:szCs w:val="22"/>
        </w:rPr>
        <w:t xml:space="preserve">as high as </w:t>
      </w:r>
      <w:r>
        <w:rPr>
          <w:szCs w:val="22"/>
        </w:rPr>
        <w:t>200 kg.</w:t>
      </w:r>
    </w:p>
    <w:p w:rsidR="001A78F2" w:rsidRDefault="002F5182">
      <w:pPr>
        <w:rPr>
          <w:szCs w:val="22"/>
        </w:rPr>
      </w:pPr>
      <w:r>
        <w:rPr>
          <w:b/>
          <w:szCs w:val="22"/>
        </w:rPr>
        <w:t xml:space="preserve">Proposed conversion factor: </w:t>
      </w:r>
      <w:r>
        <w:rPr>
          <w:szCs w:val="22"/>
        </w:rPr>
        <w:t>0.6</w:t>
      </w:r>
      <w:r w:rsidRPr="007475CE">
        <w:rPr>
          <w:szCs w:val="22"/>
        </w:rPr>
        <w:t xml:space="preserve"> </w:t>
      </w:r>
      <w:r>
        <w:rPr>
          <w:szCs w:val="22"/>
        </w:rPr>
        <w:t>kg.</w:t>
      </w:r>
    </w:p>
    <w:p w:rsidR="001A78F2" w:rsidRDefault="002F5182">
      <w:pPr>
        <w:rPr>
          <w:szCs w:val="22"/>
        </w:rPr>
      </w:pPr>
      <w:r>
        <w:rPr>
          <w:b/>
          <w:szCs w:val="22"/>
        </w:rPr>
        <w:t>Proposed confidence interval</w:t>
      </w:r>
      <w:r w:rsidRPr="00B02F83">
        <w:rPr>
          <w:szCs w:val="22"/>
        </w:rPr>
        <w:t xml:space="preserve">: </w:t>
      </w:r>
      <w:r>
        <w:rPr>
          <w:szCs w:val="22"/>
        </w:rPr>
        <w:t xml:space="preserve"> &gt; 0.2 kg, </w:t>
      </w:r>
      <w:r w:rsidR="00CF23D0">
        <w:rPr>
          <w:szCs w:val="22"/>
        </w:rPr>
        <w:t>&lt;</w:t>
      </w:r>
      <w:r w:rsidRPr="00253B06">
        <w:rPr>
          <w:szCs w:val="22"/>
        </w:rPr>
        <w:t>54.6</w:t>
      </w:r>
      <w:r>
        <w:rPr>
          <w:szCs w:val="22"/>
        </w:rPr>
        <w:t xml:space="preserve"> kg</w:t>
      </w:r>
    </w:p>
    <w:p w:rsidR="001A78F2" w:rsidRDefault="00C62346">
      <w:pPr>
        <w:rPr>
          <w:szCs w:val="22"/>
        </w:rPr>
      </w:pPr>
      <w:r>
        <w:rPr>
          <w:b/>
          <w:szCs w:val="22"/>
        </w:rPr>
        <w:t xml:space="preserve">Variation over time: </w:t>
      </w:r>
      <w:r w:rsidR="00253B06">
        <w:rPr>
          <w:szCs w:val="22"/>
        </w:rPr>
        <w:t>High</w:t>
      </w:r>
    </w:p>
    <w:p w:rsidR="001A78F2" w:rsidRDefault="001A78F2">
      <w:pPr>
        <w:rPr>
          <w:szCs w:val="22"/>
        </w:rPr>
      </w:pPr>
    </w:p>
    <w:p w:rsidR="001A78F2" w:rsidRDefault="001A78F2">
      <w:pPr>
        <w:rPr>
          <w:szCs w:val="22"/>
        </w:rPr>
      </w:pPr>
    </w:p>
    <w:p w:rsidR="001A78F2" w:rsidRDefault="001A78F2">
      <w:pPr>
        <w:rPr>
          <w:szCs w:val="22"/>
        </w:rPr>
      </w:pPr>
    </w:p>
    <w:p w:rsidR="00ED195F" w:rsidRDefault="00ED195F" w:rsidP="005D1179">
      <w:pPr>
        <w:jc w:val="both"/>
        <w:rPr>
          <w:szCs w:val="22"/>
        </w:rPr>
      </w:pPr>
    </w:p>
    <w:p w:rsidR="003E3C96" w:rsidRDefault="003E3C96">
      <w:pPr>
        <w:rPr>
          <w:rFonts w:ascii="Arial" w:hAnsi="Arial" w:cs="Arial"/>
          <w:b/>
          <w:bCs/>
          <w:color w:val="000000"/>
          <w:szCs w:val="22"/>
          <w:lang w:eastAsia="en-AU"/>
        </w:rPr>
      </w:pPr>
      <w:r>
        <w:rPr>
          <w:rFonts w:ascii="Arial" w:hAnsi="Arial" w:cs="Arial"/>
          <w:b/>
          <w:bCs/>
          <w:color w:val="000000"/>
          <w:szCs w:val="22"/>
          <w:lang w:eastAsia="en-AU"/>
        </w:rPr>
        <w:br w:type="page"/>
      </w:r>
    </w:p>
    <w:p w:rsidR="0059576F" w:rsidRDefault="00B3611E" w:rsidP="005D1179">
      <w:pPr>
        <w:jc w:val="both"/>
        <w:rPr>
          <w:rFonts w:ascii="Arial" w:hAnsi="Arial" w:cs="Arial"/>
          <w:b/>
          <w:bCs/>
          <w:color w:val="000000"/>
          <w:szCs w:val="22"/>
          <w:lang w:eastAsia="en-AU"/>
        </w:rPr>
      </w:pPr>
      <w:r w:rsidRPr="00ED195F">
        <w:rPr>
          <w:rFonts w:ascii="Arial" w:hAnsi="Arial" w:cs="Arial"/>
          <w:b/>
          <w:bCs/>
          <w:color w:val="000000"/>
          <w:szCs w:val="22"/>
          <w:lang w:eastAsia="en-AU"/>
        </w:rPr>
        <w:t xml:space="preserve">SC07 8471.70.00 43 </w:t>
      </w:r>
      <w:r w:rsidR="00BC4FED">
        <w:rPr>
          <w:rFonts w:ascii="Arial" w:hAnsi="Arial" w:cs="Arial"/>
          <w:b/>
          <w:bCs/>
          <w:color w:val="000000"/>
          <w:szCs w:val="22"/>
          <w:lang w:eastAsia="en-AU"/>
        </w:rPr>
        <w:t>–</w:t>
      </w:r>
      <w:r w:rsidRPr="00ED195F">
        <w:rPr>
          <w:rFonts w:ascii="Arial" w:hAnsi="Arial" w:cs="Arial"/>
          <w:b/>
          <w:bCs/>
          <w:color w:val="000000"/>
          <w:szCs w:val="22"/>
          <w:lang w:eastAsia="en-AU"/>
        </w:rPr>
        <w:t xml:space="preserve"> other</w:t>
      </w:r>
    </w:p>
    <w:p w:rsidR="00BC4FED" w:rsidRDefault="00BC4FED" w:rsidP="005D1179">
      <w:pPr>
        <w:jc w:val="both"/>
        <w:rPr>
          <w:rFonts w:ascii="Arial" w:hAnsi="Arial" w:cs="Arial"/>
          <w:b/>
          <w:bCs/>
          <w:color w:val="000000"/>
          <w:szCs w:val="22"/>
          <w:lang w:eastAsia="en-AU"/>
        </w:rPr>
      </w:pPr>
    </w:p>
    <w:p w:rsidR="0059576F" w:rsidRDefault="009F14B1" w:rsidP="00BC4FED">
      <w:pPr>
        <w:pStyle w:val="Caption"/>
        <w:keepNext/>
      </w:pPr>
      <w:r>
        <w:t>Figure 5-31</w:t>
      </w:r>
      <w:r w:rsidR="002652C5">
        <w:t xml:space="preserve">  </w:t>
      </w:r>
      <w:r w:rsidR="00AC1355">
        <w:t>HTISC frequency distribution in CF year</w:t>
      </w:r>
    </w:p>
    <w:p w:rsidR="008F5DD2" w:rsidRDefault="008F5DD2" w:rsidP="008F5DD2">
      <w:pPr>
        <w:rPr>
          <w:lang w:val="en-GB"/>
        </w:rPr>
      </w:pPr>
      <w:r w:rsidRPr="008F5DD2">
        <w:rPr>
          <w:noProof/>
          <w:lang w:eastAsia="en-AU"/>
        </w:rPr>
        <w:drawing>
          <wp:inline distT="0" distB="0" distL="0" distR="0">
            <wp:extent cx="4889500" cy="2984500"/>
            <wp:effectExtent l="19050" t="0" r="25400" b="6350"/>
            <wp:docPr id="94"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8F5DD2" w:rsidRDefault="008F5DD2" w:rsidP="008F5DD2">
      <w:pPr>
        <w:rPr>
          <w:lang w:val="en-GB"/>
        </w:rPr>
      </w:pPr>
    </w:p>
    <w:p w:rsidR="008F5DD2" w:rsidRDefault="008F5DD2" w:rsidP="008F5DD2">
      <w:pPr>
        <w:rPr>
          <w:lang w:val="en-GB"/>
        </w:rPr>
      </w:pPr>
    </w:p>
    <w:p w:rsidR="008F5DD2" w:rsidRPr="008F5DD2" w:rsidRDefault="008F5DD2" w:rsidP="008F5DD2">
      <w:pPr>
        <w:rPr>
          <w:lang w:val="en-GB"/>
        </w:rPr>
      </w:pPr>
    </w:p>
    <w:p w:rsidR="0059576F" w:rsidRDefault="0059576F" w:rsidP="005D1179">
      <w:pPr>
        <w:jc w:val="both"/>
        <w:rPr>
          <w:szCs w:val="22"/>
        </w:rPr>
      </w:pPr>
    </w:p>
    <w:p w:rsidR="00ED195F" w:rsidRDefault="00ED195F" w:rsidP="005D1179">
      <w:pPr>
        <w:jc w:val="both"/>
        <w:rPr>
          <w:szCs w:val="22"/>
        </w:rPr>
      </w:pPr>
    </w:p>
    <w:p w:rsidR="003E3C96" w:rsidRDefault="003E3C96" w:rsidP="005D1179">
      <w:pPr>
        <w:jc w:val="both"/>
        <w:rPr>
          <w:szCs w:val="22"/>
        </w:rPr>
      </w:pPr>
    </w:p>
    <w:p w:rsidR="00D73340" w:rsidRPr="00D73340" w:rsidRDefault="00207129" w:rsidP="00D73340">
      <w:pPr>
        <w:pStyle w:val="Caption"/>
      </w:pPr>
      <w:r>
        <w:t xml:space="preserve">Table 5-23 </w:t>
      </w:r>
      <w:r w:rsidR="00D73340">
        <w:t>Conversion factor statistics</w:t>
      </w:r>
    </w:p>
    <w:tbl>
      <w:tblPr>
        <w:tblW w:w="7260" w:type="dxa"/>
        <w:tblInd w:w="93" w:type="dxa"/>
        <w:tblLook w:val="04A0"/>
      </w:tblPr>
      <w:tblGrid>
        <w:gridCol w:w="1660"/>
        <w:gridCol w:w="1120"/>
        <w:gridCol w:w="1120"/>
        <w:gridCol w:w="1120"/>
        <w:gridCol w:w="1120"/>
        <w:gridCol w:w="1120"/>
      </w:tblGrid>
      <w:tr w:rsidR="00447366" w:rsidRPr="00447366" w:rsidTr="00447366">
        <w:trPr>
          <w:trHeight w:val="450"/>
        </w:trPr>
        <w:tc>
          <w:tcPr>
            <w:tcW w:w="166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447366" w:rsidRPr="00447366" w:rsidRDefault="00447366" w:rsidP="00447366">
            <w:pPr>
              <w:jc w:val="center"/>
              <w:rPr>
                <w:rFonts w:ascii="Calibri" w:hAnsi="Calibri" w:cs="Calibri"/>
                <w:color w:val="000000"/>
                <w:sz w:val="16"/>
                <w:szCs w:val="16"/>
                <w:lang w:eastAsia="en-AU"/>
              </w:rPr>
            </w:pPr>
            <w:r w:rsidRPr="00447366">
              <w:rPr>
                <w:rFonts w:ascii="Calibri" w:hAnsi="Calibri" w:cs="Calibri"/>
                <w:color w:val="000000"/>
                <w:sz w:val="16"/>
                <w:szCs w:val="16"/>
                <w:lang w:eastAsia="en-AU"/>
              </w:rPr>
              <w:t>CF year</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447366" w:rsidRPr="00447366" w:rsidRDefault="00447366" w:rsidP="00447366">
            <w:pPr>
              <w:jc w:val="center"/>
              <w:rPr>
                <w:rFonts w:ascii="Calibri" w:hAnsi="Calibri" w:cs="Calibri"/>
                <w:color w:val="000000"/>
                <w:sz w:val="16"/>
                <w:szCs w:val="16"/>
                <w:lang w:eastAsia="en-AU"/>
              </w:rPr>
            </w:pPr>
            <w:r w:rsidRPr="00447366">
              <w:rPr>
                <w:rFonts w:ascii="Calibri" w:hAnsi="Calibri" w:cs="Calibri"/>
                <w:color w:val="000000"/>
                <w:sz w:val="16"/>
                <w:szCs w:val="16"/>
                <w:lang w:eastAsia="en-AU"/>
              </w:rPr>
              <w:t>No. of ABS imports</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447366" w:rsidRPr="00447366" w:rsidRDefault="00447366" w:rsidP="00447366">
            <w:pPr>
              <w:jc w:val="center"/>
              <w:rPr>
                <w:rFonts w:ascii="Calibri" w:hAnsi="Calibri" w:cs="Calibri"/>
                <w:color w:val="000000"/>
                <w:sz w:val="16"/>
                <w:szCs w:val="16"/>
                <w:lang w:eastAsia="en-AU"/>
              </w:rPr>
            </w:pPr>
            <w:r w:rsidRPr="00447366">
              <w:rPr>
                <w:rFonts w:ascii="Calibri" w:hAnsi="Calibri" w:cs="Calibri"/>
                <w:color w:val="000000"/>
                <w:sz w:val="16"/>
                <w:szCs w:val="16"/>
                <w:lang w:eastAsia="en-AU"/>
              </w:rPr>
              <w:t>% ABS imports included</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447366" w:rsidRPr="00447366" w:rsidRDefault="00447366" w:rsidP="00447366">
            <w:pPr>
              <w:jc w:val="center"/>
              <w:rPr>
                <w:rFonts w:ascii="Calibri" w:hAnsi="Calibri" w:cs="Calibri"/>
                <w:color w:val="000000"/>
                <w:sz w:val="16"/>
                <w:szCs w:val="16"/>
                <w:lang w:eastAsia="en-AU"/>
              </w:rPr>
            </w:pPr>
            <w:r w:rsidRPr="00447366">
              <w:rPr>
                <w:rFonts w:ascii="Calibri" w:hAnsi="Calibri" w:cs="Calibri"/>
                <w:color w:val="000000"/>
                <w:sz w:val="16"/>
                <w:szCs w:val="16"/>
                <w:lang w:eastAsia="en-AU"/>
              </w:rPr>
              <w:t>Min weight</w:t>
            </w:r>
            <w:r w:rsidRPr="00447366">
              <w:rPr>
                <w:rFonts w:ascii="Calibri" w:hAnsi="Calibri" w:cs="Calibri"/>
                <w:color w:val="000000"/>
                <w:sz w:val="16"/>
                <w:szCs w:val="16"/>
                <w:lang w:eastAsia="en-AU"/>
              </w:rPr>
              <w:br/>
              <w:t>(kg)</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447366" w:rsidRPr="00447366" w:rsidRDefault="00447366" w:rsidP="00447366">
            <w:pPr>
              <w:jc w:val="center"/>
              <w:rPr>
                <w:rFonts w:ascii="Calibri" w:hAnsi="Calibri" w:cs="Calibri"/>
                <w:color w:val="000000"/>
                <w:sz w:val="16"/>
                <w:szCs w:val="16"/>
                <w:lang w:eastAsia="en-AU"/>
              </w:rPr>
            </w:pPr>
            <w:r w:rsidRPr="00447366">
              <w:rPr>
                <w:rFonts w:ascii="Calibri" w:hAnsi="Calibri" w:cs="Calibri"/>
                <w:color w:val="000000"/>
                <w:sz w:val="16"/>
                <w:szCs w:val="16"/>
                <w:lang w:eastAsia="en-AU"/>
              </w:rPr>
              <w:t>Max weight (kg)</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447366" w:rsidRPr="00447366" w:rsidRDefault="00447366" w:rsidP="00447366">
            <w:pPr>
              <w:jc w:val="center"/>
              <w:rPr>
                <w:rFonts w:ascii="Calibri" w:hAnsi="Calibri" w:cs="Calibri"/>
                <w:color w:val="000000"/>
                <w:sz w:val="16"/>
                <w:szCs w:val="16"/>
                <w:lang w:eastAsia="en-AU"/>
              </w:rPr>
            </w:pPr>
            <w:r w:rsidRPr="00447366">
              <w:rPr>
                <w:rFonts w:ascii="Calibri" w:hAnsi="Calibri" w:cs="Calibri"/>
                <w:color w:val="000000"/>
                <w:sz w:val="16"/>
                <w:szCs w:val="16"/>
                <w:lang w:eastAsia="en-AU"/>
              </w:rPr>
              <w:t>Standard deviation</w:t>
            </w:r>
          </w:p>
        </w:tc>
      </w:tr>
      <w:tr w:rsidR="00447366" w:rsidRPr="00447366" w:rsidTr="00447366">
        <w:trPr>
          <w:trHeight w:val="22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447366" w:rsidRPr="00447366" w:rsidRDefault="00447366" w:rsidP="00447366">
            <w:pPr>
              <w:jc w:val="center"/>
              <w:rPr>
                <w:rFonts w:ascii="Calibri" w:hAnsi="Calibri" w:cs="Calibri"/>
                <w:color w:val="000000"/>
                <w:sz w:val="16"/>
                <w:szCs w:val="16"/>
                <w:lang w:eastAsia="en-AU"/>
              </w:rPr>
            </w:pPr>
            <w:r w:rsidRPr="00447366">
              <w:rPr>
                <w:rFonts w:ascii="Calibri" w:hAnsi="Calibri" w:cs="Calibri"/>
                <w:color w:val="000000"/>
                <w:sz w:val="16"/>
                <w:szCs w:val="16"/>
                <w:lang w:eastAsia="en-AU"/>
              </w:rPr>
              <w:t>2010-11</w:t>
            </w:r>
          </w:p>
        </w:tc>
        <w:tc>
          <w:tcPr>
            <w:tcW w:w="1120" w:type="dxa"/>
            <w:tcBorders>
              <w:top w:val="nil"/>
              <w:left w:val="nil"/>
              <w:bottom w:val="single" w:sz="4" w:space="0" w:color="auto"/>
              <w:right w:val="single" w:sz="4" w:space="0" w:color="auto"/>
            </w:tcBorders>
            <w:shd w:val="clear" w:color="auto" w:fill="auto"/>
            <w:noWrap/>
            <w:vAlign w:val="center"/>
            <w:hideMark/>
          </w:tcPr>
          <w:p w:rsidR="00447366" w:rsidRPr="00447366" w:rsidRDefault="00447366" w:rsidP="00447366">
            <w:pPr>
              <w:jc w:val="center"/>
              <w:rPr>
                <w:rFonts w:ascii="Calibri" w:hAnsi="Calibri" w:cs="Calibri"/>
                <w:color w:val="000000"/>
                <w:sz w:val="16"/>
                <w:szCs w:val="16"/>
                <w:lang w:eastAsia="en-AU"/>
              </w:rPr>
            </w:pPr>
            <w:r w:rsidRPr="00447366">
              <w:rPr>
                <w:rFonts w:ascii="Calibri" w:hAnsi="Calibri" w:cs="Calibri"/>
                <w:color w:val="000000"/>
                <w:sz w:val="16"/>
                <w:szCs w:val="16"/>
                <w:lang w:eastAsia="en-AU"/>
              </w:rPr>
              <w:t>3,168,546</w:t>
            </w:r>
          </w:p>
        </w:tc>
        <w:tc>
          <w:tcPr>
            <w:tcW w:w="1120" w:type="dxa"/>
            <w:tcBorders>
              <w:top w:val="nil"/>
              <w:left w:val="nil"/>
              <w:bottom w:val="single" w:sz="4" w:space="0" w:color="auto"/>
              <w:right w:val="single" w:sz="4" w:space="0" w:color="auto"/>
            </w:tcBorders>
            <w:shd w:val="clear" w:color="auto" w:fill="auto"/>
            <w:noWrap/>
            <w:vAlign w:val="center"/>
            <w:hideMark/>
          </w:tcPr>
          <w:p w:rsidR="00447366" w:rsidRPr="00447366" w:rsidRDefault="00447366" w:rsidP="00447366">
            <w:pPr>
              <w:jc w:val="center"/>
              <w:rPr>
                <w:rFonts w:ascii="Calibri" w:hAnsi="Calibri" w:cs="Calibri"/>
                <w:color w:val="000000"/>
                <w:sz w:val="16"/>
                <w:szCs w:val="16"/>
                <w:lang w:eastAsia="en-AU"/>
              </w:rPr>
            </w:pPr>
            <w:r w:rsidRPr="00447366">
              <w:rPr>
                <w:rFonts w:ascii="Calibri" w:hAnsi="Calibri" w:cs="Calibri"/>
                <w:color w:val="000000"/>
                <w:sz w:val="16"/>
                <w:szCs w:val="16"/>
                <w:lang w:eastAsia="en-AU"/>
              </w:rPr>
              <w:t>16%</w:t>
            </w:r>
          </w:p>
        </w:tc>
        <w:tc>
          <w:tcPr>
            <w:tcW w:w="1120" w:type="dxa"/>
            <w:tcBorders>
              <w:top w:val="nil"/>
              <w:left w:val="nil"/>
              <w:bottom w:val="single" w:sz="4" w:space="0" w:color="auto"/>
              <w:right w:val="single" w:sz="4" w:space="0" w:color="auto"/>
            </w:tcBorders>
            <w:shd w:val="clear" w:color="auto" w:fill="auto"/>
            <w:noWrap/>
            <w:vAlign w:val="center"/>
            <w:hideMark/>
          </w:tcPr>
          <w:p w:rsidR="00447366" w:rsidRPr="00447366" w:rsidRDefault="00447366" w:rsidP="00447366">
            <w:pPr>
              <w:jc w:val="center"/>
              <w:rPr>
                <w:rFonts w:ascii="Calibri" w:hAnsi="Calibri" w:cs="Calibri"/>
                <w:color w:val="000000"/>
                <w:sz w:val="16"/>
                <w:szCs w:val="16"/>
                <w:lang w:eastAsia="en-AU"/>
              </w:rPr>
            </w:pPr>
            <w:r w:rsidRPr="00447366">
              <w:rPr>
                <w:rFonts w:ascii="Calibri" w:hAnsi="Calibri" w:cs="Calibri"/>
                <w:color w:val="000000"/>
                <w:sz w:val="16"/>
                <w:szCs w:val="16"/>
                <w:lang w:eastAsia="en-AU"/>
              </w:rPr>
              <w:t>0.035</w:t>
            </w:r>
          </w:p>
        </w:tc>
        <w:tc>
          <w:tcPr>
            <w:tcW w:w="1120" w:type="dxa"/>
            <w:tcBorders>
              <w:top w:val="nil"/>
              <w:left w:val="nil"/>
              <w:bottom w:val="single" w:sz="4" w:space="0" w:color="auto"/>
              <w:right w:val="single" w:sz="4" w:space="0" w:color="auto"/>
            </w:tcBorders>
            <w:shd w:val="clear" w:color="auto" w:fill="auto"/>
            <w:noWrap/>
            <w:vAlign w:val="center"/>
            <w:hideMark/>
          </w:tcPr>
          <w:p w:rsidR="00447366" w:rsidRPr="00447366" w:rsidRDefault="00447366" w:rsidP="00447366">
            <w:pPr>
              <w:jc w:val="center"/>
              <w:rPr>
                <w:rFonts w:ascii="Calibri" w:hAnsi="Calibri" w:cs="Calibri"/>
                <w:color w:val="000000"/>
                <w:sz w:val="16"/>
                <w:szCs w:val="16"/>
                <w:lang w:eastAsia="en-AU"/>
              </w:rPr>
            </w:pPr>
            <w:r w:rsidRPr="00447366">
              <w:rPr>
                <w:rFonts w:ascii="Calibri" w:hAnsi="Calibri" w:cs="Calibri"/>
                <w:color w:val="000000"/>
                <w:sz w:val="16"/>
                <w:szCs w:val="16"/>
                <w:lang w:eastAsia="en-AU"/>
              </w:rPr>
              <w:t>110.7</w:t>
            </w:r>
          </w:p>
        </w:tc>
        <w:tc>
          <w:tcPr>
            <w:tcW w:w="1120" w:type="dxa"/>
            <w:tcBorders>
              <w:top w:val="nil"/>
              <w:left w:val="nil"/>
              <w:bottom w:val="single" w:sz="4" w:space="0" w:color="auto"/>
              <w:right w:val="single" w:sz="4" w:space="0" w:color="auto"/>
            </w:tcBorders>
            <w:shd w:val="clear" w:color="auto" w:fill="auto"/>
            <w:noWrap/>
            <w:vAlign w:val="center"/>
            <w:hideMark/>
          </w:tcPr>
          <w:p w:rsidR="00447366" w:rsidRPr="00447366" w:rsidRDefault="00447366" w:rsidP="00447366">
            <w:pPr>
              <w:jc w:val="center"/>
              <w:rPr>
                <w:rFonts w:ascii="Calibri" w:hAnsi="Calibri" w:cs="Calibri"/>
                <w:color w:val="000000"/>
                <w:sz w:val="16"/>
                <w:szCs w:val="16"/>
                <w:lang w:eastAsia="en-AU"/>
              </w:rPr>
            </w:pPr>
            <w:r w:rsidRPr="00447366">
              <w:rPr>
                <w:rFonts w:ascii="Calibri" w:hAnsi="Calibri" w:cs="Calibri"/>
                <w:color w:val="000000"/>
                <w:sz w:val="16"/>
                <w:szCs w:val="16"/>
                <w:lang w:eastAsia="en-AU"/>
              </w:rPr>
              <w:t>0.01</w:t>
            </w:r>
          </w:p>
        </w:tc>
      </w:tr>
      <w:tr w:rsidR="00447366" w:rsidRPr="00447366" w:rsidTr="00447366">
        <w:trPr>
          <w:trHeight w:val="225"/>
        </w:trPr>
        <w:tc>
          <w:tcPr>
            <w:tcW w:w="1660" w:type="dxa"/>
            <w:tcBorders>
              <w:top w:val="nil"/>
              <w:left w:val="nil"/>
              <w:bottom w:val="nil"/>
              <w:right w:val="nil"/>
            </w:tcBorders>
            <w:shd w:val="clear" w:color="auto" w:fill="auto"/>
            <w:noWrap/>
            <w:vAlign w:val="bottom"/>
            <w:hideMark/>
          </w:tcPr>
          <w:p w:rsidR="00447366" w:rsidRPr="00447366" w:rsidRDefault="00447366" w:rsidP="00447366">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447366" w:rsidRPr="00447366" w:rsidRDefault="00447366" w:rsidP="00447366">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447366" w:rsidRPr="00447366" w:rsidRDefault="00447366" w:rsidP="00447366">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447366" w:rsidRPr="00447366" w:rsidRDefault="00447366" w:rsidP="00447366">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447366" w:rsidRPr="00447366" w:rsidRDefault="00447366" w:rsidP="00447366">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447366" w:rsidRPr="00447366" w:rsidRDefault="00447366" w:rsidP="00447366">
            <w:pPr>
              <w:rPr>
                <w:rFonts w:ascii="Calibri" w:hAnsi="Calibri" w:cs="Calibri"/>
                <w:color w:val="000000"/>
                <w:sz w:val="16"/>
                <w:szCs w:val="16"/>
                <w:lang w:eastAsia="en-AU"/>
              </w:rPr>
            </w:pPr>
          </w:p>
        </w:tc>
      </w:tr>
      <w:tr w:rsidR="00447366" w:rsidRPr="00447366" w:rsidTr="00447366">
        <w:trPr>
          <w:trHeight w:val="450"/>
        </w:trPr>
        <w:tc>
          <w:tcPr>
            <w:tcW w:w="1660" w:type="dxa"/>
            <w:tcBorders>
              <w:top w:val="single" w:sz="4" w:space="0" w:color="auto"/>
              <w:left w:val="single" w:sz="4" w:space="0" w:color="auto"/>
              <w:bottom w:val="nil"/>
              <w:right w:val="single" w:sz="4" w:space="0" w:color="auto"/>
            </w:tcBorders>
            <w:shd w:val="clear" w:color="000000" w:fill="D8D8D8"/>
            <w:vAlign w:val="center"/>
            <w:hideMark/>
          </w:tcPr>
          <w:p w:rsidR="00447366" w:rsidRPr="00447366" w:rsidRDefault="00447366" w:rsidP="00447366">
            <w:pPr>
              <w:jc w:val="center"/>
              <w:rPr>
                <w:rFonts w:ascii="Calibri" w:hAnsi="Calibri" w:cs="Calibri"/>
                <w:color w:val="000000"/>
                <w:sz w:val="16"/>
                <w:szCs w:val="16"/>
                <w:lang w:eastAsia="en-AU"/>
              </w:rPr>
            </w:pPr>
            <w:r w:rsidRPr="00447366">
              <w:rPr>
                <w:rFonts w:ascii="Calibri" w:hAnsi="Calibri" w:cs="Calibri"/>
                <w:color w:val="000000"/>
                <w:sz w:val="16"/>
                <w:szCs w:val="16"/>
                <w:lang w:eastAsia="en-AU"/>
              </w:rPr>
              <w:t>Method</w:t>
            </w:r>
          </w:p>
        </w:tc>
        <w:tc>
          <w:tcPr>
            <w:tcW w:w="1120" w:type="dxa"/>
            <w:tcBorders>
              <w:top w:val="single" w:sz="4" w:space="0" w:color="auto"/>
              <w:left w:val="nil"/>
              <w:bottom w:val="nil"/>
              <w:right w:val="single" w:sz="4" w:space="0" w:color="auto"/>
            </w:tcBorders>
            <w:shd w:val="clear" w:color="000000" w:fill="D8D8D8"/>
            <w:vAlign w:val="center"/>
            <w:hideMark/>
          </w:tcPr>
          <w:p w:rsidR="00447366" w:rsidRPr="00447366" w:rsidRDefault="00447366" w:rsidP="00447366">
            <w:pPr>
              <w:jc w:val="center"/>
              <w:rPr>
                <w:rFonts w:ascii="Calibri" w:hAnsi="Calibri" w:cs="Calibri"/>
                <w:color w:val="000000"/>
                <w:sz w:val="16"/>
                <w:szCs w:val="16"/>
                <w:lang w:eastAsia="en-AU"/>
              </w:rPr>
            </w:pPr>
            <w:r w:rsidRPr="00447366">
              <w:rPr>
                <w:rFonts w:ascii="Calibri" w:hAnsi="Calibri" w:cs="Calibri"/>
                <w:color w:val="000000"/>
                <w:sz w:val="16"/>
                <w:szCs w:val="16"/>
                <w:lang w:eastAsia="en-AU"/>
              </w:rPr>
              <w:t>Measure of average</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447366" w:rsidRPr="00447366" w:rsidRDefault="00447366" w:rsidP="00447366">
            <w:pPr>
              <w:jc w:val="center"/>
              <w:rPr>
                <w:rFonts w:ascii="Calibri" w:hAnsi="Calibri" w:cs="Calibri"/>
                <w:color w:val="000000"/>
                <w:sz w:val="16"/>
                <w:szCs w:val="16"/>
                <w:lang w:eastAsia="en-AU"/>
              </w:rPr>
            </w:pPr>
            <w:r w:rsidRPr="00447366">
              <w:rPr>
                <w:rFonts w:ascii="Calibri" w:hAnsi="Calibri" w:cs="Calibri"/>
                <w:color w:val="000000"/>
                <w:sz w:val="16"/>
                <w:szCs w:val="16"/>
                <w:lang w:eastAsia="en-AU"/>
              </w:rPr>
              <w:t>Average weight (kg)</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447366" w:rsidRPr="00447366" w:rsidRDefault="00447366" w:rsidP="00447366">
            <w:pPr>
              <w:jc w:val="center"/>
              <w:rPr>
                <w:rFonts w:ascii="Calibri" w:hAnsi="Calibri" w:cs="Calibri"/>
                <w:color w:val="000000"/>
                <w:sz w:val="16"/>
                <w:szCs w:val="16"/>
                <w:lang w:eastAsia="en-AU"/>
              </w:rPr>
            </w:pPr>
            <w:r w:rsidRPr="00447366">
              <w:rPr>
                <w:rFonts w:ascii="Calibri" w:hAnsi="Calibri" w:cs="Calibri"/>
                <w:color w:val="000000"/>
                <w:sz w:val="16"/>
                <w:szCs w:val="16"/>
                <w:lang w:eastAsia="en-AU"/>
              </w:rPr>
              <w:t>Lower limit (kg)</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447366" w:rsidRPr="00447366" w:rsidRDefault="00447366" w:rsidP="00447366">
            <w:pPr>
              <w:jc w:val="center"/>
              <w:rPr>
                <w:rFonts w:ascii="Calibri" w:hAnsi="Calibri" w:cs="Calibri"/>
                <w:color w:val="000000"/>
                <w:sz w:val="16"/>
                <w:szCs w:val="16"/>
                <w:lang w:eastAsia="en-AU"/>
              </w:rPr>
            </w:pPr>
            <w:r w:rsidRPr="00447366">
              <w:rPr>
                <w:rFonts w:ascii="Calibri" w:hAnsi="Calibri" w:cs="Calibri"/>
                <w:color w:val="000000"/>
                <w:sz w:val="16"/>
                <w:szCs w:val="16"/>
                <w:lang w:eastAsia="en-AU"/>
              </w:rPr>
              <w:t>Upper limit (kg)</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447366" w:rsidRPr="00447366" w:rsidRDefault="00447366" w:rsidP="00447366">
            <w:pPr>
              <w:jc w:val="center"/>
              <w:rPr>
                <w:rFonts w:ascii="Calibri" w:hAnsi="Calibri" w:cs="Calibri"/>
                <w:color w:val="000000"/>
                <w:sz w:val="16"/>
                <w:szCs w:val="16"/>
                <w:lang w:eastAsia="en-AU"/>
              </w:rPr>
            </w:pPr>
            <w:r w:rsidRPr="00447366">
              <w:rPr>
                <w:rFonts w:ascii="Calibri" w:hAnsi="Calibri" w:cs="Calibri"/>
                <w:color w:val="000000"/>
                <w:sz w:val="16"/>
                <w:szCs w:val="16"/>
                <w:lang w:eastAsia="en-AU"/>
              </w:rPr>
              <w:t>Confidence interval ± (kg)</w:t>
            </w:r>
          </w:p>
        </w:tc>
      </w:tr>
      <w:tr w:rsidR="00447366" w:rsidRPr="00447366" w:rsidTr="00447366">
        <w:trPr>
          <w:trHeight w:val="45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366" w:rsidRPr="00447366" w:rsidRDefault="00447366" w:rsidP="00447366">
            <w:pPr>
              <w:jc w:val="center"/>
              <w:rPr>
                <w:rFonts w:ascii="Calibri" w:hAnsi="Calibri" w:cs="Calibri"/>
                <w:color w:val="000000"/>
                <w:sz w:val="16"/>
                <w:szCs w:val="16"/>
                <w:lang w:eastAsia="en-AU"/>
              </w:rPr>
            </w:pPr>
            <w:r w:rsidRPr="00447366">
              <w:rPr>
                <w:rFonts w:ascii="Calibri" w:hAnsi="Calibri" w:cs="Calibri"/>
                <w:color w:val="000000"/>
                <w:sz w:val="16"/>
                <w:szCs w:val="16"/>
                <w:lang w:eastAsia="en-AU"/>
              </w:rPr>
              <w:t>Approximation to the normal distribution</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447366" w:rsidRPr="00447366" w:rsidRDefault="00447366" w:rsidP="00447366">
            <w:pPr>
              <w:jc w:val="center"/>
              <w:rPr>
                <w:rFonts w:ascii="Calibri" w:hAnsi="Calibri" w:cs="Calibri"/>
                <w:color w:val="000000"/>
                <w:sz w:val="16"/>
                <w:szCs w:val="16"/>
                <w:lang w:eastAsia="en-AU"/>
              </w:rPr>
            </w:pPr>
            <w:r w:rsidRPr="00447366">
              <w:rPr>
                <w:rFonts w:ascii="Calibri" w:hAnsi="Calibri" w:cs="Calibri"/>
                <w:color w:val="000000"/>
                <w:sz w:val="16"/>
                <w:szCs w:val="16"/>
                <w:lang w:eastAsia="en-AU"/>
              </w:rPr>
              <w:t>Mean</w:t>
            </w:r>
          </w:p>
        </w:tc>
        <w:tc>
          <w:tcPr>
            <w:tcW w:w="1120" w:type="dxa"/>
            <w:tcBorders>
              <w:top w:val="nil"/>
              <w:left w:val="nil"/>
              <w:bottom w:val="single" w:sz="4" w:space="0" w:color="auto"/>
              <w:right w:val="single" w:sz="4" w:space="0" w:color="auto"/>
            </w:tcBorders>
            <w:shd w:val="clear" w:color="auto" w:fill="auto"/>
            <w:noWrap/>
            <w:vAlign w:val="center"/>
            <w:hideMark/>
          </w:tcPr>
          <w:p w:rsidR="00447366" w:rsidRPr="00447366" w:rsidRDefault="00447366" w:rsidP="00447366">
            <w:pPr>
              <w:jc w:val="center"/>
              <w:rPr>
                <w:rFonts w:ascii="Calibri" w:hAnsi="Calibri" w:cs="Calibri"/>
                <w:color w:val="000000"/>
                <w:sz w:val="16"/>
                <w:szCs w:val="16"/>
                <w:lang w:eastAsia="en-AU"/>
              </w:rPr>
            </w:pPr>
            <w:r w:rsidRPr="00447366">
              <w:rPr>
                <w:rFonts w:ascii="Calibri" w:hAnsi="Calibri" w:cs="Calibri"/>
                <w:color w:val="000000"/>
                <w:sz w:val="16"/>
                <w:szCs w:val="16"/>
                <w:lang w:eastAsia="en-AU"/>
              </w:rPr>
              <w:t>0.04</w:t>
            </w:r>
          </w:p>
        </w:tc>
        <w:tc>
          <w:tcPr>
            <w:tcW w:w="1120" w:type="dxa"/>
            <w:tcBorders>
              <w:top w:val="nil"/>
              <w:left w:val="nil"/>
              <w:bottom w:val="single" w:sz="4" w:space="0" w:color="auto"/>
              <w:right w:val="single" w:sz="4" w:space="0" w:color="auto"/>
            </w:tcBorders>
            <w:shd w:val="clear" w:color="auto" w:fill="auto"/>
            <w:noWrap/>
            <w:vAlign w:val="center"/>
            <w:hideMark/>
          </w:tcPr>
          <w:p w:rsidR="00447366" w:rsidRPr="00447366" w:rsidRDefault="00447366" w:rsidP="00447366">
            <w:pPr>
              <w:jc w:val="center"/>
              <w:rPr>
                <w:rFonts w:ascii="Calibri" w:hAnsi="Calibri" w:cs="Calibri"/>
                <w:color w:val="000000"/>
                <w:sz w:val="16"/>
                <w:szCs w:val="16"/>
                <w:lang w:eastAsia="en-AU"/>
              </w:rPr>
            </w:pPr>
            <w:r w:rsidRPr="00447366">
              <w:rPr>
                <w:rFonts w:ascii="Calibri" w:hAnsi="Calibri" w:cs="Calibri"/>
                <w:color w:val="000000"/>
                <w:sz w:val="16"/>
                <w:szCs w:val="16"/>
                <w:lang w:eastAsia="en-AU"/>
              </w:rPr>
              <w:t>0.04</w:t>
            </w:r>
          </w:p>
        </w:tc>
        <w:tc>
          <w:tcPr>
            <w:tcW w:w="1120" w:type="dxa"/>
            <w:tcBorders>
              <w:top w:val="nil"/>
              <w:left w:val="nil"/>
              <w:bottom w:val="single" w:sz="4" w:space="0" w:color="auto"/>
              <w:right w:val="single" w:sz="4" w:space="0" w:color="auto"/>
            </w:tcBorders>
            <w:shd w:val="clear" w:color="auto" w:fill="auto"/>
            <w:noWrap/>
            <w:vAlign w:val="center"/>
            <w:hideMark/>
          </w:tcPr>
          <w:p w:rsidR="00447366" w:rsidRPr="00447366" w:rsidRDefault="00447366" w:rsidP="00447366">
            <w:pPr>
              <w:jc w:val="center"/>
              <w:rPr>
                <w:rFonts w:ascii="Calibri" w:hAnsi="Calibri" w:cs="Calibri"/>
                <w:color w:val="000000"/>
                <w:sz w:val="16"/>
                <w:szCs w:val="16"/>
                <w:lang w:eastAsia="en-AU"/>
              </w:rPr>
            </w:pPr>
            <w:r w:rsidRPr="00447366">
              <w:rPr>
                <w:rFonts w:ascii="Calibri" w:hAnsi="Calibri" w:cs="Calibri"/>
                <w:color w:val="000000"/>
                <w:sz w:val="16"/>
                <w:szCs w:val="16"/>
                <w:lang w:eastAsia="en-AU"/>
              </w:rPr>
              <w:t>0.1</w:t>
            </w:r>
          </w:p>
        </w:tc>
        <w:tc>
          <w:tcPr>
            <w:tcW w:w="1120" w:type="dxa"/>
            <w:tcBorders>
              <w:top w:val="nil"/>
              <w:left w:val="nil"/>
              <w:bottom w:val="single" w:sz="4" w:space="0" w:color="auto"/>
              <w:right w:val="single" w:sz="4" w:space="0" w:color="auto"/>
            </w:tcBorders>
            <w:shd w:val="clear" w:color="auto" w:fill="auto"/>
            <w:noWrap/>
            <w:vAlign w:val="center"/>
            <w:hideMark/>
          </w:tcPr>
          <w:p w:rsidR="00447366" w:rsidRPr="00447366" w:rsidRDefault="00447366" w:rsidP="00447366">
            <w:pPr>
              <w:jc w:val="center"/>
              <w:rPr>
                <w:rFonts w:ascii="Calibri" w:hAnsi="Calibri" w:cs="Calibri"/>
                <w:color w:val="000000"/>
                <w:sz w:val="16"/>
                <w:szCs w:val="16"/>
                <w:lang w:eastAsia="en-AU"/>
              </w:rPr>
            </w:pPr>
            <w:r w:rsidRPr="00447366">
              <w:rPr>
                <w:rFonts w:ascii="Calibri" w:hAnsi="Calibri" w:cs="Calibri"/>
                <w:color w:val="000000"/>
                <w:sz w:val="16"/>
                <w:szCs w:val="16"/>
                <w:lang w:eastAsia="en-AU"/>
              </w:rPr>
              <w:t>0.01</w:t>
            </w:r>
          </w:p>
        </w:tc>
      </w:tr>
      <w:tr w:rsidR="00447366" w:rsidRPr="00447366" w:rsidTr="00447366">
        <w:trPr>
          <w:trHeight w:val="22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447366" w:rsidRPr="00447366" w:rsidRDefault="00447366" w:rsidP="00447366">
            <w:pPr>
              <w:jc w:val="center"/>
              <w:rPr>
                <w:rFonts w:ascii="Calibri" w:hAnsi="Calibri" w:cs="Calibri"/>
                <w:color w:val="000000"/>
                <w:sz w:val="16"/>
                <w:szCs w:val="16"/>
                <w:lang w:eastAsia="en-AU"/>
              </w:rPr>
            </w:pPr>
            <w:r w:rsidRPr="00447366">
              <w:rPr>
                <w:rFonts w:ascii="Calibri" w:hAnsi="Calibri" w:cs="Calibri"/>
                <w:color w:val="000000"/>
                <w:sz w:val="16"/>
                <w:szCs w:val="16"/>
                <w:lang w:eastAsia="en-AU"/>
              </w:rPr>
              <w:t>Use of percentiles</w:t>
            </w:r>
          </w:p>
        </w:tc>
        <w:tc>
          <w:tcPr>
            <w:tcW w:w="1120" w:type="dxa"/>
            <w:tcBorders>
              <w:top w:val="nil"/>
              <w:left w:val="nil"/>
              <w:bottom w:val="single" w:sz="4" w:space="0" w:color="auto"/>
              <w:right w:val="single" w:sz="4" w:space="0" w:color="auto"/>
            </w:tcBorders>
            <w:shd w:val="clear" w:color="auto" w:fill="auto"/>
            <w:vAlign w:val="center"/>
            <w:hideMark/>
          </w:tcPr>
          <w:p w:rsidR="00447366" w:rsidRPr="00447366" w:rsidRDefault="00447366" w:rsidP="00447366">
            <w:pPr>
              <w:jc w:val="center"/>
              <w:rPr>
                <w:rFonts w:ascii="Calibri" w:hAnsi="Calibri" w:cs="Calibri"/>
                <w:color w:val="000000"/>
                <w:sz w:val="16"/>
                <w:szCs w:val="16"/>
                <w:lang w:eastAsia="en-AU"/>
              </w:rPr>
            </w:pPr>
            <w:r w:rsidRPr="00447366">
              <w:rPr>
                <w:rFonts w:ascii="Calibri" w:hAnsi="Calibri" w:cs="Calibri"/>
                <w:color w:val="000000"/>
                <w:sz w:val="16"/>
                <w:szCs w:val="16"/>
                <w:lang w:eastAsia="en-AU"/>
              </w:rPr>
              <w:t>Median</w:t>
            </w:r>
          </w:p>
        </w:tc>
        <w:tc>
          <w:tcPr>
            <w:tcW w:w="1120" w:type="dxa"/>
            <w:tcBorders>
              <w:top w:val="nil"/>
              <w:left w:val="nil"/>
              <w:bottom w:val="single" w:sz="4" w:space="0" w:color="auto"/>
              <w:right w:val="single" w:sz="4" w:space="0" w:color="auto"/>
            </w:tcBorders>
            <w:shd w:val="clear" w:color="auto" w:fill="auto"/>
            <w:noWrap/>
            <w:vAlign w:val="center"/>
            <w:hideMark/>
          </w:tcPr>
          <w:p w:rsidR="00447366" w:rsidRPr="00447366" w:rsidRDefault="00447366" w:rsidP="00447366">
            <w:pPr>
              <w:jc w:val="center"/>
              <w:rPr>
                <w:rFonts w:ascii="Calibri" w:hAnsi="Calibri" w:cs="Calibri"/>
                <w:color w:val="000000"/>
                <w:sz w:val="16"/>
                <w:szCs w:val="16"/>
                <w:lang w:eastAsia="en-AU"/>
              </w:rPr>
            </w:pPr>
            <w:r w:rsidRPr="00447366">
              <w:rPr>
                <w:rFonts w:ascii="Calibri" w:hAnsi="Calibri" w:cs="Calibri"/>
                <w:color w:val="000000"/>
                <w:sz w:val="16"/>
                <w:szCs w:val="16"/>
                <w:lang w:eastAsia="en-AU"/>
              </w:rPr>
              <w:t>0.04</w:t>
            </w:r>
          </w:p>
        </w:tc>
        <w:tc>
          <w:tcPr>
            <w:tcW w:w="1120" w:type="dxa"/>
            <w:tcBorders>
              <w:top w:val="nil"/>
              <w:left w:val="nil"/>
              <w:bottom w:val="single" w:sz="4" w:space="0" w:color="auto"/>
              <w:right w:val="single" w:sz="4" w:space="0" w:color="auto"/>
            </w:tcBorders>
            <w:shd w:val="clear" w:color="auto" w:fill="auto"/>
            <w:noWrap/>
            <w:vAlign w:val="center"/>
            <w:hideMark/>
          </w:tcPr>
          <w:p w:rsidR="00447366" w:rsidRPr="00447366" w:rsidRDefault="00447366" w:rsidP="00447366">
            <w:pPr>
              <w:jc w:val="center"/>
              <w:rPr>
                <w:rFonts w:ascii="Calibri" w:hAnsi="Calibri" w:cs="Calibri"/>
                <w:color w:val="000000"/>
                <w:sz w:val="16"/>
                <w:szCs w:val="16"/>
                <w:lang w:eastAsia="en-AU"/>
              </w:rPr>
            </w:pPr>
            <w:r w:rsidRPr="00447366">
              <w:rPr>
                <w:rFonts w:ascii="Calibri" w:hAnsi="Calibri" w:cs="Calibri"/>
                <w:color w:val="000000"/>
                <w:sz w:val="16"/>
                <w:szCs w:val="16"/>
                <w:lang w:eastAsia="en-AU"/>
              </w:rPr>
              <w:t>0.0</w:t>
            </w:r>
            <w:r>
              <w:rPr>
                <w:rFonts w:ascii="Calibri" w:hAnsi="Calibri" w:cs="Calibri"/>
                <w:color w:val="000000"/>
                <w:sz w:val="16"/>
                <w:szCs w:val="16"/>
                <w:lang w:eastAsia="en-AU"/>
              </w:rPr>
              <w:t>4</w:t>
            </w:r>
          </w:p>
        </w:tc>
        <w:tc>
          <w:tcPr>
            <w:tcW w:w="1120" w:type="dxa"/>
            <w:tcBorders>
              <w:top w:val="nil"/>
              <w:left w:val="nil"/>
              <w:bottom w:val="single" w:sz="4" w:space="0" w:color="auto"/>
              <w:right w:val="single" w:sz="4" w:space="0" w:color="auto"/>
            </w:tcBorders>
            <w:shd w:val="clear" w:color="auto" w:fill="auto"/>
            <w:noWrap/>
            <w:vAlign w:val="center"/>
            <w:hideMark/>
          </w:tcPr>
          <w:p w:rsidR="00447366" w:rsidRPr="00447366" w:rsidRDefault="00447366" w:rsidP="00447366">
            <w:pPr>
              <w:jc w:val="center"/>
              <w:rPr>
                <w:rFonts w:ascii="Calibri" w:hAnsi="Calibri" w:cs="Calibri"/>
                <w:color w:val="000000"/>
                <w:sz w:val="16"/>
                <w:szCs w:val="16"/>
                <w:lang w:eastAsia="en-AU"/>
              </w:rPr>
            </w:pPr>
            <w:r w:rsidRPr="00447366">
              <w:rPr>
                <w:rFonts w:ascii="Calibri" w:hAnsi="Calibri" w:cs="Calibri"/>
                <w:color w:val="000000"/>
                <w:sz w:val="16"/>
                <w:szCs w:val="16"/>
                <w:lang w:eastAsia="en-AU"/>
              </w:rPr>
              <w:t>26.3</w:t>
            </w:r>
          </w:p>
        </w:tc>
        <w:tc>
          <w:tcPr>
            <w:tcW w:w="1120" w:type="dxa"/>
            <w:tcBorders>
              <w:top w:val="nil"/>
              <w:left w:val="nil"/>
              <w:bottom w:val="single" w:sz="4" w:space="0" w:color="auto"/>
              <w:right w:val="single" w:sz="4" w:space="0" w:color="auto"/>
            </w:tcBorders>
            <w:shd w:val="clear" w:color="auto" w:fill="auto"/>
            <w:noWrap/>
            <w:vAlign w:val="center"/>
            <w:hideMark/>
          </w:tcPr>
          <w:p w:rsidR="00447366" w:rsidRPr="00447366" w:rsidRDefault="00447366" w:rsidP="00447366">
            <w:pPr>
              <w:jc w:val="center"/>
              <w:rPr>
                <w:rFonts w:ascii="Calibri" w:hAnsi="Calibri" w:cs="Calibri"/>
                <w:color w:val="000000"/>
                <w:sz w:val="16"/>
                <w:szCs w:val="16"/>
                <w:lang w:eastAsia="en-AU"/>
              </w:rPr>
            </w:pPr>
            <w:r w:rsidRPr="00447366">
              <w:rPr>
                <w:rFonts w:ascii="Calibri" w:hAnsi="Calibri" w:cs="Calibri"/>
                <w:color w:val="000000"/>
                <w:sz w:val="16"/>
                <w:szCs w:val="16"/>
                <w:lang w:eastAsia="en-AU"/>
              </w:rPr>
              <w:t>26.2</w:t>
            </w:r>
          </w:p>
        </w:tc>
      </w:tr>
      <w:tr w:rsidR="00447366" w:rsidRPr="00447366" w:rsidTr="00447366">
        <w:trPr>
          <w:trHeight w:val="225"/>
        </w:trPr>
        <w:tc>
          <w:tcPr>
            <w:tcW w:w="1660" w:type="dxa"/>
            <w:tcBorders>
              <w:top w:val="nil"/>
              <w:left w:val="nil"/>
              <w:bottom w:val="nil"/>
              <w:right w:val="nil"/>
            </w:tcBorders>
            <w:shd w:val="clear" w:color="auto" w:fill="auto"/>
            <w:noWrap/>
            <w:vAlign w:val="bottom"/>
            <w:hideMark/>
          </w:tcPr>
          <w:p w:rsidR="00447366" w:rsidRPr="00447366" w:rsidRDefault="00447366" w:rsidP="00447366">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447366" w:rsidRPr="00447366" w:rsidRDefault="00447366" w:rsidP="00447366">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447366" w:rsidRPr="00447366" w:rsidRDefault="00447366" w:rsidP="00447366">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447366" w:rsidRPr="00447366" w:rsidRDefault="00447366" w:rsidP="00447366">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447366" w:rsidRPr="00447366" w:rsidRDefault="00447366" w:rsidP="00447366">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447366" w:rsidRPr="00447366" w:rsidRDefault="00447366" w:rsidP="00447366">
            <w:pPr>
              <w:rPr>
                <w:rFonts w:ascii="Calibri" w:hAnsi="Calibri" w:cs="Calibri"/>
                <w:color w:val="000000"/>
                <w:sz w:val="16"/>
                <w:szCs w:val="16"/>
                <w:lang w:eastAsia="en-AU"/>
              </w:rPr>
            </w:pPr>
          </w:p>
        </w:tc>
      </w:tr>
      <w:tr w:rsidR="00447366" w:rsidRPr="00447366" w:rsidTr="00447366">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447366" w:rsidRPr="00447366" w:rsidRDefault="00447366" w:rsidP="00447366">
            <w:pPr>
              <w:rPr>
                <w:rFonts w:ascii="Calibri" w:hAnsi="Calibri" w:cs="Calibri"/>
                <w:color w:val="000000"/>
                <w:sz w:val="16"/>
                <w:szCs w:val="16"/>
                <w:lang w:eastAsia="en-AU"/>
              </w:rPr>
            </w:pPr>
            <w:r w:rsidRPr="00447366">
              <w:rPr>
                <w:rFonts w:ascii="Calibri" w:hAnsi="Calibri" w:cs="Calibri"/>
                <w:color w:val="000000"/>
                <w:sz w:val="16"/>
                <w:szCs w:val="16"/>
                <w:lang w:eastAsia="en-AU"/>
              </w:rPr>
              <w:t>Year</w:t>
            </w:r>
          </w:p>
        </w:tc>
        <w:tc>
          <w:tcPr>
            <w:tcW w:w="1120" w:type="dxa"/>
            <w:tcBorders>
              <w:top w:val="single" w:sz="4" w:space="0" w:color="auto"/>
              <w:left w:val="nil"/>
              <w:bottom w:val="single" w:sz="4" w:space="0" w:color="auto"/>
              <w:right w:val="single" w:sz="4" w:space="0" w:color="auto"/>
            </w:tcBorders>
            <w:shd w:val="clear" w:color="000000" w:fill="D8D8D8"/>
            <w:noWrap/>
            <w:vAlign w:val="center"/>
            <w:hideMark/>
          </w:tcPr>
          <w:p w:rsidR="00447366" w:rsidRPr="00447366" w:rsidRDefault="00447366" w:rsidP="00447366">
            <w:pPr>
              <w:jc w:val="center"/>
              <w:rPr>
                <w:rFonts w:ascii="Calibri" w:hAnsi="Calibri" w:cs="Calibri"/>
                <w:color w:val="000000"/>
                <w:sz w:val="16"/>
                <w:szCs w:val="16"/>
                <w:lang w:eastAsia="en-AU"/>
              </w:rPr>
            </w:pPr>
            <w:r w:rsidRPr="00447366">
              <w:rPr>
                <w:rFonts w:ascii="Calibri" w:hAnsi="Calibri" w:cs="Calibri"/>
                <w:color w:val="000000"/>
                <w:sz w:val="16"/>
                <w:szCs w:val="16"/>
                <w:lang w:eastAsia="en-AU"/>
              </w:rPr>
              <w:t>2010-11</w:t>
            </w:r>
          </w:p>
        </w:tc>
        <w:tc>
          <w:tcPr>
            <w:tcW w:w="1120" w:type="dxa"/>
            <w:tcBorders>
              <w:top w:val="single" w:sz="4" w:space="0" w:color="auto"/>
              <w:left w:val="nil"/>
              <w:bottom w:val="single" w:sz="4" w:space="0" w:color="auto"/>
              <w:right w:val="single" w:sz="4" w:space="0" w:color="auto"/>
            </w:tcBorders>
            <w:shd w:val="clear" w:color="000000" w:fill="D8D8D8"/>
            <w:noWrap/>
            <w:vAlign w:val="center"/>
            <w:hideMark/>
          </w:tcPr>
          <w:p w:rsidR="00447366" w:rsidRPr="00447366" w:rsidRDefault="00447366" w:rsidP="00447366">
            <w:pPr>
              <w:jc w:val="center"/>
              <w:rPr>
                <w:rFonts w:ascii="Calibri" w:hAnsi="Calibri" w:cs="Calibri"/>
                <w:color w:val="000000"/>
                <w:sz w:val="16"/>
                <w:szCs w:val="16"/>
                <w:lang w:eastAsia="en-AU"/>
              </w:rPr>
            </w:pPr>
            <w:r w:rsidRPr="00447366">
              <w:rPr>
                <w:rFonts w:ascii="Calibri" w:hAnsi="Calibri" w:cs="Calibri"/>
                <w:color w:val="000000"/>
                <w:sz w:val="16"/>
                <w:szCs w:val="16"/>
                <w:lang w:eastAsia="en-AU"/>
              </w:rPr>
              <w:t>2009-10</w:t>
            </w:r>
          </w:p>
        </w:tc>
        <w:tc>
          <w:tcPr>
            <w:tcW w:w="1120" w:type="dxa"/>
            <w:tcBorders>
              <w:top w:val="single" w:sz="4" w:space="0" w:color="auto"/>
              <w:left w:val="nil"/>
              <w:bottom w:val="single" w:sz="4" w:space="0" w:color="auto"/>
              <w:right w:val="single" w:sz="4" w:space="0" w:color="auto"/>
            </w:tcBorders>
            <w:shd w:val="clear" w:color="000000" w:fill="D8D8D8"/>
            <w:noWrap/>
            <w:vAlign w:val="center"/>
            <w:hideMark/>
          </w:tcPr>
          <w:p w:rsidR="00447366" w:rsidRPr="00447366" w:rsidRDefault="00447366" w:rsidP="00447366">
            <w:pPr>
              <w:jc w:val="center"/>
              <w:rPr>
                <w:rFonts w:ascii="Calibri" w:hAnsi="Calibri" w:cs="Calibri"/>
                <w:color w:val="000000"/>
                <w:sz w:val="16"/>
                <w:szCs w:val="16"/>
                <w:lang w:eastAsia="en-AU"/>
              </w:rPr>
            </w:pPr>
            <w:r w:rsidRPr="00447366">
              <w:rPr>
                <w:rFonts w:ascii="Calibri" w:hAnsi="Calibri" w:cs="Calibri"/>
                <w:color w:val="000000"/>
                <w:sz w:val="16"/>
                <w:szCs w:val="16"/>
                <w:lang w:eastAsia="en-AU"/>
              </w:rPr>
              <w:t>2008-09</w:t>
            </w:r>
          </w:p>
        </w:tc>
      </w:tr>
      <w:tr w:rsidR="00447366" w:rsidRPr="00447366" w:rsidTr="00447366">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47366" w:rsidRPr="00447366" w:rsidRDefault="00447366" w:rsidP="00447366">
            <w:pPr>
              <w:rPr>
                <w:rFonts w:ascii="Calibri" w:hAnsi="Calibri" w:cs="Calibri"/>
                <w:color w:val="000000"/>
                <w:sz w:val="16"/>
                <w:szCs w:val="16"/>
                <w:lang w:eastAsia="en-AU"/>
              </w:rPr>
            </w:pPr>
            <w:r w:rsidRPr="00447366">
              <w:rPr>
                <w:rFonts w:ascii="Calibri" w:hAnsi="Calibri" w:cs="Calibri"/>
                <w:color w:val="000000"/>
                <w:sz w:val="16"/>
                <w:szCs w:val="16"/>
                <w:lang w:eastAsia="en-AU"/>
              </w:rPr>
              <w:t>Percentage by which the conversion factor over or under estimates the weight of imports</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447366" w:rsidRPr="00447366" w:rsidRDefault="00447366" w:rsidP="00447366">
            <w:pPr>
              <w:jc w:val="center"/>
              <w:rPr>
                <w:rFonts w:ascii="Calibri" w:hAnsi="Calibri" w:cs="Calibri"/>
                <w:color w:val="000000"/>
                <w:sz w:val="16"/>
                <w:szCs w:val="16"/>
                <w:lang w:eastAsia="en-AU"/>
              </w:rPr>
            </w:pPr>
            <w:r w:rsidRPr="00447366">
              <w:rPr>
                <w:rFonts w:ascii="Calibri" w:hAnsi="Calibri" w:cs="Calibri"/>
                <w:color w:val="000000"/>
                <w:sz w:val="16"/>
                <w:szCs w:val="16"/>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rsidR="00447366" w:rsidRPr="00447366" w:rsidRDefault="00447366" w:rsidP="00447366">
            <w:pPr>
              <w:jc w:val="center"/>
              <w:rPr>
                <w:rFonts w:ascii="Calibri" w:hAnsi="Calibri" w:cs="Calibri"/>
                <w:color w:val="000000"/>
                <w:sz w:val="16"/>
                <w:szCs w:val="16"/>
                <w:lang w:eastAsia="en-AU"/>
              </w:rPr>
            </w:pPr>
            <w:r w:rsidRPr="00447366">
              <w:rPr>
                <w:rFonts w:ascii="Calibri" w:hAnsi="Calibri" w:cs="Calibri"/>
                <w:color w:val="000000"/>
                <w:sz w:val="16"/>
                <w:szCs w:val="16"/>
                <w:lang w:eastAsia="en-AU"/>
              </w:rPr>
              <w:t>11%</w:t>
            </w:r>
          </w:p>
        </w:tc>
        <w:tc>
          <w:tcPr>
            <w:tcW w:w="1120" w:type="dxa"/>
            <w:tcBorders>
              <w:top w:val="nil"/>
              <w:left w:val="nil"/>
              <w:bottom w:val="single" w:sz="4" w:space="0" w:color="auto"/>
              <w:right w:val="single" w:sz="4" w:space="0" w:color="auto"/>
            </w:tcBorders>
            <w:shd w:val="clear" w:color="auto" w:fill="auto"/>
            <w:noWrap/>
            <w:vAlign w:val="center"/>
            <w:hideMark/>
          </w:tcPr>
          <w:p w:rsidR="00447366" w:rsidRPr="00447366" w:rsidRDefault="00447366" w:rsidP="00447366">
            <w:pPr>
              <w:jc w:val="center"/>
              <w:rPr>
                <w:rFonts w:ascii="Calibri" w:hAnsi="Calibri" w:cs="Calibri"/>
                <w:color w:val="000000"/>
                <w:sz w:val="16"/>
                <w:szCs w:val="16"/>
                <w:lang w:eastAsia="en-AU"/>
              </w:rPr>
            </w:pPr>
            <w:r w:rsidRPr="00447366">
              <w:rPr>
                <w:rFonts w:ascii="Calibri" w:hAnsi="Calibri" w:cs="Calibri"/>
                <w:color w:val="000000"/>
                <w:sz w:val="16"/>
                <w:szCs w:val="16"/>
                <w:lang w:eastAsia="en-AU"/>
              </w:rPr>
              <w:t>-20%</w:t>
            </w:r>
          </w:p>
        </w:tc>
      </w:tr>
    </w:tbl>
    <w:p w:rsidR="001A78F2" w:rsidRDefault="001A78F2">
      <w:pPr>
        <w:rPr>
          <w:szCs w:val="22"/>
        </w:rPr>
      </w:pPr>
    </w:p>
    <w:p w:rsidR="001A78F2" w:rsidRDefault="001A78F2">
      <w:pPr>
        <w:rPr>
          <w:b/>
          <w:szCs w:val="22"/>
        </w:rPr>
      </w:pPr>
    </w:p>
    <w:p w:rsidR="001A78F2" w:rsidRDefault="0059576F">
      <w:pPr>
        <w:rPr>
          <w:szCs w:val="22"/>
        </w:rPr>
      </w:pPr>
      <w:r w:rsidRPr="005A3097">
        <w:rPr>
          <w:b/>
          <w:szCs w:val="22"/>
        </w:rPr>
        <w:t>Distribution:</w:t>
      </w:r>
      <w:r>
        <w:rPr>
          <w:b/>
          <w:szCs w:val="22"/>
        </w:rPr>
        <w:t xml:space="preserve"> </w:t>
      </w:r>
      <w:r>
        <w:rPr>
          <w:szCs w:val="22"/>
        </w:rPr>
        <w:t>All imports between 0-10 kg</w:t>
      </w:r>
    </w:p>
    <w:p w:rsidR="001A78F2" w:rsidRDefault="0059576F">
      <w:pPr>
        <w:rPr>
          <w:szCs w:val="22"/>
        </w:rPr>
      </w:pPr>
      <w:r>
        <w:rPr>
          <w:b/>
          <w:szCs w:val="22"/>
        </w:rPr>
        <w:t xml:space="preserve">Proposed conversion factor: </w:t>
      </w:r>
      <w:r>
        <w:rPr>
          <w:szCs w:val="22"/>
        </w:rPr>
        <w:t>0.04</w:t>
      </w:r>
      <w:r w:rsidRPr="007475CE">
        <w:rPr>
          <w:szCs w:val="22"/>
        </w:rPr>
        <w:t xml:space="preserve"> </w:t>
      </w:r>
      <w:r>
        <w:rPr>
          <w:szCs w:val="22"/>
        </w:rPr>
        <w:t>kg.</w:t>
      </w:r>
    </w:p>
    <w:p w:rsidR="001A78F2" w:rsidRDefault="0059576F">
      <w:pPr>
        <w:rPr>
          <w:szCs w:val="22"/>
        </w:rPr>
      </w:pPr>
      <w:r>
        <w:rPr>
          <w:b/>
          <w:szCs w:val="22"/>
        </w:rPr>
        <w:t>Proposed confidence interval</w:t>
      </w:r>
      <w:r w:rsidRPr="00B02F83">
        <w:rPr>
          <w:szCs w:val="22"/>
        </w:rPr>
        <w:t xml:space="preserve">: </w:t>
      </w:r>
      <w:r>
        <w:rPr>
          <w:szCs w:val="22"/>
        </w:rPr>
        <w:t xml:space="preserve"> &gt; 0.0</w:t>
      </w:r>
      <w:r w:rsidR="00447366">
        <w:rPr>
          <w:szCs w:val="22"/>
        </w:rPr>
        <w:t>4</w:t>
      </w:r>
      <w:r>
        <w:rPr>
          <w:szCs w:val="22"/>
        </w:rPr>
        <w:t xml:space="preserve"> kg, </w:t>
      </w:r>
      <w:r w:rsidR="00CF23D0">
        <w:rPr>
          <w:szCs w:val="22"/>
        </w:rPr>
        <w:t>&lt;</w:t>
      </w:r>
      <w:r>
        <w:rPr>
          <w:szCs w:val="22"/>
        </w:rPr>
        <w:t>26.3 kg</w:t>
      </w:r>
    </w:p>
    <w:p w:rsidR="001A78F2" w:rsidRDefault="00C62346">
      <w:pPr>
        <w:rPr>
          <w:szCs w:val="22"/>
        </w:rPr>
      </w:pPr>
      <w:r>
        <w:rPr>
          <w:b/>
          <w:szCs w:val="22"/>
        </w:rPr>
        <w:t xml:space="preserve">Variation over time: </w:t>
      </w:r>
      <w:r w:rsidR="0059576F">
        <w:rPr>
          <w:szCs w:val="22"/>
        </w:rPr>
        <w:t>Moderate</w:t>
      </w:r>
    </w:p>
    <w:p w:rsidR="001A78F2" w:rsidRDefault="001A78F2">
      <w:pPr>
        <w:rPr>
          <w:szCs w:val="22"/>
        </w:rPr>
      </w:pPr>
    </w:p>
    <w:p w:rsidR="001A78F2" w:rsidRDefault="001A78F2">
      <w:pPr>
        <w:rPr>
          <w:szCs w:val="22"/>
        </w:rPr>
      </w:pPr>
    </w:p>
    <w:p w:rsidR="003E3C96" w:rsidRDefault="003E3C96">
      <w:pPr>
        <w:rPr>
          <w:rFonts w:ascii="Arial" w:hAnsi="Arial" w:cs="Arial"/>
          <w:b/>
          <w:bCs/>
          <w:color w:val="000000"/>
          <w:szCs w:val="22"/>
          <w:lang w:eastAsia="en-AU"/>
        </w:rPr>
      </w:pPr>
      <w:r>
        <w:rPr>
          <w:rFonts w:ascii="Arial" w:hAnsi="Arial" w:cs="Arial"/>
          <w:b/>
          <w:bCs/>
          <w:color w:val="000000"/>
          <w:szCs w:val="22"/>
          <w:lang w:eastAsia="en-AU"/>
        </w:rPr>
        <w:br w:type="page"/>
      </w:r>
    </w:p>
    <w:p w:rsidR="00B3611E" w:rsidRDefault="00B3611E">
      <w:pPr>
        <w:rPr>
          <w:rFonts w:ascii="Arial" w:hAnsi="Arial" w:cs="Arial"/>
          <w:b/>
          <w:bCs/>
          <w:color w:val="000000"/>
          <w:szCs w:val="22"/>
          <w:lang w:eastAsia="en-AU"/>
        </w:rPr>
      </w:pPr>
      <w:r w:rsidRPr="0059576F">
        <w:rPr>
          <w:rFonts w:ascii="Arial" w:hAnsi="Arial" w:cs="Arial"/>
          <w:b/>
          <w:bCs/>
          <w:color w:val="000000"/>
          <w:szCs w:val="22"/>
          <w:lang w:eastAsia="en-AU"/>
        </w:rPr>
        <w:t>SC07 8471.70.00 75 - Floppy drives</w:t>
      </w:r>
    </w:p>
    <w:p w:rsidR="00BC4FED" w:rsidRDefault="00BC4FED">
      <w:pPr>
        <w:rPr>
          <w:rFonts w:ascii="Arial" w:hAnsi="Arial" w:cs="Arial"/>
          <w:b/>
          <w:bCs/>
          <w:color w:val="000000"/>
          <w:szCs w:val="22"/>
          <w:lang w:eastAsia="en-AU"/>
        </w:rPr>
      </w:pPr>
    </w:p>
    <w:p w:rsidR="00B3611E" w:rsidRPr="00BC4FED" w:rsidRDefault="009F14B1" w:rsidP="00BC4FED">
      <w:pPr>
        <w:pStyle w:val="Caption"/>
        <w:keepNext/>
      </w:pPr>
      <w:r>
        <w:t>Figure 5-32</w:t>
      </w:r>
      <w:r w:rsidR="002652C5">
        <w:t xml:space="preserve">  </w:t>
      </w:r>
      <w:r w:rsidR="00AC1355">
        <w:t>HTISC frequency distribution in CF year</w:t>
      </w:r>
    </w:p>
    <w:p w:rsidR="003E3C96" w:rsidRDefault="003E3C96">
      <w:pPr>
        <w:rPr>
          <w:szCs w:val="22"/>
        </w:rPr>
      </w:pPr>
      <w:r w:rsidRPr="003E3C96">
        <w:rPr>
          <w:noProof/>
          <w:szCs w:val="22"/>
          <w:lang w:eastAsia="en-AU"/>
        </w:rPr>
        <w:drawing>
          <wp:inline distT="0" distB="0" distL="0" distR="0">
            <wp:extent cx="4889500" cy="2984500"/>
            <wp:effectExtent l="19050" t="0" r="25400" b="6350"/>
            <wp:docPr id="5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B3611E" w:rsidRDefault="00B3611E">
      <w:pPr>
        <w:rPr>
          <w:szCs w:val="22"/>
        </w:rPr>
      </w:pPr>
    </w:p>
    <w:p w:rsidR="00D73340" w:rsidRDefault="00D73340" w:rsidP="00D73340">
      <w:pPr>
        <w:pStyle w:val="Caption"/>
      </w:pPr>
    </w:p>
    <w:p w:rsidR="00D73340" w:rsidRPr="00D73340" w:rsidRDefault="00207129" w:rsidP="00D73340">
      <w:pPr>
        <w:pStyle w:val="Caption"/>
      </w:pPr>
      <w:r>
        <w:t xml:space="preserve">Table 5-24 </w:t>
      </w:r>
      <w:r w:rsidR="00D73340">
        <w:t>Conversion factor statistics</w:t>
      </w:r>
    </w:p>
    <w:tbl>
      <w:tblPr>
        <w:tblW w:w="7260" w:type="dxa"/>
        <w:tblInd w:w="93" w:type="dxa"/>
        <w:tblLook w:val="04A0"/>
      </w:tblPr>
      <w:tblGrid>
        <w:gridCol w:w="1660"/>
        <w:gridCol w:w="1120"/>
        <w:gridCol w:w="1120"/>
        <w:gridCol w:w="1120"/>
        <w:gridCol w:w="1120"/>
        <w:gridCol w:w="1120"/>
      </w:tblGrid>
      <w:tr w:rsidR="007C7F23" w:rsidRPr="007C7F23" w:rsidTr="007C7F23">
        <w:trPr>
          <w:trHeight w:val="450"/>
        </w:trPr>
        <w:tc>
          <w:tcPr>
            <w:tcW w:w="166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7C7F23" w:rsidRPr="007C7F23" w:rsidRDefault="007C7F23" w:rsidP="007C7F23">
            <w:pPr>
              <w:jc w:val="center"/>
              <w:rPr>
                <w:rFonts w:ascii="Calibri" w:hAnsi="Calibri" w:cs="Calibri"/>
                <w:color w:val="000000"/>
                <w:sz w:val="16"/>
                <w:szCs w:val="16"/>
                <w:lang w:eastAsia="en-AU"/>
              </w:rPr>
            </w:pPr>
            <w:r w:rsidRPr="007C7F23">
              <w:rPr>
                <w:rFonts w:ascii="Calibri" w:hAnsi="Calibri" w:cs="Calibri"/>
                <w:color w:val="000000"/>
                <w:sz w:val="16"/>
                <w:szCs w:val="16"/>
                <w:lang w:eastAsia="en-AU"/>
              </w:rPr>
              <w:t>CF year</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7C7F23" w:rsidRPr="007C7F23" w:rsidRDefault="007C7F23" w:rsidP="007C7F23">
            <w:pPr>
              <w:jc w:val="center"/>
              <w:rPr>
                <w:rFonts w:ascii="Calibri" w:hAnsi="Calibri" w:cs="Calibri"/>
                <w:color w:val="000000"/>
                <w:sz w:val="16"/>
                <w:szCs w:val="16"/>
                <w:lang w:eastAsia="en-AU"/>
              </w:rPr>
            </w:pPr>
            <w:r w:rsidRPr="007C7F23">
              <w:rPr>
                <w:rFonts w:ascii="Calibri" w:hAnsi="Calibri" w:cs="Calibri"/>
                <w:color w:val="000000"/>
                <w:sz w:val="16"/>
                <w:szCs w:val="16"/>
                <w:lang w:eastAsia="en-AU"/>
              </w:rPr>
              <w:t>No. of ABS imports</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7C7F23" w:rsidRPr="007C7F23" w:rsidRDefault="007C7F23" w:rsidP="007C7F23">
            <w:pPr>
              <w:jc w:val="center"/>
              <w:rPr>
                <w:rFonts w:ascii="Calibri" w:hAnsi="Calibri" w:cs="Calibri"/>
                <w:color w:val="000000"/>
                <w:sz w:val="16"/>
                <w:szCs w:val="16"/>
                <w:lang w:eastAsia="en-AU"/>
              </w:rPr>
            </w:pPr>
            <w:r w:rsidRPr="007C7F23">
              <w:rPr>
                <w:rFonts w:ascii="Calibri" w:hAnsi="Calibri" w:cs="Calibri"/>
                <w:color w:val="000000"/>
                <w:sz w:val="16"/>
                <w:szCs w:val="16"/>
                <w:lang w:eastAsia="en-AU"/>
              </w:rPr>
              <w:t>% ABS imports included</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7C7F23" w:rsidRPr="007C7F23" w:rsidRDefault="007C7F23" w:rsidP="007C7F23">
            <w:pPr>
              <w:jc w:val="center"/>
              <w:rPr>
                <w:rFonts w:ascii="Calibri" w:hAnsi="Calibri" w:cs="Calibri"/>
                <w:color w:val="000000"/>
                <w:sz w:val="16"/>
                <w:szCs w:val="16"/>
                <w:lang w:eastAsia="en-AU"/>
              </w:rPr>
            </w:pPr>
            <w:r w:rsidRPr="007C7F23">
              <w:rPr>
                <w:rFonts w:ascii="Calibri" w:hAnsi="Calibri" w:cs="Calibri"/>
                <w:color w:val="000000"/>
                <w:sz w:val="16"/>
                <w:szCs w:val="16"/>
                <w:lang w:eastAsia="en-AU"/>
              </w:rPr>
              <w:t>Min weight</w:t>
            </w:r>
            <w:r w:rsidRPr="007C7F23">
              <w:rPr>
                <w:rFonts w:ascii="Calibri" w:hAnsi="Calibri" w:cs="Calibri"/>
                <w:color w:val="000000"/>
                <w:sz w:val="16"/>
                <w:szCs w:val="16"/>
                <w:lang w:eastAsia="en-AU"/>
              </w:rPr>
              <w:br/>
              <w:t>(kg)</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7C7F23" w:rsidRPr="007C7F23" w:rsidRDefault="007C7F23" w:rsidP="007C7F23">
            <w:pPr>
              <w:jc w:val="center"/>
              <w:rPr>
                <w:rFonts w:ascii="Calibri" w:hAnsi="Calibri" w:cs="Calibri"/>
                <w:color w:val="000000"/>
                <w:sz w:val="16"/>
                <w:szCs w:val="16"/>
                <w:lang w:eastAsia="en-AU"/>
              </w:rPr>
            </w:pPr>
            <w:r w:rsidRPr="007C7F23">
              <w:rPr>
                <w:rFonts w:ascii="Calibri" w:hAnsi="Calibri" w:cs="Calibri"/>
                <w:color w:val="000000"/>
                <w:sz w:val="16"/>
                <w:szCs w:val="16"/>
                <w:lang w:eastAsia="en-AU"/>
              </w:rPr>
              <w:t>Max weight (kg)</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7C7F23" w:rsidRPr="007C7F23" w:rsidRDefault="007C7F23" w:rsidP="007C7F23">
            <w:pPr>
              <w:jc w:val="center"/>
              <w:rPr>
                <w:rFonts w:ascii="Calibri" w:hAnsi="Calibri" w:cs="Calibri"/>
                <w:color w:val="000000"/>
                <w:sz w:val="16"/>
                <w:szCs w:val="16"/>
                <w:lang w:eastAsia="en-AU"/>
              </w:rPr>
            </w:pPr>
            <w:r w:rsidRPr="007C7F23">
              <w:rPr>
                <w:rFonts w:ascii="Calibri" w:hAnsi="Calibri" w:cs="Calibri"/>
                <w:color w:val="000000"/>
                <w:sz w:val="16"/>
                <w:szCs w:val="16"/>
                <w:lang w:eastAsia="en-AU"/>
              </w:rPr>
              <w:t>Standard deviation</w:t>
            </w:r>
          </w:p>
        </w:tc>
      </w:tr>
      <w:tr w:rsidR="007C7F23" w:rsidRPr="007C7F23" w:rsidTr="007C7F23">
        <w:trPr>
          <w:trHeight w:val="22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7C7F23" w:rsidRPr="007C7F23" w:rsidRDefault="007C7F23" w:rsidP="007C7F23">
            <w:pPr>
              <w:jc w:val="center"/>
              <w:rPr>
                <w:rFonts w:ascii="Calibri" w:hAnsi="Calibri" w:cs="Calibri"/>
                <w:color w:val="000000"/>
                <w:sz w:val="16"/>
                <w:szCs w:val="16"/>
                <w:lang w:eastAsia="en-AU"/>
              </w:rPr>
            </w:pPr>
            <w:r w:rsidRPr="007C7F23">
              <w:rPr>
                <w:rFonts w:ascii="Calibri" w:hAnsi="Calibri" w:cs="Calibri"/>
                <w:color w:val="000000"/>
                <w:sz w:val="16"/>
                <w:szCs w:val="16"/>
                <w:lang w:eastAsia="en-AU"/>
              </w:rPr>
              <w:t>2008-09</w:t>
            </w:r>
          </w:p>
        </w:tc>
        <w:tc>
          <w:tcPr>
            <w:tcW w:w="1120" w:type="dxa"/>
            <w:tcBorders>
              <w:top w:val="nil"/>
              <w:left w:val="nil"/>
              <w:bottom w:val="single" w:sz="4" w:space="0" w:color="auto"/>
              <w:right w:val="single" w:sz="4" w:space="0" w:color="auto"/>
            </w:tcBorders>
            <w:shd w:val="clear" w:color="auto" w:fill="auto"/>
            <w:noWrap/>
            <w:vAlign w:val="center"/>
            <w:hideMark/>
          </w:tcPr>
          <w:p w:rsidR="007C7F23" w:rsidRPr="007C7F23" w:rsidRDefault="007C7F23" w:rsidP="007C7F23">
            <w:pPr>
              <w:jc w:val="center"/>
              <w:rPr>
                <w:rFonts w:ascii="Calibri" w:hAnsi="Calibri" w:cs="Calibri"/>
                <w:color w:val="000000"/>
                <w:sz w:val="16"/>
                <w:szCs w:val="16"/>
                <w:lang w:eastAsia="en-AU"/>
              </w:rPr>
            </w:pPr>
            <w:r w:rsidRPr="007C7F23">
              <w:rPr>
                <w:rFonts w:ascii="Calibri" w:hAnsi="Calibri" w:cs="Calibri"/>
                <w:color w:val="000000"/>
                <w:sz w:val="16"/>
                <w:szCs w:val="16"/>
                <w:lang w:eastAsia="en-AU"/>
              </w:rPr>
              <w:t>101,479</w:t>
            </w:r>
          </w:p>
        </w:tc>
        <w:tc>
          <w:tcPr>
            <w:tcW w:w="1120" w:type="dxa"/>
            <w:tcBorders>
              <w:top w:val="nil"/>
              <w:left w:val="nil"/>
              <w:bottom w:val="single" w:sz="4" w:space="0" w:color="auto"/>
              <w:right w:val="single" w:sz="4" w:space="0" w:color="auto"/>
            </w:tcBorders>
            <w:shd w:val="clear" w:color="auto" w:fill="auto"/>
            <w:noWrap/>
            <w:vAlign w:val="center"/>
            <w:hideMark/>
          </w:tcPr>
          <w:p w:rsidR="007C7F23" w:rsidRPr="007C7F23" w:rsidRDefault="007C7F23" w:rsidP="007C7F23">
            <w:pPr>
              <w:jc w:val="center"/>
              <w:rPr>
                <w:rFonts w:ascii="Calibri" w:hAnsi="Calibri" w:cs="Calibri"/>
                <w:color w:val="000000"/>
                <w:sz w:val="16"/>
                <w:szCs w:val="16"/>
                <w:lang w:eastAsia="en-AU"/>
              </w:rPr>
            </w:pPr>
            <w:r w:rsidRPr="007C7F23">
              <w:rPr>
                <w:rFonts w:ascii="Calibri" w:hAnsi="Calibri" w:cs="Calibri"/>
                <w:color w:val="000000"/>
                <w:sz w:val="16"/>
                <w:szCs w:val="16"/>
                <w:lang w:eastAsia="en-AU"/>
              </w:rPr>
              <w:t>0.01%</w:t>
            </w:r>
          </w:p>
        </w:tc>
        <w:tc>
          <w:tcPr>
            <w:tcW w:w="1120" w:type="dxa"/>
            <w:tcBorders>
              <w:top w:val="nil"/>
              <w:left w:val="nil"/>
              <w:bottom w:val="single" w:sz="4" w:space="0" w:color="auto"/>
              <w:right w:val="single" w:sz="4" w:space="0" w:color="auto"/>
            </w:tcBorders>
            <w:shd w:val="clear" w:color="auto" w:fill="auto"/>
            <w:noWrap/>
            <w:vAlign w:val="center"/>
            <w:hideMark/>
          </w:tcPr>
          <w:p w:rsidR="007C7F23" w:rsidRPr="007C7F23" w:rsidRDefault="007C7F23" w:rsidP="007C7F23">
            <w:pPr>
              <w:jc w:val="center"/>
              <w:rPr>
                <w:rFonts w:ascii="Calibri" w:hAnsi="Calibri" w:cs="Calibri"/>
                <w:color w:val="000000"/>
                <w:sz w:val="16"/>
                <w:szCs w:val="16"/>
                <w:lang w:eastAsia="en-AU"/>
              </w:rPr>
            </w:pPr>
            <w:r w:rsidRPr="007C7F23">
              <w:rPr>
                <w:rFonts w:ascii="Calibri" w:hAnsi="Calibri" w:cs="Calibri"/>
                <w:color w:val="000000"/>
                <w:sz w:val="16"/>
                <w:szCs w:val="16"/>
                <w:lang w:eastAsia="en-AU"/>
              </w:rPr>
              <w:t>1</w:t>
            </w:r>
          </w:p>
        </w:tc>
        <w:tc>
          <w:tcPr>
            <w:tcW w:w="1120" w:type="dxa"/>
            <w:tcBorders>
              <w:top w:val="nil"/>
              <w:left w:val="nil"/>
              <w:bottom w:val="single" w:sz="4" w:space="0" w:color="auto"/>
              <w:right w:val="single" w:sz="4" w:space="0" w:color="auto"/>
            </w:tcBorders>
            <w:shd w:val="clear" w:color="auto" w:fill="auto"/>
            <w:noWrap/>
            <w:vAlign w:val="center"/>
            <w:hideMark/>
          </w:tcPr>
          <w:p w:rsidR="007C7F23" w:rsidRPr="007C7F23" w:rsidRDefault="007C7F23" w:rsidP="007C7F23">
            <w:pPr>
              <w:jc w:val="center"/>
              <w:rPr>
                <w:rFonts w:ascii="Calibri" w:hAnsi="Calibri" w:cs="Calibri"/>
                <w:color w:val="000000"/>
                <w:sz w:val="16"/>
                <w:szCs w:val="16"/>
                <w:lang w:eastAsia="en-AU"/>
              </w:rPr>
            </w:pPr>
            <w:r w:rsidRPr="007C7F23">
              <w:rPr>
                <w:rFonts w:ascii="Calibri" w:hAnsi="Calibri" w:cs="Calibri"/>
                <w:color w:val="000000"/>
                <w:sz w:val="16"/>
                <w:szCs w:val="16"/>
                <w:lang w:eastAsia="en-AU"/>
              </w:rPr>
              <w:t>1.0</w:t>
            </w:r>
          </w:p>
        </w:tc>
        <w:tc>
          <w:tcPr>
            <w:tcW w:w="1120" w:type="dxa"/>
            <w:tcBorders>
              <w:top w:val="nil"/>
              <w:left w:val="nil"/>
              <w:bottom w:val="single" w:sz="4" w:space="0" w:color="auto"/>
              <w:right w:val="single" w:sz="4" w:space="0" w:color="auto"/>
            </w:tcBorders>
            <w:shd w:val="clear" w:color="auto" w:fill="auto"/>
            <w:noWrap/>
            <w:vAlign w:val="center"/>
            <w:hideMark/>
          </w:tcPr>
          <w:p w:rsidR="007C7F23" w:rsidRPr="007C7F23" w:rsidRDefault="007C7F23" w:rsidP="007C7F23">
            <w:pPr>
              <w:jc w:val="center"/>
              <w:rPr>
                <w:rFonts w:ascii="Calibri" w:hAnsi="Calibri" w:cs="Calibri"/>
                <w:color w:val="000000"/>
                <w:sz w:val="16"/>
                <w:szCs w:val="16"/>
                <w:lang w:eastAsia="en-AU"/>
              </w:rPr>
            </w:pPr>
            <w:r w:rsidRPr="007C7F23">
              <w:rPr>
                <w:rFonts w:ascii="Calibri" w:hAnsi="Calibri" w:cs="Calibri"/>
                <w:color w:val="000000"/>
                <w:sz w:val="16"/>
                <w:szCs w:val="16"/>
                <w:lang w:eastAsia="en-AU"/>
              </w:rPr>
              <w:t>0.0</w:t>
            </w:r>
          </w:p>
        </w:tc>
      </w:tr>
      <w:tr w:rsidR="007C7F23" w:rsidRPr="007C7F23" w:rsidTr="007C7F23">
        <w:trPr>
          <w:trHeight w:val="225"/>
        </w:trPr>
        <w:tc>
          <w:tcPr>
            <w:tcW w:w="1660" w:type="dxa"/>
            <w:tcBorders>
              <w:top w:val="nil"/>
              <w:left w:val="nil"/>
              <w:bottom w:val="nil"/>
              <w:right w:val="nil"/>
            </w:tcBorders>
            <w:shd w:val="clear" w:color="auto" w:fill="auto"/>
            <w:noWrap/>
            <w:vAlign w:val="bottom"/>
            <w:hideMark/>
          </w:tcPr>
          <w:p w:rsidR="007C7F23" w:rsidRPr="007C7F23" w:rsidRDefault="007C7F23" w:rsidP="007C7F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7C7F23" w:rsidRPr="007C7F23" w:rsidRDefault="007C7F23" w:rsidP="007C7F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7C7F23" w:rsidRPr="007C7F23" w:rsidRDefault="007C7F23" w:rsidP="007C7F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7C7F23" w:rsidRPr="007C7F23" w:rsidRDefault="007C7F23" w:rsidP="007C7F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7C7F23" w:rsidRPr="007C7F23" w:rsidRDefault="007C7F23" w:rsidP="007C7F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7C7F23" w:rsidRPr="007C7F23" w:rsidRDefault="007C7F23" w:rsidP="007C7F23">
            <w:pPr>
              <w:rPr>
                <w:rFonts w:ascii="Calibri" w:hAnsi="Calibri" w:cs="Calibri"/>
                <w:color w:val="000000"/>
                <w:sz w:val="16"/>
                <w:szCs w:val="16"/>
                <w:lang w:eastAsia="en-AU"/>
              </w:rPr>
            </w:pPr>
          </w:p>
        </w:tc>
      </w:tr>
      <w:tr w:rsidR="007C7F23" w:rsidRPr="007C7F23" w:rsidTr="007C7F23">
        <w:trPr>
          <w:trHeight w:val="450"/>
        </w:trPr>
        <w:tc>
          <w:tcPr>
            <w:tcW w:w="1660" w:type="dxa"/>
            <w:tcBorders>
              <w:top w:val="single" w:sz="4" w:space="0" w:color="auto"/>
              <w:left w:val="single" w:sz="4" w:space="0" w:color="auto"/>
              <w:bottom w:val="nil"/>
              <w:right w:val="single" w:sz="4" w:space="0" w:color="auto"/>
            </w:tcBorders>
            <w:shd w:val="clear" w:color="000000" w:fill="D8D8D8"/>
            <w:vAlign w:val="center"/>
            <w:hideMark/>
          </w:tcPr>
          <w:p w:rsidR="007C7F23" w:rsidRPr="007C7F23" w:rsidRDefault="007C7F23" w:rsidP="007C7F23">
            <w:pPr>
              <w:jc w:val="center"/>
              <w:rPr>
                <w:rFonts w:ascii="Calibri" w:hAnsi="Calibri" w:cs="Calibri"/>
                <w:color w:val="000000"/>
                <w:sz w:val="16"/>
                <w:szCs w:val="16"/>
                <w:lang w:eastAsia="en-AU"/>
              </w:rPr>
            </w:pPr>
            <w:r w:rsidRPr="007C7F23">
              <w:rPr>
                <w:rFonts w:ascii="Calibri" w:hAnsi="Calibri" w:cs="Calibri"/>
                <w:color w:val="000000"/>
                <w:sz w:val="16"/>
                <w:szCs w:val="16"/>
                <w:lang w:eastAsia="en-AU"/>
              </w:rPr>
              <w:t>Method</w:t>
            </w:r>
          </w:p>
        </w:tc>
        <w:tc>
          <w:tcPr>
            <w:tcW w:w="1120" w:type="dxa"/>
            <w:tcBorders>
              <w:top w:val="single" w:sz="4" w:space="0" w:color="auto"/>
              <w:left w:val="nil"/>
              <w:bottom w:val="nil"/>
              <w:right w:val="single" w:sz="4" w:space="0" w:color="auto"/>
            </w:tcBorders>
            <w:shd w:val="clear" w:color="000000" w:fill="D8D8D8"/>
            <w:vAlign w:val="center"/>
            <w:hideMark/>
          </w:tcPr>
          <w:p w:rsidR="007C7F23" w:rsidRPr="007C7F23" w:rsidRDefault="007C7F23" w:rsidP="007C7F23">
            <w:pPr>
              <w:jc w:val="center"/>
              <w:rPr>
                <w:rFonts w:ascii="Calibri" w:hAnsi="Calibri" w:cs="Calibri"/>
                <w:color w:val="000000"/>
                <w:sz w:val="16"/>
                <w:szCs w:val="16"/>
                <w:lang w:eastAsia="en-AU"/>
              </w:rPr>
            </w:pPr>
            <w:r w:rsidRPr="007C7F23">
              <w:rPr>
                <w:rFonts w:ascii="Calibri" w:hAnsi="Calibri" w:cs="Calibri"/>
                <w:color w:val="000000"/>
                <w:sz w:val="16"/>
                <w:szCs w:val="16"/>
                <w:lang w:eastAsia="en-AU"/>
              </w:rPr>
              <w:t>Measure of average</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7C7F23" w:rsidRPr="007C7F23" w:rsidRDefault="007C7F23" w:rsidP="007C7F23">
            <w:pPr>
              <w:jc w:val="center"/>
              <w:rPr>
                <w:rFonts w:ascii="Calibri" w:hAnsi="Calibri" w:cs="Calibri"/>
                <w:color w:val="000000"/>
                <w:sz w:val="16"/>
                <w:szCs w:val="16"/>
                <w:lang w:eastAsia="en-AU"/>
              </w:rPr>
            </w:pPr>
            <w:r w:rsidRPr="007C7F23">
              <w:rPr>
                <w:rFonts w:ascii="Calibri" w:hAnsi="Calibri" w:cs="Calibri"/>
                <w:color w:val="000000"/>
                <w:sz w:val="16"/>
                <w:szCs w:val="16"/>
                <w:lang w:eastAsia="en-AU"/>
              </w:rPr>
              <w:t>Average weight (kg)</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7C7F23" w:rsidRPr="007C7F23" w:rsidRDefault="007C7F23" w:rsidP="007C7F23">
            <w:pPr>
              <w:jc w:val="center"/>
              <w:rPr>
                <w:rFonts w:ascii="Calibri" w:hAnsi="Calibri" w:cs="Calibri"/>
                <w:color w:val="000000"/>
                <w:sz w:val="16"/>
                <w:szCs w:val="16"/>
                <w:lang w:eastAsia="en-AU"/>
              </w:rPr>
            </w:pPr>
            <w:r w:rsidRPr="007C7F23">
              <w:rPr>
                <w:rFonts w:ascii="Calibri" w:hAnsi="Calibri" w:cs="Calibri"/>
                <w:color w:val="000000"/>
                <w:sz w:val="16"/>
                <w:szCs w:val="16"/>
                <w:lang w:eastAsia="en-AU"/>
              </w:rPr>
              <w:t>Lower limit (kg)</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7C7F23" w:rsidRPr="007C7F23" w:rsidRDefault="007C7F23" w:rsidP="007C7F23">
            <w:pPr>
              <w:jc w:val="center"/>
              <w:rPr>
                <w:rFonts w:ascii="Calibri" w:hAnsi="Calibri" w:cs="Calibri"/>
                <w:color w:val="000000"/>
                <w:sz w:val="16"/>
                <w:szCs w:val="16"/>
                <w:lang w:eastAsia="en-AU"/>
              </w:rPr>
            </w:pPr>
            <w:r w:rsidRPr="007C7F23">
              <w:rPr>
                <w:rFonts w:ascii="Calibri" w:hAnsi="Calibri" w:cs="Calibri"/>
                <w:color w:val="000000"/>
                <w:sz w:val="16"/>
                <w:szCs w:val="16"/>
                <w:lang w:eastAsia="en-AU"/>
              </w:rPr>
              <w:t>Upper limit (kg)</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7C7F23" w:rsidRPr="007C7F23" w:rsidRDefault="007C7F23" w:rsidP="007C7F23">
            <w:pPr>
              <w:jc w:val="center"/>
              <w:rPr>
                <w:rFonts w:ascii="Calibri" w:hAnsi="Calibri" w:cs="Calibri"/>
                <w:color w:val="000000"/>
                <w:sz w:val="16"/>
                <w:szCs w:val="16"/>
                <w:lang w:eastAsia="en-AU"/>
              </w:rPr>
            </w:pPr>
            <w:r w:rsidRPr="007C7F23">
              <w:rPr>
                <w:rFonts w:ascii="Calibri" w:hAnsi="Calibri" w:cs="Calibri"/>
                <w:color w:val="000000"/>
                <w:sz w:val="16"/>
                <w:szCs w:val="16"/>
                <w:lang w:eastAsia="en-AU"/>
              </w:rPr>
              <w:t>Confidence interval ± (kg)</w:t>
            </w:r>
          </w:p>
        </w:tc>
      </w:tr>
      <w:tr w:rsidR="007C7F23" w:rsidRPr="007C7F23" w:rsidTr="007C7F23">
        <w:trPr>
          <w:trHeight w:val="45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F23" w:rsidRPr="007C7F23" w:rsidRDefault="007C7F23" w:rsidP="007C7F23">
            <w:pPr>
              <w:jc w:val="center"/>
              <w:rPr>
                <w:rFonts w:ascii="Calibri" w:hAnsi="Calibri" w:cs="Calibri"/>
                <w:color w:val="000000"/>
                <w:sz w:val="16"/>
                <w:szCs w:val="16"/>
                <w:lang w:eastAsia="en-AU"/>
              </w:rPr>
            </w:pPr>
            <w:r w:rsidRPr="007C7F23">
              <w:rPr>
                <w:rFonts w:ascii="Calibri" w:hAnsi="Calibri" w:cs="Calibri"/>
                <w:color w:val="000000"/>
                <w:sz w:val="16"/>
                <w:szCs w:val="16"/>
                <w:lang w:eastAsia="en-AU"/>
              </w:rPr>
              <w:t>Approximation to the normal distribution</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7C7F23" w:rsidRPr="007C7F23" w:rsidRDefault="007C7F23" w:rsidP="007C7F23">
            <w:pPr>
              <w:jc w:val="center"/>
              <w:rPr>
                <w:rFonts w:ascii="Calibri" w:hAnsi="Calibri" w:cs="Calibri"/>
                <w:color w:val="000000"/>
                <w:sz w:val="16"/>
                <w:szCs w:val="16"/>
                <w:lang w:eastAsia="en-AU"/>
              </w:rPr>
            </w:pPr>
            <w:r w:rsidRPr="007C7F23">
              <w:rPr>
                <w:rFonts w:ascii="Calibri" w:hAnsi="Calibri" w:cs="Calibri"/>
                <w:color w:val="000000"/>
                <w:sz w:val="16"/>
                <w:szCs w:val="16"/>
                <w:lang w:eastAsia="en-AU"/>
              </w:rPr>
              <w:t>Mean</w:t>
            </w:r>
          </w:p>
        </w:tc>
        <w:tc>
          <w:tcPr>
            <w:tcW w:w="1120" w:type="dxa"/>
            <w:tcBorders>
              <w:top w:val="nil"/>
              <w:left w:val="nil"/>
              <w:bottom w:val="single" w:sz="4" w:space="0" w:color="auto"/>
              <w:right w:val="single" w:sz="4" w:space="0" w:color="auto"/>
            </w:tcBorders>
            <w:shd w:val="clear" w:color="auto" w:fill="auto"/>
            <w:noWrap/>
            <w:vAlign w:val="center"/>
            <w:hideMark/>
          </w:tcPr>
          <w:p w:rsidR="007C7F23" w:rsidRPr="007C7F23" w:rsidRDefault="007C7F23" w:rsidP="007C7F23">
            <w:pPr>
              <w:jc w:val="center"/>
              <w:rPr>
                <w:rFonts w:ascii="Calibri" w:hAnsi="Calibri" w:cs="Calibri"/>
                <w:color w:val="000000"/>
                <w:sz w:val="16"/>
                <w:szCs w:val="16"/>
                <w:lang w:eastAsia="en-AU"/>
              </w:rPr>
            </w:pPr>
            <w:r w:rsidRPr="007C7F23">
              <w:rPr>
                <w:rFonts w:ascii="Calibri" w:hAnsi="Calibri" w:cs="Calibri"/>
                <w:color w:val="000000"/>
                <w:sz w:val="16"/>
                <w:szCs w:val="16"/>
                <w:lang w:eastAsia="en-AU"/>
              </w:rPr>
              <w:t>1.0</w:t>
            </w:r>
          </w:p>
        </w:tc>
        <w:tc>
          <w:tcPr>
            <w:tcW w:w="1120" w:type="dxa"/>
            <w:tcBorders>
              <w:top w:val="nil"/>
              <w:left w:val="nil"/>
              <w:bottom w:val="single" w:sz="4" w:space="0" w:color="auto"/>
              <w:right w:val="single" w:sz="4" w:space="0" w:color="auto"/>
            </w:tcBorders>
            <w:shd w:val="clear" w:color="auto" w:fill="auto"/>
            <w:noWrap/>
            <w:vAlign w:val="center"/>
            <w:hideMark/>
          </w:tcPr>
          <w:p w:rsidR="007C7F23" w:rsidRPr="007C7F23" w:rsidRDefault="007C7F23" w:rsidP="007C7F23">
            <w:pPr>
              <w:jc w:val="center"/>
              <w:rPr>
                <w:rFonts w:ascii="Calibri" w:hAnsi="Calibri" w:cs="Calibri"/>
                <w:color w:val="000000"/>
                <w:sz w:val="16"/>
                <w:szCs w:val="16"/>
                <w:lang w:eastAsia="en-AU"/>
              </w:rPr>
            </w:pPr>
            <w:r w:rsidRPr="007C7F23">
              <w:rPr>
                <w:rFonts w:ascii="Calibri" w:hAnsi="Calibri" w:cs="Calibri"/>
                <w:color w:val="000000"/>
                <w:sz w:val="16"/>
                <w:szCs w:val="16"/>
                <w:lang w:eastAsia="en-AU"/>
              </w:rPr>
              <w:t>1.0</w:t>
            </w:r>
          </w:p>
        </w:tc>
        <w:tc>
          <w:tcPr>
            <w:tcW w:w="1120" w:type="dxa"/>
            <w:tcBorders>
              <w:top w:val="nil"/>
              <w:left w:val="nil"/>
              <w:bottom w:val="single" w:sz="4" w:space="0" w:color="auto"/>
              <w:right w:val="single" w:sz="4" w:space="0" w:color="auto"/>
            </w:tcBorders>
            <w:shd w:val="clear" w:color="auto" w:fill="auto"/>
            <w:noWrap/>
            <w:vAlign w:val="center"/>
            <w:hideMark/>
          </w:tcPr>
          <w:p w:rsidR="007C7F23" w:rsidRPr="007C7F23" w:rsidRDefault="007C7F23" w:rsidP="007C7F23">
            <w:pPr>
              <w:jc w:val="center"/>
              <w:rPr>
                <w:rFonts w:ascii="Calibri" w:hAnsi="Calibri" w:cs="Calibri"/>
                <w:color w:val="000000"/>
                <w:sz w:val="16"/>
                <w:szCs w:val="16"/>
                <w:lang w:eastAsia="en-AU"/>
              </w:rPr>
            </w:pPr>
            <w:r w:rsidRPr="007C7F23">
              <w:rPr>
                <w:rFonts w:ascii="Calibri" w:hAnsi="Calibri" w:cs="Calibri"/>
                <w:color w:val="000000"/>
                <w:sz w:val="16"/>
                <w:szCs w:val="16"/>
                <w:lang w:eastAsia="en-AU"/>
              </w:rPr>
              <w:t>1.0</w:t>
            </w:r>
          </w:p>
        </w:tc>
        <w:tc>
          <w:tcPr>
            <w:tcW w:w="1120" w:type="dxa"/>
            <w:tcBorders>
              <w:top w:val="nil"/>
              <w:left w:val="nil"/>
              <w:bottom w:val="single" w:sz="4" w:space="0" w:color="auto"/>
              <w:right w:val="single" w:sz="4" w:space="0" w:color="auto"/>
            </w:tcBorders>
            <w:shd w:val="clear" w:color="auto" w:fill="auto"/>
            <w:noWrap/>
            <w:vAlign w:val="center"/>
            <w:hideMark/>
          </w:tcPr>
          <w:p w:rsidR="007C7F23" w:rsidRPr="007C7F23" w:rsidRDefault="007C7F23" w:rsidP="007C7F23">
            <w:pPr>
              <w:jc w:val="center"/>
              <w:rPr>
                <w:rFonts w:ascii="Calibri" w:hAnsi="Calibri" w:cs="Calibri"/>
                <w:color w:val="000000"/>
                <w:sz w:val="16"/>
                <w:szCs w:val="16"/>
                <w:lang w:eastAsia="en-AU"/>
              </w:rPr>
            </w:pPr>
            <w:r w:rsidRPr="007C7F23">
              <w:rPr>
                <w:rFonts w:ascii="Calibri" w:hAnsi="Calibri" w:cs="Calibri"/>
                <w:color w:val="000000"/>
                <w:sz w:val="16"/>
                <w:szCs w:val="16"/>
                <w:lang w:eastAsia="en-AU"/>
              </w:rPr>
              <w:t>0.0</w:t>
            </w:r>
          </w:p>
        </w:tc>
      </w:tr>
      <w:tr w:rsidR="007C7F23" w:rsidRPr="007C7F23" w:rsidTr="007C7F23">
        <w:trPr>
          <w:trHeight w:val="22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7C7F23" w:rsidRPr="007C7F23" w:rsidRDefault="007C7F23" w:rsidP="007C7F23">
            <w:pPr>
              <w:jc w:val="center"/>
              <w:rPr>
                <w:rFonts w:ascii="Calibri" w:hAnsi="Calibri" w:cs="Calibri"/>
                <w:color w:val="000000"/>
                <w:sz w:val="16"/>
                <w:szCs w:val="16"/>
                <w:lang w:eastAsia="en-AU"/>
              </w:rPr>
            </w:pPr>
            <w:r w:rsidRPr="007C7F23">
              <w:rPr>
                <w:rFonts w:ascii="Calibri" w:hAnsi="Calibri" w:cs="Calibri"/>
                <w:color w:val="000000"/>
                <w:sz w:val="16"/>
                <w:szCs w:val="16"/>
                <w:lang w:eastAsia="en-AU"/>
              </w:rPr>
              <w:t>Use of percentiles</w:t>
            </w:r>
          </w:p>
        </w:tc>
        <w:tc>
          <w:tcPr>
            <w:tcW w:w="1120" w:type="dxa"/>
            <w:tcBorders>
              <w:top w:val="nil"/>
              <w:left w:val="nil"/>
              <w:bottom w:val="single" w:sz="4" w:space="0" w:color="auto"/>
              <w:right w:val="single" w:sz="4" w:space="0" w:color="auto"/>
            </w:tcBorders>
            <w:shd w:val="clear" w:color="auto" w:fill="auto"/>
            <w:vAlign w:val="center"/>
            <w:hideMark/>
          </w:tcPr>
          <w:p w:rsidR="007C7F23" w:rsidRPr="007C7F23" w:rsidRDefault="007C7F23" w:rsidP="007C7F23">
            <w:pPr>
              <w:jc w:val="center"/>
              <w:rPr>
                <w:rFonts w:ascii="Calibri" w:hAnsi="Calibri" w:cs="Calibri"/>
                <w:color w:val="000000"/>
                <w:sz w:val="16"/>
                <w:szCs w:val="16"/>
                <w:lang w:eastAsia="en-AU"/>
              </w:rPr>
            </w:pPr>
            <w:r w:rsidRPr="007C7F23">
              <w:rPr>
                <w:rFonts w:ascii="Calibri" w:hAnsi="Calibri" w:cs="Calibri"/>
                <w:color w:val="000000"/>
                <w:sz w:val="16"/>
                <w:szCs w:val="16"/>
                <w:lang w:eastAsia="en-AU"/>
              </w:rPr>
              <w:t>Median</w:t>
            </w:r>
          </w:p>
        </w:tc>
        <w:tc>
          <w:tcPr>
            <w:tcW w:w="1120" w:type="dxa"/>
            <w:tcBorders>
              <w:top w:val="nil"/>
              <w:left w:val="nil"/>
              <w:bottom w:val="single" w:sz="4" w:space="0" w:color="auto"/>
              <w:right w:val="single" w:sz="4" w:space="0" w:color="auto"/>
            </w:tcBorders>
            <w:shd w:val="clear" w:color="auto" w:fill="auto"/>
            <w:noWrap/>
            <w:vAlign w:val="center"/>
            <w:hideMark/>
          </w:tcPr>
          <w:p w:rsidR="007C7F23" w:rsidRPr="007C7F23" w:rsidRDefault="007C7F23" w:rsidP="007C7F23">
            <w:pPr>
              <w:jc w:val="center"/>
              <w:rPr>
                <w:rFonts w:ascii="Calibri" w:hAnsi="Calibri" w:cs="Calibri"/>
                <w:color w:val="000000"/>
                <w:sz w:val="16"/>
                <w:szCs w:val="16"/>
                <w:lang w:eastAsia="en-AU"/>
              </w:rPr>
            </w:pPr>
            <w:r w:rsidRPr="007C7F23">
              <w:rPr>
                <w:rFonts w:ascii="Calibri" w:hAnsi="Calibri" w:cs="Calibri"/>
                <w:color w:val="000000"/>
                <w:sz w:val="16"/>
                <w:szCs w:val="16"/>
                <w:lang w:eastAsia="en-AU"/>
              </w:rPr>
              <w:t>1.0</w:t>
            </w:r>
          </w:p>
        </w:tc>
        <w:tc>
          <w:tcPr>
            <w:tcW w:w="1120" w:type="dxa"/>
            <w:tcBorders>
              <w:top w:val="nil"/>
              <w:left w:val="nil"/>
              <w:bottom w:val="single" w:sz="4" w:space="0" w:color="auto"/>
              <w:right w:val="single" w:sz="4" w:space="0" w:color="auto"/>
            </w:tcBorders>
            <w:shd w:val="clear" w:color="auto" w:fill="auto"/>
            <w:noWrap/>
            <w:vAlign w:val="center"/>
            <w:hideMark/>
          </w:tcPr>
          <w:p w:rsidR="007C7F23" w:rsidRPr="007C7F23" w:rsidRDefault="007C7F23" w:rsidP="007C7F23">
            <w:pPr>
              <w:jc w:val="center"/>
              <w:rPr>
                <w:rFonts w:ascii="Calibri" w:hAnsi="Calibri" w:cs="Calibri"/>
                <w:color w:val="000000"/>
                <w:sz w:val="16"/>
                <w:szCs w:val="16"/>
                <w:lang w:eastAsia="en-AU"/>
              </w:rPr>
            </w:pPr>
            <w:r w:rsidRPr="007C7F23">
              <w:rPr>
                <w:rFonts w:ascii="Calibri" w:hAnsi="Calibri" w:cs="Calibri"/>
                <w:color w:val="000000"/>
                <w:sz w:val="16"/>
                <w:szCs w:val="16"/>
                <w:lang w:eastAsia="en-AU"/>
              </w:rPr>
              <w:t>1.0</w:t>
            </w:r>
          </w:p>
        </w:tc>
        <w:tc>
          <w:tcPr>
            <w:tcW w:w="1120" w:type="dxa"/>
            <w:tcBorders>
              <w:top w:val="nil"/>
              <w:left w:val="nil"/>
              <w:bottom w:val="single" w:sz="4" w:space="0" w:color="auto"/>
              <w:right w:val="single" w:sz="4" w:space="0" w:color="auto"/>
            </w:tcBorders>
            <w:shd w:val="clear" w:color="auto" w:fill="auto"/>
            <w:noWrap/>
            <w:vAlign w:val="center"/>
            <w:hideMark/>
          </w:tcPr>
          <w:p w:rsidR="007C7F23" w:rsidRPr="007C7F23" w:rsidRDefault="007C7F23" w:rsidP="007C7F23">
            <w:pPr>
              <w:jc w:val="center"/>
              <w:rPr>
                <w:rFonts w:ascii="Calibri" w:hAnsi="Calibri" w:cs="Calibri"/>
                <w:color w:val="000000"/>
                <w:sz w:val="16"/>
                <w:szCs w:val="16"/>
                <w:lang w:eastAsia="en-AU"/>
              </w:rPr>
            </w:pPr>
            <w:r w:rsidRPr="007C7F23">
              <w:rPr>
                <w:rFonts w:ascii="Calibri" w:hAnsi="Calibri" w:cs="Calibri"/>
                <w:color w:val="000000"/>
                <w:sz w:val="16"/>
                <w:szCs w:val="16"/>
                <w:lang w:eastAsia="en-AU"/>
              </w:rPr>
              <w:t>1.0</w:t>
            </w:r>
          </w:p>
        </w:tc>
        <w:tc>
          <w:tcPr>
            <w:tcW w:w="1120" w:type="dxa"/>
            <w:tcBorders>
              <w:top w:val="nil"/>
              <w:left w:val="nil"/>
              <w:bottom w:val="single" w:sz="4" w:space="0" w:color="auto"/>
              <w:right w:val="single" w:sz="4" w:space="0" w:color="auto"/>
            </w:tcBorders>
            <w:shd w:val="clear" w:color="auto" w:fill="auto"/>
            <w:noWrap/>
            <w:vAlign w:val="center"/>
            <w:hideMark/>
          </w:tcPr>
          <w:p w:rsidR="007C7F23" w:rsidRPr="007C7F23" w:rsidRDefault="007C7F23" w:rsidP="007C7F23">
            <w:pPr>
              <w:jc w:val="center"/>
              <w:rPr>
                <w:rFonts w:ascii="Calibri" w:hAnsi="Calibri" w:cs="Calibri"/>
                <w:color w:val="000000"/>
                <w:sz w:val="16"/>
                <w:szCs w:val="16"/>
                <w:lang w:eastAsia="en-AU"/>
              </w:rPr>
            </w:pPr>
            <w:r w:rsidRPr="007C7F23">
              <w:rPr>
                <w:rFonts w:ascii="Calibri" w:hAnsi="Calibri" w:cs="Calibri"/>
                <w:color w:val="000000"/>
                <w:sz w:val="16"/>
                <w:szCs w:val="16"/>
                <w:lang w:eastAsia="en-AU"/>
              </w:rPr>
              <w:t>0.0</w:t>
            </w:r>
          </w:p>
        </w:tc>
      </w:tr>
      <w:tr w:rsidR="007C7F23" w:rsidRPr="007C7F23" w:rsidTr="007C7F23">
        <w:trPr>
          <w:trHeight w:val="225"/>
        </w:trPr>
        <w:tc>
          <w:tcPr>
            <w:tcW w:w="1660" w:type="dxa"/>
            <w:tcBorders>
              <w:top w:val="nil"/>
              <w:left w:val="nil"/>
              <w:bottom w:val="nil"/>
              <w:right w:val="nil"/>
            </w:tcBorders>
            <w:shd w:val="clear" w:color="auto" w:fill="auto"/>
            <w:noWrap/>
            <w:vAlign w:val="bottom"/>
            <w:hideMark/>
          </w:tcPr>
          <w:p w:rsidR="007C7F23" w:rsidRPr="007C7F23" w:rsidRDefault="007C7F23" w:rsidP="007C7F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7C7F23" w:rsidRPr="007C7F23" w:rsidRDefault="007C7F23" w:rsidP="007C7F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7C7F23" w:rsidRPr="007C7F23" w:rsidRDefault="007C7F23" w:rsidP="007C7F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7C7F23" w:rsidRPr="007C7F23" w:rsidRDefault="007C7F23" w:rsidP="007C7F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7C7F23" w:rsidRPr="007C7F23" w:rsidRDefault="007C7F23" w:rsidP="007C7F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7C7F23" w:rsidRPr="007C7F23" w:rsidRDefault="007C7F23" w:rsidP="007C7F23">
            <w:pPr>
              <w:rPr>
                <w:rFonts w:ascii="Calibri" w:hAnsi="Calibri" w:cs="Calibri"/>
                <w:color w:val="000000"/>
                <w:sz w:val="16"/>
                <w:szCs w:val="16"/>
                <w:lang w:eastAsia="en-AU"/>
              </w:rPr>
            </w:pPr>
          </w:p>
        </w:tc>
      </w:tr>
      <w:tr w:rsidR="007C7F23" w:rsidRPr="007C7F23" w:rsidTr="007C7F23">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7C7F23" w:rsidRPr="007C7F23" w:rsidRDefault="007C7F23" w:rsidP="007C7F23">
            <w:pPr>
              <w:rPr>
                <w:rFonts w:ascii="Calibri" w:hAnsi="Calibri" w:cs="Calibri"/>
                <w:color w:val="000000"/>
                <w:sz w:val="16"/>
                <w:szCs w:val="16"/>
                <w:lang w:eastAsia="en-AU"/>
              </w:rPr>
            </w:pPr>
            <w:r w:rsidRPr="007C7F23">
              <w:rPr>
                <w:rFonts w:ascii="Calibri" w:hAnsi="Calibri" w:cs="Calibri"/>
                <w:color w:val="000000"/>
                <w:sz w:val="16"/>
                <w:szCs w:val="16"/>
                <w:lang w:eastAsia="en-AU"/>
              </w:rPr>
              <w:t>Year</w:t>
            </w:r>
          </w:p>
        </w:tc>
        <w:tc>
          <w:tcPr>
            <w:tcW w:w="1120" w:type="dxa"/>
            <w:tcBorders>
              <w:top w:val="single" w:sz="4" w:space="0" w:color="auto"/>
              <w:left w:val="nil"/>
              <w:bottom w:val="single" w:sz="4" w:space="0" w:color="auto"/>
              <w:right w:val="single" w:sz="4" w:space="0" w:color="auto"/>
            </w:tcBorders>
            <w:shd w:val="clear" w:color="000000" w:fill="D8D8D8"/>
            <w:noWrap/>
            <w:vAlign w:val="center"/>
            <w:hideMark/>
          </w:tcPr>
          <w:p w:rsidR="007C7F23" w:rsidRPr="007C7F23" w:rsidRDefault="007C7F23" w:rsidP="007C7F23">
            <w:pPr>
              <w:jc w:val="center"/>
              <w:rPr>
                <w:rFonts w:ascii="Calibri" w:hAnsi="Calibri" w:cs="Calibri"/>
                <w:color w:val="000000"/>
                <w:sz w:val="16"/>
                <w:szCs w:val="16"/>
                <w:lang w:eastAsia="en-AU"/>
              </w:rPr>
            </w:pPr>
            <w:r w:rsidRPr="007C7F23">
              <w:rPr>
                <w:rFonts w:ascii="Calibri" w:hAnsi="Calibri" w:cs="Calibri"/>
                <w:color w:val="000000"/>
                <w:sz w:val="16"/>
                <w:szCs w:val="16"/>
                <w:lang w:eastAsia="en-AU"/>
              </w:rPr>
              <w:t>2010-11</w:t>
            </w:r>
          </w:p>
        </w:tc>
        <w:tc>
          <w:tcPr>
            <w:tcW w:w="1120" w:type="dxa"/>
            <w:tcBorders>
              <w:top w:val="single" w:sz="4" w:space="0" w:color="auto"/>
              <w:left w:val="nil"/>
              <w:bottom w:val="single" w:sz="4" w:space="0" w:color="auto"/>
              <w:right w:val="single" w:sz="4" w:space="0" w:color="auto"/>
            </w:tcBorders>
            <w:shd w:val="clear" w:color="000000" w:fill="D8D8D8"/>
            <w:noWrap/>
            <w:vAlign w:val="center"/>
            <w:hideMark/>
          </w:tcPr>
          <w:p w:rsidR="007C7F23" w:rsidRPr="007C7F23" w:rsidRDefault="007C7F23" w:rsidP="007C7F23">
            <w:pPr>
              <w:jc w:val="center"/>
              <w:rPr>
                <w:rFonts w:ascii="Calibri" w:hAnsi="Calibri" w:cs="Calibri"/>
                <w:color w:val="000000"/>
                <w:sz w:val="16"/>
                <w:szCs w:val="16"/>
                <w:lang w:eastAsia="en-AU"/>
              </w:rPr>
            </w:pPr>
            <w:r w:rsidRPr="007C7F23">
              <w:rPr>
                <w:rFonts w:ascii="Calibri" w:hAnsi="Calibri" w:cs="Calibri"/>
                <w:color w:val="000000"/>
                <w:sz w:val="16"/>
                <w:szCs w:val="16"/>
                <w:lang w:eastAsia="en-AU"/>
              </w:rPr>
              <w:t>2009-10</w:t>
            </w:r>
          </w:p>
        </w:tc>
        <w:tc>
          <w:tcPr>
            <w:tcW w:w="1120" w:type="dxa"/>
            <w:tcBorders>
              <w:top w:val="single" w:sz="4" w:space="0" w:color="auto"/>
              <w:left w:val="nil"/>
              <w:bottom w:val="single" w:sz="4" w:space="0" w:color="auto"/>
              <w:right w:val="single" w:sz="4" w:space="0" w:color="auto"/>
            </w:tcBorders>
            <w:shd w:val="clear" w:color="000000" w:fill="D8D8D8"/>
            <w:noWrap/>
            <w:vAlign w:val="center"/>
            <w:hideMark/>
          </w:tcPr>
          <w:p w:rsidR="007C7F23" w:rsidRPr="007C7F23" w:rsidRDefault="007C7F23" w:rsidP="007C7F23">
            <w:pPr>
              <w:jc w:val="center"/>
              <w:rPr>
                <w:rFonts w:ascii="Calibri" w:hAnsi="Calibri" w:cs="Calibri"/>
                <w:color w:val="000000"/>
                <w:sz w:val="16"/>
                <w:szCs w:val="16"/>
                <w:lang w:eastAsia="en-AU"/>
              </w:rPr>
            </w:pPr>
            <w:r w:rsidRPr="007C7F23">
              <w:rPr>
                <w:rFonts w:ascii="Calibri" w:hAnsi="Calibri" w:cs="Calibri"/>
                <w:color w:val="000000"/>
                <w:sz w:val="16"/>
                <w:szCs w:val="16"/>
                <w:lang w:eastAsia="en-AU"/>
              </w:rPr>
              <w:t>2008-09</w:t>
            </w:r>
          </w:p>
        </w:tc>
      </w:tr>
      <w:tr w:rsidR="007C7F23" w:rsidRPr="007C7F23" w:rsidTr="007C7F23">
        <w:trPr>
          <w:trHeight w:val="225"/>
        </w:trPr>
        <w:tc>
          <w:tcPr>
            <w:tcW w:w="39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C7F23" w:rsidRPr="007C7F23" w:rsidRDefault="007C7F23" w:rsidP="007C7F23">
            <w:pPr>
              <w:rPr>
                <w:rFonts w:ascii="Calibri" w:hAnsi="Calibri" w:cs="Calibri"/>
                <w:color w:val="000000"/>
                <w:sz w:val="16"/>
                <w:szCs w:val="16"/>
                <w:lang w:eastAsia="en-AU"/>
              </w:rPr>
            </w:pPr>
            <w:r w:rsidRPr="007C7F23">
              <w:rPr>
                <w:rFonts w:ascii="Calibri" w:hAnsi="Calibri" w:cs="Calibri"/>
                <w:color w:val="000000"/>
                <w:sz w:val="16"/>
                <w:szCs w:val="16"/>
                <w:lang w:eastAsia="en-AU"/>
              </w:rPr>
              <w:t>Percentage by which the conversion factor over or under estimates the weight of imports</w:t>
            </w:r>
          </w:p>
        </w:tc>
        <w:tc>
          <w:tcPr>
            <w:tcW w:w="1120" w:type="dxa"/>
            <w:tcBorders>
              <w:top w:val="nil"/>
              <w:left w:val="nil"/>
              <w:bottom w:val="single" w:sz="4" w:space="0" w:color="auto"/>
              <w:right w:val="single" w:sz="4" w:space="0" w:color="auto"/>
            </w:tcBorders>
            <w:shd w:val="clear" w:color="auto" w:fill="auto"/>
            <w:noWrap/>
            <w:vAlign w:val="center"/>
            <w:hideMark/>
          </w:tcPr>
          <w:p w:rsidR="007C7F23" w:rsidRPr="007C7F23" w:rsidRDefault="007C7F23" w:rsidP="007C7F23">
            <w:pPr>
              <w:jc w:val="center"/>
              <w:rPr>
                <w:rFonts w:ascii="Calibri" w:hAnsi="Calibri" w:cs="Calibri"/>
                <w:color w:val="000000"/>
                <w:sz w:val="16"/>
                <w:szCs w:val="16"/>
                <w:lang w:eastAsia="en-AU"/>
              </w:rPr>
            </w:pPr>
            <w:r w:rsidRPr="007C7F23">
              <w:rPr>
                <w:rFonts w:ascii="Calibri" w:hAnsi="Calibri" w:cs="Calibri"/>
                <w:color w:val="000000"/>
                <w:sz w:val="16"/>
                <w:szCs w:val="16"/>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rsidR="007C7F23" w:rsidRPr="007C7F23" w:rsidRDefault="007C7F23" w:rsidP="007C7F23">
            <w:pPr>
              <w:jc w:val="center"/>
              <w:rPr>
                <w:rFonts w:ascii="Calibri" w:hAnsi="Calibri" w:cs="Calibri"/>
                <w:color w:val="000000"/>
                <w:sz w:val="16"/>
                <w:szCs w:val="16"/>
                <w:lang w:eastAsia="en-AU"/>
              </w:rPr>
            </w:pPr>
            <w:r w:rsidRPr="007C7F23">
              <w:rPr>
                <w:rFonts w:ascii="Calibri" w:hAnsi="Calibri" w:cs="Calibri"/>
                <w:color w:val="000000"/>
                <w:sz w:val="16"/>
                <w:szCs w:val="16"/>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rsidR="007C7F23" w:rsidRPr="007C7F23" w:rsidRDefault="007C7F23" w:rsidP="007C7F23">
            <w:pPr>
              <w:jc w:val="center"/>
              <w:rPr>
                <w:rFonts w:ascii="Calibri" w:hAnsi="Calibri" w:cs="Calibri"/>
                <w:color w:val="000000"/>
                <w:sz w:val="16"/>
                <w:szCs w:val="16"/>
                <w:lang w:eastAsia="en-AU"/>
              </w:rPr>
            </w:pPr>
            <w:r w:rsidRPr="007C7F23">
              <w:rPr>
                <w:rFonts w:ascii="Calibri" w:hAnsi="Calibri" w:cs="Calibri"/>
                <w:color w:val="000000"/>
                <w:sz w:val="16"/>
                <w:szCs w:val="16"/>
                <w:lang w:eastAsia="en-AU"/>
              </w:rPr>
              <w:t>100%</w:t>
            </w:r>
          </w:p>
        </w:tc>
      </w:tr>
    </w:tbl>
    <w:p w:rsidR="0059576F" w:rsidRDefault="0059576F" w:rsidP="005D1179">
      <w:pPr>
        <w:jc w:val="both"/>
        <w:rPr>
          <w:szCs w:val="22"/>
        </w:rPr>
      </w:pPr>
    </w:p>
    <w:p w:rsidR="001A78F2" w:rsidRDefault="0059576F">
      <w:pPr>
        <w:rPr>
          <w:szCs w:val="22"/>
        </w:rPr>
      </w:pPr>
      <w:r w:rsidRPr="005A3097">
        <w:rPr>
          <w:b/>
          <w:szCs w:val="22"/>
        </w:rPr>
        <w:t>Distribution:</w:t>
      </w:r>
      <w:r>
        <w:rPr>
          <w:b/>
          <w:szCs w:val="22"/>
        </w:rPr>
        <w:t xml:space="preserve"> </w:t>
      </w:r>
      <w:r>
        <w:rPr>
          <w:szCs w:val="22"/>
        </w:rPr>
        <w:t>One brand reporting with one model.</w:t>
      </w:r>
    </w:p>
    <w:p w:rsidR="001A78F2" w:rsidRDefault="0059576F">
      <w:pPr>
        <w:rPr>
          <w:szCs w:val="22"/>
        </w:rPr>
      </w:pPr>
      <w:r>
        <w:rPr>
          <w:b/>
          <w:szCs w:val="22"/>
        </w:rPr>
        <w:t xml:space="preserve">Proposed conversion factor: </w:t>
      </w:r>
      <w:r>
        <w:rPr>
          <w:szCs w:val="22"/>
        </w:rPr>
        <w:t>1</w:t>
      </w:r>
      <w:r w:rsidR="00FF2C49">
        <w:rPr>
          <w:szCs w:val="22"/>
        </w:rPr>
        <w:t>.0</w:t>
      </w:r>
      <w:r>
        <w:rPr>
          <w:szCs w:val="22"/>
        </w:rPr>
        <w:t xml:space="preserve"> kg</w:t>
      </w:r>
    </w:p>
    <w:p w:rsidR="001A78F2" w:rsidRDefault="0059576F">
      <w:pPr>
        <w:rPr>
          <w:szCs w:val="22"/>
        </w:rPr>
      </w:pPr>
      <w:r>
        <w:rPr>
          <w:b/>
          <w:szCs w:val="22"/>
        </w:rPr>
        <w:t>Proposed confidence interval</w:t>
      </w:r>
      <w:r w:rsidRPr="00B02F83">
        <w:rPr>
          <w:szCs w:val="22"/>
        </w:rPr>
        <w:t xml:space="preserve">: </w:t>
      </w:r>
      <w:r>
        <w:rPr>
          <w:szCs w:val="22"/>
        </w:rPr>
        <w:t xml:space="preserve"> </w:t>
      </w:r>
      <w:r w:rsidR="00FF51AF" w:rsidRPr="00B02F83">
        <w:rPr>
          <w:szCs w:val="22"/>
        </w:rPr>
        <w:t>±</w:t>
      </w:r>
      <w:r w:rsidR="00FF51AF">
        <w:rPr>
          <w:szCs w:val="22"/>
        </w:rPr>
        <w:t xml:space="preserve"> 0</w:t>
      </w:r>
    </w:p>
    <w:p w:rsidR="001A78F2" w:rsidRDefault="00C62346">
      <w:pPr>
        <w:rPr>
          <w:szCs w:val="22"/>
        </w:rPr>
      </w:pPr>
      <w:r>
        <w:rPr>
          <w:b/>
          <w:szCs w:val="22"/>
        </w:rPr>
        <w:t xml:space="preserve">Variation over time: </w:t>
      </w:r>
      <w:r w:rsidR="00112A79">
        <w:rPr>
          <w:szCs w:val="22"/>
        </w:rPr>
        <w:t>Unknown</w:t>
      </w:r>
    </w:p>
    <w:p w:rsidR="001A78F2" w:rsidRDefault="001A78F2">
      <w:pPr>
        <w:rPr>
          <w:szCs w:val="22"/>
        </w:rPr>
      </w:pPr>
    </w:p>
    <w:p w:rsidR="001A78F2" w:rsidRDefault="001A78F2">
      <w:pPr>
        <w:rPr>
          <w:szCs w:val="22"/>
        </w:rPr>
      </w:pPr>
    </w:p>
    <w:p w:rsidR="001A78F2" w:rsidRDefault="001A78F2">
      <w:pPr>
        <w:rPr>
          <w:szCs w:val="22"/>
        </w:rPr>
      </w:pPr>
    </w:p>
    <w:p w:rsidR="001A78F2" w:rsidRDefault="001A78F2">
      <w:pPr>
        <w:rPr>
          <w:szCs w:val="22"/>
        </w:rPr>
      </w:pPr>
    </w:p>
    <w:p w:rsidR="003E3C96" w:rsidRDefault="003E3C96">
      <w:pPr>
        <w:rPr>
          <w:szCs w:val="22"/>
        </w:rPr>
      </w:pPr>
      <w:r>
        <w:rPr>
          <w:szCs w:val="22"/>
        </w:rPr>
        <w:br w:type="page"/>
      </w:r>
    </w:p>
    <w:p w:rsidR="000941E0" w:rsidRPr="00697C45" w:rsidRDefault="007C7F23" w:rsidP="002E1A14">
      <w:pPr>
        <w:pStyle w:val="Heading2"/>
      </w:pPr>
      <w:bookmarkStart w:id="56" w:name="_Toc303860090"/>
      <w:bookmarkStart w:id="57" w:name="_Toc304967193"/>
      <w:r>
        <w:t>Parts and a</w:t>
      </w:r>
      <w:r w:rsidR="009977E2">
        <w:t>ccessories of computers</w:t>
      </w:r>
      <w:bookmarkEnd w:id="56"/>
      <w:bookmarkEnd w:id="57"/>
    </w:p>
    <w:p w:rsidR="00697C45" w:rsidRDefault="00697C45" w:rsidP="00606932">
      <w:pPr>
        <w:jc w:val="center"/>
        <w:rPr>
          <w:szCs w:val="22"/>
        </w:rPr>
      </w:pPr>
    </w:p>
    <w:p w:rsidR="00E5733D" w:rsidRDefault="00E5733D" w:rsidP="00E5733D">
      <w:pPr>
        <w:rPr>
          <w:szCs w:val="22"/>
        </w:rPr>
      </w:pPr>
      <w:r>
        <w:rPr>
          <w:rFonts w:ascii="Arial" w:hAnsi="Arial" w:cs="Arial"/>
          <w:b/>
          <w:bCs/>
          <w:color w:val="000000"/>
          <w:szCs w:val="22"/>
          <w:lang w:eastAsia="en-AU"/>
        </w:rPr>
        <w:t>Summary of ABS Imports</w:t>
      </w:r>
    </w:p>
    <w:p w:rsidR="00E5733D" w:rsidRDefault="00E5733D" w:rsidP="00EB1782">
      <w:pPr>
        <w:rPr>
          <w:szCs w:val="22"/>
        </w:rPr>
      </w:pPr>
    </w:p>
    <w:p w:rsidR="00EB1782" w:rsidRPr="00667794" w:rsidRDefault="00EB1782" w:rsidP="00EB1782">
      <w:pPr>
        <w:rPr>
          <w:szCs w:val="22"/>
        </w:rPr>
      </w:pPr>
      <w:r>
        <w:rPr>
          <w:szCs w:val="22"/>
        </w:rPr>
        <w:t>According to ABS import data, 1</w:t>
      </w:r>
      <w:r w:rsidR="007C7F23">
        <w:rPr>
          <w:szCs w:val="22"/>
        </w:rPr>
        <w:t>3</w:t>
      </w:r>
      <w:r>
        <w:rPr>
          <w:szCs w:val="22"/>
        </w:rPr>
        <w:t>,</w:t>
      </w:r>
      <w:r w:rsidR="007C7F23">
        <w:rPr>
          <w:szCs w:val="22"/>
        </w:rPr>
        <w:t>848</w:t>
      </w:r>
      <w:r>
        <w:rPr>
          <w:szCs w:val="22"/>
        </w:rPr>
        <w:t>,</w:t>
      </w:r>
      <w:r w:rsidR="007C7F23">
        <w:rPr>
          <w:szCs w:val="22"/>
        </w:rPr>
        <w:t>775</w:t>
      </w:r>
      <w:r>
        <w:rPr>
          <w:szCs w:val="22"/>
        </w:rPr>
        <w:t xml:space="preserve"> units of </w:t>
      </w:r>
      <w:r w:rsidR="007C7F23">
        <w:rPr>
          <w:szCs w:val="22"/>
        </w:rPr>
        <w:t xml:space="preserve">parts and accessories of </w:t>
      </w:r>
      <w:r>
        <w:rPr>
          <w:szCs w:val="22"/>
        </w:rPr>
        <w:t>computers were imported in 2010-11. The proportions are shown in</w:t>
      </w:r>
      <w:r w:rsidR="007C7F23">
        <w:rPr>
          <w:szCs w:val="22"/>
        </w:rPr>
        <w:t xml:space="preserve"> </w:t>
      </w:r>
      <w:r w:rsidR="009F14B1">
        <w:rPr>
          <w:szCs w:val="22"/>
        </w:rPr>
        <w:t>Figure 5-33</w:t>
      </w:r>
      <w:r>
        <w:rPr>
          <w:szCs w:val="22"/>
        </w:rPr>
        <w:t xml:space="preserve">. </w:t>
      </w:r>
      <w:r>
        <w:rPr>
          <w:szCs w:val="22"/>
          <w:lang w:val="en-US"/>
        </w:rPr>
        <w:t xml:space="preserve">The dominant HTISC in this CTCN is </w:t>
      </w:r>
      <w:r w:rsidR="007C7F23">
        <w:rPr>
          <w:i/>
          <w:szCs w:val="22"/>
          <w:lang w:val="en-US"/>
        </w:rPr>
        <w:t>Other</w:t>
      </w:r>
      <w:r>
        <w:rPr>
          <w:szCs w:val="22"/>
          <w:lang w:val="en-US"/>
        </w:rPr>
        <w:t xml:space="preserve">, followed by </w:t>
      </w:r>
      <w:r w:rsidR="007C7F23">
        <w:rPr>
          <w:i/>
          <w:szCs w:val="22"/>
          <w:lang w:val="en-US"/>
        </w:rPr>
        <w:t>Accessories</w:t>
      </w:r>
      <w:r>
        <w:rPr>
          <w:szCs w:val="22"/>
          <w:lang w:val="en-US"/>
        </w:rPr>
        <w:t>.</w:t>
      </w:r>
    </w:p>
    <w:p w:rsidR="00EB1782" w:rsidRDefault="00EB1782" w:rsidP="00EB1782"/>
    <w:p w:rsidR="00EB1782" w:rsidRDefault="00EB1782" w:rsidP="00EB1782"/>
    <w:p w:rsidR="00EB1782" w:rsidRPr="000C28BD" w:rsidRDefault="002652C5" w:rsidP="00EB1782">
      <w:pPr>
        <w:pStyle w:val="Caption"/>
        <w:keepNext/>
      </w:pPr>
      <w:r>
        <w:t>Figure 5-3</w:t>
      </w:r>
      <w:r w:rsidR="009F14B1">
        <w:t>3</w:t>
      </w:r>
      <w:r>
        <w:t xml:space="preserve">  </w:t>
      </w:r>
      <w:r w:rsidR="00EB1782">
        <w:t>Proportion of HTISCs in 2010-11 CTCN imports data (according to ABS)</w:t>
      </w:r>
    </w:p>
    <w:p w:rsidR="001A78F2" w:rsidRDefault="00EB1782">
      <w:pPr>
        <w:rPr>
          <w:szCs w:val="22"/>
        </w:rPr>
      </w:pPr>
      <w:r w:rsidRPr="00EB1782">
        <w:rPr>
          <w:noProof/>
          <w:szCs w:val="22"/>
          <w:lang w:eastAsia="en-AU"/>
        </w:rPr>
        <w:drawing>
          <wp:inline distT="0" distB="0" distL="0" distR="0">
            <wp:extent cx="4572000" cy="2743200"/>
            <wp:effectExtent l="0" t="0" r="0" b="0"/>
            <wp:docPr id="5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97C45" w:rsidRDefault="00697C45" w:rsidP="000941E0">
      <w:pPr>
        <w:jc w:val="both"/>
        <w:rPr>
          <w:szCs w:val="22"/>
        </w:rPr>
      </w:pPr>
    </w:p>
    <w:p w:rsidR="00697C45" w:rsidRDefault="00697C45" w:rsidP="000941E0">
      <w:pPr>
        <w:jc w:val="both"/>
        <w:rPr>
          <w:szCs w:val="22"/>
        </w:rPr>
      </w:pPr>
    </w:p>
    <w:p w:rsidR="00697C45" w:rsidRDefault="00697C45" w:rsidP="000941E0">
      <w:pPr>
        <w:jc w:val="both"/>
        <w:rPr>
          <w:szCs w:val="22"/>
        </w:rPr>
      </w:pPr>
    </w:p>
    <w:p w:rsidR="00697C45" w:rsidRDefault="00697C45" w:rsidP="000941E0">
      <w:pPr>
        <w:jc w:val="both"/>
        <w:rPr>
          <w:szCs w:val="22"/>
        </w:rPr>
      </w:pPr>
    </w:p>
    <w:p w:rsidR="00697C45" w:rsidRDefault="00697C45" w:rsidP="000941E0">
      <w:pPr>
        <w:jc w:val="both"/>
        <w:rPr>
          <w:szCs w:val="22"/>
        </w:rPr>
      </w:pPr>
    </w:p>
    <w:p w:rsidR="007C7F23" w:rsidRDefault="007C7F23">
      <w:pPr>
        <w:rPr>
          <w:rFonts w:ascii="Arial" w:hAnsi="Arial" w:cs="Arial"/>
          <w:b/>
          <w:bCs/>
          <w:color w:val="000000"/>
          <w:szCs w:val="22"/>
          <w:lang w:eastAsia="en-AU"/>
        </w:rPr>
      </w:pPr>
      <w:r>
        <w:rPr>
          <w:rFonts w:ascii="Arial" w:hAnsi="Arial" w:cs="Arial"/>
          <w:b/>
          <w:bCs/>
          <w:color w:val="000000"/>
          <w:szCs w:val="22"/>
          <w:lang w:eastAsia="en-AU"/>
        </w:rPr>
        <w:br w:type="page"/>
      </w:r>
    </w:p>
    <w:p w:rsidR="00697C45" w:rsidRDefault="007C7F23" w:rsidP="000941E0">
      <w:pPr>
        <w:jc w:val="both"/>
        <w:rPr>
          <w:rFonts w:ascii="Arial" w:hAnsi="Arial" w:cs="Arial"/>
          <w:b/>
          <w:bCs/>
          <w:color w:val="000000"/>
          <w:szCs w:val="22"/>
          <w:lang w:eastAsia="en-AU"/>
        </w:rPr>
      </w:pPr>
      <w:r w:rsidRPr="00697C45">
        <w:rPr>
          <w:rFonts w:ascii="Arial" w:hAnsi="Arial" w:cs="Arial"/>
          <w:b/>
          <w:bCs/>
          <w:color w:val="000000"/>
          <w:szCs w:val="22"/>
          <w:lang w:eastAsia="en-AU"/>
        </w:rPr>
        <w:t>SC07 8473.</w:t>
      </w:r>
      <w:r w:rsidR="00FF2C49">
        <w:rPr>
          <w:rFonts w:ascii="Arial" w:hAnsi="Arial" w:cs="Arial"/>
          <w:b/>
          <w:bCs/>
          <w:color w:val="000000"/>
          <w:szCs w:val="22"/>
          <w:lang w:eastAsia="en-AU"/>
        </w:rPr>
        <w:t>30.00 62 - Cards</w:t>
      </w:r>
      <w:r w:rsidRPr="00697C45">
        <w:rPr>
          <w:rFonts w:ascii="Arial" w:hAnsi="Arial" w:cs="Arial"/>
          <w:b/>
          <w:bCs/>
          <w:color w:val="000000"/>
          <w:szCs w:val="22"/>
          <w:lang w:eastAsia="en-AU"/>
        </w:rPr>
        <w:t xml:space="preserve"> (including network, sound, video, IDE, SCSI and other similar cards)</w:t>
      </w:r>
    </w:p>
    <w:p w:rsidR="00BC4FED" w:rsidRDefault="00BC4FED" w:rsidP="000941E0">
      <w:pPr>
        <w:jc w:val="both"/>
        <w:rPr>
          <w:rFonts w:ascii="Arial" w:hAnsi="Arial" w:cs="Arial"/>
          <w:b/>
          <w:bCs/>
          <w:color w:val="000000"/>
          <w:szCs w:val="22"/>
          <w:lang w:eastAsia="en-AU"/>
        </w:rPr>
      </w:pPr>
    </w:p>
    <w:p w:rsidR="005F7771" w:rsidRDefault="005F7771" w:rsidP="000941E0">
      <w:pPr>
        <w:jc w:val="both"/>
        <w:rPr>
          <w:rFonts w:ascii="Arial" w:hAnsi="Arial" w:cs="Arial"/>
          <w:b/>
          <w:bCs/>
          <w:color w:val="000000"/>
          <w:szCs w:val="22"/>
          <w:lang w:eastAsia="en-AU"/>
        </w:rPr>
      </w:pPr>
    </w:p>
    <w:p w:rsidR="00697C45" w:rsidRPr="001339E7" w:rsidRDefault="009F14B1" w:rsidP="001339E7">
      <w:pPr>
        <w:pStyle w:val="Caption"/>
        <w:keepNext/>
      </w:pPr>
      <w:r>
        <w:t>Figure 5-34</w:t>
      </w:r>
      <w:r w:rsidR="005F7771">
        <w:t>a</w:t>
      </w:r>
      <w:r w:rsidR="002652C5">
        <w:t xml:space="preserve">  </w:t>
      </w:r>
      <w:r w:rsidR="00AC1355">
        <w:t>HTISC frequency distribution in CF year</w:t>
      </w:r>
      <w:r w:rsidR="005F7771">
        <w:t xml:space="preserve"> </w:t>
      </w:r>
      <w:r w:rsidR="007E664D">
        <w:t>–</w:t>
      </w:r>
      <w:r w:rsidR="005F7771">
        <w:t xml:space="preserve"> original</w:t>
      </w:r>
      <w:r w:rsidR="007E664D">
        <w:t xml:space="preserve"> data set</w:t>
      </w:r>
    </w:p>
    <w:p w:rsidR="001339E7" w:rsidRDefault="001339E7" w:rsidP="000941E0">
      <w:pPr>
        <w:jc w:val="both"/>
        <w:rPr>
          <w:szCs w:val="22"/>
        </w:rPr>
      </w:pPr>
      <w:r w:rsidRPr="001339E7">
        <w:rPr>
          <w:noProof/>
          <w:szCs w:val="22"/>
          <w:lang w:eastAsia="en-AU"/>
        </w:rPr>
        <w:drawing>
          <wp:inline distT="0" distB="0" distL="0" distR="0">
            <wp:extent cx="4889500" cy="2984500"/>
            <wp:effectExtent l="19050" t="0" r="25400" b="6350"/>
            <wp:docPr id="6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1339E7" w:rsidRDefault="001339E7" w:rsidP="000941E0">
      <w:pPr>
        <w:jc w:val="both"/>
        <w:rPr>
          <w:szCs w:val="22"/>
        </w:rPr>
      </w:pPr>
    </w:p>
    <w:p w:rsidR="005F7771" w:rsidRDefault="005F7771" w:rsidP="005F7771">
      <w:pPr>
        <w:pStyle w:val="Caption"/>
        <w:keepNext/>
      </w:pPr>
    </w:p>
    <w:p w:rsidR="007E664D" w:rsidRDefault="007E664D" w:rsidP="007E664D">
      <w:pPr>
        <w:rPr>
          <w:lang w:val="en-GB"/>
        </w:rPr>
      </w:pPr>
    </w:p>
    <w:p w:rsidR="007E664D" w:rsidRDefault="007E664D" w:rsidP="007E664D">
      <w:pPr>
        <w:jc w:val="both"/>
        <w:rPr>
          <w:szCs w:val="22"/>
        </w:rPr>
      </w:pPr>
    </w:p>
    <w:p w:rsidR="007E664D" w:rsidRDefault="007E664D" w:rsidP="007E664D">
      <w:pPr>
        <w:jc w:val="both"/>
        <w:rPr>
          <w:szCs w:val="22"/>
        </w:rPr>
      </w:pPr>
    </w:p>
    <w:p w:rsidR="007E664D" w:rsidRDefault="007E664D" w:rsidP="007E664D">
      <w:pPr>
        <w:jc w:val="both"/>
        <w:rPr>
          <w:szCs w:val="22"/>
        </w:rPr>
      </w:pPr>
    </w:p>
    <w:p w:rsidR="007E664D" w:rsidRPr="007E664D" w:rsidRDefault="007E664D" w:rsidP="007E664D">
      <w:pPr>
        <w:pStyle w:val="Caption"/>
      </w:pPr>
      <w:r>
        <w:t>Table 5-25a Conversion factor statistics – original data set</w:t>
      </w:r>
    </w:p>
    <w:tbl>
      <w:tblPr>
        <w:tblW w:w="7260" w:type="dxa"/>
        <w:tblInd w:w="93" w:type="dxa"/>
        <w:tblLook w:val="04A0"/>
      </w:tblPr>
      <w:tblGrid>
        <w:gridCol w:w="1660"/>
        <w:gridCol w:w="1120"/>
        <w:gridCol w:w="1120"/>
        <w:gridCol w:w="1120"/>
        <w:gridCol w:w="1120"/>
        <w:gridCol w:w="1120"/>
      </w:tblGrid>
      <w:tr w:rsidR="007E664D" w:rsidRPr="00697C45" w:rsidTr="003928DF">
        <w:trPr>
          <w:trHeight w:val="450"/>
        </w:trPr>
        <w:tc>
          <w:tcPr>
            <w:tcW w:w="166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7E664D" w:rsidRPr="00697C45" w:rsidRDefault="007E664D" w:rsidP="003928DF">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CF year</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7E664D" w:rsidRPr="00697C45" w:rsidRDefault="007E664D" w:rsidP="003928DF">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No. of ABS imports</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7E664D" w:rsidRPr="00697C45" w:rsidRDefault="007E664D" w:rsidP="003928DF">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 ABS imports included</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7E664D" w:rsidRPr="00697C45" w:rsidRDefault="007E664D" w:rsidP="003928DF">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Min weight</w:t>
            </w:r>
            <w:r w:rsidRPr="00697C45">
              <w:rPr>
                <w:rFonts w:ascii="Calibri" w:hAnsi="Calibri" w:cs="Calibri"/>
                <w:color w:val="000000"/>
                <w:sz w:val="16"/>
                <w:szCs w:val="16"/>
                <w:lang w:eastAsia="en-AU"/>
              </w:rPr>
              <w:br/>
              <w:t>(kg)</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7E664D" w:rsidRPr="00697C45" w:rsidRDefault="007E664D" w:rsidP="003928DF">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Max weight (kg)</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7E664D" w:rsidRPr="00697C45" w:rsidRDefault="007E664D" w:rsidP="003928DF">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Standard deviation</w:t>
            </w:r>
          </w:p>
        </w:tc>
      </w:tr>
      <w:tr w:rsidR="007E664D" w:rsidRPr="00697C45" w:rsidTr="003928DF">
        <w:trPr>
          <w:trHeight w:val="22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7E664D" w:rsidRPr="00697C45" w:rsidRDefault="007E664D" w:rsidP="003928DF">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2010-11</w:t>
            </w:r>
          </w:p>
        </w:tc>
        <w:tc>
          <w:tcPr>
            <w:tcW w:w="1120" w:type="dxa"/>
            <w:tcBorders>
              <w:top w:val="nil"/>
              <w:left w:val="nil"/>
              <w:bottom w:val="single" w:sz="4" w:space="0" w:color="auto"/>
              <w:right w:val="single" w:sz="4" w:space="0" w:color="auto"/>
            </w:tcBorders>
            <w:shd w:val="clear" w:color="auto" w:fill="auto"/>
            <w:noWrap/>
            <w:vAlign w:val="center"/>
            <w:hideMark/>
          </w:tcPr>
          <w:p w:rsidR="007E664D" w:rsidRPr="00697C45" w:rsidRDefault="007E664D" w:rsidP="003928DF">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1,232,057</w:t>
            </w:r>
          </w:p>
        </w:tc>
        <w:tc>
          <w:tcPr>
            <w:tcW w:w="1120" w:type="dxa"/>
            <w:tcBorders>
              <w:top w:val="nil"/>
              <w:left w:val="nil"/>
              <w:bottom w:val="single" w:sz="4" w:space="0" w:color="auto"/>
              <w:right w:val="single" w:sz="4" w:space="0" w:color="auto"/>
            </w:tcBorders>
            <w:shd w:val="clear" w:color="auto" w:fill="auto"/>
            <w:noWrap/>
            <w:vAlign w:val="center"/>
            <w:hideMark/>
          </w:tcPr>
          <w:p w:rsidR="007E664D" w:rsidRPr="00697C45" w:rsidRDefault="007E664D" w:rsidP="003928DF">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3%</w:t>
            </w:r>
          </w:p>
        </w:tc>
        <w:tc>
          <w:tcPr>
            <w:tcW w:w="1120" w:type="dxa"/>
            <w:tcBorders>
              <w:top w:val="nil"/>
              <w:left w:val="nil"/>
              <w:bottom w:val="single" w:sz="4" w:space="0" w:color="auto"/>
              <w:right w:val="single" w:sz="4" w:space="0" w:color="auto"/>
            </w:tcBorders>
            <w:shd w:val="clear" w:color="auto" w:fill="auto"/>
            <w:noWrap/>
            <w:vAlign w:val="center"/>
            <w:hideMark/>
          </w:tcPr>
          <w:p w:rsidR="007E664D" w:rsidRPr="00697C45" w:rsidRDefault="007E664D" w:rsidP="003928DF">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0.</w:t>
            </w:r>
            <w:r>
              <w:rPr>
                <w:rFonts w:ascii="Calibri" w:hAnsi="Calibri" w:cs="Calibri"/>
                <w:color w:val="000000"/>
                <w:sz w:val="16"/>
                <w:szCs w:val="16"/>
                <w:lang w:eastAsia="en-AU"/>
              </w:rPr>
              <w:t>2</w:t>
            </w:r>
          </w:p>
        </w:tc>
        <w:tc>
          <w:tcPr>
            <w:tcW w:w="1120" w:type="dxa"/>
            <w:tcBorders>
              <w:top w:val="nil"/>
              <w:left w:val="nil"/>
              <w:bottom w:val="single" w:sz="4" w:space="0" w:color="auto"/>
              <w:right w:val="single" w:sz="4" w:space="0" w:color="auto"/>
            </w:tcBorders>
            <w:shd w:val="clear" w:color="auto" w:fill="auto"/>
            <w:noWrap/>
            <w:vAlign w:val="center"/>
            <w:hideMark/>
          </w:tcPr>
          <w:p w:rsidR="007E664D" w:rsidRPr="00697C45" w:rsidRDefault="007E664D" w:rsidP="003928DF">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10.5</w:t>
            </w:r>
          </w:p>
        </w:tc>
        <w:tc>
          <w:tcPr>
            <w:tcW w:w="1120" w:type="dxa"/>
            <w:tcBorders>
              <w:top w:val="nil"/>
              <w:left w:val="nil"/>
              <w:bottom w:val="single" w:sz="4" w:space="0" w:color="auto"/>
              <w:right w:val="single" w:sz="4" w:space="0" w:color="auto"/>
            </w:tcBorders>
            <w:shd w:val="clear" w:color="auto" w:fill="auto"/>
            <w:noWrap/>
            <w:vAlign w:val="center"/>
            <w:hideMark/>
          </w:tcPr>
          <w:p w:rsidR="007E664D" w:rsidRPr="00697C45" w:rsidRDefault="007E664D" w:rsidP="003928DF">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0.7</w:t>
            </w:r>
          </w:p>
        </w:tc>
      </w:tr>
      <w:tr w:rsidR="007E664D" w:rsidRPr="00697C45" w:rsidTr="003928DF">
        <w:trPr>
          <w:trHeight w:val="225"/>
        </w:trPr>
        <w:tc>
          <w:tcPr>
            <w:tcW w:w="1660" w:type="dxa"/>
            <w:tcBorders>
              <w:top w:val="nil"/>
              <w:left w:val="nil"/>
              <w:bottom w:val="nil"/>
              <w:right w:val="nil"/>
            </w:tcBorders>
            <w:shd w:val="clear" w:color="auto" w:fill="auto"/>
            <w:noWrap/>
            <w:vAlign w:val="bottom"/>
            <w:hideMark/>
          </w:tcPr>
          <w:p w:rsidR="007E664D" w:rsidRPr="00697C45" w:rsidRDefault="007E664D" w:rsidP="003928DF">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7E664D" w:rsidRPr="00697C45" w:rsidRDefault="007E664D" w:rsidP="003928DF">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7E664D" w:rsidRPr="00697C45" w:rsidRDefault="007E664D" w:rsidP="003928DF">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7E664D" w:rsidRPr="00697C45" w:rsidRDefault="007E664D" w:rsidP="003928DF">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7E664D" w:rsidRPr="00697C45" w:rsidRDefault="007E664D" w:rsidP="003928DF">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7E664D" w:rsidRPr="00697C45" w:rsidRDefault="007E664D" w:rsidP="003928DF">
            <w:pPr>
              <w:rPr>
                <w:rFonts w:ascii="Calibri" w:hAnsi="Calibri" w:cs="Calibri"/>
                <w:color w:val="000000"/>
                <w:sz w:val="16"/>
                <w:szCs w:val="16"/>
                <w:lang w:eastAsia="en-AU"/>
              </w:rPr>
            </w:pPr>
          </w:p>
        </w:tc>
      </w:tr>
      <w:tr w:rsidR="007E664D" w:rsidRPr="00697C45" w:rsidTr="003928DF">
        <w:trPr>
          <w:trHeight w:val="450"/>
        </w:trPr>
        <w:tc>
          <w:tcPr>
            <w:tcW w:w="1660" w:type="dxa"/>
            <w:tcBorders>
              <w:top w:val="single" w:sz="4" w:space="0" w:color="auto"/>
              <w:left w:val="single" w:sz="4" w:space="0" w:color="auto"/>
              <w:bottom w:val="nil"/>
              <w:right w:val="single" w:sz="4" w:space="0" w:color="auto"/>
            </w:tcBorders>
            <w:shd w:val="clear" w:color="000000" w:fill="D8D8D8"/>
            <w:vAlign w:val="center"/>
            <w:hideMark/>
          </w:tcPr>
          <w:p w:rsidR="007E664D" w:rsidRPr="00697C45" w:rsidRDefault="007E664D" w:rsidP="003928DF">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Method</w:t>
            </w:r>
          </w:p>
        </w:tc>
        <w:tc>
          <w:tcPr>
            <w:tcW w:w="1120" w:type="dxa"/>
            <w:tcBorders>
              <w:top w:val="single" w:sz="4" w:space="0" w:color="auto"/>
              <w:left w:val="nil"/>
              <w:bottom w:val="nil"/>
              <w:right w:val="single" w:sz="4" w:space="0" w:color="auto"/>
            </w:tcBorders>
            <w:shd w:val="clear" w:color="000000" w:fill="D8D8D8"/>
            <w:vAlign w:val="center"/>
            <w:hideMark/>
          </w:tcPr>
          <w:p w:rsidR="007E664D" w:rsidRPr="00697C45" w:rsidRDefault="007E664D" w:rsidP="003928DF">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Measure of average</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7E664D" w:rsidRPr="00697C45" w:rsidRDefault="007E664D" w:rsidP="003928DF">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Average weight (kg)</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7E664D" w:rsidRPr="00697C45" w:rsidRDefault="007E664D" w:rsidP="003928DF">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Lower limit (kg)</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7E664D" w:rsidRPr="00697C45" w:rsidRDefault="007E664D" w:rsidP="003928DF">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Upper limit (kg)</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7E664D" w:rsidRPr="00697C45" w:rsidRDefault="007E664D" w:rsidP="003928DF">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Confidence interval ± (kg)</w:t>
            </w:r>
          </w:p>
        </w:tc>
      </w:tr>
      <w:tr w:rsidR="007E664D" w:rsidRPr="00697C45" w:rsidTr="003928DF">
        <w:trPr>
          <w:trHeight w:val="48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664D" w:rsidRPr="00697C45" w:rsidRDefault="007E664D" w:rsidP="003928DF">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Approximation to the normal distribution</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7E664D" w:rsidRPr="00697C45" w:rsidRDefault="007E664D" w:rsidP="003928DF">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Mean</w:t>
            </w:r>
          </w:p>
        </w:tc>
        <w:tc>
          <w:tcPr>
            <w:tcW w:w="1120" w:type="dxa"/>
            <w:tcBorders>
              <w:top w:val="nil"/>
              <w:left w:val="nil"/>
              <w:bottom w:val="single" w:sz="4" w:space="0" w:color="auto"/>
              <w:right w:val="single" w:sz="4" w:space="0" w:color="auto"/>
            </w:tcBorders>
            <w:shd w:val="clear" w:color="auto" w:fill="auto"/>
            <w:noWrap/>
            <w:vAlign w:val="center"/>
            <w:hideMark/>
          </w:tcPr>
          <w:p w:rsidR="007E664D" w:rsidRPr="00697C45" w:rsidRDefault="007E664D" w:rsidP="003928DF">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2.3</w:t>
            </w:r>
          </w:p>
        </w:tc>
        <w:tc>
          <w:tcPr>
            <w:tcW w:w="1120" w:type="dxa"/>
            <w:tcBorders>
              <w:top w:val="nil"/>
              <w:left w:val="nil"/>
              <w:bottom w:val="single" w:sz="4" w:space="0" w:color="auto"/>
              <w:right w:val="single" w:sz="4" w:space="0" w:color="auto"/>
            </w:tcBorders>
            <w:shd w:val="clear" w:color="auto" w:fill="auto"/>
            <w:noWrap/>
            <w:vAlign w:val="center"/>
            <w:hideMark/>
          </w:tcPr>
          <w:p w:rsidR="007E664D" w:rsidRPr="00697C45" w:rsidRDefault="007E664D" w:rsidP="003928DF">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0.9</w:t>
            </w:r>
          </w:p>
        </w:tc>
        <w:tc>
          <w:tcPr>
            <w:tcW w:w="1120" w:type="dxa"/>
            <w:tcBorders>
              <w:top w:val="nil"/>
              <w:left w:val="nil"/>
              <w:bottom w:val="single" w:sz="4" w:space="0" w:color="auto"/>
              <w:right w:val="single" w:sz="4" w:space="0" w:color="auto"/>
            </w:tcBorders>
            <w:shd w:val="clear" w:color="auto" w:fill="auto"/>
            <w:noWrap/>
            <w:vAlign w:val="center"/>
            <w:hideMark/>
          </w:tcPr>
          <w:p w:rsidR="007E664D" w:rsidRPr="00697C45" w:rsidRDefault="007E664D" w:rsidP="003928DF">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3.7</w:t>
            </w:r>
          </w:p>
        </w:tc>
        <w:tc>
          <w:tcPr>
            <w:tcW w:w="1120" w:type="dxa"/>
            <w:tcBorders>
              <w:top w:val="nil"/>
              <w:left w:val="nil"/>
              <w:bottom w:val="single" w:sz="4" w:space="0" w:color="auto"/>
              <w:right w:val="single" w:sz="4" w:space="0" w:color="auto"/>
            </w:tcBorders>
            <w:shd w:val="clear" w:color="auto" w:fill="auto"/>
            <w:noWrap/>
            <w:vAlign w:val="center"/>
            <w:hideMark/>
          </w:tcPr>
          <w:p w:rsidR="007E664D" w:rsidRPr="00697C45" w:rsidRDefault="007E664D" w:rsidP="003928DF">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1.4</w:t>
            </w:r>
          </w:p>
        </w:tc>
      </w:tr>
      <w:tr w:rsidR="007E664D" w:rsidRPr="00697C45" w:rsidTr="003928DF">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7E664D" w:rsidRPr="00697C45" w:rsidRDefault="007E664D" w:rsidP="003928DF">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Use of percentiles</w:t>
            </w:r>
          </w:p>
        </w:tc>
        <w:tc>
          <w:tcPr>
            <w:tcW w:w="1120" w:type="dxa"/>
            <w:tcBorders>
              <w:top w:val="nil"/>
              <w:left w:val="nil"/>
              <w:bottom w:val="single" w:sz="4" w:space="0" w:color="auto"/>
              <w:right w:val="single" w:sz="4" w:space="0" w:color="auto"/>
            </w:tcBorders>
            <w:shd w:val="clear" w:color="auto" w:fill="auto"/>
            <w:vAlign w:val="center"/>
            <w:hideMark/>
          </w:tcPr>
          <w:p w:rsidR="007E664D" w:rsidRPr="00697C45" w:rsidRDefault="007E664D" w:rsidP="003928DF">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Median</w:t>
            </w:r>
          </w:p>
        </w:tc>
        <w:tc>
          <w:tcPr>
            <w:tcW w:w="1120" w:type="dxa"/>
            <w:tcBorders>
              <w:top w:val="nil"/>
              <w:left w:val="nil"/>
              <w:bottom w:val="single" w:sz="4" w:space="0" w:color="auto"/>
              <w:right w:val="single" w:sz="4" w:space="0" w:color="auto"/>
            </w:tcBorders>
            <w:shd w:val="clear" w:color="auto" w:fill="auto"/>
            <w:noWrap/>
            <w:vAlign w:val="center"/>
            <w:hideMark/>
          </w:tcPr>
          <w:p w:rsidR="007E664D" w:rsidRPr="00697C45" w:rsidRDefault="007E664D" w:rsidP="003928DF">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6.6</w:t>
            </w:r>
          </w:p>
        </w:tc>
        <w:tc>
          <w:tcPr>
            <w:tcW w:w="1120" w:type="dxa"/>
            <w:tcBorders>
              <w:top w:val="nil"/>
              <w:left w:val="nil"/>
              <w:bottom w:val="single" w:sz="4" w:space="0" w:color="auto"/>
              <w:right w:val="single" w:sz="4" w:space="0" w:color="auto"/>
            </w:tcBorders>
            <w:shd w:val="clear" w:color="auto" w:fill="auto"/>
            <w:noWrap/>
            <w:vAlign w:val="center"/>
            <w:hideMark/>
          </w:tcPr>
          <w:p w:rsidR="007E664D" w:rsidRPr="00697C45" w:rsidRDefault="007E664D" w:rsidP="003928DF">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0.2</w:t>
            </w:r>
          </w:p>
        </w:tc>
        <w:tc>
          <w:tcPr>
            <w:tcW w:w="1120" w:type="dxa"/>
            <w:tcBorders>
              <w:top w:val="nil"/>
              <w:left w:val="nil"/>
              <w:bottom w:val="single" w:sz="4" w:space="0" w:color="auto"/>
              <w:right w:val="single" w:sz="4" w:space="0" w:color="auto"/>
            </w:tcBorders>
            <w:shd w:val="clear" w:color="auto" w:fill="auto"/>
            <w:noWrap/>
            <w:vAlign w:val="center"/>
            <w:hideMark/>
          </w:tcPr>
          <w:p w:rsidR="007E664D" w:rsidRPr="00697C45" w:rsidRDefault="007E664D" w:rsidP="003928DF">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10.3</w:t>
            </w:r>
          </w:p>
        </w:tc>
        <w:tc>
          <w:tcPr>
            <w:tcW w:w="1120" w:type="dxa"/>
            <w:tcBorders>
              <w:top w:val="nil"/>
              <w:left w:val="nil"/>
              <w:bottom w:val="single" w:sz="4" w:space="0" w:color="auto"/>
              <w:right w:val="single" w:sz="4" w:space="0" w:color="auto"/>
            </w:tcBorders>
            <w:shd w:val="clear" w:color="auto" w:fill="auto"/>
            <w:noWrap/>
            <w:vAlign w:val="center"/>
            <w:hideMark/>
          </w:tcPr>
          <w:p w:rsidR="007E664D" w:rsidRPr="00697C45" w:rsidRDefault="007E664D" w:rsidP="003928DF">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6.4</w:t>
            </w:r>
          </w:p>
        </w:tc>
      </w:tr>
      <w:tr w:rsidR="007E664D" w:rsidRPr="00697C45" w:rsidTr="003928DF">
        <w:trPr>
          <w:trHeight w:val="225"/>
        </w:trPr>
        <w:tc>
          <w:tcPr>
            <w:tcW w:w="1660" w:type="dxa"/>
            <w:tcBorders>
              <w:top w:val="nil"/>
              <w:left w:val="nil"/>
              <w:bottom w:val="nil"/>
              <w:right w:val="nil"/>
            </w:tcBorders>
            <w:shd w:val="clear" w:color="auto" w:fill="auto"/>
            <w:noWrap/>
            <w:vAlign w:val="bottom"/>
            <w:hideMark/>
          </w:tcPr>
          <w:p w:rsidR="007E664D" w:rsidRPr="00697C45" w:rsidRDefault="007E664D" w:rsidP="003928DF">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7E664D" w:rsidRPr="00697C45" w:rsidRDefault="007E664D" w:rsidP="003928DF">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7E664D" w:rsidRPr="00697C45" w:rsidRDefault="007E664D" w:rsidP="003928DF">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7E664D" w:rsidRPr="00697C45" w:rsidRDefault="007E664D" w:rsidP="003928DF">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7E664D" w:rsidRPr="00697C45" w:rsidRDefault="007E664D" w:rsidP="003928DF">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7E664D" w:rsidRPr="00697C45" w:rsidRDefault="007E664D" w:rsidP="003928DF">
            <w:pPr>
              <w:rPr>
                <w:rFonts w:ascii="Calibri" w:hAnsi="Calibri" w:cs="Calibri"/>
                <w:color w:val="000000"/>
                <w:sz w:val="16"/>
                <w:szCs w:val="16"/>
                <w:lang w:eastAsia="en-AU"/>
              </w:rPr>
            </w:pPr>
          </w:p>
        </w:tc>
      </w:tr>
      <w:tr w:rsidR="007E664D" w:rsidRPr="00697C45" w:rsidTr="003928DF">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7E664D" w:rsidRPr="00697C45" w:rsidRDefault="007E664D" w:rsidP="003928DF">
            <w:pPr>
              <w:rPr>
                <w:rFonts w:ascii="Calibri" w:hAnsi="Calibri" w:cs="Calibri"/>
                <w:color w:val="000000"/>
                <w:sz w:val="16"/>
                <w:szCs w:val="16"/>
                <w:lang w:eastAsia="en-AU"/>
              </w:rPr>
            </w:pPr>
            <w:r w:rsidRPr="00697C45">
              <w:rPr>
                <w:rFonts w:ascii="Calibri" w:hAnsi="Calibri" w:cs="Calibri"/>
                <w:color w:val="000000"/>
                <w:sz w:val="16"/>
                <w:szCs w:val="16"/>
                <w:lang w:eastAsia="en-AU"/>
              </w:rPr>
              <w:t>Year</w:t>
            </w:r>
          </w:p>
        </w:tc>
        <w:tc>
          <w:tcPr>
            <w:tcW w:w="1120" w:type="dxa"/>
            <w:tcBorders>
              <w:top w:val="single" w:sz="4" w:space="0" w:color="auto"/>
              <w:left w:val="nil"/>
              <w:bottom w:val="single" w:sz="4" w:space="0" w:color="auto"/>
              <w:right w:val="single" w:sz="4" w:space="0" w:color="auto"/>
            </w:tcBorders>
            <w:shd w:val="clear" w:color="000000" w:fill="D8D8D8"/>
            <w:noWrap/>
            <w:vAlign w:val="center"/>
            <w:hideMark/>
          </w:tcPr>
          <w:p w:rsidR="007E664D" w:rsidRPr="00697C45" w:rsidRDefault="007E664D" w:rsidP="003928DF">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2010-11</w:t>
            </w:r>
          </w:p>
        </w:tc>
        <w:tc>
          <w:tcPr>
            <w:tcW w:w="1120" w:type="dxa"/>
            <w:tcBorders>
              <w:top w:val="single" w:sz="4" w:space="0" w:color="auto"/>
              <w:left w:val="nil"/>
              <w:bottom w:val="single" w:sz="4" w:space="0" w:color="auto"/>
              <w:right w:val="single" w:sz="4" w:space="0" w:color="auto"/>
            </w:tcBorders>
            <w:shd w:val="clear" w:color="000000" w:fill="D8D8D8"/>
            <w:noWrap/>
            <w:vAlign w:val="center"/>
            <w:hideMark/>
          </w:tcPr>
          <w:p w:rsidR="007E664D" w:rsidRPr="00697C45" w:rsidRDefault="007E664D" w:rsidP="003928DF">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2009-10</w:t>
            </w:r>
          </w:p>
        </w:tc>
        <w:tc>
          <w:tcPr>
            <w:tcW w:w="1120" w:type="dxa"/>
            <w:tcBorders>
              <w:top w:val="single" w:sz="4" w:space="0" w:color="auto"/>
              <w:left w:val="nil"/>
              <w:bottom w:val="single" w:sz="4" w:space="0" w:color="auto"/>
              <w:right w:val="single" w:sz="4" w:space="0" w:color="auto"/>
            </w:tcBorders>
            <w:shd w:val="clear" w:color="000000" w:fill="D8D8D8"/>
            <w:noWrap/>
            <w:vAlign w:val="center"/>
            <w:hideMark/>
          </w:tcPr>
          <w:p w:rsidR="007E664D" w:rsidRPr="00697C45" w:rsidRDefault="007E664D" w:rsidP="003928DF">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2008-09</w:t>
            </w:r>
          </w:p>
        </w:tc>
      </w:tr>
      <w:tr w:rsidR="007E664D" w:rsidRPr="00697C45" w:rsidTr="003928DF">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664D" w:rsidRPr="00697C45" w:rsidRDefault="007E664D" w:rsidP="003928DF">
            <w:pPr>
              <w:rPr>
                <w:rFonts w:ascii="Calibri" w:hAnsi="Calibri" w:cs="Calibri"/>
                <w:color w:val="000000"/>
                <w:sz w:val="16"/>
                <w:szCs w:val="16"/>
                <w:lang w:eastAsia="en-AU"/>
              </w:rPr>
            </w:pPr>
            <w:r w:rsidRPr="00CB6A7D">
              <w:rPr>
                <w:rFonts w:ascii="Calibri" w:hAnsi="Calibri" w:cs="Calibri"/>
                <w:color w:val="000000"/>
                <w:sz w:val="16"/>
                <w:szCs w:val="16"/>
                <w:lang w:eastAsia="en-AU"/>
              </w:rPr>
              <w:t>Percentage by which the conversion factor over or under estimates the weight of imports</w:t>
            </w:r>
          </w:p>
        </w:tc>
        <w:tc>
          <w:tcPr>
            <w:tcW w:w="1120" w:type="dxa"/>
            <w:tcBorders>
              <w:top w:val="nil"/>
              <w:left w:val="nil"/>
              <w:bottom w:val="single" w:sz="4" w:space="0" w:color="auto"/>
              <w:right w:val="single" w:sz="4" w:space="0" w:color="auto"/>
            </w:tcBorders>
            <w:shd w:val="clear" w:color="auto" w:fill="auto"/>
            <w:noWrap/>
            <w:vAlign w:val="center"/>
            <w:hideMark/>
          </w:tcPr>
          <w:p w:rsidR="007E664D" w:rsidRPr="00697C45" w:rsidRDefault="007E664D" w:rsidP="003928DF">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rsidR="007E664D" w:rsidRPr="00697C45" w:rsidRDefault="007E664D" w:rsidP="003928DF">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27%</w:t>
            </w:r>
          </w:p>
        </w:tc>
        <w:tc>
          <w:tcPr>
            <w:tcW w:w="1120" w:type="dxa"/>
            <w:tcBorders>
              <w:top w:val="nil"/>
              <w:left w:val="nil"/>
              <w:bottom w:val="single" w:sz="4" w:space="0" w:color="auto"/>
              <w:right w:val="single" w:sz="4" w:space="0" w:color="auto"/>
            </w:tcBorders>
            <w:shd w:val="clear" w:color="auto" w:fill="auto"/>
            <w:noWrap/>
            <w:vAlign w:val="center"/>
            <w:hideMark/>
          </w:tcPr>
          <w:p w:rsidR="007E664D" w:rsidRPr="00697C45" w:rsidRDefault="007E664D" w:rsidP="003928DF">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67%</w:t>
            </w:r>
          </w:p>
        </w:tc>
      </w:tr>
    </w:tbl>
    <w:p w:rsidR="007E664D" w:rsidRDefault="007E664D" w:rsidP="007E664D">
      <w:pPr>
        <w:jc w:val="both"/>
        <w:rPr>
          <w:szCs w:val="22"/>
        </w:rPr>
      </w:pPr>
    </w:p>
    <w:p w:rsidR="007E664D" w:rsidRDefault="007E664D" w:rsidP="007E664D">
      <w:pPr>
        <w:rPr>
          <w:lang w:val="en-GB"/>
        </w:rPr>
      </w:pPr>
    </w:p>
    <w:p w:rsidR="007E664D" w:rsidRDefault="007E664D" w:rsidP="007E664D">
      <w:pPr>
        <w:rPr>
          <w:lang w:val="en-GB"/>
        </w:rPr>
      </w:pPr>
    </w:p>
    <w:p w:rsidR="007E664D" w:rsidRDefault="007E664D" w:rsidP="007E664D">
      <w:pPr>
        <w:rPr>
          <w:lang w:val="en-GB"/>
        </w:rPr>
      </w:pPr>
    </w:p>
    <w:p w:rsidR="007E664D" w:rsidRDefault="007E664D" w:rsidP="007E664D">
      <w:pPr>
        <w:rPr>
          <w:lang w:val="en-GB"/>
        </w:rPr>
      </w:pPr>
    </w:p>
    <w:p w:rsidR="007E664D" w:rsidRDefault="007E664D" w:rsidP="007E664D">
      <w:pPr>
        <w:rPr>
          <w:lang w:val="en-GB"/>
        </w:rPr>
      </w:pPr>
    </w:p>
    <w:p w:rsidR="007E664D" w:rsidRDefault="007E664D" w:rsidP="007E664D">
      <w:pPr>
        <w:rPr>
          <w:lang w:val="en-GB"/>
        </w:rPr>
      </w:pPr>
    </w:p>
    <w:p w:rsidR="007E664D" w:rsidRDefault="007E664D" w:rsidP="007E664D">
      <w:pPr>
        <w:rPr>
          <w:lang w:val="en-GB"/>
        </w:rPr>
      </w:pPr>
    </w:p>
    <w:p w:rsidR="007E664D" w:rsidRDefault="007E664D" w:rsidP="007E664D">
      <w:pPr>
        <w:rPr>
          <w:lang w:val="en-GB"/>
        </w:rPr>
      </w:pPr>
    </w:p>
    <w:p w:rsidR="007E664D" w:rsidRDefault="007E664D" w:rsidP="007E664D">
      <w:pPr>
        <w:rPr>
          <w:lang w:val="en-GB"/>
        </w:rPr>
      </w:pPr>
    </w:p>
    <w:p w:rsidR="007E664D" w:rsidRPr="007E664D" w:rsidRDefault="007E664D" w:rsidP="007E664D">
      <w:pPr>
        <w:rPr>
          <w:lang w:val="en-GB"/>
        </w:rPr>
      </w:pPr>
    </w:p>
    <w:p w:rsidR="005F7771" w:rsidRDefault="005F7771" w:rsidP="005F7771">
      <w:pPr>
        <w:pStyle w:val="Caption"/>
        <w:keepNext/>
      </w:pPr>
      <w:r>
        <w:t xml:space="preserve">Figure 5-34b  HTISC frequency distribution in CF year </w:t>
      </w:r>
      <w:r w:rsidR="007E664D">
        <w:t>–</w:t>
      </w:r>
      <w:r>
        <w:t xml:space="preserve"> revised</w:t>
      </w:r>
      <w:r w:rsidR="007E664D">
        <w:t xml:space="preserve"> data set</w:t>
      </w:r>
    </w:p>
    <w:p w:rsidR="007B3E8A" w:rsidRDefault="007B3E8A" w:rsidP="007B3E8A">
      <w:pPr>
        <w:rPr>
          <w:lang w:val="en-GB"/>
        </w:rPr>
      </w:pPr>
      <w:r w:rsidRPr="007B3E8A">
        <w:rPr>
          <w:noProof/>
          <w:lang w:eastAsia="en-AU"/>
        </w:rPr>
        <w:drawing>
          <wp:inline distT="0" distB="0" distL="0" distR="0">
            <wp:extent cx="4889500" cy="2984500"/>
            <wp:effectExtent l="19050" t="0" r="25400" b="6350"/>
            <wp:docPr id="95"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7B3E8A" w:rsidRDefault="007B3E8A" w:rsidP="007B3E8A">
      <w:pPr>
        <w:rPr>
          <w:lang w:val="en-GB"/>
        </w:rPr>
      </w:pPr>
    </w:p>
    <w:p w:rsidR="001339E7" w:rsidRDefault="001339E7" w:rsidP="000941E0">
      <w:pPr>
        <w:jc w:val="both"/>
        <w:rPr>
          <w:szCs w:val="22"/>
        </w:rPr>
      </w:pPr>
    </w:p>
    <w:p w:rsidR="001339E7" w:rsidRDefault="001339E7" w:rsidP="000941E0">
      <w:pPr>
        <w:jc w:val="both"/>
        <w:rPr>
          <w:szCs w:val="22"/>
        </w:rPr>
      </w:pPr>
    </w:p>
    <w:p w:rsidR="00D73340" w:rsidRPr="00D73340" w:rsidRDefault="00207129" w:rsidP="00D73340">
      <w:pPr>
        <w:pStyle w:val="Caption"/>
      </w:pPr>
      <w:r>
        <w:t>Table 5-25</w:t>
      </w:r>
      <w:r w:rsidR="007E664D">
        <w:t>b</w:t>
      </w:r>
      <w:r>
        <w:t xml:space="preserve"> </w:t>
      </w:r>
      <w:r w:rsidR="00D73340">
        <w:t>Conversion factor statistics</w:t>
      </w:r>
      <w:r w:rsidR="00BE7128">
        <w:t xml:space="preserve"> </w:t>
      </w:r>
      <w:r w:rsidR="007E664D">
        <w:t>–</w:t>
      </w:r>
      <w:r w:rsidR="00BE7128">
        <w:t xml:space="preserve"> revised</w:t>
      </w:r>
      <w:r w:rsidR="007E664D">
        <w:t xml:space="preserve"> data set</w:t>
      </w:r>
    </w:p>
    <w:tbl>
      <w:tblPr>
        <w:tblW w:w="7260" w:type="dxa"/>
        <w:tblInd w:w="93" w:type="dxa"/>
        <w:tblLook w:val="04A0"/>
      </w:tblPr>
      <w:tblGrid>
        <w:gridCol w:w="1660"/>
        <w:gridCol w:w="1120"/>
        <w:gridCol w:w="1120"/>
        <w:gridCol w:w="1120"/>
        <w:gridCol w:w="1120"/>
        <w:gridCol w:w="1120"/>
      </w:tblGrid>
      <w:tr w:rsidR="00697C45" w:rsidRPr="00697C45">
        <w:trPr>
          <w:trHeight w:val="450"/>
        </w:trPr>
        <w:tc>
          <w:tcPr>
            <w:tcW w:w="1660" w:type="dxa"/>
            <w:tcBorders>
              <w:top w:val="single" w:sz="4" w:space="0" w:color="auto"/>
              <w:left w:val="single" w:sz="4" w:space="0" w:color="auto"/>
              <w:bottom w:val="single" w:sz="4" w:space="0" w:color="auto"/>
              <w:right w:val="single" w:sz="4" w:space="0" w:color="auto"/>
            </w:tcBorders>
            <w:shd w:val="clear" w:color="000000" w:fill="D8D8D8"/>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CF year</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No. of ABS imports</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 ABS imports included</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Min weight</w:t>
            </w:r>
            <w:r w:rsidRPr="00697C45">
              <w:rPr>
                <w:rFonts w:ascii="Calibri" w:hAnsi="Calibri" w:cs="Calibri"/>
                <w:color w:val="000000"/>
                <w:sz w:val="16"/>
                <w:szCs w:val="16"/>
                <w:lang w:eastAsia="en-AU"/>
              </w:rPr>
              <w:br/>
              <w:t>(kg)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Max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Standard deviation</w:t>
            </w:r>
          </w:p>
        </w:tc>
      </w:tr>
      <w:tr w:rsidR="00697C45" w:rsidRPr="00697C45">
        <w:trPr>
          <w:trHeight w:val="225"/>
        </w:trPr>
        <w:tc>
          <w:tcPr>
            <w:tcW w:w="1660" w:type="dxa"/>
            <w:tcBorders>
              <w:top w:val="nil"/>
              <w:left w:val="single" w:sz="4" w:space="0" w:color="auto"/>
              <w:bottom w:val="single" w:sz="4" w:space="0" w:color="auto"/>
              <w:right w:val="single" w:sz="4" w:space="0" w:color="auto"/>
            </w:tcBorders>
            <w:shd w:val="clear" w:color="auto" w:fill="auto"/>
            <w:noWrap/>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2010-11</w:t>
            </w:r>
          </w:p>
        </w:tc>
        <w:tc>
          <w:tcPr>
            <w:tcW w:w="1120" w:type="dxa"/>
            <w:tcBorders>
              <w:top w:val="nil"/>
              <w:left w:val="nil"/>
              <w:bottom w:val="single" w:sz="4" w:space="0" w:color="auto"/>
              <w:right w:val="single" w:sz="4" w:space="0" w:color="auto"/>
            </w:tcBorders>
            <w:shd w:val="clear" w:color="auto" w:fill="auto"/>
            <w:noWrap/>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1,232,057</w:t>
            </w:r>
          </w:p>
        </w:tc>
        <w:tc>
          <w:tcPr>
            <w:tcW w:w="1120" w:type="dxa"/>
            <w:tcBorders>
              <w:top w:val="nil"/>
              <w:left w:val="nil"/>
              <w:bottom w:val="single" w:sz="4" w:space="0" w:color="auto"/>
              <w:right w:val="single" w:sz="4" w:space="0" w:color="auto"/>
            </w:tcBorders>
            <w:shd w:val="clear" w:color="auto" w:fill="auto"/>
            <w:noWrap/>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3%</w:t>
            </w:r>
          </w:p>
        </w:tc>
        <w:tc>
          <w:tcPr>
            <w:tcW w:w="1120" w:type="dxa"/>
            <w:tcBorders>
              <w:top w:val="nil"/>
              <w:left w:val="nil"/>
              <w:bottom w:val="single" w:sz="4" w:space="0" w:color="auto"/>
              <w:right w:val="single" w:sz="4" w:space="0" w:color="auto"/>
            </w:tcBorders>
            <w:shd w:val="clear" w:color="auto" w:fill="auto"/>
            <w:noWrap/>
            <w:vAlign w:val="center"/>
          </w:tcPr>
          <w:p w:rsidR="00697C45" w:rsidRPr="00697C45" w:rsidRDefault="00697C45" w:rsidP="007C7F23">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0.</w:t>
            </w:r>
            <w:r w:rsidR="007C7F23">
              <w:rPr>
                <w:rFonts w:ascii="Calibri" w:hAnsi="Calibri" w:cs="Calibri"/>
                <w:color w:val="000000"/>
                <w:sz w:val="16"/>
                <w:szCs w:val="16"/>
                <w:lang w:eastAsia="en-AU"/>
              </w:rPr>
              <w:t>2</w:t>
            </w:r>
          </w:p>
        </w:tc>
        <w:tc>
          <w:tcPr>
            <w:tcW w:w="1120" w:type="dxa"/>
            <w:tcBorders>
              <w:top w:val="nil"/>
              <w:left w:val="nil"/>
              <w:bottom w:val="single" w:sz="4" w:space="0" w:color="auto"/>
              <w:right w:val="single" w:sz="4" w:space="0" w:color="auto"/>
            </w:tcBorders>
            <w:shd w:val="clear" w:color="auto" w:fill="auto"/>
            <w:noWrap/>
            <w:vAlign w:val="center"/>
          </w:tcPr>
          <w:p w:rsidR="00697C45" w:rsidRPr="00697C45" w:rsidRDefault="00CF75DE" w:rsidP="00697C45">
            <w:pPr>
              <w:jc w:val="center"/>
              <w:rPr>
                <w:rFonts w:ascii="Calibri" w:hAnsi="Calibri" w:cs="Calibri"/>
                <w:color w:val="000000"/>
                <w:sz w:val="16"/>
                <w:szCs w:val="16"/>
                <w:lang w:eastAsia="en-AU"/>
              </w:rPr>
            </w:pPr>
            <w:r>
              <w:rPr>
                <w:rFonts w:ascii="Calibri" w:hAnsi="Calibri" w:cs="Calibri"/>
                <w:color w:val="000000"/>
                <w:sz w:val="16"/>
                <w:szCs w:val="16"/>
                <w:lang w:eastAsia="en-AU"/>
              </w:rPr>
              <w:t>0.9</w:t>
            </w:r>
          </w:p>
        </w:tc>
        <w:tc>
          <w:tcPr>
            <w:tcW w:w="1120" w:type="dxa"/>
            <w:tcBorders>
              <w:top w:val="nil"/>
              <w:left w:val="nil"/>
              <w:bottom w:val="single" w:sz="4" w:space="0" w:color="auto"/>
              <w:right w:val="single" w:sz="4" w:space="0" w:color="auto"/>
            </w:tcBorders>
            <w:shd w:val="clear" w:color="auto" w:fill="auto"/>
            <w:noWrap/>
            <w:vAlign w:val="center"/>
          </w:tcPr>
          <w:p w:rsidR="00697C45" w:rsidRPr="00697C45" w:rsidRDefault="00697C45" w:rsidP="00CF75DE">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0.</w:t>
            </w:r>
            <w:r w:rsidR="00CF75DE">
              <w:rPr>
                <w:rFonts w:ascii="Calibri" w:hAnsi="Calibri" w:cs="Calibri"/>
                <w:color w:val="000000"/>
                <w:sz w:val="16"/>
                <w:szCs w:val="16"/>
                <w:lang w:eastAsia="en-AU"/>
              </w:rPr>
              <w:t>2</w:t>
            </w:r>
          </w:p>
        </w:tc>
      </w:tr>
      <w:tr w:rsidR="00697C45" w:rsidRPr="00697C45">
        <w:trPr>
          <w:trHeight w:val="225"/>
        </w:trPr>
        <w:tc>
          <w:tcPr>
            <w:tcW w:w="166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r>
      <w:tr w:rsidR="00697C45" w:rsidRPr="00697C45">
        <w:trPr>
          <w:trHeight w:val="450"/>
        </w:trPr>
        <w:tc>
          <w:tcPr>
            <w:tcW w:w="1660" w:type="dxa"/>
            <w:tcBorders>
              <w:top w:val="single" w:sz="4" w:space="0" w:color="auto"/>
              <w:left w:val="single" w:sz="4" w:space="0" w:color="auto"/>
              <w:bottom w:val="nil"/>
              <w:right w:val="single" w:sz="4" w:space="0" w:color="auto"/>
            </w:tcBorders>
            <w:shd w:val="clear" w:color="000000" w:fill="D8D8D8"/>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Method</w:t>
            </w:r>
          </w:p>
        </w:tc>
        <w:tc>
          <w:tcPr>
            <w:tcW w:w="1120" w:type="dxa"/>
            <w:tcBorders>
              <w:top w:val="single" w:sz="4" w:space="0" w:color="auto"/>
              <w:left w:val="nil"/>
              <w:bottom w:val="nil"/>
              <w:right w:val="single" w:sz="4" w:space="0" w:color="auto"/>
            </w:tcBorders>
            <w:shd w:val="clear" w:color="000000" w:fill="D8D8D8"/>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Measure of average</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Average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Lower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Upper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Confidence interval ± (kg)</w:t>
            </w:r>
          </w:p>
        </w:tc>
      </w:tr>
      <w:tr w:rsidR="00CF75DE" w:rsidRPr="00697C45">
        <w:trPr>
          <w:trHeight w:val="48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CF75DE" w:rsidRPr="00697C45" w:rsidRDefault="00CF75DE"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Approximation to the normal distribution</w:t>
            </w:r>
          </w:p>
        </w:tc>
        <w:tc>
          <w:tcPr>
            <w:tcW w:w="1120" w:type="dxa"/>
            <w:tcBorders>
              <w:top w:val="single" w:sz="4" w:space="0" w:color="auto"/>
              <w:left w:val="nil"/>
              <w:bottom w:val="single" w:sz="4" w:space="0" w:color="auto"/>
              <w:right w:val="single" w:sz="4" w:space="0" w:color="auto"/>
            </w:tcBorders>
            <w:shd w:val="clear" w:color="auto" w:fill="auto"/>
            <w:vAlign w:val="center"/>
          </w:tcPr>
          <w:p w:rsidR="00CF75DE" w:rsidRPr="00697C45" w:rsidRDefault="00CF75DE"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Mean</w:t>
            </w:r>
          </w:p>
        </w:tc>
        <w:tc>
          <w:tcPr>
            <w:tcW w:w="1120" w:type="dxa"/>
            <w:tcBorders>
              <w:top w:val="nil"/>
              <w:left w:val="nil"/>
              <w:bottom w:val="single" w:sz="4" w:space="0" w:color="auto"/>
              <w:right w:val="single" w:sz="4" w:space="0" w:color="auto"/>
            </w:tcBorders>
            <w:shd w:val="clear" w:color="auto" w:fill="auto"/>
            <w:noWrap/>
            <w:vAlign w:val="center"/>
          </w:tcPr>
          <w:p w:rsidR="00CF75DE" w:rsidRDefault="00CF75DE">
            <w:pPr>
              <w:jc w:val="center"/>
              <w:rPr>
                <w:rFonts w:ascii="Calibri" w:hAnsi="Calibri" w:cs="Calibri"/>
                <w:color w:val="000000"/>
                <w:sz w:val="16"/>
                <w:szCs w:val="16"/>
              </w:rPr>
            </w:pPr>
            <w:r>
              <w:rPr>
                <w:rFonts w:ascii="Calibri" w:hAnsi="Calibri" w:cs="Calibri"/>
                <w:color w:val="000000"/>
                <w:sz w:val="16"/>
                <w:szCs w:val="16"/>
              </w:rPr>
              <w:t>0.5</w:t>
            </w:r>
          </w:p>
        </w:tc>
        <w:tc>
          <w:tcPr>
            <w:tcW w:w="1120" w:type="dxa"/>
            <w:tcBorders>
              <w:top w:val="nil"/>
              <w:left w:val="nil"/>
              <w:bottom w:val="single" w:sz="4" w:space="0" w:color="auto"/>
              <w:right w:val="single" w:sz="4" w:space="0" w:color="auto"/>
            </w:tcBorders>
            <w:shd w:val="clear" w:color="auto" w:fill="auto"/>
            <w:noWrap/>
            <w:vAlign w:val="center"/>
          </w:tcPr>
          <w:p w:rsidR="00CF75DE" w:rsidRDefault="00CF75DE">
            <w:pPr>
              <w:jc w:val="center"/>
              <w:rPr>
                <w:rFonts w:ascii="Calibri" w:hAnsi="Calibri" w:cs="Calibri"/>
                <w:color w:val="000000"/>
                <w:sz w:val="16"/>
                <w:szCs w:val="16"/>
              </w:rPr>
            </w:pPr>
            <w:r>
              <w:rPr>
                <w:rFonts w:ascii="Calibri" w:hAnsi="Calibri" w:cs="Calibri"/>
                <w:color w:val="000000"/>
                <w:sz w:val="16"/>
                <w:szCs w:val="16"/>
              </w:rPr>
              <w:t>0.1</w:t>
            </w:r>
          </w:p>
        </w:tc>
        <w:tc>
          <w:tcPr>
            <w:tcW w:w="1120" w:type="dxa"/>
            <w:tcBorders>
              <w:top w:val="nil"/>
              <w:left w:val="nil"/>
              <w:bottom w:val="single" w:sz="4" w:space="0" w:color="auto"/>
              <w:right w:val="single" w:sz="4" w:space="0" w:color="auto"/>
            </w:tcBorders>
            <w:shd w:val="clear" w:color="auto" w:fill="auto"/>
            <w:noWrap/>
            <w:vAlign w:val="center"/>
          </w:tcPr>
          <w:p w:rsidR="00CF75DE" w:rsidRDefault="00CF75DE">
            <w:pPr>
              <w:jc w:val="center"/>
              <w:rPr>
                <w:rFonts w:ascii="Calibri" w:hAnsi="Calibri" w:cs="Calibri"/>
                <w:color w:val="000000"/>
                <w:sz w:val="16"/>
                <w:szCs w:val="16"/>
              </w:rPr>
            </w:pPr>
            <w:r>
              <w:rPr>
                <w:rFonts w:ascii="Calibri" w:hAnsi="Calibri" w:cs="Calibri"/>
                <w:color w:val="000000"/>
                <w:sz w:val="16"/>
                <w:szCs w:val="16"/>
              </w:rPr>
              <w:t>0.9</w:t>
            </w:r>
          </w:p>
        </w:tc>
        <w:tc>
          <w:tcPr>
            <w:tcW w:w="1120" w:type="dxa"/>
            <w:tcBorders>
              <w:top w:val="nil"/>
              <w:left w:val="nil"/>
              <w:bottom w:val="single" w:sz="4" w:space="0" w:color="auto"/>
              <w:right w:val="single" w:sz="4" w:space="0" w:color="auto"/>
            </w:tcBorders>
            <w:shd w:val="clear" w:color="auto" w:fill="auto"/>
            <w:noWrap/>
            <w:vAlign w:val="center"/>
          </w:tcPr>
          <w:p w:rsidR="00CF75DE" w:rsidRDefault="00CF75DE">
            <w:pPr>
              <w:jc w:val="center"/>
              <w:rPr>
                <w:rFonts w:ascii="Calibri" w:hAnsi="Calibri" w:cs="Calibri"/>
                <w:color w:val="000000"/>
                <w:sz w:val="16"/>
                <w:szCs w:val="16"/>
              </w:rPr>
            </w:pPr>
            <w:r>
              <w:rPr>
                <w:rFonts w:ascii="Calibri" w:hAnsi="Calibri" w:cs="Calibri"/>
                <w:color w:val="000000"/>
                <w:sz w:val="16"/>
                <w:szCs w:val="16"/>
              </w:rPr>
              <w:t>0.4</w:t>
            </w:r>
          </w:p>
        </w:tc>
      </w:tr>
      <w:tr w:rsidR="00CF75DE" w:rsidRPr="00697C45">
        <w:trPr>
          <w:trHeight w:val="480"/>
        </w:trPr>
        <w:tc>
          <w:tcPr>
            <w:tcW w:w="1660" w:type="dxa"/>
            <w:tcBorders>
              <w:top w:val="nil"/>
              <w:left w:val="single" w:sz="4" w:space="0" w:color="auto"/>
              <w:bottom w:val="single" w:sz="4" w:space="0" w:color="auto"/>
              <w:right w:val="single" w:sz="4" w:space="0" w:color="auto"/>
            </w:tcBorders>
            <w:shd w:val="clear" w:color="auto" w:fill="auto"/>
            <w:vAlign w:val="center"/>
          </w:tcPr>
          <w:p w:rsidR="00CF75DE" w:rsidRPr="00697C45" w:rsidRDefault="00CF75DE"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Use of percentiles</w:t>
            </w:r>
          </w:p>
        </w:tc>
        <w:tc>
          <w:tcPr>
            <w:tcW w:w="1120" w:type="dxa"/>
            <w:tcBorders>
              <w:top w:val="nil"/>
              <w:left w:val="nil"/>
              <w:bottom w:val="single" w:sz="4" w:space="0" w:color="auto"/>
              <w:right w:val="single" w:sz="4" w:space="0" w:color="auto"/>
            </w:tcBorders>
            <w:shd w:val="clear" w:color="auto" w:fill="auto"/>
            <w:vAlign w:val="center"/>
          </w:tcPr>
          <w:p w:rsidR="00CF75DE" w:rsidRPr="00697C45" w:rsidRDefault="00CF75DE"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Median</w:t>
            </w:r>
          </w:p>
        </w:tc>
        <w:tc>
          <w:tcPr>
            <w:tcW w:w="1120" w:type="dxa"/>
            <w:tcBorders>
              <w:top w:val="nil"/>
              <w:left w:val="nil"/>
              <w:bottom w:val="single" w:sz="4" w:space="0" w:color="auto"/>
              <w:right w:val="single" w:sz="4" w:space="0" w:color="auto"/>
            </w:tcBorders>
            <w:shd w:val="clear" w:color="auto" w:fill="auto"/>
            <w:noWrap/>
            <w:vAlign w:val="center"/>
          </w:tcPr>
          <w:p w:rsidR="00CF75DE" w:rsidRDefault="00CF75DE">
            <w:pPr>
              <w:jc w:val="center"/>
              <w:rPr>
                <w:rFonts w:ascii="Calibri" w:hAnsi="Calibri" w:cs="Calibri"/>
                <w:color w:val="000000"/>
                <w:sz w:val="16"/>
                <w:szCs w:val="16"/>
              </w:rPr>
            </w:pPr>
            <w:r>
              <w:rPr>
                <w:rFonts w:ascii="Calibri" w:hAnsi="Calibri" w:cs="Calibri"/>
                <w:color w:val="000000"/>
                <w:sz w:val="16"/>
                <w:szCs w:val="16"/>
              </w:rPr>
              <w:t>0.3</w:t>
            </w:r>
          </w:p>
        </w:tc>
        <w:tc>
          <w:tcPr>
            <w:tcW w:w="1120" w:type="dxa"/>
            <w:tcBorders>
              <w:top w:val="nil"/>
              <w:left w:val="nil"/>
              <w:bottom w:val="single" w:sz="4" w:space="0" w:color="auto"/>
              <w:right w:val="single" w:sz="4" w:space="0" w:color="auto"/>
            </w:tcBorders>
            <w:shd w:val="clear" w:color="auto" w:fill="auto"/>
            <w:noWrap/>
            <w:vAlign w:val="center"/>
          </w:tcPr>
          <w:p w:rsidR="00CF75DE" w:rsidRDefault="00CF75DE">
            <w:pPr>
              <w:jc w:val="center"/>
              <w:rPr>
                <w:rFonts w:ascii="Calibri" w:hAnsi="Calibri" w:cs="Calibri"/>
                <w:color w:val="000000"/>
                <w:sz w:val="16"/>
                <w:szCs w:val="16"/>
              </w:rPr>
            </w:pPr>
            <w:r>
              <w:rPr>
                <w:rFonts w:ascii="Calibri" w:hAnsi="Calibri" w:cs="Calibri"/>
                <w:color w:val="000000"/>
                <w:sz w:val="16"/>
                <w:szCs w:val="16"/>
              </w:rPr>
              <w:t>0.2</w:t>
            </w:r>
          </w:p>
        </w:tc>
        <w:tc>
          <w:tcPr>
            <w:tcW w:w="1120" w:type="dxa"/>
            <w:tcBorders>
              <w:top w:val="nil"/>
              <w:left w:val="nil"/>
              <w:bottom w:val="single" w:sz="4" w:space="0" w:color="auto"/>
              <w:right w:val="single" w:sz="4" w:space="0" w:color="auto"/>
            </w:tcBorders>
            <w:shd w:val="clear" w:color="auto" w:fill="auto"/>
            <w:noWrap/>
            <w:vAlign w:val="center"/>
          </w:tcPr>
          <w:p w:rsidR="00CF75DE" w:rsidRDefault="00CF75DE">
            <w:pPr>
              <w:jc w:val="center"/>
              <w:rPr>
                <w:rFonts w:ascii="Calibri" w:hAnsi="Calibri" w:cs="Calibri"/>
                <w:color w:val="000000"/>
                <w:sz w:val="16"/>
                <w:szCs w:val="16"/>
              </w:rPr>
            </w:pPr>
            <w:r>
              <w:rPr>
                <w:rFonts w:ascii="Calibri" w:hAnsi="Calibri" w:cs="Calibri"/>
                <w:color w:val="000000"/>
                <w:sz w:val="16"/>
                <w:szCs w:val="16"/>
              </w:rPr>
              <w:t>0.5</w:t>
            </w:r>
          </w:p>
        </w:tc>
        <w:tc>
          <w:tcPr>
            <w:tcW w:w="1120" w:type="dxa"/>
            <w:tcBorders>
              <w:top w:val="nil"/>
              <w:left w:val="nil"/>
              <w:bottom w:val="single" w:sz="4" w:space="0" w:color="auto"/>
              <w:right w:val="single" w:sz="4" w:space="0" w:color="auto"/>
            </w:tcBorders>
            <w:shd w:val="clear" w:color="auto" w:fill="auto"/>
            <w:noWrap/>
            <w:vAlign w:val="center"/>
          </w:tcPr>
          <w:p w:rsidR="00CF75DE" w:rsidRDefault="00CF75DE">
            <w:pPr>
              <w:jc w:val="center"/>
              <w:rPr>
                <w:rFonts w:ascii="Calibri" w:hAnsi="Calibri" w:cs="Calibri"/>
                <w:color w:val="000000"/>
                <w:sz w:val="16"/>
                <w:szCs w:val="16"/>
              </w:rPr>
            </w:pPr>
            <w:r>
              <w:rPr>
                <w:rFonts w:ascii="Calibri" w:hAnsi="Calibri" w:cs="Calibri"/>
                <w:color w:val="000000"/>
                <w:sz w:val="16"/>
                <w:szCs w:val="16"/>
              </w:rPr>
              <w:t>0.2</w:t>
            </w:r>
          </w:p>
        </w:tc>
      </w:tr>
      <w:tr w:rsidR="00697C45" w:rsidRPr="00697C45">
        <w:trPr>
          <w:trHeight w:val="225"/>
        </w:trPr>
        <w:tc>
          <w:tcPr>
            <w:tcW w:w="166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r>
      <w:tr w:rsidR="00697C45" w:rsidRPr="00697C45">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tcPr>
          <w:p w:rsidR="00697C45" w:rsidRPr="00697C45" w:rsidRDefault="00697C45" w:rsidP="00697C45">
            <w:pPr>
              <w:rPr>
                <w:rFonts w:ascii="Calibri" w:hAnsi="Calibri" w:cs="Calibri"/>
                <w:color w:val="000000"/>
                <w:sz w:val="16"/>
                <w:szCs w:val="16"/>
                <w:lang w:eastAsia="en-AU"/>
              </w:rPr>
            </w:pPr>
            <w:r w:rsidRPr="00697C45">
              <w:rPr>
                <w:rFonts w:ascii="Calibri" w:hAnsi="Calibri" w:cs="Calibri"/>
                <w:color w:val="000000"/>
                <w:sz w:val="16"/>
                <w:szCs w:val="16"/>
                <w:lang w:eastAsia="en-AU"/>
              </w:rPr>
              <w:t>Year</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2010-11</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2009-10</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2008-09</w:t>
            </w:r>
          </w:p>
        </w:tc>
      </w:tr>
      <w:tr w:rsidR="00CF75DE" w:rsidRPr="00697C45">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F75DE" w:rsidRPr="00697C45" w:rsidRDefault="00CF75DE" w:rsidP="00697C45">
            <w:pPr>
              <w:rPr>
                <w:rFonts w:ascii="Calibri" w:hAnsi="Calibri" w:cs="Calibri"/>
                <w:color w:val="000000"/>
                <w:sz w:val="16"/>
                <w:szCs w:val="16"/>
                <w:lang w:eastAsia="en-AU"/>
              </w:rPr>
            </w:pPr>
            <w:r w:rsidRPr="00CB6A7D">
              <w:rPr>
                <w:rFonts w:ascii="Calibri" w:hAnsi="Calibri" w:cs="Calibri"/>
                <w:color w:val="000000"/>
                <w:sz w:val="16"/>
                <w:szCs w:val="16"/>
                <w:lang w:eastAsia="en-AU"/>
              </w:rPr>
              <w:t>Percentage by which the conversion factor over or under estimates the weight of imports</w:t>
            </w:r>
          </w:p>
        </w:tc>
        <w:tc>
          <w:tcPr>
            <w:tcW w:w="1120" w:type="dxa"/>
            <w:tcBorders>
              <w:top w:val="nil"/>
              <w:left w:val="nil"/>
              <w:bottom w:val="single" w:sz="4" w:space="0" w:color="auto"/>
              <w:right w:val="single" w:sz="4" w:space="0" w:color="auto"/>
            </w:tcBorders>
            <w:shd w:val="clear" w:color="auto" w:fill="auto"/>
            <w:noWrap/>
            <w:vAlign w:val="center"/>
          </w:tcPr>
          <w:p w:rsidR="00CF75DE" w:rsidRDefault="00CF75DE">
            <w:pPr>
              <w:jc w:val="center"/>
              <w:rPr>
                <w:rFonts w:ascii="Calibri" w:hAnsi="Calibri" w:cs="Calibri"/>
                <w:color w:val="000000"/>
                <w:sz w:val="16"/>
                <w:szCs w:val="16"/>
              </w:rPr>
            </w:pPr>
            <w:r>
              <w:rPr>
                <w:rFonts w:ascii="Calibri" w:hAnsi="Calibri" w:cs="Calibri"/>
                <w:color w:val="000000"/>
                <w:sz w:val="16"/>
                <w:szCs w:val="16"/>
              </w:rPr>
              <w:t>0%</w:t>
            </w:r>
          </w:p>
        </w:tc>
        <w:tc>
          <w:tcPr>
            <w:tcW w:w="1120" w:type="dxa"/>
            <w:tcBorders>
              <w:top w:val="nil"/>
              <w:left w:val="nil"/>
              <w:bottom w:val="single" w:sz="4" w:space="0" w:color="auto"/>
              <w:right w:val="single" w:sz="4" w:space="0" w:color="auto"/>
            </w:tcBorders>
            <w:shd w:val="clear" w:color="auto" w:fill="auto"/>
            <w:noWrap/>
            <w:vAlign w:val="center"/>
          </w:tcPr>
          <w:p w:rsidR="00CF75DE" w:rsidRDefault="00CF75DE">
            <w:pPr>
              <w:jc w:val="center"/>
              <w:rPr>
                <w:rFonts w:ascii="Calibri" w:hAnsi="Calibri" w:cs="Calibri"/>
                <w:color w:val="000000"/>
                <w:sz w:val="16"/>
                <w:szCs w:val="16"/>
              </w:rPr>
            </w:pPr>
          </w:p>
        </w:tc>
        <w:tc>
          <w:tcPr>
            <w:tcW w:w="1120" w:type="dxa"/>
            <w:tcBorders>
              <w:top w:val="nil"/>
              <w:left w:val="nil"/>
              <w:bottom w:val="single" w:sz="4" w:space="0" w:color="auto"/>
              <w:right w:val="single" w:sz="4" w:space="0" w:color="auto"/>
            </w:tcBorders>
            <w:shd w:val="clear" w:color="auto" w:fill="auto"/>
            <w:noWrap/>
            <w:vAlign w:val="center"/>
          </w:tcPr>
          <w:p w:rsidR="00CF75DE" w:rsidRDefault="00CF75DE">
            <w:pPr>
              <w:jc w:val="center"/>
              <w:rPr>
                <w:rFonts w:ascii="Calibri" w:hAnsi="Calibri" w:cs="Calibri"/>
                <w:color w:val="000000"/>
                <w:sz w:val="16"/>
                <w:szCs w:val="16"/>
              </w:rPr>
            </w:pPr>
          </w:p>
        </w:tc>
      </w:tr>
    </w:tbl>
    <w:p w:rsidR="001A78F2" w:rsidRDefault="001A78F2">
      <w:pPr>
        <w:rPr>
          <w:szCs w:val="22"/>
        </w:rPr>
      </w:pPr>
    </w:p>
    <w:p w:rsidR="007C7F23" w:rsidRDefault="007C7F23" w:rsidP="007C7F23">
      <w:pPr>
        <w:rPr>
          <w:szCs w:val="22"/>
        </w:rPr>
      </w:pPr>
      <w:r w:rsidRPr="005E0F83">
        <w:rPr>
          <w:szCs w:val="22"/>
        </w:rPr>
        <w:t xml:space="preserve">The original </w:t>
      </w:r>
      <w:r>
        <w:rPr>
          <w:szCs w:val="22"/>
        </w:rPr>
        <w:t>data</w:t>
      </w:r>
      <w:r w:rsidR="001339E7">
        <w:rPr>
          <w:szCs w:val="22"/>
        </w:rPr>
        <w:t xml:space="preserve"> set, presented in Figure 5-34</w:t>
      </w:r>
      <w:r w:rsidR="00BE7128">
        <w:rPr>
          <w:szCs w:val="22"/>
        </w:rPr>
        <w:t>a and Table 5-25a</w:t>
      </w:r>
      <w:r>
        <w:rPr>
          <w:szCs w:val="22"/>
        </w:rPr>
        <w:t xml:space="preserve"> for this code</w:t>
      </w:r>
      <w:r w:rsidR="001339E7">
        <w:rPr>
          <w:szCs w:val="22"/>
        </w:rPr>
        <w:t>,</w:t>
      </w:r>
      <w:r>
        <w:rPr>
          <w:szCs w:val="22"/>
        </w:rPr>
        <w:t xml:space="preserve"> ranged from between 0.18 kg and 10.5 kg</w:t>
      </w:r>
      <w:r w:rsidRPr="005E0F83">
        <w:rPr>
          <w:szCs w:val="22"/>
        </w:rPr>
        <w:t xml:space="preserve"> </w:t>
      </w:r>
      <w:r>
        <w:rPr>
          <w:szCs w:val="22"/>
        </w:rPr>
        <w:t>with the majority of imports between 0-1 kg, with another cluster between 10-11kg. It was agreed with the Department to exclude from this conversion factor any mo</w:t>
      </w:r>
      <w:r w:rsidR="00BE7128">
        <w:rPr>
          <w:szCs w:val="22"/>
        </w:rPr>
        <w:t>dels weighing in excess of 4 kg (Tables 5-34b and Table 5-25b)</w:t>
      </w:r>
      <w:r w:rsidR="003E156F">
        <w:rPr>
          <w:szCs w:val="22"/>
        </w:rPr>
        <w:t>.</w:t>
      </w:r>
    </w:p>
    <w:p w:rsidR="003E156F" w:rsidRDefault="003E156F" w:rsidP="007C7F23">
      <w:pPr>
        <w:rPr>
          <w:szCs w:val="22"/>
        </w:rPr>
      </w:pPr>
    </w:p>
    <w:p w:rsidR="003E156F" w:rsidRPr="005E0F83" w:rsidRDefault="003E156F" w:rsidP="007C7F23">
      <w:pPr>
        <w:rPr>
          <w:szCs w:val="22"/>
        </w:rPr>
      </w:pPr>
      <w:r>
        <w:rPr>
          <w:szCs w:val="22"/>
        </w:rPr>
        <w:t>Note that by excluding some data from the analysis for this HTSIC, all but one brand importing within this HTISC are excluded.</w:t>
      </w:r>
    </w:p>
    <w:p w:rsidR="007C7F23" w:rsidRDefault="007C7F23" w:rsidP="007C7F23">
      <w:pPr>
        <w:rPr>
          <w:b/>
          <w:szCs w:val="22"/>
        </w:rPr>
      </w:pPr>
    </w:p>
    <w:p w:rsidR="007C7F23" w:rsidRDefault="007C7F23" w:rsidP="007C7F23">
      <w:pPr>
        <w:rPr>
          <w:b/>
          <w:szCs w:val="22"/>
        </w:rPr>
      </w:pPr>
    </w:p>
    <w:p w:rsidR="007C7F23" w:rsidRDefault="007C7F23" w:rsidP="007C7F23">
      <w:pPr>
        <w:rPr>
          <w:szCs w:val="22"/>
        </w:rPr>
      </w:pPr>
      <w:r w:rsidRPr="005A3097">
        <w:rPr>
          <w:b/>
          <w:szCs w:val="22"/>
        </w:rPr>
        <w:t>Distribution:</w:t>
      </w:r>
      <w:r>
        <w:rPr>
          <w:b/>
          <w:szCs w:val="22"/>
        </w:rPr>
        <w:t xml:space="preserve"> </w:t>
      </w:r>
      <w:r>
        <w:rPr>
          <w:szCs w:val="22"/>
        </w:rPr>
        <w:t>The majority of imports are between 0-1 kg</w:t>
      </w:r>
    </w:p>
    <w:p w:rsidR="007C7F23" w:rsidRDefault="007C7F23" w:rsidP="007C7F23">
      <w:pPr>
        <w:rPr>
          <w:szCs w:val="22"/>
        </w:rPr>
      </w:pPr>
      <w:r>
        <w:rPr>
          <w:b/>
          <w:szCs w:val="22"/>
        </w:rPr>
        <w:t xml:space="preserve">Proposed conversion factor: </w:t>
      </w:r>
      <w:r>
        <w:rPr>
          <w:szCs w:val="22"/>
        </w:rPr>
        <w:t>0.5 kg</w:t>
      </w:r>
    </w:p>
    <w:p w:rsidR="007C7F23" w:rsidRDefault="007C7F23" w:rsidP="007C7F23">
      <w:pPr>
        <w:rPr>
          <w:szCs w:val="22"/>
        </w:rPr>
      </w:pPr>
      <w:r>
        <w:rPr>
          <w:b/>
          <w:szCs w:val="22"/>
        </w:rPr>
        <w:t>Proposed confidence interval</w:t>
      </w:r>
      <w:r w:rsidRPr="00B02F83">
        <w:rPr>
          <w:szCs w:val="22"/>
        </w:rPr>
        <w:t xml:space="preserve">: </w:t>
      </w:r>
      <w:r>
        <w:rPr>
          <w:szCs w:val="22"/>
        </w:rPr>
        <w:t xml:space="preserve"> </w:t>
      </w:r>
      <w:r w:rsidRPr="005E0F83">
        <w:rPr>
          <w:szCs w:val="22"/>
        </w:rPr>
        <w:t>± 0.4 kg</w:t>
      </w:r>
    </w:p>
    <w:p w:rsidR="007C7F23" w:rsidRDefault="00C62346" w:rsidP="007C7F23">
      <w:pPr>
        <w:rPr>
          <w:szCs w:val="22"/>
        </w:rPr>
      </w:pPr>
      <w:r>
        <w:rPr>
          <w:b/>
          <w:szCs w:val="22"/>
        </w:rPr>
        <w:t xml:space="preserve">Variation over time: </w:t>
      </w:r>
      <w:r w:rsidR="00655A6F">
        <w:rPr>
          <w:szCs w:val="22"/>
        </w:rPr>
        <w:t>Not known</w:t>
      </w:r>
    </w:p>
    <w:p w:rsidR="00BE7128" w:rsidRDefault="00BE7128">
      <w:pPr>
        <w:rPr>
          <w:rFonts w:ascii="Arial" w:hAnsi="Arial" w:cs="Arial"/>
          <w:b/>
          <w:bCs/>
          <w:color w:val="000000"/>
          <w:szCs w:val="22"/>
          <w:lang w:eastAsia="en-AU"/>
        </w:rPr>
      </w:pPr>
    </w:p>
    <w:p w:rsidR="00BE7128" w:rsidRDefault="00BE7128">
      <w:pPr>
        <w:rPr>
          <w:rFonts w:ascii="Arial" w:hAnsi="Arial" w:cs="Arial"/>
          <w:b/>
          <w:bCs/>
          <w:color w:val="000000"/>
          <w:szCs w:val="22"/>
          <w:lang w:eastAsia="en-AU"/>
        </w:rPr>
      </w:pPr>
    </w:p>
    <w:p w:rsidR="00BE7128" w:rsidRDefault="00BE7128">
      <w:pPr>
        <w:rPr>
          <w:rFonts w:ascii="Arial" w:hAnsi="Arial" w:cs="Arial"/>
          <w:b/>
          <w:bCs/>
          <w:color w:val="000000"/>
          <w:szCs w:val="22"/>
          <w:lang w:eastAsia="en-AU"/>
        </w:rPr>
      </w:pPr>
    </w:p>
    <w:p w:rsidR="00697C45" w:rsidRDefault="007C7F23" w:rsidP="000941E0">
      <w:pPr>
        <w:jc w:val="both"/>
        <w:rPr>
          <w:rFonts w:ascii="Arial" w:hAnsi="Arial" w:cs="Arial"/>
          <w:b/>
          <w:bCs/>
          <w:color w:val="000000"/>
          <w:szCs w:val="22"/>
          <w:lang w:eastAsia="en-AU"/>
        </w:rPr>
      </w:pPr>
      <w:r w:rsidRPr="00697C45">
        <w:rPr>
          <w:rFonts w:ascii="Arial" w:hAnsi="Arial" w:cs="Arial"/>
          <w:b/>
          <w:bCs/>
          <w:color w:val="000000"/>
          <w:szCs w:val="22"/>
          <w:lang w:eastAsia="en-AU"/>
        </w:rPr>
        <w:t xml:space="preserve">SC07 8473.30.00 68 </w:t>
      </w:r>
      <w:r>
        <w:rPr>
          <w:rFonts w:ascii="Arial" w:hAnsi="Arial" w:cs="Arial"/>
          <w:b/>
          <w:bCs/>
          <w:color w:val="000000"/>
          <w:szCs w:val="22"/>
          <w:lang w:eastAsia="en-AU"/>
        </w:rPr>
        <w:t>–</w:t>
      </w:r>
      <w:r w:rsidRPr="00697C45">
        <w:rPr>
          <w:rFonts w:ascii="Arial" w:hAnsi="Arial" w:cs="Arial"/>
          <w:b/>
          <w:bCs/>
          <w:color w:val="000000"/>
          <w:szCs w:val="22"/>
          <w:lang w:eastAsia="en-AU"/>
        </w:rPr>
        <w:t xml:space="preserve"> Motherboards</w:t>
      </w:r>
    </w:p>
    <w:p w:rsidR="007C7F23" w:rsidRDefault="007C7F23" w:rsidP="000941E0">
      <w:pPr>
        <w:jc w:val="both"/>
        <w:rPr>
          <w:rFonts w:ascii="Arial" w:hAnsi="Arial" w:cs="Arial"/>
          <w:b/>
          <w:bCs/>
          <w:color w:val="000000"/>
          <w:szCs w:val="22"/>
          <w:lang w:eastAsia="en-AU"/>
        </w:rPr>
      </w:pPr>
    </w:p>
    <w:p w:rsidR="00BC4FED" w:rsidRDefault="002652C5" w:rsidP="00BC4FED">
      <w:pPr>
        <w:pStyle w:val="Caption"/>
        <w:keepNext/>
      </w:pPr>
      <w:r>
        <w:t>Figure 5-</w:t>
      </w:r>
      <w:r w:rsidR="009F14B1">
        <w:t>35</w:t>
      </w:r>
      <w:r>
        <w:t xml:space="preserve">  </w:t>
      </w:r>
      <w:r w:rsidR="00AC1355">
        <w:t>HTISC frequency distribution in CF year</w:t>
      </w:r>
    </w:p>
    <w:p w:rsidR="007B3E8A" w:rsidRDefault="007B3E8A" w:rsidP="007B3E8A">
      <w:pPr>
        <w:rPr>
          <w:lang w:val="en-GB"/>
        </w:rPr>
      </w:pPr>
      <w:r w:rsidRPr="007B3E8A">
        <w:rPr>
          <w:noProof/>
          <w:lang w:eastAsia="en-AU"/>
        </w:rPr>
        <w:drawing>
          <wp:inline distT="0" distB="0" distL="0" distR="0">
            <wp:extent cx="4889500" cy="2984500"/>
            <wp:effectExtent l="19050" t="0" r="25400" b="6350"/>
            <wp:docPr id="96"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7B3E8A" w:rsidRDefault="007B3E8A" w:rsidP="007B3E8A">
      <w:pPr>
        <w:rPr>
          <w:lang w:val="en-GB"/>
        </w:rPr>
      </w:pPr>
    </w:p>
    <w:p w:rsidR="007B3E8A" w:rsidRDefault="007B3E8A" w:rsidP="007B3E8A">
      <w:pPr>
        <w:rPr>
          <w:lang w:val="en-GB"/>
        </w:rPr>
      </w:pPr>
    </w:p>
    <w:p w:rsidR="007B3E8A" w:rsidRDefault="007B3E8A" w:rsidP="007B3E8A">
      <w:pPr>
        <w:rPr>
          <w:lang w:val="en-GB"/>
        </w:rPr>
      </w:pPr>
    </w:p>
    <w:p w:rsidR="007B3E8A" w:rsidRPr="007B3E8A" w:rsidRDefault="007B3E8A" w:rsidP="007B3E8A">
      <w:pPr>
        <w:rPr>
          <w:lang w:val="en-GB"/>
        </w:rPr>
      </w:pPr>
    </w:p>
    <w:p w:rsidR="007C7F23" w:rsidRDefault="007C7F23" w:rsidP="000941E0">
      <w:pPr>
        <w:jc w:val="both"/>
        <w:rPr>
          <w:szCs w:val="22"/>
        </w:rPr>
      </w:pPr>
    </w:p>
    <w:p w:rsidR="00CF75DE" w:rsidRDefault="00CF75DE" w:rsidP="000941E0">
      <w:pPr>
        <w:jc w:val="both"/>
        <w:rPr>
          <w:szCs w:val="22"/>
        </w:rPr>
      </w:pPr>
    </w:p>
    <w:p w:rsidR="00CF75DE" w:rsidRDefault="00CF75DE" w:rsidP="000941E0">
      <w:pPr>
        <w:jc w:val="both"/>
        <w:rPr>
          <w:szCs w:val="22"/>
        </w:rPr>
      </w:pPr>
    </w:p>
    <w:p w:rsidR="00D73340" w:rsidRPr="00D73340" w:rsidRDefault="00207129" w:rsidP="00D73340">
      <w:pPr>
        <w:pStyle w:val="Caption"/>
      </w:pPr>
      <w:r>
        <w:t xml:space="preserve">Table 5-26 </w:t>
      </w:r>
      <w:r w:rsidR="00D73340">
        <w:t>Conversion factor statistics</w:t>
      </w:r>
    </w:p>
    <w:tbl>
      <w:tblPr>
        <w:tblW w:w="7260" w:type="dxa"/>
        <w:tblInd w:w="93" w:type="dxa"/>
        <w:tblLook w:val="04A0"/>
      </w:tblPr>
      <w:tblGrid>
        <w:gridCol w:w="1660"/>
        <w:gridCol w:w="1120"/>
        <w:gridCol w:w="1120"/>
        <w:gridCol w:w="1120"/>
        <w:gridCol w:w="1120"/>
        <w:gridCol w:w="1120"/>
      </w:tblGrid>
      <w:tr w:rsidR="00697C45" w:rsidRPr="00697C45">
        <w:trPr>
          <w:trHeight w:val="450"/>
        </w:trPr>
        <w:tc>
          <w:tcPr>
            <w:tcW w:w="1660" w:type="dxa"/>
            <w:tcBorders>
              <w:top w:val="single" w:sz="4" w:space="0" w:color="auto"/>
              <w:left w:val="single" w:sz="4" w:space="0" w:color="auto"/>
              <w:bottom w:val="single" w:sz="4" w:space="0" w:color="auto"/>
              <w:right w:val="single" w:sz="4" w:space="0" w:color="auto"/>
            </w:tcBorders>
            <w:shd w:val="clear" w:color="000000" w:fill="D8D8D8"/>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CF year</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No. of ABS imports</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 ABS imports included</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Min weight</w:t>
            </w:r>
            <w:r w:rsidRPr="00697C45">
              <w:rPr>
                <w:rFonts w:ascii="Calibri" w:hAnsi="Calibri" w:cs="Calibri"/>
                <w:color w:val="000000"/>
                <w:sz w:val="16"/>
                <w:szCs w:val="16"/>
                <w:lang w:eastAsia="en-AU"/>
              </w:rPr>
              <w:br/>
              <w:t>(kg)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Max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Standard deviation</w:t>
            </w:r>
          </w:p>
        </w:tc>
      </w:tr>
      <w:tr w:rsidR="00697C45" w:rsidRPr="00697C45">
        <w:trPr>
          <w:trHeight w:val="225"/>
        </w:trPr>
        <w:tc>
          <w:tcPr>
            <w:tcW w:w="1660" w:type="dxa"/>
            <w:tcBorders>
              <w:top w:val="nil"/>
              <w:left w:val="single" w:sz="4" w:space="0" w:color="auto"/>
              <w:bottom w:val="single" w:sz="4" w:space="0" w:color="auto"/>
              <w:right w:val="single" w:sz="4" w:space="0" w:color="auto"/>
            </w:tcBorders>
            <w:shd w:val="clear" w:color="auto" w:fill="auto"/>
            <w:noWrap/>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2010-11</w:t>
            </w:r>
          </w:p>
        </w:tc>
        <w:tc>
          <w:tcPr>
            <w:tcW w:w="1120" w:type="dxa"/>
            <w:tcBorders>
              <w:top w:val="nil"/>
              <w:left w:val="nil"/>
              <w:bottom w:val="single" w:sz="4" w:space="0" w:color="auto"/>
              <w:right w:val="single" w:sz="4" w:space="0" w:color="auto"/>
            </w:tcBorders>
            <w:shd w:val="clear" w:color="auto" w:fill="auto"/>
            <w:noWrap/>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1,052,081</w:t>
            </w:r>
          </w:p>
        </w:tc>
        <w:tc>
          <w:tcPr>
            <w:tcW w:w="1120" w:type="dxa"/>
            <w:tcBorders>
              <w:top w:val="nil"/>
              <w:left w:val="nil"/>
              <w:bottom w:val="single" w:sz="4" w:space="0" w:color="auto"/>
              <w:right w:val="single" w:sz="4" w:space="0" w:color="auto"/>
            </w:tcBorders>
            <w:shd w:val="clear" w:color="auto" w:fill="auto"/>
            <w:noWrap/>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2%</w:t>
            </w:r>
          </w:p>
        </w:tc>
        <w:tc>
          <w:tcPr>
            <w:tcW w:w="1120" w:type="dxa"/>
            <w:tcBorders>
              <w:top w:val="nil"/>
              <w:left w:val="nil"/>
              <w:bottom w:val="single" w:sz="4" w:space="0" w:color="auto"/>
              <w:right w:val="single" w:sz="4" w:space="0" w:color="auto"/>
            </w:tcBorders>
            <w:shd w:val="clear" w:color="auto" w:fill="auto"/>
            <w:noWrap/>
            <w:vAlign w:val="center"/>
          </w:tcPr>
          <w:p w:rsidR="00697C45" w:rsidRPr="00697C45" w:rsidRDefault="00697C45" w:rsidP="00CF75DE">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0.</w:t>
            </w:r>
            <w:r w:rsidR="00CF75DE">
              <w:rPr>
                <w:rFonts w:ascii="Calibri" w:hAnsi="Calibri" w:cs="Calibri"/>
                <w:color w:val="000000"/>
                <w:sz w:val="16"/>
                <w:szCs w:val="16"/>
                <w:lang w:eastAsia="en-AU"/>
              </w:rPr>
              <w:t>1</w:t>
            </w:r>
          </w:p>
        </w:tc>
        <w:tc>
          <w:tcPr>
            <w:tcW w:w="1120" w:type="dxa"/>
            <w:tcBorders>
              <w:top w:val="nil"/>
              <w:left w:val="nil"/>
              <w:bottom w:val="single" w:sz="4" w:space="0" w:color="auto"/>
              <w:right w:val="single" w:sz="4" w:space="0" w:color="auto"/>
            </w:tcBorders>
            <w:shd w:val="clear" w:color="auto" w:fill="auto"/>
            <w:noWrap/>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15.7</w:t>
            </w:r>
          </w:p>
        </w:tc>
        <w:tc>
          <w:tcPr>
            <w:tcW w:w="1120" w:type="dxa"/>
            <w:tcBorders>
              <w:top w:val="nil"/>
              <w:left w:val="nil"/>
              <w:bottom w:val="single" w:sz="4" w:space="0" w:color="auto"/>
              <w:right w:val="single" w:sz="4" w:space="0" w:color="auto"/>
            </w:tcBorders>
            <w:shd w:val="clear" w:color="auto" w:fill="auto"/>
            <w:noWrap/>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0.2</w:t>
            </w:r>
          </w:p>
        </w:tc>
      </w:tr>
      <w:tr w:rsidR="00697C45" w:rsidRPr="00697C45">
        <w:trPr>
          <w:trHeight w:val="225"/>
        </w:trPr>
        <w:tc>
          <w:tcPr>
            <w:tcW w:w="166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r>
      <w:tr w:rsidR="00697C45" w:rsidRPr="00697C45">
        <w:trPr>
          <w:trHeight w:val="450"/>
        </w:trPr>
        <w:tc>
          <w:tcPr>
            <w:tcW w:w="1660" w:type="dxa"/>
            <w:tcBorders>
              <w:top w:val="single" w:sz="4" w:space="0" w:color="auto"/>
              <w:left w:val="single" w:sz="4" w:space="0" w:color="auto"/>
              <w:bottom w:val="nil"/>
              <w:right w:val="single" w:sz="4" w:space="0" w:color="auto"/>
            </w:tcBorders>
            <w:shd w:val="clear" w:color="000000" w:fill="D8D8D8"/>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Method</w:t>
            </w:r>
          </w:p>
        </w:tc>
        <w:tc>
          <w:tcPr>
            <w:tcW w:w="1120" w:type="dxa"/>
            <w:tcBorders>
              <w:top w:val="single" w:sz="4" w:space="0" w:color="auto"/>
              <w:left w:val="nil"/>
              <w:bottom w:val="nil"/>
              <w:right w:val="single" w:sz="4" w:space="0" w:color="auto"/>
            </w:tcBorders>
            <w:shd w:val="clear" w:color="000000" w:fill="D8D8D8"/>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Measure of average</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Average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Lower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Upper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Confidence interval ± (kg)</w:t>
            </w:r>
          </w:p>
        </w:tc>
      </w:tr>
      <w:tr w:rsidR="00697C45" w:rsidRPr="00697C45">
        <w:trPr>
          <w:trHeight w:val="48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Approximation to the normal distribution</w:t>
            </w:r>
          </w:p>
        </w:tc>
        <w:tc>
          <w:tcPr>
            <w:tcW w:w="1120" w:type="dxa"/>
            <w:tcBorders>
              <w:top w:val="single" w:sz="4" w:space="0" w:color="auto"/>
              <w:left w:val="nil"/>
              <w:bottom w:val="single" w:sz="4" w:space="0" w:color="auto"/>
              <w:right w:val="single" w:sz="4" w:space="0" w:color="auto"/>
            </w:tcBorders>
            <w:shd w:val="clear" w:color="auto" w:fill="auto"/>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Mean</w:t>
            </w:r>
          </w:p>
        </w:tc>
        <w:tc>
          <w:tcPr>
            <w:tcW w:w="1120" w:type="dxa"/>
            <w:tcBorders>
              <w:top w:val="nil"/>
              <w:left w:val="nil"/>
              <w:bottom w:val="single" w:sz="4" w:space="0" w:color="auto"/>
              <w:right w:val="single" w:sz="4" w:space="0" w:color="auto"/>
            </w:tcBorders>
            <w:shd w:val="clear" w:color="auto" w:fill="auto"/>
            <w:noWrap/>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0.8</w:t>
            </w:r>
          </w:p>
        </w:tc>
        <w:tc>
          <w:tcPr>
            <w:tcW w:w="1120" w:type="dxa"/>
            <w:tcBorders>
              <w:top w:val="nil"/>
              <w:left w:val="nil"/>
              <w:bottom w:val="single" w:sz="4" w:space="0" w:color="auto"/>
              <w:right w:val="single" w:sz="4" w:space="0" w:color="auto"/>
            </w:tcBorders>
            <w:shd w:val="clear" w:color="auto" w:fill="auto"/>
            <w:noWrap/>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0.4</w:t>
            </w:r>
          </w:p>
        </w:tc>
        <w:tc>
          <w:tcPr>
            <w:tcW w:w="1120" w:type="dxa"/>
            <w:tcBorders>
              <w:top w:val="nil"/>
              <w:left w:val="nil"/>
              <w:bottom w:val="single" w:sz="4" w:space="0" w:color="auto"/>
              <w:right w:val="single" w:sz="4" w:space="0" w:color="auto"/>
            </w:tcBorders>
            <w:shd w:val="clear" w:color="auto" w:fill="auto"/>
            <w:noWrap/>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1.1</w:t>
            </w:r>
          </w:p>
        </w:tc>
        <w:tc>
          <w:tcPr>
            <w:tcW w:w="1120" w:type="dxa"/>
            <w:tcBorders>
              <w:top w:val="nil"/>
              <w:left w:val="nil"/>
              <w:bottom w:val="single" w:sz="4" w:space="0" w:color="auto"/>
              <w:right w:val="single" w:sz="4" w:space="0" w:color="auto"/>
            </w:tcBorders>
            <w:shd w:val="clear" w:color="auto" w:fill="auto"/>
            <w:noWrap/>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0.3</w:t>
            </w:r>
          </w:p>
        </w:tc>
      </w:tr>
      <w:tr w:rsidR="00697C45" w:rsidRPr="00697C45">
        <w:trPr>
          <w:trHeight w:val="480"/>
        </w:trPr>
        <w:tc>
          <w:tcPr>
            <w:tcW w:w="1660" w:type="dxa"/>
            <w:tcBorders>
              <w:top w:val="nil"/>
              <w:left w:val="single" w:sz="4" w:space="0" w:color="auto"/>
              <w:bottom w:val="single" w:sz="4" w:space="0" w:color="auto"/>
              <w:right w:val="single" w:sz="4" w:space="0" w:color="auto"/>
            </w:tcBorders>
            <w:shd w:val="clear" w:color="auto" w:fill="auto"/>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Use of percentiles</w:t>
            </w:r>
          </w:p>
        </w:tc>
        <w:tc>
          <w:tcPr>
            <w:tcW w:w="1120" w:type="dxa"/>
            <w:tcBorders>
              <w:top w:val="nil"/>
              <w:left w:val="nil"/>
              <w:bottom w:val="single" w:sz="4" w:space="0" w:color="auto"/>
              <w:right w:val="single" w:sz="4" w:space="0" w:color="auto"/>
            </w:tcBorders>
            <w:shd w:val="clear" w:color="auto" w:fill="auto"/>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Median</w:t>
            </w:r>
          </w:p>
        </w:tc>
        <w:tc>
          <w:tcPr>
            <w:tcW w:w="1120" w:type="dxa"/>
            <w:tcBorders>
              <w:top w:val="nil"/>
              <w:left w:val="nil"/>
              <w:bottom w:val="single" w:sz="4" w:space="0" w:color="auto"/>
              <w:right w:val="single" w:sz="4" w:space="0" w:color="auto"/>
            </w:tcBorders>
            <w:shd w:val="clear" w:color="auto" w:fill="auto"/>
            <w:noWrap/>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0.7</w:t>
            </w:r>
          </w:p>
        </w:tc>
        <w:tc>
          <w:tcPr>
            <w:tcW w:w="1120" w:type="dxa"/>
            <w:tcBorders>
              <w:top w:val="nil"/>
              <w:left w:val="nil"/>
              <w:bottom w:val="single" w:sz="4" w:space="0" w:color="auto"/>
              <w:right w:val="single" w:sz="4" w:space="0" w:color="auto"/>
            </w:tcBorders>
            <w:shd w:val="clear" w:color="auto" w:fill="auto"/>
            <w:noWrap/>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0.6</w:t>
            </w:r>
          </w:p>
        </w:tc>
        <w:tc>
          <w:tcPr>
            <w:tcW w:w="1120" w:type="dxa"/>
            <w:tcBorders>
              <w:top w:val="nil"/>
              <w:left w:val="nil"/>
              <w:bottom w:val="single" w:sz="4" w:space="0" w:color="auto"/>
              <w:right w:val="single" w:sz="4" w:space="0" w:color="auto"/>
            </w:tcBorders>
            <w:shd w:val="clear" w:color="auto" w:fill="auto"/>
            <w:noWrap/>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0.7</w:t>
            </w:r>
          </w:p>
        </w:tc>
        <w:tc>
          <w:tcPr>
            <w:tcW w:w="1120" w:type="dxa"/>
            <w:tcBorders>
              <w:top w:val="nil"/>
              <w:left w:val="nil"/>
              <w:bottom w:val="single" w:sz="4" w:space="0" w:color="auto"/>
              <w:right w:val="single" w:sz="4" w:space="0" w:color="auto"/>
            </w:tcBorders>
            <w:shd w:val="clear" w:color="auto" w:fill="auto"/>
            <w:noWrap/>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0.1</w:t>
            </w:r>
          </w:p>
        </w:tc>
      </w:tr>
      <w:tr w:rsidR="00697C45" w:rsidRPr="00697C45">
        <w:trPr>
          <w:trHeight w:val="225"/>
        </w:trPr>
        <w:tc>
          <w:tcPr>
            <w:tcW w:w="166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r>
      <w:tr w:rsidR="00697C45" w:rsidRPr="00697C45">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tcPr>
          <w:p w:rsidR="00697C45" w:rsidRPr="00697C45" w:rsidRDefault="00697C45" w:rsidP="00697C45">
            <w:pPr>
              <w:rPr>
                <w:rFonts w:ascii="Calibri" w:hAnsi="Calibri" w:cs="Calibri"/>
                <w:color w:val="000000"/>
                <w:sz w:val="16"/>
                <w:szCs w:val="16"/>
                <w:lang w:eastAsia="en-AU"/>
              </w:rPr>
            </w:pPr>
            <w:r w:rsidRPr="00697C45">
              <w:rPr>
                <w:rFonts w:ascii="Calibri" w:hAnsi="Calibri" w:cs="Calibri"/>
                <w:color w:val="000000"/>
                <w:sz w:val="16"/>
                <w:szCs w:val="16"/>
                <w:lang w:eastAsia="en-AU"/>
              </w:rPr>
              <w:t>Year</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2010-11</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2009-10</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2008-09</w:t>
            </w:r>
          </w:p>
        </w:tc>
      </w:tr>
      <w:tr w:rsidR="00CF75DE" w:rsidRPr="00697C45">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F75DE" w:rsidRPr="00697C45" w:rsidRDefault="00CF75DE" w:rsidP="00697C45">
            <w:pPr>
              <w:rPr>
                <w:rFonts w:ascii="Calibri" w:hAnsi="Calibri" w:cs="Calibri"/>
                <w:color w:val="000000"/>
                <w:sz w:val="16"/>
                <w:szCs w:val="16"/>
                <w:lang w:eastAsia="en-AU"/>
              </w:rPr>
            </w:pPr>
            <w:r w:rsidRPr="00CB6A7D">
              <w:rPr>
                <w:rFonts w:ascii="Calibri" w:hAnsi="Calibri" w:cs="Calibri"/>
                <w:color w:val="000000"/>
                <w:sz w:val="16"/>
                <w:szCs w:val="16"/>
                <w:lang w:eastAsia="en-AU"/>
              </w:rPr>
              <w:t>Percentage by which the conversion factor over or under estimates the weight of imports</w:t>
            </w:r>
          </w:p>
        </w:tc>
        <w:tc>
          <w:tcPr>
            <w:tcW w:w="1120" w:type="dxa"/>
            <w:tcBorders>
              <w:top w:val="nil"/>
              <w:left w:val="nil"/>
              <w:bottom w:val="single" w:sz="4" w:space="0" w:color="auto"/>
              <w:right w:val="single" w:sz="4" w:space="0" w:color="auto"/>
            </w:tcBorders>
            <w:shd w:val="clear" w:color="auto" w:fill="auto"/>
            <w:noWrap/>
            <w:vAlign w:val="center"/>
          </w:tcPr>
          <w:p w:rsidR="00CF75DE" w:rsidRDefault="00CF75DE">
            <w:pPr>
              <w:jc w:val="center"/>
              <w:rPr>
                <w:rFonts w:ascii="Calibri" w:hAnsi="Calibri" w:cs="Calibri"/>
                <w:color w:val="000000"/>
                <w:sz w:val="16"/>
                <w:szCs w:val="16"/>
              </w:rPr>
            </w:pPr>
            <w:r>
              <w:rPr>
                <w:rFonts w:ascii="Calibri" w:hAnsi="Calibri" w:cs="Calibri"/>
                <w:color w:val="000000"/>
                <w:sz w:val="16"/>
                <w:szCs w:val="16"/>
              </w:rPr>
              <w:t>0%</w:t>
            </w:r>
          </w:p>
        </w:tc>
        <w:tc>
          <w:tcPr>
            <w:tcW w:w="1120" w:type="dxa"/>
            <w:tcBorders>
              <w:top w:val="nil"/>
              <w:left w:val="nil"/>
              <w:bottom w:val="single" w:sz="4" w:space="0" w:color="auto"/>
              <w:right w:val="single" w:sz="4" w:space="0" w:color="auto"/>
            </w:tcBorders>
            <w:shd w:val="clear" w:color="auto" w:fill="auto"/>
            <w:noWrap/>
            <w:vAlign w:val="center"/>
          </w:tcPr>
          <w:p w:rsidR="00CF75DE" w:rsidRDefault="00CF75DE">
            <w:pPr>
              <w:jc w:val="center"/>
              <w:rPr>
                <w:rFonts w:ascii="Calibri" w:hAnsi="Calibri" w:cs="Calibri"/>
                <w:color w:val="000000"/>
                <w:sz w:val="16"/>
                <w:szCs w:val="16"/>
              </w:rPr>
            </w:pPr>
            <w:r>
              <w:rPr>
                <w:rFonts w:ascii="Calibri" w:hAnsi="Calibri" w:cs="Calibri"/>
                <w:color w:val="000000"/>
                <w:sz w:val="16"/>
                <w:szCs w:val="16"/>
              </w:rPr>
              <w:t>0%</w:t>
            </w:r>
          </w:p>
        </w:tc>
        <w:tc>
          <w:tcPr>
            <w:tcW w:w="1120" w:type="dxa"/>
            <w:tcBorders>
              <w:top w:val="nil"/>
              <w:left w:val="nil"/>
              <w:bottom w:val="single" w:sz="4" w:space="0" w:color="auto"/>
              <w:right w:val="single" w:sz="4" w:space="0" w:color="auto"/>
            </w:tcBorders>
            <w:shd w:val="clear" w:color="auto" w:fill="auto"/>
            <w:noWrap/>
            <w:vAlign w:val="center"/>
          </w:tcPr>
          <w:p w:rsidR="00CF75DE" w:rsidRDefault="00CF75DE">
            <w:pPr>
              <w:jc w:val="center"/>
              <w:rPr>
                <w:rFonts w:ascii="Calibri" w:hAnsi="Calibri" w:cs="Calibri"/>
                <w:color w:val="000000"/>
                <w:sz w:val="16"/>
                <w:szCs w:val="16"/>
              </w:rPr>
            </w:pPr>
            <w:r>
              <w:rPr>
                <w:rFonts w:ascii="Calibri" w:hAnsi="Calibri" w:cs="Calibri"/>
                <w:color w:val="000000"/>
                <w:sz w:val="16"/>
                <w:szCs w:val="16"/>
              </w:rPr>
              <w:t>0%</w:t>
            </w:r>
          </w:p>
        </w:tc>
      </w:tr>
    </w:tbl>
    <w:p w:rsidR="00697C45" w:rsidRDefault="00697C45" w:rsidP="000941E0">
      <w:pPr>
        <w:jc w:val="both"/>
        <w:rPr>
          <w:szCs w:val="22"/>
        </w:rPr>
      </w:pPr>
    </w:p>
    <w:p w:rsidR="001A78F2" w:rsidRDefault="00B215B2">
      <w:pPr>
        <w:rPr>
          <w:szCs w:val="22"/>
        </w:rPr>
      </w:pPr>
      <w:r w:rsidRPr="005A3097">
        <w:rPr>
          <w:b/>
          <w:szCs w:val="22"/>
        </w:rPr>
        <w:t>Distribution:</w:t>
      </w:r>
      <w:r>
        <w:rPr>
          <w:b/>
          <w:szCs w:val="22"/>
        </w:rPr>
        <w:t xml:space="preserve"> </w:t>
      </w:r>
      <w:r>
        <w:rPr>
          <w:szCs w:val="22"/>
        </w:rPr>
        <w:t>All imports are between 0-1 kg</w:t>
      </w:r>
      <w:r w:rsidR="00E55318">
        <w:rPr>
          <w:szCs w:val="22"/>
        </w:rPr>
        <w:t>.</w:t>
      </w:r>
    </w:p>
    <w:p w:rsidR="001A78F2" w:rsidRDefault="00B215B2">
      <w:pPr>
        <w:rPr>
          <w:szCs w:val="22"/>
        </w:rPr>
      </w:pPr>
      <w:r>
        <w:rPr>
          <w:b/>
          <w:szCs w:val="22"/>
        </w:rPr>
        <w:t xml:space="preserve">Proposed conversion factor: </w:t>
      </w:r>
      <w:r>
        <w:rPr>
          <w:szCs w:val="22"/>
        </w:rPr>
        <w:t>0.8 kg</w:t>
      </w:r>
    </w:p>
    <w:p w:rsidR="001A78F2" w:rsidRDefault="00B215B2">
      <w:pPr>
        <w:rPr>
          <w:szCs w:val="22"/>
        </w:rPr>
      </w:pPr>
      <w:r>
        <w:rPr>
          <w:b/>
          <w:szCs w:val="22"/>
        </w:rPr>
        <w:t>Proposed confidence interval</w:t>
      </w:r>
      <w:r w:rsidRPr="00B02F83">
        <w:rPr>
          <w:szCs w:val="22"/>
        </w:rPr>
        <w:t xml:space="preserve">: </w:t>
      </w:r>
      <w:r>
        <w:rPr>
          <w:szCs w:val="22"/>
        </w:rPr>
        <w:t xml:space="preserve"> </w:t>
      </w:r>
      <w:r w:rsidRPr="00697C45">
        <w:rPr>
          <w:szCs w:val="22"/>
        </w:rPr>
        <w:t>±0.3</w:t>
      </w:r>
      <w:r w:rsidRPr="00B215B2">
        <w:rPr>
          <w:szCs w:val="22"/>
        </w:rPr>
        <w:t xml:space="preserve"> kg</w:t>
      </w:r>
    </w:p>
    <w:p w:rsidR="001A78F2" w:rsidRDefault="00C62346">
      <w:pPr>
        <w:rPr>
          <w:szCs w:val="22"/>
        </w:rPr>
      </w:pPr>
      <w:r>
        <w:rPr>
          <w:b/>
          <w:szCs w:val="22"/>
        </w:rPr>
        <w:t xml:space="preserve">Variation over time: </w:t>
      </w:r>
      <w:r w:rsidR="00B215B2">
        <w:rPr>
          <w:szCs w:val="22"/>
        </w:rPr>
        <w:t>None</w:t>
      </w:r>
    </w:p>
    <w:p w:rsidR="001A78F2" w:rsidRDefault="001A78F2">
      <w:pPr>
        <w:rPr>
          <w:szCs w:val="22"/>
        </w:rPr>
      </w:pPr>
    </w:p>
    <w:p w:rsidR="00B215B2" w:rsidRDefault="00B215B2" w:rsidP="000941E0">
      <w:pPr>
        <w:jc w:val="both"/>
        <w:rPr>
          <w:szCs w:val="22"/>
        </w:rPr>
      </w:pPr>
    </w:p>
    <w:p w:rsidR="00CF75DE" w:rsidRDefault="00CF75DE">
      <w:pPr>
        <w:rPr>
          <w:rFonts w:ascii="Arial" w:hAnsi="Arial" w:cs="Arial"/>
          <w:b/>
          <w:bCs/>
          <w:color w:val="000000"/>
          <w:szCs w:val="22"/>
          <w:lang w:eastAsia="en-AU"/>
        </w:rPr>
      </w:pPr>
    </w:p>
    <w:p w:rsidR="00697C45" w:rsidRDefault="00CF75DE" w:rsidP="000941E0">
      <w:pPr>
        <w:jc w:val="both"/>
        <w:rPr>
          <w:rFonts w:ascii="Arial" w:hAnsi="Arial" w:cs="Arial"/>
          <w:b/>
          <w:bCs/>
          <w:color w:val="000000"/>
          <w:szCs w:val="22"/>
          <w:lang w:eastAsia="en-AU"/>
        </w:rPr>
      </w:pPr>
      <w:r w:rsidRPr="00697C45">
        <w:rPr>
          <w:rFonts w:ascii="Arial" w:hAnsi="Arial" w:cs="Arial"/>
          <w:b/>
          <w:bCs/>
          <w:color w:val="000000"/>
          <w:szCs w:val="22"/>
          <w:lang w:eastAsia="en-AU"/>
        </w:rPr>
        <w:t xml:space="preserve">SC07 8473.30.00 70 </w:t>
      </w:r>
      <w:r>
        <w:rPr>
          <w:rFonts w:ascii="Arial" w:hAnsi="Arial" w:cs="Arial"/>
          <w:b/>
          <w:bCs/>
          <w:color w:val="000000"/>
          <w:szCs w:val="22"/>
          <w:lang w:eastAsia="en-AU"/>
        </w:rPr>
        <w:t>–</w:t>
      </w:r>
      <w:r w:rsidRPr="00697C45">
        <w:rPr>
          <w:rFonts w:ascii="Arial" w:hAnsi="Arial" w:cs="Arial"/>
          <w:b/>
          <w:bCs/>
          <w:color w:val="000000"/>
          <w:szCs w:val="22"/>
          <w:lang w:eastAsia="en-AU"/>
        </w:rPr>
        <w:t xml:space="preserve"> Other</w:t>
      </w:r>
    </w:p>
    <w:p w:rsidR="00CF75DE" w:rsidRDefault="00CF75DE" w:rsidP="000941E0">
      <w:pPr>
        <w:jc w:val="both"/>
        <w:rPr>
          <w:rFonts w:ascii="Arial" w:hAnsi="Arial" w:cs="Arial"/>
          <w:b/>
          <w:bCs/>
          <w:color w:val="000000"/>
          <w:szCs w:val="22"/>
          <w:lang w:eastAsia="en-AU"/>
        </w:rPr>
      </w:pPr>
    </w:p>
    <w:p w:rsidR="00BC4FED" w:rsidRDefault="009F14B1" w:rsidP="00BC4FED">
      <w:pPr>
        <w:pStyle w:val="Caption"/>
        <w:keepNext/>
      </w:pPr>
      <w:r>
        <w:t>Figure 5-36</w:t>
      </w:r>
      <w:r w:rsidR="002652C5">
        <w:t xml:space="preserve">  </w:t>
      </w:r>
      <w:r w:rsidR="00AC1355">
        <w:t>HTISC frequency distribution in CF year</w:t>
      </w:r>
    </w:p>
    <w:p w:rsidR="006B5387" w:rsidRDefault="006B5387" w:rsidP="006B5387">
      <w:pPr>
        <w:rPr>
          <w:lang w:val="en-GB"/>
        </w:rPr>
      </w:pPr>
      <w:r w:rsidRPr="006B5387">
        <w:rPr>
          <w:noProof/>
          <w:lang w:eastAsia="en-AU"/>
        </w:rPr>
        <w:drawing>
          <wp:inline distT="0" distB="0" distL="0" distR="0">
            <wp:extent cx="4889500" cy="2984500"/>
            <wp:effectExtent l="19050" t="0" r="25400" b="6350"/>
            <wp:docPr id="100"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6B5387" w:rsidRDefault="006B5387" w:rsidP="006B5387">
      <w:pPr>
        <w:rPr>
          <w:lang w:val="en-GB"/>
        </w:rPr>
      </w:pPr>
    </w:p>
    <w:p w:rsidR="00CF75DE" w:rsidRDefault="00CF75DE" w:rsidP="000941E0">
      <w:pPr>
        <w:jc w:val="both"/>
        <w:rPr>
          <w:rFonts w:ascii="Arial" w:hAnsi="Arial" w:cs="Arial"/>
          <w:b/>
          <w:bCs/>
          <w:color w:val="000000"/>
          <w:szCs w:val="22"/>
          <w:lang w:eastAsia="en-AU"/>
        </w:rPr>
      </w:pPr>
    </w:p>
    <w:p w:rsidR="00CF75DE" w:rsidRDefault="00CF75DE" w:rsidP="000941E0">
      <w:pPr>
        <w:jc w:val="both"/>
        <w:rPr>
          <w:rFonts w:ascii="Arial" w:hAnsi="Arial" w:cs="Arial"/>
          <w:b/>
          <w:bCs/>
          <w:color w:val="000000"/>
          <w:szCs w:val="22"/>
          <w:lang w:eastAsia="en-AU"/>
        </w:rPr>
      </w:pPr>
    </w:p>
    <w:p w:rsidR="00CF75DE" w:rsidRDefault="00CF75DE" w:rsidP="000941E0">
      <w:pPr>
        <w:jc w:val="both"/>
        <w:rPr>
          <w:szCs w:val="22"/>
        </w:rPr>
      </w:pPr>
    </w:p>
    <w:p w:rsidR="00697C45" w:rsidRPr="00D73340" w:rsidRDefault="00207129" w:rsidP="00D73340">
      <w:pPr>
        <w:pStyle w:val="Caption"/>
      </w:pPr>
      <w:r>
        <w:t xml:space="preserve">Table 5-27 </w:t>
      </w:r>
      <w:r w:rsidR="00D73340">
        <w:t>Conversion factor statistics</w:t>
      </w:r>
    </w:p>
    <w:tbl>
      <w:tblPr>
        <w:tblW w:w="7260" w:type="dxa"/>
        <w:tblInd w:w="93" w:type="dxa"/>
        <w:tblLook w:val="04A0"/>
      </w:tblPr>
      <w:tblGrid>
        <w:gridCol w:w="1660"/>
        <w:gridCol w:w="1120"/>
        <w:gridCol w:w="1120"/>
        <w:gridCol w:w="1120"/>
        <w:gridCol w:w="1120"/>
        <w:gridCol w:w="1120"/>
      </w:tblGrid>
      <w:tr w:rsidR="00697C45" w:rsidRPr="00697C45">
        <w:trPr>
          <w:trHeight w:val="450"/>
        </w:trPr>
        <w:tc>
          <w:tcPr>
            <w:tcW w:w="1660" w:type="dxa"/>
            <w:tcBorders>
              <w:top w:val="single" w:sz="4" w:space="0" w:color="auto"/>
              <w:left w:val="single" w:sz="4" w:space="0" w:color="auto"/>
              <w:bottom w:val="single" w:sz="4" w:space="0" w:color="auto"/>
              <w:right w:val="single" w:sz="4" w:space="0" w:color="auto"/>
            </w:tcBorders>
            <w:shd w:val="clear" w:color="000000" w:fill="D8D8D8"/>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CF year</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No. of ABS imports</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 ABS imports included</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Min weight</w:t>
            </w:r>
            <w:r w:rsidRPr="00697C45">
              <w:rPr>
                <w:rFonts w:ascii="Calibri" w:hAnsi="Calibri" w:cs="Calibri"/>
                <w:color w:val="000000"/>
                <w:sz w:val="16"/>
                <w:szCs w:val="16"/>
                <w:lang w:eastAsia="en-AU"/>
              </w:rPr>
              <w:br/>
              <w:t>(kg)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Max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Standard deviation</w:t>
            </w:r>
          </w:p>
        </w:tc>
      </w:tr>
      <w:tr w:rsidR="00697C45" w:rsidRPr="00697C45">
        <w:trPr>
          <w:trHeight w:val="225"/>
        </w:trPr>
        <w:tc>
          <w:tcPr>
            <w:tcW w:w="1660" w:type="dxa"/>
            <w:tcBorders>
              <w:top w:val="nil"/>
              <w:left w:val="single" w:sz="4" w:space="0" w:color="auto"/>
              <w:bottom w:val="single" w:sz="4" w:space="0" w:color="auto"/>
              <w:right w:val="single" w:sz="4" w:space="0" w:color="auto"/>
            </w:tcBorders>
            <w:shd w:val="clear" w:color="auto" w:fill="auto"/>
            <w:noWrap/>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2010-11</w:t>
            </w:r>
          </w:p>
        </w:tc>
        <w:tc>
          <w:tcPr>
            <w:tcW w:w="1120" w:type="dxa"/>
            <w:tcBorders>
              <w:top w:val="nil"/>
              <w:left w:val="nil"/>
              <w:bottom w:val="single" w:sz="4" w:space="0" w:color="auto"/>
              <w:right w:val="single" w:sz="4" w:space="0" w:color="auto"/>
            </w:tcBorders>
            <w:shd w:val="clear" w:color="auto" w:fill="auto"/>
            <w:noWrap/>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6,952,663</w:t>
            </w:r>
          </w:p>
        </w:tc>
        <w:tc>
          <w:tcPr>
            <w:tcW w:w="1120" w:type="dxa"/>
            <w:tcBorders>
              <w:top w:val="nil"/>
              <w:left w:val="nil"/>
              <w:bottom w:val="single" w:sz="4" w:space="0" w:color="auto"/>
              <w:right w:val="single" w:sz="4" w:space="0" w:color="auto"/>
            </w:tcBorders>
            <w:shd w:val="clear" w:color="auto" w:fill="auto"/>
            <w:noWrap/>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5%</w:t>
            </w:r>
          </w:p>
        </w:tc>
        <w:tc>
          <w:tcPr>
            <w:tcW w:w="1120" w:type="dxa"/>
            <w:tcBorders>
              <w:top w:val="nil"/>
              <w:left w:val="nil"/>
              <w:bottom w:val="single" w:sz="4" w:space="0" w:color="auto"/>
              <w:right w:val="single" w:sz="4" w:space="0" w:color="auto"/>
            </w:tcBorders>
            <w:shd w:val="clear" w:color="auto" w:fill="auto"/>
            <w:noWrap/>
            <w:vAlign w:val="center"/>
          </w:tcPr>
          <w:p w:rsidR="00697C45" w:rsidRPr="00697C45" w:rsidRDefault="00697C45" w:rsidP="00CF75DE">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0.0</w:t>
            </w:r>
            <w:r w:rsidR="00CF75DE">
              <w:rPr>
                <w:rFonts w:ascii="Calibri" w:hAnsi="Calibri" w:cs="Calibri"/>
                <w:color w:val="000000"/>
                <w:sz w:val="16"/>
                <w:szCs w:val="16"/>
                <w:lang w:eastAsia="en-AU"/>
              </w:rPr>
              <w:t>1</w:t>
            </w:r>
          </w:p>
        </w:tc>
        <w:tc>
          <w:tcPr>
            <w:tcW w:w="1120" w:type="dxa"/>
            <w:tcBorders>
              <w:top w:val="nil"/>
              <w:left w:val="nil"/>
              <w:bottom w:val="single" w:sz="4" w:space="0" w:color="auto"/>
              <w:right w:val="single" w:sz="4" w:space="0" w:color="auto"/>
            </w:tcBorders>
            <w:shd w:val="clear" w:color="auto" w:fill="auto"/>
            <w:noWrap/>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224.5</w:t>
            </w:r>
          </w:p>
        </w:tc>
        <w:tc>
          <w:tcPr>
            <w:tcW w:w="1120" w:type="dxa"/>
            <w:tcBorders>
              <w:top w:val="nil"/>
              <w:left w:val="nil"/>
              <w:bottom w:val="single" w:sz="4" w:space="0" w:color="auto"/>
              <w:right w:val="single" w:sz="4" w:space="0" w:color="auto"/>
            </w:tcBorders>
            <w:shd w:val="clear" w:color="auto" w:fill="auto"/>
            <w:noWrap/>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0.0</w:t>
            </w:r>
            <w:r w:rsidR="00CF75DE">
              <w:rPr>
                <w:rFonts w:ascii="Calibri" w:hAnsi="Calibri" w:cs="Calibri"/>
                <w:color w:val="000000"/>
                <w:sz w:val="16"/>
                <w:szCs w:val="16"/>
                <w:lang w:eastAsia="en-AU"/>
              </w:rPr>
              <w:t>2</w:t>
            </w:r>
          </w:p>
        </w:tc>
      </w:tr>
      <w:tr w:rsidR="00697C45" w:rsidRPr="00697C45">
        <w:trPr>
          <w:trHeight w:val="225"/>
        </w:trPr>
        <w:tc>
          <w:tcPr>
            <w:tcW w:w="166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r>
      <w:tr w:rsidR="00697C45" w:rsidRPr="00697C45">
        <w:trPr>
          <w:trHeight w:val="450"/>
        </w:trPr>
        <w:tc>
          <w:tcPr>
            <w:tcW w:w="1660" w:type="dxa"/>
            <w:tcBorders>
              <w:top w:val="single" w:sz="4" w:space="0" w:color="auto"/>
              <w:left w:val="single" w:sz="4" w:space="0" w:color="auto"/>
              <w:bottom w:val="nil"/>
              <w:right w:val="single" w:sz="4" w:space="0" w:color="auto"/>
            </w:tcBorders>
            <w:shd w:val="clear" w:color="000000" w:fill="D8D8D8"/>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Method</w:t>
            </w:r>
          </w:p>
        </w:tc>
        <w:tc>
          <w:tcPr>
            <w:tcW w:w="1120" w:type="dxa"/>
            <w:tcBorders>
              <w:top w:val="single" w:sz="4" w:space="0" w:color="auto"/>
              <w:left w:val="nil"/>
              <w:bottom w:val="nil"/>
              <w:right w:val="single" w:sz="4" w:space="0" w:color="auto"/>
            </w:tcBorders>
            <w:shd w:val="clear" w:color="000000" w:fill="D8D8D8"/>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Measure of average</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Average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Lower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Upper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Confidence interval ± (kg)</w:t>
            </w:r>
          </w:p>
        </w:tc>
      </w:tr>
      <w:tr w:rsidR="00697C45" w:rsidRPr="00697C45">
        <w:trPr>
          <w:trHeight w:val="48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Approximation to the normal distribution</w:t>
            </w:r>
          </w:p>
        </w:tc>
        <w:tc>
          <w:tcPr>
            <w:tcW w:w="1120" w:type="dxa"/>
            <w:tcBorders>
              <w:top w:val="single" w:sz="4" w:space="0" w:color="auto"/>
              <w:left w:val="nil"/>
              <w:bottom w:val="single" w:sz="4" w:space="0" w:color="auto"/>
              <w:right w:val="single" w:sz="4" w:space="0" w:color="auto"/>
            </w:tcBorders>
            <w:shd w:val="clear" w:color="auto" w:fill="auto"/>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Mean</w:t>
            </w:r>
          </w:p>
        </w:tc>
        <w:tc>
          <w:tcPr>
            <w:tcW w:w="1120" w:type="dxa"/>
            <w:tcBorders>
              <w:top w:val="nil"/>
              <w:left w:val="nil"/>
              <w:bottom w:val="single" w:sz="4" w:space="0" w:color="auto"/>
              <w:right w:val="single" w:sz="4" w:space="0" w:color="auto"/>
            </w:tcBorders>
            <w:shd w:val="clear" w:color="auto" w:fill="auto"/>
            <w:noWrap/>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1.0</w:t>
            </w:r>
          </w:p>
        </w:tc>
        <w:tc>
          <w:tcPr>
            <w:tcW w:w="1120" w:type="dxa"/>
            <w:tcBorders>
              <w:top w:val="nil"/>
              <w:left w:val="nil"/>
              <w:bottom w:val="single" w:sz="4" w:space="0" w:color="auto"/>
              <w:right w:val="single" w:sz="4" w:space="0" w:color="auto"/>
            </w:tcBorders>
            <w:shd w:val="clear" w:color="auto" w:fill="auto"/>
            <w:noWrap/>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0.9</w:t>
            </w:r>
          </w:p>
        </w:tc>
        <w:tc>
          <w:tcPr>
            <w:tcW w:w="1120" w:type="dxa"/>
            <w:tcBorders>
              <w:top w:val="nil"/>
              <w:left w:val="nil"/>
              <w:bottom w:val="single" w:sz="4" w:space="0" w:color="auto"/>
              <w:right w:val="single" w:sz="4" w:space="0" w:color="auto"/>
            </w:tcBorders>
            <w:shd w:val="clear" w:color="auto" w:fill="auto"/>
            <w:noWrap/>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1.0</w:t>
            </w:r>
          </w:p>
        </w:tc>
        <w:tc>
          <w:tcPr>
            <w:tcW w:w="1120" w:type="dxa"/>
            <w:tcBorders>
              <w:top w:val="nil"/>
              <w:left w:val="nil"/>
              <w:bottom w:val="single" w:sz="4" w:space="0" w:color="auto"/>
              <w:right w:val="single" w:sz="4" w:space="0" w:color="auto"/>
            </w:tcBorders>
            <w:shd w:val="clear" w:color="auto" w:fill="auto"/>
            <w:noWrap/>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0.0</w:t>
            </w:r>
            <w:r w:rsidR="00B215B2">
              <w:rPr>
                <w:rFonts w:ascii="Calibri" w:hAnsi="Calibri" w:cs="Calibri"/>
                <w:color w:val="000000"/>
                <w:sz w:val="16"/>
                <w:szCs w:val="16"/>
                <w:lang w:eastAsia="en-AU"/>
              </w:rPr>
              <w:t>1</w:t>
            </w:r>
          </w:p>
        </w:tc>
      </w:tr>
      <w:tr w:rsidR="00697C45" w:rsidRPr="00697C45">
        <w:trPr>
          <w:trHeight w:val="480"/>
        </w:trPr>
        <w:tc>
          <w:tcPr>
            <w:tcW w:w="1660" w:type="dxa"/>
            <w:tcBorders>
              <w:top w:val="nil"/>
              <w:left w:val="single" w:sz="4" w:space="0" w:color="auto"/>
              <w:bottom w:val="single" w:sz="4" w:space="0" w:color="auto"/>
              <w:right w:val="single" w:sz="4" w:space="0" w:color="auto"/>
            </w:tcBorders>
            <w:shd w:val="clear" w:color="auto" w:fill="auto"/>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Use of percentiles</w:t>
            </w:r>
          </w:p>
        </w:tc>
        <w:tc>
          <w:tcPr>
            <w:tcW w:w="1120" w:type="dxa"/>
            <w:tcBorders>
              <w:top w:val="nil"/>
              <w:left w:val="nil"/>
              <w:bottom w:val="single" w:sz="4" w:space="0" w:color="auto"/>
              <w:right w:val="single" w:sz="4" w:space="0" w:color="auto"/>
            </w:tcBorders>
            <w:shd w:val="clear" w:color="auto" w:fill="auto"/>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Median</w:t>
            </w:r>
          </w:p>
        </w:tc>
        <w:tc>
          <w:tcPr>
            <w:tcW w:w="1120" w:type="dxa"/>
            <w:tcBorders>
              <w:top w:val="nil"/>
              <w:left w:val="nil"/>
              <w:bottom w:val="single" w:sz="4" w:space="0" w:color="auto"/>
              <w:right w:val="single" w:sz="4" w:space="0" w:color="auto"/>
            </w:tcBorders>
            <w:shd w:val="clear" w:color="auto" w:fill="auto"/>
            <w:noWrap/>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14.5</w:t>
            </w:r>
          </w:p>
        </w:tc>
        <w:tc>
          <w:tcPr>
            <w:tcW w:w="1120" w:type="dxa"/>
            <w:tcBorders>
              <w:top w:val="nil"/>
              <w:left w:val="nil"/>
              <w:bottom w:val="single" w:sz="4" w:space="0" w:color="auto"/>
              <w:right w:val="single" w:sz="4" w:space="0" w:color="auto"/>
            </w:tcBorders>
            <w:shd w:val="clear" w:color="auto" w:fill="auto"/>
            <w:noWrap/>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0.2</w:t>
            </w:r>
          </w:p>
        </w:tc>
        <w:tc>
          <w:tcPr>
            <w:tcW w:w="1120" w:type="dxa"/>
            <w:tcBorders>
              <w:top w:val="nil"/>
              <w:left w:val="nil"/>
              <w:bottom w:val="single" w:sz="4" w:space="0" w:color="auto"/>
              <w:right w:val="single" w:sz="4" w:space="0" w:color="auto"/>
            </w:tcBorders>
            <w:shd w:val="clear" w:color="auto" w:fill="auto"/>
            <w:noWrap/>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54.9</w:t>
            </w:r>
          </w:p>
        </w:tc>
        <w:tc>
          <w:tcPr>
            <w:tcW w:w="1120" w:type="dxa"/>
            <w:tcBorders>
              <w:top w:val="nil"/>
              <w:left w:val="nil"/>
              <w:bottom w:val="single" w:sz="4" w:space="0" w:color="auto"/>
              <w:right w:val="single" w:sz="4" w:space="0" w:color="auto"/>
            </w:tcBorders>
            <w:shd w:val="clear" w:color="auto" w:fill="auto"/>
            <w:noWrap/>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40.4</w:t>
            </w:r>
          </w:p>
        </w:tc>
      </w:tr>
      <w:tr w:rsidR="00697C45" w:rsidRPr="00697C45">
        <w:trPr>
          <w:trHeight w:val="225"/>
        </w:trPr>
        <w:tc>
          <w:tcPr>
            <w:tcW w:w="166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r>
      <w:tr w:rsidR="00697C45" w:rsidRPr="00697C45">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tcPr>
          <w:p w:rsidR="00697C45" w:rsidRPr="00697C45" w:rsidRDefault="00697C45" w:rsidP="00697C45">
            <w:pPr>
              <w:rPr>
                <w:rFonts w:ascii="Calibri" w:hAnsi="Calibri" w:cs="Calibri"/>
                <w:color w:val="000000"/>
                <w:sz w:val="16"/>
                <w:szCs w:val="16"/>
                <w:lang w:eastAsia="en-AU"/>
              </w:rPr>
            </w:pPr>
            <w:r w:rsidRPr="00697C45">
              <w:rPr>
                <w:rFonts w:ascii="Calibri" w:hAnsi="Calibri" w:cs="Calibri"/>
                <w:color w:val="000000"/>
                <w:sz w:val="16"/>
                <w:szCs w:val="16"/>
                <w:lang w:eastAsia="en-AU"/>
              </w:rPr>
              <w:t>Year</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2010-11</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2009-10</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2008-09</w:t>
            </w:r>
          </w:p>
        </w:tc>
      </w:tr>
      <w:tr w:rsidR="00210364" w:rsidRPr="00697C45">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10364" w:rsidRPr="00697C45" w:rsidRDefault="00210364" w:rsidP="00697C45">
            <w:pPr>
              <w:rPr>
                <w:rFonts w:ascii="Calibri" w:hAnsi="Calibri" w:cs="Calibri"/>
                <w:color w:val="000000"/>
                <w:sz w:val="16"/>
                <w:szCs w:val="16"/>
                <w:lang w:eastAsia="en-AU"/>
              </w:rPr>
            </w:pPr>
            <w:r w:rsidRPr="00CB6A7D">
              <w:rPr>
                <w:rFonts w:ascii="Calibri" w:hAnsi="Calibri" w:cs="Calibri"/>
                <w:color w:val="000000"/>
                <w:sz w:val="16"/>
                <w:szCs w:val="16"/>
                <w:lang w:eastAsia="en-AU"/>
              </w:rPr>
              <w:t>Percentage by which the conversion factor over or under estimates the weight of imports</w:t>
            </w:r>
          </w:p>
        </w:tc>
        <w:tc>
          <w:tcPr>
            <w:tcW w:w="1120" w:type="dxa"/>
            <w:tcBorders>
              <w:top w:val="nil"/>
              <w:left w:val="nil"/>
              <w:bottom w:val="single" w:sz="4" w:space="0" w:color="auto"/>
              <w:right w:val="single" w:sz="4" w:space="0" w:color="auto"/>
            </w:tcBorders>
            <w:shd w:val="clear" w:color="auto" w:fill="auto"/>
            <w:noWrap/>
            <w:vAlign w:val="center"/>
          </w:tcPr>
          <w:p w:rsidR="00210364" w:rsidRDefault="00210364">
            <w:pPr>
              <w:jc w:val="center"/>
              <w:rPr>
                <w:rFonts w:ascii="Calibri" w:hAnsi="Calibri" w:cs="Calibri"/>
                <w:color w:val="000000"/>
                <w:sz w:val="16"/>
                <w:szCs w:val="16"/>
              </w:rPr>
            </w:pPr>
            <w:r>
              <w:rPr>
                <w:rFonts w:ascii="Calibri" w:hAnsi="Calibri" w:cs="Calibri"/>
                <w:color w:val="000000"/>
                <w:sz w:val="16"/>
                <w:szCs w:val="16"/>
              </w:rPr>
              <w:t>0%</w:t>
            </w:r>
          </w:p>
        </w:tc>
        <w:tc>
          <w:tcPr>
            <w:tcW w:w="1120" w:type="dxa"/>
            <w:tcBorders>
              <w:top w:val="nil"/>
              <w:left w:val="nil"/>
              <w:bottom w:val="single" w:sz="4" w:space="0" w:color="auto"/>
              <w:right w:val="single" w:sz="4" w:space="0" w:color="auto"/>
            </w:tcBorders>
            <w:shd w:val="clear" w:color="auto" w:fill="auto"/>
            <w:noWrap/>
            <w:vAlign w:val="center"/>
          </w:tcPr>
          <w:p w:rsidR="00210364" w:rsidRDefault="00210364">
            <w:pPr>
              <w:jc w:val="center"/>
              <w:rPr>
                <w:rFonts w:ascii="Calibri" w:hAnsi="Calibri" w:cs="Calibri"/>
                <w:color w:val="000000"/>
                <w:sz w:val="16"/>
                <w:szCs w:val="16"/>
              </w:rPr>
            </w:pPr>
            <w:r>
              <w:rPr>
                <w:rFonts w:ascii="Calibri" w:hAnsi="Calibri" w:cs="Calibri"/>
                <w:color w:val="000000"/>
                <w:sz w:val="16"/>
                <w:szCs w:val="16"/>
              </w:rPr>
              <w:t>292%</w:t>
            </w:r>
          </w:p>
        </w:tc>
        <w:tc>
          <w:tcPr>
            <w:tcW w:w="1120" w:type="dxa"/>
            <w:tcBorders>
              <w:top w:val="nil"/>
              <w:left w:val="nil"/>
              <w:bottom w:val="single" w:sz="4" w:space="0" w:color="auto"/>
              <w:right w:val="single" w:sz="4" w:space="0" w:color="auto"/>
            </w:tcBorders>
            <w:shd w:val="clear" w:color="auto" w:fill="auto"/>
            <w:noWrap/>
            <w:vAlign w:val="center"/>
          </w:tcPr>
          <w:p w:rsidR="00210364" w:rsidRDefault="00210364">
            <w:pPr>
              <w:jc w:val="center"/>
              <w:rPr>
                <w:rFonts w:ascii="Calibri" w:hAnsi="Calibri" w:cs="Calibri"/>
                <w:color w:val="000000"/>
                <w:sz w:val="16"/>
                <w:szCs w:val="16"/>
              </w:rPr>
            </w:pPr>
            <w:r>
              <w:rPr>
                <w:rFonts w:ascii="Calibri" w:hAnsi="Calibri" w:cs="Calibri"/>
                <w:color w:val="000000"/>
                <w:sz w:val="16"/>
                <w:szCs w:val="16"/>
              </w:rPr>
              <w:t>279%</w:t>
            </w:r>
          </w:p>
        </w:tc>
      </w:tr>
    </w:tbl>
    <w:p w:rsidR="001A78F2" w:rsidRDefault="001A78F2">
      <w:pPr>
        <w:rPr>
          <w:szCs w:val="22"/>
        </w:rPr>
      </w:pPr>
    </w:p>
    <w:p w:rsidR="001A78F2" w:rsidRDefault="00B215B2">
      <w:pPr>
        <w:rPr>
          <w:szCs w:val="22"/>
        </w:rPr>
      </w:pPr>
      <w:r w:rsidRPr="005A3097">
        <w:rPr>
          <w:b/>
          <w:szCs w:val="22"/>
        </w:rPr>
        <w:t>Distribution:</w:t>
      </w:r>
      <w:r>
        <w:rPr>
          <w:b/>
          <w:szCs w:val="22"/>
        </w:rPr>
        <w:t xml:space="preserve"> </w:t>
      </w:r>
      <w:r>
        <w:rPr>
          <w:szCs w:val="22"/>
        </w:rPr>
        <w:t>The majority</w:t>
      </w:r>
      <w:r w:rsidR="00014B83">
        <w:rPr>
          <w:szCs w:val="22"/>
        </w:rPr>
        <w:t xml:space="preserve"> of imports are between 0-</w:t>
      </w:r>
      <w:r w:rsidR="00CF75DE">
        <w:rPr>
          <w:szCs w:val="22"/>
        </w:rPr>
        <w:t>3</w:t>
      </w:r>
      <w:r w:rsidR="00014B83">
        <w:rPr>
          <w:szCs w:val="22"/>
        </w:rPr>
        <w:t xml:space="preserve"> kg</w:t>
      </w:r>
      <w:r w:rsidR="00CF75DE">
        <w:rPr>
          <w:szCs w:val="22"/>
        </w:rPr>
        <w:t>.</w:t>
      </w:r>
      <w:r w:rsidR="00E55318">
        <w:rPr>
          <w:szCs w:val="22"/>
        </w:rPr>
        <w:t xml:space="preserve"> </w:t>
      </w:r>
    </w:p>
    <w:p w:rsidR="001A78F2" w:rsidRDefault="00B215B2">
      <w:pPr>
        <w:rPr>
          <w:szCs w:val="22"/>
        </w:rPr>
      </w:pPr>
      <w:r>
        <w:rPr>
          <w:b/>
          <w:szCs w:val="22"/>
        </w:rPr>
        <w:t xml:space="preserve">Proposed conversion factor: </w:t>
      </w:r>
      <w:r>
        <w:rPr>
          <w:szCs w:val="22"/>
        </w:rPr>
        <w:t>1</w:t>
      </w:r>
      <w:r w:rsidR="00FF2C49">
        <w:rPr>
          <w:szCs w:val="22"/>
        </w:rPr>
        <w:t>.0</w:t>
      </w:r>
      <w:r>
        <w:rPr>
          <w:szCs w:val="22"/>
        </w:rPr>
        <w:t xml:space="preserve"> kg</w:t>
      </w:r>
    </w:p>
    <w:p w:rsidR="001A78F2" w:rsidRDefault="00B215B2">
      <w:pPr>
        <w:rPr>
          <w:szCs w:val="22"/>
        </w:rPr>
      </w:pPr>
      <w:r>
        <w:rPr>
          <w:b/>
          <w:szCs w:val="22"/>
        </w:rPr>
        <w:t>Proposed confidence interval</w:t>
      </w:r>
      <w:r w:rsidRPr="00B02F83">
        <w:rPr>
          <w:szCs w:val="22"/>
        </w:rPr>
        <w:t xml:space="preserve">: </w:t>
      </w:r>
      <w:r>
        <w:rPr>
          <w:szCs w:val="22"/>
        </w:rPr>
        <w:t xml:space="preserve"> </w:t>
      </w:r>
      <w:r w:rsidR="00014B83">
        <w:rPr>
          <w:szCs w:val="22"/>
        </w:rPr>
        <w:t xml:space="preserve">&gt; 0.2 kg, </w:t>
      </w:r>
      <w:r w:rsidR="00CF23D0">
        <w:rPr>
          <w:szCs w:val="22"/>
        </w:rPr>
        <w:t>&lt;</w:t>
      </w:r>
      <w:r w:rsidR="00014B83">
        <w:rPr>
          <w:szCs w:val="22"/>
        </w:rPr>
        <w:t>54.9 kg</w:t>
      </w:r>
    </w:p>
    <w:p w:rsidR="001A78F2" w:rsidRDefault="00C62346">
      <w:pPr>
        <w:rPr>
          <w:szCs w:val="22"/>
        </w:rPr>
      </w:pPr>
      <w:r>
        <w:rPr>
          <w:b/>
          <w:szCs w:val="22"/>
        </w:rPr>
        <w:t xml:space="preserve">Variation over time: </w:t>
      </w:r>
      <w:r w:rsidR="00B215B2">
        <w:rPr>
          <w:szCs w:val="22"/>
        </w:rPr>
        <w:t>High</w:t>
      </w:r>
    </w:p>
    <w:p w:rsidR="001A78F2" w:rsidRDefault="001A78F2">
      <w:pPr>
        <w:rPr>
          <w:szCs w:val="22"/>
        </w:rPr>
      </w:pPr>
    </w:p>
    <w:p w:rsidR="001A78F2" w:rsidRDefault="001A78F2">
      <w:pPr>
        <w:rPr>
          <w:szCs w:val="22"/>
        </w:rPr>
      </w:pPr>
    </w:p>
    <w:p w:rsidR="001A78F2" w:rsidRDefault="001A78F2">
      <w:pPr>
        <w:rPr>
          <w:szCs w:val="22"/>
        </w:rPr>
      </w:pPr>
    </w:p>
    <w:p w:rsidR="001A78F2" w:rsidRDefault="001A78F2">
      <w:pPr>
        <w:rPr>
          <w:szCs w:val="22"/>
        </w:rPr>
      </w:pPr>
    </w:p>
    <w:p w:rsidR="00C57527" w:rsidRDefault="00C57527" w:rsidP="000941E0">
      <w:pPr>
        <w:jc w:val="both"/>
        <w:rPr>
          <w:szCs w:val="22"/>
        </w:rPr>
      </w:pPr>
    </w:p>
    <w:p w:rsidR="00C57527" w:rsidRDefault="00C57527" w:rsidP="000941E0">
      <w:pPr>
        <w:jc w:val="both"/>
        <w:rPr>
          <w:szCs w:val="22"/>
        </w:rPr>
      </w:pPr>
    </w:p>
    <w:p w:rsidR="00C57527" w:rsidRDefault="00C57527" w:rsidP="000941E0">
      <w:pPr>
        <w:jc w:val="both"/>
        <w:rPr>
          <w:szCs w:val="22"/>
        </w:rPr>
      </w:pPr>
    </w:p>
    <w:p w:rsidR="00C57527" w:rsidRDefault="00C57527" w:rsidP="000941E0">
      <w:pPr>
        <w:jc w:val="both"/>
        <w:rPr>
          <w:szCs w:val="22"/>
        </w:rPr>
      </w:pPr>
    </w:p>
    <w:p w:rsidR="00697C45" w:rsidRDefault="00697C45" w:rsidP="000941E0">
      <w:pPr>
        <w:jc w:val="both"/>
        <w:rPr>
          <w:szCs w:val="22"/>
        </w:rPr>
      </w:pPr>
    </w:p>
    <w:p w:rsidR="00697C45" w:rsidRDefault="00697C45" w:rsidP="000941E0">
      <w:pPr>
        <w:jc w:val="both"/>
        <w:rPr>
          <w:szCs w:val="22"/>
        </w:rPr>
      </w:pPr>
    </w:p>
    <w:p w:rsidR="00CF75DE" w:rsidRDefault="00CF75DE" w:rsidP="000941E0">
      <w:pPr>
        <w:jc w:val="both"/>
        <w:rPr>
          <w:rFonts w:ascii="Arial" w:hAnsi="Arial" w:cs="Arial"/>
          <w:b/>
          <w:bCs/>
          <w:color w:val="000000"/>
          <w:szCs w:val="22"/>
          <w:lang w:eastAsia="en-AU"/>
        </w:rPr>
      </w:pPr>
      <w:r>
        <w:rPr>
          <w:rFonts w:ascii="Arial" w:hAnsi="Arial" w:cs="Arial"/>
          <w:b/>
          <w:bCs/>
          <w:color w:val="000000"/>
          <w:szCs w:val="22"/>
          <w:lang w:eastAsia="en-AU"/>
        </w:rPr>
        <w:t>SC07 8473.30.00 85 – A</w:t>
      </w:r>
      <w:r w:rsidRPr="00697C45">
        <w:rPr>
          <w:rFonts w:ascii="Arial" w:hAnsi="Arial" w:cs="Arial"/>
          <w:b/>
          <w:bCs/>
          <w:color w:val="000000"/>
          <w:szCs w:val="22"/>
          <w:lang w:eastAsia="en-AU"/>
        </w:rPr>
        <w:t>ccessories</w:t>
      </w:r>
    </w:p>
    <w:p w:rsidR="00BC4FED" w:rsidRDefault="00BC4FED" w:rsidP="000941E0">
      <w:pPr>
        <w:jc w:val="both"/>
        <w:rPr>
          <w:rFonts w:ascii="Arial" w:hAnsi="Arial" w:cs="Arial"/>
          <w:b/>
          <w:bCs/>
          <w:color w:val="000000"/>
          <w:szCs w:val="22"/>
          <w:lang w:eastAsia="en-AU"/>
        </w:rPr>
      </w:pPr>
    </w:p>
    <w:p w:rsidR="00CF75DE" w:rsidRPr="00BC4FED" w:rsidRDefault="002652C5" w:rsidP="00BC4FED">
      <w:pPr>
        <w:pStyle w:val="Caption"/>
        <w:keepNext/>
      </w:pPr>
      <w:r>
        <w:t>Figure 5-3</w:t>
      </w:r>
      <w:r w:rsidR="009F14B1">
        <w:t>7</w:t>
      </w:r>
      <w:r>
        <w:t xml:space="preserve">  </w:t>
      </w:r>
      <w:r w:rsidR="00AC1355">
        <w:t>HTISC frequency distribution in CF year</w:t>
      </w:r>
    </w:p>
    <w:p w:rsidR="00CF75DE" w:rsidRDefault="00CF75DE" w:rsidP="000941E0">
      <w:pPr>
        <w:jc w:val="both"/>
        <w:rPr>
          <w:szCs w:val="22"/>
        </w:rPr>
      </w:pPr>
      <w:r w:rsidRPr="00CF75DE">
        <w:rPr>
          <w:noProof/>
          <w:szCs w:val="22"/>
          <w:lang w:eastAsia="en-AU"/>
        </w:rPr>
        <w:drawing>
          <wp:inline distT="0" distB="0" distL="0" distR="0">
            <wp:extent cx="4889500" cy="2984500"/>
            <wp:effectExtent l="19050" t="0" r="25400" b="6350"/>
            <wp:docPr id="6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CF75DE" w:rsidRDefault="00CF75DE" w:rsidP="000941E0">
      <w:pPr>
        <w:jc w:val="both"/>
        <w:rPr>
          <w:szCs w:val="22"/>
        </w:rPr>
      </w:pPr>
    </w:p>
    <w:p w:rsidR="00CF75DE" w:rsidRDefault="00CF75DE" w:rsidP="000941E0">
      <w:pPr>
        <w:jc w:val="both"/>
        <w:rPr>
          <w:szCs w:val="22"/>
        </w:rPr>
      </w:pPr>
    </w:p>
    <w:p w:rsidR="00CF75DE" w:rsidRPr="00D73340" w:rsidRDefault="00207129" w:rsidP="00D73340">
      <w:pPr>
        <w:pStyle w:val="Caption"/>
      </w:pPr>
      <w:r>
        <w:t xml:space="preserve">Table 5-28 </w:t>
      </w:r>
      <w:r w:rsidR="00D73340">
        <w:t>Conversion factor statistics</w:t>
      </w:r>
    </w:p>
    <w:tbl>
      <w:tblPr>
        <w:tblW w:w="7260" w:type="dxa"/>
        <w:tblInd w:w="93" w:type="dxa"/>
        <w:tblLook w:val="04A0"/>
      </w:tblPr>
      <w:tblGrid>
        <w:gridCol w:w="1660"/>
        <w:gridCol w:w="1120"/>
        <w:gridCol w:w="1120"/>
        <w:gridCol w:w="1120"/>
        <w:gridCol w:w="1120"/>
        <w:gridCol w:w="1120"/>
      </w:tblGrid>
      <w:tr w:rsidR="00697C45" w:rsidRPr="00697C45">
        <w:trPr>
          <w:trHeight w:val="300"/>
        </w:trPr>
        <w:tc>
          <w:tcPr>
            <w:tcW w:w="3900" w:type="dxa"/>
            <w:gridSpan w:val="3"/>
            <w:tcBorders>
              <w:top w:val="nil"/>
              <w:left w:val="nil"/>
              <w:bottom w:val="nil"/>
              <w:right w:val="nil"/>
            </w:tcBorders>
            <w:shd w:val="clear" w:color="auto" w:fill="auto"/>
            <w:noWrap/>
            <w:vAlign w:val="bottom"/>
          </w:tcPr>
          <w:p w:rsidR="00697C45" w:rsidRPr="00697C45" w:rsidRDefault="00C57527" w:rsidP="00697C45">
            <w:pPr>
              <w:rPr>
                <w:rFonts w:ascii="Arial" w:hAnsi="Arial" w:cs="Arial"/>
                <w:b/>
                <w:bCs/>
                <w:color w:val="000000"/>
                <w:szCs w:val="22"/>
                <w:lang w:eastAsia="en-AU"/>
              </w:rPr>
            </w:pPr>
            <w:r>
              <w:rPr>
                <w:rFonts w:ascii="Arial" w:hAnsi="Arial" w:cs="Arial"/>
                <w:b/>
                <w:bCs/>
                <w:color w:val="000000"/>
                <w:szCs w:val="22"/>
                <w:lang w:eastAsia="en-AU"/>
              </w:rPr>
              <w:t>SC07 8473.30.00 85 - A</w:t>
            </w:r>
            <w:r w:rsidR="00697C45" w:rsidRPr="00697C45">
              <w:rPr>
                <w:rFonts w:ascii="Arial" w:hAnsi="Arial" w:cs="Arial"/>
                <w:b/>
                <w:bCs/>
                <w:color w:val="000000"/>
                <w:szCs w:val="22"/>
                <w:lang w:eastAsia="en-AU"/>
              </w:rPr>
              <w:t>ccessories</w:t>
            </w:r>
          </w:p>
        </w:tc>
        <w:tc>
          <w:tcPr>
            <w:tcW w:w="112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r>
      <w:tr w:rsidR="00697C45" w:rsidRPr="00697C45">
        <w:trPr>
          <w:trHeight w:val="225"/>
        </w:trPr>
        <w:tc>
          <w:tcPr>
            <w:tcW w:w="166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r>
      <w:tr w:rsidR="00697C45" w:rsidRPr="00697C45">
        <w:trPr>
          <w:trHeight w:val="450"/>
        </w:trPr>
        <w:tc>
          <w:tcPr>
            <w:tcW w:w="1660" w:type="dxa"/>
            <w:tcBorders>
              <w:top w:val="single" w:sz="4" w:space="0" w:color="auto"/>
              <w:left w:val="single" w:sz="4" w:space="0" w:color="auto"/>
              <w:bottom w:val="single" w:sz="4" w:space="0" w:color="auto"/>
              <w:right w:val="single" w:sz="4" w:space="0" w:color="auto"/>
            </w:tcBorders>
            <w:shd w:val="clear" w:color="000000" w:fill="D8D8D8"/>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CF year</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No. of ABS imports</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 ABS imports included</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Min weight</w:t>
            </w:r>
            <w:r w:rsidRPr="00697C45">
              <w:rPr>
                <w:rFonts w:ascii="Calibri" w:hAnsi="Calibri" w:cs="Calibri"/>
                <w:color w:val="000000"/>
                <w:sz w:val="16"/>
                <w:szCs w:val="16"/>
                <w:lang w:eastAsia="en-AU"/>
              </w:rPr>
              <w:br/>
              <w:t>(kg)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Max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Standard deviation</w:t>
            </w:r>
          </w:p>
        </w:tc>
      </w:tr>
      <w:tr w:rsidR="00697C45" w:rsidRPr="00697C45">
        <w:trPr>
          <w:trHeight w:val="225"/>
        </w:trPr>
        <w:tc>
          <w:tcPr>
            <w:tcW w:w="1660" w:type="dxa"/>
            <w:tcBorders>
              <w:top w:val="nil"/>
              <w:left w:val="single" w:sz="4" w:space="0" w:color="auto"/>
              <w:bottom w:val="single" w:sz="4" w:space="0" w:color="auto"/>
              <w:right w:val="single" w:sz="4" w:space="0" w:color="auto"/>
            </w:tcBorders>
            <w:shd w:val="clear" w:color="auto" w:fill="auto"/>
            <w:noWrap/>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2010-11</w:t>
            </w:r>
          </w:p>
        </w:tc>
        <w:tc>
          <w:tcPr>
            <w:tcW w:w="1120" w:type="dxa"/>
            <w:tcBorders>
              <w:top w:val="nil"/>
              <w:left w:val="nil"/>
              <w:bottom w:val="single" w:sz="4" w:space="0" w:color="auto"/>
              <w:right w:val="single" w:sz="4" w:space="0" w:color="auto"/>
            </w:tcBorders>
            <w:shd w:val="clear" w:color="auto" w:fill="auto"/>
            <w:noWrap/>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4,611,974</w:t>
            </w:r>
          </w:p>
        </w:tc>
        <w:tc>
          <w:tcPr>
            <w:tcW w:w="1120" w:type="dxa"/>
            <w:tcBorders>
              <w:top w:val="nil"/>
              <w:left w:val="nil"/>
              <w:bottom w:val="single" w:sz="4" w:space="0" w:color="auto"/>
              <w:right w:val="single" w:sz="4" w:space="0" w:color="auto"/>
            </w:tcBorders>
            <w:shd w:val="clear" w:color="auto" w:fill="auto"/>
            <w:noWrap/>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13%</w:t>
            </w:r>
          </w:p>
        </w:tc>
        <w:tc>
          <w:tcPr>
            <w:tcW w:w="1120" w:type="dxa"/>
            <w:tcBorders>
              <w:top w:val="nil"/>
              <w:left w:val="nil"/>
              <w:bottom w:val="single" w:sz="4" w:space="0" w:color="auto"/>
              <w:right w:val="single" w:sz="4" w:space="0" w:color="auto"/>
            </w:tcBorders>
            <w:shd w:val="clear" w:color="auto" w:fill="auto"/>
            <w:noWrap/>
            <w:vAlign w:val="center"/>
          </w:tcPr>
          <w:p w:rsidR="00697C45" w:rsidRPr="00697C45" w:rsidRDefault="00697C45" w:rsidP="00CF75DE">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0.01</w:t>
            </w:r>
          </w:p>
        </w:tc>
        <w:tc>
          <w:tcPr>
            <w:tcW w:w="1120" w:type="dxa"/>
            <w:tcBorders>
              <w:top w:val="nil"/>
              <w:left w:val="nil"/>
              <w:bottom w:val="single" w:sz="4" w:space="0" w:color="auto"/>
              <w:right w:val="single" w:sz="4" w:space="0" w:color="auto"/>
            </w:tcBorders>
            <w:shd w:val="clear" w:color="auto" w:fill="auto"/>
            <w:noWrap/>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22.5</w:t>
            </w:r>
          </w:p>
        </w:tc>
        <w:tc>
          <w:tcPr>
            <w:tcW w:w="1120" w:type="dxa"/>
            <w:tcBorders>
              <w:top w:val="nil"/>
              <w:left w:val="nil"/>
              <w:bottom w:val="single" w:sz="4" w:space="0" w:color="auto"/>
              <w:right w:val="single" w:sz="4" w:space="0" w:color="auto"/>
            </w:tcBorders>
            <w:shd w:val="clear" w:color="auto" w:fill="auto"/>
            <w:noWrap/>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0.0</w:t>
            </w:r>
          </w:p>
        </w:tc>
      </w:tr>
      <w:tr w:rsidR="00697C45" w:rsidRPr="00697C45">
        <w:trPr>
          <w:trHeight w:val="225"/>
        </w:trPr>
        <w:tc>
          <w:tcPr>
            <w:tcW w:w="166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r>
      <w:tr w:rsidR="00697C45" w:rsidRPr="00697C45">
        <w:trPr>
          <w:trHeight w:val="450"/>
        </w:trPr>
        <w:tc>
          <w:tcPr>
            <w:tcW w:w="1660" w:type="dxa"/>
            <w:tcBorders>
              <w:top w:val="single" w:sz="4" w:space="0" w:color="auto"/>
              <w:left w:val="single" w:sz="4" w:space="0" w:color="auto"/>
              <w:bottom w:val="nil"/>
              <w:right w:val="single" w:sz="4" w:space="0" w:color="auto"/>
            </w:tcBorders>
            <w:shd w:val="clear" w:color="000000" w:fill="D8D8D8"/>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Method</w:t>
            </w:r>
          </w:p>
        </w:tc>
        <w:tc>
          <w:tcPr>
            <w:tcW w:w="1120" w:type="dxa"/>
            <w:tcBorders>
              <w:top w:val="single" w:sz="4" w:space="0" w:color="auto"/>
              <w:left w:val="nil"/>
              <w:bottom w:val="nil"/>
              <w:right w:val="single" w:sz="4" w:space="0" w:color="auto"/>
            </w:tcBorders>
            <w:shd w:val="clear" w:color="000000" w:fill="D8D8D8"/>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Measure of average</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Average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Lower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Upper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Confidence interval ± (kg)</w:t>
            </w:r>
          </w:p>
        </w:tc>
      </w:tr>
      <w:tr w:rsidR="00697C45" w:rsidRPr="00697C45">
        <w:trPr>
          <w:trHeight w:val="48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Approximation to the normal distribution</w:t>
            </w:r>
          </w:p>
        </w:tc>
        <w:tc>
          <w:tcPr>
            <w:tcW w:w="1120" w:type="dxa"/>
            <w:tcBorders>
              <w:top w:val="single" w:sz="4" w:space="0" w:color="auto"/>
              <w:left w:val="nil"/>
              <w:bottom w:val="single" w:sz="4" w:space="0" w:color="auto"/>
              <w:right w:val="single" w:sz="4" w:space="0" w:color="auto"/>
            </w:tcBorders>
            <w:shd w:val="clear" w:color="auto" w:fill="auto"/>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Mean</w:t>
            </w:r>
          </w:p>
        </w:tc>
        <w:tc>
          <w:tcPr>
            <w:tcW w:w="1120" w:type="dxa"/>
            <w:tcBorders>
              <w:top w:val="nil"/>
              <w:left w:val="nil"/>
              <w:bottom w:val="single" w:sz="4" w:space="0" w:color="auto"/>
              <w:right w:val="single" w:sz="4" w:space="0" w:color="auto"/>
            </w:tcBorders>
            <w:shd w:val="clear" w:color="auto" w:fill="auto"/>
            <w:noWrap/>
            <w:vAlign w:val="center"/>
          </w:tcPr>
          <w:p w:rsidR="00697C45" w:rsidRPr="00697C45" w:rsidRDefault="00C57527" w:rsidP="00210364">
            <w:pPr>
              <w:jc w:val="center"/>
              <w:rPr>
                <w:rFonts w:ascii="Calibri" w:hAnsi="Calibri" w:cs="Calibri"/>
                <w:color w:val="000000"/>
                <w:sz w:val="16"/>
                <w:szCs w:val="16"/>
                <w:lang w:eastAsia="en-AU"/>
              </w:rPr>
            </w:pPr>
            <w:r>
              <w:rPr>
                <w:rFonts w:ascii="Calibri" w:hAnsi="Calibri" w:cs="Calibri"/>
                <w:color w:val="000000"/>
                <w:sz w:val="16"/>
                <w:szCs w:val="16"/>
                <w:lang w:eastAsia="en-AU"/>
              </w:rPr>
              <w:t>0.</w:t>
            </w:r>
            <w:r w:rsidR="00210364">
              <w:rPr>
                <w:rFonts w:ascii="Calibri" w:hAnsi="Calibri" w:cs="Calibri"/>
                <w:color w:val="000000"/>
                <w:sz w:val="16"/>
                <w:szCs w:val="16"/>
                <w:lang w:eastAsia="en-AU"/>
              </w:rPr>
              <w:t>9</w:t>
            </w:r>
          </w:p>
        </w:tc>
        <w:tc>
          <w:tcPr>
            <w:tcW w:w="1120" w:type="dxa"/>
            <w:tcBorders>
              <w:top w:val="nil"/>
              <w:left w:val="nil"/>
              <w:bottom w:val="single" w:sz="4" w:space="0" w:color="auto"/>
              <w:right w:val="single" w:sz="4" w:space="0" w:color="auto"/>
            </w:tcBorders>
            <w:shd w:val="clear" w:color="auto" w:fill="auto"/>
            <w:noWrap/>
            <w:vAlign w:val="center"/>
          </w:tcPr>
          <w:p w:rsidR="00697C45" w:rsidRPr="00697C45" w:rsidRDefault="00697C45" w:rsidP="00210364">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0.</w:t>
            </w:r>
            <w:r w:rsidR="00210364">
              <w:rPr>
                <w:rFonts w:ascii="Calibri" w:hAnsi="Calibri" w:cs="Calibri"/>
                <w:color w:val="000000"/>
                <w:sz w:val="16"/>
                <w:szCs w:val="16"/>
                <w:lang w:eastAsia="en-AU"/>
              </w:rPr>
              <w:t>6</w:t>
            </w:r>
          </w:p>
        </w:tc>
        <w:tc>
          <w:tcPr>
            <w:tcW w:w="1120" w:type="dxa"/>
            <w:tcBorders>
              <w:top w:val="nil"/>
              <w:left w:val="nil"/>
              <w:bottom w:val="single" w:sz="4" w:space="0" w:color="auto"/>
              <w:right w:val="single" w:sz="4" w:space="0" w:color="auto"/>
            </w:tcBorders>
            <w:shd w:val="clear" w:color="auto" w:fill="auto"/>
            <w:noWrap/>
            <w:vAlign w:val="center"/>
          </w:tcPr>
          <w:p w:rsidR="00697C45" w:rsidRPr="00697C45" w:rsidRDefault="00210364" w:rsidP="00697C45">
            <w:pPr>
              <w:jc w:val="center"/>
              <w:rPr>
                <w:rFonts w:ascii="Calibri" w:hAnsi="Calibri" w:cs="Calibri"/>
                <w:color w:val="000000"/>
                <w:sz w:val="16"/>
                <w:szCs w:val="16"/>
                <w:lang w:eastAsia="en-AU"/>
              </w:rPr>
            </w:pPr>
            <w:r>
              <w:rPr>
                <w:rFonts w:ascii="Calibri" w:hAnsi="Calibri" w:cs="Calibri"/>
                <w:color w:val="000000"/>
                <w:sz w:val="16"/>
                <w:szCs w:val="16"/>
                <w:lang w:eastAsia="en-AU"/>
              </w:rPr>
              <w:t>1.3</w:t>
            </w:r>
          </w:p>
        </w:tc>
        <w:tc>
          <w:tcPr>
            <w:tcW w:w="1120" w:type="dxa"/>
            <w:tcBorders>
              <w:top w:val="nil"/>
              <w:left w:val="nil"/>
              <w:bottom w:val="single" w:sz="4" w:space="0" w:color="auto"/>
              <w:right w:val="single" w:sz="4" w:space="0" w:color="auto"/>
            </w:tcBorders>
            <w:shd w:val="clear" w:color="auto" w:fill="auto"/>
            <w:noWrap/>
            <w:vAlign w:val="center"/>
          </w:tcPr>
          <w:p w:rsidR="00697C45" w:rsidRPr="00697C45" w:rsidRDefault="00697C45" w:rsidP="00210364">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0.</w:t>
            </w:r>
            <w:r w:rsidR="00210364">
              <w:rPr>
                <w:rFonts w:ascii="Calibri" w:hAnsi="Calibri" w:cs="Calibri"/>
                <w:color w:val="000000"/>
                <w:sz w:val="16"/>
                <w:szCs w:val="16"/>
                <w:lang w:eastAsia="en-AU"/>
              </w:rPr>
              <w:t>4</w:t>
            </w:r>
          </w:p>
        </w:tc>
      </w:tr>
      <w:tr w:rsidR="00697C45" w:rsidRPr="00697C45">
        <w:trPr>
          <w:trHeight w:val="480"/>
        </w:trPr>
        <w:tc>
          <w:tcPr>
            <w:tcW w:w="1660" w:type="dxa"/>
            <w:tcBorders>
              <w:top w:val="nil"/>
              <w:left w:val="single" w:sz="4" w:space="0" w:color="auto"/>
              <w:bottom w:val="single" w:sz="4" w:space="0" w:color="auto"/>
              <w:right w:val="single" w:sz="4" w:space="0" w:color="auto"/>
            </w:tcBorders>
            <w:shd w:val="clear" w:color="auto" w:fill="auto"/>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Use of percentiles</w:t>
            </w:r>
          </w:p>
        </w:tc>
        <w:tc>
          <w:tcPr>
            <w:tcW w:w="1120" w:type="dxa"/>
            <w:tcBorders>
              <w:top w:val="nil"/>
              <w:left w:val="nil"/>
              <w:bottom w:val="single" w:sz="4" w:space="0" w:color="auto"/>
              <w:right w:val="single" w:sz="4" w:space="0" w:color="auto"/>
            </w:tcBorders>
            <w:shd w:val="clear" w:color="auto" w:fill="auto"/>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Median</w:t>
            </w:r>
          </w:p>
        </w:tc>
        <w:tc>
          <w:tcPr>
            <w:tcW w:w="1120" w:type="dxa"/>
            <w:tcBorders>
              <w:top w:val="nil"/>
              <w:left w:val="nil"/>
              <w:bottom w:val="single" w:sz="4" w:space="0" w:color="auto"/>
              <w:right w:val="single" w:sz="4" w:space="0" w:color="auto"/>
            </w:tcBorders>
            <w:shd w:val="clear" w:color="auto" w:fill="auto"/>
            <w:noWrap/>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0.8</w:t>
            </w:r>
          </w:p>
        </w:tc>
        <w:tc>
          <w:tcPr>
            <w:tcW w:w="1120" w:type="dxa"/>
            <w:tcBorders>
              <w:top w:val="nil"/>
              <w:left w:val="nil"/>
              <w:bottom w:val="single" w:sz="4" w:space="0" w:color="auto"/>
              <w:right w:val="single" w:sz="4" w:space="0" w:color="auto"/>
            </w:tcBorders>
            <w:shd w:val="clear" w:color="auto" w:fill="auto"/>
            <w:noWrap/>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0.6</w:t>
            </w:r>
          </w:p>
        </w:tc>
        <w:tc>
          <w:tcPr>
            <w:tcW w:w="1120" w:type="dxa"/>
            <w:tcBorders>
              <w:top w:val="nil"/>
              <w:left w:val="nil"/>
              <w:bottom w:val="single" w:sz="4" w:space="0" w:color="auto"/>
              <w:right w:val="single" w:sz="4" w:space="0" w:color="auto"/>
            </w:tcBorders>
            <w:shd w:val="clear" w:color="auto" w:fill="auto"/>
            <w:noWrap/>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1.0</w:t>
            </w:r>
          </w:p>
        </w:tc>
        <w:tc>
          <w:tcPr>
            <w:tcW w:w="1120" w:type="dxa"/>
            <w:tcBorders>
              <w:top w:val="nil"/>
              <w:left w:val="nil"/>
              <w:bottom w:val="single" w:sz="4" w:space="0" w:color="auto"/>
              <w:right w:val="single" w:sz="4" w:space="0" w:color="auto"/>
            </w:tcBorders>
            <w:shd w:val="clear" w:color="auto" w:fill="auto"/>
            <w:noWrap/>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0.2</w:t>
            </w:r>
          </w:p>
        </w:tc>
      </w:tr>
      <w:tr w:rsidR="00697C45" w:rsidRPr="00697C45">
        <w:trPr>
          <w:trHeight w:val="225"/>
        </w:trPr>
        <w:tc>
          <w:tcPr>
            <w:tcW w:w="166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697C45" w:rsidRPr="00697C45" w:rsidRDefault="00697C45" w:rsidP="00697C45">
            <w:pPr>
              <w:rPr>
                <w:rFonts w:ascii="Calibri" w:hAnsi="Calibri" w:cs="Calibri"/>
                <w:color w:val="000000"/>
                <w:sz w:val="16"/>
                <w:szCs w:val="16"/>
                <w:lang w:eastAsia="en-AU"/>
              </w:rPr>
            </w:pPr>
          </w:p>
        </w:tc>
      </w:tr>
      <w:tr w:rsidR="00697C45" w:rsidRPr="00697C45">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tcPr>
          <w:p w:rsidR="00697C45" w:rsidRPr="00697C45" w:rsidRDefault="00697C45" w:rsidP="00697C45">
            <w:pPr>
              <w:rPr>
                <w:rFonts w:ascii="Calibri" w:hAnsi="Calibri" w:cs="Calibri"/>
                <w:color w:val="000000"/>
                <w:sz w:val="16"/>
                <w:szCs w:val="16"/>
                <w:lang w:eastAsia="en-AU"/>
              </w:rPr>
            </w:pPr>
            <w:r w:rsidRPr="00697C45">
              <w:rPr>
                <w:rFonts w:ascii="Calibri" w:hAnsi="Calibri" w:cs="Calibri"/>
                <w:color w:val="000000"/>
                <w:sz w:val="16"/>
                <w:szCs w:val="16"/>
                <w:lang w:eastAsia="en-AU"/>
              </w:rPr>
              <w:t>Year</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2010-11</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2009-10</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697C45" w:rsidRPr="00697C45" w:rsidRDefault="00697C45" w:rsidP="00697C45">
            <w:pPr>
              <w:jc w:val="center"/>
              <w:rPr>
                <w:rFonts w:ascii="Calibri" w:hAnsi="Calibri" w:cs="Calibri"/>
                <w:color w:val="000000"/>
                <w:sz w:val="16"/>
                <w:szCs w:val="16"/>
                <w:lang w:eastAsia="en-AU"/>
              </w:rPr>
            </w:pPr>
            <w:r w:rsidRPr="00697C45">
              <w:rPr>
                <w:rFonts w:ascii="Calibri" w:hAnsi="Calibri" w:cs="Calibri"/>
                <w:color w:val="000000"/>
                <w:sz w:val="16"/>
                <w:szCs w:val="16"/>
                <w:lang w:eastAsia="en-AU"/>
              </w:rPr>
              <w:t>2008-09</w:t>
            </w:r>
          </w:p>
        </w:tc>
      </w:tr>
      <w:tr w:rsidR="00210364" w:rsidRPr="00697C45">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10364" w:rsidRPr="00697C45" w:rsidRDefault="00210364" w:rsidP="00697C45">
            <w:pPr>
              <w:rPr>
                <w:rFonts w:ascii="Calibri" w:hAnsi="Calibri" w:cs="Calibri"/>
                <w:color w:val="000000"/>
                <w:sz w:val="16"/>
                <w:szCs w:val="16"/>
                <w:lang w:eastAsia="en-AU"/>
              </w:rPr>
            </w:pPr>
            <w:r w:rsidRPr="00CB6A7D">
              <w:rPr>
                <w:rFonts w:ascii="Calibri" w:hAnsi="Calibri" w:cs="Calibri"/>
                <w:color w:val="000000"/>
                <w:sz w:val="16"/>
                <w:szCs w:val="16"/>
                <w:lang w:eastAsia="en-AU"/>
              </w:rPr>
              <w:t>Percentage by which the conversion factor over or under estimates the weight of imports</w:t>
            </w:r>
          </w:p>
        </w:tc>
        <w:tc>
          <w:tcPr>
            <w:tcW w:w="1120" w:type="dxa"/>
            <w:tcBorders>
              <w:top w:val="nil"/>
              <w:left w:val="nil"/>
              <w:bottom w:val="single" w:sz="4" w:space="0" w:color="auto"/>
              <w:right w:val="single" w:sz="4" w:space="0" w:color="auto"/>
            </w:tcBorders>
            <w:shd w:val="clear" w:color="auto" w:fill="auto"/>
            <w:noWrap/>
            <w:vAlign w:val="center"/>
          </w:tcPr>
          <w:p w:rsidR="00210364" w:rsidRDefault="00210364">
            <w:pPr>
              <w:jc w:val="center"/>
              <w:rPr>
                <w:rFonts w:ascii="Calibri" w:hAnsi="Calibri" w:cs="Calibri"/>
                <w:color w:val="000000"/>
                <w:sz w:val="16"/>
                <w:szCs w:val="16"/>
              </w:rPr>
            </w:pPr>
            <w:r>
              <w:rPr>
                <w:rFonts w:ascii="Calibri" w:hAnsi="Calibri" w:cs="Calibri"/>
                <w:color w:val="000000"/>
                <w:sz w:val="16"/>
                <w:szCs w:val="16"/>
              </w:rPr>
              <w:t>0%</w:t>
            </w:r>
          </w:p>
        </w:tc>
        <w:tc>
          <w:tcPr>
            <w:tcW w:w="1120" w:type="dxa"/>
            <w:tcBorders>
              <w:top w:val="nil"/>
              <w:left w:val="nil"/>
              <w:bottom w:val="single" w:sz="4" w:space="0" w:color="auto"/>
              <w:right w:val="single" w:sz="4" w:space="0" w:color="auto"/>
            </w:tcBorders>
            <w:shd w:val="clear" w:color="auto" w:fill="auto"/>
            <w:noWrap/>
            <w:vAlign w:val="center"/>
          </w:tcPr>
          <w:p w:rsidR="00210364" w:rsidRDefault="00210364">
            <w:pPr>
              <w:jc w:val="center"/>
              <w:rPr>
                <w:rFonts w:ascii="Calibri" w:hAnsi="Calibri" w:cs="Calibri"/>
                <w:color w:val="000000"/>
                <w:sz w:val="16"/>
                <w:szCs w:val="16"/>
              </w:rPr>
            </w:pPr>
            <w:r>
              <w:rPr>
                <w:rFonts w:ascii="Calibri" w:hAnsi="Calibri" w:cs="Calibri"/>
                <w:color w:val="000000"/>
                <w:sz w:val="16"/>
                <w:szCs w:val="16"/>
              </w:rPr>
              <w:t>-11%</w:t>
            </w:r>
          </w:p>
        </w:tc>
        <w:tc>
          <w:tcPr>
            <w:tcW w:w="1120" w:type="dxa"/>
            <w:tcBorders>
              <w:top w:val="nil"/>
              <w:left w:val="nil"/>
              <w:bottom w:val="single" w:sz="4" w:space="0" w:color="auto"/>
              <w:right w:val="single" w:sz="4" w:space="0" w:color="auto"/>
            </w:tcBorders>
            <w:shd w:val="clear" w:color="auto" w:fill="auto"/>
            <w:noWrap/>
            <w:vAlign w:val="center"/>
          </w:tcPr>
          <w:p w:rsidR="00210364" w:rsidRDefault="00210364">
            <w:pPr>
              <w:jc w:val="center"/>
              <w:rPr>
                <w:rFonts w:ascii="Calibri" w:hAnsi="Calibri" w:cs="Calibri"/>
                <w:color w:val="000000"/>
                <w:sz w:val="16"/>
                <w:szCs w:val="16"/>
              </w:rPr>
            </w:pPr>
            <w:r>
              <w:rPr>
                <w:rFonts w:ascii="Calibri" w:hAnsi="Calibri" w:cs="Calibri"/>
                <w:color w:val="000000"/>
                <w:sz w:val="16"/>
                <w:szCs w:val="16"/>
              </w:rPr>
              <w:t>8%</w:t>
            </w:r>
          </w:p>
        </w:tc>
      </w:tr>
    </w:tbl>
    <w:p w:rsidR="001A78F2" w:rsidRDefault="001A78F2">
      <w:pPr>
        <w:rPr>
          <w:szCs w:val="22"/>
        </w:rPr>
      </w:pPr>
    </w:p>
    <w:p w:rsidR="001A78F2" w:rsidRDefault="001A78F2">
      <w:pPr>
        <w:rPr>
          <w:szCs w:val="22"/>
        </w:rPr>
      </w:pPr>
    </w:p>
    <w:p w:rsidR="001A78F2" w:rsidRDefault="00C57527">
      <w:pPr>
        <w:rPr>
          <w:szCs w:val="22"/>
        </w:rPr>
      </w:pPr>
      <w:r w:rsidRPr="005A3097">
        <w:rPr>
          <w:b/>
          <w:szCs w:val="22"/>
        </w:rPr>
        <w:t>Distribution:</w:t>
      </w:r>
      <w:r>
        <w:rPr>
          <w:b/>
          <w:szCs w:val="22"/>
        </w:rPr>
        <w:t xml:space="preserve"> </w:t>
      </w:r>
      <w:r w:rsidR="00210364">
        <w:rPr>
          <w:szCs w:val="22"/>
        </w:rPr>
        <w:t>All</w:t>
      </w:r>
      <w:r>
        <w:rPr>
          <w:szCs w:val="22"/>
        </w:rPr>
        <w:t xml:space="preserve"> imports are </w:t>
      </w:r>
      <w:r w:rsidR="00210364">
        <w:rPr>
          <w:szCs w:val="22"/>
        </w:rPr>
        <w:t>less than 1</w:t>
      </w:r>
      <w:r>
        <w:rPr>
          <w:szCs w:val="22"/>
        </w:rPr>
        <w:t xml:space="preserve"> kg</w:t>
      </w:r>
    </w:p>
    <w:p w:rsidR="001A78F2" w:rsidRDefault="00C57527">
      <w:pPr>
        <w:rPr>
          <w:szCs w:val="22"/>
        </w:rPr>
      </w:pPr>
      <w:r>
        <w:rPr>
          <w:b/>
          <w:szCs w:val="22"/>
        </w:rPr>
        <w:t xml:space="preserve">Proposed conversion factor: </w:t>
      </w:r>
      <w:r w:rsidR="00210364">
        <w:rPr>
          <w:szCs w:val="22"/>
        </w:rPr>
        <w:t>0.9</w:t>
      </w:r>
      <w:r>
        <w:rPr>
          <w:szCs w:val="22"/>
        </w:rPr>
        <w:t xml:space="preserve"> kg</w:t>
      </w:r>
    </w:p>
    <w:p w:rsidR="001A78F2" w:rsidRDefault="00C57527">
      <w:pPr>
        <w:rPr>
          <w:szCs w:val="22"/>
        </w:rPr>
      </w:pPr>
      <w:r>
        <w:rPr>
          <w:b/>
          <w:szCs w:val="22"/>
        </w:rPr>
        <w:t>Proposed confidence interval</w:t>
      </w:r>
      <w:r w:rsidRPr="00B02F83">
        <w:rPr>
          <w:szCs w:val="22"/>
        </w:rPr>
        <w:t xml:space="preserve">: </w:t>
      </w:r>
      <w:r>
        <w:rPr>
          <w:szCs w:val="22"/>
        </w:rPr>
        <w:t xml:space="preserve"> </w:t>
      </w:r>
      <w:r w:rsidR="00755846" w:rsidRPr="00755846">
        <w:rPr>
          <w:szCs w:val="22"/>
        </w:rPr>
        <w:t>±</w:t>
      </w:r>
      <w:r w:rsidR="00210364">
        <w:rPr>
          <w:szCs w:val="22"/>
        </w:rPr>
        <w:t xml:space="preserve"> </w:t>
      </w:r>
      <w:r w:rsidR="00755846">
        <w:rPr>
          <w:szCs w:val="22"/>
        </w:rPr>
        <w:t>0.</w:t>
      </w:r>
      <w:r w:rsidR="00210364">
        <w:rPr>
          <w:szCs w:val="22"/>
        </w:rPr>
        <w:t>4 kg</w:t>
      </w:r>
    </w:p>
    <w:p w:rsidR="001A78F2" w:rsidRDefault="00C62346">
      <w:pPr>
        <w:rPr>
          <w:szCs w:val="22"/>
        </w:rPr>
      </w:pPr>
      <w:r>
        <w:rPr>
          <w:b/>
          <w:szCs w:val="22"/>
        </w:rPr>
        <w:t xml:space="preserve">Variation over time: </w:t>
      </w:r>
      <w:r w:rsidR="00C57527">
        <w:rPr>
          <w:szCs w:val="22"/>
        </w:rPr>
        <w:t>High</w:t>
      </w:r>
    </w:p>
    <w:p w:rsidR="001A78F2" w:rsidRDefault="001A78F2">
      <w:pPr>
        <w:rPr>
          <w:szCs w:val="22"/>
        </w:rPr>
      </w:pPr>
    </w:p>
    <w:p w:rsidR="001A78F2" w:rsidRDefault="001A78F2">
      <w:pPr>
        <w:rPr>
          <w:szCs w:val="22"/>
        </w:rPr>
      </w:pPr>
    </w:p>
    <w:p w:rsidR="001A78F2" w:rsidRDefault="001A78F2">
      <w:pPr>
        <w:rPr>
          <w:szCs w:val="22"/>
        </w:rPr>
      </w:pPr>
    </w:p>
    <w:p w:rsidR="00210364" w:rsidRDefault="00210364">
      <w:pPr>
        <w:rPr>
          <w:szCs w:val="22"/>
        </w:rPr>
      </w:pPr>
      <w:r>
        <w:rPr>
          <w:szCs w:val="22"/>
        </w:rPr>
        <w:br w:type="page"/>
      </w:r>
    </w:p>
    <w:p w:rsidR="00D36323" w:rsidRPr="00D36323" w:rsidRDefault="00D36323" w:rsidP="002E1A14">
      <w:pPr>
        <w:pStyle w:val="Heading2"/>
      </w:pPr>
      <w:bookmarkStart w:id="58" w:name="_Toc303860091"/>
      <w:bookmarkStart w:id="59" w:name="_Toc304967194"/>
      <w:r w:rsidRPr="00D36323">
        <w:t>Internal power supplies for PCs</w:t>
      </w:r>
      <w:bookmarkEnd w:id="58"/>
      <w:bookmarkEnd w:id="59"/>
    </w:p>
    <w:p w:rsidR="001A78F2" w:rsidRDefault="001A78F2">
      <w:pPr>
        <w:rPr>
          <w:szCs w:val="22"/>
        </w:rPr>
      </w:pPr>
    </w:p>
    <w:p w:rsidR="00BC4FED" w:rsidRDefault="00D36323">
      <w:pPr>
        <w:rPr>
          <w:szCs w:val="22"/>
        </w:rPr>
      </w:pPr>
      <w:r>
        <w:rPr>
          <w:szCs w:val="22"/>
        </w:rPr>
        <w:t>There is only one HTISC</w:t>
      </w:r>
      <w:r w:rsidR="0087498D">
        <w:rPr>
          <w:szCs w:val="22"/>
        </w:rPr>
        <w:t xml:space="preserve"> of interest to </w:t>
      </w:r>
      <w:r w:rsidR="00BD472F">
        <w:rPr>
          <w:szCs w:val="22"/>
        </w:rPr>
        <w:t xml:space="preserve">the </w:t>
      </w:r>
      <w:r w:rsidR="0087498D">
        <w:rPr>
          <w:szCs w:val="22"/>
        </w:rPr>
        <w:t>Scheme</w:t>
      </w:r>
      <w:r>
        <w:rPr>
          <w:szCs w:val="22"/>
        </w:rPr>
        <w:t xml:space="preserve"> within this CTCN</w:t>
      </w:r>
      <w:r w:rsidR="00E55318">
        <w:rPr>
          <w:szCs w:val="22"/>
        </w:rPr>
        <w:t>.</w:t>
      </w:r>
    </w:p>
    <w:p w:rsidR="00BC4FED" w:rsidRDefault="00BC4FED">
      <w:pPr>
        <w:rPr>
          <w:szCs w:val="22"/>
        </w:rPr>
      </w:pPr>
    </w:p>
    <w:p w:rsidR="001A78F2" w:rsidRDefault="009F14B1" w:rsidP="00BC4FED">
      <w:pPr>
        <w:pStyle w:val="Caption"/>
        <w:keepNext/>
      </w:pPr>
      <w:r>
        <w:t>Figure 5-38</w:t>
      </w:r>
      <w:r w:rsidR="002652C5">
        <w:t xml:space="preserve">  </w:t>
      </w:r>
      <w:r w:rsidR="00AC1355">
        <w:t>HTISC frequency distribution in CF year</w:t>
      </w:r>
    </w:p>
    <w:p w:rsidR="006B5387" w:rsidRDefault="006B5387" w:rsidP="006B5387">
      <w:pPr>
        <w:rPr>
          <w:lang w:val="en-GB"/>
        </w:rPr>
      </w:pPr>
      <w:r w:rsidRPr="006B5387">
        <w:rPr>
          <w:noProof/>
          <w:lang w:eastAsia="en-AU"/>
        </w:rPr>
        <w:drawing>
          <wp:inline distT="0" distB="0" distL="0" distR="0">
            <wp:extent cx="4889500" cy="2984500"/>
            <wp:effectExtent l="19050" t="0" r="25400" b="6350"/>
            <wp:docPr id="103"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6B5387" w:rsidRDefault="006B5387" w:rsidP="006B5387">
      <w:pPr>
        <w:rPr>
          <w:lang w:val="en-GB"/>
        </w:rPr>
      </w:pPr>
    </w:p>
    <w:p w:rsidR="006B5387" w:rsidRDefault="006B5387" w:rsidP="006B5387">
      <w:pPr>
        <w:rPr>
          <w:lang w:val="en-GB"/>
        </w:rPr>
      </w:pPr>
    </w:p>
    <w:p w:rsidR="00AE3EC6" w:rsidRDefault="00AE3EC6">
      <w:pPr>
        <w:rPr>
          <w:szCs w:val="22"/>
        </w:rPr>
      </w:pPr>
    </w:p>
    <w:p w:rsidR="00AE3EC6" w:rsidRDefault="00AE3EC6">
      <w:pPr>
        <w:rPr>
          <w:szCs w:val="22"/>
        </w:rPr>
      </w:pPr>
    </w:p>
    <w:p w:rsidR="00AE3EC6" w:rsidRDefault="00AE3EC6">
      <w:pPr>
        <w:rPr>
          <w:szCs w:val="22"/>
        </w:rPr>
      </w:pPr>
    </w:p>
    <w:p w:rsidR="00D36323" w:rsidRPr="00D73340" w:rsidRDefault="00207129" w:rsidP="00D73340">
      <w:pPr>
        <w:pStyle w:val="Caption"/>
      </w:pPr>
      <w:r>
        <w:t xml:space="preserve">Table 5-29 </w:t>
      </w:r>
      <w:r w:rsidR="00D73340">
        <w:t>Conversion factor statistics</w:t>
      </w:r>
    </w:p>
    <w:tbl>
      <w:tblPr>
        <w:tblW w:w="7260" w:type="dxa"/>
        <w:tblInd w:w="93" w:type="dxa"/>
        <w:tblLook w:val="04A0"/>
      </w:tblPr>
      <w:tblGrid>
        <w:gridCol w:w="1660"/>
        <w:gridCol w:w="1120"/>
        <w:gridCol w:w="1120"/>
        <w:gridCol w:w="1120"/>
        <w:gridCol w:w="1120"/>
        <w:gridCol w:w="1120"/>
      </w:tblGrid>
      <w:tr w:rsidR="00D36323" w:rsidRPr="00D36323">
        <w:trPr>
          <w:trHeight w:val="300"/>
        </w:trPr>
        <w:tc>
          <w:tcPr>
            <w:tcW w:w="6140" w:type="dxa"/>
            <w:gridSpan w:val="5"/>
            <w:tcBorders>
              <w:top w:val="nil"/>
              <w:left w:val="nil"/>
              <w:bottom w:val="nil"/>
              <w:right w:val="nil"/>
            </w:tcBorders>
            <w:shd w:val="clear" w:color="auto" w:fill="auto"/>
            <w:noWrap/>
            <w:vAlign w:val="bottom"/>
          </w:tcPr>
          <w:p w:rsidR="00D36323" w:rsidRPr="00D36323" w:rsidRDefault="00D36323" w:rsidP="00D36323">
            <w:pPr>
              <w:rPr>
                <w:rFonts w:ascii="Arial" w:hAnsi="Arial" w:cs="Arial"/>
                <w:b/>
                <w:bCs/>
                <w:color w:val="000000"/>
                <w:szCs w:val="22"/>
                <w:lang w:eastAsia="en-AU"/>
              </w:rPr>
            </w:pPr>
            <w:r w:rsidRPr="00D36323">
              <w:rPr>
                <w:rFonts w:ascii="Arial" w:hAnsi="Arial" w:cs="Arial"/>
                <w:b/>
                <w:bCs/>
                <w:color w:val="000000"/>
                <w:szCs w:val="22"/>
                <w:lang w:eastAsia="en-AU"/>
              </w:rPr>
              <w:t>SC07 8504.40.30 59 - Internal power supplies for PCs</w:t>
            </w:r>
          </w:p>
        </w:tc>
        <w:tc>
          <w:tcPr>
            <w:tcW w:w="1120" w:type="dxa"/>
            <w:tcBorders>
              <w:top w:val="nil"/>
              <w:left w:val="nil"/>
              <w:bottom w:val="nil"/>
              <w:right w:val="nil"/>
            </w:tcBorders>
            <w:shd w:val="clear" w:color="auto" w:fill="auto"/>
            <w:noWrap/>
            <w:vAlign w:val="bottom"/>
          </w:tcPr>
          <w:p w:rsidR="00D36323" w:rsidRPr="00D36323" w:rsidRDefault="00D36323" w:rsidP="00D36323">
            <w:pPr>
              <w:rPr>
                <w:rFonts w:ascii="Calibri" w:hAnsi="Calibri" w:cs="Calibri"/>
                <w:color w:val="000000"/>
                <w:sz w:val="16"/>
                <w:szCs w:val="16"/>
                <w:lang w:eastAsia="en-AU"/>
              </w:rPr>
            </w:pPr>
          </w:p>
        </w:tc>
      </w:tr>
      <w:tr w:rsidR="00D36323" w:rsidRPr="00D36323">
        <w:trPr>
          <w:trHeight w:val="225"/>
        </w:trPr>
        <w:tc>
          <w:tcPr>
            <w:tcW w:w="1660" w:type="dxa"/>
            <w:tcBorders>
              <w:top w:val="nil"/>
              <w:left w:val="nil"/>
              <w:bottom w:val="nil"/>
              <w:right w:val="nil"/>
            </w:tcBorders>
            <w:shd w:val="clear" w:color="auto" w:fill="auto"/>
            <w:noWrap/>
            <w:vAlign w:val="bottom"/>
          </w:tcPr>
          <w:p w:rsidR="00D36323" w:rsidRPr="00D36323" w:rsidRDefault="00D36323" w:rsidP="00D363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6323" w:rsidRPr="00D36323" w:rsidRDefault="00D36323" w:rsidP="00D363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6323" w:rsidRPr="00D36323" w:rsidRDefault="00D36323" w:rsidP="00D363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6323" w:rsidRPr="00D36323" w:rsidRDefault="00D36323" w:rsidP="00D363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6323" w:rsidRPr="00D36323" w:rsidRDefault="00D36323" w:rsidP="00D363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6323" w:rsidRPr="00D36323" w:rsidRDefault="00D36323" w:rsidP="00D36323">
            <w:pPr>
              <w:rPr>
                <w:rFonts w:ascii="Calibri" w:hAnsi="Calibri" w:cs="Calibri"/>
                <w:color w:val="000000"/>
                <w:sz w:val="16"/>
                <w:szCs w:val="16"/>
                <w:lang w:eastAsia="en-AU"/>
              </w:rPr>
            </w:pPr>
          </w:p>
        </w:tc>
      </w:tr>
      <w:tr w:rsidR="00D36323" w:rsidRPr="00D36323">
        <w:trPr>
          <w:trHeight w:val="450"/>
        </w:trPr>
        <w:tc>
          <w:tcPr>
            <w:tcW w:w="1660" w:type="dxa"/>
            <w:tcBorders>
              <w:top w:val="single" w:sz="4" w:space="0" w:color="auto"/>
              <w:left w:val="single" w:sz="4" w:space="0" w:color="auto"/>
              <w:bottom w:val="single" w:sz="4" w:space="0" w:color="auto"/>
              <w:right w:val="single" w:sz="4" w:space="0" w:color="auto"/>
            </w:tcBorders>
            <w:shd w:val="clear" w:color="000000" w:fill="D8D8D8"/>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CF year</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No. of ABS imports</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 ABS imports included</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Min weight</w:t>
            </w:r>
            <w:r w:rsidRPr="00D36323">
              <w:rPr>
                <w:rFonts w:ascii="Calibri" w:hAnsi="Calibri" w:cs="Calibri"/>
                <w:color w:val="000000"/>
                <w:sz w:val="16"/>
                <w:szCs w:val="16"/>
                <w:lang w:eastAsia="en-AU"/>
              </w:rPr>
              <w:br/>
              <w:t>(kg)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Max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Standard deviation</w:t>
            </w:r>
          </w:p>
        </w:tc>
      </w:tr>
      <w:tr w:rsidR="00D36323" w:rsidRPr="00D36323">
        <w:trPr>
          <w:trHeight w:val="225"/>
        </w:trPr>
        <w:tc>
          <w:tcPr>
            <w:tcW w:w="1660" w:type="dxa"/>
            <w:tcBorders>
              <w:top w:val="nil"/>
              <w:left w:val="single" w:sz="4" w:space="0" w:color="auto"/>
              <w:bottom w:val="single" w:sz="4" w:space="0" w:color="auto"/>
              <w:right w:val="single" w:sz="4" w:space="0" w:color="auto"/>
            </w:tcBorders>
            <w:shd w:val="clear" w:color="auto" w:fill="auto"/>
            <w:noWrap/>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2010-11</w:t>
            </w:r>
          </w:p>
        </w:tc>
        <w:tc>
          <w:tcPr>
            <w:tcW w:w="1120" w:type="dxa"/>
            <w:tcBorders>
              <w:top w:val="nil"/>
              <w:left w:val="nil"/>
              <w:bottom w:val="single" w:sz="4" w:space="0" w:color="auto"/>
              <w:right w:val="single" w:sz="4" w:space="0" w:color="auto"/>
            </w:tcBorders>
            <w:shd w:val="clear" w:color="auto" w:fill="auto"/>
            <w:noWrap/>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514,862</w:t>
            </w:r>
          </w:p>
        </w:tc>
        <w:tc>
          <w:tcPr>
            <w:tcW w:w="1120" w:type="dxa"/>
            <w:tcBorders>
              <w:top w:val="nil"/>
              <w:left w:val="nil"/>
              <w:bottom w:val="single" w:sz="4" w:space="0" w:color="auto"/>
              <w:right w:val="single" w:sz="4" w:space="0" w:color="auto"/>
            </w:tcBorders>
            <w:shd w:val="clear" w:color="auto" w:fill="auto"/>
            <w:noWrap/>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2%</w:t>
            </w:r>
          </w:p>
        </w:tc>
        <w:tc>
          <w:tcPr>
            <w:tcW w:w="1120" w:type="dxa"/>
            <w:tcBorders>
              <w:top w:val="nil"/>
              <w:left w:val="nil"/>
              <w:bottom w:val="single" w:sz="4" w:space="0" w:color="auto"/>
              <w:right w:val="single" w:sz="4" w:space="0" w:color="auto"/>
            </w:tcBorders>
            <w:shd w:val="clear" w:color="auto" w:fill="auto"/>
            <w:noWrap/>
            <w:vAlign w:val="center"/>
          </w:tcPr>
          <w:p w:rsidR="00D36323" w:rsidRPr="00D36323" w:rsidRDefault="00D36323" w:rsidP="00E5733D">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0.</w:t>
            </w:r>
            <w:r w:rsidR="00E5733D">
              <w:rPr>
                <w:rFonts w:ascii="Calibri" w:hAnsi="Calibri" w:cs="Calibri"/>
                <w:color w:val="000000"/>
                <w:sz w:val="16"/>
                <w:szCs w:val="16"/>
                <w:lang w:eastAsia="en-AU"/>
              </w:rPr>
              <w:t>2</w:t>
            </w:r>
          </w:p>
        </w:tc>
        <w:tc>
          <w:tcPr>
            <w:tcW w:w="1120" w:type="dxa"/>
            <w:tcBorders>
              <w:top w:val="nil"/>
              <w:left w:val="nil"/>
              <w:bottom w:val="single" w:sz="4" w:space="0" w:color="auto"/>
              <w:right w:val="single" w:sz="4" w:space="0" w:color="auto"/>
            </w:tcBorders>
            <w:shd w:val="clear" w:color="auto" w:fill="auto"/>
            <w:noWrap/>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73.0</w:t>
            </w:r>
          </w:p>
        </w:tc>
        <w:tc>
          <w:tcPr>
            <w:tcW w:w="1120" w:type="dxa"/>
            <w:tcBorders>
              <w:top w:val="nil"/>
              <w:left w:val="nil"/>
              <w:bottom w:val="single" w:sz="4" w:space="0" w:color="auto"/>
              <w:right w:val="single" w:sz="4" w:space="0" w:color="auto"/>
            </w:tcBorders>
            <w:shd w:val="clear" w:color="auto" w:fill="auto"/>
            <w:noWrap/>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0.3</w:t>
            </w:r>
          </w:p>
        </w:tc>
      </w:tr>
      <w:tr w:rsidR="00D36323" w:rsidRPr="00D36323">
        <w:trPr>
          <w:trHeight w:val="225"/>
        </w:trPr>
        <w:tc>
          <w:tcPr>
            <w:tcW w:w="1660" w:type="dxa"/>
            <w:tcBorders>
              <w:top w:val="nil"/>
              <w:left w:val="nil"/>
              <w:bottom w:val="nil"/>
              <w:right w:val="nil"/>
            </w:tcBorders>
            <w:shd w:val="clear" w:color="auto" w:fill="auto"/>
            <w:noWrap/>
            <w:vAlign w:val="bottom"/>
          </w:tcPr>
          <w:p w:rsidR="00D36323" w:rsidRPr="00D36323" w:rsidRDefault="00D36323" w:rsidP="00D363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6323" w:rsidRPr="00D36323" w:rsidRDefault="00D36323" w:rsidP="00D363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6323" w:rsidRPr="00D36323" w:rsidRDefault="00D36323" w:rsidP="00D363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6323" w:rsidRPr="00D36323" w:rsidRDefault="00D36323" w:rsidP="00D363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6323" w:rsidRPr="00D36323" w:rsidRDefault="00D36323" w:rsidP="00D363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6323" w:rsidRPr="00D36323" w:rsidRDefault="00D36323" w:rsidP="00D36323">
            <w:pPr>
              <w:rPr>
                <w:rFonts w:ascii="Calibri" w:hAnsi="Calibri" w:cs="Calibri"/>
                <w:color w:val="000000"/>
                <w:sz w:val="16"/>
                <w:szCs w:val="16"/>
                <w:lang w:eastAsia="en-AU"/>
              </w:rPr>
            </w:pPr>
          </w:p>
        </w:tc>
      </w:tr>
      <w:tr w:rsidR="00D36323" w:rsidRPr="00D36323">
        <w:trPr>
          <w:trHeight w:val="450"/>
        </w:trPr>
        <w:tc>
          <w:tcPr>
            <w:tcW w:w="1660" w:type="dxa"/>
            <w:tcBorders>
              <w:top w:val="single" w:sz="4" w:space="0" w:color="auto"/>
              <w:left w:val="single" w:sz="4" w:space="0" w:color="auto"/>
              <w:bottom w:val="nil"/>
              <w:right w:val="single" w:sz="4" w:space="0" w:color="auto"/>
            </w:tcBorders>
            <w:shd w:val="clear" w:color="000000" w:fill="D8D8D8"/>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Method</w:t>
            </w:r>
          </w:p>
        </w:tc>
        <w:tc>
          <w:tcPr>
            <w:tcW w:w="1120" w:type="dxa"/>
            <w:tcBorders>
              <w:top w:val="single" w:sz="4" w:space="0" w:color="auto"/>
              <w:left w:val="nil"/>
              <w:bottom w:val="nil"/>
              <w:right w:val="single" w:sz="4" w:space="0" w:color="auto"/>
            </w:tcBorders>
            <w:shd w:val="clear" w:color="000000" w:fill="D8D8D8"/>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Measure of average</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Average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Lower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Upper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Confidence interval ± (kg)</w:t>
            </w:r>
          </w:p>
        </w:tc>
      </w:tr>
      <w:tr w:rsidR="00D36323" w:rsidRPr="00D36323">
        <w:trPr>
          <w:trHeight w:val="48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Approximation to the normal distribution</w:t>
            </w:r>
          </w:p>
        </w:tc>
        <w:tc>
          <w:tcPr>
            <w:tcW w:w="1120" w:type="dxa"/>
            <w:tcBorders>
              <w:top w:val="single" w:sz="4" w:space="0" w:color="auto"/>
              <w:left w:val="nil"/>
              <w:bottom w:val="single" w:sz="4" w:space="0" w:color="auto"/>
              <w:right w:val="single" w:sz="4" w:space="0" w:color="auto"/>
            </w:tcBorders>
            <w:shd w:val="clear" w:color="auto" w:fill="auto"/>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Mean</w:t>
            </w:r>
          </w:p>
        </w:tc>
        <w:tc>
          <w:tcPr>
            <w:tcW w:w="1120" w:type="dxa"/>
            <w:tcBorders>
              <w:top w:val="nil"/>
              <w:left w:val="nil"/>
              <w:bottom w:val="single" w:sz="4" w:space="0" w:color="auto"/>
              <w:right w:val="single" w:sz="4" w:space="0" w:color="auto"/>
            </w:tcBorders>
            <w:shd w:val="clear" w:color="auto" w:fill="auto"/>
            <w:noWrap/>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4.5</w:t>
            </w:r>
          </w:p>
        </w:tc>
        <w:tc>
          <w:tcPr>
            <w:tcW w:w="1120" w:type="dxa"/>
            <w:tcBorders>
              <w:top w:val="nil"/>
              <w:left w:val="nil"/>
              <w:bottom w:val="single" w:sz="4" w:space="0" w:color="auto"/>
              <w:right w:val="single" w:sz="4" w:space="0" w:color="auto"/>
            </w:tcBorders>
            <w:shd w:val="clear" w:color="auto" w:fill="auto"/>
            <w:noWrap/>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4.0</w:t>
            </w:r>
          </w:p>
        </w:tc>
        <w:tc>
          <w:tcPr>
            <w:tcW w:w="1120" w:type="dxa"/>
            <w:tcBorders>
              <w:top w:val="nil"/>
              <w:left w:val="nil"/>
              <w:bottom w:val="single" w:sz="4" w:space="0" w:color="auto"/>
              <w:right w:val="single" w:sz="4" w:space="0" w:color="auto"/>
            </w:tcBorders>
            <w:shd w:val="clear" w:color="auto" w:fill="auto"/>
            <w:noWrap/>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5.0</w:t>
            </w:r>
          </w:p>
        </w:tc>
        <w:tc>
          <w:tcPr>
            <w:tcW w:w="1120" w:type="dxa"/>
            <w:tcBorders>
              <w:top w:val="nil"/>
              <w:left w:val="nil"/>
              <w:bottom w:val="single" w:sz="4" w:space="0" w:color="auto"/>
              <w:right w:val="single" w:sz="4" w:space="0" w:color="auto"/>
            </w:tcBorders>
            <w:shd w:val="clear" w:color="auto" w:fill="auto"/>
            <w:noWrap/>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0.5</w:t>
            </w:r>
          </w:p>
        </w:tc>
      </w:tr>
      <w:tr w:rsidR="00D36323" w:rsidRPr="00D36323">
        <w:trPr>
          <w:trHeight w:val="480"/>
        </w:trPr>
        <w:tc>
          <w:tcPr>
            <w:tcW w:w="1660" w:type="dxa"/>
            <w:tcBorders>
              <w:top w:val="nil"/>
              <w:left w:val="single" w:sz="4" w:space="0" w:color="auto"/>
              <w:bottom w:val="single" w:sz="4" w:space="0" w:color="auto"/>
              <w:right w:val="single" w:sz="4" w:space="0" w:color="auto"/>
            </w:tcBorders>
            <w:shd w:val="clear" w:color="auto" w:fill="auto"/>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Use of percentiles</w:t>
            </w:r>
          </w:p>
        </w:tc>
        <w:tc>
          <w:tcPr>
            <w:tcW w:w="1120" w:type="dxa"/>
            <w:tcBorders>
              <w:top w:val="nil"/>
              <w:left w:val="nil"/>
              <w:bottom w:val="single" w:sz="4" w:space="0" w:color="auto"/>
              <w:right w:val="single" w:sz="4" w:space="0" w:color="auto"/>
            </w:tcBorders>
            <w:shd w:val="clear" w:color="auto" w:fill="auto"/>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Median</w:t>
            </w:r>
          </w:p>
        </w:tc>
        <w:tc>
          <w:tcPr>
            <w:tcW w:w="1120" w:type="dxa"/>
            <w:tcBorders>
              <w:top w:val="nil"/>
              <w:left w:val="nil"/>
              <w:bottom w:val="single" w:sz="4" w:space="0" w:color="auto"/>
              <w:right w:val="single" w:sz="4" w:space="0" w:color="auto"/>
            </w:tcBorders>
            <w:shd w:val="clear" w:color="auto" w:fill="auto"/>
            <w:noWrap/>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14.9</w:t>
            </w:r>
          </w:p>
        </w:tc>
        <w:tc>
          <w:tcPr>
            <w:tcW w:w="1120" w:type="dxa"/>
            <w:tcBorders>
              <w:top w:val="nil"/>
              <w:left w:val="nil"/>
              <w:bottom w:val="single" w:sz="4" w:space="0" w:color="auto"/>
              <w:right w:val="single" w:sz="4" w:space="0" w:color="auto"/>
            </w:tcBorders>
            <w:shd w:val="clear" w:color="auto" w:fill="auto"/>
            <w:noWrap/>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0.7</w:t>
            </w:r>
          </w:p>
        </w:tc>
        <w:tc>
          <w:tcPr>
            <w:tcW w:w="1120" w:type="dxa"/>
            <w:tcBorders>
              <w:top w:val="nil"/>
              <w:left w:val="nil"/>
              <w:bottom w:val="single" w:sz="4" w:space="0" w:color="auto"/>
              <w:right w:val="single" w:sz="4" w:space="0" w:color="auto"/>
            </w:tcBorders>
            <w:shd w:val="clear" w:color="auto" w:fill="auto"/>
            <w:noWrap/>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68.4</w:t>
            </w:r>
          </w:p>
        </w:tc>
        <w:tc>
          <w:tcPr>
            <w:tcW w:w="1120" w:type="dxa"/>
            <w:tcBorders>
              <w:top w:val="nil"/>
              <w:left w:val="nil"/>
              <w:bottom w:val="single" w:sz="4" w:space="0" w:color="auto"/>
              <w:right w:val="single" w:sz="4" w:space="0" w:color="auto"/>
            </w:tcBorders>
            <w:shd w:val="clear" w:color="auto" w:fill="auto"/>
            <w:noWrap/>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53.4</w:t>
            </w:r>
          </w:p>
        </w:tc>
      </w:tr>
      <w:tr w:rsidR="00D36323" w:rsidRPr="00D36323">
        <w:trPr>
          <w:trHeight w:val="225"/>
        </w:trPr>
        <w:tc>
          <w:tcPr>
            <w:tcW w:w="1660" w:type="dxa"/>
            <w:tcBorders>
              <w:top w:val="nil"/>
              <w:left w:val="nil"/>
              <w:bottom w:val="nil"/>
              <w:right w:val="nil"/>
            </w:tcBorders>
            <w:shd w:val="clear" w:color="auto" w:fill="auto"/>
            <w:noWrap/>
            <w:vAlign w:val="bottom"/>
          </w:tcPr>
          <w:p w:rsidR="00D36323" w:rsidRPr="00D36323" w:rsidRDefault="00D36323" w:rsidP="00D363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6323" w:rsidRPr="00D36323" w:rsidRDefault="00D36323" w:rsidP="00D363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6323" w:rsidRPr="00D36323" w:rsidRDefault="00D36323" w:rsidP="00D363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6323" w:rsidRPr="00D36323" w:rsidRDefault="00D36323" w:rsidP="00D363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6323" w:rsidRPr="00D36323" w:rsidRDefault="00D36323" w:rsidP="00D363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6323" w:rsidRPr="00D36323" w:rsidRDefault="00D36323" w:rsidP="00D36323">
            <w:pPr>
              <w:rPr>
                <w:rFonts w:ascii="Calibri" w:hAnsi="Calibri" w:cs="Calibri"/>
                <w:color w:val="000000"/>
                <w:sz w:val="16"/>
                <w:szCs w:val="16"/>
                <w:lang w:eastAsia="en-AU"/>
              </w:rPr>
            </w:pPr>
          </w:p>
        </w:tc>
      </w:tr>
      <w:tr w:rsidR="00D36323" w:rsidRPr="00D36323">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tcPr>
          <w:p w:rsidR="00D36323" w:rsidRPr="00D36323" w:rsidRDefault="00D36323" w:rsidP="00D36323">
            <w:pPr>
              <w:rPr>
                <w:rFonts w:ascii="Calibri" w:hAnsi="Calibri" w:cs="Calibri"/>
                <w:color w:val="000000"/>
                <w:sz w:val="16"/>
                <w:szCs w:val="16"/>
                <w:lang w:eastAsia="en-AU"/>
              </w:rPr>
            </w:pPr>
            <w:r w:rsidRPr="00D36323">
              <w:rPr>
                <w:rFonts w:ascii="Calibri" w:hAnsi="Calibri" w:cs="Calibri"/>
                <w:color w:val="000000"/>
                <w:sz w:val="16"/>
                <w:szCs w:val="16"/>
                <w:lang w:eastAsia="en-AU"/>
              </w:rPr>
              <w:t>Year</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2010-11</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2009-10</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2008-09</w:t>
            </w:r>
          </w:p>
        </w:tc>
      </w:tr>
      <w:tr w:rsidR="00E5733D" w:rsidRPr="00D36323">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5733D" w:rsidRPr="00D36323" w:rsidRDefault="00E5733D" w:rsidP="00D36323">
            <w:pPr>
              <w:rPr>
                <w:rFonts w:ascii="Calibri" w:hAnsi="Calibri" w:cs="Calibri"/>
                <w:color w:val="000000"/>
                <w:sz w:val="16"/>
                <w:szCs w:val="16"/>
                <w:lang w:eastAsia="en-AU"/>
              </w:rPr>
            </w:pPr>
            <w:r w:rsidRPr="00CB6A7D">
              <w:rPr>
                <w:rFonts w:ascii="Calibri" w:hAnsi="Calibri" w:cs="Calibri"/>
                <w:color w:val="000000"/>
                <w:sz w:val="16"/>
                <w:szCs w:val="16"/>
                <w:lang w:eastAsia="en-AU"/>
              </w:rPr>
              <w:t>Percentage by which the conversion factor over or under estimates the weight of imports</w:t>
            </w:r>
          </w:p>
        </w:tc>
        <w:tc>
          <w:tcPr>
            <w:tcW w:w="1120" w:type="dxa"/>
            <w:tcBorders>
              <w:top w:val="nil"/>
              <w:left w:val="nil"/>
              <w:bottom w:val="single" w:sz="4" w:space="0" w:color="auto"/>
              <w:right w:val="single" w:sz="4" w:space="0" w:color="auto"/>
            </w:tcBorders>
            <w:shd w:val="clear" w:color="auto" w:fill="auto"/>
            <w:noWrap/>
            <w:vAlign w:val="center"/>
          </w:tcPr>
          <w:p w:rsidR="00E5733D" w:rsidRDefault="00E5733D">
            <w:pPr>
              <w:jc w:val="center"/>
              <w:rPr>
                <w:rFonts w:ascii="Calibri" w:hAnsi="Calibri" w:cs="Calibri"/>
                <w:color w:val="000000"/>
                <w:sz w:val="16"/>
                <w:szCs w:val="16"/>
              </w:rPr>
            </w:pPr>
            <w:r>
              <w:rPr>
                <w:rFonts w:ascii="Calibri" w:hAnsi="Calibri" w:cs="Calibri"/>
                <w:color w:val="000000"/>
                <w:sz w:val="16"/>
                <w:szCs w:val="16"/>
              </w:rPr>
              <w:t>0%</w:t>
            </w:r>
          </w:p>
        </w:tc>
        <w:tc>
          <w:tcPr>
            <w:tcW w:w="1120" w:type="dxa"/>
            <w:tcBorders>
              <w:top w:val="nil"/>
              <w:left w:val="nil"/>
              <w:bottom w:val="single" w:sz="4" w:space="0" w:color="auto"/>
              <w:right w:val="single" w:sz="4" w:space="0" w:color="auto"/>
            </w:tcBorders>
            <w:shd w:val="clear" w:color="auto" w:fill="auto"/>
            <w:noWrap/>
            <w:vAlign w:val="center"/>
          </w:tcPr>
          <w:p w:rsidR="00E5733D" w:rsidRDefault="00E5733D">
            <w:pPr>
              <w:jc w:val="center"/>
              <w:rPr>
                <w:rFonts w:ascii="Calibri" w:hAnsi="Calibri" w:cs="Calibri"/>
                <w:color w:val="000000"/>
                <w:sz w:val="16"/>
                <w:szCs w:val="16"/>
              </w:rPr>
            </w:pPr>
            <w:r>
              <w:rPr>
                <w:rFonts w:ascii="Calibri" w:hAnsi="Calibri" w:cs="Calibri"/>
                <w:color w:val="000000"/>
                <w:sz w:val="16"/>
                <w:szCs w:val="16"/>
              </w:rPr>
              <w:t>507%</w:t>
            </w:r>
          </w:p>
        </w:tc>
        <w:tc>
          <w:tcPr>
            <w:tcW w:w="1120" w:type="dxa"/>
            <w:tcBorders>
              <w:top w:val="nil"/>
              <w:left w:val="nil"/>
              <w:bottom w:val="single" w:sz="4" w:space="0" w:color="auto"/>
              <w:right w:val="single" w:sz="4" w:space="0" w:color="auto"/>
            </w:tcBorders>
            <w:shd w:val="clear" w:color="auto" w:fill="auto"/>
            <w:noWrap/>
            <w:vAlign w:val="center"/>
          </w:tcPr>
          <w:p w:rsidR="00E5733D" w:rsidRDefault="00E5733D">
            <w:pPr>
              <w:jc w:val="center"/>
              <w:rPr>
                <w:rFonts w:ascii="Calibri" w:hAnsi="Calibri" w:cs="Calibri"/>
                <w:color w:val="000000"/>
                <w:sz w:val="16"/>
                <w:szCs w:val="16"/>
              </w:rPr>
            </w:pPr>
            <w:r>
              <w:rPr>
                <w:rFonts w:ascii="Calibri" w:hAnsi="Calibri" w:cs="Calibri"/>
                <w:color w:val="000000"/>
                <w:sz w:val="16"/>
                <w:szCs w:val="16"/>
              </w:rPr>
              <w:t>500%</w:t>
            </w:r>
          </w:p>
        </w:tc>
      </w:tr>
    </w:tbl>
    <w:p w:rsidR="00D36323" w:rsidRDefault="00D36323" w:rsidP="000941E0">
      <w:pPr>
        <w:jc w:val="both"/>
        <w:rPr>
          <w:szCs w:val="22"/>
        </w:rPr>
      </w:pPr>
    </w:p>
    <w:p w:rsidR="001A78F2" w:rsidRDefault="00D36323">
      <w:pPr>
        <w:rPr>
          <w:szCs w:val="22"/>
        </w:rPr>
      </w:pPr>
      <w:r w:rsidRPr="005A3097">
        <w:rPr>
          <w:b/>
          <w:szCs w:val="22"/>
        </w:rPr>
        <w:t>Distribution:</w:t>
      </w:r>
      <w:r>
        <w:rPr>
          <w:b/>
          <w:szCs w:val="22"/>
        </w:rPr>
        <w:t xml:space="preserve"> </w:t>
      </w:r>
      <w:r w:rsidRPr="00D36323">
        <w:rPr>
          <w:szCs w:val="22"/>
        </w:rPr>
        <w:t>Fairly</w:t>
      </w:r>
      <w:r>
        <w:rPr>
          <w:b/>
          <w:szCs w:val="22"/>
        </w:rPr>
        <w:t xml:space="preserve"> </w:t>
      </w:r>
      <w:r w:rsidRPr="00D36323">
        <w:rPr>
          <w:szCs w:val="22"/>
        </w:rPr>
        <w:t>wide distribution</w:t>
      </w:r>
      <w:r>
        <w:rPr>
          <w:szCs w:val="22"/>
        </w:rPr>
        <w:t>, although</w:t>
      </w:r>
      <w:r w:rsidRPr="00D36323">
        <w:rPr>
          <w:szCs w:val="22"/>
        </w:rPr>
        <w:t xml:space="preserve"> </w:t>
      </w:r>
      <w:r>
        <w:rPr>
          <w:szCs w:val="22"/>
        </w:rPr>
        <w:t>most imports are between 0-5kg</w:t>
      </w:r>
    </w:p>
    <w:p w:rsidR="001A78F2" w:rsidRDefault="00D36323">
      <w:pPr>
        <w:rPr>
          <w:szCs w:val="22"/>
        </w:rPr>
      </w:pPr>
      <w:r>
        <w:rPr>
          <w:b/>
          <w:szCs w:val="22"/>
        </w:rPr>
        <w:t xml:space="preserve">Proposed conversion factor: </w:t>
      </w:r>
      <w:r>
        <w:rPr>
          <w:szCs w:val="22"/>
        </w:rPr>
        <w:t>4.5 kg</w:t>
      </w:r>
    </w:p>
    <w:p w:rsidR="001A78F2" w:rsidRDefault="00D36323">
      <w:pPr>
        <w:rPr>
          <w:szCs w:val="22"/>
        </w:rPr>
      </w:pPr>
      <w:r>
        <w:rPr>
          <w:b/>
          <w:szCs w:val="22"/>
        </w:rPr>
        <w:t>Proposed confidence interval</w:t>
      </w:r>
      <w:r w:rsidRPr="00B02F83">
        <w:rPr>
          <w:szCs w:val="22"/>
        </w:rPr>
        <w:t xml:space="preserve">: </w:t>
      </w:r>
      <w:r>
        <w:rPr>
          <w:szCs w:val="22"/>
        </w:rPr>
        <w:t xml:space="preserve"> </w:t>
      </w:r>
      <w:r w:rsidR="00755846" w:rsidRPr="00755846">
        <w:rPr>
          <w:szCs w:val="22"/>
        </w:rPr>
        <w:t>±0.5</w:t>
      </w:r>
      <w:r w:rsidR="00755846">
        <w:rPr>
          <w:szCs w:val="22"/>
        </w:rPr>
        <w:t xml:space="preserve"> kg</w:t>
      </w:r>
    </w:p>
    <w:p w:rsidR="001A78F2" w:rsidRDefault="00C62346">
      <w:pPr>
        <w:rPr>
          <w:szCs w:val="22"/>
        </w:rPr>
      </w:pPr>
      <w:r>
        <w:rPr>
          <w:b/>
          <w:szCs w:val="22"/>
        </w:rPr>
        <w:t xml:space="preserve">Variation over time: </w:t>
      </w:r>
      <w:r w:rsidR="00D36323">
        <w:rPr>
          <w:szCs w:val="22"/>
        </w:rPr>
        <w:t>High</w:t>
      </w:r>
    </w:p>
    <w:p w:rsidR="00D36323" w:rsidRDefault="00D36323" w:rsidP="00D36323">
      <w:pPr>
        <w:jc w:val="both"/>
        <w:rPr>
          <w:szCs w:val="22"/>
        </w:rPr>
      </w:pPr>
    </w:p>
    <w:p w:rsidR="00A14EE0" w:rsidRDefault="00A14EE0" w:rsidP="00A14EE0"/>
    <w:p w:rsidR="00AE3EC6" w:rsidRDefault="00AE3EC6">
      <w:pPr>
        <w:rPr>
          <w:rFonts w:ascii="Arial" w:hAnsi="Arial" w:cs="Arial"/>
          <w:b/>
          <w:bCs/>
          <w:iCs/>
          <w:sz w:val="28"/>
          <w:szCs w:val="22"/>
        </w:rPr>
      </w:pPr>
      <w:r>
        <w:br w:type="page"/>
      </w:r>
    </w:p>
    <w:p w:rsidR="00D36323" w:rsidRDefault="00D36323" w:rsidP="002E1A14">
      <w:pPr>
        <w:pStyle w:val="Heading2"/>
      </w:pPr>
      <w:bookmarkStart w:id="60" w:name="_Toc303860092"/>
      <w:bookmarkStart w:id="61" w:name="_Toc304967195"/>
      <w:r>
        <w:t>Speakers</w:t>
      </w:r>
      <w:bookmarkEnd w:id="60"/>
      <w:bookmarkEnd w:id="61"/>
    </w:p>
    <w:p w:rsidR="00D36323" w:rsidRDefault="00D36323" w:rsidP="00D36323"/>
    <w:p w:rsidR="00A60838" w:rsidRDefault="00A60838" w:rsidP="00A60838">
      <w:pPr>
        <w:jc w:val="both"/>
        <w:rPr>
          <w:szCs w:val="22"/>
        </w:rPr>
      </w:pPr>
      <w:r>
        <w:rPr>
          <w:szCs w:val="22"/>
        </w:rPr>
        <w:t>There is only one HTISC within this CTCN.</w:t>
      </w:r>
    </w:p>
    <w:p w:rsidR="00BC4FED" w:rsidRDefault="00BC4FED" w:rsidP="00A60838">
      <w:pPr>
        <w:jc w:val="both"/>
        <w:rPr>
          <w:szCs w:val="22"/>
        </w:rPr>
      </w:pPr>
    </w:p>
    <w:p w:rsidR="00AE3EC6" w:rsidRPr="00BC4FED" w:rsidRDefault="002652C5" w:rsidP="00BC4FED">
      <w:pPr>
        <w:pStyle w:val="Caption"/>
        <w:keepNext/>
      </w:pPr>
      <w:r>
        <w:t>Figure 5-3</w:t>
      </w:r>
      <w:r w:rsidR="009F14B1">
        <w:t>9</w:t>
      </w:r>
      <w:r>
        <w:t xml:space="preserve">  </w:t>
      </w:r>
      <w:r w:rsidR="00BC4FED">
        <w:t xml:space="preserve"> </w:t>
      </w:r>
      <w:r w:rsidR="00AC1355">
        <w:t>HTISC frequency distribution in CF year</w:t>
      </w:r>
    </w:p>
    <w:p w:rsidR="00D36323" w:rsidRPr="00BF37CF" w:rsidRDefault="00AE3EC6" w:rsidP="00BF37CF">
      <w:pPr>
        <w:jc w:val="both"/>
        <w:rPr>
          <w:szCs w:val="22"/>
        </w:rPr>
      </w:pPr>
      <w:r w:rsidRPr="00AE3EC6">
        <w:rPr>
          <w:noProof/>
          <w:szCs w:val="22"/>
          <w:lang w:eastAsia="en-AU"/>
        </w:rPr>
        <w:drawing>
          <wp:inline distT="0" distB="0" distL="0" distR="0">
            <wp:extent cx="4889500" cy="2984500"/>
            <wp:effectExtent l="19050" t="0" r="25400" b="6350"/>
            <wp:docPr id="14"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AE3EC6" w:rsidRDefault="00AE3EC6" w:rsidP="00D36323"/>
    <w:p w:rsidR="00BF37CF" w:rsidRPr="00D36323" w:rsidRDefault="00207129" w:rsidP="00D73340">
      <w:pPr>
        <w:pStyle w:val="Caption"/>
      </w:pPr>
      <w:r>
        <w:t xml:space="preserve">Table 5-30 </w:t>
      </w:r>
      <w:r w:rsidR="00D73340">
        <w:t>Conversion factor statistics</w:t>
      </w:r>
    </w:p>
    <w:tbl>
      <w:tblPr>
        <w:tblW w:w="7260" w:type="dxa"/>
        <w:tblInd w:w="93" w:type="dxa"/>
        <w:tblLook w:val="04A0"/>
      </w:tblPr>
      <w:tblGrid>
        <w:gridCol w:w="1660"/>
        <w:gridCol w:w="1120"/>
        <w:gridCol w:w="1120"/>
        <w:gridCol w:w="1120"/>
        <w:gridCol w:w="1120"/>
        <w:gridCol w:w="1120"/>
      </w:tblGrid>
      <w:tr w:rsidR="00D36323" w:rsidRPr="00D36323">
        <w:trPr>
          <w:trHeight w:val="300"/>
        </w:trPr>
        <w:tc>
          <w:tcPr>
            <w:tcW w:w="3900" w:type="dxa"/>
            <w:gridSpan w:val="3"/>
            <w:tcBorders>
              <w:top w:val="nil"/>
              <w:left w:val="nil"/>
              <w:bottom w:val="nil"/>
              <w:right w:val="nil"/>
            </w:tcBorders>
            <w:shd w:val="clear" w:color="auto" w:fill="auto"/>
            <w:noWrap/>
            <w:vAlign w:val="bottom"/>
          </w:tcPr>
          <w:p w:rsidR="00D36323" w:rsidRPr="00D36323" w:rsidRDefault="00D36323" w:rsidP="00D36323">
            <w:pPr>
              <w:rPr>
                <w:rFonts w:ascii="Arial" w:hAnsi="Arial" w:cs="Arial"/>
                <w:b/>
                <w:bCs/>
                <w:color w:val="000000"/>
                <w:szCs w:val="22"/>
                <w:lang w:eastAsia="en-AU"/>
              </w:rPr>
            </w:pPr>
            <w:r w:rsidRPr="00D36323">
              <w:rPr>
                <w:rFonts w:ascii="Arial" w:hAnsi="Arial" w:cs="Arial"/>
                <w:b/>
                <w:bCs/>
                <w:color w:val="000000"/>
                <w:szCs w:val="22"/>
                <w:lang w:eastAsia="en-AU"/>
              </w:rPr>
              <w:t>SC07 8518.29.90 23 - Speakers etc</w:t>
            </w:r>
          </w:p>
        </w:tc>
        <w:tc>
          <w:tcPr>
            <w:tcW w:w="1120" w:type="dxa"/>
            <w:tcBorders>
              <w:top w:val="nil"/>
              <w:left w:val="nil"/>
              <w:bottom w:val="nil"/>
              <w:right w:val="nil"/>
            </w:tcBorders>
            <w:shd w:val="clear" w:color="auto" w:fill="auto"/>
            <w:noWrap/>
            <w:vAlign w:val="bottom"/>
          </w:tcPr>
          <w:p w:rsidR="00D36323" w:rsidRPr="00D36323" w:rsidRDefault="00D36323" w:rsidP="00D363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6323" w:rsidRPr="00D36323" w:rsidRDefault="00D36323" w:rsidP="00D363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6323" w:rsidRPr="00D36323" w:rsidRDefault="00D36323" w:rsidP="00D36323">
            <w:pPr>
              <w:rPr>
                <w:rFonts w:ascii="Calibri" w:hAnsi="Calibri" w:cs="Calibri"/>
                <w:color w:val="000000"/>
                <w:sz w:val="16"/>
                <w:szCs w:val="16"/>
                <w:lang w:eastAsia="en-AU"/>
              </w:rPr>
            </w:pPr>
          </w:p>
        </w:tc>
      </w:tr>
      <w:tr w:rsidR="00D36323" w:rsidRPr="00D36323">
        <w:trPr>
          <w:trHeight w:val="225"/>
        </w:trPr>
        <w:tc>
          <w:tcPr>
            <w:tcW w:w="1660" w:type="dxa"/>
            <w:tcBorders>
              <w:top w:val="nil"/>
              <w:left w:val="nil"/>
              <w:bottom w:val="nil"/>
              <w:right w:val="nil"/>
            </w:tcBorders>
            <w:shd w:val="clear" w:color="auto" w:fill="auto"/>
            <w:noWrap/>
            <w:vAlign w:val="bottom"/>
          </w:tcPr>
          <w:p w:rsidR="00D36323" w:rsidRPr="00D36323" w:rsidRDefault="00D36323" w:rsidP="00D363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6323" w:rsidRPr="00D36323" w:rsidRDefault="00D36323" w:rsidP="00D363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6323" w:rsidRPr="00D36323" w:rsidRDefault="00D36323" w:rsidP="00D363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6323" w:rsidRPr="00D36323" w:rsidRDefault="00D36323" w:rsidP="00D363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6323" w:rsidRPr="00D36323" w:rsidRDefault="00D36323" w:rsidP="00D363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6323" w:rsidRPr="00D36323" w:rsidRDefault="00D36323" w:rsidP="00D36323">
            <w:pPr>
              <w:rPr>
                <w:rFonts w:ascii="Calibri" w:hAnsi="Calibri" w:cs="Calibri"/>
                <w:color w:val="000000"/>
                <w:sz w:val="16"/>
                <w:szCs w:val="16"/>
                <w:lang w:eastAsia="en-AU"/>
              </w:rPr>
            </w:pPr>
          </w:p>
        </w:tc>
      </w:tr>
      <w:tr w:rsidR="00D36323" w:rsidRPr="00D36323">
        <w:trPr>
          <w:trHeight w:val="450"/>
        </w:trPr>
        <w:tc>
          <w:tcPr>
            <w:tcW w:w="1660" w:type="dxa"/>
            <w:tcBorders>
              <w:top w:val="single" w:sz="4" w:space="0" w:color="auto"/>
              <w:left w:val="single" w:sz="4" w:space="0" w:color="auto"/>
              <w:bottom w:val="single" w:sz="4" w:space="0" w:color="auto"/>
              <w:right w:val="single" w:sz="4" w:space="0" w:color="auto"/>
            </w:tcBorders>
            <w:shd w:val="clear" w:color="000000" w:fill="D8D8D8"/>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CF year</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No. of ABS imports</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 ABS imports included</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Min weight</w:t>
            </w:r>
            <w:r w:rsidRPr="00D36323">
              <w:rPr>
                <w:rFonts w:ascii="Calibri" w:hAnsi="Calibri" w:cs="Calibri"/>
                <w:color w:val="000000"/>
                <w:sz w:val="16"/>
                <w:szCs w:val="16"/>
                <w:lang w:eastAsia="en-AU"/>
              </w:rPr>
              <w:br/>
              <w:t>(kg)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Max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Standard deviation</w:t>
            </w:r>
          </w:p>
        </w:tc>
      </w:tr>
      <w:tr w:rsidR="00D36323" w:rsidRPr="00D36323">
        <w:trPr>
          <w:trHeight w:val="225"/>
        </w:trPr>
        <w:tc>
          <w:tcPr>
            <w:tcW w:w="1660" w:type="dxa"/>
            <w:tcBorders>
              <w:top w:val="nil"/>
              <w:left w:val="single" w:sz="4" w:space="0" w:color="auto"/>
              <w:bottom w:val="single" w:sz="4" w:space="0" w:color="auto"/>
              <w:right w:val="single" w:sz="4" w:space="0" w:color="auto"/>
            </w:tcBorders>
            <w:shd w:val="clear" w:color="auto" w:fill="auto"/>
            <w:noWrap/>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2010-11</w:t>
            </w:r>
          </w:p>
        </w:tc>
        <w:tc>
          <w:tcPr>
            <w:tcW w:w="1120" w:type="dxa"/>
            <w:tcBorders>
              <w:top w:val="nil"/>
              <w:left w:val="nil"/>
              <w:bottom w:val="single" w:sz="4" w:space="0" w:color="auto"/>
              <w:right w:val="single" w:sz="4" w:space="0" w:color="auto"/>
            </w:tcBorders>
            <w:shd w:val="clear" w:color="auto" w:fill="auto"/>
            <w:noWrap/>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1,058,281</w:t>
            </w:r>
          </w:p>
        </w:tc>
        <w:tc>
          <w:tcPr>
            <w:tcW w:w="1120" w:type="dxa"/>
            <w:tcBorders>
              <w:top w:val="nil"/>
              <w:left w:val="nil"/>
              <w:bottom w:val="single" w:sz="4" w:space="0" w:color="auto"/>
              <w:right w:val="single" w:sz="4" w:space="0" w:color="auto"/>
            </w:tcBorders>
            <w:shd w:val="clear" w:color="auto" w:fill="auto"/>
            <w:noWrap/>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0%</w:t>
            </w:r>
          </w:p>
        </w:tc>
        <w:tc>
          <w:tcPr>
            <w:tcW w:w="1120" w:type="dxa"/>
            <w:tcBorders>
              <w:top w:val="nil"/>
              <w:left w:val="nil"/>
              <w:bottom w:val="single" w:sz="4" w:space="0" w:color="auto"/>
              <w:right w:val="single" w:sz="4" w:space="0" w:color="auto"/>
            </w:tcBorders>
            <w:shd w:val="clear" w:color="auto" w:fill="auto"/>
            <w:noWrap/>
            <w:vAlign w:val="center"/>
          </w:tcPr>
          <w:p w:rsidR="00D36323" w:rsidRPr="00D36323" w:rsidRDefault="00D36323" w:rsidP="005F368B">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0.0</w:t>
            </w:r>
            <w:r w:rsidR="005F368B">
              <w:rPr>
                <w:rFonts w:ascii="Calibri" w:hAnsi="Calibri" w:cs="Calibri"/>
                <w:color w:val="000000"/>
                <w:sz w:val="16"/>
                <w:szCs w:val="16"/>
                <w:lang w:eastAsia="en-AU"/>
              </w:rPr>
              <w:t>4</w:t>
            </w:r>
          </w:p>
        </w:tc>
        <w:tc>
          <w:tcPr>
            <w:tcW w:w="1120" w:type="dxa"/>
            <w:tcBorders>
              <w:top w:val="nil"/>
              <w:left w:val="nil"/>
              <w:bottom w:val="single" w:sz="4" w:space="0" w:color="auto"/>
              <w:right w:val="single" w:sz="4" w:space="0" w:color="auto"/>
            </w:tcBorders>
            <w:shd w:val="clear" w:color="auto" w:fill="auto"/>
            <w:noWrap/>
            <w:vAlign w:val="center"/>
          </w:tcPr>
          <w:p w:rsidR="00D36323" w:rsidRPr="00D36323" w:rsidRDefault="004A13E2" w:rsidP="00D36323">
            <w:pPr>
              <w:jc w:val="center"/>
              <w:rPr>
                <w:rFonts w:ascii="Calibri" w:hAnsi="Calibri" w:cs="Calibri"/>
                <w:color w:val="000000"/>
                <w:sz w:val="16"/>
                <w:szCs w:val="16"/>
                <w:lang w:eastAsia="en-AU"/>
              </w:rPr>
            </w:pPr>
            <w:r w:rsidRPr="005F368B">
              <w:rPr>
                <w:rFonts w:ascii="Calibri" w:hAnsi="Calibri" w:cs="Calibri"/>
                <w:color w:val="000000"/>
                <w:sz w:val="16"/>
                <w:szCs w:val="16"/>
                <w:lang w:eastAsia="en-AU"/>
              </w:rPr>
              <w:t>1.0</w:t>
            </w:r>
          </w:p>
        </w:tc>
        <w:tc>
          <w:tcPr>
            <w:tcW w:w="1120" w:type="dxa"/>
            <w:tcBorders>
              <w:top w:val="nil"/>
              <w:left w:val="nil"/>
              <w:bottom w:val="single" w:sz="4" w:space="0" w:color="auto"/>
              <w:right w:val="single" w:sz="4" w:space="0" w:color="auto"/>
            </w:tcBorders>
            <w:shd w:val="clear" w:color="auto" w:fill="auto"/>
            <w:noWrap/>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0.1</w:t>
            </w:r>
          </w:p>
        </w:tc>
      </w:tr>
      <w:tr w:rsidR="00D36323" w:rsidRPr="00D36323">
        <w:trPr>
          <w:trHeight w:val="225"/>
        </w:trPr>
        <w:tc>
          <w:tcPr>
            <w:tcW w:w="1660" w:type="dxa"/>
            <w:tcBorders>
              <w:top w:val="nil"/>
              <w:left w:val="nil"/>
              <w:bottom w:val="nil"/>
              <w:right w:val="nil"/>
            </w:tcBorders>
            <w:shd w:val="clear" w:color="auto" w:fill="auto"/>
            <w:noWrap/>
            <w:vAlign w:val="bottom"/>
          </w:tcPr>
          <w:p w:rsidR="00D36323" w:rsidRPr="00D36323" w:rsidRDefault="00D36323" w:rsidP="00D363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6323" w:rsidRPr="00D36323" w:rsidRDefault="00D36323" w:rsidP="00D363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6323" w:rsidRPr="00D36323" w:rsidRDefault="00D36323" w:rsidP="00D363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6323" w:rsidRPr="00D36323" w:rsidRDefault="00D36323" w:rsidP="00D363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6323" w:rsidRPr="00D36323" w:rsidRDefault="00D36323" w:rsidP="00D363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6323" w:rsidRPr="00D36323" w:rsidRDefault="00D36323" w:rsidP="00D36323">
            <w:pPr>
              <w:rPr>
                <w:rFonts w:ascii="Calibri" w:hAnsi="Calibri" w:cs="Calibri"/>
                <w:color w:val="000000"/>
                <w:sz w:val="16"/>
                <w:szCs w:val="16"/>
                <w:lang w:eastAsia="en-AU"/>
              </w:rPr>
            </w:pPr>
          </w:p>
        </w:tc>
      </w:tr>
      <w:tr w:rsidR="00D36323" w:rsidRPr="00D36323">
        <w:trPr>
          <w:trHeight w:val="450"/>
        </w:trPr>
        <w:tc>
          <w:tcPr>
            <w:tcW w:w="1660" w:type="dxa"/>
            <w:tcBorders>
              <w:top w:val="single" w:sz="4" w:space="0" w:color="auto"/>
              <w:left w:val="single" w:sz="4" w:space="0" w:color="auto"/>
              <w:bottom w:val="nil"/>
              <w:right w:val="single" w:sz="4" w:space="0" w:color="auto"/>
            </w:tcBorders>
            <w:shd w:val="clear" w:color="000000" w:fill="D8D8D8"/>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Method</w:t>
            </w:r>
          </w:p>
        </w:tc>
        <w:tc>
          <w:tcPr>
            <w:tcW w:w="1120" w:type="dxa"/>
            <w:tcBorders>
              <w:top w:val="single" w:sz="4" w:space="0" w:color="auto"/>
              <w:left w:val="nil"/>
              <w:bottom w:val="nil"/>
              <w:right w:val="single" w:sz="4" w:space="0" w:color="auto"/>
            </w:tcBorders>
            <w:shd w:val="clear" w:color="000000" w:fill="D8D8D8"/>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Measure of average</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Average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Lower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Upper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Confidence interval ± (kg)</w:t>
            </w:r>
          </w:p>
        </w:tc>
      </w:tr>
      <w:tr w:rsidR="00D36323" w:rsidRPr="00D36323">
        <w:trPr>
          <w:trHeight w:val="48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Approximation to the normal distribution</w:t>
            </w:r>
          </w:p>
        </w:tc>
        <w:tc>
          <w:tcPr>
            <w:tcW w:w="1120" w:type="dxa"/>
            <w:tcBorders>
              <w:top w:val="single" w:sz="4" w:space="0" w:color="auto"/>
              <w:left w:val="nil"/>
              <w:bottom w:val="single" w:sz="4" w:space="0" w:color="auto"/>
              <w:right w:val="single" w:sz="4" w:space="0" w:color="auto"/>
            </w:tcBorders>
            <w:shd w:val="clear" w:color="auto" w:fill="auto"/>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Mean</w:t>
            </w:r>
          </w:p>
        </w:tc>
        <w:tc>
          <w:tcPr>
            <w:tcW w:w="1120" w:type="dxa"/>
            <w:tcBorders>
              <w:top w:val="nil"/>
              <w:left w:val="nil"/>
              <w:bottom w:val="single" w:sz="4" w:space="0" w:color="auto"/>
              <w:right w:val="single" w:sz="4" w:space="0" w:color="auto"/>
            </w:tcBorders>
            <w:shd w:val="clear" w:color="auto" w:fill="auto"/>
            <w:noWrap/>
            <w:vAlign w:val="center"/>
          </w:tcPr>
          <w:p w:rsidR="00D36323" w:rsidRPr="00D36323" w:rsidRDefault="004A13E2" w:rsidP="00D36323">
            <w:pPr>
              <w:jc w:val="center"/>
              <w:rPr>
                <w:rFonts w:ascii="Calibri" w:hAnsi="Calibri" w:cs="Calibri"/>
                <w:color w:val="000000"/>
                <w:sz w:val="16"/>
                <w:szCs w:val="16"/>
                <w:lang w:eastAsia="en-AU"/>
              </w:rPr>
            </w:pPr>
            <w:r w:rsidRPr="005F368B">
              <w:rPr>
                <w:rFonts w:ascii="Calibri" w:hAnsi="Calibri" w:cs="Calibri"/>
                <w:color w:val="000000"/>
                <w:sz w:val="16"/>
                <w:szCs w:val="16"/>
                <w:lang w:eastAsia="en-AU"/>
              </w:rPr>
              <w:t>0.3</w:t>
            </w:r>
          </w:p>
        </w:tc>
        <w:tc>
          <w:tcPr>
            <w:tcW w:w="1120" w:type="dxa"/>
            <w:tcBorders>
              <w:top w:val="nil"/>
              <w:left w:val="nil"/>
              <w:bottom w:val="single" w:sz="4" w:space="0" w:color="auto"/>
              <w:right w:val="single" w:sz="4" w:space="0" w:color="auto"/>
            </w:tcBorders>
            <w:shd w:val="clear" w:color="auto" w:fill="auto"/>
            <w:noWrap/>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0.0</w:t>
            </w:r>
            <w:r w:rsidR="003A367F">
              <w:rPr>
                <w:rFonts w:ascii="Calibri" w:hAnsi="Calibri" w:cs="Calibri"/>
                <w:color w:val="000000"/>
                <w:sz w:val="16"/>
                <w:szCs w:val="16"/>
                <w:lang w:eastAsia="en-AU"/>
              </w:rPr>
              <w:t>4</w:t>
            </w:r>
          </w:p>
        </w:tc>
        <w:tc>
          <w:tcPr>
            <w:tcW w:w="1120" w:type="dxa"/>
            <w:tcBorders>
              <w:top w:val="nil"/>
              <w:left w:val="nil"/>
              <w:bottom w:val="single" w:sz="4" w:space="0" w:color="auto"/>
              <w:right w:val="single" w:sz="4" w:space="0" w:color="auto"/>
            </w:tcBorders>
            <w:shd w:val="clear" w:color="auto" w:fill="auto"/>
            <w:noWrap/>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0.6</w:t>
            </w:r>
          </w:p>
        </w:tc>
        <w:tc>
          <w:tcPr>
            <w:tcW w:w="1120" w:type="dxa"/>
            <w:tcBorders>
              <w:top w:val="nil"/>
              <w:left w:val="nil"/>
              <w:bottom w:val="single" w:sz="4" w:space="0" w:color="auto"/>
              <w:right w:val="single" w:sz="4" w:space="0" w:color="auto"/>
            </w:tcBorders>
            <w:shd w:val="clear" w:color="auto" w:fill="auto"/>
            <w:noWrap/>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0.3</w:t>
            </w:r>
          </w:p>
        </w:tc>
      </w:tr>
      <w:tr w:rsidR="00D36323" w:rsidRPr="00D36323">
        <w:trPr>
          <w:trHeight w:val="480"/>
        </w:trPr>
        <w:tc>
          <w:tcPr>
            <w:tcW w:w="1660" w:type="dxa"/>
            <w:tcBorders>
              <w:top w:val="nil"/>
              <w:left w:val="single" w:sz="4" w:space="0" w:color="auto"/>
              <w:bottom w:val="single" w:sz="4" w:space="0" w:color="auto"/>
              <w:right w:val="single" w:sz="4" w:space="0" w:color="auto"/>
            </w:tcBorders>
            <w:shd w:val="clear" w:color="auto" w:fill="auto"/>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Use of percentiles</w:t>
            </w:r>
          </w:p>
        </w:tc>
        <w:tc>
          <w:tcPr>
            <w:tcW w:w="1120" w:type="dxa"/>
            <w:tcBorders>
              <w:top w:val="nil"/>
              <w:left w:val="nil"/>
              <w:bottom w:val="single" w:sz="4" w:space="0" w:color="auto"/>
              <w:right w:val="single" w:sz="4" w:space="0" w:color="auto"/>
            </w:tcBorders>
            <w:shd w:val="clear" w:color="auto" w:fill="auto"/>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Median</w:t>
            </w:r>
          </w:p>
        </w:tc>
        <w:tc>
          <w:tcPr>
            <w:tcW w:w="1120" w:type="dxa"/>
            <w:tcBorders>
              <w:top w:val="nil"/>
              <w:left w:val="nil"/>
              <w:bottom w:val="single" w:sz="4" w:space="0" w:color="auto"/>
              <w:right w:val="single" w:sz="4" w:space="0" w:color="auto"/>
            </w:tcBorders>
            <w:shd w:val="clear" w:color="auto" w:fill="auto"/>
            <w:noWrap/>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0.9</w:t>
            </w:r>
          </w:p>
        </w:tc>
        <w:tc>
          <w:tcPr>
            <w:tcW w:w="1120" w:type="dxa"/>
            <w:tcBorders>
              <w:top w:val="nil"/>
              <w:left w:val="nil"/>
              <w:bottom w:val="single" w:sz="4" w:space="0" w:color="auto"/>
              <w:right w:val="single" w:sz="4" w:space="0" w:color="auto"/>
            </w:tcBorders>
            <w:shd w:val="clear" w:color="auto" w:fill="auto"/>
            <w:noWrap/>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0.0</w:t>
            </w:r>
            <w:r w:rsidR="003A367F">
              <w:rPr>
                <w:rFonts w:ascii="Calibri" w:hAnsi="Calibri" w:cs="Calibri"/>
                <w:color w:val="000000"/>
                <w:sz w:val="16"/>
                <w:szCs w:val="16"/>
                <w:lang w:eastAsia="en-AU"/>
              </w:rPr>
              <w:t>4</w:t>
            </w:r>
          </w:p>
        </w:tc>
        <w:tc>
          <w:tcPr>
            <w:tcW w:w="1120" w:type="dxa"/>
            <w:tcBorders>
              <w:top w:val="nil"/>
              <w:left w:val="nil"/>
              <w:bottom w:val="single" w:sz="4" w:space="0" w:color="auto"/>
              <w:right w:val="single" w:sz="4" w:space="0" w:color="auto"/>
            </w:tcBorders>
            <w:shd w:val="clear" w:color="auto" w:fill="auto"/>
            <w:noWrap/>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1.0</w:t>
            </w:r>
          </w:p>
        </w:tc>
        <w:tc>
          <w:tcPr>
            <w:tcW w:w="1120" w:type="dxa"/>
            <w:tcBorders>
              <w:top w:val="nil"/>
              <w:left w:val="nil"/>
              <w:bottom w:val="single" w:sz="4" w:space="0" w:color="auto"/>
              <w:right w:val="single" w:sz="4" w:space="0" w:color="auto"/>
            </w:tcBorders>
            <w:shd w:val="clear" w:color="auto" w:fill="auto"/>
            <w:noWrap/>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0.9</w:t>
            </w:r>
          </w:p>
        </w:tc>
      </w:tr>
      <w:tr w:rsidR="00D36323" w:rsidRPr="00D36323">
        <w:trPr>
          <w:trHeight w:val="225"/>
        </w:trPr>
        <w:tc>
          <w:tcPr>
            <w:tcW w:w="1660" w:type="dxa"/>
            <w:tcBorders>
              <w:top w:val="nil"/>
              <w:left w:val="nil"/>
              <w:bottom w:val="nil"/>
              <w:right w:val="nil"/>
            </w:tcBorders>
            <w:shd w:val="clear" w:color="auto" w:fill="auto"/>
            <w:noWrap/>
            <w:vAlign w:val="bottom"/>
          </w:tcPr>
          <w:p w:rsidR="00D36323" w:rsidRPr="00D36323" w:rsidRDefault="00D36323" w:rsidP="00D363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6323" w:rsidRPr="00D36323" w:rsidRDefault="00D36323" w:rsidP="00D363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6323" w:rsidRPr="00D36323" w:rsidRDefault="00D36323" w:rsidP="00D363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6323" w:rsidRPr="00D36323" w:rsidRDefault="00D36323" w:rsidP="00D363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6323" w:rsidRPr="00D36323" w:rsidRDefault="00D36323" w:rsidP="00D363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6323" w:rsidRPr="00D36323" w:rsidRDefault="00D36323" w:rsidP="00D36323">
            <w:pPr>
              <w:rPr>
                <w:rFonts w:ascii="Calibri" w:hAnsi="Calibri" w:cs="Calibri"/>
                <w:color w:val="000000"/>
                <w:sz w:val="16"/>
                <w:szCs w:val="16"/>
                <w:lang w:eastAsia="en-AU"/>
              </w:rPr>
            </w:pPr>
          </w:p>
        </w:tc>
      </w:tr>
      <w:tr w:rsidR="00D36323" w:rsidRPr="00D36323">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tcPr>
          <w:p w:rsidR="00D36323" w:rsidRPr="00D36323" w:rsidRDefault="00D36323" w:rsidP="00D36323">
            <w:pPr>
              <w:rPr>
                <w:rFonts w:ascii="Calibri" w:hAnsi="Calibri" w:cs="Calibri"/>
                <w:color w:val="000000"/>
                <w:sz w:val="16"/>
                <w:szCs w:val="16"/>
                <w:lang w:eastAsia="en-AU"/>
              </w:rPr>
            </w:pPr>
            <w:r w:rsidRPr="00D36323">
              <w:rPr>
                <w:rFonts w:ascii="Calibri" w:hAnsi="Calibri" w:cs="Calibri"/>
                <w:color w:val="000000"/>
                <w:sz w:val="16"/>
                <w:szCs w:val="16"/>
                <w:lang w:eastAsia="en-AU"/>
              </w:rPr>
              <w:t>Year</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2010-11</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2009-10</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2008-09</w:t>
            </w:r>
          </w:p>
        </w:tc>
      </w:tr>
      <w:tr w:rsidR="00D36323" w:rsidRPr="00D36323">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6323" w:rsidRPr="00D36323" w:rsidRDefault="00606932" w:rsidP="00D36323">
            <w:pPr>
              <w:rPr>
                <w:rFonts w:ascii="Calibri" w:hAnsi="Calibri" w:cs="Calibri"/>
                <w:color w:val="000000"/>
                <w:sz w:val="16"/>
                <w:szCs w:val="16"/>
                <w:lang w:eastAsia="en-AU"/>
              </w:rPr>
            </w:pPr>
            <w:r w:rsidRPr="00CB6A7D">
              <w:rPr>
                <w:rFonts w:ascii="Calibri" w:hAnsi="Calibri" w:cs="Calibri"/>
                <w:color w:val="000000"/>
                <w:sz w:val="16"/>
                <w:szCs w:val="16"/>
                <w:lang w:eastAsia="en-AU"/>
              </w:rPr>
              <w:t>Percentage by which the conversion factor over or under estimates the weight of imports</w:t>
            </w:r>
          </w:p>
        </w:tc>
        <w:tc>
          <w:tcPr>
            <w:tcW w:w="1120" w:type="dxa"/>
            <w:tcBorders>
              <w:top w:val="nil"/>
              <w:left w:val="nil"/>
              <w:bottom w:val="single" w:sz="4" w:space="0" w:color="auto"/>
              <w:right w:val="single" w:sz="4" w:space="0" w:color="auto"/>
            </w:tcBorders>
            <w:shd w:val="clear" w:color="auto" w:fill="auto"/>
            <w:noWrap/>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100%</w:t>
            </w:r>
          </w:p>
        </w:tc>
        <w:tc>
          <w:tcPr>
            <w:tcW w:w="1120" w:type="dxa"/>
            <w:tcBorders>
              <w:top w:val="nil"/>
              <w:left w:val="nil"/>
              <w:bottom w:val="single" w:sz="4" w:space="0" w:color="auto"/>
              <w:right w:val="single" w:sz="4" w:space="0" w:color="auto"/>
            </w:tcBorders>
            <w:shd w:val="clear" w:color="auto" w:fill="auto"/>
            <w:noWrap/>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118%</w:t>
            </w:r>
          </w:p>
        </w:tc>
        <w:tc>
          <w:tcPr>
            <w:tcW w:w="1120" w:type="dxa"/>
            <w:tcBorders>
              <w:top w:val="nil"/>
              <w:left w:val="nil"/>
              <w:bottom w:val="single" w:sz="4" w:space="0" w:color="auto"/>
              <w:right w:val="single" w:sz="4" w:space="0" w:color="auto"/>
            </w:tcBorders>
            <w:shd w:val="clear" w:color="auto" w:fill="auto"/>
            <w:noWrap/>
            <w:vAlign w:val="center"/>
          </w:tcPr>
          <w:p w:rsidR="00D36323" w:rsidRPr="00D36323" w:rsidRDefault="00D36323" w:rsidP="00D36323">
            <w:pPr>
              <w:jc w:val="center"/>
              <w:rPr>
                <w:rFonts w:ascii="Calibri" w:hAnsi="Calibri" w:cs="Calibri"/>
                <w:color w:val="000000"/>
                <w:sz w:val="16"/>
                <w:szCs w:val="16"/>
                <w:lang w:eastAsia="en-AU"/>
              </w:rPr>
            </w:pPr>
            <w:r w:rsidRPr="00D36323">
              <w:rPr>
                <w:rFonts w:ascii="Calibri" w:hAnsi="Calibri" w:cs="Calibri"/>
                <w:color w:val="000000"/>
                <w:sz w:val="16"/>
                <w:szCs w:val="16"/>
                <w:lang w:eastAsia="en-AU"/>
              </w:rPr>
              <w:t>62%</w:t>
            </w:r>
          </w:p>
        </w:tc>
      </w:tr>
    </w:tbl>
    <w:p w:rsidR="00D36323" w:rsidRDefault="00D36323" w:rsidP="00D36323">
      <w:pPr>
        <w:jc w:val="both"/>
        <w:rPr>
          <w:szCs w:val="22"/>
        </w:rPr>
      </w:pPr>
    </w:p>
    <w:p w:rsidR="001A78F2" w:rsidRDefault="00755846">
      <w:pPr>
        <w:rPr>
          <w:szCs w:val="22"/>
        </w:rPr>
      </w:pPr>
      <w:r w:rsidRPr="005A3097">
        <w:rPr>
          <w:b/>
          <w:szCs w:val="22"/>
        </w:rPr>
        <w:t>Distribution:</w:t>
      </w:r>
      <w:r>
        <w:rPr>
          <w:b/>
          <w:szCs w:val="22"/>
        </w:rPr>
        <w:t xml:space="preserve"> </w:t>
      </w:r>
      <w:r>
        <w:rPr>
          <w:szCs w:val="22"/>
        </w:rPr>
        <w:t>All imports are between 0-1 kg</w:t>
      </w:r>
    </w:p>
    <w:p w:rsidR="001A78F2" w:rsidRDefault="00755846">
      <w:pPr>
        <w:rPr>
          <w:szCs w:val="22"/>
        </w:rPr>
      </w:pPr>
      <w:r>
        <w:rPr>
          <w:b/>
          <w:szCs w:val="22"/>
        </w:rPr>
        <w:t xml:space="preserve">Proposed conversion factor: </w:t>
      </w:r>
      <w:r w:rsidR="00FF2C49" w:rsidRPr="00FF2C49">
        <w:rPr>
          <w:szCs w:val="22"/>
        </w:rPr>
        <w:t>0.</w:t>
      </w:r>
      <w:r w:rsidR="00E5733D" w:rsidRPr="00FF2C49">
        <w:rPr>
          <w:szCs w:val="22"/>
        </w:rPr>
        <w:t>3</w:t>
      </w:r>
      <w:r w:rsidR="00E5733D">
        <w:rPr>
          <w:szCs w:val="22"/>
        </w:rPr>
        <w:t xml:space="preserve"> </w:t>
      </w:r>
      <w:r>
        <w:rPr>
          <w:szCs w:val="22"/>
        </w:rPr>
        <w:t>kg</w:t>
      </w:r>
    </w:p>
    <w:p w:rsidR="001A78F2" w:rsidRDefault="00755846">
      <w:pPr>
        <w:rPr>
          <w:szCs w:val="22"/>
        </w:rPr>
      </w:pPr>
      <w:r>
        <w:rPr>
          <w:b/>
          <w:szCs w:val="22"/>
        </w:rPr>
        <w:t>Proposed confidence interval</w:t>
      </w:r>
      <w:r w:rsidRPr="00B02F83">
        <w:rPr>
          <w:szCs w:val="22"/>
        </w:rPr>
        <w:t xml:space="preserve">: </w:t>
      </w:r>
      <w:r>
        <w:rPr>
          <w:szCs w:val="22"/>
        </w:rPr>
        <w:t xml:space="preserve"> </w:t>
      </w:r>
      <w:r w:rsidRPr="00755846">
        <w:rPr>
          <w:szCs w:val="22"/>
        </w:rPr>
        <w:t>±</w:t>
      </w:r>
      <w:r w:rsidR="00E5733D">
        <w:rPr>
          <w:szCs w:val="22"/>
        </w:rPr>
        <w:t xml:space="preserve"> </w:t>
      </w:r>
      <w:r w:rsidRPr="00755846">
        <w:rPr>
          <w:szCs w:val="22"/>
        </w:rPr>
        <w:t>0.</w:t>
      </w:r>
      <w:r>
        <w:rPr>
          <w:szCs w:val="22"/>
        </w:rPr>
        <w:t>3 kg</w:t>
      </w:r>
    </w:p>
    <w:p w:rsidR="00AE3EC6" w:rsidRDefault="00C62346">
      <w:pPr>
        <w:rPr>
          <w:szCs w:val="22"/>
        </w:rPr>
      </w:pPr>
      <w:r>
        <w:rPr>
          <w:b/>
          <w:szCs w:val="22"/>
        </w:rPr>
        <w:t xml:space="preserve">Variation over time: </w:t>
      </w:r>
      <w:r w:rsidR="005C1111">
        <w:rPr>
          <w:szCs w:val="22"/>
        </w:rPr>
        <w:t>High</w:t>
      </w:r>
      <w:r w:rsidR="00AE3EC6">
        <w:rPr>
          <w:szCs w:val="22"/>
        </w:rPr>
        <w:br w:type="page"/>
      </w:r>
    </w:p>
    <w:p w:rsidR="00D914FA" w:rsidRDefault="00D914FA" w:rsidP="00D914FA">
      <w:pPr>
        <w:pStyle w:val="Heading2"/>
      </w:pPr>
      <w:bookmarkStart w:id="62" w:name="_Toc303860093"/>
      <w:bookmarkStart w:id="63" w:name="_Toc304967196"/>
      <w:r>
        <w:t>Web cameras</w:t>
      </w:r>
      <w:bookmarkEnd w:id="62"/>
      <w:bookmarkEnd w:id="63"/>
    </w:p>
    <w:p w:rsidR="009522BF" w:rsidRDefault="009522BF"/>
    <w:p w:rsidR="00D825BC" w:rsidRDefault="00D825BC">
      <w:pPr>
        <w:rPr>
          <w:rFonts w:ascii="Arial" w:hAnsi="Arial" w:cs="Arial"/>
          <w:b/>
          <w:bCs/>
          <w:color w:val="000000"/>
          <w:szCs w:val="22"/>
          <w:lang w:eastAsia="en-AU"/>
        </w:rPr>
      </w:pPr>
      <w:r w:rsidRPr="00D36323">
        <w:rPr>
          <w:rFonts w:ascii="Arial" w:hAnsi="Arial" w:cs="Arial"/>
          <w:b/>
          <w:bCs/>
          <w:color w:val="000000"/>
          <w:szCs w:val="22"/>
          <w:lang w:eastAsia="en-AU"/>
        </w:rPr>
        <w:t xml:space="preserve">SC07 </w:t>
      </w:r>
      <w:r w:rsidR="00557212">
        <w:rPr>
          <w:rFonts w:ascii="Arial" w:hAnsi="Arial" w:cs="Arial"/>
          <w:b/>
          <w:bCs/>
          <w:color w:val="000000"/>
          <w:szCs w:val="22"/>
          <w:lang w:eastAsia="en-AU"/>
        </w:rPr>
        <w:t xml:space="preserve">8525.80.10 </w:t>
      </w:r>
      <w:r w:rsidRPr="00D825BC">
        <w:rPr>
          <w:rFonts w:ascii="Arial" w:hAnsi="Arial" w:cs="Arial"/>
          <w:b/>
          <w:bCs/>
          <w:color w:val="000000"/>
          <w:szCs w:val="22"/>
          <w:lang w:eastAsia="en-AU"/>
        </w:rPr>
        <w:t>15</w:t>
      </w:r>
      <w:r>
        <w:rPr>
          <w:rFonts w:ascii="Arial" w:hAnsi="Arial" w:cs="Arial"/>
          <w:b/>
          <w:bCs/>
          <w:color w:val="000000"/>
          <w:szCs w:val="22"/>
          <w:lang w:eastAsia="en-AU"/>
        </w:rPr>
        <w:t xml:space="preserve"> </w:t>
      </w:r>
      <w:r w:rsidRPr="00D36323">
        <w:rPr>
          <w:rFonts w:ascii="Arial" w:hAnsi="Arial" w:cs="Arial"/>
          <w:b/>
          <w:bCs/>
          <w:color w:val="000000"/>
          <w:szCs w:val="22"/>
          <w:lang w:eastAsia="en-AU"/>
        </w:rPr>
        <w:t xml:space="preserve">- </w:t>
      </w:r>
      <w:r>
        <w:rPr>
          <w:rFonts w:ascii="Arial" w:hAnsi="Arial" w:cs="Arial"/>
          <w:b/>
          <w:bCs/>
          <w:color w:val="000000"/>
          <w:szCs w:val="22"/>
          <w:lang w:eastAsia="en-AU"/>
        </w:rPr>
        <w:t>Web cameras</w:t>
      </w:r>
    </w:p>
    <w:p w:rsidR="00D825BC" w:rsidRDefault="00D825BC"/>
    <w:p w:rsidR="001A78F2" w:rsidRDefault="00A60838">
      <w:pPr>
        <w:rPr>
          <w:szCs w:val="22"/>
        </w:rPr>
      </w:pPr>
      <w:r>
        <w:rPr>
          <w:szCs w:val="22"/>
        </w:rPr>
        <w:t>There is only one HTISC within this CTCN.</w:t>
      </w:r>
    </w:p>
    <w:p w:rsidR="001A78F2" w:rsidRDefault="001A78F2">
      <w:pPr>
        <w:rPr>
          <w:szCs w:val="22"/>
        </w:rPr>
      </w:pPr>
    </w:p>
    <w:p w:rsidR="00697C45" w:rsidRDefault="005F368B" w:rsidP="000941E0">
      <w:pPr>
        <w:jc w:val="both"/>
        <w:rPr>
          <w:szCs w:val="22"/>
        </w:rPr>
      </w:pPr>
      <w:r w:rsidRPr="0031522E">
        <w:rPr>
          <w:szCs w:val="22"/>
        </w:rPr>
        <w:t>The data for this conversion factor is dominated by heavier models at 20 kg</w:t>
      </w:r>
      <w:r>
        <w:rPr>
          <w:szCs w:val="22"/>
        </w:rPr>
        <w:t>, which would appear to represent misclassification based on the know</w:t>
      </w:r>
      <w:r w:rsidR="00DB1A51">
        <w:rPr>
          <w:szCs w:val="22"/>
        </w:rPr>
        <w:t>n web camera market at circa 0.1 k</w:t>
      </w:r>
      <w:r>
        <w:rPr>
          <w:szCs w:val="22"/>
        </w:rPr>
        <w:t>g.</w:t>
      </w:r>
    </w:p>
    <w:p w:rsidR="005F368B" w:rsidRDefault="005F368B" w:rsidP="005F368B">
      <w:pPr>
        <w:jc w:val="both"/>
        <w:rPr>
          <w:szCs w:val="22"/>
        </w:rPr>
      </w:pPr>
    </w:p>
    <w:p w:rsidR="005F368B" w:rsidRDefault="005F368B" w:rsidP="005F368B">
      <w:pPr>
        <w:rPr>
          <w:szCs w:val="22"/>
        </w:rPr>
      </w:pPr>
      <w:r w:rsidRPr="0031522E">
        <w:rPr>
          <w:b/>
          <w:szCs w:val="22"/>
        </w:rPr>
        <w:t>Recommendation:</w:t>
      </w:r>
      <w:r w:rsidRPr="0031522E">
        <w:rPr>
          <w:szCs w:val="22"/>
        </w:rPr>
        <w:t xml:space="preserve"> It is recommended to </w:t>
      </w:r>
      <w:r>
        <w:rPr>
          <w:szCs w:val="22"/>
        </w:rPr>
        <w:t xml:space="preserve">disregard the data collected on web cams via this exercise and use the proxy of </w:t>
      </w:r>
      <w:r w:rsidR="00DB1A51">
        <w:rPr>
          <w:szCs w:val="22"/>
        </w:rPr>
        <w:t>0.1 k</w:t>
      </w:r>
      <w:r>
        <w:rPr>
          <w:szCs w:val="22"/>
        </w:rPr>
        <w:t>g.</w:t>
      </w:r>
    </w:p>
    <w:p w:rsidR="00E5733D" w:rsidRDefault="00E5733D" w:rsidP="000941E0">
      <w:pPr>
        <w:jc w:val="both"/>
        <w:rPr>
          <w:szCs w:val="22"/>
        </w:rPr>
      </w:pPr>
    </w:p>
    <w:p w:rsidR="00E5733D" w:rsidRDefault="00E5733D" w:rsidP="000941E0">
      <w:pPr>
        <w:jc w:val="both"/>
        <w:rPr>
          <w:szCs w:val="22"/>
        </w:rPr>
      </w:pPr>
    </w:p>
    <w:p w:rsidR="001A78F2" w:rsidRDefault="001A78F2">
      <w:pPr>
        <w:rPr>
          <w:szCs w:val="22"/>
        </w:rPr>
      </w:pPr>
    </w:p>
    <w:p w:rsidR="00341385" w:rsidRDefault="00341385" w:rsidP="00341385">
      <w:pPr>
        <w:jc w:val="both"/>
        <w:rPr>
          <w:szCs w:val="22"/>
        </w:rPr>
      </w:pPr>
    </w:p>
    <w:p w:rsidR="00BF37CF" w:rsidRDefault="00BF37CF">
      <w:pPr>
        <w:rPr>
          <w:rFonts w:ascii="Arial" w:hAnsi="Arial" w:cs="Arial"/>
          <w:b/>
          <w:bCs/>
          <w:iCs/>
          <w:sz w:val="28"/>
          <w:szCs w:val="22"/>
        </w:rPr>
      </w:pPr>
      <w:r>
        <w:br w:type="page"/>
      </w:r>
    </w:p>
    <w:p w:rsidR="00341385" w:rsidRPr="00D36323" w:rsidRDefault="00341385" w:rsidP="002E1A14">
      <w:pPr>
        <w:pStyle w:val="Heading2"/>
      </w:pPr>
      <w:bookmarkStart w:id="64" w:name="_Toc303860094"/>
      <w:bookmarkStart w:id="65" w:name="_Toc304967197"/>
      <w:r>
        <w:t>Computer displays</w:t>
      </w:r>
      <w:r w:rsidR="00AE3EC6">
        <w:t xml:space="preserve"> - CRT</w:t>
      </w:r>
      <w:bookmarkEnd w:id="64"/>
      <w:bookmarkEnd w:id="65"/>
    </w:p>
    <w:p w:rsidR="00E5733D" w:rsidRDefault="00E5733D" w:rsidP="00E5733D">
      <w:pPr>
        <w:rPr>
          <w:rFonts w:ascii="Arial" w:hAnsi="Arial" w:cs="Arial"/>
          <w:b/>
          <w:bCs/>
          <w:color w:val="000000"/>
          <w:szCs w:val="22"/>
          <w:lang w:eastAsia="en-AU"/>
        </w:rPr>
      </w:pPr>
    </w:p>
    <w:p w:rsidR="005F368B" w:rsidRDefault="005F368B" w:rsidP="005F368B">
      <w:pPr>
        <w:rPr>
          <w:rFonts w:ascii="Arial" w:hAnsi="Arial" w:cs="Arial"/>
          <w:b/>
          <w:bCs/>
          <w:color w:val="000000"/>
          <w:szCs w:val="22"/>
          <w:lang w:eastAsia="en-AU"/>
        </w:rPr>
      </w:pPr>
      <w:r>
        <w:rPr>
          <w:rFonts w:ascii="Arial" w:hAnsi="Arial" w:cs="Arial"/>
          <w:b/>
          <w:bCs/>
          <w:color w:val="000000"/>
          <w:szCs w:val="22"/>
          <w:lang w:eastAsia="en-AU"/>
        </w:rPr>
        <w:t>Summary of ABS Imports</w:t>
      </w:r>
    </w:p>
    <w:p w:rsidR="00AE3EC6" w:rsidRDefault="00AE3EC6" w:rsidP="005F368B">
      <w:pPr>
        <w:rPr>
          <w:rFonts w:ascii="Arial" w:hAnsi="Arial" w:cs="Arial"/>
          <w:b/>
          <w:bCs/>
          <w:color w:val="000000"/>
          <w:szCs w:val="22"/>
          <w:lang w:eastAsia="en-AU"/>
        </w:rPr>
      </w:pPr>
    </w:p>
    <w:p w:rsidR="00341385" w:rsidRDefault="00AE3EC6" w:rsidP="00BF37CF">
      <w:pPr>
        <w:rPr>
          <w:szCs w:val="22"/>
        </w:rPr>
      </w:pPr>
      <w:r>
        <w:rPr>
          <w:szCs w:val="22"/>
        </w:rPr>
        <w:t>There is only one HTISC within this CTCN.</w:t>
      </w:r>
    </w:p>
    <w:p w:rsidR="00755846" w:rsidRDefault="00755846" w:rsidP="000941E0">
      <w:pPr>
        <w:jc w:val="both"/>
        <w:rPr>
          <w:b/>
          <w:szCs w:val="22"/>
        </w:rPr>
      </w:pPr>
    </w:p>
    <w:p w:rsidR="005F368B" w:rsidRDefault="005F368B">
      <w:pPr>
        <w:rPr>
          <w:rFonts w:ascii="Arial" w:hAnsi="Arial" w:cs="Arial"/>
          <w:b/>
          <w:bCs/>
          <w:color w:val="000000"/>
          <w:szCs w:val="22"/>
          <w:lang w:eastAsia="en-AU"/>
        </w:rPr>
      </w:pPr>
    </w:p>
    <w:p w:rsidR="005F368B" w:rsidRDefault="005F368B" w:rsidP="00BC4FED">
      <w:pPr>
        <w:rPr>
          <w:rFonts w:ascii="Arial" w:hAnsi="Arial" w:cs="Arial"/>
          <w:b/>
          <w:bCs/>
          <w:color w:val="000000"/>
          <w:szCs w:val="22"/>
          <w:lang w:eastAsia="en-AU"/>
        </w:rPr>
      </w:pPr>
      <w:r w:rsidRPr="00D34FC2">
        <w:rPr>
          <w:rFonts w:ascii="Arial" w:hAnsi="Arial" w:cs="Arial"/>
          <w:b/>
          <w:bCs/>
          <w:color w:val="000000"/>
          <w:szCs w:val="22"/>
          <w:lang w:eastAsia="en-AU"/>
        </w:rPr>
        <w:t>SC07 8528.41.00 10 - Computer displays: Computer displays for data processing</w:t>
      </w:r>
    </w:p>
    <w:p w:rsidR="00BC4FED" w:rsidRDefault="00BC4FED" w:rsidP="000941E0">
      <w:pPr>
        <w:jc w:val="both"/>
        <w:rPr>
          <w:rFonts w:ascii="Arial" w:hAnsi="Arial" w:cs="Arial"/>
          <w:b/>
          <w:bCs/>
          <w:color w:val="000000"/>
          <w:szCs w:val="22"/>
          <w:lang w:eastAsia="en-AU"/>
        </w:rPr>
      </w:pPr>
    </w:p>
    <w:p w:rsidR="005F368B" w:rsidRDefault="002652C5" w:rsidP="00BC4FED">
      <w:pPr>
        <w:pStyle w:val="Caption"/>
        <w:keepNext/>
      </w:pPr>
      <w:r>
        <w:t xml:space="preserve">Figure 5-40   </w:t>
      </w:r>
      <w:r w:rsidR="00AC1355">
        <w:t>HTISC frequency distribution in CF year</w:t>
      </w:r>
    </w:p>
    <w:p w:rsidR="006B5387" w:rsidRDefault="006B5387" w:rsidP="006B5387">
      <w:pPr>
        <w:rPr>
          <w:lang w:val="en-GB"/>
        </w:rPr>
      </w:pPr>
      <w:r w:rsidRPr="006B5387">
        <w:rPr>
          <w:noProof/>
          <w:lang w:eastAsia="en-AU"/>
        </w:rPr>
        <w:drawing>
          <wp:inline distT="0" distB="0" distL="0" distR="0">
            <wp:extent cx="4889500" cy="2984500"/>
            <wp:effectExtent l="19050" t="0" r="25400" b="6350"/>
            <wp:docPr id="104"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6B5387" w:rsidRDefault="006B5387" w:rsidP="006B5387">
      <w:pPr>
        <w:rPr>
          <w:lang w:val="en-GB"/>
        </w:rPr>
      </w:pPr>
    </w:p>
    <w:p w:rsidR="005F368B" w:rsidRDefault="005F368B" w:rsidP="000941E0">
      <w:pPr>
        <w:jc w:val="both"/>
        <w:rPr>
          <w:b/>
          <w:szCs w:val="22"/>
        </w:rPr>
      </w:pPr>
    </w:p>
    <w:p w:rsidR="005F368B" w:rsidRDefault="005F368B" w:rsidP="000941E0">
      <w:pPr>
        <w:jc w:val="both"/>
        <w:rPr>
          <w:b/>
          <w:szCs w:val="22"/>
        </w:rPr>
      </w:pPr>
    </w:p>
    <w:p w:rsidR="005F368B" w:rsidRDefault="005F368B" w:rsidP="000941E0">
      <w:pPr>
        <w:jc w:val="both"/>
        <w:rPr>
          <w:b/>
          <w:szCs w:val="22"/>
        </w:rPr>
      </w:pPr>
    </w:p>
    <w:p w:rsidR="005F368B" w:rsidRPr="00D73340" w:rsidRDefault="00207129" w:rsidP="00D73340">
      <w:pPr>
        <w:pStyle w:val="Caption"/>
      </w:pPr>
      <w:r>
        <w:t xml:space="preserve">Table 5-31 </w:t>
      </w:r>
      <w:r w:rsidR="00D73340">
        <w:t>Conversion factor statistics</w:t>
      </w:r>
    </w:p>
    <w:tbl>
      <w:tblPr>
        <w:tblW w:w="7260" w:type="dxa"/>
        <w:tblInd w:w="93" w:type="dxa"/>
        <w:tblLook w:val="04A0"/>
      </w:tblPr>
      <w:tblGrid>
        <w:gridCol w:w="1660"/>
        <w:gridCol w:w="1120"/>
        <w:gridCol w:w="1120"/>
        <w:gridCol w:w="1120"/>
        <w:gridCol w:w="1120"/>
        <w:gridCol w:w="1120"/>
      </w:tblGrid>
      <w:tr w:rsidR="00D34FC2" w:rsidRPr="00D34FC2">
        <w:trPr>
          <w:trHeight w:val="450"/>
        </w:trPr>
        <w:tc>
          <w:tcPr>
            <w:tcW w:w="1660" w:type="dxa"/>
            <w:tcBorders>
              <w:top w:val="single" w:sz="4" w:space="0" w:color="auto"/>
              <w:left w:val="single" w:sz="4" w:space="0" w:color="auto"/>
              <w:bottom w:val="single" w:sz="4" w:space="0" w:color="auto"/>
              <w:right w:val="single" w:sz="4" w:space="0" w:color="auto"/>
            </w:tcBorders>
            <w:shd w:val="clear" w:color="000000" w:fill="D8D8D8"/>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CF year</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No. of ABS imports</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 ABS imports included</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Min weight</w:t>
            </w:r>
            <w:r w:rsidRPr="00D34FC2">
              <w:rPr>
                <w:rFonts w:ascii="Calibri" w:hAnsi="Calibri" w:cs="Calibri"/>
                <w:color w:val="000000"/>
                <w:sz w:val="16"/>
                <w:szCs w:val="16"/>
                <w:lang w:eastAsia="en-AU"/>
              </w:rPr>
              <w:br/>
              <w:t>(kg)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Max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Standard deviation</w:t>
            </w:r>
          </w:p>
        </w:tc>
      </w:tr>
      <w:tr w:rsidR="00D34FC2" w:rsidRPr="00D34FC2">
        <w:trPr>
          <w:trHeight w:val="225"/>
        </w:trPr>
        <w:tc>
          <w:tcPr>
            <w:tcW w:w="1660" w:type="dxa"/>
            <w:tcBorders>
              <w:top w:val="nil"/>
              <w:left w:val="single" w:sz="4" w:space="0" w:color="auto"/>
              <w:bottom w:val="single" w:sz="4" w:space="0" w:color="auto"/>
              <w:right w:val="single" w:sz="4" w:space="0" w:color="auto"/>
            </w:tcBorders>
            <w:shd w:val="clear" w:color="auto" w:fill="auto"/>
            <w:noWrap/>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2010-11</w:t>
            </w:r>
          </w:p>
        </w:tc>
        <w:tc>
          <w:tcPr>
            <w:tcW w:w="1120" w:type="dxa"/>
            <w:tcBorders>
              <w:top w:val="nil"/>
              <w:left w:val="nil"/>
              <w:bottom w:val="single" w:sz="4" w:space="0" w:color="auto"/>
              <w:right w:val="single" w:sz="4" w:space="0" w:color="auto"/>
            </w:tcBorders>
            <w:shd w:val="clear" w:color="auto" w:fill="auto"/>
            <w:noWrap/>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6,969</w:t>
            </w:r>
          </w:p>
        </w:tc>
        <w:tc>
          <w:tcPr>
            <w:tcW w:w="1120" w:type="dxa"/>
            <w:tcBorders>
              <w:top w:val="nil"/>
              <w:left w:val="nil"/>
              <w:bottom w:val="single" w:sz="4" w:space="0" w:color="auto"/>
              <w:right w:val="single" w:sz="4" w:space="0" w:color="auto"/>
            </w:tcBorders>
            <w:shd w:val="clear" w:color="auto" w:fill="auto"/>
            <w:noWrap/>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530%</w:t>
            </w:r>
          </w:p>
        </w:tc>
        <w:tc>
          <w:tcPr>
            <w:tcW w:w="1120" w:type="dxa"/>
            <w:tcBorders>
              <w:top w:val="nil"/>
              <w:left w:val="nil"/>
              <w:bottom w:val="single" w:sz="4" w:space="0" w:color="auto"/>
              <w:right w:val="single" w:sz="4" w:space="0" w:color="auto"/>
            </w:tcBorders>
            <w:shd w:val="clear" w:color="auto" w:fill="auto"/>
            <w:noWrap/>
            <w:vAlign w:val="center"/>
          </w:tcPr>
          <w:p w:rsidR="00D34FC2" w:rsidRPr="00D34FC2" w:rsidRDefault="00D34FC2" w:rsidP="00420A86">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1.</w:t>
            </w:r>
            <w:r w:rsidR="00420A86">
              <w:rPr>
                <w:rFonts w:ascii="Calibri" w:hAnsi="Calibri" w:cs="Calibri"/>
                <w:color w:val="000000"/>
                <w:sz w:val="16"/>
                <w:szCs w:val="16"/>
                <w:lang w:eastAsia="en-AU"/>
              </w:rPr>
              <w:t>7</w:t>
            </w:r>
          </w:p>
        </w:tc>
        <w:tc>
          <w:tcPr>
            <w:tcW w:w="1120" w:type="dxa"/>
            <w:tcBorders>
              <w:top w:val="nil"/>
              <w:left w:val="nil"/>
              <w:bottom w:val="single" w:sz="4" w:space="0" w:color="auto"/>
              <w:right w:val="single" w:sz="4" w:space="0" w:color="auto"/>
            </w:tcBorders>
            <w:shd w:val="clear" w:color="auto" w:fill="auto"/>
            <w:noWrap/>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28.0</w:t>
            </w:r>
          </w:p>
        </w:tc>
        <w:tc>
          <w:tcPr>
            <w:tcW w:w="1120" w:type="dxa"/>
            <w:tcBorders>
              <w:top w:val="nil"/>
              <w:left w:val="nil"/>
              <w:bottom w:val="single" w:sz="4" w:space="0" w:color="auto"/>
              <w:right w:val="single" w:sz="4" w:space="0" w:color="auto"/>
            </w:tcBorders>
            <w:shd w:val="clear" w:color="auto" w:fill="auto"/>
            <w:noWrap/>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0.5</w:t>
            </w:r>
          </w:p>
        </w:tc>
      </w:tr>
      <w:tr w:rsidR="00D34FC2" w:rsidRPr="00D34FC2">
        <w:trPr>
          <w:trHeight w:val="225"/>
        </w:trPr>
        <w:tc>
          <w:tcPr>
            <w:tcW w:w="1660" w:type="dxa"/>
            <w:tcBorders>
              <w:top w:val="nil"/>
              <w:left w:val="nil"/>
              <w:bottom w:val="nil"/>
              <w:right w:val="nil"/>
            </w:tcBorders>
            <w:shd w:val="clear" w:color="auto" w:fill="auto"/>
            <w:noWrap/>
            <w:vAlign w:val="bottom"/>
          </w:tcPr>
          <w:p w:rsidR="00D34FC2" w:rsidRPr="00D34FC2" w:rsidRDefault="00D34FC2" w:rsidP="00D34FC2">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4FC2" w:rsidRPr="00D34FC2" w:rsidRDefault="00D34FC2" w:rsidP="00D34FC2">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4FC2" w:rsidRPr="00D34FC2" w:rsidRDefault="00D34FC2" w:rsidP="00D34FC2">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4FC2" w:rsidRPr="00D34FC2" w:rsidRDefault="00D34FC2" w:rsidP="00D34FC2">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4FC2" w:rsidRPr="00D34FC2" w:rsidRDefault="00D34FC2" w:rsidP="00D34FC2">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4FC2" w:rsidRPr="00D34FC2" w:rsidRDefault="00D34FC2" w:rsidP="00D34FC2">
            <w:pPr>
              <w:rPr>
                <w:rFonts w:ascii="Calibri" w:hAnsi="Calibri" w:cs="Calibri"/>
                <w:color w:val="000000"/>
                <w:sz w:val="16"/>
                <w:szCs w:val="16"/>
                <w:lang w:eastAsia="en-AU"/>
              </w:rPr>
            </w:pPr>
          </w:p>
        </w:tc>
      </w:tr>
      <w:tr w:rsidR="00D34FC2" w:rsidRPr="00D34FC2">
        <w:trPr>
          <w:trHeight w:val="450"/>
        </w:trPr>
        <w:tc>
          <w:tcPr>
            <w:tcW w:w="1660" w:type="dxa"/>
            <w:tcBorders>
              <w:top w:val="single" w:sz="4" w:space="0" w:color="auto"/>
              <w:left w:val="single" w:sz="4" w:space="0" w:color="auto"/>
              <w:bottom w:val="nil"/>
              <w:right w:val="single" w:sz="4" w:space="0" w:color="auto"/>
            </w:tcBorders>
            <w:shd w:val="clear" w:color="000000" w:fill="D8D8D8"/>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Method</w:t>
            </w:r>
          </w:p>
        </w:tc>
        <w:tc>
          <w:tcPr>
            <w:tcW w:w="1120" w:type="dxa"/>
            <w:tcBorders>
              <w:top w:val="single" w:sz="4" w:space="0" w:color="auto"/>
              <w:left w:val="nil"/>
              <w:bottom w:val="nil"/>
              <w:right w:val="single" w:sz="4" w:space="0" w:color="auto"/>
            </w:tcBorders>
            <w:shd w:val="clear" w:color="000000" w:fill="D8D8D8"/>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Measure of average</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Average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Lower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Upper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Confidence interval ± (kg)</w:t>
            </w:r>
          </w:p>
        </w:tc>
      </w:tr>
      <w:tr w:rsidR="00D34FC2" w:rsidRPr="00D34FC2">
        <w:trPr>
          <w:trHeight w:val="48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Approximation to the normal distribution</w:t>
            </w:r>
          </w:p>
        </w:tc>
        <w:tc>
          <w:tcPr>
            <w:tcW w:w="1120" w:type="dxa"/>
            <w:tcBorders>
              <w:top w:val="single" w:sz="4" w:space="0" w:color="auto"/>
              <w:left w:val="nil"/>
              <w:bottom w:val="single" w:sz="4" w:space="0" w:color="auto"/>
              <w:right w:val="single" w:sz="4" w:space="0" w:color="auto"/>
            </w:tcBorders>
            <w:shd w:val="clear" w:color="auto" w:fill="auto"/>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Mean</w:t>
            </w:r>
          </w:p>
        </w:tc>
        <w:tc>
          <w:tcPr>
            <w:tcW w:w="1120" w:type="dxa"/>
            <w:tcBorders>
              <w:top w:val="nil"/>
              <w:left w:val="nil"/>
              <w:bottom w:val="single" w:sz="4" w:space="0" w:color="auto"/>
              <w:right w:val="single" w:sz="4" w:space="0" w:color="auto"/>
            </w:tcBorders>
            <w:shd w:val="clear" w:color="auto" w:fill="auto"/>
            <w:noWrap/>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11.4</w:t>
            </w:r>
          </w:p>
        </w:tc>
        <w:tc>
          <w:tcPr>
            <w:tcW w:w="1120" w:type="dxa"/>
            <w:tcBorders>
              <w:top w:val="nil"/>
              <w:left w:val="nil"/>
              <w:bottom w:val="single" w:sz="4" w:space="0" w:color="auto"/>
              <w:right w:val="single" w:sz="4" w:space="0" w:color="auto"/>
            </w:tcBorders>
            <w:shd w:val="clear" w:color="auto" w:fill="auto"/>
            <w:noWrap/>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10.4</w:t>
            </w:r>
          </w:p>
        </w:tc>
        <w:tc>
          <w:tcPr>
            <w:tcW w:w="1120" w:type="dxa"/>
            <w:tcBorders>
              <w:top w:val="nil"/>
              <w:left w:val="nil"/>
              <w:bottom w:val="single" w:sz="4" w:space="0" w:color="auto"/>
              <w:right w:val="single" w:sz="4" w:space="0" w:color="auto"/>
            </w:tcBorders>
            <w:shd w:val="clear" w:color="auto" w:fill="auto"/>
            <w:noWrap/>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12.3</w:t>
            </w:r>
          </w:p>
        </w:tc>
        <w:tc>
          <w:tcPr>
            <w:tcW w:w="1120" w:type="dxa"/>
            <w:tcBorders>
              <w:top w:val="nil"/>
              <w:left w:val="nil"/>
              <w:bottom w:val="single" w:sz="4" w:space="0" w:color="auto"/>
              <w:right w:val="single" w:sz="4" w:space="0" w:color="auto"/>
            </w:tcBorders>
            <w:shd w:val="clear" w:color="auto" w:fill="auto"/>
            <w:noWrap/>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0.9</w:t>
            </w:r>
          </w:p>
        </w:tc>
      </w:tr>
      <w:tr w:rsidR="00D34FC2" w:rsidRPr="00D34FC2">
        <w:trPr>
          <w:trHeight w:val="480"/>
        </w:trPr>
        <w:tc>
          <w:tcPr>
            <w:tcW w:w="1660" w:type="dxa"/>
            <w:tcBorders>
              <w:top w:val="nil"/>
              <w:left w:val="single" w:sz="4" w:space="0" w:color="auto"/>
              <w:bottom w:val="single" w:sz="4" w:space="0" w:color="auto"/>
              <w:right w:val="single" w:sz="4" w:space="0" w:color="auto"/>
            </w:tcBorders>
            <w:shd w:val="clear" w:color="auto" w:fill="auto"/>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Use of percentiles</w:t>
            </w:r>
          </w:p>
        </w:tc>
        <w:tc>
          <w:tcPr>
            <w:tcW w:w="1120" w:type="dxa"/>
            <w:tcBorders>
              <w:top w:val="nil"/>
              <w:left w:val="nil"/>
              <w:bottom w:val="single" w:sz="4" w:space="0" w:color="auto"/>
              <w:right w:val="single" w:sz="4" w:space="0" w:color="auto"/>
            </w:tcBorders>
            <w:shd w:val="clear" w:color="auto" w:fill="auto"/>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Median</w:t>
            </w:r>
          </w:p>
        </w:tc>
        <w:tc>
          <w:tcPr>
            <w:tcW w:w="1120" w:type="dxa"/>
            <w:tcBorders>
              <w:top w:val="nil"/>
              <w:left w:val="nil"/>
              <w:bottom w:val="single" w:sz="4" w:space="0" w:color="auto"/>
              <w:right w:val="single" w:sz="4" w:space="0" w:color="auto"/>
            </w:tcBorders>
            <w:shd w:val="clear" w:color="auto" w:fill="auto"/>
            <w:noWrap/>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22.0</w:t>
            </w:r>
          </w:p>
        </w:tc>
        <w:tc>
          <w:tcPr>
            <w:tcW w:w="1120" w:type="dxa"/>
            <w:tcBorders>
              <w:top w:val="nil"/>
              <w:left w:val="nil"/>
              <w:bottom w:val="single" w:sz="4" w:space="0" w:color="auto"/>
              <w:right w:val="single" w:sz="4" w:space="0" w:color="auto"/>
            </w:tcBorders>
            <w:shd w:val="clear" w:color="auto" w:fill="auto"/>
            <w:noWrap/>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3.5</w:t>
            </w:r>
          </w:p>
        </w:tc>
        <w:tc>
          <w:tcPr>
            <w:tcW w:w="1120" w:type="dxa"/>
            <w:tcBorders>
              <w:top w:val="nil"/>
              <w:left w:val="nil"/>
              <w:bottom w:val="single" w:sz="4" w:space="0" w:color="auto"/>
              <w:right w:val="single" w:sz="4" w:space="0" w:color="auto"/>
            </w:tcBorders>
            <w:shd w:val="clear" w:color="auto" w:fill="auto"/>
            <w:noWrap/>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23.5</w:t>
            </w:r>
          </w:p>
        </w:tc>
        <w:tc>
          <w:tcPr>
            <w:tcW w:w="1120" w:type="dxa"/>
            <w:tcBorders>
              <w:top w:val="nil"/>
              <w:left w:val="nil"/>
              <w:bottom w:val="single" w:sz="4" w:space="0" w:color="auto"/>
              <w:right w:val="single" w:sz="4" w:space="0" w:color="auto"/>
            </w:tcBorders>
            <w:shd w:val="clear" w:color="auto" w:fill="auto"/>
            <w:noWrap/>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18.5</w:t>
            </w:r>
          </w:p>
        </w:tc>
      </w:tr>
      <w:tr w:rsidR="00D34FC2" w:rsidRPr="00D34FC2">
        <w:trPr>
          <w:trHeight w:val="225"/>
        </w:trPr>
        <w:tc>
          <w:tcPr>
            <w:tcW w:w="1660" w:type="dxa"/>
            <w:tcBorders>
              <w:top w:val="nil"/>
              <w:left w:val="nil"/>
              <w:bottom w:val="nil"/>
              <w:right w:val="nil"/>
            </w:tcBorders>
            <w:shd w:val="clear" w:color="auto" w:fill="auto"/>
            <w:noWrap/>
            <w:vAlign w:val="bottom"/>
          </w:tcPr>
          <w:p w:rsidR="00D34FC2" w:rsidRPr="00D34FC2" w:rsidRDefault="00D34FC2" w:rsidP="00D34FC2">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4FC2" w:rsidRPr="00D34FC2" w:rsidRDefault="00D34FC2" w:rsidP="00D34FC2">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4FC2" w:rsidRPr="00D34FC2" w:rsidRDefault="00D34FC2" w:rsidP="00D34FC2">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4FC2" w:rsidRPr="00D34FC2" w:rsidRDefault="00D34FC2" w:rsidP="00D34FC2">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4FC2" w:rsidRPr="00D34FC2" w:rsidRDefault="00D34FC2" w:rsidP="00D34FC2">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4FC2" w:rsidRPr="00D34FC2" w:rsidRDefault="00D34FC2" w:rsidP="00D34FC2">
            <w:pPr>
              <w:rPr>
                <w:rFonts w:ascii="Calibri" w:hAnsi="Calibri" w:cs="Calibri"/>
                <w:color w:val="000000"/>
                <w:sz w:val="16"/>
                <w:szCs w:val="16"/>
                <w:lang w:eastAsia="en-AU"/>
              </w:rPr>
            </w:pPr>
          </w:p>
        </w:tc>
      </w:tr>
      <w:tr w:rsidR="00D34FC2" w:rsidRPr="00D34FC2">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tcPr>
          <w:p w:rsidR="00D34FC2" w:rsidRPr="00D34FC2" w:rsidRDefault="00D34FC2" w:rsidP="00D34FC2">
            <w:pPr>
              <w:rPr>
                <w:rFonts w:ascii="Calibri" w:hAnsi="Calibri" w:cs="Calibri"/>
                <w:color w:val="000000"/>
                <w:sz w:val="16"/>
                <w:szCs w:val="16"/>
                <w:lang w:eastAsia="en-AU"/>
              </w:rPr>
            </w:pPr>
            <w:r w:rsidRPr="00D34FC2">
              <w:rPr>
                <w:rFonts w:ascii="Calibri" w:hAnsi="Calibri" w:cs="Calibri"/>
                <w:color w:val="000000"/>
                <w:sz w:val="16"/>
                <w:szCs w:val="16"/>
                <w:lang w:eastAsia="en-AU"/>
              </w:rPr>
              <w:t>Year</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2010-11</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2009-10</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2008-09</w:t>
            </w:r>
          </w:p>
        </w:tc>
      </w:tr>
      <w:tr w:rsidR="00420A86" w:rsidRPr="00D34FC2">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20A86" w:rsidRPr="00D34FC2" w:rsidRDefault="00420A86" w:rsidP="00D34FC2">
            <w:pPr>
              <w:rPr>
                <w:rFonts w:ascii="Calibri" w:hAnsi="Calibri" w:cs="Calibri"/>
                <w:color w:val="000000"/>
                <w:sz w:val="16"/>
                <w:szCs w:val="16"/>
                <w:lang w:eastAsia="en-AU"/>
              </w:rPr>
            </w:pPr>
            <w:r w:rsidRPr="00CB6A7D">
              <w:rPr>
                <w:rFonts w:ascii="Calibri" w:hAnsi="Calibri" w:cs="Calibri"/>
                <w:color w:val="000000"/>
                <w:sz w:val="16"/>
                <w:szCs w:val="16"/>
                <w:lang w:eastAsia="en-AU"/>
              </w:rPr>
              <w:t>Percentage by which the conversion factor over or under estimates the weight of imports</w:t>
            </w:r>
          </w:p>
        </w:tc>
        <w:tc>
          <w:tcPr>
            <w:tcW w:w="1120" w:type="dxa"/>
            <w:tcBorders>
              <w:top w:val="nil"/>
              <w:left w:val="nil"/>
              <w:bottom w:val="single" w:sz="4" w:space="0" w:color="auto"/>
              <w:right w:val="single" w:sz="4" w:space="0" w:color="auto"/>
            </w:tcBorders>
            <w:shd w:val="clear" w:color="auto" w:fill="auto"/>
            <w:noWrap/>
            <w:vAlign w:val="center"/>
          </w:tcPr>
          <w:p w:rsidR="00420A86" w:rsidRDefault="00420A86">
            <w:pPr>
              <w:jc w:val="center"/>
              <w:rPr>
                <w:rFonts w:ascii="Calibri" w:hAnsi="Calibri" w:cs="Calibri"/>
                <w:color w:val="000000"/>
                <w:sz w:val="16"/>
                <w:szCs w:val="16"/>
              </w:rPr>
            </w:pPr>
            <w:r>
              <w:rPr>
                <w:rFonts w:ascii="Calibri" w:hAnsi="Calibri" w:cs="Calibri"/>
                <w:color w:val="000000"/>
                <w:sz w:val="16"/>
                <w:szCs w:val="16"/>
              </w:rPr>
              <w:t>0%</w:t>
            </w:r>
          </w:p>
        </w:tc>
        <w:tc>
          <w:tcPr>
            <w:tcW w:w="1120" w:type="dxa"/>
            <w:tcBorders>
              <w:top w:val="nil"/>
              <w:left w:val="nil"/>
              <w:bottom w:val="single" w:sz="4" w:space="0" w:color="auto"/>
              <w:right w:val="single" w:sz="4" w:space="0" w:color="auto"/>
            </w:tcBorders>
            <w:shd w:val="clear" w:color="auto" w:fill="auto"/>
            <w:noWrap/>
            <w:vAlign w:val="center"/>
          </w:tcPr>
          <w:p w:rsidR="00420A86" w:rsidRDefault="00420A86">
            <w:pPr>
              <w:jc w:val="center"/>
              <w:rPr>
                <w:rFonts w:ascii="Calibri" w:hAnsi="Calibri" w:cs="Calibri"/>
                <w:color w:val="000000"/>
                <w:sz w:val="16"/>
                <w:szCs w:val="16"/>
              </w:rPr>
            </w:pPr>
            <w:r>
              <w:rPr>
                <w:rFonts w:ascii="Calibri" w:hAnsi="Calibri" w:cs="Calibri"/>
                <w:color w:val="000000"/>
                <w:sz w:val="16"/>
                <w:szCs w:val="16"/>
              </w:rPr>
              <w:t>51%</w:t>
            </w:r>
          </w:p>
        </w:tc>
        <w:tc>
          <w:tcPr>
            <w:tcW w:w="1120" w:type="dxa"/>
            <w:tcBorders>
              <w:top w:val="nil"/>
              <w:left w:val="nil"/>
              <w:bottom w:val="single" w:sz="4" w:space="0" w:color="auto"/>
              <w:right w:val="single" w:sz="4" w:space="0" w:color="auto"/>
            </w:tcBorders>
            <w:shd w:val="clear" w:color="auto" w:fill="auto"/>
            <w:noWrap/>
            <w:vAlign w:val="center"/>
          </w:tcPr>
          <w:p w:rsidR="00420A86" w:rsidRDefault="00420A86">
            <w:pPr>
              <w:jc w:val="center"/>
              <w:rPr>
                <w:rFonts w:ascii="Calibri" w:hAnsi="Calibri" w:cs="Calibri"/>
                <w:color w:val="000000"/>
                <w:sz w:val="16"/>
                <w:szCs w:val="16"/>
              </w:rPr>
            </w:pPr>
            <w:r>
              <w:rPr>
                <w:rFonts w:ascii="Calibri" w:hAnsi="Calibri" w:cs="Calibri"/>
                <w:color w:val="000000"/>
                <w:sz w:val="16"/>
                <w:szCs w:val="16"/>
              </w:rPr>
              <w:t>94%</w:t>
            </w:r>
          </w:p>
        </w:tc>
      </w:tr>
    </w:tbl>
    <w:p w:rsidR="00D34FC2" w:rsidRDefault="00D34FC2" w:rsidP="00D34FC2">
      <w:pPr>
        <w:jc w:val="both"/>
        <w:rPr>
          <w:b/>
          <w:szCs w:val="22"/>
        </w:rPr>
      </w:pPr>
    </w:p>
    <w:p w:rsidR="001A78F2" w:rsidRDefault="00D34FC2">
      <w:pPr>
        <w:rPr>
          <w:szCs w:val="22"/>
        </w:rPr>
      </w:pPr>
      <w:r w:rsidRPr="005A3097">
        <w:rPr>
          <w:b/>
          <w:szCs w:val="22"/>
        </w:rPr>
        <w:t>Distribution:</w:t>
      </w:r>
      <w:r>
        <w:rPr>
          <w:b/>
          <w:szCs w:val="22"/>
        </w:rPr>
        <w:t xml:space="preserve"> </w:t>
      </w:r>
      <w:r>
        <w:rPr>
          <w:szCs w:val="22"/>
        </w:rPr>
        <w:t>Wide variation</w:t>
      </w:r>
      <w:r w:rsidR="004A018F">
        <w:rPr>
          <w:szCs w:val="22"/>
        </w:rPr>
        <w:t>,</w:t>
      </w:r>
      <w:r>
        <w:rPr>
          <w:szCs w:val="22"/>
        </w:rPr>
        <w:t xml:space="preserve"> with a cluster between 2-6 kg and a cluster between 20-24</w:t>
      </w:r>
      <w:r w:rsidR="004A018F">
        <w:rPr>
          <w:szCs w:val="22"/>
        </w:rPr>
        <w:t xml:space="preserve"> kg</w:t>
      </w:r>
    </w:p>
    <w:p w:rsidR="001A78F2" w:rsidRDefault="00D34FC2">
      <w:pPr>
        <w:rPr>
          <w:szCs w:val="22"/>
        </w:rPr>
      </w:pPr>
      <w:r>
        <w:rPr>
          <w:b/>
          <w:szCs w:val="22"/>
        </w:rPr>
        <w:t xml:space="preserve">Proposed conversion factor: </w:t>
      </w:r>
      <w:r>
        <w:rPr>
          <w:szCs w:val="22"/>
        </w:rPr>
        <w:t>11.4 kg</w:t>
      </w:r>
    </w:p>
    <w:p w:rsidR="001A78F2" w:rsidRDefault="00D34FC2">
      <w:pPr>
        <w:rPr>
          <w:szCs w:val="22"/>
        </w:rPr>
      </w:pPr>
      <w:r>
        <w:rPr>
          <w:b/>
          <w:szCs w:val="22"/>
        </w:rPr>
        <w:t>Proposed confidence interval</w:t>
      </w:r>
      <w:r w:rsidRPr="00B02F83">
        <w:rPr>
          <w:szCs w:val="22"/>
        </w:rPr>
        <w:t xml:space="preserve">: </w:t>
      </w:r>
      <w:r>
        <w:rPr>
          <w:szCs w:val="22"/>
        </w:rPr>
        <w:t xml:space="preserve"> &gt; 3.5 kg, &lt; 23.5 kg</w:t>
      </w:r>
    </w:p>
    <w:p w:rsidR="001A78F2" w:rsidRDefault="00C62346">
      <w:pPr>
        <w:rPr>
          <w:szCs w:val="22"/>
        </w:rPr>
      </w:pPr>
      <w:r>
        <w:rPr>
          <w:b/>
          <w:szCs w:val="22"/>
        </w:rPr>
        <w:t xml:space="preserve">Variation over time: </w:t>
      </w:r>
      <w:r w:rsidR="00D34FC2">
        <w:rPr>
          <w:szCs w:val="22"/>
        </w:rPr>
        <w:t>High</w:t>
      </w:r>
    </w:p>
    <w:p w:rsidR="001A78F2" w:rsidRDefault="001A78F2">
      <w:pPr>
        <w:rPr>
          <w:szCs w:val="22"/>
        </w:rPr>
      </w:pPr>
    </w:p>
    <w:p w:rsidR="00D34FC2" w:rsidRDefault="00D34FC2" w:rsidP="000941E0">
      <w:pPr>
        <w:jc w:val="both"/>
        <w:rPr>
          <w:szCs w:val="22"/>
        </w:rPr>
      </w:pPr>
    </w:p>
    <w:p w:rsidR="00AE3EC6" w:rsidRDefault="00AE3EC6" w:rsidP="00AE3EC6">
      <w:pPr>
        <w:pStyle w:val="Heading2"/>
      </w:pPr>
      <w:bookmarkStart w:id="66" w:name="_Toc303860095"/>
      <w:bookmarkStart w:id="67" w:name="_Toc304967198"/>
      <w:r>
        <w:t xml:space="preserve">Computer displays </w:t>
      </w:r>
      <w:r w:rsidR="00BF37CF">
        <w:t>–</w:t>
      </w:r>
      <w:r>
        <w:t xml:space="preserve"> </w:t>
      </w:r>
      <w:r w:rsidR="00BF37CF">
        <w:t>Non CRT</w:t>
      </w:r>
      <w:bookmarkEnd w:id="66"/>
      <w:bookmarkEnd w:id="67"/>
    </w:p>
    <w:p w:rsidR="00BF37CF" w:rsidRDefault="00BF37CF" w:rsidP="00BF37CF"/>
    <w:p w:rsidR="00BF37CF" w:rsidRPr="00BF37CF" w:rsidRDefault="00BF37CF" w:rsidP="00BF37CF"/>
    <w:p w:rsidR="00BF37CF" w:rsidRDefault="00BF37CF" w:rsidP="00BF37CF">
      <w:pPr>
        <w:rPr>
          <w:i/>
          <w:szCs w:val="22"/>
        </w:rPr>
      </w:pPr>
      <w:r>
        <w:rPr>
          <w:szCs w:val="22"/>
        </w:rPr>
        <w:t>According to ABS import data, 2,402,967 units of pa</w:t>
      </w:r>
      <w:r w:rsidR="00F24DF4">
        <w:rPr>
          <w:szCs w:val="22"/>
        </w:rPr>
        <w:t>rts and accessories of computer</w:t>
      </w:r>
      <w:r>
        <w:rPr>
          <w:szCs w:val="22"/>
        </w:rPr>
        <w:t xml:space="preserve"> displays were imported in 2010-11. The proportions are shown in </w:t>
      </w:r>
      <w:r w:rsidR="002652C5">
        <w:rPr>
          <w:szCs w:val="22"/>
        </w:rPr>
        <w:t>Figure 5-41</w:t>
      </w:r>
      <w:r>
        <w:rPr>
          <w:szCs w:val="22"/>
        </w:rPr>
        <w:t xml:space="preserve">. </w:t>
      </w:r>
      <w:r>
        <w:rPr>
          <w:szCs w:val="22"/>
          <w:lang w:val="en-US"/>
        </w:rPr>
        <w:t xml:space="preserve">Most imports in this CTCN are </w:t>
      </w:r>
      <w:r w:rsidRPr="005F368B">
        <w:rPr>
          <w:i/>
          <w:szCs w:val="22"/>
        </w:rPr>
        <w:t>Flat screen monitors</w:t>
      </w:r>
      <w:r>
        <w:rPr>
          <w:i/>
          <w:szCs w:val="22"/>
        </w:rPr>
        <w:t>.</w:t>
      </w:r>
    </w:p>
    <w:p w:rsidR="00BF37CF" w:rsidRDefault="00BF37CF" w:rsidP="00BF37CF"/>
    <w:p w:rsidR="00BF37CF" w:rsidRPr="000C28BD" w:rsidRDefault="002652C5" w:rsidP="00BF37CF">
      <w:pPr>
        <w:pStyle w:val="Caption"/>
        <w:keepNext/>
      </w:pPr>
      <w:bookmarkStart w:id="68" w:name="_Ref302973694"/>
      <w:r>
        <w:t xml:space="preserve">Figure 5-41  </w:t>
      </w:r>
      <w:r w:rsidR="00BF37CF">
        <w:t xml:space="preserve"> Proportion of HTISCs in 2010-11 CTCN imports data (according to ABS)</w:t>
      </w:r>
      <w:bookmarkEnd w:id="68"/>
    </w:p>
    <w:p w:rsidR="00AE3EC6" w:rsidRDefault="00AE3EC6" w:rsidP="00AE3EC6">
      <w:pPr>
        <w:rPr>
          <w:rFonts w:ascii="Arial" w:hAnsi="Arial" w:cs="Arial"/>
          <w:b/>
          <w:bCs/>
          <w:color w:val="000000"/>
          <w:szCs w:val="22"/>
          <w:lang w:eastAsia="en-AU"/>
        </w:rPr>
      </w:pPr>
    </w:p>
    <w:p w:rsidR="00AE3EC6" w:rsidRDefault="00BF37CF" w:rsidP="000941E0">
      <w:pPr>
        <w:jc w:val="both"/>
        <w:rPr>
          <w:rFonts w:ascii="Arial" w:hAnsi="Arial" w:cs="Arial"/>
          <w:b/>
          <w:bCs/>
          <w:color w:val="000000"/>
          <w:szCs w:val="22"/>
          <w:lang w:eastAsia="en-AU"/>
        </w:rPr>
      </w:pPr>
      <w:r w:rsidRPr="00BF37CF">
        <w:rPr>
          <w:rFonts w:ascii="Arial" w:hAnsi="Arial" w:cs="Arial"/>
          <w:b/>
          <w:bCs/>
          <w:noProof/>
          <w:color w:val="000000"/>
          <w:szCs w:val="22"/>
          <w:lang w:eastAsia="en-AU"/>
        </w:rPr>
        <w:drawing>
          <wp:inline distT="0" distB="0" distL="0" distR="0">
            <wp:extent cx="4572000" cy="2743200"/>
            <wp:effectExtent l="0" t="0" r="0" b="0"/>
            <wp:docPr id="15"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AE3EC6" w:rsidRDefault="00AE3EC6" w:rsidP="000941E0">
      <w:pPr>
        <w:jc w:val="both"/>
        <w:rPr>
          <w:rFonts w:ascii="Arial" w:hAnsi="Arial" w:cs="Arial"/>
          <w:b/>
          <w:bCs/>
          <w:color w:val="000000"/>
          <w:szCs w:val="22"/>
          <w:lang w:eastAsia="en-AU"/>
        </w:rPr>
      </w:pPr>
    </w:p>
    <w:p w:rsidR="00BF37CF" w:rsidRDefault="00BF37CF" w:rsidP="000941E0">
      <w:pPr>
        <w:jc w:val="both"/>
        <w:rPr>
          <w:rFonts w:ascii="Arial" w:hAnsi="Arial" w:cs="Arial"/>
          <w:b/>
          <w:bCs/>
          <w:color w:val="000000"/>
          <w:szCs w:val="22"/>
          <w:lang w:eastAsia="en-AU"/>
        </w:rPr>
      </w:pPr>
    </w:p>
    <w:p w:rsidR="00BF37CF" w:rsidRDefault="00BF37CF" w:rsidP="000941E0">
      <w:pPr>
        <w:jc w:val="both"/>
        <w:rPr>
          <w:rFonts w:ascii="Arial" w:hAnsi="Arial" w:cs="Arial"/>
          <w:b/>
          <w:bCs/>
          <w:color w:val="000000"/>
          <w:szCs w:val="22"/>
          <w:lang w:eastAsia="en-AU"/>
        </w:rPr>
      </w:pPr>
    </w:p>
    <w:p w:rsidR="00BF37CF" w:rsidRDefault="00BF37CF" w:rsidP="000941E0">
      <w:pPr>
        <w:jc w:val="both"/>
        <w:rPr>
          <w:rFonts w:ascii="Arial" w:hAnsi="Arial" w:cs="Arial"/>
          <w:b/>
          <w:bCs/>
          <w:color w:val="000000"/>
          <w:szCs w:val="22"/>
          <w:lang w:eastAsia="en-AU"/>
        </w:rPr>
      </w:pPr>
    </w:p>
    <w:p w:rsidR="00BF37CF" w:rsidRDefault="00BF37CF">
      <w:pPr>
        <w:rPr>
          <w:rFonts w:ascii="Arial" w:hAnsi="Arial" w:cs="Arial"/>
          <w:b/>
          <w:bCs/>
          <w:color w:val="000000"/>
          <w:szCs w:val="22"/>
          <w:lang w:eastAsia="en-AU"/>
        </w:rPr>
      </w:pPr>
      <w:r>
        <w:rPr>
          <w:rFonts w:ascii="Arial" w:hAnsi="Arial" w:cs="Arial"/>
          <w:b/>
          <w:bCs/>
          <w:color w:val="000000"/>
          <w:szCs w:val="22"/>
          <w:lang w:eastAsia="en-AU"/>
        </w:rPr>
        <w:br w:type="page"/>
      </w:r>
    </w:p>
    <w:p w:rsidR="00D34FC2" w:rsidRDefault="00420A86" w:rsidP="000941E0">
      <w:pPr>
        <w:jc w:val="both"/>
        <w:rPr>
          <w:rFonts w:ascii="Arial" w:hAnsi="Arial" w:cs="Arial"/>
          <w:b/>
          <w:bCs/>
          <w:color w:val="000000"/>
          <w:szCs w:val="22"/>
          <w:lang w:eastAsia="en-AU"/>
        </w:rPr>
      </w:pPr>
      <w:r w:rsidRPr="00D34FC2">
        <w:rPr>
          <w:rFonts w:ascii="Arial" w:hAnsi="Arial" w:cs="Arial"/>
          <w:b/>
          <w:bCs/>
          <w:color w:val="000000"/>
          <w:szCs w:val="22"/>
          <w:lang w:eastAsia="en-AU"/>
        </w:rPr>
        <w:t>SC07 8528.51.00 32 - Computer displays: Flat screen monitors</w:t>
      </w:r>
    </w:p>
    <w:p w:rsidR="00BC4FED" w:rsidRDefault="00BC4FED" w:rsidP="00BC4FED">
      <w:pPr>
        <w:pStyle w:val="Caption"/>
        <w:keepNext/>
      </w:pPr>
    </w:p>
    <w:p w:rsidR="00420A86" w:rsidRPr="00BC4FED" w:rsidRDefault="002652C5" w:rsidP="00BC4FED">
      <w:pPr>
        <w:pStyle w:val="Caption"/>
        <w:keepNext/>
      </w:pPr>
      <w:r>
        <w:t xml:space="preserve">Figure 5-42   </w:t>
      </w:r>
      <w:r w:rsidR="00AC1355">
        <w:t>HTISC frequency distribution in CF year</w:t>
      </w:r>
    </w:p>
    <w:p w:rsidR="00420A86" w:rsidRDefault="00420A86" w:rsidP="000941E0">
      <w:pPr>
        <w:jc w:val="both"/>
        <w:rPr>
          <w:rFonts w:ascii="Arial" w:hAnsi="Arial" w:cs="Arial"/>
          <w:b/>
          <w:bCs/>
          <w:color w:val="000000"/>
          <w:szCs w:val="22"/>
          <w:lang w:eastAsia="en-AU"/>
        </w:rPr>
      </w:pPr>
      <w:r w:rsidRPr="00420A86">
        <w:rPr>
          <w:rFonts w:ascii="Arial" w:hAnsi="Arial" w:cs="Arial"/>
          <w:b/>
          <w:bCs/>
          <w:noProof/>
          <w:color w:val="000000"/>
          <w:szCs w:val="22"/>
          <w:lang w:eastAsia="en-AU"/>
        </w:rPr>
        <w:drawing>
          <wp:inline distT="0" distB="0" distL="0" distR="0">
            <wp:extent cx="4889500" cy="2984500"/>
            <wp:effectExtent l="19050" t="0" r="25400" b="6350"/>
            <wp:docPr id="1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420A86" w:rsidRDefault="00420A86" w:rsidP="000941E0">
      <w:pPr>
        <w:jc w:val="both"/>
        <w:rPr>
          <w:rFonts w:ascii="Arial" w:hAnsi="Arial" w:cs="Arial"/>
          <w:b/>
          <w:bCs/>
          <w:color w:val="000000"/>
          <w:szCs w:val="22"/>
          <w:lang w:eastAsia="en-AU"/>
        </w:rPr>
      </w:pPr>
    </w:p>
    <w:p w:rsidR="00D73340" w:rsidRDefault="00D73340" w:rsidP="00D73340">
      <w:pPr>
        <w:pStyle w:val="Caption"/>
      </w:pPr>
    </w:p>
    <w:p w:rsidR="00420A86" w:rsidRPr="00D73340" w:rsidRDefault="00207129" w:rsidP="00D73340">
      <w:pPr>
        <w:pStyle w:val="Caption"/>
      </w:pPr>
      <w:r>
        <w:t xml:space="preserve">Table 5-32 </w:t>
      </w:r>
      <w:r w:rsidR="00D73340">
        <w:t>Conversion factor statistics</w:t>
      </w:r>
    </w:p>
    <w:tbl>
      <w:tblPr>
        <w:tblW w:w="7260" w:type="dxa"/>
        <w:tblInd w:w="93" w:type="dxa"/>
        <w:tblLook w:val="04A0"/>
      </w:tblPr>
      <w:tblGrid>
        <w:gridCol w:w="1660"/>
        <w:gridCol w:w="1120"/>
        <w:gridCol w:w="1120"/>
        <w:gridCol w:w="1120"/>
        <w:gridCol w:w="1120"/>
        <w:gridCol w:w="1120"/>
      </w:tblGrid>
      <w:tr w:rsidR="00D34FC2" w:rsidRPr="00D34FC2">
        <w:trPr>
          <w:trHeight w:val="300"/>
        </w:trPr>
        <w:tc>
          <w:tcPr>
            <w:tcW w:w="7260" w:type="dxa"/>
            <w:gridSpan w:val="6"/>
            <w:tcBorders>
              <w:top w:val="nil"/>
              <w:left w:val="nil"/>
              <w:bottom w:val="nil"/>
              <w:right w:val="nil"/>
            </w:tcBorders>
            <w:shd w:val="clear" w:color="auto" w:fill="auto"/>
            <w:noWrap/>
            <w:vAlign w:val="bottom"/>
          </w:tcPr>
          <w:p w:rsidR="00962B1C" w:rsidRDefault="00D34FC2">
            <w:pPr>
              <w:keepNext/>
              <w:keepLines/>
              <w:rPr>
                <w:rFonts w:ascii="Arial" w:hAnsi="Arial" w:cs="Arial"/>
                <w:b/>
                <w:bCs/>
                <w:color w:val="000000"/>
                <w:szCs w:val="22"/>
                <w:lang w:eastAsia="en-AU"/>
              </w:rPr>
            </w:pPr>
            <w:r w:rsidRPr="00D34FC2">
              <w:rPr>
                <w:rFonts w:ascii="Arial" w:hAnsi="Arial" w:cs="Arial"/>
                <w:b/>
                <w:bCs/>
                <w:color w:val="000000"/>
                <w:szCs w:val="22"/>
                <w:lang w:eastAsia="en-AU"/>
              </w:rPr>
              <w:t>SC07 8528.51.00 32 - Computer displays: Flat screen monitors</w:t>
            </w:r>
          </w:p>
        </w:tc>
      </w:tr>
      <w:tr w:rsidR="00D34FC2" w:rsidRPr="00D34FC2">
        <w:trPr>
          <w:trHeight w:val="225"/>
        </w:trPr>
        <w:tc>
          <w:tcPr>
            <w:tcW w:w="1660" w:type="dxa"/>
            <w:tcBorders>
              <w:top w:val="nil"/>
              <w:left w:val="nil"/>
              <w:bottom w:val="nil"/>
              <w:right w:val="nil"/>
            </w:tcBorders>
            <w:shd w:val="clear" w:color="auto" w:fill="auto"/>
            <w:noWrap/>
            <w:vAlign w:val="bottom"/>
          </w:tcPr>
          <w:p w:rsidR="00D34FC2" w:rsidRPr="00D34FC2" w:rsidRDefault="00D34FC2" w:rsidP="00D34FC2">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4FC2" w:rsidRPr="00D34FC2" w:rsidRDefault="00D34FC2" w:rsidP="00D34FC2">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4FC2" w:rsidRPr="00D34FC2" w:rsidRDefault="00D34FC2" w:rsidP="00D34FC2">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4FC2" w:rsidRPr="00D34FC2" w:rsidRDefault="00D34FC2" w:rsidP="00D34FC2">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4FC2" w:rsidRPr="00D34FC2" w:rsidRDefault="00D34FC2" w:rsidP="00D34FC2">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4FC2" w:rsidRPr="00D34FC2" w:rsidRDefault="00D34FC2" w:rsidP="00D34FC2">
            <w:pPr>
              <w:rPr>
                <w:rFonts w:ascii="Calibri" w:hAnsi="Calibri" w:cs="Calibri"/>
                <w:color w:val="000000"/>
                <w:sz w:val="16"/>
                <w:szCs w:val="16"/>
                <w:lang w:eastAsia="en-AU"/>
              </w:rPr>
            </w:pPr>
          </w:p>
        </w:tc>
      </w:tr>
      <w:tr w:rsidR="00D34FC2" w:rsidRPr="00D34FC2">
        <w:trPr>
          <w:trHeight w:val="450"/>
        </w:trPr>
        <w:tc>
          <w:tcPr>
            <w:tcW w:w="1660" w:type="dxa"/>
            <w:tcBorders>
              <w:top w:val="single" w:sz="4" w:space="0" w:color="auto"/>
              <w:left w:val="single" w:sz="4" w:space="0" w:color="auto"/>
              <w:bottom w:val="single" w:sz="4" w:space="0" w:color="auto"/>
              <w:right w:val="single" w:sz="4" w:space="0" w:color="auto"/>
            </w:tcBorders>
            <w:shd w:val="clear" w:color="000000" w:fill="D8D8D8"/>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CF year</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No. of ABS imports</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 ABS imports included</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Min weight</w:t>
            </w:r>
            <w:r w:rsidRPr="00D34FC2">
              <w:rPr>
                <w:rFonts w:ascii="Calibri" w:hAnsi="Calibri" w:cs="Calibri"/>
                <w:color w:val="000000"/>
                <w:sz w:val="16"/>
                <w:szCs w:val="16"/>
                <w:lang w:eastAsia="en-AU"/>
              </w:rPr>
              <w:br/>
              <w:t>(kg)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Max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Standard deviation</w:t>
            </w:r>
          </w:p>
        </w:tc>
      </w:tr>
      <w:tr w:rsidR="00D34FC2" w:rsidRPr="00D34FC2">
        <w:trPr>
          <w:trHeight w:val="225"/>
        </w:trPr>
        <w:tc>
          <w:tcPr>
            <w:tcW w:w="1660" w:type="dxa"/>
            <w:tcBorders>
              <w:top w:val="nil"/>
              <w:left w:val="single" w:sz="4" w:space="0" w:color="auto"/>
              <w:bottom w:val="single" w:sz="4" w:space="0" w:color="auto"/>
              <w:right w:val="single" w:sz="4" w:space="0" w:color="auto"/>
            </w:tcBorders>
            <w:shd w:val="clear" w:color="auto" w:fill="auto"/>
            <w:noWrap/>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2010-11</w:t>
            </w:r>
          </w:p>
        </w:tc>
        <w:tc>
          <w:tcPr>
            <w:tcW w:w="1120" w:type="dxa"/>
            <w:tcBorders>
              <w:top w:val="nil"/>
              <w:left w:val="nil"/>
              <w:bottom w:val="single" w:sz="4" w:space="0" w:color="auto"/>
              <w:right w:val="single" w:sz="4" w:space="0" w:color="auto"/>
            </w:tcBorders>
            <w:shd w:val="clear" w:color="auto" w:fill="auto"/>
            <w:noWrap/>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2,348,796</w:t>
            </w:r>
          </w:p>
        </w:tc>
        <w:tc>
          <w:tcPr>
            <w:tcW w:w="1120" w:type="dxa"/>
            <w:tcBorders>
              <w:top w:val="nil"/>
              <w:left w:val="nil"/>
              <w:bottom w:val="single" w:sz="4" w:space="0" w:color="auto"/>
              <w:right w:val="single" w:sz="4" w:space="0" w:color="auto"/>
            </w:tcBorders>
            <w:shd w:val="clear" w:color="auto" w:fill="auto"/>
            <w:noWrap/>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3%</w:t>
            </w:r>
          </w:p>
        </w:tc>
        <w:tc>
          <w:tcPr>
            <w:tcW w:w="1120" w:type="dxa"/>
            <w:tcBorders>
              <w:top w:val="nil"/>
              <w:left w:val="nil"/>
              <w:bottom w:val="single" w:sz="4" w:space="0" w:color="auto"/>
              <w:right w:val="single" w:sz="4" w:space="0" w:color="auto"/>
            </w:tcBorders>
            <w:shd w:val="clear" w:color="auto" w:fill="auto"/>
            <w:noWrap/>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2.7</w:t>
            </w:r>
          </w:p>
        </w:tc>
        <w:tc>
          <w:tcPr>
            <w:tcW w:w="1120" w:type="dxa"/>
            <w:tcBorders>
              <w:top w:val="nil"/>
              <w:left w:val="nil"/>
              <w:bottom w:val="single" w:sz="4" w:space="0" w:color="auto"/>
              <w:right w:val="single" w:sz="4" w:space="0" w:color="auto"/>
            </w:tcBorders>
            <w:shd w:val="clear" w:color="auto" w:fill="auto"/>
            <w:noWrap/>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13.4</w:t>
            </w:r>
          </w:p>
        </w:tc>
        <w:tc>
          <w:tcPr>
            <w:tcW w:w="1120" w:type="dxa"/>
            <w:tcBorders>
              <w:top w:val="nil"/>
              <w:left w:val="nil"/>
              <w:bottom w:val="single" w:sz="4" w:space="0" w:color="auto"/>
              <w:right w:val="single" w:sz="4" w:space="0" w:color="auto"/>
            </w:tcBorders>
            <w:shd w:val="clear" w:color="auto" w:fill="auto"/>
            <w:noWrap/>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0.8</w:t>
            </w:r>
          </w:p>
        </w:tc>
      </w:tr>
      <w:tr w:rsidR="00D34FC2" w:rsidRPr="00D34FC2">
        <w:trPr>
          <w:trHeight w:val="225"/>
        </w:trPr>
        <w:tc>
          <w:tcPr>
            <w:tcW w:w="1660" w:type="dxa"/>
            <w:tcBorders>
              <w:top w:val="nil"/>
              <w:left w:val="nil"/>
              <w:bottom w:val="nil"/>
              <w:right w:val="nil"/>
            </w:tcBorders>
            <w:shd w:val="clear" w:color="auto" w:fill="auto"/>
            <w:noWrap/>
            <w:vAlign w:val="bottom"/>
          </w:tcPr>
          <w:p w:rsidR="00D34FC2" w:rsidRPr="00D34FC2" w:rsidRDefault="00D34FC2" w:rsidP="00D34FC2">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4FC2" w:rsidRPr="00D34FC2" w:rsidRDefault="00D34FC2" w:rsidP="00D34FC2">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4FC2" w:rsidRPr="00D34FC2" w:rsidRDefault="00D34FC2" w:rsidP="00D34FC2">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4FC2" w:rsidRPr="00D34FC2" w:rsidRDefault="00D34FC2" w:rsidP="00D34FC2">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4FC2" w:rsidRPr="00D34FC2" w:rsidRDefault="00D34FC2" w:rsidP="00D34FC2">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4FC2" w:rsidRPr="00D34FC2" w:rsidRDefault="00D34FC2" w:rsidP="00D34FC2">
            <w:pPr>
              <w:rPr>
                <w:rFonts w:ascii="Calibri" w:hAnsi="Calibri" w:cs="Calibri"/>
                <w:color w:val="000000"/>
                <w:sz w:val="16"/>
                <w:szCs w:val="16"/>
                <w:lang w:eastAsia="en-AU"/>
              </w:rPr>
            </w:pPr>
          </w:p>
        </w:tc>
      </w:tr>
      <w:tr w:rsidR="00D34FC2" w:rsidRPr="00D34FC2">
        <w:trPr>
          <w:trHeight w:val="450"/>
        </w:trPr>
        <w:tc>
          <w:tcPr>
            <w:tcW w:w="1660" w:type="dxa"/>
            <w:tcBorders>
              <w:top w:val="single" w:sz="4" w:space="0" w:color="auto"/>
              <w:left w:val="single" w:sz="4" w:space="0" w:color="auto"/>
              <w:bottom w:val="nil"/>
              <w:right w:val="single" w:sz="4" w:space="0" w:color="auto"/>
            </w:tcBorders>
            <w:shd w:val="clear" w:color="000000" w:fill="D8D8D8"/>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Method</w:t>
            </w:r>
          </w:p>
        </w:tc>
        <w:tc>
          <w:tcPr>
            <w:tcW w:w="1120" w:type="dxa"/>
            <w:tcBorders>
              <w:top w:val="single" w:sz="4" w:space="0" w:color="auto"/>
              <w:left w:val="nil"/>
              <w:bottom w:val="nil"/>
              <w:right w:val="single" w:sz="4" w:space="0" w:color="auto"/>
            </w:tcBorders>
            <w:shd w:val="clear" w:color="000000" w:fill="D8D8D8"/>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Measure of average</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Average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Lower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Upper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Confidence interval ± (kg)</w:t>
            </w:r>
          </w:p>
        </w:tc>
      </w:tr>
      <w:tr w:rsidR="00D34FC2" w:rsidRPr="00D34FC2">
        <w:trPr>
          <w:trHeight w:val="48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Approximation to the normal distribution</w:t>
            </w:r>
          </w:p>
        </w:tc>
        <w:tc>
          <w:tcPr>
            <w:tcW w:w="1120" w:type="dxa"/>
            <w:tcBorders>
              <w:top w:val="single" w:sz="4" w:space="0" w:color="auto"/>
              <w:left w:val="nil"/>
              <w:bottom w:val="single" w:sz="4" w:space="0" w:color="auto"/>
              <w:right w:val="single" w:sz="4" w:space="0" w:color="auto"/>
            </w:tcBorders>
            <w:shd w:val="clear" w:color="auto" w:fill="auto"/>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Mean</w:t>
            </w:r>
          </w:p>
        </w:tc>
        <w:tc>
          <w:tcPr>
            <w:tcW w:w="1120" w:type="dxa"/>
            <w:tcBorders>
              <w:top w:val="nil"/>
              <w:left w:val="nil"/>
              <w:bottom w:val="single" w:sz="4" w:space="0" w:color="auto"/>
              <w:right w:val="single" w:sz="4" w:space="0" w:color="auto"/>
            </w:tcBorders>
            <w:shd w:val="clear" w:color="auto" w:fill="auto"/>
            <w:noWrap/>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6.4</w:t>
            </w:r>
          </w:p>
        </w:tc>
        <w:tc>
          <w:tcPr>
            <w:tcW w:w="1120" w:type="dxa"/>
            <w:tcBorders>
              <w:top w:val="nil"/>
              <w:left w:val="nil"/>
              <w:bottom w:val="single" w:sz="4" w:space="0" w:color="auto"/>
              <w:right w:val="single" w:sz="4" w:space="0" w:color="auto"/>
            </w:tcBorders>
            <w:shd w:val="clear" w:color="auto" w:fill="auto"/>
            <w:noWrap/>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4.9</w:t>
            </w:r>
          </w:p>
        </w:tc>
        <w:tc>
          <w:tcPr>
            <w:tcW w:w="1120" w:type="dxa"/>
            <w:tcBorders>
              <w:top w:val="nil"/>
              <w:left w:val="nil"/>
              <w:bottom w:val="single" w:sz="4" w:space="0" w:color="auto"/>
              <w:right w:val="single" w:sz="4" w:space="0" w:color="auto"/>
            </w:tcBorders>
            <w:shd w:val="clear" w:color="auto" w:fill="auto"/>
            <w:noWrap/>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7.9</w:t>
            </w:r>
          </w:p>
        </w:tc>
        <w:tc>
          <w:tcPr>
            <w:tcW w:w="1120" w:type="dxa"/>
            <w:tcBorders>
              <w:top w:val="nil"/>
              <w:left w:val="nil"/>
              <w:bottom w:val="single" w:sz="4" w:space="0" w:color="auto"/>
              <w:right w:val="single" w:sz="4" w:space="0" w:color="auto"/>
            </w:tcBorders>
            <w:shd w:val="clear" w:color="auto" w:fill="auto"/>
            <w:noWrap/>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1.5</w:t>
            </w:r>
          </w:p>
        </w:tc>
      </w:tr>
      <w:tr w:rsidR="00D34FC2" w:rsidRPr="00D34FC2">
        <w:trPr>
          <w:trHeight w:val="480"/>
        </w:trPr>
        <w:tc>
          <w:tcPr>
            <w:tcW w:w="1660" w:type="dxa"/>
            <w:tcBorders>
              <w:top w:val="nil"/>
              <w:left w:val="single" w:sz="4" w:space="0" w:color="auto"/>
              <w:bottom w:val="single" w:sz="4" w:space="0" w:color="auto"/>
              <w:right w:val="single" w:sz="4" w:space="0" w:color="auto"/>
            </w:tcBorders>
            <w:shd w:val="clear" w:color="auto" w:fill="auto"/>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Use of percentiles</w:t>
            </w:r>
          </w:p>
        </w:tc>
        <w:tc>
          <w:tcPr>
            <w:tcW w:w="1120" w:type="dxa"/>
            <w:tcBorders>
              <w:top w:val="nil"/>
              <w:left w:val="nil"/>
              <w:bottom w:val="single" w:sz="4" w:space="0" w:color="auto"/>
              <w:right w:val="single" w:sz="4" w:space="0" w:color="auto"/>
            </w:tcBorders>
            <w:shd w:val="clear" w:color="auto" w:fill="auto"/>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Median</w:t>
            </w:r>
          </w:p>
        </w:tc>
        <w:tc>
          <w:tcPr>
            <w:tcW w:w="1120" w:type="dxa"/>
            <w:tcBorders>
              <w:top w:val="nil"/>
              <w:left w:val="nil"/>
              <w:bottom w:val="single" w:sz="4" w:space="0" w:color="auto"/>
              <w:right w:val="single" w:sz="4" w:space="0" w:color="auto"/>
            </w:tcBorders>
            <w:shd w:val="clear" w:color="auto" w:fill="auto"/>
            <w:noWrap/>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6.0</w:t>
            </w:r>
          </w:p>
        </w:tc>
        <w:tc>
          <w:tcPr>
            <w:tcW w:w="1120" w:type="dxa"/>
            <w:tcBorders>
              <w:top w:val="nil"/>
              <w:left w:val="nil"/>
              <w:bottom w:val="single" w:sz="4" w:space="0" w:color="auto"/>
              <w:right w:val="single" w:sz="4" w:space="0" w:color="auto"/>
            </w:tcBorders>
            <w:shd w:val="clear" w:color="auto" w:fill="auto"/>
            <w:noWrap/>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3.3</w:t>
            </w:r>
          </w:p>
        </w:tc>
        <w:tc>
          <w:tcPr>
            <w:tcW w:w="1120" w:type="dxa"/>
            <w:tcBorders>
              <w:top w:val="nil"/>
              <w:left w:val="nil"/>
              <w:bottom w:val="single" w:sz="4" w:space="0" w:color="auto"/>
              <w:right w:val="single" w:sz="4" w:space="0" w:color="auto"/>
            </w:tcBorders>
            <w:shd w:val="clear" w:color="auto" w:fill="auto"/>
            <w:noWrap/>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10.7</w:t>
            </w:r>
          </w:p>
        </w:tc>
        <w:tc>
          <w:tcPr>
            <w:tcW w:w="1120" w:type="dxa"/>
            <w:tcBorders>
              <w:top w:val="nil"/>
              <w:left w:val="nil"/>
              <w:bottom w:val="single" w:sz="4" w:space="0" w:color="auto"/>
              <w:right w:val="single" w:sz="4" w:space="0" w:color="auto"/>
            </w:tcBorders>
            <w:shd w:val="clear" w:color="auto" w:fill="auto"/>
            <w:noWrap/>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4.7</w:t>
            </w:r>
          </w:p>
        </w:tc>
      </w:tr>
      <w:tr w:rsidR="00D34FC2" w:rsidRPr="00D34FC2">
        <w:trPr>
          <w:trHeight w:val="225"/>
        </w:trPr>
        <w:tc>
          <w:tcPr>
            <w:tcW w:w="1660" w:type="dxa"/>
            <w:tcBorders>
              <w:top w:val="nil"/>
              <w:left w:val="nil"/>
              <w:bottom w:val="nil"/>
              <w:right w:val="nil"/>
            </w:tcBorders>
            <w:shd w:val="clear" w:color="auto" w:fill="auto"/>
            <w:noWrap/>
            <w:vAlign w:val="bottom"/>
          </w:tcPr>
          <w:p w:rsidR="00D34FC2" w:rsidRPr="00D34FC2" w:rsidRDefault="00D34FC2" w:rsidP="00D34FC2">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4FC2" w:rsidRPr="00D34FC2" w:rsidRDefault="00D34FC2" w:rsidP="00D34FC2">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4FC2" w:rsidRPr="00D34FC2" w:rsidRDefault="00D34FC2" w:rsidP="00D34FC2">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4FC2" w:rsidRPr="00D34FC2" w:rsidRDefault="00D34FC2" w:rsidP="00D34FC2">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4FC2" w:rsidRPr="00D34FC2" w:rsidRDefault="00D34FC2" w:rsidP="00D34FC2">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4FC2" w:rsidRPr="00D34FC2" w:rsidRDefault="00D34FC2" w:rsidP="00D34FC2">
            <w:pPr>
              <w:rPr>
                <w:rFonts w:ascii="Calibri" w:hAnsi="Calibri" w:cs="Calibri"/>
                <w:color w:val="000000"/>
                <w:sz w:val="16"/>
                <w:szCs w:val="16"/>
                <w:lang w:eastAsia="en-AU"/>
              </w:rPr>
            </w:pPr>
          </w:p>
        </w:tc>
      </w:tr>
      <w:tr w:rsidR="00D34FC2" w:rsidRPr="00D34FC2">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tcPr>
          <w:p w:rsidR="00D34FC2" w:rsidRPr="00D34FC2" w:rsidRDefault="00D34FC2" w:rsidP="00D34FC2">
            <w:pPr>
              <w:rPr>
                <w:rFonts w:ascii="Calibri" w:hAnsi="Calibri" w:cs="Calibri"/>
                <w:color w:val="000000"/>
                <w:sz w:val="16"/>
                <w:szCs w:val="16"/>
                <w:lang w:eastAsia="en-AU"/>
              </w:rPr>
            </w:pPr>
            <w:r w:rsidRPr="00D34FC2">
              <w:rPr>
                <w:rFonts w:ascii="Calibri" w:hAnsi="Calibri" w:cs="Calibri"/>
                <w:color w:val="000000"/>
                <w:sz w:val="16"/>
                <w:szCs w:val="16"/>
                <w:lang w:eastAsia="en-AU"/>
              </w:rPr>
              <w:t>Year</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2010-11</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2009-10</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2008-09</w:t>
            </w:r>
          </w:p>
        </w:tc>
      </w:tr>
      <w:tr w:rsidR="00420A86" w:rsidRPr="00D34FC2">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20A86" w:rsidRPr="00D34FC2" w:rsidRDefault="00420A86" w:rsidP="00D34FC2">
            <w:pPr>
              <w:rPr>
                <w:rFonts w:ascii="Calibri" w:hAnsi="Calibri" w:cs="Calibri"/>
                <w:color w:val="000000"/>
                <w:sz w:val="16"/>
                <w:szCs w:val="16"/>
                <w:lang w:eastAsia="en-AU"/>
              </w:rPr>
            </w:pPr>
            <w:r w:rsidRPr="00CB6A7D">
              <w:rPr>
                <w:rFonts w:ascii="Calibri" w:hAnsi="Calibri" w:cs="Calibri"/>
                <w:color w:val="000000"/>
                <w:sz w:val="16"/>
                <w:szCs w:val="16"/>
                <w:lang w:eastAsia="en-AU"/>
              </w:rPr>
              <w:t>Percentage by which the conversion factor over or under estimates the weight of imports</w:t>
            </w:r>
          </w:p>
        </w:tc>
        <w:tc>
          <w:tcPr>
            <w:tcW w:w="1120" w:type="dxa"/>
            <w:tcBorders>
              <w:top w:val="nil"/>
              <w:left w:val="nil"/>
              <w:bottom w:val="single" w:sz="4" w:space="0" w:color="auto"/>
              <w:right w:val="single" w:sz="4" w:space="0" w:color="auto"/>
            </w:tcBorders>
            <w:shd w:val="clear" w:color="auto" w:fill="auto"/>
            <w:noWrap/>
            <w:vAlign w:val="center"/>
          </w:tcPr>
          <w:p w:rsidR="00420A86" w:rsidRDefault="00420A86">
            <w:pPr>
              <w:jc w:val="center"/>
              <w:rPr>
                <w:rFonts w:ascii="Calibri" w:hAnsi="Calibri" w:cs="Calibri"/>
                <w:color w:val="000000"/>
                <w:sz w:val="16"/>
                <w:szCs w:val="16"/>
              </w:rPr>
            </w:pPr>
            <w:r>
              <w:rPr>
                <w:rFonts w:ascii="Calibri" w:hAnsi="Calibri" w:cs="Calibri"/>
                <w:color w:val="000000"/>
                <w:sz w:val="16"/>
                <w:szCs w:val="16"/>
              </w:rPr>
              <w:t>0%</w:t>
            </w:r>
          </w:p>
        </w:tc>
        <w:tc>
          <w:tcPr>
            <w:tcW w:w="1120" w:type="dxa"/>
            <w:tcBorders>
              <w:top w:val="nil"/>
              <w:left w:val="nil"/>
              <w:bottom w:val="single" w:sz="4" w:space="0" w:color="auto"/>
              <w:right w:val="single" w:sz="4" w:space="0" w:color="auto"/>
            </w:tcBorders>
            <w:shd w:val="clear" w:color="auto" w:fill="auto"/>
            <w:noWrap/>
            <w:vAlign w:val="center"/>
          </w:tcPr>
          <w:p w:rsidR="00420A86" w:rsidRDefault="00420A86">
            <w:pPr>
              <w:jc w:val="center"/>
              <w:rPr>
                <w:rFonts w:ascii="Calibri" w:hAnsi="Calibri" w:cs="Calibri"/>
                <w:color w:val="000000"/>
                <w:sz w:val="16"/>
                <w:szCs w:val="16"/>
              </w:rPr>
            </w:pPr>
            <w:r>
              <w:rPr>
                <w:rFonts w:ascii="Calibri" w:hAnsi="Calibri" w:cs="Calibri"/>
                <w:color w:val="000000"/>
                <w:sz w:val="16"/>
                <w:szCs w:val="16"/>
              </w:rPr>
              <w:t>3%</w:t>
            </w:r>
          </w:p>
        </w:tc>
        <w:tc>
          <w:tcPr>
            <w:tcW w:w="1120" w:type="dxa"/>
            <w:tcBorders>
              <w:top w:val="nil"/>
              <w:left w:val="nil"/>
              <w:bottom w:val="single" w:sz="4" w:space="0" w:color="auto"/>
              <w:right w:val="single" w:sz="4" w:space="0" w:color="auto"/>
            </w:tcBorders>
            <w:shd w:val="clear" w:color="auto" w:fill="auto"/>
            <w:noWrap/>
            <w:vAlign w:val="center"/>
          </w:tcPr>
          <w:p w:rsidR="00420A86" w:rsidRDefault="00420A86">
            <w:pPr>
              <w:jc w:val="center"/>
              <w:rPr>
                <w:rFonts w:ascii="Calibri" w:hAnsi="Calibri" w:cs="Calibri"/>
                <w:color w:val="000000"/>
                <w:sz w:val="16"/>
                <w:szCs w:val="16"/>
              </w:rPr>
            </w:pPr>
            <w:r>
              <w:rPr>
                <w:rFonts w:ascii="Calibri" w:hAnsi="Calibri" w:cs="Calibri"/>
                <w:color w:val="000000"/>
                <w:sz w:val="16"/>
                <w:szCs w:val="16"/>
              </w:rPr>
              <w:t>0%</w:t>
            </w:r>
          </w:p>
        </w:tc>
      </w:tr>
    </w:tbl>
    <w:p w:rsidR="00D34FC2" w:rsidRDefault="00D34FC2" w:rsidP="000941E0">
      <w:pPr>
        <w:jc w:val="both"/>
        <w:rPr>
          <w:szCs w:val="22"/>
        </w:rPr>
      </w:pPr>
    </w:p>
    <w:p w:rsidR="001A78F2" w:rsidRDefault="001A78F2">
      <w:pPr>
        <w:rPr>
          <w:b/>
          <w:szCs w:val="22"/>
        </w:rPr>
      </w:pPr>
    </w:p>
    <w:p w:rsidR="001A78F2" w:rsidRDefault="00740708">
      <w:pPr>
        <w:rPr>
          <w:szCs w:val="22"/>
        </w:rPr>
      </w:pPr>
      <w:r w:rsidRPr="005A3097">
        <w:rPr>
          <w:b/>
          <w:szCs w:val="22"/>
        </w:rPr>
        <w:t>Distribution:</w:t>
      </w:r>
      <w:r>
        <w:rPr>
          <w:b/>
          <w:szCs w:val="22"/>
        </w:rPr>
        <w:t xml:space="preserve"> </w:t>
      </w:r>
      <w:r>
        <w:rPr>
          <w:szCs w:val="22"/>
        </w:rPr>
        <w:t>A relatively normal shaped distribution, peaking at 5-6 kg with a small cluster at 10-11 kg.</w:t>
      </w:r>
    </w:p>
    <w:p w:rsidR="001A78F2" w:rsidRDefault="00740708">
      <w:pPr>
        <w:rPr>
          <w:szCs w:val="22"/>
        </w:rPr>
      </w:pPr>
      <w:r>
        <w:rPr>
          <w:b/>
          <w:szCs w:val="22"/>
        </w:rPr>
        <w:t xml:space="preserve">Proposed conversion factor: </w:t>
      </w:r>
      <w:r>
        <w:rPr>
          <w:szCs w:val="22"/>
        </w:rPr>
        <w:t>6.4 kg</w:t>
      </w:r>
    </w:p>
    <w:p w:rsidR="001A78F2" w:rsidRDefault="00740708">
      <w:pPr>
        <w:rPr>
          <w:szCs w:val="22"/>
        </w:rPr>
      </w:pPr>
      <w:r>
        <w:rPr>
          <w:b/>
          <w:szCs w:val="22"/>
        </w:rPr>
        <w:t>Proposed confidence interval</w:t>
      </w:r>
      <w:r w:rsidRPr="00B02F83">
        <w:rPr>
          <w:szCs w:val="22"/>
        </w:rPr>
        <w:t xml:space="preserve">: </w:t>
      </w:r>
      <w:r>
        <w:rPr>
          <w:szCs w:val="22"/>
        </w:rPr>
        <w:t xml:space="preserve"> </w:t>
      </w:r>
      <w:r w:rsidRPr="00D34FC2">
        <w:rPr>
          <w:szCs w:val="22"/>
        </w:rPr>
        <w:t>±</w:t>
      </w:r>
      <w:r w:rsidRPr="00740708">
        <w:rPr>
          <w:szCs w:val="22"/>
        </w:rPr>
        <w:t>1.5 kg</w:t>
      </w:r>
    </w:p>
    <w:p w:rsidR="001A78F2" w:rsidRDefault="00C62346">
      <w:pPr>
        <w:rPr>
          <w:szCs w:val="22"/>
        </w:rPr>
      </w:pPr>
      <w:r>
        <w:rPr>
          <w:b/>
          <w:szCs w:val="22"/>
        </w:rPr>
        <w:t xml:space="preserve">Variation over time: </w:t>
      </w:r>
      <w:r w:rsidR="00740708">
        <w:rPr>
          <w:szCs w:val="22"/>
        </w:rPr>
        <w:t>Low</w:t>
      </w:r>
    </w:p>
    <w:p w:rsidR="001A78F2" w:rsidRDefault="001A78F2">
      <w:pPr>
        <w:rPr>
          <w:szCs w:val="22"/>
        </w:rPr>
      </w:pPr>
    </w:p>
    <w:p w:rsidR="00420A86" w:rsidRDefault="00420A86">
      <w:pPr>
        <w:rPr>
          <w:rFonts w:ascii="Arial" w:hAnsi="Arial" w:cs="Arial"/>
          <w:b/>
          <w:bCs/>
          <w:color w:val="000000"/>
          <w:szCs w:val="22"/>
          <w:lang w:eastAsia="en-AU"/>
        </w:rPr>
      </w:pPr>
    </w:p>
    <w:p w:rsidR="00420A86" w:rsidRDefault="00420A86">
      <w:pPr>
        <w:rPr>
          <w:rFonts w:ascii="Arial" w:hAnsi="Arial" w:cs="Arial"/>
          <w:b/>
          <w:bCs/>
          <w:color w:val="000000"/>
          <w:szCs w:val="22"/>
          <w:lang w:eastAsia="en-AU"/>
        </w:rPr>
      </w:pPr>
    </w:p>
    <w:p w:rsidR="00420A86" w:rsidRDefault="00420A86">
      <w:pPr>
        <w:rPr>
          <w:rFonts w:ascii="Arial" w:hAnsi="Arial" w:cs="Arial"/>
          <w:b/>
          <w:bCs/>
          <w:color w:val="000000"/>
          <w:szCs w:val="22"/>
          <w:lang w:eastAsia="en-AU"/>
        </w:rPr>
      </w:pPr>
    </w:p>
    <w:p w:rsidR="00420A86" w:rsidRDefault="00420A86">
      <w:pPr>
        <w:rPr>
          <w:rFonts w:ascii="Arial" w:hAnsi="Arial" w:cs="Arial"/>
          <w:b/>
          <w:bCs/>
          <w:color w:val="000000"/>
          <w:szCs w:val="22"/>
          <w:lang w:eastAsia="en-AU"/>
        </w:rPr>
      </w:pPr>
    </w:p>
    <w:p w:rsidR="001A78F2" w:rsidRDefault="00420A86">
      <w:pPr>
        <w:rPr>
          <w:rFonts w:ascii="Arial" w:hAnsi="Arial" w:cs="Arial"/>
          <w:b/>
          <w:bCs/>
          <w:color w:val="000000"/>
          <w:szCs w:val="22"/>
          <w:lang w:eastAsia="en-AU"/>
        </w:rPr>
      </w:pPr>
      <w:r w:rsidRPr="00D34FC2">
        <w:rPr>
          <w:rFonts w:ascii="Arial" w:hAnsi="Arial" w:cs="Arial"/>
          <w:b/>
          <w:bCs/>
          <w:color w:val="000000"/>
          <w:szCs w:val="22"/>
          <w:lang w:eastAsia="en-AU"/>
        </w:rPr>
        <w:t>SC07 8528.51.00 33 - Computer displays: Other</w:t>
      </w:r>
    </w:p>
    <w:p w:rsidR="00420A86" w:rsidRDefault="00420A86">
      <w:pPr>
        <w:rPr>
          <w:rFonts w:ascii="Arial" w:hAnsi="Arial" w:cs="Arial"/>
          <w:b/>
          <w:bCs/>
          <w:color w:val="000000"/>
          <w:szCs w:val="22"/>
          <w:lang w:eastAsia="en-AU"/>
        </w:rPr>
      </w:pPr>
    </w:p>
    <w:p w:rsidR="00BC4FED" w:rsidRPr="00BC4FED" w:rsidRDefault="002652C5" w:rsidP="00BC4FED">
      <w:pPr>
        <w:pStyle w:val="Caption"/>
        <w:keepNext/>
      </w:pPr>
      <w:r>
        <w:t xml:space="preserve">Figure 5-43   </w:t>
      </w:r>
      <w:r w:rsidR="00AC1355">
        <w:t>HTISC frequency distribution in CF year</w:t>
      </w:r>
    </w:p>
    <w:p w:rsidR="00420A86" w:rsidRDefault="00420A86">
      <w:pPr>
        <w:rPr>
          <w:rFonts w:ascii="Arial" w:hAnsi="Arial" w:cs="Arial"/>
          <w:b/>
          <w:bCs/>
          <w:color w:val="000000"/>
          <w:szCs w:val="22"/>
          <w:lang w:eastAsia="en-AU"/>
        </w:rPr>
      </w:pPr>
      <w:r w:rsidRPr="00420A86">
        <w:rPr>
          <w:rFonts w:ascii="Arial" w:hAnsi="Arial" w:cs="Arial"/>
          <w:b/>
          <w:bCs/>
          <w:noProof/>
          <w:color w:val="000000"/>
          <w:szCs w:val="22"/>
          <w:lang w:eastAsia="en-AU"/>
        </w:rPr>
        <w:drawing>
          <wp:inline distT="0" distB="0" distL="0" distR="0">
            <wp:extent cx="4889500" cy="2984500"/>
            <wp:effectExtent l="19050" t="0" r="25400" b="6350"/>
            <wp:docPr id="1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420A86" w:rsidRDefault="00420A86">
      <w:pPr>
        <w:rPr>
          <w:rFonts w:ascii="Arial" w:hAnsi="Arial" w:cs="Arial"/>
          <w:b/>
          <w:bCs/>
          <w:color w:val="000000"/>
          <w:szCs w:val="22"/>
          <w:lang w:eastAsia="en-AU"/>
        </w:rPr>
      </w:pPr>
    </w:p>
    <w:p w:rsidR="00420A86" w:rsidRDefault="00420A86">
      <w:pPr>
        <w:rPr>
          <w:rFonts w:ascii="Arial" w:hAnsi="Arial" w:cs="Arial"/>
          <w:b/>
          <w:bCs/>
          <w:color w:val="000000"/>
          <w:szCs w:val="22"/>
          <w:lang w:eastAsia="en-AU"/>
        </w:rPr>
      </w:pPr>
    </w:p>
    <w:p w:rsidR="00D34FC2" w:rsidRPr="00D73340" w:rsidRDefault="00207129" w:rsidP="00D73340">
      <w:pPr>
        <w:pStyle w:val="Caption"/>
      </w:pPr>
      <w:r>
        <w:t xml:space="preserve">Table 5-33 </w:t>
      </w:r>
      <w:r w:rsidR="00D73340">
        <w:t>Conversion factor statistics</w:t>
      </w:r>
    </w:p>
    <w:tbl>
      <w:tblPr>
        <w:tblW w:w="7260" w:type="dxa"/>
        <w:tblInd w:w="93" w:type="dxa"/>
        <w:tblLook w:val="04A0"/>
      </w:tblPr>
      <w:tblGrid>
        <w:gridCol w:w="1660"/>
        <w:gridCol w:w="1120"/>
        <w:gridCol w:w="1120"/>
        <w:gridCol w:w="1120"/>
        <w:gridCol w:w="1120"/>
        <w:gridCol w:w="1120"/>
      </w:tblGrid>
      <w:tr w:rsidR="00D34FC2" w:rsidRPr="00D34FC2">
        <w:trPr>
          <w:trHeight w:val="450"/>
        </w:trPr>
        <w:tc>
          <w:tcPr>
            <w:tcW w:w="1660" w:type="dxa"/>
            <w:tcBorders>
              <w:top w:val="single" w:sz="4" w:space="0" w:color="auto"/>
              <w:left w:val="single" w:sz="4" w:space="0" w:color="auto"/>
              <w:bottom w:val="single" w:sz="4" w:space="0" w:color="auto"/>
              <w:right w:val="single" w:sz="4" w:space="0" w:color="auto"/>
            </w:tcBorders>
            <w:shd w:val="clear" w:color="000000" w:fill="D8D8D8"/>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CF year</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No. of ABS imports</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 ABS imports included</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Min weight</w:t>
            </w:r>
            <w:r w:rsidRPr="00D34FC2">
              <w:rPr>
                <w:rFonts w:ascii="Calibri" w:hAnsi="Calibri" w:cs="Calibri"/>
                <w:color w:val="000000"/>
                <w:sz w:val="16"/>
                <w:szCs w:val="16"/>
                <w:lang w:eastAsia="en-AU"/>
              </w:rPr>
              <w:br/>
              <w:t>(kg)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Max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Standard deviation</w:t>
            </w:r>
          </w:p>
        </w:tc>
      </w:tr>
      <w:tr w:rsidR="00D34FC2" w:rsidRPr="00D34FC2">
        <w:trPr>
          <w:trHeight w:val="225"/>
        </w:trPr>
        <w:tc>
          <w:tcPr>
            <w:tcW w:w="1660" w:type="dxa"/>
            <w:tcBorders>
              <w:top w:val="nil"/>
              <w:left w:val="single" w:sz="4" w:space="0" w:color="auto"/>
              <w:bottom w:val="single" w:sz="4" w:space="0" w:color="auto"/>
              <w:right w:val="single" w:sz="4" w:space="0" w:color="auto"/>
            </w:tcBorders>
            <w:shd w:val="clear" w:color="auto" w:fill="auto"/>
            <w:noWrap/>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2010-11</w:t>
            </w:r>
          </w:p>
        </w:tc>
        <w:tc>
          <w:tcPr>
            <w:tcW w:w="1120" w:type="dxa"/>
            <w:tcBorders>
              <w:top w:val="nil"/>
              <w:left w:val="nil"/>
              <w:bottom w:val="single" w:sz="4" w:space="0" w:color="auto"/>
              <w:right w:val="single" w:sz="4" w:space="0" w:color="auto"/>
            </w:tcBorders>
            <w:shd w:val="clear" w:color="auto" w:fill="auto"/>
            <w:noWrap/>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54,171</w:t>
            </w:r>
          </w:p>
        </w:tc>
        <w:tc>
          <w:tcPr>
            <w:tcW w:w="1120" w:type="dxa"/>
            <w:tcBorders>
              <w:top w:val="nil"/>
              <w:left w:val="nil"/>
              <w:bottom w:val="single" w:sz="4" w:space="0" w:color="auto"/>
              <w:right w:val="single" w:sz="4" w:space="0" w:color="auto"/>
            </w:tcBorders>
            <w:shd w:val="clear" w:color="auto" w:fill="auto"/>
            <w:noWrap/>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0</w:t>
            </w:r>
            <w:r w:rsidR="00B11F90">
              <w:rPr>
                <w:rFonts w:ascii="Calibri" w:hAnsi="Calibri" w:cs="Calibri"/>
                <w:color w:val="000000"/>
                <w:sz w:val="16"/>
                <w:szCs w:val="16"/>
                <w:lang w:eastAsia="en-AU"/>
              </w:rPr>
              <w:t>.1</w:t>
            </w:r>
            <w:r w:rsidRPr="00D34FC2">
              <w:rPr>
                <w:rFonts w:ascii="Calibri" w:hAnsi="Calibri" w:cs="Calibri"/>
                <w:color w:val="000000"/>
                <w:sz w:val="16"/>
                <w:szCs w:val="16"/>
                <w:lang w:eastAsia="en-AU"/>
              </w:rPr>
              <w:t>%</w:t>
            </w:r>
          </w:p>
        </w:tc>
        <w:tc>
          <w:tcPr>
            <w:tcW w:w="1120" w:type="dxa"/>
            <w:tcBorders>
              <w:top w:val="nil"/>
              <w:left w:val="nil"/>
              <w:bottom w:val="single" w:sz="4" w:space="0" w:color="auto"/>
              <w:right w:val="single" w:sz="4" w:space="0" w:color="auto"/>
            </w:tcBorders>
            <w:shd w:val="clear" w:color="auto" w:fill="auto"/>
            <w:noWrap/>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6.3</w:t>
            </w:r>
          </w:p>
        </w:tc>
        <w:tc>
          <w:tcPr>
            <w:tcW w:w="1120" w:type="dxa"/>
            <w:tcBorders>
              <w:top w:val="nil"/>
              <w:left w:val="nil"/>
              <w:bottom w:val="single" w:sz="4" w:space="0" w:color="auto"/>
              <w:right w:val="single" w:sz="4" w:space="0" w:color="auto"/>
            </w:tcBorders>
            <w:shd w:val="clear" w:color="auto" w:fill="auto"/>
            <w:noWrap/>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6.3</w:t>
            </w:r>
          </w:p>
        </w:tc>
        <w:tc>
          <w:tcPr>
            <w:tcW w:w="1120" w:type="dxa"/>
            <w:tcBorders>
              <w:top w:val="nil"/>
              <w:left w:val="nil"/>
              <w:bottom w:val="single" w:sz="4" w:space="0" w:color="auto"/>
              <w:right w:val="single" w:sz="4" w:space="0" w:color="auto"/>
            </w:tcBorders>
            <w:shd w:val="clear" w:color="auto" w:fill="auto"/>
            <w:noWrap/>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0.0</w:t>
            </w:r>
          </w:p>
        </w:tc>
      </w:tr>
      <w:tr w:rsidR="00D34FC2" w:rsidRPr="00D34FC2">
        <w:trPr>
          <w:trHeight w:val="225"/>
        </w:trPr>
        <w:tc>
          <w:tcPr>
            <w:tcW w:w="1660" w:type="dxa"/>
            <w:tcBorders>
              <w:top w:val="nil"/>
              <w:left w:val="nil"/>
              <w:bottom w:val="nil"/>
              <w:right w:val="nil"/>
            </w:tcBorders>
            <w:shd w:val="clear" w:color="auto" w:fill="auto"/>
            <w:noWrap/>
            <w:vAlign w:val="bottom"/>
          </w:tcPr>
          <w:p w:rsidR="00D34FC2" w:rsidRPr="00D34FC2" w:rsidRDefault="00D34FC2" w:rsidP="00D34FC2">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4FC2" w:rsidRPr="00D34FC2" w:rsidRDefault="00D34FC2" w:rsidP="00D34FC2">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4FC2" w:rsidRPr="00D34FC2" w:rsidRDefault="00D34FC2" w:rsidP="00D34FC2">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4FC2" w:rsidRPr="00D34FC2" w:rsidRDefault="00D34FC2" w:rsidP="00D34FC2">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4FC2" w:rsidRPr="00D34FC2" w:rsidRDefault="00D34FC2" w:rsidP="00D34FC2">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4FC2" w:rsidRPr="00D34FC2" w:rsidRDefault="00D34FC2" w:rsidP="00D34FC2">
            <w:pPr>
              <w:rPr>
                <w:rFonts w:ascii="Calibri" w:hAnsi="Calibri" w:cs="Calibri"/>
                <w:color w:val="000000"/>
                <w:sz w:val="16"/>
                <w:szCs w:val="16"/>
                <w:lang w:eastAsia="en-AU"/>
              </w:rPr>
            </w:pPr>
          </w:p>
        </w:tc>
      </w:tr>
      <w:tr w:rsidR="00D34FC2" w:rsidRPr="00D34FC2">
        <w:trPr>
          <w:trHeight w:val="450"/>
        </w:trPr>
        <w:tc>
          <w:tcPr>
            <w:tcW w:w="1660" w:type="dxa"/>
            <w:tcBorders>
              <w:top w:val="single" w:sz="4" w:space="0" w:color="auto"/>
              <w:left w:val="single" w:sz="4" w:space="0" w:color="auto"/>
              <w:bottom w:val="nil"/>
              <w:right w:val="single" w:sz="4" w:space="0" w:color="auto"/>
            </w:tcBorders>
            <w:shd w:val="clear" w:color="000000" w:fill="D8D8D8"/>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Method</w:t>
            </w:r>
          </w:p>
        </w:tc>
        <w:tc>
          <w:tcPr>
            <w:tcW w:w="1120" w:type="dxa"/>
            <w:tcBorders>
              <w:top w:val="single" w:sz="4" w:space="0" w:color="auto"/>
              <w:left w:val="nil"/>
              <w:bottom w:val="nil"/>
              <w:right w:val="single" w:sz="4" w:space="0" w:color="auto"/>
            </w:tcBorders>
            <w:shd w:val="clear" w:color="000000" w:fill="D8D8D8"/>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Measure of average</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Average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Lower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Upper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Confidence interval ± (kg)</w:t>
            </w:r>
          </w:p>
        </w:tc>
      </w:tr>
      <w:tr w:rsidR="00B11F90" w:rsidRPr="00D34FC2">
        <w:trPr>
          <w:trHeight w:val="48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B11F90" w:rsidRPr="00D34FC2" w:rsidRDefault="00B11F90"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Approximation to the normal distribution</w:t>
            </w:r>
          </w:p>
        </w:tc>
        <w:tc>
          <w:tcPr>
            <w:tcW w:w="1120" w:type="dxa"/>
            <w:tcBorders>
              <w:top w:val="single" w:sz="4" w:space="0" w:color="auto"/>
              <w:left w:val="nil"/>
              <w:bottom w:val="single" w:sz="4" w:space="0" w:color="auto"/>
              <w:right w:val="single" w:sz="4" w:space="0" w:color="auto"/>
            </w:tcBorders>
            <w:shd w:val="clear" w:color="auto" w:fill="auto"/>
            <w:vAlign w:val="center"/>
          </w:tcPr>
          <w:p w:rsidR="00B11F90" w:rsidRPr="00D34FC2" w:rsidRDefault="00B11F90"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Mean</w:t>
            </w:r>
          </w:p>
        </w:tc>
        <w:tc>
          <w:tcPr>
            <w:tcW w:w="1120" w:type="dxa"/>
            <w:tcBorders>
              <w:top w:val="nil"/>
              <w:left w:val="nil"/>
              <w:bottom w:val="single" w:sz="4" w:space="0" w:color="auto"/>
              <w:right w:val="single" w:sz="4" w:space="0" w:color="auto"/>
            </w:tcBorders>
            <w:shd w:val="clear" w:color="auto" w:fill="auto"/>
            <w:noWrap/>
            <w:vAlign w:val="center"/>
          </w:tcPr>
          <w:p w:rsidR="00B11F90" w:rsidRPr="00D34FC2" w:rsidRDefault="00B11F90"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6.3</w:t>
            </w:r>
          </w:p>
        </w:tc>
        <w:tc>
          <w:tcPr>
            <w:tcW w:w="1120" w:type="dxa"/>
            <w:tcBorders>
              <w:top w:val="nil"/>
              <w:left w:val="nil"/>
              <w:bottom w:val="single" w:sz="4" w:space="0" w:color="auto"/>
              <w:right w:val="single" w:sz="4" w:space="0" w:color="auto"/>
            </w:tcBorders>
            <w:shd w:val="clear" w:color="auto" w:fill="auto"/>
            <w:noWrap/>
            <w:vAlign w:val="center"/>
          </w:tcPr>
          <w:p w:rsidR="00B11F90" w:rsidRPr="00D34FC2" w:rsidRDefault="00B11F90" w:rsidP="00B81223">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6.3</w:t>
            </w:r>
          </w:p>
        </w:tc>
        <w:tc>
          <w:tcPr>
            <w:tcW w:w="1120" w:type="dxa"/>
            <w:tcBorders>
              <w:top w:val="nil"/>
              <w:left w:val="nil"/>
              <w:bottom w:val="single" w:sz="4" w:space="0" w:color="auto"/>
              <w:right w:val="single" w:sz="4" w:space="0" w:color="auto"/>
            </w:tcBorders>
            <w:shd w:val="clear" w:color="auto" w:fill="auto"/>
            <w:noWrap/>
            <w:vAlign w:val="center"/>
          </w:tcPr>
          <w:p w:rsidR="00B11F90" w:rsidRPr="00D34FC2" w:rsidRDefault="00B11F90" w:rsidP="00B81223">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6.3</w:t>
            </w:r>
          </w:p>
        </w:tc>
        <w:tc>
          <w:tcPr>
            <w:tcW w:w="1120" w:type="dxa"/>
            <w:tcBorders>
              <w:top w:val="nil"/>
              <w:left w:val="nil"/>
              <w:bottom w:val="single" w:sz="4" w:space="0" w:color="auto"/>
              <w:right w:val="single" w:sz="4" w:space="0" w:color="auto"/>
            </w:tcBorders>
            <w:shd w:val="clear" w:color="auto" w:fill="auto"/>
            <w:noWrap/>
            <w:vAlign w:val="center"/>
          </w:tcPr>
          <w:p w:rsidR="00B11F90" w:rsidRPr="00D34FC2" w:rsidRDefault="00B11F90"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0.0</w:t>
            </w:r>
          </w:p>
        </w:tc>
      </w:tr>
      <w:tr w:rsidR="00D34FC2" w:rsidRPr="00D34FC2">
        <w:trPr>
          <w:trHeight w:val="480"/>
        </w:trPr>
        <w:tc>
          <w:tcPr>
            <w:tcW w:w="1660" w:type="dxa"/>
            <w:tcBorders>
              <w:top w:val="nil"/>
              <w:left w:val="single" w:sz="4" w:space="0" w:color="auto"/>
              <w:bottom w:val="single" w:sz="4" w:space="0" w:color="auto"/>
              <w:right w:val="single" w:sz="4" w:space="0" w:color="auto"/>
            </w:tcBorders>
            <w:shd w:val="clear" w:color="auto" w:fill="auto"/>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Use of percentiles</w:t>
            </w:r>
          </w:p>
        </w:tc>
        <w:tc>
          <w:tcPr>
            <w:tcW w:w="1120" w:type="dxa"/>
            <w:tcBorders>
              <w:top w:val="nil"/>
              <w:left w:val="nil"/>
              <w:bottom w:val="single" w:sz="4" w:space="0" w:color="auto"/>
              <w:right w:val="single" w:sz="4" w:space="0" w:color="auto"/>
            </w:tcBorders>
            <w:shd w:val="clear" w:color="auto" w:fill="auto"/>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Median</w:t>
            </w:r>
          </w:p>
        </w:tc>
        <w:tc>
          <w:tcPr>
            <w:tcW w:w="1120" w:type="dxa"/>
            <w:tcBorders>
              <w:top w:val="nil"/>
              <w:left w:val="nil"/>
              <w:bottom w:val="single" w:sz="4" w:space="0" w:color="auto"/>
              <w:right w:val="single" w:sz="4" w:space="0" w:color="auto"/>
            </w:tcBorders>
            <w:shd w:val="clear" w:color="auto" w:fill="auto"/>
            <w:noWrap/>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6.3</w:t>
            </w:r>
          </w:p>
        </w:tc>
        <w:tc>
          <w:tcPr>
            <w:tcW w:w="1120" w:type="dxa"/>
            <w:tcBorders>
              <w:top w:val="nil"/>
              <w:left w:val="nil"/>
              <w:bottom w:val="single" w:sz="4" w:space="0" w:color="auto"/>
              <w:right w:val="single" w:sz="4" w:space="0" w:color="auto"/>
            </w:tcBorders>
            <w:shd w:val="clear" w:color="auto" w:fill="auto"/>
            <w:noWrap/>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6.3</w:t>
            </w:r>
          </w:p>
        </w:tc>
        <w:tc>
          <w:tcPr>
            <w:tcW w:w="1120" w:type="dxa"/>
            <w:tcBorders>
              <w:top w:val="nil"/>
              <w:left w:val="nil"/>
              <w:bottom w:val="single" w:sz="4" w:space="0" w:color="auto"/>
              <w:right w:val="single" w:sz="4" w:space="0" w:color="auto"/>
            </w:tcBorders>
            <w:shd w:val="clear" w:color="auto" w:fill="auto"/>
            <w:noWrap/>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6.3</w:t>
            </w:r>
          </w:p>
        </w:tc>
        <w:tc>
          <w:tcPr>
            <w:tcW w:w="1120" w:type="dxa"/>
            <w:tcBorders>
              <w:top w:val="nil"/>
              <w:left w:val="nil"/>
              <w:bottom w:val="single" w:sz="4" w:space="0" w:color="auto"/>
              <w:right w:val="single" w:sz="4" w:space="0" w:color="auto"/>
            </w:tcBorders>
            <w:shd w:val="clear" w:color="auto" w:fill="auto"/>
            <w:noWrap/>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0.0</w:t>
            </w:r>
          </w:p>
        </w:tc>
      </w:tr>
      <w:tr w:rsidR="00D34FC2" w:rsidRPr="00D34FC2">
        <w:trPr>
          <w:trHeight w:val="225"/>
        </w:trPr>
        <w:tc>
          <w:tcPr>
            <w:tcW w:w="1660" w:type="dxa"/>
            <w:tcBorders>
              <w:top w:val="nil"/>
              <w:left w:val="nil"/>
              <w:bottom w:val="nil"/>
              <w:right w:val="nil"/>
            </w:tcBorders>
            <w:shd w:val="clear" w:color="auto" w:fill="auto"/>
            <w:noWrap/>
            <w:vAlign w:val="bottom"/>
          </w:tcPr>
          <w:p w:rsidR="00D34FC2" w:rsidRPr="00D34FC2" w:rsidRDefault="00D34FC2" w:rsidP="00D34FC2">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4FC2" w:rsidRPr="00D34FC2" w:rsidRDefault="00D34FC2" w:rsidP="00D34FC2">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4FC2" w:rsidRPr="00D34FC2" w:rsidRDefault="00D34FC2" w:rsidP="00D34FC2">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4FC2" w:rsidRPr="00D34FC2" w:rsidRDefault="00D34FC2" w:rsidP="00D34FC2">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4FC2" w:rsidRPr="00D34FC2" w:rsidRDefault="00D34FC2" w:rsidP="00D34FC2">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D34FC2" w:rsidRPr="00D34FC2" w:rsidRDefault="00D34FC2" w:rsidP="00D34FC2">
            <w:pPr>
              <w:rPr>
                <w:rFonts w:ascii="Calibri" w:hAnsi="Calibri" w:cs="Calibri"/>
                <w:color w:val="000000"/>
                <w:sz w:val="16"/>
                <w:szCs w:val="16"/>
                <w:lang w:eastAsia="en-AU"/>
              </w:rPr>
            </w:pPr>
          </w:p>
        </w:tc>
      </w:tr>
      <w:tr w:rsidR="00D34FC2" w:rsidRPr="00D34FC2">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tcPr>
          <w:p w:rsidR="00D34FC2" w:rsidRPr="00D34FC2" w:rsidRDefault="00D34FC2" w:rsidP="00D34FC2">
            <w:pPr>
              <w:rPr>
                <w:rFonts w:ascii="Calibri" w:hAnsi="Calibri" w:cs="Calibri"/>
                <w:color w:val="000000"/>
                <w:sz w:val="16"/>
                <w:szCs w:val="16"/>
                <w:lang w:eastAsia="en-AU"/>
              </w:rPr>
            </w:pPr>
            <w:r w:rsidRPr="00D34FC2">
              <w:rPr>
                <w:rFonts w:ascii="Calibri" w:hAnsi="Calibri" w:cs="Calibri"/>
                <w:color w:val="000000"/>
                <w:sz w:val="16"/>
                <w:szCs w:val="16"/>
                <w:lang w:eastAsia="en-AU"/>
              </w:rPr>
              <w:t>Year</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2010-11</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2009-10</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D34FC2" w:rsidRPr="00D34FC2" w:rsidRDefault="00D34FC2" w:rsidP="00D34FC2">
            <w:pPr>
              <w:jc w:val="center"/>
              <w:rPr>
                <w:rFonts w:ascii="Calibri" w:hAnsi="Calibri" w:cs="Calibri"/>
                <w:color w:val="000000"/>
                <w:sz w:val="16"/>
                <w:szCs w:val="16"/>
                <w:lang w:eastAsia="en-AU"/>
              </w:rPr>
            </w:pPr>
            <w:r w:rsidRPr="00D34FC2">
              <w:rPr>
                <w:rFonts w:ascii="Calibri" w:hAnsi="Calibri" w:cs="Calibri"/>
                <w:color w:val="000000"/>
                <w:sz w:val="16"/>
                <w:szCs w:val="16"/>
                <w:lang w:eastAsia="en-AU"/>
              </w:rPr>
              <w:t>2008-09</w:t>
            </w:r>
          </w:p>
        </w:tc>
      </w:tr>
      <w:tr w:rsidR="00420A86" w:rsidRPr="00D34FC2">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20A86" w:rsidRPr="00D34FC2" w:rsidRDefault="00420A86" w:rsidP="00D34FC2">
            <w:pPr>
              <w:rPr>
                <w:rFonts w:ascii="Calibri" w:hAnsi="Calibri" w:cs="Calibri"/>
                <w:color w:val="000000"/>
                <w:sz w:val="16"/>
                <w:szCs w:val="16"/>
                <w:lang w:eastAsia="en-AU"/>
              </w:rPr>
            </w:pPr>
            <w:r w:rsidRPr="00CB6A7D">
              <w:rPr>
                <w:rFonts w:ascii="Calibri" w:hAnsi="Calibri" w:cs="Calibri"/>
                <w:color w:val="000000"/>
                <w:sz w:val="16"/>
                <w:szCs w:val="16"/>
                <w:lang w:eastAsia="en-AU"/>
              </w:rPr>
              <w:t>Percentage by which the conversion factor over or under estimates the weight of imports</w:t>
            </w:r>
          </w:p>
        </w:tc>
        <w:tc>
          <w:tcPr>
            <w:tcW w:w="1120" w:type="dxa"/>
            <w:tcBorders>
              <w:top w:val="nil"/>
              <w:left w:val="nil"/>
              <w:bottom w:val="single" w:sz="4" w:space="0" w:color="auto"/>
              <w:right w:val="single" w:sz="4" w:space="0" w:color="auto"/>
            </w:tcBorders>
            <w:shd w:val="clear" w:color="auto" w:fill="auto"/>
            <w:noWrap/>
            <w:vAlign w:val="center"/>
          </w:tcPr>
          <w:p w:rsidR="00420A86" w:rsidRDefault="00420A86">
            <w:pPr>
              <w:jc w:val="center"/>
              <w:rPr>
                <w:rFonts w:ascii="Calibri" w:hAnsi="Calibri" w:cs="Calibri"/>
                <w:color w:val="000000"/>
                <w:sz w:val="16"/>
                <w:szCs w:val="16"/>
              </w:rPr>
            </w:pPr>
            <w:r>
              <w:rPr>
                <w:rFonts w:ascii="Calibri" w:hAnsi="Calibri" w:cs="Calibri"/>
                <w:color w:val="000000"/>
                <w:sz w:val="16"/>
                <w:szCs w:val="16"/>
              </w:rPr>
              <w:t>0%</w:t>
            </w:r>
          </w:p>
        </w:tc>
        <w:tc>
          <w:tcPr>
            <w:tcW w:w="1120" w:type="dxa"/>
            <w:tcBorders>
              <w:top w:val="nil"/>
              <w:left w:val="nil"/>
              <w:bottom w:val="single" w:sz="4" w:space="0" w:color="auto"/>
              <w:right w:val="single" w:sz="4" w:space="0" w:color="auto"/>
            </w:tcBorders>
            <w:shd w:val="clear" w:color="auto" w:fill="auto"/>
            <w:noWrap/>
            <w:vAlign w:val="center"/>
          </w:tcPr>
          <w:p w:rsidR="00420A86" w:rsidRDefault="00420A86">
            <w:pPr>
              <w:jc w:val="center"/>
              <w:rPr>
                <w:rFonts w:ascii="Calibri" w:hAnsi="Calibri" w:cs="Calibri"/>
                <w:color w:val="000000"/>
                <w:sz w:val="16"/>
                <w:szCs w:val="16"/>
              </w:rPr>
            </w:pPr>
            <w:r>
              <w:rPr>
                <w:rFonts w:ascii="Calibri" w:hAnsi="Calibri" w:cs="Calibri"/>
                <w:color w:val="000000"/>
                <w:sz w:val="16"/>
                <w:szCs w:val="16"/>
              </w:rPr>
              <w:t>0%</w:t>
            </w:r>
          </w:p>
        </w:tc>
        <w:tc>
          <w:tcPr>
            <w:tcW w:w="1120" w:type="dxa"/>
            <w:tcBorders>
              <w:top w:val="nil"/>
              <w:left w:val="nil"/>
              <w:bottom w:val="single" w:sz="4" w:space="0" w:color="auto"/>
              <w:right w:val="single" w:sz="4" w:space="0" w:color="auto"/>
            </w:tcBorders>
            <w:shd w:val="clear" w:color="auto" w:fill="auto"/>
            <w:noWrap/>
            <w:vAlign w:val="center"/>
          </w:tcPr>
          <w:p w:rsidR="00420A86" w:rsidRDefault="00420A86">
            <w:pPr>
              <w:jc w:val="center"/>
              <w:rPr>
                <w:rFonts w:ascii="Calibri" w:hAnsi="Calibri" w:cs="Calibri"/>
                <w:color w:val="000000"/>
                <w:sz w:val="16"/>
                <w:szCs w:val="16"/>
              </w:rPr>
            </w:pPr>
            <w:r>
              <w:rPr>
                <w:rFonts w:ascii="Calibri" w:hAnsi="Calibri" w:cs="Calibri"/>
                <w:color w:val="000000"/>
                <w:sz w:val="16"/>
                <w:szCs w:val="16"/>
              </w:rPr>
              <w:t>0%</w:t>
            </w:r>
          </w:p>
        </w:tc>
      </w:tr>
    </w:tbl>
    <w:p w:rsidR="00D34FC2" w:rsidRDefault="00D34FC2" w:rsidP="000941E0">
      <w:pPr>
        <w:jc w:val="both"/>
        <w:rPr>
          <w:szCs w:val="22"/>
        </w:rPr>
      </w:pPr>
    </w:p>
    <w:p w:rsidR="001A78F2" w:rsidRDefault="001A78F2">
      <w:pPr>
        <w:rPr>
          <w:szCs w:val="22"/>
        </w:rPr>
      </w:pPr>
    </w:p>
    <w:p w:rsidR="001A78F2" w:rsidRDefault="00F46430">
      <w:pPr>
        <w:rPr>
          <w:szCs w:val="22"/>
        </w:rPr>
      </w:pPr>
      <w:r w:rsidRPr="005A3097">
        <w:rPr>
          <w:b/>
          <w:szCs w:val="22"/>
        </w:rPr>
        <w:t>Distribution:</w:t>
      </w:r>
      <w:r>
        <w:rPr>
          <w:b/>
          <w:szCs w:val="22"/>
        </w:rPr>
        <w:t xml:space="preserve"> </w:t>
      </w:r>
      <w:r>
        <w:rPr>
          <w:szCs w:val="22"/>
        </w:rPr>
        <w:t>One brand reporting one model</w:t>
      </w:r>
    </w:p>
    <w:p w:rsidR="001A78F2" w:rsidRDefault="00F46430">
      <w:pPr>
        <w:rPr>
          <w:szCs w:val="22"/>
        </w:rPr>
      </w:pPr>
      <w:r>
        <w:rPr>
          <w:b/>
          <w:szCs w:val="22"/>
        </w:rPr>
        <w:t xml:space="preserve">Proposed conversion factor: </w:t>
      </w:r>
      <w:r>
        <w:rPr>
          <w:szCs w:val="22"/>
        </w:rPr>
        <w:t>6.3 kg</w:t>
      </w:r>
    </w:p>
    <w:p w:rsidR="001A78F2" w:rsidRDefault="00F46430">
      <w:pPr>
        <w:rPr>
          <w:szCs w:val="22"/>
        </w:rPr>
      </w:pPr>
      <w:r>
        <w:rPr>
          <w:b/>
          <w:szCs w:val="22"/>
        </w:rPr>
        <w:t>Proposed confidence interval</w:t>
      </w:r>
      <w:r w:rsidRPr="00B02F83">
        <w:rPr>
          <w:szCs w:val="22"/>
        </w:rPr>
        <w:t xml:space="preserve">: </w:t>
      </w:r>
      <w:r>
        <w:rPr>
          <w:szCs w:val="22"/>
        </w:rPr>
        <w:t xml:space="preserve"> </w:t>
      </w:r>
      <w:r w:rsidRPr="00D34FC2">
        <w:rPr>
          <w:szCs w:val="22"/>
        </w:rPr>
        <w:t>±</w:t>
      </w:r>
      <w:r>
        <w:rPr>
          <w:szCs w:val="22"/>
        </w:rPr>
        <w:t>0</w:t>
      </w:r>
      <w:r w:rsidRPr="00740708">
        <w:rPr>
          <w:szCs w:val="22"/>
        </w:rPr>
        <w:t xml:space="preserve"> kg</w:t>
      </w:r>
    </w:p>
    <w:p w:rsidR="001A78F2" w:rsidRDefault="00C62346">
      <w:pPr>
        <w:rPr>
          <w:szCs w:val="22"/>
        </w:rPr>
      </w:pPr>
      <w:r>
        <w:rPr>
          <w:b/>
          <w:szCs w:val="22"/>
        </w:rPr>
        <w:t xml:space="preserve">Variation over time: </w:t>
      </w:r>
      <w:r w:rsidR="00F46430">
        <w:rPr>
          <w:szCs w:val="22"/>
        </w:rPr>
        <w:t>None</w:t>
      </w:r>
    </w:p>
    <w:p w:rsidR="00A60838" w:rsidRDefault="00A60838" w:rsidP="004A018F">
      <w:pPr>
        <w:rPr>
          <w:szCs w:val="22"/>
        </w:rPr>
      </w:pPr>
      <w:r>
        <w:rPr>
          <w:szCs w:val="22"/>
        </w:rPr>
        <w:br w:type="page"/>
      </w:r>
    </w:p>
    <w:p w:rsidR="006C64B6" w:rsidRPr="00D36323" w:rsidRDefault="004064E6" w:rsidP="002E1A14">
      <w:pPr>
        <w:pStyle w:val="Heading2"/>
      </w:pPr>
      <w:bookmarkStart w:id="69" w:name="_Toc303860096"/>
      <w:bookmarkStart w:id="70" w:name="_Toc304967199"/>
      <w:r>
        <w:t>Black and white t</w:t>
      </w:r>
      <w:r w:rsidR="006C64B6">
        <w:t>elevisions</w:t>
      </w:r>
      <w:bookmarkEnd w:id="69"/>
      <w:bookmarkEnd w:id="70"/>
    </w:p>
    <w:p w:rsidR="00A60838" w:rsidRDefault="00A60838" w:rsidP="00A60838">
      <w:pPr>
        <w:jc w:val="both"/>
        <w:rPr>
          <w:szCs w:val="22"/>
        </w:rPr>
      </w:pPr>
    </w:p>
    <w:p w:rsidR="00A60838" w:rsidRDefault="00A60838" w:rsidP="00A60838">
      <w:pPr>
        <w:jc w:val="both"/>
        <w:rPr>
          <w:szCs w:val="22"/>
        </w:rPr>
      </w:pPr>
      <w:r w:rsidRPr="00A60838">
        <w:rPr>
          <w:szCs w:val="22"/>
        </w:rPr>
        <w:t>There is only one HTISC within this CTCN.</w:t>
      </w:r>
    </w:p>
    <w:p w:rsidR="00BC4FED" w:rsidRDefault="00BC4FED" w:rsidP="00BC4FED">
      <w:pPr>
        <w:pStyle w:val="Caption"/>
        <w:keepNext/>
      </w:pPr>
    </w:p>
    <w:p w:rsidR="00E00781" w:rsidRPr="00C24DDF" w:rsidRDefault="002652C5" w:rsidP="00BC4FED">
      <w:pPr>
        <w:pStyle w:val="Caption"/>
        <w:keepNext/>
        <w:rPr>
          <w:lang w:val="en-AU"/>
        </w:rPr>
      </w:pPr>
      <w:r>
        <w:t xml:space="preserve">Figure 5-44   </w:t>
      </w:r>
      <w:r w:rsidR="00BC4FED">
        <w:t xml:space="preserve"> </w:t>
      </w:r>
      <w:r w:rsidR="00AC1355">
        <w:t>HTISC frequency distribution in CF year</w:t>
      </w:r>
    </w:p>
    <w:p w:rsidR="00E00781" w:rsidRPr="00A60838" w:rsidRDefault="00E00781" w:rsidP="00A60838">
      <w:pPr>
        <w:jc w:val="both"/>
        <w:rPr>
          <w:szCs w:val="22"/>
        </w:rPr>
      </w:pPr>
      <w:r w:rsidRPr="00E00781">
        <w:rPr>
          <w:noProof/>
          <w:szCs w:val="22"/>
          <w:lang w:eastAsia="en-AU"/>
        </w:rPr>
        <w:drawing>
          <wp:inline distT="0" distB="0" distL="0" distR="0">
            <wp:extent cx="4889500" cy="2984500"/>
            <wp:effectExtent l="19050" t="0" r="25400" b="6350"/>
            <wp:docPr id="16"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6C64B6" w:rsidRDefault="006C64B6" w:rsidP="000941E0">
      <w:pPr>
        <w:jc w:val="both"/>
        <w:rPr>
          <w:szCs w:val="22"/>
        </w:rPr>
      </w:pPr>
    </w:p>
    <w:p w:rsidR="00D73340" w:rsidRDefault="00D73340" w:rsidP="000941E0">
      <w:pPr>
        <w:jc w:val="both"/>
        <w:rPr>
          <w:szCs w:val="22"/>
        </w:rPr>
      </w:pPr>
    </w:p>
    <w:p w:rsidR="00D73340" w:rsidRPr="00D73340" w:rsidRDefault="00207129" w:rsidP="00D73340">
      <w:pPr>
        <w:pStyle w:val="Caption"/>
      </w:pPr>
      <w:r>
        <w:t xml:space="preserve">Table 5-34 </w:t>
      </w:r>
      <w:r w:rsidR="00D73340">
        <w:t>Conversion factor statistics</w:t>
      </w:r>
    </w:p>
    <w:tbl>
      <w:tblPr>
        <w:tblW w:w="7260" w:type="dxa"/>
        <w:tblInd w:w="93" w:type="dxa"/>
        <w:tblLook w:val="04A0"/>
      </w:tblPr>
      <w:tblGrid>
        <w:gridCol w:w="1660"/>
        <w:gridCol w:w="1120"/>
        <w:gridCol w:w="1120"/>
        <w:gridCol w:w="1120"/>
        <w:gridCol w:w="1120"/>
        <w:gridCol w:w="1120"/>
      </w:tblGrid>
      <w:tr w:rsidR="00A60838" w:rsidRPr="00A60838">
        <w:trPr>
          <w:trHeight w:val="300"/>
        </w:trPr>
        <w:tc>
          <w:tcPr>
            <w:tcW w:w="5020" w:type="dxa"/>
            <w:gridSpan w:val="4"/>
            <w:tcBorders>
              <w:top w:val="nil"/>
              <w:left w:val="nil"/>
              <w:bottom w:val="nil"/>
              <w:right w:val="nil"/>
            </w:tcBorders>
            <w:shd w:val="clear" w:color="auto" w:fill="auto"/>
            <w:noWrap/>
            <w:vAlign w:val="bottom"/>
          </w:tcPr>
          <w:p w:rsidR="00A60838" w:rsidRPr="00A60838" w:rsidRDefault="00A60838" w:rsidP="00A60838">
            <w:pPr>
              <w:rPr>
                <w:rFonts w:ascii="Arial" w:hAnsi="Arial" w:cs="Arial"/>
                <w:b/>
                <w:bCs/>
                <w:color w:val="000000"/>
                <w:szCs w:val="22"/>
                <w:lang w:eastAsia="en-AU"/>
              </w:rPr>
            </w:pPr>
            <w:r w:rsidRPr="00A60838">
              <w:rPr>
                <w:rFonts w:ascii="Arial" w:hAnsi="Arial" w:cs="Arial"/>
                <w:b/>
                <w:bCs/>
                <w:color w:val="000000"/>
                <w:szCs w:val="22"/>
                <w:lang w:eastAsia="en-AU"/>
              </w:rPr>
              <w:t>SC07 8528.73.00 35 - B&amp;W Televisions</w:t>
            </w:r>
          </w:p>
        </w:tc>
        <w:tc>
          <w:tcPr>
            <w:tcW w:w="1120" w:type="dxa"/>
            <w:tcBorders>
              <w:top w:val="nil"/>
              <w:left w:val="nil"/>
              <w:bottom w:val="nil"/>
              <w:right w:val="nil"/>
            </w:tcBorders>
            <w:shd w:val="clear" w:color="auto" w:fill="auto"/>
            <w:noWrap/>
            <w:vAlign w:val="bottom"/>
          </w:tcPr>
          <w:p w:rsidR="00A60838" w:rsidRPr="00A60838" w:rsidRDefault="00A60838" w:rsidP="00A60838">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A60838" w:rsidRPr="00A60838" w:rsidRDefault="00A60838" w:rsidP="00A60838">
            <w:pPr>
              <w:rPr>
                <w:rFonts w:ascii="Calibri" w:hAnsi="Calibri" w:cs="Calibri"/>
                <w:color w:val="000000"/>
                <w:sz w:val="16"/>
                <w:szCs w:val="16"/>
                <w:lang w:eastAsia="en-AU"/>
              </w:rPr>
            </w:pPr>
          </w:p>
        </w:tc>
      </w:tr>
      <w:tr w:rsidR="00A60838" w:rsidRPr="00A60838">
        <w:trPr>
          <w:trHeight w:val="225"/>
        </w:trPr>
        <w:tc>
          <w:tcPr>
            <w:tcW w:w="1660" w:type="dxa"/>
            <w:tcBorders>
              <w:top w:val="nil"/>
              <w:left w:val="nil"/>
              <w:bottom w:val="nil"/>
              <w:right w:val="nil"/>
            </w:tcBorders>
            <w:shd w:val="clear" w:color="auto" w:fill="auto"/>
            <w:noWrap/>
            <w:vAlign w:val="bottom"/>
          </w:tcPr>
          <w:p w:rsidR="00A60838" w:rsidRPr="00A60838" w:rsidRDefault="00A60838" w:rsidP="00A60838">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A60838" w:rsidRPr="00A60838" w:rsidRDefault="00A60838" w:rsidP="00A60838">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A60838" w:rsidRPr="00A60838" w:rsidRDefault="00A60838" w:rsidP="00A60838">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A60838" w:rsidRPr="00A60838" w:rsidRDefault="00A60838" w:rsidP="00A60838">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A60838" w:rsidRPr="00A60838" w:rsidRDefault="00A60838" w:rsidP="00A60838">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A60838" w:rsidRPr="00A60838" w:rsidRDefault="00A60838" w:rsidP="00A60838">
            <w:pPr>
              <w:rPr>
                <w:rFonts w:ascii="Calibri" w:hAnsi="Calibri" w:cs="Calibri"/>
                <w:color w:val="000000"/>
                <w:sz w:val="16"/>
                <w:szCs w:val="16"/>
                <w:lang w:eastAsia="en-AU"/>
              </w:rPr>
            </w:pPr>
          </w:p>
        </w:tc>
      </w:tr>
      <w:tr w:rsidR="00A60838" w:rsidRPr="00A60838">
        <w:trPr>
          <w:trHeight w:val="450"/>
        </w:trPr>
        <w:tc>
          <w:tcPr>
            <w:tcW w:w="1660" w:type="dxa"/>
            <w:tcBorders>
              <w:top w:val="single" w:sz="4" w:space="0" w:color="auto"/>
              <w:left w:val="single" w:sz="4" w:space="0" w:color="auto"/>
              <w:bottom w:val="single" w:sz="4" w:space="0" w:color="auto"/>
              <w:right w:val="single" w:sz="4" w:space="0" w:color="auto"/>
            </w:tcBorders>
            <w:shd w:val="clear" w:color="000000" w:fill="D8D8D8"/>
            <w:vAlign w:val="center"/>
          </w:tcPr>
          <w:p w:rsidR="00A60838" w:rsidRPr="00A60838" w:rsidRDefault="00A60838" w:rsidP="00A60838">
            <w:pPr>
              <w:jc w:val="center"/>
              <w:rPr>
                <w:rFonts w:ascii="Calibri" w:hAnsi="Calibri" w:cs="Calibri"/>
                <w:color w:val="000000"/>
                <w:sz w:val="16"/>
                <w:szCs w:val="16"/>
                <w:lang w:eastAsia="en-AU"/>
              </w:rPr>
            </w:pPr>
            <w:r w:rsidRPr="00A60838">
              <w:rPr>
                <w:rFonts w:ascii="Calibri" w:hAnsi="Calibri" w:cs="Calibri"/>
                <w:color w:val="000000"/>
                <w:sz w:val="16"/>
                <w:szCs w:val="16"/>
                <w:lang w:eastAsia="en-AU"/>
              </w:rPr>
              <w:t>CF year</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A60838" w:rsidRPr="00A60838" w:rsidRDefault="00A60838" w:rsidP="00A60838">
            <w:pPr>
              <w:jc w:val="center"/>
              <w:rPr>
                <w:rFonts w:ascii="Calibri" w:hAnsi="Calibri" w:cs="Calibri"/>
                <w:color w:val="000000"/>
                <w:sz w:val="16"/>
                <w:szCs w:val="16"/>
                <w:lang w:eastAsia="en-AU"/>
              </w:rPr>
            </w:pPr>
            <w:r w:rsidRPr="00A60838">
              <w:rPr>
                <w:rFonts w:ascii="Calibri" w:hAnsi="Calibri" w:cs="Calibri"/>
                <w:color w:val="000000"/>
                <w:sz w:val="16"/>
                <w:szCs w:val="16"/>
                <w:lang w:eastAsia="en-AU"/>
              </w:rPr>
              <w:t>No. of ABS imports</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A60838" w:rsidRPr="00A60838" w:rsidRDefault="00A60838" w:rsidP="00A60838">
            <w:pPr>
              <w:jc w:val="center"/>
              <w:rPr>
                <w:rFonts w:ascii="Calibri" w:hAnsi="Calibri" w:cs="Calibri"/>
                <w:color w:val="000000"/>
                <w:sz w:val="16"/>
                <w:szCs w:val="16"/>
                <w:lang w:eastAsia="en-AU"/>
              </w:rPr>
            </w:pPr>
            <w:r w:rsidRPr="00A60838">
              <w:rPr>
                <w:rFonts w:ascii="Calibri" w:hAnsi="Calibri" w:cs="Calibri"/>
                <w:color w:val="000000"/>
                <w:sz w:val="16"/>
                <w:szCs w:val="16"/>
                <w:lang w:eastAsia="en-AU"/>
              </w:rPr>
              <w:t>% ABS imports included</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A60838" w:rsidRPr="00A60838" w:rsidRDefault="00A60838" w:rsidP="00A60838">
            <w:pPr>
              <w:jc w:val="center"/>
              <w:rPr>
                <w:rFonts w:ascii="Calibri" w:hAnsi="Calibri" w:cs="Calibri"/>
                <w:color w:val="000000"/>
                <w:sz w:val="16"/>
                <w:szCs w:val="16"/>
                <w:lang w:eastAsia="en-AU"/>
              </w:rPr>
            </w:pPr>
            <w:r w:rsidRPr="00A60838">
              <w:rPr>
                <w:rFonts w:ascii="Calibri" w:hAnsi="Calibri" w:cs="Calibri"/>
                <w:color w:val="000000"/>
                <w:sz w:val="16"/>
                <w:szCs w:val="16"/>
                <w:lang w:eastAsia="en-AU"/>
              </w:rPr>
              <w:t>Min weight</w:t>
            </w:r>
            <w:r w:rsidRPr="00A60838">
              <w:rPr>
                <w:rFonts w:ascii="Calibri" w:hAnsi="Calibri" w:cs="Calibri"/>
                <w:color w:val="000000"/>
                <w:sz w:val="16"/>
                <w:szCs w:val="16"/>
                <w:lang w:eastAsia="en-AU"/>
              </w:rPr>
              <w:br/>
              <w:t>(kg)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A60838" w:rsidRPr="00A60838" w:rsidRDefault="00A60838" w:rsidP="00A60838">
            <w:pPr>
              <w:jc w:val="center"/>
              <w:rPr>
                <w:rFonts w:ascii="Calibri" w:hAnsi="Calibri" w:cs="Calibri"/>
                <w:color w:val="000000"/>
                <w:sz w:val="16"/>
                <w:szCs w:val="16"/>
                <w:lang w:eastAsia="en-AU"/>
              </w:rPr>
            </w:pPr>
            <w:r w:rsidRPr="00A60838">
              <w:rPr>
                <w:rFonts w:ascii="Calibri" w:hAnsi="Calibri" w:cs="Calibri"/>
                <w:color w:val="000000"/>
                <w:sz w:val="16"/>
                <w:szCs w:val="16"/>
                <w:lang w:eastAsia="en-AU"/>
              </w:rPr>
              <w:t>Max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A60838" w:rsidRPr="00A60838" w:rsidRDefault="00A60838" w:rsidP="00A60838">
            <w:pPr>
              <w:jc w:val="center"/>
              <w:rPr>
                <w:rFonts w:ascii="Calibri" w:hAnsi="Calibri" w:cs="Calibri"/>
                <w:color w:val="000000"/>
                <w:sz w:val="16"/>
                <w:szCs w:val="16"/>
                <w:lang w:eastAsia="en-AU"/>
              </w:rPr>
            </w:pPr>
            <w:r w:rsidRPr="00A60838">
              <w:rPr>
                <w:rFonts w:ascii="Calibri" w:hAnsi="Calibri" w:cs="Calibri"/>
                <w:color w:val="000000"/>
                <w:sz w:val="16"/>
                <w:szCs w:val="16"/>
                <w:lang w:eastAsia="en-AU"/>
              </w:rPr>
              <w:t>Standard deviation</w:t>
            </w:r>
          </w:p>
        </w:tc>
      </w:tr>
      <w:tr w:rsidR="00A60838" w:rsidRPr="00A60838">
        <w:trPr>
          <w:trHeight w:val="225"/>
        </w:trPr>
        <w:tc>
          <w:tcPr>
            <w:tcW w:w="1660" w:type="dxa"/>
            <w:tcBorders>
              <w:top w:val="nil"/>
              <w:left w:val="single" w:sz="4" w:space="0" w:color="auto"/>
              <w:bottom w:val="single" w:sz="4" w:space="0" w:color="auto"/>
              <w:right w:val="single" w:sz="4" w:space="0" w:color="auto"/>
            </w:tcBorders>
            <w:shd w:val="clear" w:color="auto" w:fill="auto"/>
            <w:noWrap/>
            <w:vAlign w:val="center"/>
          </w:tcPr>
          <w:p w:rsidR="00A60838" w:rsidRPr="00A60838" w:rsidRDefault="00A60838" w:rsidP="00A60838">
            <w:pPr>
              <w:jc w:val="center"/>
              <w:rPr>
                <w:rFonts w:ascii="Calibri" w:hAnsi="Calibri" w:cs="Calibri"/>
                <w:color w:val="000000"/>
                <w:sz w:val="16"/>
                <w:szCs w:val="16"/>
                <w:lang w:eastAsia="en-AU"/>
              </w:rPr>
            </w:pPr>
            <w:r w:rsidRPr="00A60838">
              <w:rPr>
                <w:rFonts w:ascii="Calibri" w:hAnsi="Calibri" w:cs="Calibri"/>
                <w:color w:val="000000"/>
                <w:sz w:val="16"/>
                <w:szCs w:val="16"/>
                <w:lang w:eastAsia="en-AU"/>
              </w:rPr>
              <w:t>2010-11</w:t>
            </w:r>
          </w:p>
        </w:tc>
        <w:tc>
          <w:tcPr>
            <w:tcW w:w="1120" w:type="dxa"/>
            <w:tcBorders>
              <w:top w:val="nil"/>
              <w:left w:val="nil"/>
              <w:bottom w:val="single" w:sz="4" w:space="0" w:color="auto"/>
              <w:right w:val="single" w:sz="4" w:space="0" w:color="auto"/>
            </w:tcBorders>
            <w:shd w:val="clear" w:color="auto" w:fill="auto"/>
            <w:noWrap/>
            <w:vAlign w:val="center"/>
          </w:tcPr>
          <w:p w:rsidR="00A60838" w:rsidRPr="00A60838" w:rsidRDefault="00A60838" w:rsidP="00A60838">
            <w:pPr>
              <w:jc w:val="center"/>
              <w:rPr>
                <w:rFonts w:ascii="Calibri" w:hAnsi="Calibri" w:cs="Calibri"/>
                <w:color w:val="000000"/>
                <w:sz w:val="16"/>
                <w:szCs w:val="16"/>
                <w:lang w:eastAsia="en-AU"/>
              </w:rPr>
            </w:pPr>
            <w:r w:rsidRPr="00A60838">
              <w:rPr>
                <w:rFonts w:ascii="Calibri" w:hAnsi="Calibri" w:cs="Calibri"/>
                <w:color w:val="000000"/>
                <w:sz w:val="16"/>
                <w:szCs w:val="16"/>
                <w:lang w:eastAsia="en-AU"/>
              </w:rPr>
              <w:t>202</w:t>
            </w:r>
          </w:p>
        </w:tc>
        <w:tc>
          <w:tcPr>
            <w:tcW w:w="1120" w:type="dxa"/>
            <w:tcBorders>
              <w:top w:val="nil"/>
              <w:left w:val="nil"/>
              <w:bottom w:val="single" w:sz="4" w:space="0" w:color="auto"/>
              <w:right w:val="single" w:sz="4" w:space="0" w:color="auto"/>
            </w:tcBorders>
            <w:shd w:val="clear" w:color="auto" w:fill="auto"/>
            <w:noWrap/>
            <w:vAlign w:val="center"/>
          </w:tcPr>
          <w:p w:rsidR="00A60838" w:rsidRPr="00A60838" w:rsidRDefault="00A60838" w:rsidP="00A60838">
            <w:pPr>
              <w:jc w:val="center"/>
              <w:rPr>
                <w:rFonts w:ascii="Calibri" w:hAnsi="Calibri" w:cs="Calibri"/>
                <w:color w:val="000000"/>
                <w:sz w:val="16"/>
                <w:szCs w:val="16"/>
                <w:lang w:eastAsia="en-AU"/>
              </w:rPr>
            </w:pPr>
            <w:r w:rsidRPr="00A60838">
              <w:rPr>
                <w:rFonts w:ascii="Calibri" w:hAnsi="Calibri" w:cs="Calibri"/>
                <w:color w:val="000000"/>
                <w:sz w:val="16"/>
                <w:szCs w:val="16"/>
                <w:lang w:eastAsia="en-AU"/>
              </w:rPr>
              <w:t>155%</w:t>
            </w:r>
          </w:p>
        </w:tc>
        <w:tc>
          <w:tcPr>
            <w:tcW w:w="1120" w:type="dxa"/>
            <w:tcBorders>
              <w:top w:val="nil"/>
              <w:left w:val="nil"/>
              <w:bottom w:val="single" w:sz="4" w:space="0" w:color="auto"/>
              <w:right w:val="single" w:sz="4" w:space="0" w:color="auto"/>
            </w:tcBorders>
            <w:shd w:val="clear" w:color="auto" w:fill="auto"/>
            <w:noWrap/>
            <w:vAlign w:val="center"/>
          </w:tcPr>
          <w:p w:rsidR="00A60838" w:rsidRPr="00A60838" w:rsidRDefault="00A60838" w:rsidP="00EB0A73">
            <w:pPr>
              <w:jc w:val="center"/>
              <w:rPr>
                <w:rFonts w:ascii="Calibri" w:hAnsi="Calibri" w:cs="Calibri"/>
                <w:color w:val="000000"/>
                <w:sz w:val="16"/>
                <w:szCs w:val="16"/>
                <w:lang w:eastAsia="en-AU"/>
              </w:rPr>
            </w:pPr>
            <w:r w:rsidRPr="00A60838">
              <w:rPr>
                <w:rFonts w:ascii="Calibri" w:hAnsi="Calibri" w:cs="Calibri"/>
                <w:color w:val="000000"/>
                <w:sz w:val="16"/>
                <w:szCs w:val="16"/>
                <w:lang w:eastAsia="en-AU"/>
              </w:rPr>
              <w:t>0.8</w:t>
            </w:r>
          </w:p>
        </w:tc>
        <w:tc>
          <w:tcPr>
            <w:tcW w:w="1120" w:type="dxa"/>
            <w:tcBorders>
              <w:top w:val="nil"/>
              <w:left w:val="nil"/>
              <w:bottom w:val="single" w:sz="4" w:space="0" w:color="auto"/>
              <w:right w:val="single" w:sz="4" w:space="0" w:color="auto"/>
            </w:tcBorders>
            <w:shd w:val="clear" w:color="auto" w:fill="auto"/>
            <w:noWrap/>
            <w:vAlign w:val="center"/>
          </w:tcPr>
          <w:p w:rsidR="00A60838" w:rsidRPr="00A60838" w:rsidRDefault="00A60838" w:rsidP="00A60838">
            <w:pPr>
              <w:jc w:val="center"/>
              <w:rPr>
                <w:rFonts w:ascii="Calibri" w:hAnsi="Calibri" w:cs="Calibri"/>
                <w:color w:val="000000"/>
                <w:sz w:val="16"/>
                <w:szCs w:val="16"/>
                <w:lang w:eastAsia="en-AU"/>
              </w:rPr>
            </w:pPr>
            <w:r w:rsidRPr="00A60838">
              <w:rPr>
                <w:rFonts w:ascii="Calibri" w:hAnsi="Calibri" w:cs="Calibri"/>
                <w:color w:val="000000"/>
                <w:sz w:val="16"/>
                <w:szCs w:val="16"/>
                <w:lang w:eastAsia="en-AU"/>
              </w:rPr>
              <w:t>1.2</w:t>
            </w:r>
          </w:p>
        </w:tc>
        <w:tc>
          <w:tcPr>
            <w:tcW w:w="1120" w:type="dxa"/>
            <w:tcBorders>
              <w:top w:val="nil"/>
              <w:left w:val="nil"/>
              <w:bottom w:val="single" w:sz="4" w:space="0" w:color="auto"/>
              <w:right w:val="single" w:sz="4" w:space="0" w:color="auto"/>
            </w:tcBorders>
            <w:shd w:val="clear" w:color="auto" w:fill="auto"/>
            <w:noWrap/>
            <w:vAlign w:val="center"/>
          </w:tcPr>
          <w:p w:rsidR="00A60838" w:rsidRPr="00A60838" w:rsidRDefault="00A60838" w:rsidP="00A60838">
            <w:pPr>
              <w:jc w:val="center"/>
              <w:rPr>
                <w:rFonts w:ascii="Calibri" w:hAnsi="Calibri" w:cs="Calibri"/>
                <w:color w:val="000000"/>
                <w:sz w:val="16"/>
                <w:szCs w:val="16"/>
                <w:lang w:eastAsia="en-AU"/>
              </w:rPr>
            </w:pPr>
            <w:r w:rsidRPr="00A60838">
              <w:rPr>
                <w:rFonts w:ascii="Calibri" w:hAnsi="Calibri" w:cs="Calibri"/>
                <w:color w:val="000000"/>
                <w:sz w:val="16"/>
                <w:szCs w:val="16"/>
                <w:lang w:eastAsia="en-AU"/>
              </w:rPr>
              <w:t>0.2</w:t>
            </w:r>
          </w:p>
        </w:tc>
      </w:tr>
      <w:tr w:rsidR="00A60838" w:rsidRPr="00A60838">
        <w:trPr>
          <w:trHeight w:val="225"/>
        </w:trPr>
        <w:tc>
          <w:tcPr>
            <w:tcW w:w="1660" w:type="dxa"/>
            <w:tcBorders>
              <w:top w:val="nil"/>
              <w:left w:val="nil"/>
              <w:bottom w:val="nil"/>
              <w:right w:val="nil"/>
            </w:tcBorders>
            <w:shd w:val="clear" w:color="auto" w:fill="auto"/>
            <w:noWrap/>
            <w:vAlign w:val="bottom"/>
          </w:tcPr>
          <w:p w:rsidR="00A60838" w:rsidRPr="00A60838" w:rsidRDefault="00A60838" w:rsidP="00A60838">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A60838" w:rsidRPr="00A60838" w:rsidRDefault="00A60838" w:rsidP="00A60838">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A60838" w:rsidRPr="00A60838" w:rsidRDefault="00A60838" w:rsidP="00A60838">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A60838" w:rsidRPr="00A60838" w:rsidRDefault="00A60838" w:rsidP="00A60838">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A60838" w:rsidRPr="00A60838" w:rsidRDefault="00A60838" w:rsidP="00A60838">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A60838" w:rsidRPr="00A60838" w:rsidRDefault="00A60838" w:rsidP="00A60838">
            <w:pPr>
              <w:rPr>
                <w:rFonts w:ascii="Calibri" w:hAnsi="Calibri" w:cs="Calibri"/>
                <w:color w:val="000000"/>
                <w:sz w:val="16"/>
                <w:szCs w:val="16"/>
                <w:lang w:eastAsia="en-AU"/>
              </w:rPr>
            </w:pPr>
          </w:p>
        </w:tc>
      </w:tr>
      <w:tr w:rsidR="00A60838" w:rsidRPr="00A60838">
        <w:trPr>
          <w:trHeight w:val="450"/>
        </w:trPr>
        <w:tc>
          <w:tcPr>
            <w:tcW w:w="1660" w:type="dxa"/>
            <w:tcBorders>
              <w:top w:val="single" w:sz="4" w:space="0" w:color="auto"/>
              <w:left w:val="single" w:sz="4" w:space="0" w:color="auto"/>
              <w:bottom w:val="nil"/>
              <w:right w:val="single" w:sz="4" w:space="0" w:color="auto"/>
            </w:tcBorders>
            <w:shd w:val="clear" w:color="000000" w:fill="D8D8D8"/>
            <w:vAlign w:val="center"/>
          </w:tcPr>
          <w:p w:rsidR="00A60838" w:rsidRPr="00A60838" w:rsidRDefault="00A60838" w:rsidP="00A60838">
            <w:pPr>
              <w:jc w:val="center"/>
              <w:rPr>
                <w:rFonts w:ascii="Calibri" w:hAnsi="Calibri" w:cs="Calibri"/>
                <w:color w:val="000000"/>
                <w:sz w:val="16"/>
                <w:szCs w:val="16"/>
                <w:lang w:eastAsia="en-AU"/>
              </w:rPr>
            </w:pPr>
            <w:r w:rsidRPr="00A60838">
              <w:rPr>
                <w:rFonts w:ascii="Calibri" w:hAnsi="Calibri" w:cs="Calibri"/>
                <w:color w:val="000000"/>
                <w:sz w:val="16"/>
                <w:szCs w:val="16"/>
                <w:lang w:eastAsia="en-AU"/>
              </w:rPr>
              <w:t>Method</w:t>
            </w:r>
          </w:p>
        </w:tc>
        <w:tc>
          <w:tcPr>
            <w:tcW w:w="1120" w:type="dxa"/>
            <w:tcBorders>
              <w:top w:val="single" w:sz="4" w:space="0" w:color="auto"/>
              <w:left w:val="nil"/>
              <w:bottom w:val="nil"/>
              <w:right w:val="single" w:sz="4" w:space="0" w:color="auto"/>
            </w:tcBorders>
            <w:shd w:val="clear" w:color="000000" w:fill="D8D8D8"/>
            <w:vAlign w:val="center"/>
          </w:tcPr>
          <w:p w:rsidR="00A60838" w:rsidRPr="00A60838" w:rsidRDefault="00A60838" w:rsidP="00A60838">
            <w:pPr>
              <w:jc w:val="center"/>
              <w:rPr>
                <w:rFonts w:ascii="Calibri" w:hAnsi="Calibri" w:cs="Calibri"/>
                <w:color w:val="000000"/>
                <w:sz w:val="16"/>
                <w:szCs w:val="16"/>
                <w:lang w:eastAsia="en-AU"/>
              </w:rPr>
            </w:pPr>
            <w:r w:rsidRPr="00A60838">
              <w:rPr>
                <w:rFonts w:ascii="Calibri" w:hAnsi="Calibri" w:cs="Calibri"/>
                <w:color w:val="000000"/>
                <w:sz w:val="16"/>
                <w:szCs w:val="16"/>
                <w:lang w:eastAsia="en-AU"/>
              </w:rPr>
              <w:t>Measure of average</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A60838" w:rsidRPr="00A60838" w:rsidRDefault="00A60838" w:rsidP="00A60838">
            <w:pPr>
              <w:jc w:val="center"/>
              <w:rPr>
                <w:rFonts w:ascii="Calibri" w:hAnsi="Calibri" w:cs="Calibri"/>
                <w:color w:val="000000"/>
                <w:sz w:val="16"/>
                <w:szCs w:val="16"/>
                <w:lang w:eastAsia="en-AU"/>
              </w:rPr>
            </w:pPr>
            <w:r w:rsidRPr="00A60838">
              <w:rPr>
                <w:rFonts w:ascii="Calibri" w:hAnsi="Calibri" w:cs="Calibri"/>
                <w:color w:val="000000"/>
                <w:sz w:val="16"/>
                <w:szCs w:val="16"/>
                <w:lang w:eastAsia="en-AU"/>
              </w:rPr>
              <w:t>Average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A60838" w:rsidRPr="00A60838" w:rsidRDefault="00A60838" w:rsidP="00A60838">
            <w:pPr>
              <w:jc w:val="center"/>
              <w:rPr>
                <w:rFonts w:ascii="Calibri" w:hAnsi="Calibri" w:cs="Calibri"/>
                <w:color w:val="000000"/>
                <w:sz w:val="16"/>
                <w:szCs w:val="16"/>
                <w:lang w:eastAsia="en-AU"/>
              </w:rPr>
            </w:pPr>
            <w:r w:rsidRPr="00A60838">
              <w:rPr>
                <w:rFonts w:ascii="Calibri" w:hAnsi="Calibri" w:cs="Calibri"/>
                <w:color w:val="000000"/>
                <w:sz w:val="16"/>
                <w:szCs w:val="16"/>
                <w:lang w:eastAsia="en-AU"/>
              </w:rPr>
              <w:t>Lower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A60838" w:rsidRPr="00A60838" w:rsidRDefault="00A60838" w:rsidP="00A60838">
            <w:pPr>
              <w:jc w:val="center"/>
              <w:rPr>
                <w:rFonts w:ascii="Calibri" w:hAnsi="Calibri" w:cs="Calibri"/>
                <w:color w:val="000000"/>
                <w:sz w:val="16"/>
                <w:szCs w:val="16"/>
                <w:lang w:eastAsia="en-AU"/>
              </w:rPr>
            </w:pPr>
            <w:r w:rsidRPr="00A60838">
              <w:rPr>
                <w:rFonts w:ascii="Calibri" w:hAnsi="Calibri" w:cs="Calibri"/>
                <w:color w:val="000000"/>
                <w:sz w:val="16"/>
                <w:szCs w:val="16"/>
                <w:lang w:eastAsia="en-AU"/>
              </w:rPr>
              <w:t>Upper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A60838" w:rsidRPr="00A60838" w:rsidRDefault="00A60838" w:rsidP="00A60838">
            <w:pPr>
              <w:jc w:val="center"/>
              <w:rPr>
                <w:rFonts w:ascii="Calibri" w:hAnsi="Calibri" w:cs="Calibri"/>
                <w:color w:val="000000"/>
                <w:sz w:val="16"/>
                <w:szCs w:val="16"/>
                <w:lang w:eastAsia="en-AU"/>
              </w:rPr>
            </w:pPr>
            <w:r w:rsidRPr="00A60838">
              <w:rPr>
                <w:rFonts w:ascii="Calibri" w:hAnsi="Calibri" w:cs="Calibri"/>
                <w:color w:val="000000"/>
                <w:sz w:val="16"/>
                <w:szCs w:val="16"/>
                <w:lang w:eastAsia="en-AU"/>
              </w:rPr>
              <w:t>Confidence interval ± (kg)</w:t>
            </w:r>
          </w:p>
        </w:tc>
      </w:tr>
      <w:tr w:rsidR="00A60838" w:rsidRPr="00A60838">
        <w:trPr>
          <w:trHeight w:val="48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A60838" w:rsidRPr="00A60838" w:rsidRDefault="00A60838" w:rsidP="00A60838">
            <w:pPr>
              <w:jc w:val="center"/>
              <w:rPr>
                <w:rFonts w:ascii="Calibri" w:hAnsi="Calibri" w:cs="Calibri"/>
                <w:color w:val="000000"/>
                <w:sz w:val="16"/>
                <w:szCs w:val="16"/>
                <w:lang w:eastAsia="en-AU"/>
              </w:rPr>
            </w:pPr>
            <w:r w:rsidRPr="00A60838">
              <w:rPr>
                <w:rFonts w:ascii="Calibri" w:hAnsi="Calibri" w:cs="Calibri"/>
                <w:color w:val="000000"/>
                <w:sz w:val="16"/>
                <w:szCs w:val="16"/>
                <w:lang w:eastAsia="en-AU"/>
              </w:rPr>
              <w:t>Approximation to the normal distribution</w:t>
            </w:r>
          </w:p>
        </w:tc>
        <w:tc>
          <w:tcPr>
            <w:tcW w:w="1120" w:type="dxa"/>
            <w:tcBorders>
              <w:top w:val="single" w:sz="4" w:space="0" w:color="auto"/>
              <w:left w:val="nil"/>
              <w:bottom w:val="single" w:sz="4" w:space="0" w:color="auto"/>
              <w:right w:val="single" w:sz="4" w:space="0" w:color="auto"/>
            </w:tcBorders>
            <w:shd w:val="clear" w:color="auto" w:fill="auto"/>
            <w:vAlign w:val="center"/>
          </w:tcPr>
          <w:p w:rsidR="00A60838" w:rsidRPr="00A60838" w:rsidRDefault="00A60838" w:rsidP="00A60838">
            <w:pPr>
              <w:jc w:val="center"/>
              <w:rPr>
                <w:rFonts w:ascii="Calibri" w:hAnsi="Calibri" w:cs="Calibri"/>
                <w:color w:val="000000"/>
                <w:sz w:val="16"/>
                <w:szCs w:val="16"/>
                <w:lang w:eastAsia="en-AU"/>
              </w:rPr>
            </w:pPr>
            <w:r w:rsidRPr="00A60838">
              <w:rPr>
                <w:rFonts w:ascii="Calibri" w:hAnsi="Calibri" w:cs="Calibri"/>
                <w:color w:val="000000"/>
                <w:sz w:val="16"/>
                <w:szCs w:val="16"/>
                <w:lang w:eastAsia="en-AU"/>
              </w:rPr>
              <w:t>Mean</w:t>
            </w:r>
          </w:p>
        </w:tc>
        <w:tc>
          <w:tcPr>
            <w:tcW w:w="1120" w:type="dxa"/>
            <w:tcBorders>
              <w:top w:val="nil"/>
              <w:left w:val="nil"/>
              <w:bottom w:val="single" w:sz="4" w:space="0" w:color="auto"/>
              <w:right w:val="single" w:sz="4" w:space="0" w:color="auto"/>
            </w:tcBorders>
            <w:shd w:val="clear" w:color="auto" w:fill="auto"/>
            <w:noWrap/>
            <w:vAlign w:val="center"/>
          </w:tcPr>
          <w:p w:rsidR="00A60838" w:rsidRPr="00A60838" w:rsidRDefault="00A60838" w:rsidP="00A60838">
            <w:pPr>
              <w:jc w:val="center"/>
              <w:rPr>
                <w:rFonts w:ascii="Calibri" w:hAnsi="Calibri" w:cs="Calibri"/>
                <w:color w:val="000000"/>
                <w:sz w:val="16"/>
                <w:szCs w:val="16"/>
                <w:lang w:eastAsia="en-AU"/>
              </w:rPr>
            </w:pPr>
            <w:r w:rsidRPr="00A60838">
              <w:rPr>
                <w:rFonts w:ascii="Calibri" w:hAnsi="Calibri" w:cs="Calibri"/>
                <w:color w:val="000000"/>
                <w:sz w:val="16"/>
                <w:szCs w:val="16"/>
                <w:lang w:eastAsia="en-AU"/>
              </w:rPr>
              <w:t>1.0</w:t>
            </w:r>
          </w:p>
        </w:tc>
        <w:tc>
          <w:tcPr>
            <w:tcW w:w="1120" w:type="dxa"/>
            <w:tcBorders>
              <w:top w:val="nil"/>
              <w:left w:val="nil"/>
              <w:bottom w:val="single" w:sz="4" w:space="0" w:color="auto"/>
              <w:right w:val="single" w:sz="4" w:space="0" w:color="auto"/>
            </w:tcBorders>
            <w:shd w:val="clear" w:color="auto" w:fill="auto"/>
            <w:noWrap/>
            <w:vAlign w:val="center"/>
          </w:tcPr>
          <w:p w:rsidR="00A60838" w:rsidRPr="00A60838" w:rsidRDefault="00A60838" w:rsidP="00A60838">
            <w:pPr>
              <w:jc w:val="center"/>
              <w:rPr>
                <w:rFonts w:ascii="Calibri" w:hAnsi="Calibri" w:cs="Calibri"/>
                <w:color w:val="000000"/>
                <w:sz w:val="16"/>
                <w:szCs w:val="16"/>
                <w:lang w:eastAsia="en-AU"/>
              </w:rPr>
            </w:pPr>
            <w:r w:rsidRPr="00A60838">
              <w:rPr>
                <w:rFonts w:ascii="Calibri" w:hAnsi="Calibri" w:cs="Calibri"/>
                <w:color w:val="000000"/>
                <w:sz w:val="16"/>
                <w:szCs w:val="16"/>
                <w:lang w:eastAsia="en-AU"/>
              </w:rPr>
              <w:t>0.7</w:t>
            </w:r>
          </w:p>
        </w:tc>
        <w:tc>
          <w:tcPr>
            <w:tcW w:w="1120" w:type="dxa"/>
            <w:tcBorders>
              <w:top w:val="nil"/>
              <w:left w:val="nil"/>
              <w:bottom w:val="single" w:sz="4" w:space="0" w:color="auto"/>
              <w:right w:val="single" w:sz="4" w:space="0" w:color="auto"/>
            </w:tcBorders>
            <w:shd w:val="clear" w:color="auto" w:fill="auto"/>
            <w:noWrap/>
            <w:vAlign w:val="center"/>
          </w:tcPr>
          <w:p w:rsidR="00A60838" w:rsidRPr="00A60838" w:rsidRDefault="00A60838" w:rsidP="00A60838">
            <w:pPr>
              <w:jc w:val="center"/>
              <w:rPr>
                <w:rFonts w:ascii="Calibri" w:hAnsi="Calibri" w:cs="Calibri"/>
                <w:color w:val="000000"/>
                <w:sz w:val="16"/>
                <w:szCs w:val="16"/>
                <w:lang w:eastAsia="en-AU"/>
              </w:rPr>
            </w:pPr>
            <w:r w:rsidRPr="00A60838">
              <w:rPr>
                <w:rFonts w:ascii="Calibri" w:hAnsi="Calibri" w:cs="Calibri"/>
                <w:color w:val="000000"/>
                <w:sz w:val="16"/>
                <w:szCs w:val="16"/>
                <w:lang w:eastAsia="en-AU"/>
              </w:rPr>
              <w:t>1.3</w:t>
            </w:r>
          </w:p>
        </w:tc>
        <w:tc>
          <w:tcPr>
            <w:tcW w:w="1120" w:type="dxa"/>
            <w:tcBorders>
              <w:top w:val="nil"/>
              <w:left w:val="nil"/>
              <w:bottom w:val="single" w:sz="4" w:space="0" w:color="auto"/>
              <w:right w:val="single" w:sz="4" w:space="0" w:color="auto"/>
            </w:tcBorders>
            <w:shd w:val="clear" w:color="auto" w:fill="auto"/>
            <w:noWrap/>
            <w:vAlign w:val="center"/>
          </w:tcPr>
          <w:p w:rsidR="00A60838" w:rsidRPr="00A60838" w:rsidRDefault="00A60838" w:rsidP="00A60838">
            <w:pPr>
              <w:jc w:val="center"/>
              <w:rPr>
                <w:rFonts w:ascii="Calibri" w:hAnsi="Calibri" w:cs="Calibri"/>
                <w:color w:val="000000"/>
                <w:sz w:val="16"/>
                <w:szCs w:val="16"/>
                <w:lang w:eastAsia="en-AU"/>
              </w:rPr>
            </w:pPr>
            <w:r w:rsidRPr="00A60838">
              <w:rPr>
                <w:rFonts w:ascii="Calibri" w:hAnsi="Calibri" w:cs="Calibri"/>
                <w:color w:val="000000"/>
                <w:sz w:val="16"/>
                <w:szCs w:val="16"/>
                <w:lang w:eastAsia="en-AU"/>
              </w:rPr>
              <w:t>0.3</w:t>
            </w:r>
          </w:p>
        </w:tc>
      </w:tr>
      <w:tr w:rsidR="00A60838" w:rsidRPr="00A60838">
        <w:trPr>
          <w:trHeight w:val="480"/>
        </w:trPr>
        <w:tc>
          <w:tcPr>
            <w:tcW w:w="1660" w:type="dxa"/>
            <w:tcBorders>
              <w:top w:val="nil"/>
              <w:left w:val="single" w:sz="4" w:space="0" w:color="auto"/>
              <w:bottom w:val="single" w:sz="4" w:space="0" w:color="auto"/>
              <w:right w:val="single" w:sz="4" w:space="0" w:color="auto"/>
            </w:tcBorders>
            <w:shd w:val="clear" w:color="auto" w:fill="auto"/>
            <w:vAlign w:val="center"/>
          </w:tcPr>
          <w:p w:rsidR="00A60838" w:rsidRPr="00A60838" w:rsidRDefault="00A60838" w:rsidP="00A60838">
            <w:pPr>
              <w:jc w:val="center"/>
              <w:rPr>
                <w:rFonts w:ascii="Calibri" w:hAnsi="Calibri" w:cs="Calibri"/>
                <w:color w:val="000000"/>
                <w:sz w:val="16"/>
                <w:szCs w:val="16"/>
                <w:lang w:eastAsia="en-AU"/>
              </w:rPr>
            </w:pPr>
            <w:r w:rsidRPr="00A60838">
              <w:rPr>
                <w:rFonts w:ascii="Calibri" w:hAnsi="Calibri" w:cs="Calibri"/>
                <w:color w:val="000000"/>
                <w:sz w:val="16"/>
                <w:szCs w:val="16"/>
                <w:lang w:eastAsia="en-AU"/>
              </w:rPr>
              <w:t>Use of percentiles</w:t>
            </w:r>
          </w:p>
        </w:tc>
        <w:tc>
          <w:tcPr>
            <w:tcW w:w="1120" w:type="dxa"/>
            <w:tcBorders>
              <w:top w:val="nil"/>
              <w:left w:val="nil"/>
              <w:bottom w:val="single" w:sz="4" w:space="0" w:color="auto"/>
              <w:right w:val="single" w:sz="4" w:space="0" w:color="auto"/>
            </w:tcBorders>
            <w:shd w:val="clear" w:color="auto" w:fill="auto"/>
            <w:vAlign w:val="center"/>
          </w:tcPr>
          <w:p w:rsidR="00A60838" w:rsidRPr="00A60838" w:rsidRDefault="00A60838" w:rsidP="00A60838">
            <w:pPr>
              <w:jc w:val="center"/>
              <w:rPr>
                <w:rFonts w:ascii="Calibri" w:hAnsi="Calibri" w:cs="Calibri"/>
                <w:color w:val="000000"/>
                <w:sz w:val="16"/>
                <w:szCs w:val="16"/>
                <w:lang w:eastAsia="en-AU"/>
              </w:rPr>
            </w:pPr>
            <w:r w:rsidRPr="00A60838">
              <w:rPr>
                <w:rFonts w:ascii="Calibri" w:hAnsi="Calibri" w:cs="Calibri"/>
                <w:color w:val="000000"/>
                <w:sz w:val="16"/>
                <w:szCs w:val="16"/>
                <w:lang w:eastAsia="en-AU"/>
              </w:rPr>
              <w:t>Median</w:t>
            </w:r>
          </w:p>
        </w:tc>
        <w:tc>
          <w:tcPr>
            <w:tcW w:w="1120" w:type="dxa"/>
            <w:tcBorders>
              <w:top w:val="nil"/>
              <w:left w:val="nil"/>
              <w:bottom w:val="single" w:sz="4" w:space="0" w:color="auto"/>
              <w:right w:val="single" w:sz="4" w:space="0" w:color="auto"/>
            </w:tcBorders>
            <w:shd w:val="clear" w:color="auto" w:fill="auto"/>
            <w:noWrap/>
            <w:vAlign w:val="center"/>
          </w:tcPr>
          <w:p w:rsidR="00A60838" w:rsidRPr="00A60838" w:rsidRDefault="00A60838" w:rsidP="00A60838">
            <w:pPr>
              <w:jc w:val="center"/>
              <w:rPr>
                <w:rFonts w:ascii="Calibri" w:hAnsi="Calibri" w:cs="Calibri"/>
                <w:color w:val="000000"/>
                <w:sz w:val="16"/>
                <w:szCs w:val="16"/>
                <w:lang w:eastAsia="en-AU"/>
              </w:rPr>
            </w:pPr>
            <w:r w:rsidRPr="00A60838">
              <w:rPr>
                <w:rFonts w:ascii="Calibri" w:hAnsi="Calibri" w:cs="Calibri"/>
                <w:color w:val="000000"/>
                <w:sz w:val="16"/>
                <w:szCs w:val="16"/>
                <w:lang w:eastAsia="en-AU"/>
              </w:rPr>
              <w:t>1.0</w:t>
            </w:r>
          </w:p>
        </w:tc>
        <w:tc>
          <w:tcPr>
            <w:tcW w:w="1120" w:type="dxa"/>
            <w:tcBorders>
              <w:top w:val="nil"/>
              <w:left w:val="nil"/>
              <w:bottom w:val="single" w:sz="4" w:space="0" w:color="auto"/>
              <w:right w:val="single" w:sz="4" w:space="0" w:color="auto"/>
            </w:tcBorders>
            <w:shd w:val="clear" w:color="auto" w:fill="auto"/>
            <w:noWrap/>
            <w:vAlign w:val="center"/>
          </w:tcPr>
          <w:p w:rsidR="00A60838" w:rsidRPr="00A60838" w:rsidRDefault="00A60838" w:rsidP="00A60838">
            <w:pPr>
              <w:jc w:val="center"/>
              <w:rPr>
                <w:rFonts w:ascii="Calibri" w:hAnsi="Calibri" w:cs="Calibri"/>
                <w:color w:val="000000"/>
                <w:sz w:val="16"/>
                <w:szCs w:val="16"/>
                <w:lang w:eastAsia="en-AU"/>
              </w:rPr>
            </w:pPr>
            <w:r w:rsidRPr="00A60838">
              <w:rPr>
                <w:rFonts w:ascii="Calibri" w:hAnsi="Calibri" w:cs="Calibri"/>
                <w:color w:val="000000"/>
                <w:sz w:val="16"/>
                <w:szCs w:val="16"/>
                <w:lang w:eastAsia="en-AU"/>
              </w:rPr>
              <w:t>0.5</w:t>
            </w:r>
          </w:p>
        </w:tc>
        <w:tc>
          <w:tcPr>
            <w:tcW w:w="1120" w:type="dxa"/>
            <w:tcBorders>
              <w:top w:val="nil"/>
              <w:left w:val="nil"/>
              <w:bottom w:val="single" w:sz="4" w:space="0" w:color="auto"/>
              <w:right w:val="single" w:sz="4" w:space="0" w:color="auto"/>
            </w:tcBorders>
            <w:shd w:val="clear" w:color="auto" w:fill="auto"/>
            <w:noWrap/>
            <w:vAlign w:val="center"/>
          </w:tcPr>
          <w:p w:rsidR="00A60838" w:rsidRPr="00A60838" w:rsidRDefault="00A60838" w:rsidP="00A60838">
            <w:pPr>
              <w:jc w:val="center"/>
              <w:rPr>
                <w:rFonts w:ascii="Calibri" w:hAnsi="Calibri" w:cs="Calibri"/>
                <w:color w:val="000000"/>
                <w:sz w:val="16"/>
                <w:szCs w:val="16"/>
                <w:lang w:eastAsia="en-AU"/>
              </w:rPr>
            </w:pPr>
            <w:r w:rsidRPr="00A60838">
              <w:rPr>
                <w:rFonts w:ascii="Calibri" w:hAnsi="Calibri" w:cs="Calibri"/>
                <w:color w:val="000000"/>
                <w:sz w:val="16"/>
                <w:szCs w:val="16"/>
                <w:lang w:eastAsia="en-AU"/>
              </w:rPr>
              <w:t>1.2</w:t>
            </w:r>
          </w:p>
        </w:tc>
        <w:tc>
          <w:tcPr>
            <w:tcW w:w="1120" w:type="dxa"/>
            <w:tcBorders>
              <w:top w:val="nil"/>
              <w:left w:val="nil"/>
              <w:bottom w:val="single" w:sz="4" w:space="0" w:color="auto"/>
              <w:right w:val="single" w:sz="4" w:space="0" w:color="auto"/>
            </w:tcBorders>
            <w:shd w:val="clear" w:color="auto" w:fill="auto"/>
            <w:noWrap/>
            <w:vAlign w:val="center"/>
          </w:tcPr>
          <w:p w:rsidR="00A60838" w:rsidRPr="00A60838" w:rsidRDefault="00A60838" w:rsidP="00A60838">
            <w:pPr>
              <w:jc w:val="center"/>
              <w:rPr>
                <w:rFonts w:ascii="Calibri" w:hAnsi="Calibri" w:cs="Calibri"/>
                <w:color w:val="000000"/>
                <w:sz w:val="16"/>
                <w:szCs w:val="16"/>
                <w:lang w:eastAsia="en-AU"/>
              </w:rPr>
            </w:pPr>
            <w:r w:rsidRPr="00A60838">
              <w:rPr>
                <w:rFonts w:ascii="Calibri" w:hAnsi="Calibri" w:cs="Calibri"/>
                <w:color w:val="000000"/>
                <w:sz w:val="16"/>
                <w:szCs w:val="16"/>
                <w:lang w:eastAsia="en-AU"/>
              </w:rPr>
              <w:t>0.4</w:t>
            </w:r>
          </w:p>
        </w:tc>
      </w:tr>
      <w:tr w:rsidR="00A60838" w:rsidRPr="00A60838">
        <w:trPr>
          <w:trHeight w:val="225"/>
        </w:trPr>
        <w:tc>
          <w:tcPr>
            <w:tcW w:w="1660" w:type="dxa"/>
            <w:tcBorders>
              <w:top w:val="nil"/>
              <w:left w:val="nil"/>
              <w:bottom w:val="nil"/>
              <w:right w:val="nil"/>
            </w:tcBorders>
            <w:shd w:val="clear" w:color="auto" w:fill="auto"/>
            <w:noWrap/>
            <w:vAlign w:val="bottom"/>
          </w:tcPr>
          <w:p w:rsidR="00A60838" w:rsidRPr="00A60838" w:rsidRDefault="00A60838" w:rsidP="00A60838">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A60838" w:rsidRPr="00A60838" w:rsidRDefault="00A60838" w:rsidP="00A60838">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A60838" w:rsidRPr="00A60838" w:rsidRDefault="00A60838" w:rsidP="00A60838">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A60838" w:rsidRPr="00A60838" w:rsidRDefault="00A60838" w:rsidP="00A60838">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A60838" w:rsidRPr="00A60838" w:rsidRDefault="00A60838" w:rsidP="00A60838">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A60838" w:rsidRPr="00A60838" w:rsidRDefault="00A60838" w:rsidP="00A60838">
            <w:pPr>
              <w:rPr>
                <w:rFonts w:ascii="Calibri" w:hAnsi="Calibri" w:cs="Calibri"/>
                <w:color w:val="000000"/>
                <w:sz w:val="16"/>
                <w:szCs w:val="16"/>
                <w:lang w:eastAsia="en-AU"/>
              </w:rPr>
            </w:pPr>
          </w:p>
        </w:tc>
      </w:tr>
      <w:tr w:rsidR="00A60838" w:rsidRPr="00A60838">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tcPr>
          <w:p w:rsidR="00A60838" w:rsidRPr="00A60838" w:rsidRDefault="00A60838" w:rsidP="00A60838">
            <w:pPr>
              <w:rPr>
                <w:rFonts w:ascii="Calibri" w:hAnsi="Calibri" w:cs="Calibri"/>
                <w:color w:val="000000"/>
                <w:sz w:val="16"/>
                <w:szCs w:val="16"/>
                <w:lang w:eastAsia="en-AU"/>
              </w:rPr>
            </w:pPr>
            <w:r w:rsidRPr="00A60838">
              <w:rPr>
                <w:rFonts w:ascii="Calibri" w:hAnsi="Calibri" w:cs="Calibri"/>
                <w:color w:val="000000"/>
                <w:sz w:val="16"/>
                <w:szCs w:val="16"/>
                <w:lang w:eastAsia="en-AU"/>
              </w:rPr>
              <w:t>Year</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A60838" w:rsidRPr="00A60838" w:rsidRDefault="00A60838" w:rsidP="00A60838">
            <w:pPr>
              <w:jc w:val="center"/>
              <w:rPr>
                <w:rFonts w:ascii="Calibri" w:hAnsi="Calibri" w:cs="Calibri"/>
                <w:color w:val="000000"/>
                <w:sz w:val="16"/>
                <w:szCs w:val="16"/>
                <w:lang w:eastAsia="en-AU"/>
              </w:rPr>
            </w:pPr>
            <w:r w:rsidRPr="00A60838">
              <w:rPr>
                <w:rFonts w:ascii="Calibri" w:hAnsi="Calibri" w:cs="Calibri"/>
                <w:color w:val="000000"/>
                <w:sz w:val="16"/>
                <w:szCs w:val="16"/>
                <w:lang w:eastAsia="en-AU"/>
              </w:rPr>
              <w:t>2010-11</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A60838" w:rsidRPr="00A60838" w:rsidRDefault="00A60838" w:rsidP="00A60838">
            <w:pPr>
              <w:jc w:val="center"/>
              <w:rPr>
                <w:rFonts w:ascii="Calibri" w:hAnsi="Calibri" w:cs="Calibri"/>
                <w:color w:val="000000"/>
                <w:sz w:val="16"/>
                <w:szCs w:val="16"/>
                <w:lang w:eastAsia="en-AU"/>
              </w:rPr>
            </w:pPr>
            <w:r w:rsidRPr="00A60838">
              <w:rPr>
                <w:rFonts w:ascii="Calibri" w:hAnsi="Calibri" w:cs="Calibri"/>
                <w:color w:val="000000"/>
                <w:sz w:val="16"/>
                <w:szCs w:val="16"/>
                <w:lang w:eastAsia="en-AU"/>
              </w:rPr>
              <w:t>2009-10</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A60838" w:rsidRPr="00A60838" w:rsidRDefault="00A60838" w:rsidP="00A60838">
            <w:pPr>
              <w:jc w:val="center"/>
              <w:rPr>
                <w:rFonts w:ascii="Calibri" w:hAnsi="Calibri" w:cs="Calibri"/>
                <w:color w:val="000000"/>
                <w:sz w:val="16"/>
                <w:szCs w:val="16"/>
                <w:lang w:eastAsia="en-AU"/>
              </w:rPr>
            </w:pPr>
            <w:r w:rsidRPr="00A60838">
              <w:rPr>
                <w:rFonts w:ascii="Calibri" w:hAnsi="Calibri" w:cs="Calibri"/>
                <w:color w:val="000000"/>
                <w:sz w:val="16"/>
                <w:szCs w:val="16"/>
                <w:lang w:eastAsia="en-AU"/>
              </w:rPr>
              <w:t>2008-09</w:t>
            </w:r>
          </w:p>
        </w:tc>
      </w:tr>
      <w:tr w:rsidR="00EB0A73" w:rsidRPr="00A60838">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B0A73" w:rsidRPr="00A60838" w:rsidRDefault="00EB0A73" w:rsidP="00A60838">
            <w:pPr>
              <w:rPr>
                <w:rFonts w:ascii="Calibri" w:hAnsi="Calibri" w:cs="Calibri"/>
                <w:color w:val="000000"/>
                <w:sz w:val="16"/>
                <w:szCs w:val="16"/>
                <w:lang w:eastAsia="en-AU"/>
              </w:rPr>
            </w:pPr>
            <w:r w:rsidRPr="00CB6A7D">
              <w:rPr>
                <w:rFonts w:ascii="Calibri" w:hAnsi="Calibri" w:cs="Calibri"/>
                <w:color w:val="000000"/>
                <w:sz w:val="16"/>
                <w:szCs w:val="16"/>
                <w:lang w:eastAsia="en-AU"/>
              </w:rPr>
              <w:t>Percentage by which the conversion factor over or under estimates the weight of imports</w:t>
            </w:r>
          </w:p>
        </w:tc>
        <w:tc>
          <w:tcPr>
            <w:tcW w:w="1120" w:type="dxa"/>
            <w:tcBorders>
              <w:top w:val="nil"/>
              <w:left w:val="nil"/>
              <w:bottom w:val="single" w:sz="4" w:space="0" w:color="auto"/>
              <w:right w:val="single" w:sz="4" w:space="0" w:color="auto"/>
            </w:tcBorders>
            <w:shd w:val="clear" w:color="auto" w:fill="auto"/>
            <w:noWrap/>
            <w:vAlign w:val="center"/>
          </w:tcPr>
          <w:p w:rsidR="00EB0A73" w:rsidRDefault="00EB0A73">
            <w:pPr>
              <w:jc w:val="center"/>
              <w:rPr>
                <w:rFonts w:ascii="Calibri" w:hAnsi="Calibri" w:cs="Calibri"/>
                <w:color w:val="000000"/>
                <w:sz w:val="16"/>
                <w:szCs w:val="16"/>
              </w:rPr>
            </w:pPr>
            <w:r>
              <w:rPr>
                <w:rFonts w:ascii="Calibri" w:hAnsi="Calibri" w:cs="Calibri"/>
                <w:color w:val="000000"/>
                <w:sz w:val="16"/>
                <w:szCs w:val="16"/>
              </w:rPr>
              <w:t>0%</w:t>
            </w:r>
          </w:p>
        </w:tc>
        <w:tc>
          <w:tcPr>
            <w:tcW w:w="1120" w:type="dxa"/>
            <w:tcBorders>
              <w:top w:val="nil"/>
              <w:left w:val="nil"/>
              <w:bottom w:val="single" w:sz="4" w:space="0" w:color="auto"/>
              <w:right w:val="single" w:sz="4" w:space="0" w:color="auto"/>
            </w:tcBorders>
            <w:shd w:val="clear" w:color="auto" w:fill="auto"/>
            <w:noWrap/>
            <w:vAlign w:val="center"/>
          </w:tcPr>
          <w:p w:rsidR="00EB0A73" w:rsidRDefault="00EB0A73">
            <w:pPr>
              <w:jc w:val="center"/>
              <w:rPr>
                <w:rFonts w:ascii="Calibri" w:hAnsi="Calibri" w:cs="Calibri"/>
                <w:color w:val="000000"/>
                <w:sz w:val="16"/>
                <w:szCs w:val="16"/>
              </w:rPr>
            </w:pPr>
            <w:r>
              <w:rPr>
                <w:rFonts w:ascii="Calibri" w:hAnsi="Calibri" w:cs="Calibri"/>
                <w:color w:val="000000"/>
                <w:sz w:val="16"/>
                <w:szCs w:val="16"/>
              </w:rPr>
              <w:t>-3%</w:t>
            </w:r>
          </w:p>
        </w:tc>
        <w:tc>
          <w:tcPr>
            <w:tcW w:w="1120" w:type="dxa"/>
            <w:tcBorders>
              <w:top w:val="nil"/>
              <w:left w:val="nil"/>
              <w:bottom w:val="single" w:sz="4" w:space="0" w:color="auto"/>
              <w:right w:val="single" w:sz="4" w:space="0" w:color="auto"/>
            </w:tcBorders>
            <w:shd w:val="clear" w:color="auto" w:fill="auto"/>
            <w:noWrap/>
            <w:vAlign w:val="center"/>
          </w:tcPr>
          <w:p w:rsidR="00EB0A73" w:rsidRDefault="00EB0A73">
            <w:pPr>
              <w:jc w:val="center"/>
              <w:rPr>
                <w:rFonts w:ascii="Calibri" w:hAnsi="Calibri" w:cs="Calibri"/>
                <w:color w:val="000000"/>
                <w:sz w:val="16"/>
                <w:szCs w:val="16"/>
              </w:rPr>
            </w:pPr>
            <w:r>
              <w:rPr>
                <w:rFonts w:ascii="Calibri" w:hAnsi="Calibri" w:cs="Calibri"/>
                <w:color w:val="000000"/>
                <w:sz w:val="16"/>
                <w:szCs w:val="16"/>
              </w:rPr>
              <w:t>-9%</w:t>
            </w:r>
          </w:p>
        </w:tc>
      </w:tr>
    </w:tbl>
    <w:p w:rsidR="00A60838" w:rsidRDefault="00A60838" w:rsidP="000941E0">
      <w:pPr>
        <w:jc w:val="both"/>
        <w:rPr>
          <w:szCs w:val="22"/>
        </w:rPr>
      </w:pPr>
    </w:p>
    <w:p w:rsidR="001A78F2" w:rsidRDefault="00A60838">
      <w:pPr>
        <w:rPr>
          <w:szCs w:val="22"/>
        </w:rPr>
      </w:pPr>
      <w:r w:rsidRPr="005A3097">
        <w:rPr>
          <w:b/>
          <w:szCs w:val="22"/>
        </w:rPr>
        <w:t>Distribution:</w:t>
      </w:r>
      <w:r>
        <w:rPr>
          <w:b/>
          <w:szCs w:val="22"/>
        </w:rPr>
        <w:t xml:space="preserve"> </w:t>
      </w:r>
      <w:r>
        <w:rPr>
          <w:szCs w:val="22"/>
        </w:rPr>
        <w:t>All imports are between 0.5-1.5 kg</w:t>
      </w:r>
    </w:p>
    <w:p w:rsidR="001A78F2" w:rsidRDefault="00A60838">
      <w:pPr>
        <w:rPr>
          <w:szCs w:val="22"/>
        </w:rPr>
      </w:pPr>
      <w:r>
        <w:rPr>
          <w:b/>
          <w:szCs w:val="22"/>
        </w:rPr>
        <w:t xml:space="preserve">Proposed conversion factor: </w:t>
      </w:r>
      <w:r>
        <w:rPr>
          <w:szCs w:val="22"/>
        </w:rPr>
        <w:t>1</w:t>
      </w:r>
      <w:r w:rsidR="00F24DF4">
        <w:rPr>
          <w:szCs w:val="22"/>
        </w:rPr>
        <w:t>.0</w:t>
      </w:r>
      <w:r>
        <w:rPr>
          <w:szCs w:val="22"/>
        </w:rPr>
        <w:t xml:space="preserve"> kg</w:t>
      </w:r>
    </w:p>
    <w:p w:rsidR="001A78F2" w:rsidRDefault="00A60838">
      <w:pPr>
        <w:rPr>
          <w:szCs w:val="22"/>
        </w:rPr>
      </w:pPr>
      <w:r>
        <w:rPr>
          <w:b/>
          <w:szCs w:val="22"/>
        </w:rPr>
        <w:t>Proposed confidence interval</w:t>
      </w:r>
      <w:r w:rsidRPr="00B02F83">
        <w:rPr>
          <w:szCs w:val="22"/>
        </w:rPr>
        <w:t xml:space="preserve">: </w:t>
      </w:r>
      <w:r>
        <w:rPr>
          <w:szCs w:val="22"/>
        </w:rPr>
        <w:t xml:space="preserve"> </w:t>
      </w:r>
      <w:r w:rsidRPr="00D34FC2">
        <w:rPr>
          <w:szCs w:val="22"/>
        </w:rPr>
        <w:t>±</w:t>
      </w:r>
      <w:r>
        <w:rPr>
          <w:szCs w:val="22"/>
        </w:rPr>
        <w:t>0.3</w:t>
      </w:r>
      <w:r w:rsidRPr="00740708">
        <w:rPr>
          <w:szCs w:val="22"/>
        </w:rPr>
        <w:t xml:space="preserve"> kg</w:t>
      </w:r>
    </w:p>
    <w:p w:rsidR="001A78F2" w:rsidRDefault="00C62346">
      <w:pPr>
        <w:rPr>
          <w:szCs w:val="22"/>
        </w:rPr>
      </w:pPr>
      <w:r>
        <w:rPr>
          <w:b/>
          <w:szCs w:val="22"/>
        </w:rPr>
        <w:t xml:space="preserve">Variation over time: </w:t>
      </w:r>
      <w:r w:rsidR="00A60838">
        <w:rPr>
          <w:szCs w:val="22"/>
        </w:rPr>
        <w:t>Low</w:t>
      </w:r>
    </w:p>
    <w:p w:rsidR="001A78F2" w:rsidRDefault="001A78F2">
      <w:pPr>
        <w:rPr>
          <w:szCs w:val="22"/>
        </w:rPr>
      </w:pPr>
    </w:p>
    <w:p w:rsidR="001A78F2" w:rsidRDefault="001A78F2">
      <w:pPr>
        <w:rPr>
          <w:szCs w:val="22"/>
        </w:rPr>
      </w:pPr>
    </w:p>
    <w:p w:rsidR="001A78F2" w:rsidRDefault="001A78F2">
      <w:pPr>
        <w:rPr>
          <w:szCs w:val="22"/>
        </w:rPr>
      </w:pPr>
    </w:p>
    <w:p w:rsidR="00744E41" w:rsidRDefault="00744E41" w:rsidP="00744E41">
      <w:pPr>
        <w:jc w:val="both"/>
        <w:rPr>
          <w:szCs w:val="22"/>
        </w:rPr>
      </w:pPr>
    </w:p>
    <w:p w:rsidR="00744E41" w:rsidRDefault="004064E6" w:rsidP="002E1A14">
      <w:pPr>
        <w:pStyle w:val="Heading2"/>
      </w:pPr>
      <w:bookmarkStart w:id="71" w:name="_Toc303860097"/>
      <w:bookmarkStart w:id="72" w:name="_Toc304967200"/>
      <w:r>
        <w:t>Colour t</w:t>
      </w:r>
      <w:r w:rsidR="00744E41">
        <w:t>elevisions</w:t>
      </w:r>
      <w:bookmarkEnd w:id="71"/>
      <w:bookmarkEnd w:id="72"/>
    </w:p>
    <w:p w:rsidR="009522BF" w:rsidRDefault="009522BF"/>
    <w:p w:rsidR="00E5733D" w:rsidRDefault="00E5733D" w:rsidP="00E5733D">
      <w:pPr>
        <w:rPr>
          <w:szCs w:val="22"/>
        </w:rPr>
      </w:pPr>
      <w:r>
        <w:rPr>
          <w:rFonts w:ascii="Arial" w:hAnsi="Arial" w:cs="Arial"/>
          <w:b/>
          <w:bCs/>
          <w:color w:val="000000"/>
          <w:szCs w:val="22"/>
          <w:lang w:eastAsia="en-AU"/>
        </w:rPr>
        <w:t>Summary of ABS Imports</w:t>
      </w:r>
    </w:p>
    <w:p w:rsidR="00E5733D" w:rsidRDefault="00E5733D">
      <w:pPr>
        <w:rPr>
          <w:szCs w:val="22"/>
        </w:rPr>
      </w:pPr>
    </w:p>
    <w:p w:rsidR="009A3FAE" w:rsidRDefault="009A3FAE" w:rsidP="009A3FAE">
      <w:pPr>
        <w:rPr>
          <w:i/>
          <w:szCs w:val="22"/>
        </w:rPr>
      </w:pPr>
      <w:r>
        <w:rPr>
          <w:szCs w:val="22"/>
        </w:rPr>
        <w:t xml:space="preserve">According to ABS import data, </w:t>
      </w:r>
      <w:r w:rsidR="00F32C6E">
        <w:rPr>
          <w:szCs w:val="22"/>
        </w:rPr>
        <w:t>3,905,136</w:t>
      </w:r>
      <w:r>
        <w:rPr>
          <w:szCs w:val="22"/>
        </w:rPr>
        <w:t xml:space="preserve"> units of </w:t>
      </w:r>
      <w:r w:rsidR="00F32C6E">
        <w:rPr>
          <w:szCs w:val="22"/>
        </w:rPr>
        <w:t>colour televisions</w:t>
      </w:r>
      <w:r>
        <w:rPr>
          <w:szCs w:val="22"/>
        </w:rPr>
        <w:t xml:space="preserve"> were imported in 2010-11. </w:t>
      </w:r>
      <w:r w:rsidR="00AD48DA">
        <w:rPr>
          <w:szCs w:val="22"/>
        </w:rPr>
        <w:t xml:space="preserve">The proportions are shown in Figure 5-45. </w:t>
      </w:r>
      <w:r w:rsidR="00AD48DA">
        <w:rPr>
          <w:szCs w:val="22"/>
          <w:lang w:val="en-US"/>
        </w:rPr>
        <w:t xml:space="preserve">Imports in this CTCN are dominated by </w:t>
      </w:r>
      <w:r w:rsidR="00AD48DA">
        <w:rPr>
          <w:i/>
          <w:szCs w:val="22"/>
        </w:rPr>
        <w:t>LCD screen TVs (with a screen size of greater than 80 cm</w:t>
      </w:r>
      <w:r w:rsidR="00876A52">
        <w:rPr>
          <w:i/>
          <w:szCs w:val="22"/>
        </w:rPr>
        <w:t>).</w:t>
      </w:r>
    </w:p>
    <w:p w:rsidR="00A50294" w:rsidRDefault="00A50294" w:rsidP="009A3FAE">
      <w:pPr>
        <w:rPr>
          <w:i/>
          <w:szCs w:val="22"/>
        </w:rPr>
      </w:pPr>
    </w:p>
    <w:p w:rsidR="00A50294" w:rsidRDefault="00A50294" w:rsidP="009A3FAE">
      <w:pPr>
        <w:rPr>
          <w:szCs w:val="22"/>
        </w:rPr>
      </w:pPr>
      <w:r>
        <w:rPr>
          <w:szCs w:val="22"/>
        </w:rPr>
        <w:t xml:space="preserve">Of the 38 HTISCs in this CTCN, sufficient data from which to develop conversion factors was provided for 11.  </w:t>
      </w:r>
    </w:p>
    <w:p w:rsidR="00EB0A73" w:rsidRDefault="00EB0A73" w:rsidP="009A3FAE">
      <w:pPr>
        <w:rPr>
          <w:szCs w:val="22"/>
        </w:rPr>
      </w:pPr>
    </w:p>
    <w:p w:rsidR="00EB0A73" w:rsidRDefault="00EB0A73" w:rsidP="009A3FAE">
      <w:pPr>
        <w:rPr>
          <w:szCs w:val="22"/>
        </w:rPr>
      </w:pPr>
      <w:r>
        <w:rPr>
          <w:szCs w:val="22"/>
        </w:rPr>
        <w:t xml:space="preserve">Note that for several of the HTISCs in this CTCN, the data provided by participating </w:t>
      </w:r>
      <w:r w:rsidR="00AD48DA">
        <w:rPr>
          <w:szCs w:val="22"/>
        </w:rPr>
        <w:t xml:space="preserve">brands </w:t>
      </w:r>
      <w:r>
        <w:rPr>
          <w:szCs w:val="22"/>
        </w:rPr>
        <w:t>was not always for 2010-11, therefore several of the conversion factors are based on data from previous years.</w:t>
      </w:r>
    </w:p>
    <w:p w:rsidR="009A3FAE" w:rsidRDefault="009A3FAE" w:rsidP="009A3FAE"/>
    <w:p w:rsidR="001A78F2" w:rsidRPr="00F32C6E" w:rsidRDefault="002652C5" w:rsidP="00F32C6E">
      <w:pPr>
        <w:pStyle w:val="Caption"/>
        <w:keepNext/>
      </w:pPr>
      <w:r>
        <w:t xml:space="preserve">Figure 5-45    </w:t>
      </w:r>
      <w:r w:rsidR="009A3FAE">
        <w:t>Proportion of HTISCs in 2010-11 CTCN imports data (according to ABS)</w:t>
      </w:r>
    </w:p>
    <w:p w:rsidR="001A78F2" w:rsidRDefault="00F73D4B">
      <w:pPr>
        <w:rPr>
          <w:szCs w:val="22"/>
        </w:rPr>
      </w:pPr>
      <w:r w:rsidRPr="00F73D4B">
        <w:rPr>
          <w:noProof/>
          <w:szCs w:val="22"/>
          <w:lang w:eastAsia="en-AU"/>
        </w:rPr>
        <w:drawing>
          <wp:inline distT="0" distB="0" distL="0" distR="0">
            <wp:extent cx="5276850" cy="3781425"/>
            <wp:effectExtent l="0" t="0" r="0" b="0"/>
            <wp:docPr id="6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744E41" w:rsidRDefault="00744E41" w:rsidP="00744E41">
      <w:pPr>
        <w:jc w:val="both"/>
        <w:rPr>
          <w:szCs w:val="22"/>
          <w:lang w:val="en-US"/>
        </w:rPr>
      </w:pPr>
    </w:p>
    <w:p w:rsidR="00744E41" w:rsidRDefault="00744E41" w:rsidP="00A60838">
      <w:pPr>
        <w:rPr>
          <w:szCs w:val="22"/>
        </w:rPr>
      </w:pPr>
    </w:p>
    <w:p w:rsidR="00EB0A73" w:rsidRDefault="00EB0A73">
      <w:pPr>
        <w:rPr>
          <w:rFonts w:ascii="Arial" w:hAnsi="Arial" w:cs="Arial"/>
          <w:b/>
          <w:bCs/>
          <w:color w:val="000000"/>
          <w:szCs w:val="22"/>
          <w:lang w:eastAsia="en-AU"/>
        </w:rPr>
      </w:pPr>
      <w:r>
        <w:rPr>
          <w:rFonts w:ascii="Arial" w:hAnsi="Arial" w:cs="Arial"/>
          <w:b/>
          <w:bCs/>
          <w:color w:val="000000"/>
          <w:szCs w:val="22"/>
          <w:lang w:eastAsia="en-AU"/>
        </w:rPr>
        <w:br w:type="page"/>
      </w:r>
    </w:p>
    <w:p w:rsidR="00744E41" w:rsidRDefault="00A50294" w:rsidP="00A60838">
      <w:pPr>
        <w:rPr>
          <w:rFonts w:ascii="Arial" w:hAnsi="Arial" w:cs="Arial"/>
          <w:b/>
          <w:bCs/>
          <w:color w:val="000000"/>
          <w:szCs w:val="22"/>
          <w:lang w:eastAsia="en-AU"/>
        </w:rPr>
      </w:pPr>
      <w:r w:rsidRPr="00416A67">
        <w:rPr>
          <w:rFonts w:ascii="Arial" w:hAnsi="Arial" w:cs="Arial"/>
          <w:b/>
          <w:bCs/>
          <w:color w:val="000000"/>
          <w:szCs w:val="22"/>
          <w:lang w:eastAsia="en-AU"/>
        </w:rPr>
        <w:t>SC07 8528.72.00 40 - Clr TVs: Analogue, Other</w:t>
      </w:r>
    </w:p>
    <w:p w:rsidR="00BC4FED" w:rsidRDefault="00BC4FED" w:rsidP="00BC4FED">
      <w:pPr>
        <w:pStyle w:val="Caption"/>
        <w:keepNext/>
      </w:pPr>
    </w:p>
    <w:p w:rsidR="00416A67" w:rsidRPr="00BC4FED" w:rsidRDefault="002652C5" w:rsidP="00BC4FED">
      <w:pPr>
        <w:pStyle w:val="Caption"/>
        <w:keepNext/>
      </w:pPr>
      <w:r>
        <w:t xml:space="preserve">Figure 5-46    </w:t>
      </w:r>
      <w:r w:rsidR="00AC1355">
        <w:t>HTISC frequency distribution in CF year</w:t>
      </w:r>
    </w:p>
    <w:p w:rsidR="00EB0A73" w:rsidRDefault="00EB0A73" w:rsidP="00A60838">
      <w:pPr>
        <w:rPr>
          <w:szCs w:val="22"/>
        </w:rPr>
      </w:pPr>
      <w:r w:rsidRPr="00EB0A73">
        <w:rPr>
          <w:noProof/>
          <w:szCs w:val="22"/>
          <w:lang w:eastAsia="en-AU"/>
        </w:rPr>
        <w:drawing>
          <wp:inline distT="0" distB="0" distL="0" distR="0">
            <wp:extent cx="4889500" cy="2984500"/>
            <wp:effectExtent l="19050" t="0" r="25400" b="635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EB0A73" w:rsidRDefault="00EB0A73" w:rsidP="00A60838">
      <w:pPr>
        <w:rPr>
          <w:szCs w:val="22"/>
        </w:rPr>
      </w:pPr>
    </w:p>
    <w:p w:rsidR="00D73340" w:rsidRDefault="00D73340" w:rsidP="00A60838">
      <w:pPr>
        <w:rPr>
          <w:szCs w:val="22"/>
        </w:rPr>
      </w:pPr>
    </w:p>
    <w:p w:rsidR="00EB0A73" w:rsidRPr="00D73340" w:rsidRDefault="00207129" w:rsidP="00D73340">
      <w:pPr>
        <w:pStyle w:val="Caption"/>
      </w:pPr>
      <w:r>
        <w:t xml:space="preserve">Table 5-35 </w:t>
      </w:r>
      <w:r w:rsidR="00D73340">
        <w:t>Conversion factor statistics</w:t>
      </w:r>
    </w:p>
    <w:tbl>
      <w:tblPr>
        <w:tblW w:w="7260" w:type="dxa"/>
        <w:tblInd w:w="93" w:type="dxa"/>
        <w:tblLook w:val="04A0"/>
      </w:tblPr>
      <w:tblGrid>
        <w:gridCol w:w="1660"/>
        <w:gridCol w:w="1120"/>
        <w:gridCol w:w="1120"/>
        <w:gridCol w:w="1120"/>
        <w:gridCol w:w="1120"/>
        <w:gridCol w:w="1120"/>
      </w:tblGrid>
      <w:tr w:rsidR="00416A67" w:rsidRPr="00416A67">
        <w:trPr>
          <w:trHeight w:val="450"/>
        </w:trPr>
        <w:tc>
          <w:tcPr>
            <w:tcW w:w="1660" w:type="dxa"/>
            <w:tcBorders>
              <w:top w:val="single" w:sz="4" w:space="0" w:color="auto"/>
              <w:left w:val="single" w:sz="4" w:space="0" w:color="auto"/>
              <w:bottom w:val="single" w:sz="4" w:space="0" w:color="auto"/>
              <w:right w:val="single" w:sz="4" w:space="0" w:color="auto"/>
            </w:tcBorders>
            <w:shd w:val="clear" w:color="000000" w:fill="D8D8D8"/>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CF year</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No. of ABS imports</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 ABS imports included</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Min weight</w:t>
            </w:r>
            <w:r w:rsidRPr="00416A67">
              <w:rPr>
                <w:rFonts w:ascii="Calibri" w:hAnsi="Calibri" w:cs="Calibri"/>
                <w:color w:val="000000"/>
                <w:sz w:val="16"/>
                <w:szCs w:val="16"/>
                <w:lang w:eastAsia="en-AU"/>
              </w:rPr>
              <w:br/>
              <w:t>(kg)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Max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Standard deviation</w:t>
            </w:r>
          </w:p>
        </w:tc>
      </w:tr>
      <w:tr w:rsidR="00416A67" w:rsidRPr="00416A67">
        <w:trPr>
          <w:trHeight w:val="225"/>
        </w:trPr>
        <w:tc>
          <w:tcPr>
            <w:tcW w:w="1660" w:type="dxa"/>
            <w:tcBorders>
              <w:top w:val="nil"/>
              <w:left w:val="single" w:sz="4" w:space="0" w:color="auto"/>
              <w:bottom w:val="single" w:sz="4" w:space="0" w:color="auto"/>
              <w:right w:val="single" w:sz="4" w:space="0" w:color="auto"/>
            </w:tcBorders>
            <w:shd w:val="clear" w:color="auto" w:fill="auto"/>
            <w:noWrap/>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2008-09</w:t>
            </w:r>
          </w:p>
        </w:tc>
        <w:tc>
          <w:tcPr>
            <w:tcW w:w="1120" w:type="dxa"/>
            <w:tcBorders>
              <w:top w:val="nil"/>
              <w:left w:val="nil"/>
              <w:bottom w:val="single" w:sz="4" w:space="0" w:color="auto"/>
              <w:right w:val="single" w:sz="4" w:space="0" w:color="auto"/>
            </w:tcBorders>
            <w:shd w:val="clear" w:color="auto" w:fill="auto"/>
            <w:noWrap/>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2,598</w:t>
            </w:r>
          </w:p>
        </w:tc>
        <w:tc>
          <w:tcPr>
            <w:tcW w:w="1120" w:type="dxa"/>
            <w:tcBorders>
              <w:top w:val="nil"/>
              <w:left w:val="nil"/>
              <w:bottom w:val="single" w:sz="4" w:space="0" w:color="auto"/>
              <w:right w:val="single" w:sz="4" w:space="0" w:color="auto"/>
            </w:tcBorders>
            <w:shd w:val="clear" w:color="auto" w:fill="auto"/>
            <w:noWrap/>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22%</w:t>
            </w:r>
          </w:p>
        </w:tc>
        <w:tc>
          <w:tcPr>
            <w:tcW w:w="1120" w:type="dxa"/>
            <w:tcBorders>
              <w:top w:val="nil"/>
              <w:left w:val="nil"/>
              <w:bottom w:val="single" w:sz="4" w:space="0" w:color="auto"/>
              <w:right w:val="single" w:sz="4" w:space="0" w:color="auto"/>
            </w:tcBorders>
            <w:shd w:val="clear" w:color="auto" w:fill="auto"/>
            <w:noWrap/>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18.5</w:t>
            </w:r>
          </w:p>
        </w:tc>
        <w:tc>
          <w:tcPr>
            <w:tcW w:w="1120" w:type="dxa"/>
            <w:tcBorders>
              <w:top w:val="nil"/>
              <w:left w:val="nil"/>
              <w:bottom w:val="single" w:sz="4" w:space="0" w:color="auto"/>
              <w:right w:val="single" w:sz="4" w:space="0" w:color="auto"/>
            </w:tcBorders>
            <w:shd w:val="clear" w:color="auto" w:fill="auto"/>
            <w:noWrap/>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18.5</w:t>
            </w:r>
          </w:p>
        </w:tc>
        <w:tc>
          <w:tcPr>
            <w:tcW w:w="1120" w:type="dxa"/>
            <w:tcBorders>
              <w:top w:val="nil"/>
              <w:left w:val="nil"/>
              <w:bottom w:val="single" w:sz="4" w:space="0" w:color="auto"/>
              <w:right w:val="single" w:sz="4" w:space="0" w:color="auto"/>
            </w:tcBorders>
            <w:shd w:val="clear" w:color="auto" w:fill="auto"/>
            <w:noWrap/>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0.0</w:t>
            </w:r>
          </w:p>
        </w:tc>
      </w:tr>
      <w:tr w:rsidR="00416A67" w:rsidRPr="00416A67">
        <w:trPr>
          <w:trHeight w:val="225"/>
        </w:trPr>
        <w:tc>
          <w:tcPr>
            <w:tcW w:w="1660" w:type="dxa"/>
            <w:tcBorders>
              <w:top w:val="nil"/>
              <w:left w:val="nil"/>
              <w:bottom w:val="nil"/>
              <w:right w:val="nil"/>
            </w:tcBorders>
            <w:shd w:val="clear" w:color="auto" w:fill="auto"/>
            <w:noWrap/>
            <w:vAlign w:val="bottom"/>
          </w:tcPr>
          <w:p w:rsidR="00416A67" w:rsidRPr="00416A67" w:rsidRDefault="00416A67" w:rsidP="00416A67">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416A67" w:rsidRPr="00416A67" w:rsidRDefault="00416A67" w:rsidP="00416A67">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416A67" w:rsidRPr="00416A67" w:rsidRDefault="00416A67" w:rsidP="00416A67">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416A67" w:rsidRPr="00416A67" w:rsidRDefault="00416A67" w:rsidP="00416A67">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416A67" w:rsidRPr="00416A67" w:rsidRDefault="00416A67" w:rsidP="00416A67">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416A67" w:rsidRPr="00416A67" w:rsidRDefault="00416A67" w:rsidP="00416A67">
            <w:pPr>
              <w:rPr>
                <w:rFonts w:ascii="Calibri" w:hAnsi="Calibri" w:cs="Calibri"/>
                <w:color w:val="000000"/>
                <w:sz w:val="16"/>
                <w:szCs w:val="16"/>
                <w:lang w:eastAsia="en-AU"/>
              </w:rPr>
            </w:pPr>
          </w:p>
        </w:tc>
      </w:tr>
      <w:tr w:rsidR="00416A67" w:rsidRPr="00416A67">
        <w:trPr>
          <w:trHeight w:val="450"/>
        </w:trPr>
        <w:tc>
          <w:tcPr>
            <w:tcW w:w="1660" w:type="dxa"/>
            <w:tcBorders>
              <w:top w:val="single" w:sz="4" w:space="0" w:color="auto"/>
              <w:left w:val="single" w:sz="4" w:space="0" w:color="auto"/>
              <w:bottom w:val="nil"/>
              <w:right w:val="single" w:sz="4" w:space="0" w:color="auto"/>
            </w:tcBorders>
            <w:shd w:val="clear" w:color="000000" w:fill="D8D8D8"/>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Method</w:t>
            </w:r>
          </w:p>
        </w:tc>
        <w:tc>
          <w:tcPr>
            <w:tcW w:w="1120" w:type="dxa"/>
            <w:tcBorders>
              <w:top w:val="single" w:sz="4" w:space="0" w:color="auto"/>
              <w:left w:val="nil"/>
              <w:bottom w:val="nil"/>
              <w:right w:val="single" w:sz="4" w:space="0" w:color="auto"/>
            </w:tcBorders>
            <w:shd w:val="clear" w:color="000000" w:fill="D8D8D8"/>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Measure of average</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Average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Lower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Upper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Confidence interval ± (kg)</w:t>
            </w:r>
          </w:p>
        </w:tc>
      </w:tr>
      <w:tr w:rsidR="00416A67" w:rsidRPr="00416A67">
        <w:trPr>
          <w:trHeight w:val="48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Approximation to the normal distribution</w:t>
            </w:r>
          </w:p>
        </w:tc>
        <w:tc>
          <w:tcPr>
            <w:tcW w:w="1120" w:type="dxa"/>
            <w:tcBorders>
              <w:top w:val="single" w:sz="4" w:space="0" w:color="auto"/>
              <w:left w:val="nil"/>
              <w:bottom w:val="single" w:sz="4" w:space="0" w:color="auto"/>
              <w:right w:val="single" w:sz="4" w:space="0" w:color="auto"/>
            </w:tcBorders>
            <w:shd w:val="clear" w:color="auto" w:fill="auto"/>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Mean</w:t>
            </w:r>
          </w:p>
        </w:tc>
        <w:tc>
          <w:tcPr>
            <w:tcW w:w="1120" w:type="dxa"/>
            <w:tcBorders>
              <w:top w:val="nil"/>
              <w:left w:val="nil"/>
              <w:bottom w:val="single" w:sz="4" w:space="0" w:color="auto"/>
              <w:right w:val="single" w:sz="4" w:space="0" w:color="auto"/>
            </w:tcBorders>
            <w:shd w:val="clear" w:color="auto" w:fill="auto"/>
            <w:noWrap/>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18.5</w:t>
            </w:r>
          </w:p>
        </w:tc>
        <w:tc>
          <w:tcPr>
            <w:tcW w:w="1120" w:type="dxa"/>
            <w:tcBorders>
              <w:top w:val="nil"/>
              <w:left w:val="nil"/>
              <w:bottom w:val="single" w:sz="4" w:space="0" w:color="auto"/>
              <w:right w:val="single" w:sz="4" w:space="0" w:color="auto"/>
            </w:tcBorders>
            <w:shd w:val="clear" w:color="auto" w:fill="auto"/>
            <w:noWrap/>
            <w:vAlign w:val="center"/>
          </w:tcPr>
          <w:p w:rsidR="00416A67" w:rsidRPr="00416A67" w:rsidRDefault="00416A67" w:rsidP="0083715C">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18.5</w:t>
            </w:r>
          </w:p>
        </w:tc>
        <w:tc>
          <w:tcPr>
            <w:tcW w:w="1120" w:type="dxa"/>
            <w:tcBorders>
              <w:top w:val="nil"/>
              <w:left w:val="nil"/>
              <w:bottom w:val="single" w:sz="4" w:space="0" w:color="auto"/>
              <w:right w:val="single" w:sz="4" w:space="0" w:color="auto"/>
            </w:tcBorders>
            <w:shd w:val="clear" w:color="auto" w:fill="auto"/>
            <w:noWrap/>
            <w:vAlign w:val="center"/>
          </w:tcPr>
          <w:p w:rsidR="00416A67" w:rsidRPr="00416A67" w:rsidRDefault="00416A67" w:rsidP="0083715C">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18.5</w:t>
            </w:r>
          </w:p>
        </w:tc>
        <w:tc>
          <w:tcPr>
            <w:tcW w:w="1120" w:type="dxa"/>
            <w:tcBorders>
              <w:top w:val="nil"/>
              <w:left w:val="nil"/>
              <w:bottom w:val="single" w:sz="4" w:space="0" w:color="auto"/>
              <w:right w:val="single" w:sz="4" w:space="0" w:color="auto"/>
            </w:tcBorders>
            <w:shd w:val="clear" w:color="auto" w:fill="auto"/>
            <w:noWrap/>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0.0</w:t>
            </w:r>
          </w:p>
        </w:tc>
      </w:tr>
      <w:tr w:rsidR="00416A67" w:rsidRPr="00416A6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Use of percentiles</w:t>
            </w:r>
          </w:p>
        </w:tc>
        <w:tc>
          <w:tcPr>
            <w:tcW w:w="1120" w:type="dxa"/>
            <w:tcBorders>
              <w:top w:val="nil"/>
              <w:left w:val="nil"/>
              <w:bottom w:val="single" w:sz="4" w:space="0" w:color="auto"/>
              <w:right w:val="single" w:sz="4" w:space="0" w:color="auto"/>
            </w:tcBorders>
            <w:shd w:val="clear" w:color="auto" w:fill="auto"/>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Median</w:t>
            </w:r>
          </w:p>
        </w:tc>
        <w:tc>
          <w:tcPr>
            <w:tcW w:w="1120" w:type="dxa"/>
            <w:tcBorders>
              <w:top w:val="nil"/>
              <w:left w:val="nil"/>
              <w:bottom w:val="single" w:sz="4" w:space="0" w:color="auto"/>
              <w:right w:val="single" w:sz="4" w:space="0" w:color="auto"/>
            </w:tcBorders>
            <w:shd w:val="clear" w:color="auto" w:fill="auto"/>
            <w:noWrap/>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18.5</w:t>
            </w:r>
          </w:p>
        </w:tc>
        <w:tc>
          <w:tcPr>
            <w:tcW w:w="1120" w:type="dxa"/>
            <w:tcBorders>
              <w:top w:val="nil"/>
              <w:left w:val="nil"/>
              <w:bottom w:val="single" w:sz="4" w:space="0" w:color="auto"/>
              <w:right w:val="single" w:sz="4" w:space="0" w:color="auto"/>
            </w:tcBorders>
            <w:shd w:val="clear" w:color="auto" w:fill="auto"/>
            <w:noWrap/>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18.5</w:t>
            </w:r>
          </w:p>
        </w:tc>
        <w:tc>
          <w:tcPr>
            <w:tcW w:w="1120" w:type="dxa"/>
            <w:tcBorders>
              <w:top w:val="nil"/>
              <w:left w:val="nil"/>
              <w:bottom w:val="single" w:sz="4" w:space="0" w:color="auto"/>
              <w:right w:val="single" w:sz="4" w:space="0" w:color="auto"/>
            </w:tcBorders>
            <w:shd w:val="clear" w:color="auto" w:fill="auto"/>
            <w:noWrap/>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18.5</w:t>
            </w:r>
          </w:p>
        </w:tc>
        <w:tc>
          <w:tcPr>
            <w:tcW w:w="1120" w:type="dxa"/>
            <w:tcBorders>
              <w:top w:val="nil"/>
              <w:left w:val="nil"/>
              <w:bottom w:val="single" w:sz="4" w:space="0" w:color="auto"/>
              <w:right w:val="single" w:sz="4" w:space="0" w:color="auto"/>
            </w:tcBorders>
            <w:shd w:val="clear" w:color="auto" w:fill="auto"/>
            <w:noWrap/>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0.0</w:t>
            </w:r>
          </w:p>
        </w:tc>
      </w:tr>
      <w:tr w:rsidR="00416A67" w:rsidRPr="00416A67">
        <w:trPr>
          <w:trHeight w:val="225"/>
        </w:trPr>
        <w:tc>
          <w:tcPr>
            <w:tcW w:w="1660" w:type="dxa"/>
            <w:tcBorders>
              <w:top w:val="nil"/>
              <w:left w:val="nil"/>
              <w:bottom w:val="nil"/>
              <w:right w:val="nil"/>
            </w:tcBorders>
            <w:shd w:val="clear" w:color="auto" w:fill="auto"/>
            <w:noWrap/>
            <w:vAlign w:val="bottom"/>
          </w:tcPr>
          <w:p w:rsidR="00416A67" w:rsidRPr="00416A67" w:rsidRDefault="00416A67" w:rsidP="00416A67">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416A67" w:rsidRPr="00416A67" w:rsidRDefault="00416A67" w:rsidP="00416A67">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416A67" w:rsidRPr="00416A67" w:rsidRDefault="00416A67" w:rsidP="00416A67">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416A67" w:rsidRPr="00416A67" w:rsidRDefault="00416A67" w:rsidP="00416A67">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416A67" w:rsidRPr="00416A67" w:rsidRDefault="00416A67" w:rsidP="00416A67">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416A67" w:rsidRPr="00416A67" w:rsidRDefault="00416A67" w:rsidP="00416A67">
            <w:pPr>
              <w:rPr>
                <w:rFonts w:ascii="Calibri" w:hAnsi="Calibri" w:cs="Calibri"/>
                <w:color w:val="000000"/>
                <w:sz w:val="16"/>
                <w:szCs w:val="16"/>
                <w:lang w:eastAsia="en-AU"/>
              </w:rPr>
            </w:pPr>
          </w:p>
        </w:tc>
      </w:tr>
      <w:tr w:rsidR="00416A67" w:rsidRPr="00416A67">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tcPr>
          <w:p w:rsidR="00416A67" w:rsidRPr="00416A67" w:rsidRDefault="00416A67" w:rsidP="00416A67">
            <w:pPr>
              <w:rPr>
                <w:rFonts w:ascii="Calibri" w:hAnsi="Calibri" w:cs="Calibri"/>
                <w:color w:val="000000"/>
                <w:sz w:val="16"/>
                <w:szCs w:val="16"/>
                <w:lang w:eastAsia="en-AU"/>
              </w:rPr>
            </w:pPr>
            <w:r w:rsidRPr="00416A67">
              <w:rPr>
                <w:rFonts w:ascii="Calibri" w:hAnsi="Calibri" w:cs="Calibri"/>
                <w:color w:val="000000"/>
                <w:sz w:val="16"/>
                <w:szCs w:val="16"/>
                <w:lang w:eastAsia="en-AU"/>
              </w:rPr>
              <w:t>Year</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2010-11</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2009-10</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2008-09</w:t>
            </w:r>
          </w:p>
        </w:tc>
      </w:tr>
      <w:tr w:rsidR="00416A67" w:rsidRPr="00416A67">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16A67" w:rsidRPr="00416A67" w:rsidRDefault="00606932" w:rsidP="00416A67">
            <w:pPr>
              <w:rPr>
                <w:rFonts w:ascii="Calibri" w:hAnsi="Calibri" w:cs="Calibri"/>
                <w:color w:val="000000"/>
                <w:sz w:val="16"/>
                <w:szCs w:val="16"/>
                <w:lang w:eastAsia="en-AU"/>
              </w:rPr>
            </w:pPr>
            <w:r w:rsidRPr="00CB6A7D">
              <w:rPr>
                <w:rFonts w:ascii="Calibri" w:hAnsi="Calibri" w:cs="Calibri"/>
                <w:color w:val="000000"/>
                <w:sz w:val="16"/>
                <w:szCs w:val="16"/>
                <w:lang w:eastAsia="en-AU"/>
              </w:rPr>
              <w:t>Percentage by which the conversion factor over or under estimates the weight of imports</w:t>
            </w:r>
          </w:p>
        </w:tc>
        <w:tc>
          <w:tcPr>
            <w:tcW w:w="1120" w:type="dxa"/>
            <w:tcBorders>
              <w:top w:val="nil"/>
              <w:left w:val="nil"/>
              <w:bottom w:val="single" w:sz="4" w:space="0" w:color="auto"/>
              <w:right w:val="single" w:sz="4" w:space="0" w:color="auto"/>
            </w:tcBorders>
            <w:shd w:val="clear" w:color="auto" w:fill="auto"/>
            <w:noWrap/>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 </w:t>
            </w:r>
          </w:p>
        </w:tc>
        <w:tc>
          <w:tcPr>
            <w:tcW w:w="1120" w:type="dxa"/>
            <w:tcBorders>
              <w:top w:val="nil"/>
              <w:left w:val="nil"/>
              <w:bottom w:val="single" w:sz="4" w:space="0" w:color="auto"/>
              <w:right w:val="single" w:sz="4" w:space="0" w:color="auto"/>
            </w:tcBorders>
            <w:shd w:val="clear" w:color="auto" w:fill="auto"/>
            <w:noWrap/>
            <w:vAlign w:val="center"/>
          </w:tcPr>
          <w:p w:rsidR="00416A67" w:rsidRPr="00416A67" w:rsidRDefault="00416A67" w:rsidP="00416A67">
            <w:pPr>
              <w:jc w:val="center"/>
              <w:rPr>
                <w:rFonts w:ascii="Calibri" w:hAnsi="Calibri" w:cs="Calibri"/>
                <w:color w:val="000000"/>
                <w:sz w:val="16"/>
                <w:szCs w:val="16"/>
                <w:lang w:eastAsia="en-AU"/>
              </w:rPr>
            </w:pPr>
          </w:p>
        </w:tc>
        <w:tc>
          <w:tcPr>
            <w:tcW w:w="1120" w:type="dxa"/>
            <w:tcBorders>
              <w:top w:val="nil"/>
              <w:left w:val="nil"/>
              <w:bottom w:val="single" w:sz="4" w:space="0" w:color="auto"/>
              <w:right w:val="single" w:sz="4" w:space="0" w:color="auto"/>
            </w:tcBorders>
            <w:shd w:val="clear" w:color="auto" w:fill="auto"/>
            <w:noWrap/>
            <w:vAlign w:val="center"/>
          </w:tcPr>
          <w:p w:rsidR="00416A67" w:rsidRPr="00416A67" w:rsidRDefault="00EB0A73" w:rsidP="00416A67">
            <w:pPr>
              <w:jc w:val="center"/>
              <w:rPr>
                <w:rFonts w:ascii="Calibri" w:hAnsi="Calibri" w:cs="Calibri"/>
                <w:color w:val="000000"/>
                <w:sz w:val="16"/>
                <w:szCs w:val="16"/>
                <w:lang w:eastAsia="en-AU"/>
              </w:rPr>
            </w:pPr>
            <w:r>
              <w:rPr>
                <w:rFonts w:ascii="Calibri" w:hAnsi="Calibri" w:cs="Calibri"/>
                <w:color w:val="000000"/>
                <w:sz w:val="16"/>
                <w:szCs w:val="16"/>
                <w:lang w:eastAsia="en-AU"/>
              </w:rPr>
              <w:t>0%</w:t>
            </w:r>
          </w:p>
        </w:tc>
      </w:tr>
    </w:tbl>
    <w:p w:rsidR="00416A67" w:rsidRDefault="00416A67" w:rsidP="00A60838">
      <w:pPr>
        <w:rPr>
          <w:szCs w:val="22"/>
        </w:rPr>
      </w:pPr>
    </w:p>
    <w:p w:rsidR="001A78F2" w:rsidRDefault="00416A67">
      <w:pPr>
        <w:rPr>
          <w:szCs w:val="22"/>
        </w:rPr>
      </w:pPr>
      <w:r w:rsidRPr="005A3097">
        <w:rPr>
          <w:b/>
          <w:szCs w:val="22"/>
        </w:rPr>
        <w:t>Distribution:</w:t>
      </w:r>
      <w:r>
        <w:rPr>
          <w:b/>
          <w:szCs w:val="22"/>
        </w:rPr>
        <w:t xml:space="preserve"> </w:t>
      </w:r>
      <w:r>
        <w:rPr>
          <w:szCs w:val="22"/>
        </w:rPr>
        <w:t>One brand reporting one model, last importing in 2008-09</w:t>
      </w:r>
    </w:p>
    <w:p w:rsidR="001A78F2" w:rsidRDefault="00416A67">
      <w:pPr>
        <w:rPr>
          <w:szCs w:val="22"/>
        </w:rPr>
      </w:pPr>
      <w:r>
        <w:rPr>
          <w:b/>
          <w:szCs w:val="22"/>
        </w:rPr>
        <w:t xml:space="preserve">Proposed conversion factor: </w:t>
      </w:r>
      <w:r w:rsidRPr="00416A67">
        <w:rPr>
          <w:szCs w:val="22"/>
        </w:rPr>
        <w:t>18.5</w:t>
      </w:r>
      <w:r>
        <w:rPr>
          <w:szCs w:val="22"/>
        </w:rPr>
        <w:t xml:space="preserve"> kg</w:t>
      </w:r>
    </w:p>
    <w:p w:rsidR="001A78F2" w:rsidRDefault="00416A67">
      <w:pPr>
        <w:rPr>
          <w:szCs w:val="22"/>
        </w:rPr>
      </w:pPr>
      <w:r>
        <w:rPr>
          <w:b/>
          <w:szCs w:val="22"/>
        </w:rPr>
        <w:t>Proposed confidence interval</w:t>
      </w:r>
      <w:r w:rsidRPr="00B02F83">
        <w:rPr>
          <w:szCs w:val="22"/>
        </w:rPr>
        <w:t xml:space="preserve">: </w:t>
      </w:r>
      <w:r>
        <w:rPr>
          <w:szCs w:val="22"/>
        </w:rPr>
        <w:t xml:space="preserve"> </w:t>
      </w:r>
      <w:r w:rsidRPr="00D34FC2">
        <w:rPr>
          <w:szCs w:val="22"/>
        </w:rPr>
        <w:t>±</w:t>
      </w:r>
      <w:r>
        <w:rPr>
          <w:szCs w:val="22"/>
        </w:rPr>
        <w:t>0</w:t>
      </w:r>
      <w:r w:rsidRPr="00740708">
        <w:rPr>
          <w:szCs w:val="22"/>
        </w:rPr>
        <w:t>kg</w:t>
      </w:r>
    </w:p>
    <w:p w:rsidR="001A78F2" w:rsidRDefault="00C62346">
      <w:pPr>
        <w:rPr>
          <w:szCs w:val="22"/>
        </w:rPr>
      </w:pPr>
      <w:r>
        <w:rPr>
          <w:b/>
          <w:szCs w:val="22"/>
        </w:rPr>
        <w:t xml:space="preserve">Variation over time: </w:t>
      </w:r>
      <w:r w:rsidR="005C1111">
        <w:rPr>
          <w:szCs w:val="22"/>
        </w:rPr>
        <w:t>Unknown</w:t>
      </w:r>
    </w:p>
    <w:p w:rsidR="001A78F2" w:rsidRDefault="001A78F2">
      <w:pPr>
        <w:rPr>
          <w:szCs w:val="22"/>
        </w:rPr>
      </w:pPr>
    </w:p>
    <w:p w:rsidR="00EB0A73" w:rsidRDefault="00EB0A73">
      <w:pPr>
        <w:rPr>
          <w:szCs w:val="22"/>
        </w:rPr>
      </w:pPr>
      <w:r>
        <w:rPr>
          <w:szCs w:val="22"/>
        </w:rPr>
        <w:br w:type="page"/>
      </w:r>
    </w:p>
    <w:p w:rsidR="00416A67" w:rsidRDefault="00EB0A73" w:rsidP="000941E0">
      <w:pPr>
        <w:jc w:val="both"/>
        <w:rPr>
          <w:rFonts w:ascii="Arial" w:hAnsi="Arial" w:cs="Arial"/>
          <w:b/>
          <w:bCs/>
          <w:color w:val="000000"/>
          <w:szCs w:val="22"/>
          <w:lang w:eastAsia="en-AU"/>
        </w:rPr>
      </w:pPr>
      <w:r w:rsidRPr="00416A67">
        <w:rPr>
          <w:rFonts w:ascii="Arial" w:hAnsi="Arial" w:cs="Arial"/>
          <w:b/>
          <w:bCs/>
          <w:color w:val="000000"/>
          <w:szCs w:val="22"/>
          <w:lang w:eastAsia="en-AU"/>
        </w:rPr>
        <w:t>SC07 8528.72.00 60 - Clr TVs: Digital LCD..Wide screen, screen size less than 80cm</w:t>
      </w:r>
    </w:p>
    <w:p w:rsidR="00EB0A73" w:rsidRDefault="00EB0A73" w:rsidP="000941E0">
      <w:pPr>
        <w:jc w:val="both"/>
        <w:rPr>
          <w:rFonts w:ascii="Arial" w:hAnsi="Arial" w:cs="Arial"/>
          <w:b/>
          <w:bCs/>
          <w:color w:val="000000"/>
          <w:szCs w:val="22"/>
          <w:lang w:eastAsia="en-AU"/>
        </w:rPr>
      </w:pPr>
    </w:p>
    <w:p w:rsidR="00BC4FED" w:rsidRPr="00BC4FED" w:rsidRDefault="002652C5" w:rsidP="00BC4FED">
      <w:pPr>
        <w:pStyle w:val="Caption"/>
        <w:keepNext/>
      </w:pPr>
      <w:r>
        <w:t xml:space="preserve">Figure 5-47    </w:t>
      </w:r>
      <w:r w:rsidR="00AC1355">
        <w:t>HTISC frequency distribution in CF year</w:t>
      </w:r>
    </w:p>
    <w:p w:rsidR="00EB0A73" w:rsidRDefault="006B5387" w:rsidP="000941E0">
      <w:pPr>
        <w:jc w:val="both"/>
        <w:rPr>
          <w:rFonts w:ascii="Arial" w:hAnsi="Arial" w:cs="Arial"/>
          <w:b/>
          <w:bCs/>
          <w:color w:val="000000"/>
          <w:szCs w:val="22"/>
          <w:lang w:eastAsia="en-AU"/>
        </w:rPr>
      </w:pPr>
      <w:r w:rsidRPr="006B5387">
        <w:rPr>
          <w:rFonts w:ascii="Arial" w:hAnsi="Arial" w:cs="Arial"/>
          <w:b/>
          <w:bCs/>
          <w:noProof/>
          <w:color w:val="000000"/>
          <w:szCs w:val="22"/>
          <w:lang w:eastAsia="en-AU"/>
        </w:rPr>
        <w:drawing>
          <wp:inline distT="0" distB="0" distL="0" distR="0">
            <wp:extent cx="4889500" cy="2984500"/>
            <wp:effectExtent l="19050" t="0" r="25400" b="6350"/>
            <wp:docPr id="105"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EB0A73" w:rsidRDefault="00EB0A73" w:rsidP="000941E0">
      <w:pPr>
        <w:jc w:val="both"/>
        <w:rPr>
          <w:rFonts w:ascii="Arial" w:hAnsi="Arial" w:cs="Arial"/>
          <w:b/>
          <w:bCs/>
          <w:color w:val="000000"/>
          <w:szCs w:val="22"/>
          <w:lang w:eastAsia="en-AU"/>
        </w:rPr>
      </w:pPr>
    </w:p>
    <w:p w:rsidR="00EB0A73" w:rsidRDefault="00EB0A73" w:rsidP="000941E0">
      <w:pPr>
        <w:jc w:val="both"/>
        <w:rPr>
          <w:rFonts w:ascii="Arial" w:hAnsi="Arial" w:cs="Arial"/>
          <w:b/>
          <w:bCs/>
          <w:color w:val="000000"/>
          <w:szCs w:val="22"/>
          <w:lang w:eastAsia="en-AU"/>
        </w:rPr>
      </w:pPr>
    </w:p>
    <w:p w:rsidR="00EB0A73" w:rsidRPr="00D73340" w:rsidRDefault="00207129" w:rsidP="00D73340">
      <w:pPr>
        <w:pStyle w:val="Caption"/>
      </w:pPr>
      <w:r>
        <w:t xml:space="preserve">Table 5-36 </w:t>
      </w:r>
      <w:r w:rsidR="00D73340">
        <w:t>Conversion factor statistics</w:t>
      </w:r>
    </w:p>
    <w:tbl>
      <w:tblPr>
        <w:tblW w:w="7260" w:type="dxa"/>
        <w:tblInd w:w="93" w:type="dxa"/>
        <w:tblLook w:val="04A0"/>
      </w:tblPr>
      <w:tblGrid>
        <w:gridCol w:w="1660"/>
        <w:gridCol w:w="1120"/>
        <w:gridCol w:w="1120"/>
        <w:gridCol w:w="1120"/>
        <w:gridCol w:w="1120"/>
        <w:gridCol w:w="1120"/>
      </w:tblGrid>
      <w:tr w:rsidR="00416A67" w:rsidRPr="00416A67">
        <w:trPr>
          <w:trHeight w:val="450"/>
        </w:trPr>
        <w:tc>
          <w:tcPr>
            <w:tcW w:w="1660" w:type="dxa"/>
            <w:tcBorders>
              <w:top w:val="single" w:sz="4" w:space="0" w:color="auto"/>
              <w:left w:val="single" w:sz="4" w:space="0" w:color="auto"/>
              <w:bottom w:val="single" w:sz="4" w:space="0" w:color="auto"/>
              <w:right w:val="single" w:sz="4" w:space="0" w:color="auto"/>
            </w:tcBorders>
            <w:shd w:val="clear" w:color="000000" w:fill="D8D8D8"/>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CF year</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No. of ABS imports</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 ABS imports included</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Min weight</w:t>
            </w:r>
            <w:r w:rsidRPr="00416A67">
              <w:rPr>
                <w:rFonts w:ascii="Calibri" w:hAnsi="Calibri" w:cs="Calibri"/>
                <w:color w:val="000000"/>
                <w:sz w:val="16"/>
                <w:szCs w:val="16"/>
                <w:lang w:eastAsia="en-AU"/>
              </w:rPr>
              <w:br/>
              <w:t>(kg)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Max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Standard deviation</w:t>
            </w:r>
          </w:p>
        </w:tc>
      </w:tr>
      <w:tr w:rsidR="00416A67" w:rsidRPr="00416A67">
        <w:trPr>
          <w:trHeight w:val="225"/>
        </w:trPr>
        <w:tc>
          <w:tcPr>
            <w:tcW w:w="1660" w:type="dxa"/>
            <w:tcBorders>
              <w:top w:val="nil"/>
              <w:left w:val="single" w:sz="4" w:space="0" w:color="auto"/>
              <w:bottom w:val="single" w:sz="4" w:space="0" w:color="auto"/>
              <w:right w:val="single" w:sz="4" w:space="0" w:color="auto"/>
            </w:tcBorders>
            <w:shd w:val="clear" w:color="auto" w:fill="auto"/>
            <w:noWrap/>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2010-11</w:t>
            </w:r>
          </w:p>
        </w:tc>
        <w:tc>
          <w:tcPr>
            <w:tcW w:w="1120" w:type="dxa"/>
            <w:tcBorders>
              <w:top w:val="nil"/>
              <w:left w:val="nil"/>
              <w:bottom w:val="single" w:sz="4" w:space="0" w:color="auto"/>
              <w:right w:val="single" w:sz="4" w:space="0" w:color="auto"/>
            </w:tcBorders>
            <w:shd w:val="clear" w:color="auto" w:fill="auto"/>
            <w:noWrap/>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946,800</w:t>
            </w:r>
          </w:p>
        </w:tc>
        <w:tc>
          <w:tcPr>
            <w:tcW w:w="1120" w:type="dxa"/>
            <w:tcBorders>
              <w:top w:val="nil"/>
              <w:left w:val="nil"/>
              <w:bottom w:val="single" w:sz="4" w:space="0" w:color="auto"/>
              <w:right w:val="single" w:sz="4" w:space="0" w:color="auto"/>
            </w:tcBorders>
            <w:shd w:val="clear" w:color="auto" w:fill="auto"/>
            <w:noWrap/>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16%</w:t>
            </w:r>
          </w:p>
        </w:tc>
        <w:tc>
          <w:tcPr>
            <w:tcW w:w="1120" w:type="dxa"/>
            <w:tcBorders>
              <w:top w:val="nil"/>
              <w:left w:val="nil"/>
              <w:bottom w:val="single" w:sz="4" w:space="0" w:color="auto"/>
              <w:right w:val="single" w:sz="4" w:space="0" w:color="auto"/>
            </w:tcBorders>
            <w:shd w:val="clear" w:color="auto" w:fill="auto"/>
            <w:noWrap/>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3.4</w:t>
            </w:r>
          </w:p>
        </w:tc>
        <w:tc>
          <w:tcPr>
            <w:tcW w:w="1120" w:type="dxa"/>
            <w:tcBorders>
              <w:top w:val="nil"/>
              <w:left w:val="nil"/>
              <w:bottom w:val="single" w:sz="4" w:space="0" w:color="auto"/>
              <w:right w:val="single" w:sz="4" w:space="0" w:color="auto"/>
            </w:tcBorders>
            <w:shd w:val="clear" w:color="auto" w:fill="auto"/>
            <w:noWrap/>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18.5</w:t>
            </w:r>
          </w:p>
        </w:tc>
        <w:tc>
          <w:tcPr>
            <w:tcW w:w="1120" w:type="dxa"/>
            <w:tcBorders>
              <w:top w:val="nil"/>
              <w:left w:val="nil"/>
              <w:bottom w:val="single" w:sz="4" w:space="0" w:color="auto"/>
              <w:right w:val="single" w:sz="4" w:space="0" w:color="auto"/>
            </w:tcBorders>
            <w:shd w:val="clear" w:color="auto" w:fill="auto"/>
            <w:noWrap/>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0.3</w:t>
            </w:r>
          </w:p>
        </w:tc>
      </w:tr>
      <w:tr w:rsidR="00416A67" w:rsidRPr="00416A67">
        <w:trPr>
          <w:trHeight w:val="225"/>
        </w:trPr>
        <w:tc>
          <w:tcPr>
            <w:tcW w:w="1660" w:type="dxa"/>
            <w:tcBorders>
              <w:top w:val="nil"/>
              <w:left w:val="nil"/>
              <w:bottom w:val="nil"/>
              <w:right w:val="nil"/>
            </w:tcBorders>
            <w:shd w:val="clear" w:color="auto" w:fill="auto"/>
            <w:noWrap/>
            <w:vAlign w:val="bottom"/>
          </w:tcPr>
          <w:p w:rsidR="00416A67" w:rsidRPr="00416A67" w:rsidRDefault="00416A67" w:rsidP="00416A67">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416A67" w:rsidRPr="00416A67" w:rsidRDefault="00416A67" w:rsidP="00416A67">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416A67" w:rsidRPr="00416A67" w:rsidRDefault="00416A67" w:rsidP="00416A67">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416A67" w:rsidRPr="00416A67" w:rsidRDefault="00416A67" w:rsidP="00416A67">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416A67" w:rsidRPr="00416A67" w:rsidRDefault="00416A67" w:rsidP="00416A67">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416A67" w:rsidRPr="00416A67" w:rsidRDefault="00416A67" w:rsidP="00416A67">
            <w:pPr>
              <w:rPr>
                <w:rFonts w:ascii="Calibri" w:hAnsi="Calibri" w:cs="Calibri"/>
                <w:color w:val="000000"/>
                <w:sz w:val="16"/>
                <w:szCs w:val="16"/>
                <w:lang w:eastAsia="en-AU"/>
              </w:rPr>
            </w:pPr>
          </w:p>
        </w:tc>
      </w:tr>
      <w:tr w:rsidR="00416A67" w:rsidRPr="00416A67">
        <w:trPr>
          <w:trHeight w:val="450"/>
        </w:trPr>
        <w:tc>
          <w:tcPr>
            <w:tcW w:w="1660" w:type="dxa"/>
            <w:tcBorders>
              <w:top w:val="single" w:sz="4" w:space="0" w:color="auto"/>
              <w:left w:val="single" w:sz="4" w:space="0" w:color="auto"/>
              <w:bottom w:val="nil"/>
              <w:right w:val="single" w:sz="4" w:space="0" w:color="auto"/>
            </w:tcBorders>
            <w:shd w:val="clear" w:color="000000" w:fill="D8D8D8"/>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Method</w:t>
            </w:r>
          </w:p>
        </w:tc>
        <w:tc>
          <w:tcPr>
            <w:tcW w:w="1120" w:type="dxa"/>
            <w:tcBorders>
              <w:top w:val="single" w:sz="4" w:space="0" w:color="auto"/>
              <w:left w:val="nil"/>
              <w:bottom w:val="nil"/>
              <w:right w:val="single" w:sz="4" w:space="0" w:color="auto"/>
            </w:tcBorders>
            <w:shd w:val="clear" w:color="000000" w:fill="D8D8D8"/>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Measure of average</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Average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Lower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Upper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Confidence interval ± (kg)</w:t>
            </w:r>
          </w:p>
        </w:tc>
      </w:tr>
      <w:tr w:rsidR="00416A67" w:rsidRPr="00416A67">
        <w:trPr>
          <w:trHeight w:val="48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Approximation to the normal distribution</w:t>
            </w:r>
          </w:p>
        </w:tc>
        <w:tc>
          <w:tcPr>
            <w:tcW w:w="1120" w:type="dxa"/>
            <w:tcBorders>
              <w:top w:val="single" w:sz="4" w:space="0" w:color="auto"/>
              <w:left w:val="nil"/>
              <w:bottom w:val="single" w:sz="4" w:space="0" w:color="auto"/>
              <w:right w:val="single" w:sz="4" w:space="0" w:color="auto"/>
            </w:tcBorders>
            <w:shd w:val="clear" w:color="auto" w:fill="auto"/>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Mean</w:t>
            </w:r>
          </w:p>
        </w:tc>
        <w:tc>
          <w:tcPr>
            <w:tcW w:w="1120" w:type="dxa"/>
            <w:tcBorders>
              <w:top w:val="nil"/>
              <w:left w:val="nil"/>
              <w:bottom w:val="single" w:sz="4" w:space="0" w:color="auto"/>
              <w:right w:val="single" w:sz="4" w:space="0" w:color="auto"/>
            </w:tcBorders>
            <w:shd w:val="clear" w:color="auto" w:fill="auto"/>
            <w:noWrap/>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5.4</w:t>
            </w:r>
          </w:p>
        </w:tc>
        <w:tc>
          <w:tcPr>
            <w:tcW w:w="1120" w:type="dxa"/>
            <w:tcBorders>
              <w:top w:val="nil"/>
              <w:left w:val="nil"/>
              <w:bottom w:val="single" w:sz="4" w:space="0" w:color="auto"/>
              <w:right w:val="single" w:sz="4" w:space="0" w:color="auto"/>
            </w:tcBorders>
            <w:shd w:val="clear" w:color="auto" w:fill="auto"/>
            <w:noWrap/>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4.9</w:t>
            </w:r>
          </w:p>
        </w:tc>
        <w:tc>
          <w:tcPr>
            <w:tcW w:w="1120" w:type="dxa"/>
            <w:tcBorders>
              <w:top w:val="nil"/>
              <w:left w:val="nil"/>
              <w:bottom w:val="single" w:sz="4" w:space="0" w:color="auto"/>
              <w:right w:val="single" w:sz="4" w:space="0" w:color="auto"/>
            </w:tcBorders>
            <w:shd w:val="clear" w:color="auto" w:fill="auto"/>
            <w:noWrap/>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5.9</w:t>
            </w:r>
          </w:p>
        </w:tc>
        <w:tc>
          <w:tcPr>
            <w:tcW w:w="1120" w:type="dxa"/>
            <w:tcBorders>
              <w:top w:val="nil"/>
              <w:left w:val="nil"/>
              <w:bottom w:val="single" w:sz="4" w:space="0" w:color="auto"/>
              <w:right w:val="single" w:sz="4" w:space="0" w:color="auto"/>
            </w:tcBorders>
            <w:shd w:val="clear" w:color="auto" w:fill="auto"/>
            <w:noWrap/>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0.5</w:t>
            </w:r>
          </w:p>
        </w:tc>
      </w:tr>
      <w:tr w:rsidR="00416A67" w:rsidRPr="00416A6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Use of percentiles</w:t>
            </w:r>
          </w:p>
        </w:tc>
        <w:tc>
          <w:tcPr>
            <w:tcW w:w="1120" w:type="dxa"/>
            <w:tcBorders>
              <w:top w:val="nil"/>
              <w:left w:val="nil"/>
              <w:bottom w:val="single" w:sz="4" w:space="0" w:color="auto"/>
              <w:right w:val="single" w:sz="4" w:space="0" w:color="auto"/>
            </w:tcBorders>
            <w:shd w:val="clear" w:color="auto" w:fill="auto"/>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Median</w:t>
            </w:r>
          </w:p>
        </w:tc>
        <w:tc>
          <w:tcPr>
            <w:tcW w:w="1120" w:type="dxa"/>
            <w:tcBorders>
              <w:top w:val="nil"/>
              <w:left w:val="nil"/>
              <w:bottom w:val="single" w:sz="4" w:space="0" w:color="auto"/>
              <w:right w:val="single" w:sz="4" w:space="0" w:color="auto"/>
            </w:tcBorders>
            <w:shd w:val="clear" w:color="auto" w:fill="auto"/>
            <w:noWrap/>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5.0</w:t>
            </w:r>
          </w:p>
        </w:tc>
        <w:tc>
          <w:tcPr>
            <w:tcW w:w="1120" w:type="dxa"/>
            <w:tcBorders>
              <w:top w:val="nil"/>
              <w:left w:val="nil"/>
              <w:bottom w:val="single" w:sz="4" w:space="0" w:color="auto"/>
              <w:right w:val="single" w:sz="4" w:space="0" w:color="auto"/>
            </w:tcBorders>
            <w:shd w:val="clear" w:color="auto" w:fill="auto"/>
            <w:noWrap/>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3.5</w:t>
            </w:r>
          </w:p>
        </w:tc>
        <w:tc>
          <w:tcPr>
            <w:tcW w:w="1120" w:type="dxa"/>
            <w:tcBorders>
              <w:top w:val="nil"/>
              <w:left w:val="nil"/>
              <w:bottom w:val="single" w:sz="4" w:space="0" w:color="auto"/>
              <w:right w:val="single" w:sz="4" w:space="0" w:color="auto"/>
            </w:tcBorders>
            <w:shd w:val="clear" w:color="auto" w:fill="auto"/>
            <w:noWrap/>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10.0</w:t>
            </w:r>
          </w:p>
        </w:tc>
        <w:tc>
          <w:tcPr>
            <w:tcW w:w="1120" w:type="dxa"/>
            <w:tcBorders>
              <w:top w:val="nil"/>
              <w:left w:val="nil"/>
              <w:bottom w:val="single" w:sz="4" w:space="0" w:color="auto"/>
              <w:right w:val="single" w:sz="4" w:space="0" w:color="auto"/>
            </w:tcBorders>
            <w:shd w:val="clear" w:color="auto" w:fill="auto"/>
            <w:noWrap/>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5.0</w:t>
            </w:r>
          </w:p>
        </w:tc>
      </w:tr>
      <w:tr w:rsidR="00416A67" w:rsidRPr="00416A67">
        <w:trPr>
          <w:trHeight w:val="225"/>
        </w:trPr>
        <w:tc>
          <w:tcPr>
            <w:tcW w:w="1660" w:type="dxa"/>
            <w:tcBorders>
              <w:top w:val="nil"/>
              <w:left w:val="nil"/>
              <w:bottom w:val="nil"/>
              <w:right w:val="nil"/>
            </w:tcBorders>
            <w:shd w:val="clear" w:color="auto" w:fill="auto"/>
            <w:noWrap/>
            <w:vAlign w:val="bottom"/>
          </w:tcPr>
          <w:p w:rsidR="00416A67" w:rsidRPr="00416A67" w:rsidRDefault="00416A67" w:rsidP="00416A67">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416A67" w:rsidRPr="00416A67" w:rsidRDefault="00416A67" w:rsidP="00416A67">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416A67" w:rsidRPr="00416A67" w:rsidRDefault="00416A67" w:rsidP="00416A67">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416A67" w:rsidRPr="00416A67" w:rsidRDefault="00416A67" w:rsidP="00416A67">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416A67" w:rsidRPr="00416A67" w:rsidRDefault="00416A67" w:rsidP="00416A67">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416A67" w:rsidRPr="00416A67" w:rsidRDefault="00416A67" w:rsidP="00416A67">
            <w:pPr>
              <w:rPr>
                <w:rFonts w:ascii="Calibri" w:hAnsi="Calibri" w:cs="Calibri"/>
                <w:color w:val="000000"/>
                <w:sz w:val="16"/>
                <w:szCs w:val="16"/>
                <w:lang w:eastAsia="en-AU"/>
              </w:rPr>
            </w:pPr>
          </w:p>
        </w:tc>
      </w:tr>
      <w:tr w:rsidR="00416A67" w:rsidRPr="00416A67">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tcPr>
          <w:p w:rsidR="00416A67" w:rsidRPr="00416A67" w:rsidRDefault="00416A67" w:rsidP="00416A67">
            <w:pPr>
              <w:rPr>
                <w:rFonts w:ascii="Calibri" w:hAnsi="Calibri" w:cs="Calibri"/>
                <w:color w:val="000000"/>
                <w:sz w:val="16"/>
                <w:szCs w:val="16"/>
                <w:lang w:eastAsia="en-AU"/>
              </w:rPr>
            </w:pPr>
            <w:r w:rsidRPr="00416A67">
              <w:rPr>
                <w:rFonts w:ascii="Calibri" w:hAnsi="Calibri" w:cs="Calibri"/>
                <w:color w:val="000000"/>
                <w:sz w:val="16"/>
                <w:szCs w:val="16"/>
                <w:lang w:eastAsia="en-AU"/>
              </w:rPr>
              <w:t>Year</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2010-11</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2009-10</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416A67" w:rsidRPr="00416A67" w:rsidRDefault="00416A67" w:rsidP="00416A67">
            <w:pPr>
              <w:jc w:val="center"/>
              <w:rPr>
                <w:rFonts w:ascii="Calibri" w:hAnsi="Calibri" w:cs="Calibri"/>
                <w:color w:val="000000"/>
                <w:sz w:val="16"/>
                <w:szCs w:val="16"/>
                <w:lang w:eastAsia="en-AU"/>
              </w:rPr>
            </w:pPr>
            <w:r w:rsidRPr="00416A67">
              <w:rPr>
                <w:rFonts w:ascii="Calibri" w:hAnsi="Calibri" w:cs="Calibri"/>
                <w:color w:val="000000"/>
                <w:sz w:val="16"/>
                <w:szCs w:val="16"/>
                <w:lang w:eastAsia="en-AU"/>
              </w:rPr>
              <w:t>2008-09</w:t>
            </w:r>
          </w:p>
        </w:tc>
      </w:tr>
      <w:tr w:rsidR="00EB0A73" w:rsidRPr="00416A67">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B0A73" w:rsidRPr="00416A67" w:rsidRDefault="00EB0A73" w:rsidP="00416A67">
            <w:pPr>
              <w:rPr>
                <w:rFonts w:ascii="Calibri" w:hAnsi="Calibri" w:cs="Calibri"/>
                <w:color w:val="000000"/>
                <w:sz w:val="16"/>
                <w:szCs w:val="16"/>
                <w:lang w:eastAsia="en-AU"/>
              </w:rPr>
            </w:pPr>
            <w:r w:rsidRPr="00CB6A7D">
              <w:rPr>
                <w:rFonts w:ascii="Calibri" w:hAnsi="Calibri" w:cs="Calibri"/>
                <w:color w:val="000000"/>
                <w:sz w:val="16"/>
                <w:szCs w:val="16"/>
                <w:lang w:eastAsia="en-AU"/>
              </w:rPr>
              <w:t>Percentage by which the conversion factor over or under estimates the weight of imports</w:t>
            </w:r>
          </w:p>
        </w:tc>
        <w:tc>
          <w:tcPr>
            <w:tcW w:w="1120" w:type="dxa"/>
            <w:tcBorders>
              <w:top w:val="nil"/>
              <w:left w:val="nil"/>
              <w:bottom w:val="single" w:sz="4" w:space="0" w:color="auto"/>
              <w:right w:val="single" w:sz="4" w:space="0" w:color="auto"/>
            </w:tcBorders>
            <w:shd w:val="clear" w:color="auto" w:fill="auto"/>
            <w:noWrap/>
            <w:vAlign w:val="center"/>
          </w:tcPr>
          <w:p w:rsidR="00EB0A73" w:rsidRDefault="00EB0A73">
            <w:pPr>
              <w:jc w:val="center"/>
              <w:rPr>
                <w:rFonts w:ascii="Calibri" w:hAnsi="Calibri" w:cs="Calibri"/>
                <w:color w:val="000000"/>
                <w:sz w:val="16"/>
                <w:szCs w:val="16"/>
              </w:rPr>
            </w:pPr>
            <w:r>
              <w:rPr>
                <w:rFonts w:ascii="Calibri" w:hAnsi="Calibri" w:cs="Calibri"/>
                <w:color w:val="000000"/>
                <w:sz w:val="16"/>
                <w:szCs w:val="16"/>
              </w:rPr>
              <w:t>0%</w:t>
            </w:r>
          </w:p>
        </w:tc>
        <w:tc>
          <w:tcPr>
            <w:tcW w:w="1120" w:type="dxa"/>
            <w:tcBorders>
              <w:top w:val="nil"/>
              <w:left w:val="nil"/>
              <w:bottom w:val="single" w:sz="4" w:space="0" w:color="auto"/>
              <w:right w:val="single" w:sz="4" w:space="0" w:color="auto"/>
            </w:tcBorders>
            <w:shd w:val="clear" w:color="auto" w:fill="auto"/>
            <w:noWrap/>
            <w:vAlign w:val="center"/>
          </w:tcPr>
          <w:p w:rsidR="00EB0A73" w:rsidRDefault="00EB0A73">
            <w:pPr>
              <w:jc w:val="center"/>
              <w:rPr>
                <w:rFonts w:ascii="Calibri" w:hAnsi="Calibri" w:cs="Calibri"/>
                <w:color w:val="000000"/>
                <w:sz w:val="16"/>
                <w:szCs w:val="16"/>
              </w:rPr>
            </w:pPr>
            <w:r>
              <w:rPr>
                <w:rFonts w:ascii="Calibri" w:hAnsi="Calibri" w:cs="Calibri"/>
                <w:color w:val="000000"/>
                <w:sz w:val="16"/>
                <w:szCs w:val="16"/>
              </w:rPr>
              <w:t>-25%</w:t>
            </w:r>
          </w:p>
        </w:tc>
        <w:tc>
          <w:tcPr>
            <w:tcW w:w="1120" w:type="dxa"/>
            <w:tcBorders>
              <w:top w:val="nil"/>
              <w:left w:val="nil"/>
              <w:bottom w:val="single" w:sz="4" w:space="0" w:color="auto"/>
              <w:right w:val="single" w:sz="4" w:space="0" w:color="auto"/>
            </w:tcBorders>
            <w:shd w:val="clear" w:color="auto" w:fill="auto"/>
            <w:noWrap/>
            <w:vAlign w:val="center"/>
          </w:tcPr>
          <w:p w:rsidR="00EB0A73" w:rsidRDefault="00EB0A73">
            <w:pPr>
              <w:jc w:val="center"/>
              <w:rPr>
                <w:rFonts w:ascii="Calibri" w:hAnsi="Calibri" w:cs="Calibri"/>
                <w:color w:val="000000"/>
                <w:sz w:val="16"/>
                <w:szCs w:val="16"/>
              </w:rPr>
            </w:pPr>
            <w:r>
              <w:rPr>
                <w:rFonts w:ascii="Calibri" w:hAnsi="Calibri" w:cs="Calibri"/>
                <w:color w:val="000000"/>
                <w:sz w:val="16"/>
                <w:szCs w:val="16"/>
              </w:rPr>
              <w:t>-46%</w:t>
            </w:r>
          </w:p>
        </w:tc>
      </w:tr>
    </w:tbl>
    <w:p w:rsidR="001A78F2" w:rsidRDefault="001A78F2">
      <w:pPr>
        <w:rPr>
          <w:szCs w:val="22"/>
        </w:rPr>
      </w:pPr>
    </w:p>
    <w:p w:rsidR="001A78F2" w:rsidRDefault="00416A67">
      <w:pPr>
        <w:rPr>
          <w:szCs w:val="22"/>
        </w:rPr>
      </w:pPr>
      <w:r w:rsidRPr="005A3097">
        <w:rPr>
          <w:b/>
          <w:szCs w:val="22"/>
        </w:rPr>
        <w:t>Distribution:</w:t>
      </w:r>
      <w:r>
        <w:rPr>
          <w:b/>
          <w:szCs w:val="22"/>
        </w:rPr>
        <w:t xml:space="preserve"> </w:t>
      </w:r>
      <w:r>
        <w:rPr>
          <w:szCs w:val="22"/>
        </w:rPr>
        <w:t>All imports between 3-10 kg with a peak at 4-5kg</w:t>
      </w:r>
    </w:p>
    <w:p w:rsidR="001A78F2" w:rsidRDefault="00416A67">
      <w:pPr>
        <w:rPr>
          <w:szCs w:val="22"/>
        </w:rPr>
      </w:pPr>
      <w:r>
        <w:rPr>
          <w:b/>
          <w:szCs w:val="22"/>
        </w:rPr>
        <w:t>Proposed conversion factor</w:t>
      </w:r>
      <w:r w:rsidRPr="00416A67">
        <w:rPr>
          <w:szCs w:val="22"/>
        </w:rPr>
        <w:t>: 5.4</w:t>
      </w:r>
      <w:r>
        <w:rPr>
          <w:rFonts w:ascii="Calibri" w:hAnsi="Calibri" w:cs="Calibri"/>
          <w:color w:val="000000"/>
          <w:sz w:val="16"/>
          <w:szCs w:val="16"/>
          <w:lang w:eastAsia="en-AU"/>
        </w:rPr>
        <w:t xml:space="preserve"> </w:t>
      </w:r>
      <w:r>
        <w:rPr>
          <w:szCs w:val="22"/>
        </w:rPr>
        <w:t>kg</w:t>
      </w:r>
    </w:p>
    <w:p w:rsidR="001A78F2" w:rsidRDefault="00416A67">
      <w:pPr>
        <w:rPr>
          <w:szCs w:val="22"/>
        </w:rPr>
      </w:pPr>
      <w:r>
        <w:rPr>
          <w:b/>
          <w:szCs w:val="22"/>
        </w:rPr>
        <w:t>Proposed confidence interval</w:t>
      </w:r>
      <w:r w:rsidRPr="00B02F83">
        <w:rPr>
          <w:szCs w:val="22"/>
        </w:rPr>
        <w:t xml:space="preserve">: </w:t>
      </w:r>
      <w:r>
        <w:rPr>
          <w:szCs w:val="22"/>
        </w:rPr>
        <w:t xml:space="preserve"> &gt; 3.5 kg, &lt; 10</w:t>
      </w:r>
      <w:r w:rsidR="00CB58FA">
        <w:rPr>
          <w:szCs w:val="22"/>
        </w:rPr>
        <w:t>.0</w:t>
      </w:r>
      <w:r>
        <w:rPr>
          <w:szCs w:val="22"/>
        </w:rPr>
        <w:t xml:space="preserve"> kg</w:t>
      </w:r>
    </w:p>
    <w:p w:rsidR="001A78F2" w:rsidRDefault="00C62346">
      <w:pPr>
        <w:rPr>
          <w:szCs w:val="22"/>
        </w:rPr>
      </w:pPr>
      <w:r>
        <w:rPr>
          <w:b/>
          <w:szCs w:val="22"/>
        </w:rPr>
        <w:t xml:space="preserve">Variation over time: </w:t>
      </w:r>
      <w:r w:rsidR="00416A67">
        <w:rPr>
          <w:szCs w:val="22"/>
        </w:rPr>
        <w:t>High</w:t>
      </w:r>
    </w:p>
    <w:p w:rsidR="001A78F2" w:rsidRDefault="001A78F2">
      <w:pPr>
        <w:rPr>
          <w:szCs w:val="22"/>
        </w:rPr>
      </w:pPr>
    </w:p>
    <w:p w:rsidR="001A78F2" w:rsidRDefault="001A78F2">
      <w:pPr>
        <w:rPr>
          <w:szCs w:val="22"/>
        </w:rPr>
      </w:pPr>
    </w:p>
    <w:p w:rsidR="001A78F2" w:rsidRDefault="001A78F2">
      <w:pPr>
        <w:rPr>
          <w:szCs w:val="22"/>
        </w:rPr>
      </w:pPr>
    </w:p>
    <w:p w:rsidR="001A78F2" w:rsidRDefault="001A78F2">
      <w:pPr>
        <w:rPr>
          <w:szCs w:val="22"/>
        </w:rPr>
      </w:pPr>
    </w:p>
    <w:p w:rsidR="00EB0A73" w:rsidRDefault="00EB0A73">
      <w:pPr>
        <w:rPr>
          <w:rFonts w:ascii="Arial" w:hAnsi="Arial" w:cs="Arial"/>
          <w:b/>
          <w:bCs/>
          <w:color w:val="000000"/>
          <w:szCs w:val="22"/>
          <w:lang w:eastAsia="en-AU"/>
        </w:rPr>
      </w:pPr>
      <w:r>
        <w:rPr>
          <w:rFonts w:ascii="Arial" w:hAnsi="Arial" w:cs="Arial"/>
          <w:b/>
          <w:bCs/>
          <w:color w:val="000000"/>
          <w:szCs w:val="22"/>
          <w:lang w:eastAsia="en-AU"/>
        </w:rPr>
        <w:br w:type="page"/>
      </w:r>
    </w:p>
    <w:p w:rsidR="00416A67" w:rsidRDefault="00EB0A73" w:rsidP="000941E0">
      <w:pPr>
        <w:jc w:val="both"/>
        <w:rPr>
          <w:szCs w:val="22"/>
        </w:rPr>
      </w:pPr>
      <w:r w:rsidRPr="00B81223">
        <w:rPr>
          <w:rFonts w:ascii="Arial" w:hAnsi="Arial" w:cs="Arial"/>
          <w:b/>
          <w:bCs/>
          <w:color w:val="000000"/>
          <w:szCs w:val="22"/>
          <w:lang w:eastAsia="en-AU"/>
        </w:rPr>
        <w:t>SC07 8528.72.00 61 - Clr TVs: Digital LCD..Wide screen, screen size 80 cm and over</w:t>
      </w:r>
    </w:p>
    <w:p w:rsidR="00BC4FED" w:rsidRDefault="00BC4FED" w:rsidP="00BC4FED">
      <w:pPr>
        <w:pStyle w:val="Caption"/>
        <w:keepNext/>
      </w:pPr>
    </w:p>
    <w:p w:rsidR="00B81223" w:rsidRDefault="002652C5" w:rsidP="00BC4FED">
      <w:pPr>
        <w:pStyle w:val="Caption"/>
        <w:keepNext/>
      </w:pPr>
      <w:r>
        <w:t xml:space="preserve">Figure 5-48    </w:t>
      </w:r>
      <w:r w:rsidR="00BC4FED">
        <w:t xml:space="preserve"> </w:t>
      </w:r>
      <w:r w:rsidR="00AC1355">
        <w:t>HTISC frequency distribution in CF year</w:t>
      </w:r>
    </w:p>
    <w:p w:rsidR="006B5387" w:rsidRDefault="006B5387" w:rsidP="006B5387">
      <w:pPr>
        <w:rPr>
          <w:lang w:val="en-GB"/>
        </w:rPr>
      </w:pPr>
      <w:r w:rsidRPr="006B5387">
        <w:rPr>
          <w:noProof/>
          <w:lang w:eastAsia="en-AU"/>
        </w:rPr>
        <w:drawing>
          <wp:inline distT="0" distB="0" distL="0" distR="0">
            <wp:extent cx="4889500" cy="2984500"/>
            <wp:effectExtent l="19050" t="0" r="25400" b="6350"/>
            <wp:docPr id="108"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6B5387" w:rsidRDefault="006B5387" w:rsidP="006B5387">
      <w:pPr>
        <w:rPr>
          <w:lang w:val="en-GB"/>
        </w:rPr>
      </w:pPr>
    </w:p>
    <w:p w:rsidR="006B5387" w:rsidRDefault="006B5387" w:rsidP="006B5387">
      <w:pPr>
        <w:rPr>
          <w:lang w:val="en-GB"/>
        </w:rPr>
      </w:pPr>
    </w:p>
    <w:p w:rsidR="006B5387" w:rsidRDefault="006B5387" w:rsidP="006B5387">
      <w:pPr>
        <w:rPr>
          <w:lang w:val="en-GB"/>
        </w:rPr>
      </w:pPr>
    </w:p>
    <w:p w:rsidR="00B81223" w:rsidRDefault="00B81223" w:rsidP="000941E0">
      <w:pPr>
        <w:jc w:val="both"/>
        <w:rPr>
          <w:szCs w:val="22"/>
        </w:rPr>
      </w:pPr>
    </w:p>
    <w:p w:rsidR="006E4AFA" w:rsidRDefault="006E4AFA" w:rsidP="000941E0">
      <w:pPr>
        <w:jc w:val="both"/>
        <w:rPr>
          <w:szCs w:val="22"/>
        </w:rPr>
      </w:pPr>
    </w:p>
    <w:p w:rsidR="006E4AFA" w:rsidRDefault="006E4AFA" w:rsidP="000941E0">
      <w:pPr>
        <w:jc w:val="both"/>
        <w:rPr>
          <w:szCs w:val="22"/>
        </w:rPr>
      </w:pPr>
    </w:p>
    <w:p w:rsidR="006E4AFA" w:rsidRPr="00D73340" w:rsidRDefault="00207129" w:rsidP="00D73340">
      <w:pPr>
        <w:pStyle w:val="Caption"/>
      </w:pPr>
      <w:r>
        <w:t xml:space="preserve">Table 5-37 </w:t>
      </w:r>
      <w:r w:rsidR="00D73340">
        <w:t>Conversion factor statistics</w:t>
      </w:r>
    </w:p>
    <w:tbl>
      <w:tblPr>
        <w:tblW w:w="7260" w:type="dxa"/>
        <w:tblInd w:w="93" w:type="dxa"/>
        <w:tblLook w:val="04A0"/>
      </w:tblPr>
      <w:tblGrid>
        <w:gridCol w:w="1660"/>
        <w:gridCol w:w="1120"/>
        <w:gridCol w:w="1120"/>
        <w:gridCol w:w="1120"/>
        <w:gridCol w:w="1120"/>
        <w:gridCol w:w="1120"/>
      </w:tblGrid>
      <w:tr w:rsidR="00B81223" w:rsidRPr="00B81223">
        <w:trPr>
          <w:trHeight w:val="450"/>
        </w:trPr>
        <w:tc>
          <w:tcPr>
            <w:tcW w:w="1660" w:type="dxa"/>
            <w:tcBorders>
              <w:top w:val="single" w:sz="4" w:space="0" w:color="auto"/>
              <w:left w:val="single" w:sz="4" w:space="0" w:color="auto"/>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CF year</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No. of ABS imports</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 ABS imports included</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Min weight</w:t>
            </w:r>
            <w:r w:rsidRPr="00B81223">
              <w:rPr>
                <w:rFonts w:ascii="Calibri" w:hAnsi="Calibri" w:cs="Calibri"/>
                <w:color w:val="000000"/>
                <w:sz w:val="16"/>
                <w:szCs w:val="16"/>
                <w:lang w:eastAsia="en-AU"/>
              </w:rPr>
              <w:br/>
              <w:t>(kg)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Max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Standard deviation</w:t>
            </w:r>
          </w:p>
        </w:tc>
      </w:tr>
      <w:tr w:rsidR="00B81223" w:rsidRPr="00B81223">
        <w:trPr>
          <w:trHeight w:val="225"/>
        </w:trPr>
        <w:tc>
          <w:tcPr>
            <w:tcW w:w="1660" w:type="dxa"/>
            <w:tcBorders>
              <w:top w:val="nil"/>
              <w:left w:val="single" w:sz="4" w:space="0" w:color="auto"/>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2010-11</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1,404,784</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65%</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6</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6E4AFA" w:rsidP="00B81223">
            <w:pPr>
              <w:jc w:val="center"/>
              <w:rPr>
                <w:rFonts w:ascii="Calibri" w:hAnsi="Calibri" w:cs="Calibri"/>
                <w:color w:val="000000"/>
                <w:sz w:val="16"/>
                <w:szCs w:val="16"/>
                <w:lang w:eastAsia="en-AU"/>
              </w:rPr>
            </w:pPr>
            <w:r>
              <w:rPr>
                <w:rFonts w:ascii="Calibri" w:hAnsi="Calibri" w:cs="Calibri"/>
                <w:color w:val="000000"/>
                <w:sz w:val="16"/>
                <w:szCs w:val="16"/>
                <w:lang w:eastAsia="en-AU"/>
              </w:rPr>
              <w:t>59.0</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0.3</w:t>
            </w:r>
          </w:p>
        </w:tc>
      </w:tr>
      <w:tr w:rsidR="00B81223" w:rsidRPr="00B81223">
        <w:trPr>
          <w:trHeight w:val="225"/>
        </w:trPr>
        <w:tc>
          <w:tcPr>
            <w:tcW w:w="166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r>
      <w:tr w:rsidR="00B81223" w:rsidRPr="00B81223">
        <w:trPr>
          <w:trHeight w:val="450"/>
        </w:trPr>
        <w:tc>
          <w:tcPr>
            <w:tcW w:w="1660" w:type="dxa"/>
            <w:tcBorders>
              <w:top w:val="single" w:sz="4" w:space="0" w:color="auto"/>
              <w:left w:val="single" w:sz="4" w:space="0" w:color="auto"/>
              <w:bottom w:val="nil"/>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Method</w:t>
            </w:r>
          </w:p>
        </w:tc>
        <w:tc>
          <w:tcPr>
            <w:tcW w:w="1120" w:type="dxa"/>
            <w:tcBorders>
              <w:top w:val="single" w:sz="4" w:space="0" w:color="auto"/>
              <w:left w:val="nil"/>
              <w:bottom w:val="nil"/>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Measure of average</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Average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Lower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Upper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Confidence interval ± (kg)</w:t>
            </w:r>
          </w:p>
        </w:tc>
      </w:tr>
      <w:tr w:rsidR="00B81223" w:rsidRPr="00B81223">
        <w:trPr>
          <w:trHeight w:val="48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Approximation to the normal distribution</w:t>
            </w:r>
          </w:p>
        </w:tc>
        <w:tc>
          <w:tcPr>
            <w:tcW w:w="1120" w:type="dxa"/>
            <w:tcBorders>
              <w:top w:val="single" w:sz="4" w:space="0" w:color="auto"/>
              <w:left w:val="nil"/>
              <w:bottom w:val="single" w:sz="4" w:space="0" w:color="auto"/>
              <w:right w:val="single" w:sz="4" w:space="0" w:color="auto"/>
            </w:tcBorders>
            <w:shd w:val="clear" w:color="auto" w:fill="auto"/>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Mean</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18.4</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17.9</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18.9</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0.5</w:t>
            </w:r>
          </w:p>
        </w:tc>
      </w:tr>
      <w:tr w:rsidR="00B81223" w:rsidRPr="00B81223">
        <w:trPr>
          <w:trHeight w:val="480"/>
        </w:trPr>
        <w:tc>
          <w:tcPr>
            <w:tcW w:w="1660" w:type="dxa"/>
            <w:tcBorders>
              <w:top w:val="nil"/>
              <w:left w:val="single" w:sz="4" w:space="0" w:color="auto"/>
              <w:bottom w:val="single" w:sz="4" w:space="0" w:color="auto"/>
              <w:right w:val="single" w:sz="4" w:space="0" w:color="auto"/>
            </w:tcBorders>
            <w:shd w:val="clear" w:color="auto" w:fill="auto"/>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Use of percentiles</w:t>
            </w:r>
          </w:p>
        </w:tc>
        <w:tc>
          <w:tcPr>
            <w:tcW w:w="1120" w:type="dxa"/>
            <w:tcBorders>
              <w:top w:val="nil"/>
              <w:left w:val="nil"/>
              <w:bottom w:val="single" w:sz="4" w:space="0" w:color="auto"/>
              <w:right w:val="single" w:sz="4" w:space="0" w:color="auto"/>
            </w:tcBorders>
            <w:shd w:val="clear" w:color="auto" w:fill="auto"/>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Median</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18.4</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9.2</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45.0</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26.6</w:t>
            </w:r>
          </w:p>
        </w:tc>
      </w:tr>
      <w:tr w:rsidR="00B81223" w:rsidRPr="00B81223">
        <w:trPr>
          <w:trHeight w:val="225"/>
        </w:trPr>
        <w:tc>
          <w:tcPr>
            <w:tcW w:w="166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r>
      <w:tr w:rsidR="00B81223" w:rsidRPr="00B81223">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tcPr>
          <w:p w:rsidR="00B81223" w:rsidRPr="00B81223" w:rsidRDefault="00B81223" w:rsidP="00B81223">
            <w:pPr>
              <w:rPr>
                <w:rFonts w:ascii="Calibri" w:hAnsi="Calibri" w:cs="Calibri"/>
                <w:color w:val="000000"/>
                <w:sz w:val="16"/>
                <w:szCs w:val="16"/>
                <w:lang w:eastAsia="en-AU"/>
              </w:rPr>
            </w:pPr>
            <w:r w:rsidRPr="00B81223">
              <w:rPr>
                <w:rFonts w:ascii="Calibri" w:hAnsi="Calibri" w:cs="Calibri"/>
                <w:color w:val="000000"/>
                <w:sz w:val="16"/>
                <w:szCs w:val="16"/>
                <w:lang w:eastAsia="en-AU"/>
              </w:rPr>
              <w:t>Year</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2010-11</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2009-10</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2008-09</w:t>
            </w:r>
          </w:p>
        </w:tc>
      </w:tr>
      <w:tr w:rsidR="006E4AFA" w:rsidRPr="00B81223">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E4AFA" w:rsidRPr="00B81223" w:rsidRDefault="006E4AFA" w:rsidP="00B81223">
            <w:pPr>
              <w:rPr>
                <w:rFonts w:ascii="Calibri" w:hAnsi="Calibri" w:cs="Calibri"/>
                <w:color w:val="000000"/>
                <w:sz w:val="16"/>
                <w:szCs w:val="16"/>
                <w:lang w:eastAsia="en-AU"/>
              </w:rPr>
            </w:pPr>
            <w:r w:rsidRPr="00CB6A7D">
              <w:rPr>
                <w:rFonts w:ascii="Calibri" w:hAnsi="Calibri" w:cs="Calibri"/>
                <w:color w:val="000000"/>
                <w:sz w:val="16"/>
                <w:szCs w:val="16"/>
                <w:lang w:eastAsia="en-AU"/>
              </w:rPr>
              <w:t>Percentage by which the conversion factor over or under estimates the weight of imports</w:t>
            </w:r>
          </w:p>
        </w:tc>
        <w:tc>
          <w:tcPr>
            <w:tcW w:w="1120" w:type="dxa"/>
            <w:tcBorders>
              <w:top w:val="nil"/>
              <w:left w:val="nil"/>
              <w:bottom w:val="single" w:sz="4" w:space="0" w:color="auto"/>
              <w:right w:val="single" w:sz="4" w:space="0" w:color="auto"/>
            </w:tcBorders>
            <w:shd w:val="clear" w:color="auto" w:fill="auto"/>
            <w:noWrap/>
            <w:vAlign w:val="center"/>
          </w:tcPr>
          <w:p w:rsidR="006E4AFA" w:rsidRDefault="006E4AFA">
            <w:pPr>
              <w:jc w:val="center"/>
              <w:rPr>
                <w:rFonts w:ascii="Calibri" w:hAnsi="Calibri" w:cs="Calibri"/>
                <w:color w:val="000000"/>
                <w:sz w:val="16"/>
                <w:szCs w:val="16"/>
              </w:rPr>
            </w:pPr>
            <w:r>
              <w:rPr>
                <w:rFonts w:ascii="Calibri" w:hAnsi="Calibri" w:cs="Calibri"/>
                <w:color w:val="000000"/>
                <w:sz w:val="16"/>
                <w:szCs w:val="16"/>
              </w:rPr>
              <w:t>0%</w:t>
            </w:r>
          </w:p>
        </w:tc>
        <w:tc>
          <w:tcPr>
            <w:tcW w:w="1120" w:type="dxa"/>
            <w:tcBorders>
              <w:top w:val="nil"/>
              <w:left w:val="nil"/>
              <w:bottom w:val="single" w:sz="4" w:space="0" w:color="auto"/>
              <w:right w:val="single" w:sz="4" w:space="0" w:color="auto"/>
            </w:tcBorders>
            <w:shd w:val="clear" w:color="auto" w:fill="auto"/>
            <w:noWrap/>
            <w:vAlign w:val="center"/>
          </w:tcPr>
          <w:p w:rsidR="006E4AFA" w:rsidRDefault="006E4AFA">
            <w:pPr>
              <w:jc w:val="center"/>
              <w:rPr>
                <w:rFonts w:ascii="Calibri" w:hAnsi="Calibri" w:cs="Calibri"/>
                <w:color w:val="000000"/>
                <w:sz w:val="16"/>
                <w:szCs w:val="16"/>
              </w:rPr>
            </w:pPr>
            <w:r>
              <w:rPr>
                <w:rFonts w:ascii="Calibri" w:hAnsi="Calibri" w:cs="Calibri"/>
                <w:color w:val="000000"/>
                <w:sz w:val="16"/>
                <w:szCs w:val="16"/>
              </w:rPr>
              <w:t>11%</w:t>
            </w:r>
          </w:p>
        </w:tc>
        <w:tc>
          <w:tcPr>
            <w:tcW w:w="1120" w:type="dxa"/>
            <w:tcBorders>
              <w:top w:val="nil"/>
              <w:left w:val="nil"/>
              <w:bottom w:val="single" w:sz="4" w:space="0" w:color="auto"/>
              <w:right w:val="single" w:sz="4" w:space="0" w:color="auto"/>
            </w:tcBorders>
            <w:shd w:val="clear" w:color="auto" w:fill="auto"/>
            <w:noWrap/>
            <w:vAlign w:val="center"/>
          </w:tcPr>
          <w:p w:rsidR="006E4AFA" w:rsidRDefault="006E4AFA">
            <w:pPr>
              <w:jc w:val="center"/>
              <w:rPr>
                <w:rFonts w:ascii="Calibri" w:hAnsi="Calibri" w:cs="Calibri"/>
                <w:color w:val="000000"/>
                <w:sz w:val="16"/>
                <w:szCs w:val="16"/>
              </w:rPr>
            </w:pPr>
            <w:r>
              <w:rPr>
                <w:rFonts w:ascii="Calibri" w:hAnsi="Calibri" w:cs="Calibri"/>
                <w:color w:val="000000"/>
                <w:sz w:val="16"/>
                <w:szCs w:val="16"/>
              </w:rPr>
              <w:t>-6%</w:t>
            </w:r>
          </w:p>
        </w:tc>
      </w:tr>
    </w:tbl>
    <w:p w:rsidR="001A78F2" w:rsidRDefault="001A78F2">
      <w:pPr>
        <w:rPr>
          <w:szCs w:val="22"/>
        </w:rPr>
      </w:pPr>
    </w:p>
    <w:p w:rsidR="001A78F2" w:rsidRDefault="00416A67">
      <w:pPr>
        <w:rPr>
          <w:szCs w:val="22"/>
        </w:rPr>
      </w:pPr>
      <w:r w:rsidRPr="005A3097">
        <w:rPr>
          <w:b/>
          <w:szCs w:val="22"/>
        </w:rPr>
        <w:t>Distribution:</w:t>
      </w:r>
      <w:r>
        <w:rPr>
          <w:b/>
          <w:szCs w:val="22"/>
        </w:rPr>
        <w:t xml:space="preserve"> </w:t>
      </w:r>
      <w:r>
        <w:rPr>
          <w:szCs w:val="22"/>
        </w:rPr>
        <w:t>All imports between 5-50 kg with a peak at 15-20 kg</w:t>
      </w:r>
    </w:p>
    <w:p w:rsidR="001A78F2" w:rsidRDefault="00416A67">
      <w:pPr>
        <w:rPr>
          <w:szCs w:val="22"/>
        </w:rPr>
      </w:pPr>
      <w:r>
        <w:rPr>
          <w:b/>
          <w:szCs w:val="22"/>
        </w:rPr>
        <w:t>Proposed conversion factor</w:t>
      </w:r>
      <w:r w:rsidRPr="00416A67">
        <w:rPr>
          <w:szCs w:val="22"/>
        </w:rPr>
        <w:t xml:space="preserve">: </w:t>
      </w:r>
      <w:r>
        <w:rPr>
          <w:szCs w:val="22"/>
        </w:rPr>
        <w:t>18</w:t>
      </w:r>
      <w:r w:rsidRPr="00416A67">
        <w:rPr>
          <w:szCs w:val="22"/>
        </w:rPr>
        <w:t>.4</w:t>
      </w:r>
      <w:r>
        <w:rPr>
          <w:rFonts w:ascii="Calibri" w:hAnsi="Calibri" w:cs="Calibri"/>
          <w:color w:val="000000"/>
          <w:sz w:val="16"/>
          <w:szCs w:val="16"/>
          <w:lang w:eastAsia="en-AU"/>
        </w:rPr>
        <w:t xml:space="preserve"> </w:t>
      </w:r>
      <w:r>
        <w:rPr>
          <w:szCs w:val="22"/>
        </w:rPr>
        <w:t>kg</w:t>
      </w:r>
    </w:p>
    <w:p w:rsidR="001A78F2" w:rsidRDefault="00416A67">
      <w:pPr>
        <w:rPr>
          <w:szCs w:val="22"/>
        </w:rPr>
      </w:pPr>
      <w:r>
        <w:rPr>
          <w:b/>
          <w:szCs w:val="22"/>
        </w:rPr>
        <w:t>Proposed confidence interval</w:t>
      </w:r>
      <w:r w:rsidRPr="00B02F83">
        <w:rPr>
          <w:szCs w:val="22"/>
        </w:rPr>
        <w:t xml:space="preserve">: </w:t>
      </w:r>
      <w:r>
        <w:rPr>
          <w:szCs w:val="22"/>
        </w:rPr>
        <w:t xml:space="preserve"> &gt; 9.2 kg, &lt; </w:t>
      </w:r>
      <w:r w:rsidR="009846F9">
        <w:rPr>
          <w:szCs w:val="22"/>
        </w:rPr>
        <w:t>45</w:t>
      </w:r>
      <w:r>
        <w:rPr>
          <w:szCs w:val="22"/>
        </w:rPr>
        <w:t xml:space="preserve"> kg</w:t>
      </w:r>
    </w:p>
    <w:p w:rsidR="001A78F2" w:rsidRDefault="00C62346">
      <w:pPr>
        <w:rPr>
          <w:szCs w:val="22"/>
        </w:rPr>
      </w:pPr>
      <w:r>
        <w:rPr>
          <w:b/>
          <w:szCs w:val="22"/>
        </w:rPr>
        <w:t xml:space="preserve">Variation over time: </w:t>
      </w:r>
      <w:r w:rsidR="005C1111">
        <w:rPr>
          <w:szCs w:val="22"/>
        </w:rPr>
        <w:t>Moderate</w:t>
      </w:r>
    </w:p>
    <w:p w:rsidR="001A78F2" w:rsidRDefault="001A78F2">
      <w:pPr>
        <w:rPr>
          <w:szCs w:val="22"/>
        </w:rPr>
      </w:pPr>
    </w:p>
    <w:p w:rsidR="001A78F2" w:rsidRDefault="001A78F2">
      <w:pPr>
        <w:rPr>
          <w:szCs w:val="22"/>
        </w:rPr>
      </w:pPr>
    </w:p>
    <w:p w:rsidR="006E4AFA" w:rsidRDefault="006E4AFA">
      <w:pPr>
        <w:rPr>
          <w:rFonts w:ascii="Arial" w:hAnsi="Arial" w:cs="Arial"/>
          <w:b/>
          <w:bCs/>
          <w:color w:val="000000"/>
          <w:szCs w:val="22"/>
          <w:lang w:eastAsia="en-AU"/>
        </w:rPr>
      </w:pPr>
      <w:r>
        <w:rPr>
          <w:rFonts w:ascii="Arial" w:hAnsi="Arial" w:cs="Arial"/>
          <w:b/>
          <w:bCs/>
          <w:color w:val="000000"/>
          <w:szCs w:val="22"/>
          <w:lang w:eastAsia="en-AU"/>
        </w:rPr>
        <w:br w:type="page"/>
      </w:r>
    </w:p>
    <w:p w:rsidR="001A78F2" w:rsidRDefault="006E4AFA">
      <w:pPr>
        <w:rPr>
          <w:rFonts w:ascii="Arial" w:hAnsi="Arial" w:cs="Arial"/>
          <w:b/>
          <w:bCs/>
          <w:color w:val="000000"/>
          <w:szCs w:val="22"/>
          <w:lang w:eastAsia="en-AU"/>
        </w:rPr>
      </w:pPr>
      <w:r w:rsidRPr="00B81223">
        <w:rPr>
          <w:rFonts w:ascii="Arial" w:hAnsi="Arial" w:cs="Arial"/>
          <w:b/>
          <w:bCs/>
          <w:color w:val="000000"/>
          <w:szCs w:val="22"/>
          <w:lang w:eastAsia="en-AU"/>
        </w:rPr>
        <w:t>SC07 8528.72.00 62 - Clr TVs: Digital LCD..Other</w:t>
      </w:r>
    </w:p>
    <w:p w:rsidR="00AF06F4" w:rsidRDefault="00AF06F4">
      <w:pPr>
        <w:rPr>
          <w:rFonts w:ascii="Arial" w:hAnsi="Arial" w:cs="Arial"/>
          <w:b/>
          <w:bCs/>
          <w:color w:val="000000"/>
          <w:szCs w:val="22"/>
          <w:lang w:eastAsia="en-AU"/>
        </w:rPr>
      </w:pPr>
    </w:p>
    <w:p w:rsidR="00BC4FED" w:rsidRPr="00BC4FED" w:rsidRDefault="002652C5" w:rsidP="00BC4FED">
      <w:pPr>
        <w:pStyle w:val="Caption"/>
        <w:keepNext/>
      </w:pPr>
      <w:r>
        <w:t xml:space="preserve">Figure 5-49     </w:t>
      </w:r>
      <w:r w:rsidR="00AC1355">
        <w:t>HTISC frequency distribution in CF year</w:t>
      </w:r>
    </w:p>
    <w:p w:rsidR="00AF06F4" w:rsidRDefault="00AF06F4">
      <w:pPr>
        <w:rPr>
          <w:rFonts w:ascii="Arial" w:hAnsi="Arial" w:cs="Arial"/>
          <w:b/>
          <w:bCs/>
          <w:color w:val="000000"/>
          <w:szCs w:val="22"/>
          <w:lang w:eastAsia="en-AU"/>
        </w:rPr>
      </w:pPr>
      <w:r w:rsidRPr="00AF06F4">
        <w:rPr>
          <w:rFonts w:ascii="Arial" w:hAnsi="Arial" w:cs="Arial"/>
          <w:b/>
          <w:bCs/>
          <w:noProof/>
          <w:color w:val="000000"/>
          <w:szCs w:val="22"/>
          <w:lang w:eastAsia="en-AU"/>
        </w:rPr>
        <w:drawing>
          <wp:inline distT="0" distB="0" distL="0" distR="0">
            <wp:extent cx="4889500" cy="2984500"/>
            <wp:effectExtent l="19050" t="0" r="25400" b="6350"/>
            <wp:docPr id="1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6E4AFA" w:rsidRDefault="006E4AFA">
      <w:pPr>
        <w:rPr>
          <w:szCs w:val="22"/>
        </w:rPr>
      </w:pPr>
    </w:p>
    <w:p w:rsidR="00D73340" w:rsidRDefault="00D73340">
      <w:pPr>
        <w:rPr>
          <w:szCs w:val="22"/>
        </w:rPr>
      </w:pPr>
    </w:p>
    <w:p w:rsidR="00D73340" w:rsidRPr="00D73340" w:rsidRDefault="00207129" w:rsidP="00D73340">
      <w:pPr>
        <w:pStyle w:val="Caption"/>
      </w:pPr>
      <w:r>
        <w:t xml:space="preserve">Table 5-38 </w:t>
      </w:r>
      <w:r w:rsidR="00D73340">
        <w:t>Conversion factor statistics</w:t>
      </w:r>
    </w:p>
    <w:tbl>
      <w:tblPr>
        <w:tblW w:w="7260" w:type="dxa"/>
        <w:tblInd w:w="93" w:type="dxa"/>
        <w:tblLook w:val="04A0"/>
      </w:tblPr>
      <w:tblGrid>
        <w:gridCol w:w="1660"/>
        <w:gridCol w:w="1120"/>
        <w:gridCol w:w="1120"/>
        <w:gridCol w:w="1120"/>
        <w:gridCol w:w="1120"/>
        <w:gridCol w:w="1120"/>
      </w:tblGrid>
      <w:tr w:rsidR="00B81223" w:rsidRPr="00B81223">
        <w:trPr>
          <w:trHeight w:val="450"/>
        </w:trPr>
        <w:tc>
          <w:tcPr>
            <w:tcW w:w="1660" w:type="dxa"/>
            <w:tcBorders>
              <w:top w:val="single" w:sz="4" w:space="0" w:color="auto"/>
              <w:left w:val="single" w:sz="4" w:space="0" w:color="auto"/>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CF year</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No. of ABS imports</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 ABS imports included</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Min weight</w:t>
            </w:r>
            <w:r w:rsidRPr="00B81223">
              <w:rPr>
                <w:rFonts w:ascii="Calibri" w:hAnsi="Calibri" w:cs="Calibri"/>
                <w:color w:val="000000"/>
                <w:sz w:val="16"/>
                <w:szCs w:val="16"/>
                <w:lang w:eastAsia="en-AU"/>
              </w:rPr>
              <w:br/>
              <w:t>(kg)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Max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Standard deviation</w:t>
            </w:r>
          </w:p>
        </w:tc>
      </w:tr>
      <w:tr w:rsidR="00B81223" w:rsidRPr="00B81223">
        <w:trPr>
          <w:trHeight w:val="225"/>
        </w:trPr>
        <w:tc>
          <w:tcPr>
            <w:tcW w:w="1660" w:type="dxa"/>
            <w:tcBorders>
              <w:top w:val="nil"/>
              <w:left w:val="single" w:sz="4" w:space="0" w:color="auto"/>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2010-11</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152,974</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0</w:t>
            </w:r>
            <w:r w:rsidR="006E4AFA">
              <w:rPr>
                <w:rFonts w:ascii="Calibri" w:hAnsi="Calibri" w:cs="Calibri"/>
                <w:color w:val="000000"/>
                <w:sz w:val="16"/>
                <w:szCs w:val="16"/>
                <w:lang w:eastAsia="en-AU"/>
              </w:rPr>
              <w:t>.001</w:t>
            </w:r>
            <w:r w:rsidRPr="00B81223">
              <w:rPr>
                <w:rFonts w:ascii="Calibri" w:hAnsi="Calibri" w:cs="Calibri"/>
                <w:color w:val="000000"/>
                <w:sz w:val="16"/>
                <w:szCs w:val="16"/>
                <w:lang w:eastAsia="en-AU"/>
              </w:rPr>
              <w:t>%</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18.5</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18.5</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0.0</w:t>
            </w:r>
          </w:p>
        </w:tc>
      </w:tr>
      <w:tr w:rsidR="00B81223" w:rsidRPr="00B81223">
        <w:trPr>
          <w:trHeight w:val="225"/>
        </w:trPr>
        <w:tc>
          <w:tcPr>
            <w:tcW w:w="166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r>
      <w:tr w:rsidR="00B81223" w:rsidRPr="00B81223">
        <w:trPr>
          <w:trHeight w:val="450"/>
        </w:trPr>
        <w:tc>
          <w:tcPr>
            <w:tcW w:w="1660" w:type="dxa"/>
            <w:tcBorders>
              <w:top w:val="single" w:sz="4" w:space="0" w:color="auto"/>
              <w:left w:val="single" w:sz="4" w:space="0" w:color="auto"/>
              <w:bottom w:val="nil"/>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Method</w:t>
            </w:r>
          </w:p>
        </w:tc>
        <w:tc>
          <w:tcPr>
            <w:tcW w:w="1120" w:type="dxa"/>
            <w:tcBorders>
              <w:top w:val="single" w:sz="4" w:space="0" w:color="auto"/>
              <w:left w:val="nil"/>
              <w:bottom w:val="nil"/>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Measure of average</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Average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Lower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Upper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Confidence interval ± (kg)</w:t>
            </w:r>
          </w:p>
        </w:tc>
      </w:tr>
      <w:tr w:rsidR="00416A67" w:rsidRPr="00B81223">
        <w:trPr>
          <w:trHeight w:val="48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416A67" w:rsidRPr="00B81223" w:rsidRDefault="00416A67"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Approximation to the normal distribution</w:t>
            </w:r>
          </w:p>
        </w:tc>
        <w:tc>
          <w:tcPr>
            <w:tcW w:w="1120" w:type="dxa"/>
            <w:tcBorders>
              <w:top w:val="single" w:sz="4" w:space="0" w:color="auto"/>
              <w:left w:val="nil"/>
              <w:bottom w:val="single" w:sz="4" w:space="0" w:color="auto"/>
              <w:right w:val="single" w:sz="4" w:space="0" w:color="auto"/>
            </w:tcBorders>
            <w:shd w:val="clear" w:color="auto" w:fill="auto"/>
            <w:vAlign w:val="center"/>
          </w:tcPr>
          <w:p w:rsidR="00416A67" w:rsidRPr="00B81223" w:rsidRDefault="00416A67"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Mean</w:t>
            </w:r>
          </w:p>
        </w:tc>
        <w:tc>
          <w:tcPr>
            <w:tcW w:w="1120" w:type="dxa"/>
            <w:tcBorders>
              <w:top w:val="nil"/>
              <w:left w:val="nil"/>
              <w:bottom w:val="single" w:sz="4" w:space="0" w:color="auto"/>
              <w:right w:val="single" w:sz="4" w:space="0" w:color="auto"/>
            </w:tcBorders>
            <w:shd w:val="clear" w:color="auto" w:fill="auto"/>
            <w:noWrap/>
            <w:vAlign w:val="center"/>
          </w:tcPr>
          <w:p w:rsidR="00416A67" w:rsidRPr="00B81223" w:rsidRDefault="00416A67"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18.5</w:t>
            </w:r>
          </w:p>
        </w:tc>
        <w:tc>
          <w:tcPr>
            <w:tcW w:w="1120" w:type="dxa"/>
            <w:tcBorders>
              <w:top w:val="nil"/>
              <w:left w:val="nil"/>
              <w:bottom w:val="single" w:sz="4" w:space="0" w:color="auto"/>
              <w:right w:val="single" w:sz="4" w:space="0" w:color="auto"/>
            </w:tcBorders>
            <w:shd w:val="clear" w:color="auto" w:fill="auto"/>
            <w:noWrap/>
            <w:vAlign w:val="center"/>
          </w:tcPr>
          <w:p w:rsidR="00416A67" w:rsidRPr="00B81223" w:rsidRDefault="00416A67" w:rsidP="0083715C">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18.5</w:t>
            </w:r>
          </w:p>
        </w:tc>
        <w:tc>
          <w:tcPr>
            <w:tcW w:w="1120" w:type="dxa"/>
            <w:tcBorders>
              <w:top w:val="nil"/>
              <w:left w:val="nil"/>
              <w:bottom w:val="single" w:sz="4" w:space="0" w:color="auto"/>
              <w:right w:val="single" w:sz="4" w:space="0" w:color="auto"/>
            </w:tcBorders>
            <w:shd w:val="clear" w:color="auto" w:fill="auto"/>
            <w:noWrap/>
            <w:vAlign w:val="center"/>
          </w:tcPr>
          <w:p w:rsidR="00416A67" w:rsidRPr="00B81223" w:rsidRDefault="00416A67" w:rsidP="0083715C">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18.5</w:t>
            </w:r>
          </w:p>
        </w:tc>
        <w:tc>
          <w:tcPr>
            <w:tcW w:w="1120" w:type="dxa"/>
            <w:tcBorders>
              <w:top w:val="nil"/>
              <w:left w:val="nil"/>
              <w:bottom w:val="single" w:sz="4" w:space="0" w:color="auto"/>
              <w:right w:val="single" w:sz="4" w:space="0" w:color="auto"/>
            </w:tcBorders>
            <w:shd w:val="clear" w:color="auto" w:fill="auto"/>
            <w:noWrap/>
            <w:vAlign w:val="center"/>
          </w:tcPr>
          <w:p w:rsidR="00416A67" w:rsidRPr="00B81223" w:rsidRDefault="00416A67"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0.0</w:t>
            </w:r>
          </w:p>
        </w:tc>
      </w:tr>
      <w:tr w:rsidR="00B81223" w:rsidRPr="00B81223">
        <w:trPr>
          <w:trHeight w:val="480"/>
        </w:trPr>
        <w:tc>
          <w:tcPr>
            <w:tcW w:w="1660" w:type="dxa"/>
            <w:tcBorders>
              <w:top w:val="nil"/>
              <w:left w:val="single" w:sz="4" w:space="0" w:color="auto"/>
              <w:bottom w:val="single" w:sz="4" w:space="0" w:color="auto"/>
              <w:right w:val="single" w:sz="4" w:space="0" w:color="auto"/>
            </w:tcBorders>
            <w:shd w:val="clear" w:color="auto" w:fill="auto"/>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Use of percentiles</w:t>
            </w:r>
          </w:p>
        </w:tc>
        <w:tc>
          <w:tcPr>
            <w:tcW w:w="1120" w:type="dxa"/>
            <w:tcBorders>
              <w:top w:val="nil"/>
              <w:left w:val="nil"/>
              <w:bottom w:val="single" w:sz="4" w:space="0" w:color="auto"/>
              <w:right w:val="single" w:sz="4" w:space="0" w:color="auto"/>
            </w:tcBorders>
            <w:shd w:val="clear" w:color="auto" w:fill="auto"/>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Median</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18.5</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18.5</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18.5</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0.0</w:t>
            </w:r>
          </w:p>
        </w:tc>
      </w:tr>
      <w:tr w:rsidR="00B81223" w:rsidRPr="00B81223">
        <w:trPr>
          <w:trHeight w:val="225"/>
        </w:trPr>
        <w:tc>
          <w:tcPr>
            <w:tcW w:w="166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r>
      <w:tr w:rsidR="00B81223" w:rsidRPr="00B81223">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tcPr>
          <w:p w:rsidR="00B81223" w:rsidRPr="00B81223" w:rsidRDefault="00B81223" w:rsidP="00B81223">
            <w:pPr>
              <w:rPr>
                <w:rFonts w:ascii="Calibri" w:hAnsi="Calibri" w:cs="Calibri"/>
                <w:color w:val="000000"/>
                <w:sz w:val="16"/>
                <w:szCs w:val="16"/>
                <w:lang w:eastAsia="en-AU"/>
              </w:rPr>
            </w:pPr>
            <w:r w:rsidRPr="00B81223">
              <w:rPr>
                <w:rFonts w:ascii="Calibri" w:hAnsi="Calibri" w:cs="Calibri"/>
                <w:color w:val="000000"/>
                <w:sz w:val="16"/>
                <w:szCs w:val="16"/>
                <w:lang w:eastAsia="en-AU"/>
              </w:rPr>
              <w:t>Year</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2010-11</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2009-10</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2008-09</w:t>
            </w:r>
          </w:p>
        </w:tc>
      </w:tr>
      <w:tr w:rsidR="00B81223" w:rsidRPr="00B81223">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81223" w:rsidRPr="00B81223" w:rsidRDefault="00606932" w:rsidP="00B81223">
            <w:pPr>
              <w:rPr>
                <w:rFonts w:ascii="Calibri" w:hAnsi="Calibri" w:cs="Calibri"/>
                <w:color w:val="000000"/>
                <w:sz w:val="16"/>
                <w:szCs w:val="16"/>
                <w:lang w:eastAsia="en-AU"/>
              </w:rPr>
            </w:pPr>
            <w:r w:rsidRPr="00CB6A7D">
              <w:rPr>
                <w:rFonts w:ascii="Calibri" w:hAnsi="Calibri" w:cs="Calibri"/>
                <w:color w:val="000000"/>
                <w:sz w:val="16"/>
                <w:szCs w:val="16"/>
                <w:lang w:eastAsia="en-AU"/>
              </w:rPr>
              <w:t>Percentage by which the conversion factor over or under estimates the weight of imports</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100%</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6E4AFA">
            <w:pPr>
              <w:rPr>
                <w:rFonts w:ascii="Calibri" w:hAnsi="Calibri" w:cs="Calibri"/>
                <w:color w:val="000000"/>
                <w:sz w:val="16"/>
                <w:szCs w:val="16"/>
                <w:lang w:eastAsia="en-AU"/>
              </w:rPr>
            </w:pP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p>
        </w:tc>
      </w:tr>
    </w:tbl>
    <w:p w:rsidR="001A78F2" w:rsidRDefault="001A78F2">
      <w:pPr>
        <w:rPr>
          <w:szCs w:val="22"/>
        </w:rPr>
      </w:pPr>
    </w:p>
    <w:p w:rsidR="001A78F2" w:rsidRDefault="00416A67">
      <w:pPr>
        <w:rPr>
          <w:szCs w:val="22"/>
        </w:rPr>
      </w:pPr>
      <w:r w:rsidRPr="005A3097">
        <w:rPr>
          <w:b/>
          <w:szCs w:val="22"/>
        </w:rPr>
        <w:t>Distribution:</w:t>
      </w:r>
      <w:r>
        <w:rPr>
          <w:b/>
          <w:szCs w:val="22"/>
        </w:rPr>
        <w:t xml:space="preserve"> </w:t>
      </w:r>
      <w:r>
        <w:rPr>
          <w:szCs w:val="22"/>
        </w:rPr>
        <w:t>One brand reporting one model</w:t>
      </w:r>
    </w:p>
    <w:p w:rsidR="001A78F2" w:rsidRDefault="00416A67">
      <w:pPr>
        <w:rPr>
          <w:szCs w:val="22"/>
        </w:rPr>
      </w:pPr>
      <w:r>
        <w:rPr>
          <w:b/>
          <w:szCs w:val="22"/>
        </w:rPr>
        <w:t xml:space="preserve">Proposed conversion factor: </w:t>
      </w:r>
      <w:r w:rsidRPr="00416A67">
        <w:rPr>
          <w:szCs w:val="22"/>
        </w:rPr>
        <w:t>18.5</w:t>
      </w:r>
      <w:r>
        <w:rPr>
          <w:szCs w:val="22"/>
        </w:rPr>
        <w:t xml:space="preserve"> kg</w:t>
      </w:r>
    </w:p>
    <w:p w:rsidR="001A78F2" w:rsidRDefault="00416A67">
      <w:pPr>
        <w:rPr>
          <w:szCs w:val="22"/>
        </w:rPr>
      </w:pPr>
      <w:r>
        <w:rPr>
          <w:b/>
          <w:szCs w:val="22"/>
        </w:rPr>
        <w:t>Proposed confidence interval</w:t>
      </w:r>
      <w:r w:rsidRPr="00B02F83">
        <w:rPr>
          <w:szCs w:val="22"/>
        </w:rPr>
        <w:t xml:space="preserve">: </w:t>
      </w:r>
      <w:r>
        <w:rPr>
          <w:szCs w:val="22"/>
        </w:rPr>
        <w:t xml:space="preserve"> </w:t>
      </w:r>
      <w:r w:rsidRPr="00D34FC2">
        <w:rPr>
          <w:szCs w:val="22"/>
        </w:rPr>
        <w:t>±</w:t>
      </w:r>
      <w:r w:rsidR="00117A74">
        <w:rPr>
          <w:szCs w:val="22"/>
        </w:rPr>
        <w:t xml:space="preserve"> </w:t>
      </w:r>
      <w:r>
        <w:rPr>
          <w:szCs w:val="22"/>
        </w:rPr>
        <w:t>0</w:t>
      </w:r>
      <w:r w:rsidR="00971F40">
        <w:rPr>
          <w:szCs w:val="22"/>
        </w:rPr>
        <w:t xml:space="preserve"> </w:t>
      </w:r>
      <w:r w:rsidRPr="00740708">
        <w:rPr>
          <w:szCs w:val="22"/>
        </w:rPr>
        <w:t>kg</w:t>
      </w:r>
    </w:p>
    <w:p w:rsidR="001A78F2" w:rsidRDefault="00C62346">
      <w:pPr>
        <w:rPr>
          <w:szCs w:val="22"/>
        </w:rPr>
      </w:pPr>
      <w:r>
        <w:rPr>
          <w:b/>
          <w:szCs w:val="22"/>
        </w:rPr>
        <w:t xml:space="preserve">Variation over time: </w:t>
      </w:r>
      <w:r w:rsidR="006E4AFA">
        <w:rPr>
          <w:szCs w:val="22"/>
        </w:rPr>
        <w:t>Unknown</w:t>
      </w:r>
    </w:p>
    <w:p w:rsidR="001A78F2" w:rsidRDefault="001A78F2">
      <w:pPr>
        <w:rPr>
          <w:szCs w:val="22"/>
        </w:rPr>
      </w:pPr>
    </w:p>
    <w:p w:rsidR="001A78F2" w:rsidRDefault="001A78F2">
      <w:pPr>
        <w:rPr>
          <w:szCs w:val="22"/>
        </w:rPr>
      </w:pPr>
    </w:p>
    <w:p w:rsidR="001A78F2" w:rsidRDefault="001A78F2">
      <w:pPr>
        <w:rPr>
          <w:szCs w:val="22"/>
        </w:rPr>
      </w:pPr>
    </w:p>
    <w:p w:rsidR="001A78F2" w:rsidRDefault="001A78F2">
      <w:pPr>
        <w:rPr>
          <w:szCs w:val="22"/>
        </w:rPr>
      </w:pPr>
    </w:p>
    <w:p w:rsidR="000C2BC0" w:rsidRDefault="000C2BC0" w:rsidP="000941E0">
      <w:pPr>
        <w:jc w:val="both"/>
        <w:rPr>
          <w:szCs w:val="22"/>
        </w:rPr>
      </w:pPr>
    </w:p>
    <w:p w:rsidR="000C2BC0" w:rsidRDefault="000C2BC0" w:rsidP="000941E0">
      <w:pPr>
        <w:jc w:val="both"/>
        <w:rPr>
          <w:szCs w:val="22"/>
        </w:rPr>
      </w:pPr>
    </w:p>
    <w:p w:rsidR="00AF06F4" w:rsidRDefault="00AF06F4">
      <w:pPr>
        <w:rPr>
          <w:rFonts w:ascii="Arial" w:hAnsi="Arial" w:cs="Arial"/>
          <w:b/>
          <w:bCs/>
          <w:color w:val="000000"/>
          <w:szCs w:val="22"/>
          <w:lang w:eastAsia="en-AU"/>
        </w:rPr>
      </w:pPr>
      <w:r>
        <w:rPr>
          <w:rFonts w:ascii="Arial" w:hAnsi="Arial" w:cs="Arial"/>
          <w:b/>
          <w:bCs/>
          <w:color w:val="000000"/>
          <w:szCs w:val="22"/>
          <w:lang w:eastAsia="en-AU"/>
        </w:rPr>
        <w:br w:type="page"/>
      </w:r>
    </w:p>
    <w:p w:rsidR="000C2BC0" w:rsidRDefault="006E4AFA" w:rsidP="000941E0">
      <w:pPr>
        <w:jc w:val="both"/>
        <w:rPr>
          <w:szCs w:val="22"/>
        </w:rPr>
      </w:pPr>
      <w:r w:rsidRPr="00B81223">
        <w:rPr>
          <w:rFonts w:ascii="Arial" w:hAnsi="Arial" w:cs="Arial"/>
          <w:b/>
          <w:bCs/>
          <w:color w:val="000000"/>
          <w:szCs w:val="22"/>
          <w:lang w:eastAsia="en-AU"/>
        </w:rPr>
        <w:t xml:space="preserve">SC07 8528.72.00 11 - Clr TVs: </w:t>
      </w:r>
      <w:r w:rsidR="00D73340">
        <w:rPr>
          <w:rFonts w:ascii="Arial" w:hAnsi="Arial" w:cs="Arial"/>
          <w:b/>
          <w:bCs/>
          <w:color w:val="000000"/>
          <w:szCs w:val="22"/>
          <w:lang w:eastAsia="en-AU"/>
        </w:rPr>
        <w:t>Analogue</w:t>
      </w:r>
      <w:r>
        <w:rPr>
          <w:rFonts w:ascii="Arial" w:hAnsi="Arial" w:cs="Arial"/>
          <w:b/>
          <w:bCs/>
          <w:color w:val="000000"/>
          <w:szCs w:val="22"/>
          <w:lang w:eastAsia="en-AU"/>
        </w:rPr>
        <w:t xml:space="preserve"> </w:t>
      </w:r>
      <w:r w:rsidRPr="00B81223">
        <w:rPr>
          <w:rFonts w:ascii="Arial" w:hAnsi="Arial" w:cs="Arial"/>
          <w:b/>
          <w:bCs/>
          <w:color w:val="000000"/>
          <w:szCs w:val="22"/>
          <w:lang w:eastAsia="en-AU"/>
        </w:rPr>
        <w:t>Plasma 80cm+</w:t>
      </w:r>
    </w:p>
    <w:p w:rsidR="00BC4FED" w:rsidRDefault="00BC4FED" w:rsidP="00BC4FED">
      <w:pPr>
        <w:pStyle w:val="Caption"/>
        <w:keepNext/>
      </w:pPr>
    </w:p>
    <w:p w:rsidR="000C2BC0" w:rsidRPr="00BC4FED" w:rsidRDefault="002652C5" w:rsidP="00BC4FED">
      <w:pPr>
        <w:pStyle w:val="Caption"/>
        <w:keepNext/>
      </w:pPr>
      <w:r>
        <w:t xml:space="preserve">Figure 5-50     </w:t>
      </w:r>
      <w:r w:rsidR="00AC1355">
        <w:t>HTISC frequency distribution in CF year</w:t>
      </w:r>
    </w:p>
    <w:p w:rsidR="000C2BC0" w:rsidRDefault="00AF06F4" w:rsidP="000941E0">
      <w:pPr>
        <w:jc w:val="both"/>
        <w:rPr>
          <w:szCs w:val="22"/>
        </w:rPr>
      </w:pPr>
      <w:r w:rsidRPr="00AF06F4">
        <w:rPr>
          <w:noProof/>
          <w:szCs w:val="22"/>
          <w:lang w:eastAsia="en-AU"/>
        </w:rPr>
        <w:drawing>
          <wp:inline distT="0" distB="0" distL="0" distR="0">
            <wp:extent cx="4889500" cy="2984500"/>
            <wp:effectExtent l="19050" t="0" r="25400" b="6350"/>
            <wp:docPr id="1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0C2BC0" w:rsidRDefault="000C2BC0" w:rsidP="000941E0">
      <w:pPr>
        <w:jc w:val="both"/>
        <w:rPr>
          <w:szCs w:val="22"/>
        </w:rPr>
      </w:pPr>
    </w:p>
    <w:p w:rsidR="000C2BC0" w:rsidRDefault="000C2BC0" w:rsidP="000941E0">
      <w:pPr>
        <w:jc w:val="both"/>
        <w:rPr>
          <w:szCs w:val="22"/>
        </w:rPr>
      </w:pPr>
    </w:p>
    <w:p w:rsidR="00B81223" w:rsidRPr="00D73340" w:rsidRDefault="00207129" w:rsidP="00D73340">
      <w:pPr>
        <w:pStyle w:val="Caption"/>
      </w:pPr>
      <w:r>
        <w:t xml:space="preserve">Table 5-39 </w:t>
      </w:r>
      <w:r w:rsidR="00D73340">
        <w:t xml:space="preserve"> Conversion factor statistics</w:t>
      </w:r>
    </w:p>
    <w:tbl>
      <w:tblPr>
        <w:tblW w:w="7260" w:type="dxa"/>
        <w:tblInd w:w="93" w:type="dxa"/>
        <w:tblLook w:val="04A0"/>
      </w:tblPr>
      <w:tblGrid>
        <w:gridCol w:w="1660"/>
        <w:gridCol w:w="1120"/>
        <w:gridCol w:w="1120"/>
        <w:gridCol w:w="1120"/>
        <w:gridCol w:w="1120"/>
        <w:gridCol w:w="1120"/>
      </w:tblGrid>
      <w:tr w:rsidR="00B81223" w:rsidRPr="00B81223">
        <w:trPr>
          <w:trHeight w:val="450"/>
        </w:trPr>
        <w:tc>
          <w:tcPr>
            <w:tcW w:w="1660" w:type="dxa"/>
            <w:tcBorders>
              <w:top w:val="single" w:sz="4" w:space="0" w:color="auto"/>
              <w:left w:val="single" w:sz="4" w:space="0" w:color="auto"/>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CF year</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No. of ABS imports</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 ABS imports included</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Min weight</w:t>
            </w:r>
            <w:r w:rsidRPr="00B81223">
              <w:rPr>
                <w:rFonts w:ascii="Calibri" w:hAnsi="Calibri" w:cs="Calibri"/>
                <w:color w:val="000000"/>
                <w:sz w:val="16"/>
                <w:szCs w:val="16"/>
                <w:lang w:eastAsia="en-AU"/>
              </w:rPr>
              <w:br/>
              <w:t>(kg)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Max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Standard deviation</w:t>
            </w:r>
          </w:p>
        </w:tc>
      </w:tr>
      <w:tr w:rsidR="00B81223" w:rsidRPr="00B81223">
        <w:trPr>
          <w:trHeight w:val="225"/>
        </w:trPr>
        <w:tc>
          <w:tcPr>
            <w:tcW w:w="1660" w:type="dxa"/>
            <w:tcBorders>
              <w:top w:val="nil"/>
              <w:left w:val="single" w:sz="4" w:space="0" w:color="auto"/>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2010-11</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9,192</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1891%</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6E4AFA" w:rsidP="00B81223">
            <w:pPr>
              <w:jc w:val="center"/>
              <w:rPr>
                <w:rFonts w:ascii="Calibri" w:hAnsi="Calibri" w:cs="Calibri"/>
                <w:color w:val="000000"/>
                <w:sz w:val="16"/>
                <w:szCs w:val="16"/>
                <w:lang w:eastAsia="en-AU"/>
              </w:rPr>
            </w:pPr>
            <w:r>
              <w:rPr>
                <w:rFonts w:ascii="Calibri" w:hAnsi="Calibri" w:cs="Calibri"/>
                <w:color w:val="000000"/>
                <w:sz w:val="16"/>
                <w:szCs w:val="16"/>
                <w:lang w:eastAsia="en-AU"/>
              </w:rPr>
              <w:t>21.6</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6E4AFA" w:rsidP="00B81223">
            <w:pPr>
              <w:jc w:val="center"/>
              <w:rPr>
                <w:rFonts w:ascii="Calibri" w:hAnsi="Calibri" w:cs="Calibri"/>
                <w:color w:val="000000"/>
                <w:sz w:val="16"/>
                <w:szCs w:val="16"/>
                <w:lang w:eastAsia="en-AU"/>
              </w:rPr>
            </w:pPr>
            <w:r>
              <w:rPr>
                <w:rFonts w:ascii="Calibri" w:hAnsi="Calibri" w:cs="Calibri"/>
                <w:color w:val="000000"/>
                <w:sz w:val="16"/>
                <w:szCs w:val="16"/>
                <w:lang w:eastAsia="en-AU"/>
              </w:rPr>
              <w:t>53.0</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1.2</w:t>
            </w:r>
          </w:p>
        </w:tc>
      </w:tr>
      <w:tr w:rsidR="00B81223" w:rsidRPr="00B81223">
        <w:trPr>
          <w:trHeight w:val="225"/>
        </w:trPr>
        <w:tc>
          <w:tcPr>
            <w:tcW w:w="166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r>
      <w:tr w:rsidR="00B81223" w:rsidRPr="00B81223">
        <w:trPr>
          <w:trHeight w:val="450"/>
        </w:trPr>
        <w:tc>
          <w:tcPr>
            <w:tcW w:w="1660" w:type="dxa"/>
            <w:tcBorders>
              <w:top w:val="single" w:sz="4" w:space="0" w:color="auto"/>
              <w:left w:val="single" w:sz="4" w:space="0" w:color="auto"/>
              <w:bottom w:val="nil"/>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Method</w:t>
            </w:r>
          </w:p>
        </w:tc>
        <w:tc>
          <w:tcPr>
            <w:tcW w:w="1120" w:type="dxa"/>
            <w:tcBorders>
              <w:top w:val="single" w:sz="4" w:space="0" w:color="auto"/>
              <w:left w:val="nil"/>
              <w:bottom w:val="nil"/>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Measure of average</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Average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Lower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Upper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Confidence interval ± (kg)</w:t>
            </w:r>
          </w:p>
        </w:tc>
      </w:tr>
      <w:tr w:rsidR="00B81223" w:rsidRPr="00B81223">
        <w:trPr>
          <w:trHeight w:val="48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Approximation to the normal distribution</w:t>
            </w:r>
          </w:p>
        </w:tc>
        <w:tc>
          <w:tcPr>
            <w:tcW w:w="1120" w:type="dxa"/>
            <w:tcBorders>
              <w:top w:val="single" w:sz="4" w:space="0" w:color="auto"/>
              <w:left w:val="nil"/>
              <w:bottom w:val="single" w:sz="4" w:space="0" w:color="auto"/>
              <w:right w:val="single" w:sz="4" w:space="0" w:color="auto"/>
            </w:tcBorders>
            <w:shd w:val="clear" w:color="auto" w:fill="auto"/>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Mean</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30.2</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27.9</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32.5</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2.3</w:t>
            </w:r>
          </w:p>
        </w:tc>
      </w:tr>
      <w:tr w:rsidR="00B81223" w:rsidRPr="00B81223">
        <w:trPr>
          <w:trHeight w:val="480"/>
        </w:trPr>
        <w:tc>
          <w:tcPr>
            <w:tcW w:w="1660" w:type="dxa"/>
            <w:tcBorders>
              <w:top w:val="nil"/>
              <w:left w:val="single" w:sz="4" w:space="0" w:color="auto"/>
              <w:bottom w:val="single" w:sz="4" w:space="0" w:color="auto"/>
              <w:right w:val="single" w:sz="4" w:space="0" w:color="auto"/>
            </w:tcBorders>
            <w:shd w:val="clear" w:color="auto" w:fill="auto"/>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Use of percentiles</w:t>
            </w:r>
          </w:p>
        </w:tc>
        <w:tc>
          <w:tcPr>
            <w:tcW w:w="1120" w:type="dxa"/>
            <w:tcBorders>
              <w:top w:val="nil"/>
              <w:left w:val="nil"/>
              <w:bottom w:val="single" w:sz="4" w:space="0" w:color="auto"/>
              <w:right w:val="single" w:sz="4" w:space="0" w:color="auto"/>
            </w:tcBorders>
            <w:shd w:val="clear" w:color="auto" w:fill="auto"/>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Median</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30.0</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20.3</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47.8</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17.8</w:t>
            </w:r>
          </w:p>
        </w:tc>
      </w:tr>
      <w:tr w:rsidR="00B81223" w:rsidRPr="00B81223">
        <w:trPr>
          <w:trHeight w:val="225"/>
        </w:trPr>
        <w:tc>
          <w:tcPr>
            <w:tcW w:w="166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r>
      <w:tr w:rsidR="00B81223" w:rsidRPr="00B81223">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tcPr>
          <w:p w:rsidR="00B81223" w:rsidRPr="00B81223" w:rsidRDefault="00B81223" w:rsidP="00B81223">
            <w:pPr>
              <w:rPr>
                <w:rFonts w:ascii="Calibri" w:hAnsi="Calibri" w:cs="Calibri"/>
                <w:color w:val="000000"/>
                <w:sz w:val="16"/>
                <w:szCs w:val="16"/>
                <w:lang w:eastAsia="en-AU"/>
              </w:rPr>
            </w:pPr>
            <w:r w:rsidRPr="00B81223">
              <w:rPr>
                <w:rFonts w:ascii="Calibri" w:hAnsi="Calibri" w:cs="Calibri"/>
                <w:color w:val="000000"/>
                <w:sz w:val="16"/>
                <w:szCs w:val="16"/>
                <w:lang w:eastAsia="en-AU"/>
              </w:rPr>
              <w:t>Year</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2010-11</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2009-10</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2008-09</w:t>
            </w:r>
          </w:p>
        </w:tc>
      </w:tr>
      <w:tr w:rsidR="006E4AFA" w:rsidRPr="00B81223">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E4AFA" w:rsidRPr="00B81223" w:rsidRDefault="006E4AFA" w:rsidP="00B81223">
            <w:pPr>
              <w:rPr>
                <w:rFonts w:ascii="Calibri" w:hAnsi="Calibri" w:cs="Calibri"/>
                <w:color w:val="000000"/>
                <w:sz w:val="16"/>
                <w:szCs w:val="16"/>
                <w:lang w:eastAsia="en-AU"/>
              </w:rPr>
            </w:pPr>
            <w:r w:rsidRPr="00CB6A7D">
              <w:rPr>
                <w:rFonts w:ascii="Calibri" w:hAnsi="Calibri" w:cs="Calibri"/>
                <w:color w:val="000000"/>
                <w:sz w:val="16"/>
                <w:szCs w:val="16"/>
                <w:lang w:eastAsia="en-AU"/>
              </w:rPr>
              <w:t>Percentage by which the conversion factor over or under estimates the weight of imports</w:t>
            </w:r>
          </w:p>
        </w:tc>
        <w:tc>
          <w:tcPr>
            <w:tcW w:w="1120" w:type="dxa"/>
            <w:tcBorders>
              <w:top w:val="nil"/>
              <w:left w:val="nil"/>
              <w:bottom w:val="single" w:sz="4" w:space="0" w:color="auto"/>
              <w:right w:val="single" w:sz="4" w:space="0" w:color="auto"/>
            </w:tcBorders>
            <w:shd w:val="clear" w:color="auto" w:fill="auto"/>
            <w:noWrap/>
            <w:vAlign w:val="center"/>
          </w:tcPr>
          <w:p w:rsidR="006E4AFA" w:rsidRDefault="006E4AFA">
            <w:pPr>
              <w:jc w:val="center"/>
              <w:rPr>
                <w:rFonts w:ascii="Calibri" w:hAnsi="Calibri" w:cs="Calibri"/>
                <w:color w:val="000000"/>
                <w:sz w:val="16"/>
                <w:szCs w:val="16"/>
              </w:rPr>
            </w:pPr>
            <w:r>
              <w:rPr>
                <w:rFonts w:ascii="Calibri" w:hAnsi="Calibri" w:cs="Calibri"/>
                <w:color w:val="000000"/>
                <w:sz w:val="16"/>
                <w:szCs w:val="16"/>
              </w:rPr>
              <w:t>0%</w:t>
            </w:r>
          </w:p>
        </w:tc>
        <w:tc>
          <w:tcPr>
            <w:tcW w:w="1120" w:type="dxa"/>
            <w:tcBorders>
              <w:top w:val="nil"/>
              <w:left w:val="nil"/>
              <w:bottom w:val="single" w:sz="4" w:space="0" w:color="auto"/>
              <w:right w:val="single" w:sz="4" w:space="0" w:color="auto"/>
            </w:tcBorders>
            <w:shd w:val="clear" w:color="auto" w:fill="auto"/>
            <w:noWrap/>
            <w:vAlign w:val="center"/>
          </w:tcPr>
          <w:p w:rsidR="006E4AFA" w:rsidRDefault="006E4AFA">
            <w:pPr>
              <w:jc w:val="center"/>
              <w:rPr>
                <w:rFonts w:ascii="Calibri" w:hAnsi="Calibri" w:cs="Calibri"/>
                <w:color w:val="000000"/>
                <w:sz w:val="16"/>
                <w:szCs w:val="16"/>
              </w:rPr>
            </w:pPr>
            <w:r>
              <w:rPr>
                <w:rFonts w:ascii="Calibri" w:hAnsi="Calibri" w:cs="Calibri"/>
                <w:color w:val="000000"/>
                <w:sz w:val="16"/>
                <w:szCs w:val="16"/>
              </w:rPr>
              <w:t>-3%</w:t>
            </w:r>
          </w:p>
        </w:tc>
        <w:tc>
          <w:tcPr>
            <w:tcW w:w="1120" w:type="dxa"/>
            <w:tcBorders>
              <w:top w:val="nil"/>
              <w:left w:val="nil"/>
              <w:bottom w:val="single" w:sz="4" w:space="0" w:color="auto"/>
              <w:right w:val="single" w:sz="4" w:space="0" w:color="auto"/>
            </w:tcBorders>
            <w:shd w:val="clear" w:color="auto" w:fill="auto"/>
            <w:noWrap/>
            <w:vAlign w:val="center"/>
          </w:tcPr>
          <w:p w:rsidR="006E4AFA" w:rsidRDefault="006E4AFA">
            <w:pPr>
              <w:jc w:val="center"/>
              <w:rPr>
                <w:rFonts w:ascii="Calibri" w:hAnsi="Calibri" w:cs="Calibri"/>
                <w:color w:val="000000"/>
                <w:sz w:val="16"/>
                <w:szCs w:val="16"/>
              </w:rPr>
            </w:pPr>
            <w:r>
              <w:rPr>
                <w:rFonts w:ascii="Calibri" w:hAnsi="Calibri" w:cs="Calibri"/>
                <w:color w:val="000000"/>
                <w:sz w:val="16"/>
                <w:szCs w:val="16"/>
              </w:rPr>
              <w:t>-10%</w:t>
            </w:r>
          </w:p>
        </w:tc>
      </w:tr>
    </w:tbl>
    <w:p w:rsidR="001A78F2" w:rsidRDefault="001A78F2">
      <w:pPr>
        <w:rPr>
          <w:szCs w:val="22"/>
        </w:rPr>
      </w:pPr>
    </w:p>
    <w:p w:rsidR="001A78F2" w:rsidRDefault="001A78F2">
      <w:pPr>
        <w:rPr>
          <w:szCs w:val="22"/>
        </w:rPr>
      </w:pPr>
    </w:p>
    <w:p w:rsidR="001A78F2" w:rsidRDefault="000C2BC0">
      <w:pPr>
        <w:rPr>
          <w:szCs w:val="22"/>
        </w:rPr>
      </w:pPr>
      <w:r w:rsidRPr="005A3097">
        <w:rPr>
          <w:b/>
          <w:szCs w:val="22"/>
        </w:rPr>
        <w:t>Distribution:</w:t>
      </w:r>
      <w:r>
        <w:rPr>
          <w:b/>
          <w:szCs w:val="22"/>
        </w:rPr>
        <w:t xml:space="preserve"> </w:t>
      </w:r>
      <w:r>
        <w:rPr>
          <w:szCs w:val="22"/>
        </w:rPr>
        <w:t xml:space="preserve">All imports between </w:t>
      </w:r>
      <w:r w:rsidR="000650C4">
        <w:rPr>
          <w:szCs w:val="22"/>
        </w:rPr>
        <w:t>20</w:t>
      </w:r>
      <w:r>
        <w:rPr>
          <w:szCs w:val="22"/>
        </w:rPr>
        <w:t>-5</w:t>
      </w:r>
      <w:r w:rsidR="000650C4">
        <w:rPr>
          <w:szCs w:val="22"/>
        </w:rPr>
        <w:t>5</w:t>
      </w:r>
      <w:r>
        <w:rPr>
          <w:szCs w:val="22"/>
        </w:rPr>
        <w:t xml:space="preserve"> kg with a peak at </w:t>
      </w:r>
      <w:r w:rsidR="000650C4">
        <w:rPr>
          <w:szCs w:val="22"/>
        </w:rPr>
        <w:t>25</w:t>
      </w:r>
      <w:r>
        <w:rPr>
          <w:szCs w:val="22"/>
        </w:rPr>
        <w:t>-</w:t>
      </w:r>
      <w:r w:rsidR="000650C4">
        <w:rPr>
          <w:szCs w:val="22"/>
        </w:rPr>
        <w:t>3</w:t>
      </w:r>
      <w:r>
        <w:rPr>
          <w:szCs w:val="22"/>
        </w:rPr>
        <w:t>0 kg</w:t>
      </w:r>
    </w:p>
    <w:p w:rsidR="001A78F2" w:rsidRDefault="000C2BC0">
      <w:pPr>
        <w:rPr>
          <w:szCs w:val="22"/>
        </w:rPr>
      </w:pPr>
      <w:r>
        <w:rPr>
          <w:b/>
          <w:szCs w:val="22"/>
        </w:rPr>
        <w:t>Proposed conversion factor</w:t>
      </w:r>
      <w:r w:rsidRPr="00416A67">
        <w:rPr>
          <w:szCs w:val="22"/>
        </w:rPr>
        <w:t xml:space="preserve">: </w:t>
      </w:r>
      <w:r w:rsidR="000650C4">
        <w:rPr>
          <w:szCs w:val="22"/>
        </w:rPr>
        <w:t>30.2</w:t>
      </w:r>
      <w:r>
        <w:rPr>
          <w:rFonts w:ascii="Calibri" w:hAnsi="Calibri" w:cs="Calibri"/>
          <w:color w:val="000000"/>
          <w:sz w:val="16"/>
          <w:szCs w:val="16"/>
          <w:lang w:eastAsia="en-AU"/>
        </w:rPr>
        <w:t xml:space="preserve"> </w:t>
      </w:r>
      <w:r>
        <w:rPr>
          <w:szCs w:val="22"/>
        </w:rPr>
        <w:t>kg</w:t>
      </w:r>
    </w:p>
    <w:p w:rsidR="001A78F2" w:rsidRDefault="000C2BC0">
      <w:pPr>
        <w:rPr>
          <w:szCs w:val="22"/>
        </w:rPr>
      </w:pPr>
      <w:r>
        <w:rPr>
          <w:b/>
          <w:szCs w:val="22"/>
        </w:rPr>
        <w:t>Proposed confidence interval</w:t>
      </w:r>
      <w:r w:rsidRPr="00B02F83">
        <w:rPr>
          <w:szCs w:val="22"/>
        </w:rPr>
        <w:t xml:space="preserve">: </w:t>
      </w:r>
      <w:r>
        <w:rPr>
          <w:szCs w:val="22"/>
        </w:rPr>
        <w:t xml:space="preserve"> &gt; </w:t>
      </w:r>
      <w:r w:rsidR="000650C4">
        <w:rPr>
          <w:szCs w:val="22"/>
        </w:rPr>
        <w:t>20.3</w:t>
      </w:r>
      <w:r>
        <w:rPr>
          <w:szCs w:val="22"/>
        </w:rPr>
        <w:t xml:space="preserve"> kg, &lt;</w:t>
      </w:r>
      <w:r w:rsidR="000650C4">
        <w:rPr>
          <w:szCs w:val="22"/>
        </w:rPr>
        <w:t>47.8</w:t>
      </w:r>
      <w:r>
        <w:rPr>
          <w:szCs w:val="22"/>
        </w:rPr>
        <w:t xml:space="preserve"> kg</w:t>
      </w:r>
    </w:p>
    <w:p w:rsidR="001A78F2" w:rsidRDefault="00C62346">
      <w:pPr>
        <w:rPr>
          <w:szCs w:val="22"/>
        </w:rPr>
      </w:pPr>
      <w:r>
        <w:rPr>
          <w:b/>
          <w:szCs w:val="22"/>
        </w:rPr>
        <w:t xml:space="preserve">Variation over time: </w:t>
      </w:r>
      <w:r w:rsidR="000C2BC0">
        <w:rPr>
          <w:szCs w:val="22"/>
        </w:rPr>
        <w:t>Low</w:t>
      </w:r>
    </w:p>
    <w:p w:rsidR="001A78F2" w:rsidRDefault="001A78F2">
      <w:pPr>
        <w:rPr>
          <w:szCs w:val="22"/>
        </w:rPr>
      </w:pPr>
    </w:p>
    <w:p w:rsidR="001A78F2" w:rsidRDefault="001A78F2">
      <w:pPr>
        <w:rPr>
          <w:szCs w:val="22"/>
        </w:rPr>
      </w:pPr>
    </w:p>
    <w:p w:rsidR="001A78F2" w:rsidRDefault="001A78F2">
      <w:pPr>
        <w:rPr>
          <w:szCs w:val="22"/>
        </w:rPr>
      </w:pPr>
    </w:p>
    <w:p w:rsidR="00AF06F4" w:rsidRDefault="00AF06F4">
      <w:pPr>
        <w:rPr>
          <w:rFonts w:ascii="Arial" w:hAnsi="Arial" w:cs="Arial"/>
          <w:b/>
          <w:bCs/>
          <w:color w:val="000000"/>
          <w:szCs w:val="22"/>
          <w:lang w:eastAsia="en-AU"/>
        </w:rPr>
      </w:pPr>
      <w:r>
        <w:rPr>
          <w:rFonts w:ascii="Arial" w:hAnsi="Arial" w:cs="Arial"/>
          <w:b/>
          <w:bCs/>
          <w:color w:val="000000"/>
          <w:szCs w:val="22"/>
          <w:lang w:eastAsia="en-AU"/>
        </w:rPr>
        <w:br w:type="page"/>
      </w:r>
    </w:p>
    <w:p w:rsidR="006E4AFA" w:rsidRDefault="006E4AFA">
      <w:pPr>
        <w:rPr>
          <w:rFonts w:ascii="Arial" w:hAnsi="Arial" w:cs="Arial"/>
          <w:b/>
          <w:bCs/>
          <w:color w:val="000000"/>
          <w:szCs w:val="22"/>
          <w:lang w:eastAsia="en-AU"/>
        </w:rPr>
      </w:pPr>
      <w:r w:rsidRPr="00B81223">
        <w:rPr>
          <w:rFonts w:ascii="Arial" w:hAnsi="Arial" w:cs="Arial"/>
          <w:b/>
          <w:bCs/>
          <w:color w:val="000000"/>
          <w:szCs w:val="22"/>
          <w:lang w:eastAsia="en-AU"/>
        </w:rPr>
        <w:t>SC07 8528.72.00 51 - Clr TVs:</w:t>
      </w:r>
      <w:r>
        <w:rPr>
          <w:rFonts w:ascii="Arial" w:hAnsi="Arial" w:cs="Arial"/>
          <w:b/>
          <w:bCs/>
          <w:color w:val="000000"/>
          <w:szCs w:val="22"/>
          <w:lang w:eastAsia="en-AU"/>
        </w:rPr>
        <w:t xml:space="preserve"> Digital </w:t>
      </w:r>
      <w:r w:rsidRPr="00B81223">
        <w:rPr>
          <w:rFonts w:ascii="Arial" w:hAnsi="Arial" w:cs="Arial"/>
          <w:b/>
          <w:bCs/>
          <w:color w:val="000000"/>
          <w:szCs w:val="22"/>
          <w:lang w:eastAsia="en-AU"/>
        </w:rPr>
        <w:t>Plasma 80cm+</w:t>
      </w:r>
    </w:p>
    <w:p w:rsidR="00BC4FED" w:rsidRDefault="00BC4FED" w:rsidP="00BC4FED">
      <w:pPr>
        <w:pStyle w:val="Caption"/>
        <w:keepNext/>
      </w:pPr>
    </w:p>
    <w:p w:rsidR="001A78F2" w:rsidRPr="00BC4FED" w:rsidRDefault="002652C5" w:rsidP="00BC4FED">
      <w:pPr>
        <w:pStyle w:val="Caption"/>
        <w:keepNext/>
      </w:pPr>
      <w:r>
        <w:t xml:space="preserve">Figure 5-51     </w:t>
      </w:r>
      <w:r w:rsidR="00AC1355">
        <w:t>HTISC frequency distribution in CF year</w:t>
      </w:r>
    </w:p>
    <w:p w:rsidR="00AF06F4" w:rsidRDefault="00AF06F4">
      <w:pPr>
        <w:rPr>
          <w:szCs w:val="22"/>
        </w:rPr>
      </w:pPr>
      <w:r w:rsidRPr="00AF06F4">
        <w:rPr>
          <w:noProof/>
          <w:szCs w:val="22"/>
          <w:lang w:eastAsia="en-AU"/>
        </w:rPr>
        <w:drawing>
          <wp:inline distT="0" distB="0" distL="0" distR="0">
            <wp:extent cx="4889500" cy="2984500"/>
            <wp:effectExtent l="19050" t="0" r="25400" b="6350"/>
            <wp:docPr id="2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AF06F4" w:rsidRDefault="00AF06F4">
      <w:pPr>
        <w:rPr>
          <w:szCs w:val="22"/>
        </w:rPr>
      </w:pPr>
    </w:p>
    <w:p w:rsidR="00D73340" w:rsidRDefault="00D73340">
      <w:pPr>
        <w:rPr>
          <w:szCs w:val="22"/>
        </w:rPr>
      </w:pPr>
    </w:p>
    <w:p w:rsidR="00D73340" w:rsidRPr="00D73340" w:rsidRDefault="00207129" w:rsidP="00D73340">
      <w:pPr>
        <w:pStyle w:val="Caption"/>
      </w:pPr>
      <w:r>
        <w:t xml:space="preserve">Table 5-40  </w:t>
      </w:r>
      <w:r w:rsidR="00D73340">
        <w:t>Conversion factor statistics</w:t>
      </w:r>
    </w:p>
    <w:tbl>
      <w:tblPr>
        <w:tblW w:w="7260" w:type="dxa"/>
        <w:tblInd w:w="93" w:type="dxa"/>
        <w:tblLook w:val="04A0"/>
      </w:tblPr>
      <w:tblGrid>
        <w:gridCol w:w="1660"/>
        <w:gridCol w:w="1120"/>
        <w:gridCol w:w="1120"/>
        <w:gridCol w:w="1120"/>
        <w:gridCol w:w="1120"/>
        <w:gridCol w:w="1120"/>
      </w:tblGrid>
      <w:tr w:rsidR="00B81223" w:rsidRPr="00B81223">
        <w:trPr>
          <w:trHeight w:val="450"/>
        </w:trPr>
        <w:tc>
          <w:tcPr>
            <w:tcW w:w="1660" w:type="dxa"/>
            <w:tcBorders>
              <w:top w:val="single" w:sz="4" w:space="0" w:color="auto"/>
              <w:left w:val="single" w:sz="4" w:space="0" w:color="auto"/>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CF year</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No. of ABS imports</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 ABS imports included</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Min weight</w:t>
            </w:r>
            <w:r w:rsidRPr="00B81223">
              <w:rPr>
                <w:rFonts w:ascii="Calibri" w:hAnsi="Calibri" w:cs="Calibri"/>
                <w:color w:val="000000"/>
                <w:sz w:val="16"/>
                <w:szCs w:val="16"/>
                <w:lang w:eastAsia="en-AU"/>
              </w:rPr>
              <w:br/>
              <w:t>(kg)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Max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Standard deviation</w:t>
            </w:r>
          </w:p>
        </w:tc>
      </w:tr>
      <w:tr w:rsidR="00B81223" w:rsidRPr="00B81223">
        <w:trPr>
          <w:trHeight w:val="225"/>
        </w:trPr>
        <w:tc>
          <w:tcPr>
            <w:tcW w:w="1660" w:type="dxa"/>
            <w:tcBorders>
              <w:top w:val="nil"/>
              <w:left w:val="single" w:sz="4" w:space="0" w:color="auto"/>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2010-11</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612,171</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45%</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23.5</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6E4AFA" w:rsidP="00B81223">
            <w:pPr>
              <w:jc w:val="center"/>
              <w:rPr>
                <w:rFonts w:ascii="Calibri" w:hAnsi="Calibri" w:cs="Calibri"/>
                <w:color w:val="000000"/>
                <w:sz w:val="16"/>
                <w:szCs w:val="16"/>
                <w:lang w:eastAsia="en-AU"/>
              </w:rPr>
            </w:pPr>
            <w:r>
              <w:rPr>
                <w:rFonts w:ascii="Calibri" w:hAnsi="Calibri" w:cs="Calibri"/>
                <w:color w:val="000000"/>
                <w:sz w:val="16"/>
                <w:szCs w:val="16"/>
                <w:lang w:eastAsia="en-AU"/>
              </w:rPr>
              <w:t>58.3</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3.4</w:t>
            </w:r>
          </w:p>
        </w:tc>
      </w:tr>
      <w:tr w:rsidR="00B81223" w:rsidRPr="00B81223">
        <w:trPr>
          <w:trHeight w:val="225"/>
        </w:trPr>
        <w:tc>
          <w:tcPr>
            <w:tcW w:w="166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r>
      <w:tr w:rsidR="00B81223" w:rsidRPr="00B81223">
        <w:trPr>
          <w:trHeight w:val="450"/>
        </w:trPr>
        <w:tc>
          <w:tcPr>
            <w:tcW w:w="1660" w:type="dxa"/>
            <w:tcBorders>
              <w:top w:val="single" w:sz="4" w:space="0" w:color="auto"/>
              <w:left w:val="single" w:sz="4" w:space="0" w:color="auto"/>
              <w:bottom w:val="nil"/>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Method</w:t>
            </w:r>
          </w:p>
        </w:tc>
        <w:tc>
          <w:tcPr>
            <w:tcW w:w="1120" w:type="dxa"/>
            <w:tcBorders>
              <w:top w:val="single" w:sz="4" w:space="0" w:color="auto"/>
              <w:left w:val="nil"/>
              <w:bottom w:val="nil"/>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Measure of average</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Average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Lower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Upper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Confidence interval ± (kg)</w:t>
            </w:r>
          </w:p>
        </w:tc>
      </w:tr>
      <w:tr w:rsidR="00B81223" w:rsidRPr="00B81223">
        <w:trPr>
          <w:trHeight w:val="48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Approximation to the normal distribution</w:t>
            </w:r>
          </w:p>
        </w:tc>
        <w:tc>
          <w:tcPr>
            <w:tcW w:w="1120" w:type="dxa"/>
            <w:tcBorders>
              <w:top w:val="single" w:sz="4" w:space="0" w:color="auto"/>
              <w:left w:val="nil"/>
              <w:bottom w:val="single" w:sz="4" w:space="0" w:color="auto"/>
              <w:right w:val="single" w:sz="4" w:space="0" w:color="auto"/>
            </w:tcBorders>
            <w:shd w:val="clear" w:color="auto" w:fill="auto"/>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Mean</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30.1</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23.4</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36.8</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6.7</w:t>
            </w:r>
          </w:p>
        </w:tc>
      </w:tr>
      <w:tr w:rsidR="00B81223" w:rsidRPr="00B81223">
        <w:trPr>
          <w:trHeight w:val="480"/>
        </w:trPr>
        <w:tc>
          <w:tcPr>
            <w:tcW w:w="1660" w:type="dxa"/>
            <w:tcBorders>
              <w:top w:val="nil"/>
              <w:left w:val="single" w:sz="4" w:space="0" w:color="auto"/>
              <w:bottom w:val="single" w:sz="4" w:space="0" w:color="auto"/>
              <w:right w:val="single" w:sz="4" w:space="0" w:color="auto"/>
            </w:tcBorders>
            <w:shd w:val="clear" w:color="auto" w:fill="auto"/>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Use of percentiles</w:t>
            </w:r>
          </w:p>
        </w:tc>
        <w:tc>
          <w:tcPr>
            <w:tcW w:w="1120" w:type="dxa"/>
            <w:tcBorders>
              <w:top w:val="nil"/>
              <w:left w:val="nil"/>
              <w:bottom w:val="single" w:sz="4" w:space="0" w:color="auto"/>
              <w:right w:val="single" w:sz="4" w:space="0" w:color="auto"/>
            </w:tcBorders>
            <w:shd w:val="clear" w:color="auto" w:fill="auto"/>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Median</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31.6</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2.0</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58.2</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29.7</w:t>
            </w:r>
          </w:p>
        </w:tc>
      </w:tr>
      <w:tr w:rsidR="00B81223" w:rsidRPr="00B81223">
        <w:trPr>
          <w:trHeight w:val="225"/>
        </w:trPr>
        <w:tc>
          <w:tcPr>
            <w:tcW w:w="166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r>
      <w:tr w:rsidR="00B81223" w:rsidRPr="00B81223">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tcPr>
          <w:p w:rsidR="00B81223" w:rsidRPr="00B81223" w:rsidRDefault="00B81223" w:rsidP="00B81223">
            <w:pPr>
              <w:rPr>
                <w:rFonts w:ascii="Calibri" w:hAnsi="Calibri" w:cs="Calibri"/>
                <w:color w:val="000000"/>
                <w:sz w:val="16"/>
                <w:szCs w:val="16"/>
                <w:lang w:eastAsia="en-AU"/>
              </w:rPr>
            </w:pPr>
            <w:r w:rsidRPr="00B81223">
              <w:rPr>
                <w:rFonts w:ascii="Calibri" w:hAnsi="Calibri" w:cs="Calibri"/>
                <w:color w:val="000000"/>
                <w:sz w:val="16"/>
                <w:szCs w:val="16"/>
                <w:lang w:eastAsia="en-AU"/>
              </w:rPr>
              <w:t>Year</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2010-11</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2009-10</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2008-09</w:t>
            </w:r>
          </w:p>
        </w:tc>
      </w:tr>
      <w:tr w:rsidR="006E4AFA" w:rsidRPr="00B81223">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E4AFA" w:rsidRPr="00B81223" w:rsidRDefault="006E4AFA" w:rsidP="00B81223">
            <w:pPr>
              <w:rPr>
                <w:rFonts w:ascii="Calibri" w:hAnsi="Calibri" w:cs="Calibri"/>
                <w:color w:val="000000"/>
                <w:sz w:val="16"/>
                <w:szCs w:val="16"/>
                <w:lang w:eastAsia="en-AU"/>
              </w:rPr>
            </w:pPr>
            <w:r w:rsidRPr="00CB6A7D">
              <w:rPr>
                <w:rFonts w:ascii="Calibri" w:hAnsi="Calibri" w:cs="Calibri"/>
                <w:color w:val="000000"/>
                <w:sz w:val="16"/>
                <w:szCs w:val="16"/>
                <w:lang w:eastAsia="en-AU"/>
              </w:rPr>
              <w:t>Percentage by which the conversion factor over or under estimates the weight of imports</w:t>
            </w:r>
          </w:p>
        </w:tc>
        <w:tc>
          <w:tcPr>
            <w:tcW w:w="1120" w:type="dxa"/>
            <w:tcBorders>
              <w:top w:val="nil"/>
              <w:left w:val="nil"/>
              <w:bottom w:val="single" w:sz="4" w:space="0" w:color="auto"/>
              <w:right w:val="single" w:sz="4" w:space="0" w:color="auto"/>
            </w:tcBorders>
            <w:shd w:val="clear" w:color="auto" w:fill="auto"/>
            <w:noWrap/>
            <w:vAlign w:val="center"/>
          </w:tcPr>
          <w:p w:rsidR="006E4AFA" w:rsidRDefault="006E4AFA">
            <w:pPr>
              <w:jc w:val="center"/>
              <w:rPr>
                <w:rFonts w:ascii="Calibri" w:hAnsi="Calibri" w:cs="Calibri"/>
                <w:color w:val="000000"/>
                <w:sz w:val="16"/>
                <w:szCs w:val="16"/>
              </w:rPr>
            </w:pPr>
            <w:r>
              <w:rPr>
                <w:rFonts w:ascii="Calibri" w:hAnsi="Calibri" w:cs="Calibri"/>
                <w:color w:val="000000"/>
                <w:sz w:val="16"/>
                <w:szCs w:val="16"/>
              </w:rPr>
              <w:t>0%</w:t>
            </w:r>
          </w:p>
        </w:tc>
        <w:tc>
          <w:tcPr>
            <w:tcW w:w="1120" w:type="dxa"/>
            <w:tcBorders>
              <w:top w:val="nil"/>
              <w:left w:val="nil"/>
              <w:bottom w:val="single" w:sz="4" w:space="0" w:color="auto"/>
              <w:right w:val="single" w:sz="4" w:space="0" w:color="auto"/>
            </w:tcBorders>
            <w:shd w:val="clear" w:color="auto" w:fill="auto"/>
            <w:noWrap/>
            <w:vAlign w:val="center"/>
          </w:tcPr>
          <w:p w:rsidR="006E4AFA" w:rsidRDefault="006E4AFA">
            <w:pPr>
              <w:jc w:val="center"/>
              <w:rPr>
                <w:rFonts w:ascii="Calibri" w:hAnsi="Calibri" w:cs="Calibri"/>
                <w:color w:val="000000"/>
                <w:sz w:val="16"/>
                <w:szCs w:val="16"/>
              </w:rPr>
            </w:pPr>
            <w:r>
              <w:rPr>
                <w:rFonts w:ascii="Calibri" w:hAnsi="Calibri" w:cs="Calibri"/>
                <w:color w:val="000000"/>
                <w:sz w:val="16"/>
                <w:szCs w:val="16"/>
              </w:rPr>
              <w:t>-6%</w:t>
            </w:r>
          </w:p>
        </w:tc>
        <w:tc>
          <w:tcPr>
            <w:tcW w:w="1120" w:type="dxa"/>
            <w:tcBorders>
              <w:top w:val="nil"/>
              <w:left w:val="nil"/>
              <w:bottom w:val="single" w:sz="4" w:space="0" w:color="auto"/>
              <w:right w:val="single" w:sz="4" w:space="0" w:color="auto"/>
            </w:tcBorders>
            <w:shd w:val="clear" w:color="auto" w:fill="auto"/>
            <w:noWrap/>
            <w:vAlign w:val="center"/>
          </w:tcPr>
          <w:p w:rsidR="006E4AFA" w:rsidRDefault="006E4AFA">
            <w:pPr>
              <w:jc w:val="center"/>
              <w:rPr>
                <w:rFonts w:ascii="Calibri" w:hAnsi="Calibri" w:cs="Calibri"/>
                <w:color w:val="000000"/>
                <w:sz w:val="16"/>
                <w:szCs w:val="16"/>
              </w:rPr>
            </w:pPr>
            <w:r>
              <w:rPr>
                <w:rFonts w:ascii="Calibri" w:hAnsi="Calibri" w:cs="Calibri"/>
                <w:color w:val="000000"/>
                <w:sz w:val="16"/>
                <w:szCs w:val="16"/>
              </w:rPr>
              <w:t>-17%</w:t>
            </w:r>
          </w:p>
        </w:tc>
      </w:tr>
    </w:tbl>
    <w:p w:rsidR="00B81223" w:rsidRDefault="00B81223" w:rsidP="000941E0">
      <w:pPr>
        <w:jc w:val="both"/>
        <w:rPr>
          <w:szCs w:val="22"/>
        </w:rPr>
      </w:pPr>
    </w:p>
    <w:p w:rsidR="001A78F2" w:rsidRDefault="000650C4">
      <w:pPr>
        <w:rPr>
          <w:szCs w:val="22"/>
        </w:rPr>
      </w:pPr>
      <w:r w:rsidRPr="005A3097">
        <w:rPr>
          <w:b/>
          <w:szCs w:val="22"/>
        </w:rPr>
        <w:t>Distribution:</w:t>
      </w:r>
      <w:r>
        <w:rPr>
          <w:b/>
          <w:szCs w:val="22"/>
        </w:rPr>
        <w:t xml:space="preserve"> </w:t>
      </w:r>
      <w:r>
        <w:rPr>
          <w:szCs w:val="22"/>
        </w:rPr>
        <w:t>All imports between 20-60 kg with a peak at 30-35 kg</w:t>
      </w:r>
    </w:p>
    <w:p w:rsidR="001A78F2" w:rsidRDefault="000650C4">
      <w:pPr>
        <w:rPr>
          <w:szCs w:val="22"/>
        </w:rPr>
      </w:pPr>
      <w:r>
        <w:rPr>
          <w:b/>
          <w:szCs w:val="22"/>
        </w:rPr>
        <w:t>Proposed conversion factor</w:t>
      </w:r>
      <w:r w:rsidRPr="00416A67">
        <w:rPr>
          <w:szCs w:val="22"/>
        </w:rPr>
        <w:t xml:space="preserve">: </w:t>
      </w:r>
      <w:r>
        <w:rPr>
          <w:szCs w:val="22"/>
        </w:rPr>
        <w:t>30.1</w:t>
      </w:r>
      <w:r>
        <w:rPr>
          <w:rFonts w:ascii="Calibri" w:hAnsi="Calibri" w:cs="Calibri"/>
          <w:color w:val="000000"/>
          <w:sz w:val="16"/>
          <w:szCs w:val="16"/>
          <w:lang w:eastAsia="en-AU"/>
        </w:rPr>
        <w:t xml:space="preserve"> </w:t>
      </w:r>
      <w:r>
        <w:rPr>
          <w:szCs w:val="22"/>
        </w:rPr>
        <w:t>kg</w:t>
      </w:r>
    </w:p>
    <w:p w:rsidR="001A78F2" w:rsidRDefault="000650C4">
      <w:pPr>
        <w:rPr>
          <w:szCs w:val="22"/>
        </w:rPr>
      </w:pPr>
      <w:r>
        <w:rPr>
          <w:b/>
          <w:szCs w:val="22"/>
        </w:rPr>
        <w:t>Proposed confidence interval</w:t>
      </w:r>
      <w:r w:rsidRPr="00B02F83">
        <w:rPr>
          <w:szCs w:val="22"/>
        </w:rPr>
        <w:t xml:space="preserve">: </w:t>
      </w:r>
      <w:r>
        <w:rPr>
          <w:szCs w:val="22"/>
        </w:rPr>
        <w:t xml:space="preserve"> </w:t>
      </w:r>
      <w:r w:rsidRPr="000650C4">
        <w:rPr>
          <w:szCs w:val="22"/>
        </w:rPr>
        <w:t>± 6.7 kg</w:t>
      </w:r>
    </w:p>
    <w:p w:rsidR="001A78F2" w:rsidRDefault="00C62346">
      <w:pPr>
        <w:rPr>
          <w:szCs w:val="22"/>
        </w:rPr>
      </w:pPr>
      <w:r>
        <w:rPr>
          <w:b/>
          <w:szCs w:val="22"/>
        </w:rPr>
        <w:t xml:space="preserve">Variation over time: </w:t>
      </w:r>
      <w:r w:rsidR="005C1111">
        <w:rPr>
          <w:szCs w:val="22"/>
        </w:rPr>
        <w:t>Moderate</w:t>
      </w:r>
    </w:p>
    <w:p w:rsidR="001A78F2" w:rsidRDefault="001A78F2">
      <w:pPr>
        <w:rPr>
          <w:szCs w:val="22"/>
        </w:rPr>
      </w:pPr>
    </w:p>
    <w:p w:rsidR="001A78F2" w:rsidRDefault="001A78F2">
      <w:pPr>
        <w:rPr>
          <w:szCs w:val="22"/>
        </w:rPr>
      </w:pPr>
    </w:p>
    <w:p w:rsidR="001A78F2" w:rsidRDefault="001A78F2">
      <w:pPr>
        <w:rPr>
          <w:szCs w:val="22"/>
        </w:rPr>
      </w:pPr>
    </w:p>
    <w:p w:rsidR="00DE3252" w:rsidRDefault="00DE3252" w:rsidP="000941E0">
      <w:pPr>
        <w:jc w:val="both"/>
        <w:rPr>
          <w:szCs w:val="22"/>
        </w:rPr>
      </w:pPr>
    </w:p>
    <w:p w:rsidR="00DE3252" w:rsidRDefault="00DE3252" w:rsidP="000941E0">
      <w:pPr>
        <w:jc w:val="both"/>
        <w:rPr>
          <w:szCs w:val="22"/>
        </w:rPr>
      </w:pPr>
    </w:p>
    <w:p w:rsidR="00AF06F4" w:rsidRDefault="00AF06F4">
      <w:pPr>
        <w:rPr>
          <w:rFonts w:ascii="Arial" w:hAnsi="Arial" w:cs="Arial"/>
          <w:b/>
          <w:bCs/>
          <w:color w:val="000000"/>
          <w:szCs w:val="22"/>
          <w:lang w:eastAsia="en-AU"/>
        </w:rPr>
      </w:pPr>
      <w:r>
        <w:rPr>
          <w:rFonts w:ascii="Arial" w:hAnsi="Arial" w:cs="Arial"/>
          <w:b/>
          <w:bCs/>
          <w:color w:val="000000"/>
          <w:szCs w:val="22"/>
          <w:lang w:eastAsia="en-AU"/>
        </w:rPr>
        <w:br w:type="page"/>
      </w:r>
    </w:p>
    <w:p w:rsidR="00DE3252" w:rsidRDefault="006E4AFA" w:rsidP="000941E0">
      <w:pPr>
        <w:jc w:val="both"/>
        <w:rPr>
          <w:szCs w:val="22"/>
        </w:rPr>
      </w:pPr>
      <w:r w:rsidRPr="00B81223">
        <w:rPr>
          <w:rFonts w:ascii="Arial" w:hAnsi="Arial" w:cs="Arial"/>
          <w:b/>
          <w:bCs/>
          <w:color w:val="000000"/>
          <w:szCs w:val="22"/>
          <w:lang w:eastAsia="en-AU"/>
        </w:rPr>
        <w:t xml:space="preserve">SC07 8528.72.00 31 - Clr TVs: </w:t>
      </w:r>
      <w:r>
        <w:rPr>
          <w:rFonts w:ascii="Arial" w:hAnsi="Arial" w:cs="Arial"/>
          <w:b/>
          <w:bCs/>
          <w:color w:val="000000"/>
          <w:szCs w:val="22"/>
          <w:lang w:eastAsia="en-AU"/>
        </w:rPr>
        <w:t xml:space="preserve">Analogue </w:t>
      </w:r>
      <w:r w:rsidRPr="00B81223">
        <w:rPr>
          <w:rFonts w:ascii="Arial" w:hAnsi="Arial" w:cs="Arial"/>
          <w:b/>
          <w:bCs/>
          <w:color w:val="000000"/>
          <w:szCs w:val="22"/>
          <w:lang w:eastAsia="en-AU"/>
        </w:rPr>
        <w:t>CRT</w:t>
      </w:r>
      <w:r>
        <w:rPr>
          <w:rFonts w:ascii="Arial" w:hAnsi="Arial" w:cs="Arial"/>
          <w:b/>
          <w:bCs/>
          <w:color w:val="000000"/>
          <w:szCs w:val="22"/>
          <w:lang w:eastAsia="en-AU"/>
        </w:rPr>
        <w:t xml:space="preserve"> flat screen</w:t>
      </w:r>
      <w:r w:rsidRPr="00B81223">
        <w:rPr>
          <w:rFonts w:ascii="Arial" w:hAnsi="Arial" w:cs="Arial"/>
          <w:b/>
          <w:bCs/>
          <w:color w:val="000000"/>
          <w:szCs w:val="22"/>
          <w:lang w:eastAsia="en-AU"/>
        </w:rPr>
        <w:t xml:space="preserve"> 34-50cm</w:t>
      </w:r>
    </w:p>
    <w:p w:rsidR="000C2BC0" w:rsidRDefault="000C2BC0" w:rsidP="000941E0">
      <w:pPr>
        <w:jc w:val="both"/>
        <w:rPr>
          <w:szCs w:val="22"/>
        </w:rPr>
      </w:pPr>
    </w:p>
    <w:p w:rsidR="00BC4FED" w:rsidRPr="00BC4FED" w:rsidRDefault="002652C5" w:rsidP="00BC4FED">
      <w:pPr>
        <w:pStyle w:val="Caption"/>
        <w:keepNext/>
      </w:pPr>
      <w:r>
        <w:t xml:space="preserve">Figure 5-52     </w:t>
      </w:r>
      <w:r w:rsidR="00AC1355">
        <w:t>HTISC frequency distribution in CF year</w:t>
      </w:r>
    </w:p>
    <w:p w:rsidR="000C2BC0" w:rsidRDefault="00AF06F4" w:rsidP="000941E0">
      <w:pPr>
        <w:jc w:val="both"/>
        <w:rPr>
          <w:szCs w:val="22"/>
        </w:rPr>
      </w:pPr>
      <w:r w:rsidRPr="00AF06F4">
        <w:rPr>
          <w:noProof/>
          <w:szCs w:val="22"/>
          <w:lang w:eastAsia="en-AU"/>
        </w:rPr>
        <w:drawing>
          <wp:inline distT="0" distB="0" distL="0" distR="0">
            <wp:extent cx="4889500" cy="2984500"/>
            <wp:effectExtent l="19050" t="0" r="25400" b="6350"/>
            <wp:docPr id="2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0C2BC0" w:rsidRDefault="000C2BC0" w:rsidP="000941E0">
      <w:pPr>
        <w:jc w:val="both"/>
        <w:rPr>
          <w:szCs w:val="22"/>
        </w:rPr>
      </w:pPr>
    </w:p>
    <w:p w:rsidR="00D73340" w:rsidRDefault="00D73340" w:rsidP="000941E0">
      <w:pPr>
        <w:jc w:val="both"/>
        <w:rPr>
          <w:szCs w:val="22"/>
        </w:rPr>
      </w:pPr>
    </w:p>
    <w:p w:rsidR="00D73340" w:rsidRPr="00D73340" w:rsidRDefault="00207129" w:rsidP="00D73340">
      <w:pPr>
        <w:pStyle w:val="Caption"/>
      </w:pPr>
      <w:r>
        <w:t xml:space="preserve">Table 5-41  </w:t>
      </w:r>
      <w:r w:rsidR="00D73340">
        <w:t>Conversion factor statistics</w:t>
      </w:r>
    </w:p>
    <w:tbl>
      <w:tblPr>
        <w:tblW w:w="7260" w:type="dxa"/>
        <w:tblInd w:w="93" w:type="dxa"/>
        <w:tblLook w:val="04A0"/>
      </w:tblPr>
      <w:tblGrid>
        <w:gridCol w:w="1660"/>
        <w:gridCol w:w="1120"/>
        <w:gridCol w:w="1120"/>
        <w:gridCol w:w="1120"/>
        <w:gridCol w:w="1120"/>
        <w:gridCol w:w="1120"/>
      </w:tblGrid>
      <w:tr w:rsidR="00B81223" w:rsidRPr="00B81223">
        <w:trPr>
          <w:trHeight w:val="450"/>
        </w:trPr>
        <w:tc>
          <w:tcPr>
            <w:tcW w:w="1660" w:type="dxa"/>
            <w:tcBorders>
              <w:top w:val="single" w:sz="4" w:space="0" w:color="auto"/>
              <w:left w:val="single" w:sz="4" w:space="0" w:color="auto"/>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CF year</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No. of ABS imports</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 ABS imports included</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Min weight</w:t>
            </w:r>
            <w:r w:rsidRPr="00B81223">
              <w:rPr>
                <w:rFonts w:ascii="Calibri" w:hAnsi="Calibri" w:cs="Calibri"/>
                <w:color w:val="000000"/>
                <w:sz w:val="16"/>
                <w:szCs w:val="16"/>
                <w:lang w:eastAsia="en-AU"/>
              </w:rPr>
              <w:br/>
              <w:t>(kg)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Max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Standard deviation</w:t>
            </w:r>
          </w:p>
        </w:tc>
      </w:tr>
      <w:tr w:rsidR="00B81223" w:rsidRPr="00B81223">
        <w:trPr>
          <w:trHeight w:val="225"/>
        </w:trPr>
        <w:tc>
          <w:tcPr>
            <w:tcW w:w="1660" w:type="dxa"/>
            <w:tcBorders>
              <w:top w:val="nil"/>
              <w:left w:val="single" w:sz="4" w:space="0" w:color="auto"/>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2009-10</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11,002</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63%</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8.6</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8.6</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6.1</w:t>
            </w:r>
          </w:p>
        </w:tc>
      </w:tr>
      <w:tr w:rsidR="00B81223" w:rsidRPr="00B81223">
        <w:trPr>
          <w:trHeight w:val="225"/>
        </w:trPr>
        <w:tc>
          <w:tcPr>
            <w:tcW w:w="166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r>
      <w:tr w:rsidR="00B81223" w:rsidRPr="00B81223">
        <w:trPr>
          <w:trHeight w:val="450"/>
        </w:trPr>
        <w:tc>
          <w:tcPr>
            <w:tcW w:w="1660" w:type="dxa"/>
            <w:tcBorders>
              <w:top w:val="single" w:sz="4" w:space="0" w:color="auto"/>
              <w:left w:val="single" w:sz="4" w:space="0" w:color="auto"/>
              <w:bottom w:val="nil"/>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Method</w:t>
            </w:r>
          </w:p>
        </w:tc>
        <w:tc>
          <w:tcPr>
            <w:tcW w:w="1120" w:type="dxa"/>
            <w:tcBorders>
              <w:top w:val="single" w:sz="4" w:space="0" w:color="auto"/>
              <w:left w:val="nil"/>
              <w:bottom w:val="nil"/>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Measure of average</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Average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Lower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Upper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Confidence interval ± (kg)</w:t>
            </w:r>
          </w:p>
        </w:tc>
      </w:tr>
      <w:tr w:rsidR="00DE3252" w:rsidRPr="00B81223">
        <w:trPr>
          <w:trHeight w:val="48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DE3252" w:rsidRPr="00B81223" w:rsidRDefault="00DE3252"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Approximation to the normal distribution</w:t>
            </w:r>
          </w:p>
        </w:tc>
        <w:tc>
          <w:tcPr>
            <w:tcW w:w="1120" w:type="dxa"/>
            <w:tcBorders>
              <w:top w:val="single" w:sz="4" w:space="0" w:color="auto"/>
              <w:left w:val="nil"/>
              <w:bottom w:val="single" w:sz="4" w:space="0" w:color="auto"/>
              <w:right w:val="single" w:sz="4" w:space="0" w:color="auto"/>
            </w:tcBorders>
            <w:shd w:val="clear" w:color="auto" w:fill="auto"/>
            <w:vAlign w:val="center"/>
          </w:tcPr>
          <w:p w:rsidR="00DE3252" w:rsidRPr="00B81223" w:rsidRDefault="00DE3252"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Mean</w:t>
            </w:r>
          </w:p>
        </w:tc>
        <w:tc>
          <w:tcPr>
            <w:tcW w:w="1120" w:type="dxa"/>
            <w:tcBorders>
              <w:top w:val="nil"/>
              <w:left w:val="nil"/>
              <w:bottom w:val="single" w:sz="4" w:space="0" w:color="auto"/>
              <w:right w:val="single" w:sz="4" w:space="0" w:color="auto"/>
            </w:tcBorders>
            <w:shd w:val="clear" w:color="auto" w:fill="auto"/>
            <w:noWrap/>
            <w:vAlign w:val="center"/>
          </w:tcPr>
          <w:p w:rsidR="00DE3252" w:rsidRPr="00B81223" w:rsidRDefault="00DE3252"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8.6</w:t>
            </w:r>
          </w:p>
        </w:tc>
        <w:tc>
          <w:tcPr>
            <w:tcW w:w="1120" w:type="dxa"/>
            <w:tcBorders>
              <w:top w:val="nil"/>
              <w:left w:val="nil"/>
              <w:bottom w:val="single" w:sz="4" w:space="0" w:color="auto"/>
              <w:right w:val="single" w:sz="4" w:space="0" w:color="auto"/>
            </w:tcBorders>
            <w:shd w:val="clear" w:color="auto" w:fill="auto"/>
            <w:noWrap/>
            <w:vAlign w:val="center"/>
          </w:tcPr>
          <w:p w:rsidR="00DE3252" w:rsidRPr="00B81223" w:rsidRDefault="00DE3252" w:rsidP="0083715C">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8.6</w:t>
            </w:r>
          </w:p>
        </w:tc>
        <w:tc>
          <w:tcPr>
            <w:tcW w:w="1120" w:type="dxa"/>
            <w:tcBorders>
              <w:top w:val="nil"/>
              <w:left w:val="nil"/>
              <w:bottom w:val="single" w:sz="4" w:space="0" w:color="auto"/>
              <w:right w:val="single" w:sz="4" w:space="0" w:color="auto"/>
            </w:tcBorders>
            <w:shd w:val="clear" w:color="auto" w:fill="auto"/>
            <w:noWrap/>
            <w:vAlign w:val="center"/>
          </w:tcPr>
          <w:p w:rsidR="00DE3252" w:rsidRPr="00B81223" w:rsidRDefault="00DE3252" w:rsidP="0083715C">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8.6</w:t>
            </w:r>
          </w:p>
        </w:tc>
        <w:tc>
          <w:tcPr>
            <w:tcW w:w="1120" w:type="dxa"/>
            <w:tcBorders>
              <w:top w:val="nil"/>
              <w:left w:val="nil"/>
              <w:bottom w:val="single" w:sz="4" w:space="0" w:color="auto"/>
              <w:right w:val="single" w:sz="4" w:space="0" w:color="auto"/>
            </w:tcBorders>
            <w:shd w:val="clear" w:color="auto" w:fill="auto"/>
            <w:noWrap/>
            <w:vAlign w:val="center"/>
          </w:tcPr>
          <w:p w:rsidR="00DE3252" w:rsidRPr="00B81223" w:rsidRDefault="00DE3252" w:rsidP="0083715C">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0.0</w:t>
            </w:r>
          </w:p>
        </w:tc>
      </w:tr>
      <w:tr w:rsidR="00B81223" w:rsidRPr="00B81223">
        <w:trPr>
          <w:trHeight w:val="480"/>
        </w:trPr>
        <w:tc>
          <w:tcPr>
            <w:tcW w:w="1660" w:type="dxa"/>
            <w:tcBorders>
              <w:top w:val="nil"/>
              <w:left w:val="single" w:sz="4" w:space="0" w:color="auto"/>
              <w:bottom w:val="single" w:sz="4" w:space="0" w:color="auto"/>
              <w:right w:val="single" w:sz="4" w:space="0" w:color="auto"/>
            </w:tcBorders>
            <w:shd w:val="clear" w:color="auto" w:fill="auto"/>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Use of percentiles</w:t>
            </w:r>
          </w:p>
        </w:tc>
        <w:tc>
          <w:tcPr>
            <w:tcW w:w="1120" w:type="dxa"/>
            <w:tcBorders>
              <w:top w:val="nil"/>
              <w:left w:val="nil"/>
              <w:bottom w:val="single" w:sz="4" w:space="0" w:color="auto"/>
              <w:right w:val="single" w:sz="4" w:space="0" w:color="auto"/>
            </w:tcBorders>
            <w:shd w:val="clear" w:color="auto" w:fill="auto"/>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Median</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8.6</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8.6</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8.6</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0.0</w:t>
            </w:r>
          </w:p>
        </w:tc>
      </w:tr>
      <w:tr w:rsidR="00B81223" w:rsidRPr="00B81223">
        <w:trPr>
          <w:trHeight w:val="225"/>
        </w:trPr>
        <w:tc>
          <w:tcPr>
            <w:tcW w:w="166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r>
      <w:tr w:rsidR="00B81223" w:rsidRPr="00B81223">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tcPr>
          <w:p w:rsidR="00B81223" w:rsidRPr="00B81223" w:rsidRDefault="00B81223" w:rsidP="00B81223">
            <w:pPr>
              <w:rPr>
                <w:rFonts w:ascii="Calibri" w:hAnsi="Calibri" w:cs="Calibri"/>
                <w:color w:val="000000"/>
                <w:sz w:val="16"/>
                <w:szCs w:val="16"/>
                <w:lang w:eastAsia="en-AU"/>
              </w:rPr>
            </w:pPr>
            <w:r w:rsidRPr="00B81223">
              <w:rPr>
                <w:rFonts w:ascii="Calibri" w:hAnsi="Calibri" w:cs="Calibri"/>
                <w:color w:val="000000"/>
                <w:sz w:val="16"/>
                <w:szCs w:val="16"/>
                <w:lang w:eastAsia="en-AU"/>
              </w:rPr>
              <w:t>Year</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2010-11</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2009-10</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2008-09</w:t>
            </w:r>
          </w:p>
        </w:tc>
      </w:tr>
      <w:tr w:rsidR="00B81223" w:rsidRPr="00B81223">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81223" w:rsidRPr="00B81223" w:rsidRDefault="00606932" w:rsidP="00B81223">
            <w:pPr>
              <w:rPr>
                <w:rFonts w:ascii="Calibri" w:hAnsi="Calibri" w:cs="Calibri"/>
                <w:color w:val="000000"/>
                <w:sz w:val="16"/>
                <w:szCs w:val="16"/>
                <w:lang w:eastAsia="en-AU"/>
              </w:rPr>
            </w:pPr>
            <w:r w:rsidRPr="00CB6A7D">
              <w:rPr>
                <w:rFonts w:ascii="Calibri" w:hAnsi="Calibri" w:cs="Calibri"/>
                <w:color w:val="000000"/>
                <w:sz w:val="16"/>
                <w:szCs w:val="16"/>
                <w:lang w:eastAsia="en-AU"/>
              </w:rPr>
              <w:t>Percentage by which the conversion factor over or under estimates the weight of imports</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 </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6E4AFA" w:rsidP="00B81223">
            <w:pPr>
              <w:jc w:val="center"/>
              <w:rPr>
                <w:rFonts w:ascii="Calibri" w:hAnsi="Calibri" w:cs="Calibri"/>
                <w:color w:val="000000"/>
                <w:sz w:val="16"/>
                <w:szCs w:val="16"/>
                <w:lang w:eastAsia="en-AU"/>
              </w:rPr>
            </w:pPr>
            <w:r>
              <w:rPr>
                <w:rFonts w:ascii="Calibri" w:hAnsi="Calibri" w:cs="Calibri"/>
                <w:color w:val="000000"/>
                <w:sz w:val="16"/>
                <w:szCs w:val="16"/>
                <w:lang w:eastAsia="en-AU"/>
              </w:rPr>
              <w:t>0</w:t>
            </w:r>
            <w:r w:rsidR="00B81223" w:rsidRPr="00B81223">
              <w:rPr>
                <w:rFonts w:ascii="Calibri" w:hAnsi="Calibri" w:cs="Calibri"/>
                <w:color w:val="000000"/>
                <w:sz w:val="16"/>
                <w:szCs w:val="16"/>
                <w:lang w:eastAsia="en-AU"/>
              </w:rPr>
              <w:t>%</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6E4AFA" w:rsidP="00B81223">
            <w:pPr>
              <w:jc w:val="center"/>
              <w:rPr>
                <w:rFonts w:ascii="Calibri" w:hAnsi="Calibri" w:cs="Calibri"/>
                <w:color w:val="000000"/>
                <w:sz w:val="16"/>
                <w:szCs w:val="16"/>
                <w:lang w:eastAsia="en-AU"/>
              </w:rPr>
            </w:pPr>
            <w:r>
              <w:rPr>
                <w:rFonts w:ascii="Calibri" w:hAnsi="Calibri" w:cs="Calibri"/>
                <w:color w:val="000000"/>
                <w:sz w:val="16"/>
                <w:szCs w:val="16"/>
                <w:lang w:eastAsia="en-AU"/>
              </w:rPr>
              <w:t>0</w:t>
            </w:r>
            <w:r w:rsidR="00B81223" w:rsidRPr="00B81223">
              <w:rPr>
                <w:rFonts w:ascii="Calibri" w:hAnsi="Calibri" w:cs="Calibri"/>
                <w:color w:val="000000"/>
                <w:sz w:val="16"/>
                <w:szCs w:val="16"/>
                <w:lang w:eastAsia="en-AU"/>
              </w:rPr>
              <w:t>%</w:t>
            </w:r>
          </w:p>
        </w:tc>
      </w:tr>
    </w:tbl>
    <w:p w:rsidR="001A78F2" w:rsidRDefault="001A78F2">
      <w:pPr>
        <w:rPr>
          <w:szCs w:val="22"/>
        </w:rPr>
      </w:pPr>
    </w:p>
    <w:p w:rsidR="001A78F2" w:rsidRDefault="00DE3252">
      <w:pPr>
        <w:rPr>
          <w:szCs w:val="22"/>
        </w:rPr>
      </w:pPr>
      <w:r w:rsidRPr="005A3097">
        <w:rPr>
          <w:b/>
          <w:szCs w:val="22"/>
        </w:rPr>
        <w:t>Distribution:</w:t>
      </w:r>
      <w:r>
        <w:rPr>
          <w:b/>
          <w:szCs w:val="22"/>
        </w:rPr>
        <w:t xml:space="preserve"> </w:t>
      </w:r>
      <w:r>
        <w:rPr>
          <w:szCs w:val="22"/>
        </w:rPr>
        <w:t>One brand reporting one model. Last imported in 2009-10.</w:t>
      </w:r>
    </w:p>
    <w:p w:rsidR="001A78F2" w:rsidRDefault="00DE3252">
      <w:pPr>
        <w:rPr>
          <w:szCs w:val="22"/>
        </w:rPr>
      </w:pPr>
      <w:r>
        <w:rPr>
          <w:b/>
          <w:szCs w:val="22"/>
        </w:rPr>
        <w:t>Proposed conversion factor</w:t>
      </w:r>
      <w:r w:rsidRPr="00416A67">
        <w:rPr>
          <w:szCs w:val="22"/>
        </w:rPr>
        <w:t xml:space="preserve">: </w:t>
      </w:r>
      <w:r>
        <w:rPr>
          <w:szCs w:val="22"/>
        </w:rPr>
        <w:t>8.6</w:t>
      </w:r>
      <w:r>
        <w:rPr>
          <w:rFonts w:ascii="Calibri" w:hAnsi="Calibri" w:cs="Calibri"/>
          <w:color w:val="000000"/>
          <w:sz w:val="16"/>
          <w:szCs w:val="16"/>
          <w:lang w:eastAsia="en-AU"/>
        </w:rPr>
        <w:t xml:space="preserve"> </w:t>
      </w:r>
      <w:r>
        <w:rPr>
          <w:szCs w:val="22"/>
        </w:rPr>
        <w:t>kg</w:t>
      </w:r>
    </w:p>
    <w:p w:rsidR="001A78F2" w:rsidRDefault="00DE3252">
      <w:pPr>
        <w:rPr>
          <w:szCs w:val="22"/>
        </w:rPr>
      </w:pPr>
      <w:r>
        <w:rPr>
          <w:b/>
          <w:szCs w:val="22"/>
        </w:rPr>
        <w:t>Proposed confidence interval</w:t>
      </w:r>
      <w:r w:rsidRPr="00B02F83">
        <w:rPr>
          <w:szCs w:val="22"/>
        </w:rPr>
        <w:t xml:space="preserve">: </w:t>
      </w:r>
      <w:r>
        <w:rPr>
          <w:szCs w:val="22"/>
        </w:rPr>
        <w:t xml:space="preserve"> </w:t>
      </w:r>
      <w:r w:rsidRPr="000650C4">
        <w:rPr>
          <w:szCs w:val="22"/>
        </w:rPr>
        <w:t xml:space="preserve">± </w:t>
      </w:r>
      <w:r>
        <w:rPr>
          <w:szCs w:val="22"/>
        </w:rPr>
        <w:t>0</w:t>
      </w:r>
      <w:r w:rsidRPr="000650C4">
        <w:rPr>
          <w:szCs w:val="22"/>
        </w:rPr>
        <w:t xml:space="preserve"> kg</w:t>
      </w:r>
    </w:p>
    <w:p w:rsidR="001A78F2" w:rsidRDefault="00C62346">
      <w:pPr>
        <w:rPr>
          <w:szCs w:val="22"/>
        </w:rPr>
      </w:pPr>
      <w:r>
        <w:rPr>
          <w:b/>
          <w:szCs w:val="22"/>
        </w:rPr>
        <w:t xml:space="preserve">Variation over time: </w:t>
      </w:r>
      <w:r w:rsidR="005C1111">
        <w:rPr>
          <w:szCs w:val="22"/>
        </w:rPr>
        <w:t>Unknown</w:t>
      </w:r>
    </w:p>
    <w:p w:rsidR="00AF06F4" w:rsidRDefault="00AF06F4">
      <w:pPr>
        <w:rPr>
          <w:szCs w:val="22"/>
        </w:rPr>
      </w:pPr>
      <w:r>
        <w:rPr>
          <w:szCs w:val="22"/>
        </w:rPr>
        <w:br w:type="page"/>
      </w:r>
    </w:p>
    <w:p w:rsidR="001A78F2" w:rsidRDefault="00AF06F4" w:rsidP="00AF06F4">
      <w:pPr>
        <w:rPr>
          <w:rFonts w:ascii="Arial" w:hAnsi="Arial" w:cs="Arial"/>
          <w:b/>
          <w:bCs/>
          <w:color w:val="000000"/>
          <w:szCs w:val="22"/>
          <w:lang w:eastAsia="en-AU"/>
        </w:rPr>
      </w:pPr>
      <w:r w:rsidRPr="00AF06F4">
        <w:rPr>
          <w:rFonts w:ascii="Arial" w:hAnsi="Arial" w:cs="Arial"/>
          <w:b/>
          <w:bCs/>
          <w:color w:val="000000"/>
          <w:szCs w:val="22"/>
          <w:lang w:val="en-US" w:eastAsia="en-AU"/>
        </w:rPr>
        <w:t>SC07 8528.72.00 71</w:t>
      </w:r>
      <w:r>
        <w:rPr>
          <w:rFonts w:ascii="Arial" w:hAnsi="Arial" w:cs="Arial"/>
          <w:b/>
          <w:bCs/>
          <w:color w:val="000000"/>
          <w:szCs w:val="22"/>
          <w:lang w:eastAsia="en-AU"/>
        </w:rPr>
        <w:t xml:space="preserve"> </w:t>
      </w:r>
      <w:r w:rsidR="006E4AFA" w:rsidRPr="00B81223">
        <w:rPr>
          <w:rFonts w:ascii="Arial" w:hAnsi="Arial" w:cs="Arial"/>
          <w:b/>
          <w:bCs/>
          <w:color w:val="000000"/>
          <w:szCs w:val="22"/>
          <w:lang w:eastAsia="en-AU"/>
        </w:rPr>
        <w:t>- Clr TVs:</w:t>
      </w:r>
      <w:r w:rsidR="006E4AFA">
        <w:rPr>
          <w:rFonts w:ascii="Arial" w:hAnsi="Arial" w:cs="Arial"/>
          <w:b/>
          <w:bCs/>
          <w:color w:val="000000"/>
          <w:szCs w:val="22"/>
          <w:lang w:eastAsia="en-AU"/>
        </w:rPr>
        <w:t xml:space="preserve"> Digital</w:t>
      </w:r>
      <w:r w:rsidR="006E4AFA" w:rsidRPr="00B81223">
        <w:rPr>
          <w:rFonts w:ascii="Arial" w:hAnsi="Arial" w:cs="Arial"/>
          <w:b/>
          <w:bCs/>
          <w:color w:val="000000"/>
          <w:szCs w:val="22"/>
          <w:lang w:eastAsia="en-AU"/>
        </w:rPr>
        <w:t xml:space="preserve"> CRT </w:t>
      </w:r>
      <w:r w:rsidR="006E4AFA">
        <w:rPr>
          <w:rFonts w:ascii="Arial" w:hAnsi="Arial" w:cs="Arial"/>
          <w:b/>
          <w:bCs/>
          <w:color w:val="000000"/>
          <w:szCs w:val="22"/>
          <w:lang w:eastAsia="en-AU"/>
        </w:rPr>
        <w:t xml:space="preserve">flat screen </w:t>
      </w:r>
      <w:r w:rsidR="006E4AFA" w:rsidRPr="00B81223">
        <w:rPr>
          <w:rFonts w:ascii="Arial" w:hAnsi="Arial" w:cs="Arial"/>
          <w:b/>
          <w:bCs/>
          <w:color w:val="000000"/>
          <w:szCs w:val="22"/>
          <w:lang w:eastAsia="en-AU"/>
        </w:rPr>
        <w:t>34-50cm</w:t>
      </w:r>
    </w:p>
    <w:p w:rsidR="00BC4FED" w:rsidRDefault="00BC4FED" w:rsidP="00BC4FED">
      <w:pPr>
        <w:pStyle w:val="Caption"/>
        <w:keepNext/>
      </w:pPr>
    </w:p>
    <w:p w:rsidR="00AF06F4" w:rsidRPr="00BC4FED" w:rsidRDefault="002652C5" w:rsidP="00BC4FED">
      <w:pPr>
        <w:pStyle w:val="Caption"/>
        <w:keepNext/>
      </w:pPr>
      <w:r>
        <w:t xml:space="preserve">Figure 5-53     </w:t>
      </w:r>
      <w:r w:rsidR="00AC1355">
        <w:t>HTISC frequency distribution in CF year</w:t>
      </w:r>
    </w:p>
    <w:p w:rsidR="00AF06F4" w:rsidRDefault="00AF06F4">
      <w:pPr>
        <w:rPr>
          <w:szCs w:val="22"/>
        </w:rPr>
      </w:pPr>
      <w:r w:rsidRPr="00AF06F4">
        <w:rPr>
          <w:noProof/>
          <w:szCs w:val="22"/>
          <w:lang w:eastAsia="en-AU"/>
        </w:rPr>
        <w:drawing>
          <wp:inline distT="0" distB="0" distL="0" distR="0">
            <wp:extent cx="4889500" cy="2984500"/>
            <wp:effectExtent l="19050" t="0" r="25400" b="6350"/>
            <wp:docPr id="36"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DE3252" w:rsidRDefault="00DE3252" w:rsidP="000941E0">
      <w:pPr>
        <w:jc w:val="both"/>
        <w:rPr>
          <w:szCs w:val="22"/>
        </w:rPr>
      </w:pPr>
    </w:p>
    <w:p w:rsidR="00D73340" w:rsidRDefault="00D73340" w:rsidP="000941E0">
      <w:pPr>
        <w:jc w:val="both"/>
        <w:rPr>
          <w:szCs w:val="22"/>
        </w:rPr>
      </w:pPr>
    </w:p>
    <w:p w:rsidR="00D73340" w:rsidRPr="00D73340" w:rsidRDefault="00207129" w:rsidP="00D73340">
      <w:pPr>
        <w:pStyle w:val="Caption"/>
      </w:pPr>
      <w:r>
        <w:t xml:space="preserve">Table 5-42  </w:t>
      </w:r>
      <w:r w:rsidR="00D73340">
        <w:t>Conversion factor statistics</w:t>
      </w:r>
    </w:p>
    <w:tbl>
      <w:tblPr>
        <w:tblW w:w="7260" w:type="dxa"/>
        <w:tblInd w:w="93" w:type="dxa"/>
        <w:tblLook w:val="04A0"/>
      </w:tblPr>
      <w:tblGrid>
        <w:gridCol w:w="1660"/>
        <w:gridCol w:w="1120"/>
        <w:gridCol w:w="1120"/>
        <w:gridCol w:w="1120"/>
        <w:gridCol w:w="1120"/>
        <w:gridCol w:w="1120"/>
      </w:tblGrid>
      <w:tr w:rsidR="00B81223" w:rsidRPr="00B81223">
        <w:trPr>
          <w:trHeight w:val="450"/>
        </w:trPr>
        <w:tc>
          <w:tcPr>
            <w:tcW w:w="1660" w:type="dxa"/>
            <w:tcBorders>
              <w:top w:val="single" w:sz="4" w:space="0" w:color="auto"/>
              <w:left w:val="single" w:sz="4" w:space="0" w:color="auto"/>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CF year</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No. of ABS imports</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 ABS imports included</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Min weight</w:t>
            </w:r>
            <w:r w:rsidRPr="00B81223">
              <w:rPr>
                <w:rFonts w:ascii="Calibri" w:hAnsi="Calibri" w:cs="Calibri"/>
                <w:color w:val="000000"/>
                <w:sz w:val="16"/>
                <w:szCs w:val="16"/>
                <w:lang w:eastAsia="en-AU"/>
              </w:rPr>
              <w:br/>
              <w:t>(kg)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Max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Standard deviation</w:t>
            </w:r>
          </w:p>
        </w:tc>
      </w:tr>
      <w:tr w:rsidR="00B81223" w:rsidRPr="00B81223">
        <w:trPr>
          <w:trHeight w:val="225"/>
        </w:trPr>
        <w:tc>
          <w:tcPr>
            <w:tcW w:w="1660" w:type="dxa"/>
            <w:tcBorders>
              <w:top w:val="nil"/>
              <w:left w:val="single" w:sz="4" w:space="0" w:color="auto"/>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2008-09</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2,763</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1%</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4</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4.0</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0.0</w:t>
            </w:r>
          </w:p>
        </w:tc>
      </w:tr>
      <w:tr w:rsidR="00B81223" w:rsidRPr="00B81223">
        <w:trPr>
          <w:trHeight w:val="225"/>
        </w:trPr>
        <w:tc>
          <w:tcPr>
            <w:tcW w:w="166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r>
      <w:tr w:rsidR="00B81223" w:rsidRPr="00B81223">
        <w:trPr>
          <w:trHeight w:val="450"/>
        </w:trPr>
        <w:tc>
          <w:tcPr>
            <w:tcW w:w="1660" w:type="dxa"/>
            <w:tcBorders>
              <w:top w:val="single" w:sz="4" w:space="0" w:color="auto"/>
              <w:left w:val="single" w:sz="4" w:space="0" w:color="auto"/>
              <w:bottom w:val="nil"/>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Method</w:t>
            </w:r>
          </w:p>
        </w:tc>
        <w:tc>
          <w:tcPr>
            <w:tcW w:w="1120" w:type="dxa"/>
            <w:tcBorders>
              <w:top w:val="single" w:sz="4" w:space="0" w:color="auto"/>
              <w:left w:val="nil"/>
              <w:bottom w:val="nil"/>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Measure of average</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Average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Lower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Upper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Confidence interval ± (kg)</w:t>
            </w:r>
          </w:p>
        </w:tc>
      </w:tr>
      <w:tr w:rsidR="00B81223" w:rsidRPr="00B81223">
        <w:trPr>
          <w:trHeight w:val="48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Approximation to the normal distribution</w:t>
            </w:r>
          </w:p>
        </w:tc>
        <w:tc>
          <w:tcPr>
            <w:tcW w:w="1120" w:type="dxa"/>
            <w:tcBorders>
              <w:top w:val="single" w:sz="4" w:space="0" w:color="auto"/>
              <w:left w:val="nil"/>
              <w:bottom w:val="single" w:sz="4" w:space="0" w:color="auto"/>
              <w:right w:val="single" w:sz="4" w:space="0" w:color="auto"/>
            </w:tcBorders>
            <w:shd w:val="clear" w:color="auto" w:fill="auto"/>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Mean</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4.0</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6E4AFA" w:rsidP="00B81223">
            <w:pPr>
              <w:jc w:val="center"/>
              <w:rPr>
                <w:rFonts w:ascii="Calibri" w:hAnsi="Calibri" w:cs="Calibri"/>
                <w:color w:val="000000"/>
                <w:sz w:val="16"/>
                <w:szCs w:val="16"/>
                <w:lang w:eastAsia="en-AU"/>
              </w:rPr>
            </w:pPr>
            <w:r>
              <w:rPr>
                <w:rFonts w:ascii="Calibri" w:hAnsi="Calibri" w:cs="Calibri"/>
                <w:color w:val="000000"/>
                <w:sz w:val="16"/>
                <w:szCs w:val="16"/>
                <w:lang w:eastAsia="en-AU"/>
              </w:rPr>
              <w:t>4</w:t>
            </w:r>
            <w:r w:rsidR="00B81223" w:rsidRPr="00B81223">
              <w:rPr>
                <w:rFonts w:ascii="Calibri" w:hAnsi="Calibri" w:cs="Calibri"/>
                <w:color w:val="000000"/>
                <w:sz w:val="16"/>
                <w:szCs w:val="16"/>
                <w:lang w:eastAsia="en-AU"/>
              </w:rPr>
              <w:t>.0</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6E4AFA" w:rsidP="00B81223">
            <w:pPr>
              <w:jc w:val="center"/>
              <w:rPr>
                <w:rFonts w:ascii="Calibri" w:hAnsi="Calibri" w:cs="Calibri"/>
                <w:color w:val="000000"/>
                <w:sz w:val="16"/>
                <w:szCs w:val="16"/>
                <w:lang w:eastAsia="en-AU"/>
              </w:rPr>
            </w:pPr>
            <w:r>
              <w:rPr>
                <w:rFonts w:ascii="Calibri" w:hAnsi="Calibri" w:cs="Calibri"/>
                <w:color w:val="000000"/>
                <w:sz w:val="16"/>
                <w:szCs w:val="16"/>
                <w:lang w:eastAsia="en-AU"/>
              </w:rPr>
              <w:t>4</w:t>
            </w:r>
            <w:r w:rsidR="00B81223" w:rsidRPr="00B81223">
              <w:rPr>
                <w:rFonts w:ascii="Calibri" w:hAnsi="Calibri" w:cs="Calibri"/>
                <w:color w:val="000000"/>
                <w:sz w:val="16"/>
                <w:szCs w:val="16"/>
                <w:lang w:eastAsia="en-AU"/>
              </w:rPr>
              <w:t>.0</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0.0</w:t>
            </w:r>
          </w:p>
        </w:tc>
      </w:tr>
      <w:tr w:rsidR="00B81223" w:rsidRPr="00B81223">
        <w:trPr>
          <w:trHeight w:val="480"/>
        </w:trPr>
        <w:tc>
          <w:tcPr>
            <w:tcW w:w="1660" w:type="dxa"/>
            <w:tcBorders>
              <w:top w:val="nil"/>
              <w:left w:val="single" w:sz="4" w:space="0" w:color="auto"/>
              <w:bottom w:val="single" w:sz="4" w:space="0" w:color="auto"/>
              <w:right w:val="single" w:sz="4" w:space="0" w:color="auto"/>
            </w:tcBorders>
            <w:shd w:val="clear" w:color="auto" w:fill="auto"/>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Use of percentiles</w:t>
            </w:r>
          </w:p>
        </w:tc>
        <w:tc>
          <w:tcPr>
            <w:tcW w:w="1120" w:type="dxa"/>
            <w:tcBorders>
              <w:top w:val="nil"/>
              <w:left w:val="nil"/>
              <w:bottom w:val="single" w:sz="4" w:space="0" w:color="auto"/>
              <w:right w:val="single" w:sz="4" w:space="0" w:color="auto"/>
            </w:tcBorders>
            <w:shd w:val="clear" w:color="auto" w:fill="auto"/>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Median</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4.0</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4.0</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4.0</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0.0</w:t>
            </w:r>
          </w:p>
        </w:tc>
      </w:tr>
      <w:tr w:rsidR="00B81223" w:rsidRPr="00B81223">
        <w:trPr>
          <w:trHeight w:val="225"/>
        </w:trPr>
        <w:tc>
          <w:tcPr>
            <w:tcW w:w="166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r>
      <w:tr w:rsidR="00B81223" w:rsidRPr="00B81223">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tcPr>
          <w:p w:rsidR="00B81223" w:rsidRPr="00B81223" w:rsidRDefault="00B81223" w:rsidP="00B81223">
            <w:pPr>
              <w:rPr>
                <w:rFonts w:ascii="Calibri" w:hAnsi="Calibri" w:cs="Calibri"/>
                <w:color w:val="000000"/>
                <w:sz w:val="16"/>
                <w:szCs w:val="16"/>
                <w:lang w:eastAsia="en-AU"/>
              </w:rPr>
            </w:pPr>
            <w:r w:rsidRPr="00B81223">
              <w:rPr>
                <w:rFonts w:ascii="Calibri" w:hAnsi="Calibri" w:cs="Calibri"/>
                <w:color w:val="000000"/>
                <w:sz w:val="16"/>
                <w:szCs w:val="16"/>
                <w:lang w:eastAsia="en-AU"/>
              </w:rPr>
              <w:t>Year</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2010-11</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2009-10</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2008-09</w:t>
            </w:r>
          </w:p>
        </w:tc>
      </w:tr>
      <w:tr w:rsidR="00B81223" w:rsidRPr="00B81223">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81223" w:rsidRPr="00B81223" w:rsidRDefault="00606932" w:rsidP="00B81223">
            <w:pPr>
              <w:rPr>
                <w:rFonts w:ascii="Calibri" w:hAnsi="Calibri" w:cs="Calibri"/>
                <w:color w:val="000000"/>
                <w:sz w:val="16"/>
                <w:szCs w:val="16"/>
                <w:lang w:eastAsia="en-AU"/>
              </w:rPr>
            </w:pPr>
            <w:r w:rsidRPr="00CB6A7D">
              <w:rPr>
                <w:rFonts w:ascii="Calibri" w:hAnsi="Calibri" w:cs="Calibri"/>
                <w:color w:val="000000"/>
                <w:sz w:val="16"/>
                <w:szCs w:val="16"/>
                <w:lang w:eastAsia="en-AU"/>
              </w:rPr>
              <w:t>Percentage by which the conversion factor over or under estimates the weight of imports</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 </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6E4AFA" w:rsidP="00B81223">
            <w:pPr>
              <w:jc w:val="center"/>
              <w:rPr>
                <w:rFonts w:ascii="Calibri" w:hAnsi="Calibri" w:cs="Calibri"/>
                <w:color w:val="000000"/>
                <w:sz w:val="16"/>
                <w:szCs w:val="16"/>
                <w:lang w:eastAsia="en-AU"/>
              </w:rPr>
            </w:pPr>
            <w:r>
              <w:rPr>
                <w:rFonts w:ascii="Calibri" w:hAnsi="Calibri" w:cs="Calibri"/>
                <w:color w:val="000000"/>
                <w:sz w:val="16"/>
                <w:szCs w:val="16"/>
                <w:lang w:eastAsia="en-AU"/>
              </w:rPr>
              <w:t>0</w:t>
            </w:r>
            <w:r w:rsidR="00B81223" w:rsidRPr="00B81223">
              <w:rPr>
                <w:rFonts w:ascii="Calibri" w:hAnsi="Calibri" w:cs="Calibri"/>
                <w:color w:val="000000"/>
                <w:sz w:val="16"/>
                <w:szCs w:val="16"/>
                <w:lang w:eastAsia="en-AU"/>
              </w:rPr>
              <w:t>%</w:t>
            </w:r>
          </w:p>
        </w:tc>
      </w:tr>
    </w:tbl>
    <w:p w:rsidR="00B81223" w:rsidRDefault="00B81223" w:rsidP="000941E0">
      <w:pPr>
        <w:jc w:val="both"/>
        <w:rPr>
          <w:szCs w:val="22"/>
        </w:rPr>
      </w:pPr>
    </w:p>
    <w:p w:rsidR="001A78F2" w:rsidRDefault="001F091D">
      <w:pPr>
        <w:rPr>
          <w:szCs w:val="22"/>
        </w:rPr>
      </w:pPr>
      <w:r w:rsidRPr="005A3097">
        <w:rPr>
          <w:b/>
          <w:szCs w:val="22"/>
        </w:rPr>
        <w:t>Distribution:</w:t>
      </w:r>
      <w:r>
        <w:rPr>
          <w:b/>
          <w:szCs w:val="22"/>
        </w:rPr>
        <w:t xml:space="preserve"> </w:t>
      </w:r>
      <w:r>
        <w:rPr>
          <w:szCs w:val="22"/>
        </w:rPr>
        <w:t xml:space="preserve">One brand reporting one model. </w:t>
      </w:r>
      <w:r w:rsidR="001D1C03">
        <w:rPr>
          <w:szCs w:val="22"/>
        </w:rPr>
        <w:t xml:space="preserve"> </w:t>
      </w:r>
      <w:r>
        <w:rPr>
          <w:szCs w:val="22"/>
        </w:rPr>
        <w:t>Last imported in 2008-09.</w:t>
      </w:r>
    </w:p>
    <w:p w:rsidR="001A78F2" w:rsidRDefault="001F091D">
      <w:pPr>
        <w:rPr>
          <w:szCs w:val="22"/>
        </w:rPr>
      </w:pPr>
      <w:r>
        <w:rPr>
          <w:b/>
          <w:szCs w:val="22"/>
        </w:rPr>
        <w:t>Proposed conversion factor</w:t>
      </w:r>
      <w:r w:rsidRPr="00416A67">
        <w:rPr>
          <w:szCs w:val="22"/>
        </w:rPr>
        <w:t xml:space="preserve">: </w:t>
      </w:r>
      <w:r>
        <w:rPr>
          <w:szCs w:val="22"/>
        </w:rPr>
        <w:t>4</w:t>
      </w:r>
      <w:r>
        <w:rPr>
          <w:rFonts w:ascii="Calibri" w:hAnsi="Calibri" w:cs="Calibri"/>
          <w:color w:val="000000"/>
          <w:sz w:val="16"/>
          <w:szCs w:val="16"/>
          <w:lang w:eastAsia="en-AU"/>
        </w:rPr>
        <w:t xml:space="preserve"> </w:t>
      </w:r>
      <w:r>
        <w:rPr>
          <w:szCs w:val="22"/>
        </w:rPr>
        <w:t>kg</w:t>
      </w:r>
    </w:p>
    <w:p w:rsidR="001A78F2" w:rsidRDefault="001F091D">
      <w:pPr>
        <w:rPr>
          <w:szCs w:val="22"/>
        </w:rPr>
      </w:pPr>
      <w:r>
        <w:rPr>
          <w:b/>
          <w:szCs w:val="22"/>
        </w:rPr>
        <w:t>Proposed confidence interval</w:t>
      </w:r>
      <w:r w:rsidRPr="00B02F83">
        <w:rPr>
          <w:szCs w:val="22"/>
        </w:rPr>
        <w:t xml:space="preserve">: </w:t>
      </w:r>
      <w:r>
        <w:rPr>
          <w:szCs w:val="22"/>
        </w:rPr>
        <w:t xml:space="preserve"> </w:t>
      </w:r>
      <w:r w:rsidRPr="000650C4">
        <w:rPr>
          <w:szCs w:val="22"/>
        </w:rPr>
        <w:t xml:space="preserve">± </w:t>
      </w:r>
      <w:r>
        <w:rPr>
          <w:szCs w:val="22"/>
        </w:rPr>
        <w:t>0</w:t>
      </w:r>
      <w:r w:rsidRPr="000650C4">
        <w:rPr>
          <w:szCs w:val="22"/>
        </w:rPr>
        <w:t xml:space="preserve"> kg</w:t>
      </w:r>
    </w:p>
    <w:p w:rsidR="001A78F2" w:rsidRDefault="00C62346">
      <w:pPr>
        <w:rPr>
          <w:szCs w:val="22"/>
        </w:rPr>
      </w:pPr>
      <w:r>
        <w:rPr>
          <w:b/>
          <w:szCs w:val="22"/>
        </w:rPr>
        <w:t xml:space="preserve">Variation over time: </w:t>
      </w:r>
      <w:r w:rsidR="005C1111">
        <w:rPr>
          <w:szCs w:val="22"/>
        </w:rPr>
        <w:t>Unknown</w:t>
      </w:r>
    </w:p>
    <w:p w:rsidR="001A78F2" w:rsidRDefault="001A78F2">
      <w:pPr>
        <w:rPr>
          <w:szCs w:val="22"/>
        </w:rPr>
      </w:pPr>
    </w:p>
    <w:p w:rsidR="001A78F2" w:rsidRDefault="001A78F2">
      <w:pPr>
        <w:rPr>
          <w:szCs w:val="22"/>
        </w:rPr>
      </w:pPr>
    </w:p>
    <w:p w:rsidR="001A78F2" w:rsidRDefault="001A78F2">
      <w:pPr>
        <w:rPr>
          <w:szCs w:val="22"/>
        </w:rPr>
      </w:pPr>
    </w:p>
    <w:p w:rsidR="001A78F2" w:rsidRDefault="001A78F2">
      <w:pPr>
        <w:rPr>
          <w:szCs w:val="22"/>
        </w:rPr>
      </w:pPr>
    </w:p>
    <w:p w:rsidR="001A78F2" w:rsidRDefault="001A78F2">
      <w:pPr>
        <w:rPr>
          <w:szCs w:val="22"/>
        </w:rPr>
      </w:pPr>
    </w:p>
    <w:p w:rsidR="00EF40A3" w:rsidRDefault="00EF40A3" w:rsidP="000941E0">
      <w:pPr>
        <w:jc w:val="both"/>
        <w:rPr>
          <w:szCs w:val="22"/>
        </w:rPr>
      </w:pPr>
    </w:p>
    <w:p w:rsidR="00EF40A3" w:rsidRDefault="00EF40A3" w:rsidP="000941E0">
      <w:pPr>
        <w:jc w:val="both"/>
        <w:rPr>
          <w:szCs w:val="22"/>
        </w:rPr>
      </w:pPr>
    </w:p>
    <w:p w:rsidR="00EF40A3" w:rsidRDefault="00EF40A3" w:rsidP="000941E0">
      <w:pPr>
        <w:jc w:val="both"/>
        <w:rPr>
          <w:szCs w:val="22"/>
        </w:rPr>
      </w:pPr>
    </w:p>
    <w:p w:rsidR="00876A52" w:rsidRDefault="00876A52" w:rsidP="000941E0">
      <w:pPr>
        <w:jc w:val="both"/>
        <w:rPr>
          <w:szCs w:val="22"/>
        </w:rPr>
      </w:pPr>
    </w:p>
    <w:p w:rsidR="00AF06F4" w:rsidRDefault="00AF06F4">
      <w:pPr>
        <w:rPr>
          <w:rFonts w:ascii="Arial" w:hAnsi="Arial" w:cs="Arial"/>
          <w:b/>
          <w:bCs/>
          <w:color w:val="000000"/>
          <w:szCs w:val="22"/>
          <w:lang w:eastAsia="en-AU"/>
        </w:rPr>
      </w:pPr>
    </w:p>
    <w:p w:rsidR="00EF40A3" w:rsidRDefault="006E4AFA" w:rsidP="000941E0">
      <w:pPr>
        <w:jc w:val="both"/>
        <w:rPr>
          <w:rFonts w:ascii="Arial" w:hAnsi="Arial" w:cs="Arial"/>
          <w:b/>
          <w:bCs/>
          <w:color w:val="000000"/>
          <w:szCs w:val="22"/>
          <w:lang w:eastAsia="en-AU"/>
        </w:rPr>
      </w:pPr>
      <w:r w:rsidRPr="00B81223">
        <w:rPr>
          <w:rFonts w:ascii="Arial" w:hAnsi="Arial" w:cs="Arial"/>
          <w:b/>
          <w:bCs/>
          <w:color w:val="000000"/>
          <w:szCs w:val="22"/>
          <w:lang w:eastAsia="en-AU"/>
        </w:rPr>
        <w:t>SC07 8528.72.00 76 - Clr TVs:</w:t>
      </w:r>
      <w:r>
        <w:rPr>
          <w:rFonts w:ascii="Arial" w:hAnsi="Arial" w:cs="Arial"/>
          <w:b/>
          <w:bCs/>
          <w:color w:val="000000"/>
          <w:szCs w:val="22"/>
          <w:lang w:eastAsia="en-AU"/>
        </w:rPr>
        <w:t xml:space="preserve"> Digital</w:t>
      </w:r>
      <w:r w:rsidRPr="00B81223">
        <w:rPr>
          <w:rFonts w:ascii="Arial" w:hAnsi="Arial" w:cs="Arial"/>
          <w:b/>
          <w:bCs/>
          <w:color w:val="000000"/>
          <w:szCs w:val="22"/>
          <w:lang w:eastAsia="en-AU"/>
        </w:rPr>
        <w:t xml:space="preserve"> CRT </w:t>
      </w:r>
      <w:r>
        <w:rPr>
          <w:rFonts w:ascii="Arial" w:hAnsi="Arial" w:cs="Arial"/>
          <w:b/>
          <w:bCs/>
          <w:color w:val="000000"/>
          <w:szCs w:val="22"/>
          <w:lang w:eastAsia="en-AU"/>
        </w:rPr>
        <w:t xml:space="preserve">other screen </w:t>
      </w:r>
      <w:r w:rsidRPr="00B81223">
        <w:rPr>
          <w:rFonts w:ascii="Arial" w:hAnsi="Arial" w:cs="Arial"/>
          <w:b/>
          <w:bCs/>
          <w:color w:val="000000"/>
          <w:szCs w:val="22"/>
          <w:lang w:eastAsia="en-AU"/>
        </w:rPr>
        <w:t>34-50cm</w:t>
      </w:r>
    </w:p>
    <w:p w:rsidR="00BC4FED" w:rsidRDefault="00BC4FED" w:rsidP="000941E0">
      <w:pPr>
        <w:jc w:val="both"/>
        <w:rPr>
          <w:rFonts w:ascii="Arial" w:hAnsi="Arial" w:cs="Arial"/>
          <w:b/>
          <w:bCs/>
          <w:color w:val="000000"/>
          <w:szCs w:val="22"/>
          <w:lang w:eastAsia="en-AU"/>
        </w:rPr>
      </w:pPr>
    </w:p>
    <w:p w:rsidR="00EF40A3" w:rsidRPr="00BC4FED" w:rsidRDefault="002652C5" w:rsidP="00BC4FED">
      <w:pPr>
        <w:pStyle w:val="Caption"/>
        <w:keepNext/>
      </w:pPr>
      <w:r>
        <w:t xml:space="preserve">Figure 5-54     </w:t>
      </w:r>
      <w:r w:rsidR="00AC1355">
        <w:t>HTISC frequency distribution in CF year</w:t>
      </w:r>
    </w:p>
    <w:p w:rsidR="00DE3252" w:rsidRDefault="00AF06F4" w:rsidP="000941E0">
      <w:pPr>
        <w:jc w:val="both"/>
        <w:rPr>
          <w:szCs w:val="22"/>
        </w:rPr>
      </w:pPr>
      <w:r w:rsidRPr="00AF06F4">
        <w:rPr>
          <w:noProof/>
          <w:szCs w:val="22"/>
          <w:lang w:eastAsia="en-AU"/>
        </w:rPr>
        <w:drawing>
          <wp:inline distT="0" distB="0" distL="0" distR="0">
            <wp:extent cx="4889500" cy="2984500"/>
            <wp:effectExtent l="19050" t="0" r="25400" b="6350"/>
            <wp:docPr id="3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DE3252" w:rsidRDefault="00DE3252" w:rsidP="000941E0">
      <w:pPr>
        <w:jc w:val="both"/>
        <w:rPr>
          <w:szCs w:val="22"/>
        </w:rPr>
      </w:pPr>
    </w:p>
    <w:p w:rsidR="00D73340" w:rsidRDefault="00D73340" w:rsidP="000941E0">
      <w:pPr>
        <w:jc w:val="both"/>
        <w:rPr>
          <w:szCs w:val="22"/>
        </w:rPr>
      </w:pPr>
    </w:p>
    <w:p w:rsidR="00D73340" w:rsidRPr="00D73340" w:rsidRDefault="00207129" w:rsidP="00D73340">
      <w:pPr>
        <w:pStyle w:val="Caption"/>
      </w:pPr>
      <w:r>
        <w:t xml:space="preserve">Table 5-43  </w:t>
      </w:r>
      <w:r w:rsidR="00D73340">
        <w:t>Conversion factor statistics</w:t>
      </w:r>
    </w:p>
    <w:tbl>
      <w:tblPr>
        <w:tblW w:w="7260" w:type="dxa"/>
        <w:tblInd w:w="93" w:type="dxa"/>
        <w:tblLook w:val="04A0"/>
      </w:tblPr>
      <w:tblGrid>
        <w:gridCol w:w="1660"/>
        <w:gridCol w:w="1120"/>
        <w:gridCol w:w="1120"/>
        <w:gridCol w:w="1120"/>
        <w:gridCol w:w="1120"/>
        <w:gridCol w:w="1120"/>
      </w:tblGrid>
      <w:tr w:rsidR="00B81223" w:rsidRPr="00B81223">
        <w:trPr>
          <w:trHeight w:val="450"/>
        </w:trPr>
        <w:tc>
          <w:tcPr>
            <w:tcW w:w="1660" w:type="dxa"/>
            <w:tcBorders>
              <w:top w:val="single" w:sz="4" w:space="0" w:color="auto"/>
              <w:left w:val="single" w:sz="4" w:space="0" w:color="auto"/>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CF year</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No. of ABS imports</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 ABS imports included</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Min weight</w:t>
            </w:r>
            <w:r w:rsidRPr="00B81223">
              <w:rPr>
                <w:rFonts w:ascii="Calibri" w:hAnsi="Calibri" w:cs="Calibri"/>
                <w:color w:val="000000"/>
                <w:sz w:val="16"/>
                <w:szCs w:val="16"/>
                <w:lang w:eastAsia="en-AU"/>
              </w:rPr>
              <w:br/>
              <w:t>(kg)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Max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Standard deviation</w:t>
            </w:r>
          </w:p>
        </w:tc>
      </w:tr>
      <w:tr w:rsidR="00B81223" w:rsidRPr="00B81223">
        <w:trPr>
          <w:trHeight w:val="225"/>
        </w:trPr>
        <w:tc>
          <w:tcPr>
            <w:tcW w:w="1660" w:type="dxa"/>
            <w:tcBorders>
              <w:top w:val="nil"/>
              <w:left w:val="single" w:sz="4" w:space="0" w:color="auto"/>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2010-11</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19,563</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2%</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5</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5.0</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2.9</w:t>
            </w:r>
          </w:p>
        </w:tc>
      </w:tr>
      <w:tr w:rsidR="00B81223" w:rsidRPr="00B81223">
        <w:trPr>
          <w:trHeight w:val="225"/>
        </w:trPr>
        <w:tc>
          <w:tcPr>
            <w:tcW w:w="166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r>
      <w:tr w:rsidR="00B81223" w:rsidRPr="00B81223">
        <w:trPr>
          <w:trHeight w:val="450"/>
        </w:trPr>
        <w:tc>
          <w:tcPr>
            <w:tcW w:w="1660" w:type="dxa"/>
            <w:tcBorders>
              <w:top w:val="single" w:sz="4" w:space="0" w:color="auto"/>
              <w:left w:val="single" w:sz="4" w:space="0" w:color="auto"/>
              <w:bottom w:val="nil"/>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Method</w:t>
            </w:r>
          </w:p>
        </w:tc>
        <w:tc>
          <w:tcPr>
            <w:tcW w:w="1120" w:type="dxa"/>
            <w:tcBorders>
              <w:top w:val="single" w:sz="4" w:space="0" w:color="auto"/>
              <w:left w:val="nil"/>
              <w:bottom w:val="nil"/>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Measure of average</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Average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Lower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Upper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Confidence interval ± (kg)</w:t>
            </w:r>
          </w:p>
        </w:tc>
      </w:tr>
      <w:tr w:rsidR="00B81223" w:rsidRPr="00B81223">
        <w:trPr>
          <w:trHeight w:val="48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Approximation to the normal distribution</w:t>
            </w:r>
          </w:p>
        </w:tc>
        <w:tc>
          <w:tcPr>
            <w:tcW w:w="1120" w:type="dxa"/>
            <w:tcBorders>
              <w:top w:val="single" w:sz="4" w:space="0" w:color="auto"/>
              <w:left w:val="nil"/>
              <w:bottom w:val="single" w:sz="4" w:space="0" w:color="auto"/>
              <w:right w:val="single" w:sz="4" w:space="0" w:color="auto"/>
            </w:tcBorders>
            <w:shd w:val="clear" w:color="auto" w:fill="auto"/>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Mean</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5.0</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6E4AFA" w:rsidP="00B81223">
            <w:pPr>
              <w:jc w:val="center"/>
              <w:rPr>
                <w:rFonts w:ascii="Calibri" w:hAnsi="Calibri" w:cs="Calibri"/>
                <w:color w:val="000000"/>
                <w:sz w:val="16"/>
                <w:szCs w:val="16"/>
                <w:lang w:eastAsia="en-AU"/>
              </w:rPr>
            </w:pPr>
            <w:r>
              <w:rPr>
                <w:rFonts w:ascii="Calibri" w:hAnsi="Calibri" w:cs="Calibri"/>
                <w:color w:val="000000"/>
                <w:sz w:val="16"/>
                <w:szCs w:val="16"/>
                <w:lang w:eastAsia="en-AU"/>
              </w:rPr>
              <w:t>5.0</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6E4AFA" w:rsidP="00B81223">
            <w:pPr>
              <w:jc w:val="center"/>
              <w:rPr>
                <w:rFonts w:ascii="Calibri" w:hAnsi="Calibri" w:cs="Calibri"/>
                <w:color w:val="000000"/>
                <w:sz w:val="16"/>
                <w:szCs w:val="16"/>
                <w:lang w:eastAsia="en-AU"/>
              </w:rPr>
            </w:pPr>
            <w:r>
              <w:rPr>
                <w:rFonts w:ascii="Calibri" w:hAnsi="Calibri" w:cs="Calibri"/>
                <w:color w:val="000000"/>
                <w:sz w:val="16"/>
                <w:szCs w:val="16"/>
                <w:lang w:eastAsia="en-AU"/>
              </w:rPr>
              <w:t>5.0</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5.7</w:t>
            </w:r>
          </w:p>
        </w:tc>
      </w:tr>
      <w:tr w:rsidR="00B81223" w:rsidRPr="00B81223">
        <w:trPr>
          <w:trHeight w:val="480"/>
        </w:trPr>
        <w:tc>
          <w:tcPr>
            <w:tcW w:w="1660" w:type="dxa"/>
            <w:tcBorders>
              <w:top w:val="nil"/>
              <w:left w:val="single" w:sz="4" w:space="0" w:color="auto"/>
              <w:bottom w:val="single" w:sz="4" w:space="0" w:color="auto"/>
              <w:right w:val="single" w:sz="4" w:space="0" w:color="auto"/>
            </w:tcBorders>
            <w:shd w:val="clear" w:color="auto" w:fill="auto"/>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Use of percentiles</w:t>
            </w:r>
          </w:p>
        </w:tc>
        <w:tc>
          <w:tcPr>
            <w:tcW w:w="1120" w:type="dxa"/>
            <w:tcBorders>
              <w:top w:val="nil"/>
              <w:left w:val="nil"/>
              <w:bottom w:val="single" w:sz="4" w:space="0" w:color="auto"/>
              <w:right w:val="single" w:sz="4" w:space="0" w:color="auto"/>
            </w:tcBorders>
            <w:shd w:val="clear" w:color="auto" w:fill="auto"/>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Median</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5.0</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5.0</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5.0</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0.0</w:t>
            </w:r>
          </w:p>
        </w:tc>
      </w:tr>
      <w:tr w:rsidR="00B81223" w:rsidRPr="00B81223">
        <w:trPr>
          <w:trHeight w:val="225"/>
        </w:trPr>
        <w:tc>
          <w:tcPr>
            <w:tcW w:w="166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r>
      <w:tr w:rsidR="00B81223" w:rsidRPr="00B81223">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tcPr>
          <w:p w:rsidR="00B81223" w:rsidRPr="00B81223" w:rsidRDefault="00B81223" w:rsidP="00B81223">
            <w:pPr>
              <w:rPr>
                <w:rFonts w:ascii="Calibri" w:hAnsi="Calibri" w:cs="Calibri"/>
                <w:color w:val="000000"/>
                <w:sz w:val="16"/>
                <w:szCs w:val="16"/>
                <w:lang w:eastAsia="en-AU"/>
              </w:rPr>
            </w:pPr>
            <w:r w:rsidRPr="00B81223">
              <w:rPr>
                <w:rFonts w:ascii="Calibri" w:hAnsi="Calibri" w:cs="Calibri"/>
                <w:color w:val="000000"/>
                <w:sz w:val="16"/>
                <w:szCs w:val="16"/>
                <w:lang w:eastAsia="en-AU"/>
              </w:rPr>
              <w:t>Year</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2010-11</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2009-10</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2008-09</w:t>
            </w:r>
          </w:p>
        </w:tc>
      </w:tr>
      <w:tr w:rsidR="00B81223" w:rsidRPr="00B81223">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81223" w:rsidRPr="00B81223" w:rsidRDefault="00606932" w:rsidP="00B81223">
            <w:pPr>
              <w:rPr>
                <w:rFonts w:ascii="Calibri" w:hAnsi="Calibri" w:cs="Calibri"/>
                <w:color w:val="000000"/>
                <w:sz w:val="16"/>
                <w:szCs w:val="16"/>
                <w:lang w:eastAsia="en-AU"/>
              </w:rPr>
            </w:pPr>
            <w:r w:rsidRPr="00CB6A7D">
              <w:rPr>
                <w:rFonts w:ascii="Calibri" w:hAnsi="Calibri" w:cs="Calibri"/>
                <w:color w:val="000000"/>
                <w:sz w:val="16"/>
                <w:szCs w:val="16"/>
                <w:lang w:eastAsia="en-AU"/>
              </w:rPr>
              <w:t>Percentage by which the conversion factor over or under estimates the weight of imports</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6E4AFA" w:rsidP="00B81223">
            <w:pPr>
              <w:jc w:val="center"/>
              <w:rPr>
                <w:rFonts w:ascii="Calibri" w:hAnsi="Calibri" w:cs="Calibri"/>
                <w:color w:val="000000"/>
                <w:sz w:val="16"/>
                <w:szCs w:val="16"/>
                <w:lang w:eastAsia="en-AU"/>
              </w:rPr>
            </w:pPr>
            <w:r>
              <w:rPr>
                <w:rFonts w:ascii="Calibri" w:hAnsi="Calibri" w:cs="Calibri"/>
                <w:color w:val="000000"/>
                <w:sz w:val="16"/>
                <w:szCs w:val="16"/>
                <w:lang w:eastAsia="en-AU"/>
              </w:rPr>
              <w:t>0</w:t>
            </w:r>
            <w:r w:rsidR="00B81223" w:rsidRPr="00B81223">
              <w:rPr>
                <w:rFonts w:ascii="Calibri" w:hAnsi="Calibri" w:cs="Calibri"/>
                <w:color w:val="000000"/>
                <w:sz w:val="16"/>
                <w:szCs w:val="16"/>
                <w:lang w:eastAsia="en-AU"/>
              </w:rPr>
              <w:t>%</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6E4AFA" w:rsidP="00B81223">
            <w:pPr>
              <w:jc w:val="center"/>
              <w:rPr>
                <w:rFonts w:ascii="Calibri" w:hAnsi="Calibri" w:cs="Calibri"/>
                <w:color w:val="000000"/>
                <w:sz w:val="16"/>
                <w:szCs w:val="16"/>
                <w:lang w:eastAsia="en-AU"/>
              </w:rPr>
            </w:pPr>
            <w:r>
              <w:rPr>
                <w:rFonts w:ascii="Calibri" w:hAnsi="Calibri" w:cs="Calibri"/>
                <w:color w:val="000000"/>
                <w:sz w:val="16"/>
                <w:szCs w:val="16"/>
                <w:lang w:eastAsia="en-AU"/>
              </w:rPr>
              <w:t>0</w:t>
            </w:r>
            <w:r w:rsidR="00B81223" w:rsidRPr="00B81223">
              <w:rPr>
                <w:rFonts w:ascii="Calibri" w:hAnsi="Calibri" w:cs="Calibri"/>
                <w:color w:val="000000"/>
                <w:sz w:val="16"/>
                <w:szCs w:val="16"/>
                <w:lang w:eastAsia="en-AU"/>
              </w:rPr>
              <w:t>%</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6E4AFA" w:rsidP="00B81223">
            <w:pPr>
              <w:jc w:val="center"/>
              <w:rPr>
                <w:rFonts w:ascii="Calibri" w:hAnsi="Calibri" w:cs="Calibri"/>
                <w:color w:val="000000"/>
                <w:sz w:val="16"/>
                <w:szCs w:val="16"/>
                <w:lang w:eastAsia="en-AU"/>
              </w:rPr>
            </w:pPr>
            <w:r>
              <w:rPr>
                <w:rFonts w:ascii="Calibri" w:hAnsi="Calibri" w:cs="Calibri"/>
                <w:color w:val="000000"/>
                <w:sz w:val="16"/>
                <w:szCs w:val="16"/>
                <w:lang w:eastAsia="en-AU"/>
              </w:rPr>
              <w:t>0</w:t>
            </w:r>
            <w:r w:rsidR="00B81223" w:rsidRPr="00B81223">
              <w:rPr>
                <w:rFonts w:ascii="Calibri" w:hAnsi="Calibri" w:cs="Calibri"/>
                <w:color w:val="000000"/>
                <w:sz w:val="16"/>
                <w:szCs w:val="16"/>
                <w:lang w:eastAsia="en-AU"/>
              </w:rPr>
              <w:t>%</w:t>
            </w:r>
          </w:p>
        </w:tc>
      </w:tr>
    </w:tbl>
    <w:p w:rsidR="001A78F2" w:rsidRDefault="001A78F2">
      <w:pPr>
        <w:rPr>
          <w:szCs w:val="22"/>
        </w:rPr>
      </w:pPr>
    </w:p>
    <w:p w:rsidR="001A78F2" w:rsidRDefault="00EF40A3">
      <w:pPr>
        <w:rPr>
          <w:szCs w:val="22"/>
        </w:rPr>
      </w:pPr>
      <w:r w:rsidRPr="005A3097">
        <w:rPr>
          <w:b/>
          <w:szCs w:val="22"/>
        </w:rPr>
        <w:t>Distribution:</w:t>
      </w:r>
      <w:r>
        <w:rPr>
          <w:b/>
          <w:szCs w:val="22"/>
        </w:rPr>
        <w:t xml:space="preserve"> </w:t>
      </w:r>
      <w:r>
        <w:rPr>
          <w:szCs w:val="22"/>
        </w:rPr>
        <w:t>One brand reporting one model at 5</w:t>
      </w:r>
      <w:r w:rsidR="00CB58FA">
        <w:rPr>
          <w:szCs w:val="22"/>
        </w:rPr>
        <w:t xml:space="preserve">.0 </w:t>
      </w:r>
      <w:r>
        <w:rPr>
          <w:szCs w:val="22"/>
        </w:rPr>
        <w:t>kg.</w:t>
      </w:r>
    </w:p>
    <w:p w:rsidR="001A78F2" w:rsidRDefault="00EF40A3">
      <w:pPr>
        <w:rPr>
          <w:szCs w:val="22"/>
        </w:rPr>
      </w:pPr>
      <w:r>
        <w:rPr>
          <w:b/>
          <w:szCs w:val="22"/>
        </w:rPr>
        <w:t>Proposed conversion factor</w:t>
      </w:r>
      <w:r w:rsidRPr="00416A67">
        <w:rPr>
          <w:szCs w:val="22"/>
        </w:rPr>
        <w:t xml:space="preserve">: </w:t>
      </w:r>
      <w:r>
        <w:rPr>
          <w:szCs w:val="22"/>
        </w:rPr>
        <w:t>5</w:t>
      </w:r>
      <w:r w:rsidR="00CB58FA">
        <w:rPr>
          <w:szCs w:val="22"/>
        </w:rPr>
        <w:t>.0</w:t>
      </w:r>
      <w:r>
        <w:rPr>
          <w:rFonts w:ascii="Calibri" w:hAnsi="Calibri" w:cs="Calibri"/>
          <w:color w:val="000000"/>
          <w:sz w:val="16"/>
          <w:szCs w:val="16"/>
          <w:lang w:eastAsia="en-AU"/>
        </w:rPr>
        <w:t xml:space="preserve"> </w:t>
      </w:r>
      <w:r>
        <w:rPr>
          <w:szCs w:val="22"/>
        </w:rPr>
        <w:t>kg</w:t>
      </w:r>
    </w:p>
    <w:p w:rsidR="001A78F2" w:rsidRDefault="00EF40A3">
      <w:pPr>
        <w:rPr>
          <w:szCs w:val="22"/>
        </w:rPr>
      </w:pPr>
      <w:r>
        <w:rPr>
          <w:b/>
          <w:szCs w:val="22"/>
        </w:rPr>
        <w:t>Proposed confidence interval</w:t>
      </w:r>
      <w:r w:rsidRPr="00B02F83">
        <w:rPr>
          <w:szCs w:val="22"/>
        </w:rPr>
        <w:t xml:space="preserve">: </w:t>
      </w:r>
      <w:r>
        <w:rPr>
          <w:szCs w:val="22"/>
        </w:rPr>
        <w:t xml:space="preserve"> </w:t>
      </w:r>
      <w:r w:rsidRPr="000650C4">
        <w:rPr>
          <w:szCs w:val="22"/>
        </w:rPr>
        <w:t xml:space="preserve">± </w:t>
      </w:r>
      <w:r>
        <w:rPr>
          <w:szCs w:val="22"/>
        </w:rPr>
        <w:t>0</w:t>
      </w:r>
      <w:r w:rsidRPr="000650C4">
        <w:rPr>
          <w:szCs w:val="22"/>
        </w:rPr>
        <w:t xml:space="preserve"> kg</w:t>
      </w:r>
    </w:p>
    <w:p w:rsidR="001A78F2" w:rsidRDefault="00C62346">
      <w:pPr>
        <w:rPr>
          <w:szCs w:val="22"/>
        </w:rPr>
      </w:pPr>
      <w:r>
        <w:rPr>
          <w:b/>
          <w:szCs w:val="22"/>
        </w:rPr>
        <w:t xml:space="preserve">Variation over time: </w:t>
      </w:r>
      <w:r w:rsidR="00EF40A3">
        <w:rPr>
          <w:szCs w:val="22"/>
        </w:rPr>
        <w:t>None</w:t>
      </w:r>
    </w:p>
    <w:p w:rsidR="001A78F2" w:rsidRDefault="001A78F2">
      <w:pPr>
        <w:rPr>
          <w:szCs w:val="22"/>
        </w:rPr>
      </w:pPr>
    </w:p>
    <w:p w:rsidR="001A78F2" w:rsidRDefault="001A78F2">
      <w:pPr>
        <w:rPr>
          <w:szCs w:val="22"/>
        </w:rPr>
      </w:pPr>
    </w:p>
    <w:p w:rsidR="00AF06F4" w:rsidRDefault="00AF06F4">
      <w:pPr>
        <w:rPr>
          <w:rFonts w:ascii="Arial" w:hAnsi="Arial" w:cs="Arial"/>
          <w:b/>
          <w:bCs/>
          <w:color w:val="000000"/>
          <w:szCs w:val="22"/>
          <w:lang w:eastAsia="en-AU"/>
        </w:rPr>
      </w:pPr>
      <w:r>
        <w:rPr>
          <w:rFonts w:ascii="Arial" w:hAnsi="Arial" w:cs="Arial"/>
          <w:b/>
          <w:bCs/>
          <w:color w:val="000000"/>
          <w:szCs w:val="22"/>
          <w:lang w:eastAsia="en-AU"/>
        </w:rPr>
        <w:br w:type="page"/>
      </w:r>
    </w:p>
    <w:p w:rsidR="001A78F2" w:rsidRDefault="006E4AFA">
      <w:pPr>
        <w:rPr>
          <w:rFonts w:ascii="Arial" w:hAnsi="Arial" w:cs="Arial"/>
          <w:b/>
          <w:bCs/>
          <w:color w:val="000000"/>
          <w:szCs w:val="22"/>
          <w:lang w:eastAsia="en-AU"/>
        </w:rPr>
      </w:pPr>
      <w:r w:rsidRPr="00B81223">
        <w:rPr>
          <w:rFonts w:ascii="Arial" w:hAnsi="Arial" w:cs="Arial"/>
          <w:b/>
          <w:bCs/>
          <w:color w:val="000000"/>
          <w:szCs w:val="22"/>
          <w:lang w:eastAsia="en-AU"/>
        </w:rPr>
        <w:t xml:space="preserve">SC07 8528.72.00 32 - Clr TVs: </w:t>
      </w:r>
      <w:r>
        <w:rPr>
          <w:rFonts w:ascii="Arial" w:hAnsi="Arial" w:cs="Arial"/>
          <w:b/>
          <w:bCs/>
          <w:color w:val="000000"/>
          <w:szCs w:val="22"/>
          <w:lang w:eastAsia="en-AU"/>
        </w:rPr>
        <w:t xml:space="preserve">Analogue </w:t>
      </w:r>
      <w:r w:rsidRPr="00B81223">
        <w:rPr>
          <w:rFonts w:ascii="Arial" w:hAnsi="Arial" w:cs="Arial"/>
          <w:b/>
          <w:bCs/>
          <w:color w:val="000000"/>
          <w:szCs w:val="22"/>
          <w:lang w:eastAsia="en-AU"/>
        </w:rPr>
        <w:t xml:space="preserve">CRT </w:t>
      </w:r>
      <w:r>
        <w:rPr>
          <w:rFonts w:ascii="Arial" w:hAnsi="Arial" w:cs="Arial"/>
          <w:b/>
          <w:bCs/>
          <w:color w:val="000000"/>
          <w:szCs w:val="22"/>
          <w:lang w:eastAsia="en-AU"/>
        </w:rPr>
        <w:t xml:space="preserve">flat screen </w:t>
      </w:r>
      <w:r w:rsidRPr="00B81223">
        <w:rPr>
          <w:rFonts w:ascii="Arial" w:hAnsi="Arial" w:cs="Arial"/>
          <w:b/>
          <w:bCs/>
          <w:color w:val="000000"/>
          <w:szCs w:val="22"/>
          <w:lang w:eastAsia="en-AU"/>
        </w:rPr>
        <w:t>51-67cm</w:t>
      </w:r>
    </w:p>
    <w:p w:rsidR="00BC4FED" w:rsidRDefault="00D73340">
      <w:pPr>
        <w:rPr>
          <w:rFonts w:ascii="Arial" w:hAnsi="Arial" w:cs="Arial"/>
          <w:b/>
          <w:bCs/>
          <w:color w:val="000000"/>
          <w:szCs w:val="22"/>
          <w:lang w:eastAsia="en-AU"/>
        </w:rPr>
      </w:pPr>
      <w:r>
        <w:rPr>
          <w:rFonts w:ascii="Arial" w:hAnsi="Arial" w:cs="Arial"/>
          <w:b/>
          <w:bCs/>
          <w:color w:val="000000"/>
          <w:szCs w:val="22"/>
          <w:lang w:eastAsia="en-AU"/>
        </w:rPr>
        <w:t xml:space="preserve"> </w:t>
      </w:r>
    </w:p>
    <w:p w:rsidR="00AF06F4" w:rsidRPr="00BC4FED" w:rsidRDefault="002652C5" w:rsidP="00BC4FED">
      <w:pPr>
        <w:pStyle w:val="Caption"/>
        <w:keepNext/>
      </w:pPr>
      <w:r>
        <w:t>Figure 5-5</w:t>
      </w:r>
      <w:r w:rsidR="00CB58FA">
        <w:t>5</w:t>
      </w:r>
      <w:r>
        <w:t xml:space="preserve">     </w:t>
      </w:r>
      <w:r w:rsidR="00AC1355">
        <w:t>HTISC frequency distribution in CF year</w:t>
      </w:r>
    </w:p>
    <w:p w:rsidR="00AF06F4" w:rsidRDefault="00AF06F4">
      <w:pPr>
        <w:rPr>
          <w:szCs w:val="22"/>
        </w:rPr>
      </w:pPr>
      <w:r w:rsidRPr="00AF06F4">
        <w:rPr>
          <w:noProof/>
          <w:szCs w:val="22"/>
          <w:lang w:eastAsia="en-AU"/>
        </w:rPr>
        <w:drawing>
          <wp:inline distT="0" distB="0" distL="0" distR="0">
            <wp:extent cx="4889500" cy="2984500"/>
            <wp:effectExtent l="19050" t="0" r="25400" b="6350"/>
            <wp:docPr id="44"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1A78F2" w:rsidRDefault="001A78F2">
      <w:pPr>
        <w:rPr>
          <w:szCs w:val="22"/>
        </w:rPr>
      </w:pPr>
    </w:p>
    <w:p w:rsidR="00D73340" w:rsidRDefault="00D73340">
      <w:pPr>
        <w:rPr>
          <w:szCs w:val="22"/>
        </w:rPr>
      </w:pPr>
    </w:p>
    <w:p w:rsidR="00D73340" w:rsidRPr="00D73340" w:rsidRDefault="00207129" w:rsidP="00D73340">
      <w:pPr>
        <w:pStyle w:val="Caption"/>
      </w:pPr>
      <w:r>
        <w:t xml:space="preserve">Table 5-44  </w:t>
      </w:r>
      <w:r w:rsidR="00D73340">
        <w:t>Conversion factor statistics</w:t>
      </w:r>
    </w:p>
    <w:tbl>
      <w:tblPr>
        <w:tblW w:w="7260" w:type="dxa"/>
        <w:tblInd w:w="93" w:type="dxa"/>
        <w:tblLook w:val="04A0"/>
      </w:tblPr>
      <w:tblGrid>
        <w:gridCol w:w="1660"/>
        <w:gridCol w:w="1120"/>
        <w:gridCol w:w="1120"/>
        <w:gridCol w:w="1120"/>
        <w:gridCol w:w="1120"/>
        <w:gridCol w:w="1120"/>
      </w:tblGrid>
      <w:tr w:rsidR="00B81223" w:rsidRPr="00B81223">
        <w:trPr>
          <w:trHeight w:val="450"/>
        </w:trPr>
        <w:tc>
          <w:tcPr>
            <w:tcW w:w="1660" w:type="dxa"/>
            <w:tcBorders>
              <w:top w:val="single" w:sz="4" w:space="0" w:color="auto"/>
              <w:left w:val="single" w:sz="4" w:space="0" w:color="auto"/>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CF year</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No. of ABS imports</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 ABS imports included</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Min weight</w:t>
            </w:r>
            <w:r w:rsidRPr="00B81223">
              <w:rPr>
                <w:rFonts w:ascii="Calibri" w:hAnsi="Calibri" w:cs="Calibri"/>
                <w:color w:val="000000"/>
                <w:sz w:val="16"/>
                <w:szCs w:val="16"/>
                <w:lang w:eastAsia="en-AU"/>
              </w:rPr>
              <w:br/>
              <w:t>(kg)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Max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Standard deviation</w:t>
            </w:r>
          </w:p>
        </w:tc>
      </w:tr>
      <w:tr w:rsidR="00B81223" w:rsidRPr="00B81223">
        <w:trPr>
          <w:trHeight w:val="225"/>
        </w:trPr>
        <w:tc>
          <w:tcPr>
            <w:tcW w:w="1660" w:type="dxa"/>
            <w:tcBorders>
              <w:top w:val="nil"/>
              <w:left w:val="single" w:sz="4" w:space="0" w:color="auto"/>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2009-10</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5,898</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310%</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17.7</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22.5</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5.7</w:t>
            </w:r>
          </w:p>
        </w:tc>
      </w:tr>
      <w:tr w:rsidR="00B81223" w:rsidRPr="00B81223">
        <w:trPr>
          <w:trHeight w:val="225"/>
        </w:trPr>
        <w:tc>
          <w:tcPr>
            <w:tcW w:w="166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r>
      <w:tr w:rsidR="00B81223" w:rsidRPr="00B81223">
        <w:trPr>
          <w:trHeight w:val="450"/>
        </w:trPr>
        <w:tc>
          <w:tcPr>
            <w:tcW w:w="1660" w:type="dxa"/>
            <w:tcBorders>
              <w:top w:val="single" w:sz="4" w:space="0" w:color="auto"/>
              <w:left w:val="single" w:sz="4" w:space="0" w:color="auto"/>
              <w:bottom w:val="nil"/>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Method</w:t>
            </w:r>
          </w:p>
        </w:tc>
        <w:tc>
          <w:tcPr>
            <w:tcW w:w="1120" w:type="dxa"/>
            <w:tcBorders>
              <w:top w:val="single" w:sz="4" w:space="0" w:color="auto"/>
              <w:left w:val="nil"/>
              <w:bottom w:val="nil"/>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Measure of average</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Average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Lower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Upper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Confidence interval ± (kg)</w:t>
            </w:r>
          </w:p>
        </w:tc>
      </w:tr>
      <w:tr w:rsidR="00B81223" w:rsidRPr="00B81223">
        <w:trPr>
          <w:trHeight w:val="48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Approximation to the normal distribution</w:t>
            </w:r>
          </w:p>
        </w:tc>
        <w:tc>
          <w:tcPr>
            <w:tcW w:w="1120" w:type="dxa"/>
            <w:tcBorders>
              <w:top w:val="single" w:sz="4" w:space="0" w:color="auto"/>
              <w:left w:val="nil"/>
              <w:bottom w:val="single" w:sz="4" w:space="0" w:color="auto"/>
              <w:right w:val="single" w:sz="4" w:space="0" w:color="auto"/>
            </w:tcBorders>
            <w:shd w:val="clear" w:color="auto" w:fill="auto"/>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Mean</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20.8</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8B5F69" w:rsidP="008B5F69">
            <w:pPr>
              <w:jc w:val="center"/>
              <w:rPr>
                <w:rFonts w:ascii="Calibri" w:hAnsi="Calibri" w:cs="Calibri"/>
                <w:color w:val="000000"/>
                <w:sz w:val="16"/>
                <w:szCs w:val="16"/>
                <w:lang w:eastAsia="en-AU"/>
              </w:rPr>
            </w:pPr>
            <w:r>
              <w:rPr>
                <w:rFonts w:ascii="Calibri" w:hAnsi="Calibri" w:cs="Calibri"/>
                <w:color w:val="000000"/>
                <w:sz w:val="16"/>
                <w:szCs w:val="16"/>
                <w:lang w:eastAsia="en-AU"/>
              </w:rPr>
              <w:t>9.6</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8B5F69" w:rsidP="008B5F69">
            <w:pPr>
              <w:jc w:val="center"/>
              <w:rPr>
                <w:rFonts w:ascii="Calibri" w:hAnsi="Calibri" w:cs="Calibri"/>
                <w:color w:val="000000"/>
                <w:sz w:val="16"/>
                <w:szCs w:val="16"/>
                <w:lang w:eastAsia="en-AU"/>
              </w:rPr>
            </w:pPr>
            <w:r>
              <w:rPr>
                <w:rFonts w:ascii="Calibri" w:hAnsi="Calibri" w:cs="Calibri"/>
                <w:color w:val="000000"/>
                <w:sz w:val="16"/>
                <w:szCs w:val="16"/>
                <w:lang w:eastAsia="en-AU"/>
              </w:rPr>
              <w:t>32.0</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11.2</w:t>
            </w:r>
          </w:p>
        </w:tc>
      </w:tr>
      <w:tr w:rsidR="00B81223" w:rsidRPr="00B81223">
        <w:trPr>
          <w:trHeight w:val="480"/>
        </w:trPr>
        <w:tc>
          <w:tcPr>
            <w:tcW w:w="1660" w:type="dxa"/>
            <w:tcBorders>
              <w:top w:val="nil"/>
              <w:left w:val="single" w:sz="4" w:space="0" w:color="auto"/>
              <w:bottom w:val="single" w:sz="4" w:space="0" w:color="auto"/>
              <w:right w:val="single" w:sz="4" w:space="0" w:color="auto"/>
            </w:tcBorders>
            <w:shd w:val="clear" w:color="auto" w:fill="auto"/>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Use of percentiles</w:t>
            </w:r>
          </w:p>
        </w:tc>
        <w:tc>
          <w:tcPr>
            <w:tcW w:w="1120" w:type="dxa"/>
            <w:tcBorders>
              <w:top w:val="nil"/>
              <w:left w:val="nil"/>
              <w:bottom w:val="single" w:sz="4" w:space="0" w:color="auto"/>
              <w:right w:val="single" w:sz="4" w:space="0" w:color="auto"/>
            </w:tcBorders>
            <w:shd w:val="clear" w:color="auto" w:fill="auto"/>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Median</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19.4</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17.8</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22.4</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3.0</w:t>
            </w:r>
          </w:p>
        </w:tc>
      </w:tr>
      <w:tr w:rsidR="00B81223" w:rsidRPr="00B81223">
        <w:trPr>
          <w:trHeight w:val="225"/>
        </w:trPr>
        <w:tc>
          <w:tcPr>
            <w:tcW w:w="166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B81223" w:rsidRPr="00B81223" w:rsidRDefault="00B81223" w:rsidP="00B81223">
            <w:pPr>
              <w:rPr>
                <w:rFonts w:ascii="Calibri" w:hAnsi="Calibri" w:cs="Calibri"/>
                <w:color w:val="000000"/>
                <w:sz w:val="16"/>
                <w:szCs w:val="16"/>
                <w:lang w:eastAsia="en-AU"/>
              </w:rPr>
            </w:pPr>
          </w:p>
        </w:tc>
      </w:tr>
      <w:tr w:rsidR="00B81223" w:rsidRPr="00B81223">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tcPr>
          <w:p w:rsidR="00B81223" w:rsidRPr="00B81223" w:rsidRDefault="00B81223" w:rsidP="00B81223">
            <w:pPr>
              <w:rPr>
                <w:rFonts w:ascii="Calibri" w:hAnsi="Calibri" w:cs="Calibri"/>
                <w:color w:val="000000"/>
                <w:sz w:val="16"/>
                <w:szCs w:val="16"/>
                <w:lang w:eastAsia="en-AU"/>
              </w:rPr>
            </w:pPr>
            <w:r w:rsidRPr="00B81223">
              <w:rPr>
                <w:rFonts w:ascii="Calibri" w:hAnsi="Calibri" w:cs="Calibri"/>
                <w:color w:val="000000"/>
                <w:sz w:val="16"/>
                <w:szCs w:val="16"/>
                <w:lang w:eastAsia="en-AU"/>
              </w:rPr>
              <w:t>Year</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2010-11</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2009-10</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2008-09</w:t>
            </w:r>
          </w:p>
        </w:tc>
      </w:tr>
      <w:tr w:rsidR="00B81223" w:rsidRPr="00B81223">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81223" w:rsidRPr="00B81223" w:rsidRDefault="00606932" w:rsidP="00B81223">
            <w:pPr>
              <w:rPr>
                <w:rFonts w:ascii="Calibri" w:hAnsi="Calibri" w:cs="Calibri"/>
                <w:color w:val="000000"/>
                <w:sz w:val="16"/>
                <w:szCs w:val="16"/>
                <w:lang w:eastAsia="en-AU"/>
              </w:rPr>
            </w:pPr>
            <w:r w:rsidRPr="00CB6A7D">
              <w:rPr>
                <w:rFonts w:ascii="Calibri" w:hAnsi="Calibri" w:cs="Calibri"/>
                <w:color w:val="000000"/>
                <w:sz w:val="16"/>
                <w:szCs w:val="16"/>
                <w:lang w:eastAsia="en-AU"/>
              </w:rPr>
              <w:t>Percentage by which the conversion factor over or under estimates the weight of imports</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 </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0%</w:t>
            </w:r>
          </w:p>
        </w:tc>
        <w:tc>
          <w:tcPr>
            <w:tcW w:w="1120" w:type="dxa"/>
            <w:tcBorders>
              <w:top w:val="nil"/>
              <w:left w:val="nil"/>
              <w:bottom w:val="single" w:sz="4" w:space="0" w:color="auto"/>
              <w:right w:val="single" w:sz="4" w:space="0" w:color="auto"/>
            </w:tcBorders>
            <w:shd w:val="clear" w:color="auto" w:fill="auto"/>
            <w:noWrap/>
            <w:vAlign w:val="center"/>
          </w:tcPr>
          <w:p w:rsidR="00B81223" w:rsidRPr="00B81223" w:rsidRDefault="00B81223" w:rsidP="00B81223">
            <w:pPr>
              <w:jc w:val="center"/>
              <w:rPr>
                <w:rFonts w:ascii="Calibri" w:hAnsi="Calibri" w:cs="Calibri"/>
                <w:color w:val="000000"/>
                <w:sz w:val="16"/>
                <w:szCs w:val="16"/>
                <w:lang w:eastAsia="en-AU"/>
              </w:rPr>
            </w:pPr>
            <w:r w:rsidRPr="00B81223">
              <w:rPr>
                <w:rFonts w:ascii="Calibri" w:hAnsi="Calibri" w:cs="Calibri"/>
                <w:color w:val="000000"/>
                <w:sz w:val="16"/>
                <w:szCs w:val="16"/>
                <w:lang w:eastAsia="en-AU"/>
              </w:rPr>
              <w:t>1%</w:t>
            </w:r>
          </w:p>
        </w:tc>
      </w:tr>
    </w:tbl>
    <w:p w:rsidR="00B81223" w:rsidRDefault="00B81223" w:rsidP="000941E0">
      <w:pPr>
        <w:jc w:val="both"/>
        <w:rPr>
          <w:szCs w:val="22"/>
        </w:rPr>
      </w:pPr>
    </w:p>
    <w:p w:rsidR="001A78F2" w:rsidRDefault="00EF40A3">
      <w:pPr>
        <w:rPr>
          <w:szCs w:val="22"/>
        </w:rPr>
      </w:pPr>
      <w:r w:rsidRPr="005A3097">
        <w:rPr>
          <w:b/>
          <w:szCs w:val="22"/>
        </w:rPr>
        <w:t>Distribution:</w:t>
      </w:r>
      <w:r>
        <w:rPr>
          <w:b/>
          <w:szCs w:val="22"/>
        </w:rPr>
        <w:t xml:space="preserve"> </w:t>
      </w:r>
      <w:r>
        <w:rPr>
          <w:szCs w:val="22"/>
        </w:rPr>
        <w:t>Distribut</w:t>
      </w:r>
      <w:r w:rsidR="008B5F69">
        <w:rPr>
          <w:szCs w:val="22"/>
        </w:rPr>
        <w:t>ion</w:t>
      </w:r>
      <w:r>
        <w:rPr>
          <w:szCs w:val="22"/>
        </w:rPr>
        <w:t xml:space="preserve"> between 18-24 kg</w:t>
      </w:r>
    </w:p>
    <w:p w:rsidR="001A78F2" w:rsidRDefault="00EF40A3">
      <w:pPr>
        <w:rPr>
          <w:szCs w:val="22"/>
        </w:rPr>
      </w:pPr>
      <w:r>
        <w:rPr>
          <w:b/>
          <w:szCs w:val="22"/>
        </w:rPr>
        <w:t>Proposed conversion factor</w:t>
      </w:r>
      <w:r w:rsidRPr="00416A67">
        <w:rPr>
          <w:szCs w:val="22"/>
        </w:rPr>
        <w:t xml:space="preserve">: </w:t>
      </w:r>
      <w:r>
        <w:rPr>
          <w:szCs w:val="22"/>
        </w:rPr>
        <w:t>20.8</w:t>
      </w:r>
      <w:r>
        <w:rPr>
          <w:rFonts w:ascii="Calibri" w:hAnsi="Calibri" w:cs="Calibri"/>
          <w:color w:val="000000"/>
          <w:sz w:val="16"/>
          <w:szCs w:val="16"/>
          <w:lang w:eastAsia="en-AU"/>
        </w:rPr>
        <w:t xml:space="preserve"> </w:t>
      </w:r>
      <w:r>
        <w:rPr>
          <w:szCs w:val="22"/>
        </w:rPr>
        <w:t>kg</w:t>
      </w:r>
    </w:p>
    <w:p w:rsidR="001A78F2" w:rsidRDefault="00EF40A3">
      <w:pPr>
        <w:rPr>
          <w:szCs w:val="22"/>
        </w:rPr>
      </w:pPr>
      <w:r>
        <w:rPr>
          <w:b/>
          <w:szCs w:val="22"/>
        </w:rPr>
        <w:t>Proposed confidence interval</w:t>
      </w:r>
      <w:r w:rsidRPr="00B02F83">
        <w:rPr>
          <w:szCs w:val="22"/>
        </w:rPr>
        <w:t xml:space="preserve">: </w:t>
      </w:r>
      <w:r w:rsidR="008B5F69">
        <w:rPr>
          <w:szCs w:val="22"/>
        </w:rPr>
        <w:t>&gt;17.8</w:t>
      </w:r>
      <w:r w:rsidR="001D1C03">
        <w:rPr>
          <w:szCs w:val="22"/>
        </w:rPr>
        <w:t xml:space="preserve"> kg</w:t>
      </w:r>
      <w:r w:rsidR="008B5F69">
        <w:rPr>
          <w:szCs w:val="22"/>
        </w:rPr>
        <w:t>, &lt; 22.4</w:t>
      </w:r>
      <w:r w:rsidR="001D1C03">
        <w:rPr>
          <w:szCs w:val="22"/>
        </w:rPr>
        <w:t xml:space="preserve"> kg</w:t>
      </w:r>
    </w:p>
    <w:p w:rsidR="001A78F2" w:rsidRDefault="00C62346">
      <w:pPr>
        <w:rPr>
          <w:szCs w:val="22"/>
        </w:rPr>
      </w:pPr>
      <w:r>
        <w:rPr>
          <w:b/>
          <w:szCs w:val="22"/>
        </w:rPr>
        <w:t xml:space="preserve">Variation over time: </w:t>
      </w:r>
      <w:r w:rsidR="005C1111">
        <w:rPr>
          <w:szCs w:val="22"/>
        </w:rPr>
        <w:t>Unknown</w:t>
      </w:r>
    </w:p>
    <w:p w:rsidR="001A78F2" w:rsidRDefault="001A78F2">
      <w:pPr>
        <w:rPr>
          <w:szCs w:val="22"/>
        </w:rPr>
      </w:pPr>
    </w:p>
    <w:p w:rsidR="00C97688" w:rsidRDefault="00C97688">
      <w:pPr>
        <w:rPr>
          <w:szCs w:val="22"/>
        </w:rPr>
      </w:pPr>
    </w:p>
    <w:p w:rsidR="00C97688" w:rsidRDefault="00C97688">
      <w:pPr>
        <w:rPr>
          <w:szCs w:val="22"/>
        </w:rPr>
      </w:pPr>
    </w:p>
    <w:p w:rsidR="00C97688" w:rsidRDefault="00C97688">
      <w:pPr>
        <w:rPr>
          <w:rFonts w:ascii="Arial" w:hAnsi="Arial" w:cs="Arial"/>
          <w:b/>
          <w:bCs/>
          <w:color w:val="000000"/>
          <w:szCs w:val="22"/>
          <w:lang w:eastAsia="en-AU"/>
        </w:rPr>
      </w:pPr>
      <w:r>
        <w:rPr>
          <w:rFonts w:ascii="Arial" w:hAnsi="Arial" w:cs="Arial"/>
          <w:b/>
          <w:bCs/>
          <w:color w:val="000000"/>
          <w:szCs w:val="22"/>
          <w:lang w:eastAsia="en-AU"/>
        </w:rPr>
        <w:br w:type="page"/>
      </w:r>
    </w:p>
    <w:p w:rsidR="00876A52" w:rsidRDefault="00C97688" w:rsidP="00876A52">
      <w:pPr>
        <w:rPr>
          <w:rFonts w:ascii="Arial" w:hAnsi="Arial" w:cs="Arial"/>
          <w:b/>
          <w:bCs/>
          <w:color w:val="000000"/>
          <w:szCs w:val="22"/>
          <w:lang w:eastAsia="en-AU"/>
        </w:rPr>
      </w:pPr>
      <w:r w:rsidRPr="00C97688">
        <w:rPr>
          <w:rFonts w:ascii="Arial" w:hAnsi="Arial" w:cs="Arial"/>
          <w:b/>
          <w:bCs/>
          <w:color w:val="000000"/>
          <w:szCs w:val="22"/>
          <w:lang w:eastAsia="en-AU"/>
        </w:rPr>
        <w:t xml:space="preserve">SC07 8528.72.00 73 </w:t>
      </w:r>
      <w:r w:rsidRPr="00B81223">
        <w:rPr>
          <w:rFonts w:ascii="Arial" w:hAnsi="Arial" w:cs="Arial"/>
          <w:b/>
          <w:bCs/>
          <w:color w:val="000000"/>
          <w:szCs w:val="22"/>
          <w:lang w:eastAsia="en-AU"/>
        </w:rPr>
        <w:t xml:space="preserve">- </w:t>
      </w:r>
      <w:r w:rsidR="00876A52">
        <w:rPr>
          <w:rFonts w:ascii="Arial" w:hAnsi="Arial" w:cs="Arial"/>
          <w:b/>
          <w:bCs/>
          <w:color w:val="000000"/>
          <w:szCs w:val="22"/>
          <w:lang w:eastAsia="en-AU"/>
        </w:rPr>
        <w:t>Clr TVs: Digital CRT flat screen 68-79cm</w:t>
      </w:r>
    </w:p>
    <w:p w:rsidR="00C97688" w:rsidRDefault="00C97688">
      <w:pPr>
        <w:rPr>
          <w:szCs w:val="22"/>
        </w:rPr>
      </w:pPr>
    </w:p>
    <w:p w:rsidR="00745130" w:rsidRPr="00745130" w:rsidRDefault="00745130" w:rsidP="00745130">
      <w:pPr>
        <w:pStyle w:val="Caption"/>
        <w:keepNext/>
      </w:pPr>
      <w:r>
        <w:t>Figure 5-56</w:t>
      </w:r>
      <w:r w:rsidR="00D427F6">
        <w:t xml:space="preserve">   </w:t>
      </w:r>
      <w:r>
        <w:t xml:space="preserve"> </w:t>
      </w:r>
      <w:r w:rsidR="00AC1355">
        <w:t>HTISC frequency distribution in CF year</w:t>
      </w:r>
    </w:p>
    <w:p w:rsidR="00C97688" w:rsidRDefault="00C97688">
      <w:pPr>
        <w:rPr>
          <w:szCs w:val="22"/>
        </w:rPr>
      </w:pPr>
      <w:r w:rsidRPr="00C97688">
        <w:rPr>
          <w:noProof/>
          <w:szCs w:val="22"/>
          <w:lang w:eastAsia="en-AU"/>
        </w:rPr>
        <w:drawing>
          <wp:inline distT="0" distB="0" distL="0" distR="0">
            <wp:extent cx="4889500" cy="2984500"/>
            <wp:effectExtent l="19050" t="0" r="25400" b="6350"/>
            <wp:docPr id="2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C97688" w:rsidRDefault="00C97688">
      <w:pPr>
        <w:rPr>
          <w:szCs w:val="22"/>
        </w:rPr>
      </w:pPr>
    </w:p>
    <w:p w:rsidR="00C97688" w:rsidRDefault="00C97688">
      <w:pPr>
        <w:rPr>
          <w:szCs w:val="22"/>
        </w:rPr>
      </w:pPr>
    </w:p>
    <w:p w:rsidR="00C97688" w:rsidRPr="00207129" w:rsidRDefault="00207129" w:rsidP="00207129">
      <w:pPr>
        <w:pStyle w:val="Caption"/>
      </w:pPr>
      <w:r>
        <w:t>Table 5-45  Conversion factor statistics</w:t>
      </w:r>
    </w:p>
    <w:tbl>
      <w:tblPr>
        <w:tblW w:w="7260" w:type="dxa"/>
        <w:tblInd w:w="93" w:type="dxa"/>
        <w:tblLook w:val="04A0"/>
      </w:tblPr>
      <w:tblGrid>
        <w:gridCol w:w="1660"/>
        <w:gridCol w:w="1120"/>
        <w:gridCol w:w="1120"/>
        <w:gridCol w:w="1120"/>
        <w:gridCol w:w="1120"/>
        <w:gridCol w:w="1120"/>
      </w:tblGrid>
      <w:tr w:rsidR="00C97688" w:rsidRPr="00C97688" w:rsidTr="00C97688">
        <w:trPr>
          <w:trHeight w:val="450"/>
        </w:trPr>
        <w:tc>
          <w:tcPr>
            <w:tcW w:w="166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C97688" w:rsidRPr="00C97688" w:rsidRDefault="00C97688" w:rsidP="00C97688">
            <w:pPr>
              <w:jc w:val="center"/>
              <w:rPr>
                <w:rFonts w:ascii="Calibri" w:hAnsi="Calibri" w:cs="Calibri"/>
                <w:color w:val="000000"/>
                <w:sz w:val="16"/>
                <w:szCs w:val="16"/>
                <w:lang w:eastAsia="en-AU"/>
              </w:rPr>
            </w:pPr>
            <w:r w:rsidRPr="00C97688">
              <w:rPr>
                <w:rFonts w:ascii="Calibri" w:hAnsi="Calibri" w:cs="Calibri"/>
                <w:color w:val="000000"/>
                <w:sz w:val="16"/>
                <w:szCs w:val="16"/>
                <w:lang w:eastAsia="en-AU"/>
              </w:rPr>
              <w:t>CF year</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C97688" w:rsidRPr="00C97688" w:rsidRDefault="00C97688" w:rsidP="00C97688">
            <w:pPr>
              <w:jc w:val="center"/>
              <w:rPr>
                <w:rFonts w:ascii="Calibri" w:hAnsi="Calibri" w:cs="Calibri"/>
                <w:color w:val="000000"/>
                <w:sz w:val="16"/>
                <w:szCs w:val="16"/>
                <w:lang w:eastAsia="en-AU"/>
              </w:rPr>
            </w:pPr>
            <w:r w:rsidRPr="00C97688">
              <w:rPr>
                <w:rFonts w:ascii="Calibri" w:hAnsi="Calibri" w:cs="Calibri"/>
                <w:color w:val="000000"/>
                <w:sz w:val="16"/>
                <w:szCs w:val="16"/>
                <w:lang w:eastAsia="en-AU"/>
              </w:rPr>
              <w:t>No. of ABS imports</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C97688" w:rsidRPr="00C97688" w:rsidRDefault="00C97688" w:rsidP="00C97688">
            <w:pPr>
              <w:jc w:val="center"/>
              <w:rPr>
                <w:rFonts w:ascii="Calibri" w:hAnsi="Calibri" w:cs="Calibri"/>
                <w:color w:val="000000"/>
                <w:sz w:val="16"/>
                <w:szCs w:val="16"/>
                <w:lang w:eastAsia="en-AU"/>
              </w:rPr>
            </w:pPr>
            <w:r w:rsidRPr="00C97688">
              <w:rPr>
                <w:rFonts w:ascii="Calibri" w:hAnsi="Calibri" w:cs="Calibri"/>
                <w:color w:val="000000"/>
                <w:sz w:val="16"/>
                <w:szCs w:val="16"/>
                <w:lang w:eastAsia="en-AU"/>
              </w:rPr>
              <w:t>% ABS imports included</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C97688" w:rsidRPr="00C97688" w:rsidRDefault="00C97688" w:rsidP="00C97688">
            <w:pPr>
              <w:jc w:val="center"/>
              <w:rPr>
                <w:rFonts w:ascii="Calibri" w:hAnsi="Calibri" w:cs="Calibri"/>
                <w:color w:val="000000"/>
                <w:sz w:val="16"/>
                <w:szCs w:val="16"/>
                <w:lang w:eastAsia="en-AU"/>
              </w:rPr>
            </w:pPr>
            <w:r w:rsidRPr="00C97688">
              <w:rPr>
                <w:rFonts w:ascii="Calibri" w:hAnsi="Calibri" w:cs="Calibri"/>
                <w:color w:val="000000"/>
                <w:sz w:val="16"/>
                <w:szCs w:val="16"/>
                <w:lang w:eastAsia="en-AU"/>
              </w:rPr>
              <w:t>Min weight</w:t>
            </w:r>
            <w:r w:rsidRPr="00C97688">
              <w:rPr>
                <w:rFonts w:ascii="Calibri" w:hAnsi="Calibri" w:cs="Calibri"/>
                <w:color w:val="000000"/>
                <w:sz w:val="16"/>
                <w:szCs w:val="16"/>
                <w:lang w:eastAsia="en-AU"/>
              </w:rPr>
              <w:br/>
              <w:t>(kg)</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C97688" w:rsidRPr="00C97688" w:rsidRDefault="00C97688" w:rsidP="00C97688">
            <w:pPr>
              <w:jc w:val="center"/>
              <w:rPr>
                <w:rFonts w:ascii="Calibri" w:hAnsi="Calibri" w:cs="Calibri"/>
                <w:color w:val="000000"/>
                <w:sz w:val="16"/>
                <w:szCs w:val="16"/>
                <w:lang w:eastAsia="en-AU"/>
              </w:rPr>
            </w:pPr>
            <w:r w:rsidRPr="00C97688">
              <w:rPr>
                <w:rFonts w:ascii="Calibri" w:hAnsi="Calibri" w:cs="Calibri"/>
                <w:color w:val="000000"/>
                <w:sz w:val="16"/>
                <w:szCs w:val="16"/>
                <w:lang w:eastAsia="en-AU"/>
              </w:rPr>
              <w:t>Max weight (kg)</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C97688" w:rsidRPr="00C97688" w:rsidRDefault="00C97688" w:rsidP="00C97688">
            <w:pPr>
              <w:jc w:val="center"/>
              <w:rPr>
                <w:rFonts w:ascii="Calibri" w:hAnsi="Calibri" w:cs="Calibri"/>
                <w:color w:val="000000"/>
                <w:sz w:val="16"/>
                <w:szCs w:val="16"/>
                <w:lang w:eastAsia="en-AU"/>
              </w:rPr>
            </w:pPr>
            <w:r w:rsidRPr="00C97688">
              <w:rPr>
                <w:rFonts w:ascii="Calibri" w:hAnsi="Calibri" w:cs="Calibri"/>
                <w:color w:val="000000"/>
                <w:sz w:val="16"/>
                <w:szCs w:val="16"/>
                <w:lang w:eastAsia="en-AU"/>
              </w:rPr>
              <w:t>Standard deviation</w:t>
            </w:r>
          </w:p>
        </w:tc>
      </w:tr>
      <w:tr w:rsidR="00C97688" w:rsidRPr="00C97688" w:rsidTr="00C97688">
        <w:trPr>
          <w:trHeight w:val="22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97688" w:rsidRPr="00C97688" w:rsidRDefault="00C97688" w:rsidP="00C97688">
            <w:pPr>
              <w:jc w:val="center"/>
              <w:rPr>
                <w:rFonts w:ascii="Calibri" w:hAnsi="Calibri" w:cs="Calibri"/>
                <w:color w:val="000000"/>
                <w:sz w:val="16"/>
                <w:szCs w:val="16"/>
                <w:lang w:eastAsia="en-AU"/>
              </w:rPr>
            </w:pPr>
            <w:r w:rsidRPr="00C97688">
              <w:rPr>
                <w:rFonts w:ascii="Calibri" w:hAnsi="Calibri" w:cs="Calibri"/>
                <w:color w:val="000000"/>
                <w:sz w:val="16"/>
                <w:szCs w:val="16"/>
                <w:lang w:eastAsia="en-AU"/>
              </w:rPr>
              <w:t>2009-10</w:t>
            </w:r>
          </w:p>
        </w:tc>
        <w:tc>
          <w:tcPr>
            <w:tcW w:w="1120" w:type="dxa"/>
            <w:tcBorders>
              <w:top w:val="nil"/>
              <w:left w:val="nil"/>
              <w:bottom w:val="single" w:sz="4" w:space="0" w:color="auto"/>
              <w:right w:val="single" w:sz="4" w:space="0" w:color="auto"/>
            </w:tcBorders>
            <w:shd w:val="clear" w:color="auto" w:fill="auto"/>
            <w:noWrap/>
            <w:vAlign w:val="center"/>
            <w:hideMark/>
          </w:tcPr>
          <w:p w:rsidR="00C97688" w:rsidRPr="00C97688" w:rsidRDefault="00C97688" w:rsidP="00C97688">
            <w:pPr>
              <w:jc w:val="center"/>
              <w:rPr>
                <w:rFonts w:ascii="Calibri" w:hAnsi="Calibri" w:cs="Calibri"/>
                <w:color w:val="000000"/>
                <w:sz w:val="16"/>
                <w:szCs w:val="16"/>
                <w:lang w:eastAsia="en-AU"/>
              </w:rPr>
            </w:pPr>
            <w:r w:rsidRPr="00C97688">
              <w:rPr>
                <w:rFonts w:ascii="Calibri" w:hAnsi="Calibri" w:cs="Calibri"/>
                <w:color w:val="000000"/>
                <w:sz w:val="16"/>
                <w:szCs w:val="16"/>
                <w:lang w:eastAsia="en-AU"/>
              </w:rPr>
              <w:t> </w:t>
            </w:r>
            <w:r w:rsidR="00394AF9">
              <w:rPr>
                <w:rFonts w:ascii="Calibri" w:hAnsi="Calibri" w:cs="Calibri"/>
                <w:color w:val="000000"/>
                <w:sz w:val="16"/>
                <w:szCs w:val="16"/>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rsidR="00C97688" w:rsidRPr="00C97688" w:rsidRDefault="00394AF9" w:rsidP="00C97688">
            <w:pPr>
              <w:jc w:val="center"/>
              <w:rPr>
                <w:rFonts w:ascii="Calibri" w:hAnsi="Calibri" w:cs="Calibri"/>
                <w:color w:val="000000"/>
                <w:sz w:val="16"/>
                <w:szCs w:val="16"/>
                <w:lang w:eastAsia="en-AU"/>
              </w:rPr>
            </w:pPr>
            <w:r>
              <w:rPr>
                <w:rFonts w:ascii="Calibri" w:hAnsi="Calibri" w:cs="Calibri"/>
                <w:color w:val="000000"/>
                <w:sz w:val="16"/>
                <w:szCs w:val="16"/>
                <w:lang w:eastAsia="en-AU"/>
              </w:rPr>
              <w:t>can not be determined</w:t>
            </w:r>
          </w:p>
        </w:tc>
        <w:tc>
          <w:tcPr>
            <w:tcW w:w="1120" w:type="dxa"/>
            <w:tcBorders>
              <w:top w:val="nil"/>
              <w:left w:val="nil"/>
              <w:bottom w:val="single" w:sz="4" w:space="0" w:color="auto"/>
              <w:right w:val="single" w:sz="4" w:space="0" w:color="auto"/>
            </w:tcBorders>
            <w:shd w:val="clear" w:color="auto" w:fill="auto"/>
            <w:noWrap/>
            <w:vAlign w:val="center"/>
            <w:hideMark/>
          </w:tcPr>
          <w:p w:rsidR="00C97688" w:rsidRPr="00C97688" w:rsidRDefault="00C97688" w:rsidP="00C97688">
            <w:pPr>
              <w:jc w:val="center"/>
              <w:rPr>
                <w:rFonts w:ascii="Calibri" w:hAnsi="Calibri" w:cs="Calibri"/>
                <w:color w:val="000000"/>
                <w:sz w:val="16"/>
                <w:szCs w:val="16"/>
                <w:lang w:eastAsia="en-AU"/>
              </w:rPr>
            </w:pPr>
            <w:r w:rsidRPr="00C97688">
              <w:rPr>
                <w:rFonts w:ascii="Calibri" w:hAnsi="Calibri" w:cs="Calibri"/>
                <w:color w:val="000000"/>
                <w:sz w:val="16"/>
                <w:szCs w:val="16"/>
                <w:lang w:eastAsia="en-AU"/>
              </w:rPr>
              <w:t>39.9</w:t>
            </w:r>
          </w:p>
        </w:tc>
        <w:tc>
          <w:tcPr>
            <w:tcW w:w="1120" w:type="dxa"/>
            <w:tcBorders>
              <w:top w:val="nil"/>
              <w:left w:val="nil"/>
              <w:bottom w:val="single" w:sz="4" w:space="0" w:color="auto"/>
              <w:right w:val="single" w:sz="4" w:space="0" w:color="auto"/>
            </w:tcBorders>
            <w:shd w:val="clear" w:color="auto" w:fill="auto"/>
            <w:noWrap/>
            <w:vAlign w:val="center"/>
            <w:hideMark/>
          </w:tcPr>
          <w:p w:rsidR="00C97688" w:rsidRPr="00C97688" w:rsidRDefault="00C97688" w:rsidP="00C97688">
            <w:pPr>
              <w:jc w:val="center"/>
              <w:rPr>
                <w:rFonts w:ascii="Calibri" w:hAnsi="Calibri" w:cs="Calibri"/>
                <w:color w:val="000000"/>
                <w:sz w:val="16"/>
                <w:szCs w:val="16"/>
                <w:lang w:eastAsia="en-AU"/>
              </w:rPr>
            </w:pPr>
            <w:r w:rsidRPr="00C97688">
              <w:rPr>
                <w:rFonts w:ascii="Calibri" w:hAnsi="Calibri" w:cs="Calibri"/>
                <w:color w:val="000000"/>
                <w:sz w:val="16"/>
                <w:szCs w:val="16"/>
                <w:lang w:eastAsia="en-AU"/>
              </w:rPr>
              <w:t>39.9</w:t>
            </w:r>
          </w:p>
        </w:tc>
        <w:tc>
          <w:tcPr>
            <w:tcW w:w="1120" w:type="dxa"/>
            <w:tcBorders>
              <w:top w:val="nil"/>
              <w:left w:val="nil"/>
              <w:bottom w:val="single" w:sz="4" w:space="0" w:color="auto"/>
              <w:right w:val="single" w:sz="4" w:space="0" w:color="auto"/>
            </w:tcBorders>
            <w:shd w:val="clear" w:color="auto" w:fill="auto"/>
            <w:noWrap/>
            <w:vAlign w:val="center"/>
            <w:hideMark/>
          </w:tcPr>
          <w:p w:rsidR="00C97688" w:rsidRPr="00C97688" w:rsidRDefault="00C97688" w:rsidP="00C97688">
            <w:pPr>
              <w:jc w:val="center"/>
              <w:rPr>
                <w:rFonts w:ascii="Calibri" w:hAnsi="Calibri" w:cs="Calibri"/>
                <w:color w:val="000000"/>
                <w:sz w:val="16"/>
                <w:szCs w:val="16"/>
                <w:lang w:eastAsia="en-AU"/>
              </w:rPr>
            </w:pPr>
            <w:r w:rsidRPr="00C97688">
              <w:rPr>
                <w:rFonts w:ascii="Calibri" w:hAnsi="Calibri" w:cs="Calibri"/>
                <w:color w:val="000000"/>
                <w:sz w:val="16"/>
                <w:szCs w:val="16"/>
                <w:lang w:eastAsia="en-AU"/>
              </w:rPr>
              <w:t>0.0</w:t>
            </w:r>
          </w:p>
        </w:tc>
      </w:tr>
      <w:tr w:rsidR="00C97688" w:rsidRPr="00C97688" w:rsidTr="00C97688">
        <w:trPr>
          <w:trHeight w:val="225"/>
        </w:trPr>
        <w:tc>
          <w:tcPr>
            <w:tcW w:w="1660" w:type="dxa"/>
            <w:tcBorders>
              <w:top w:val="nil"/>
              <w:left w:val="nil"/>
              <w:bottom w:val="nil"/>
              <w:right w:val="nil"/>
            </w:tcBorders>
            <w:shd w:val="clear" w:color="auto" w:fill="auto"/>
            <w:noWrap/>
            <w:vAlign w:val="bottom"/>
            <w:hideMark/>
          </w:tcPr>
          <w:p w:rsidR="00C97688" w:rsidRPr="00C97688" w:rsidRDefault="00C97688" w:rsidP="00C97688">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C97688" w:rsidRPr="00C97688" w:rsidRDefault="00C97688" w:rsidP="00C97688">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C97688" w:rsidRPr="00C97688" w:rsidRDefault="00C97688" w:rsidP="00C97688">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C97688" w:rsidRPr="00C97688" w:rsidRDefault="00C97688" w:rsidP="00C97688">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C97688" w:rsidRPr="00C97688" w:rsidRDefault="00C97688" w:rsidP="00C97688">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C97688" w:rsidRPr="00C97688" w:rsidRDefault="00C97688" w:rsidP="00C97688">
            <w:pPr>
              <w:rPr>
                <w:rFonts w:ascii="Calibri" w:hAnsi="Calibri" w:cs="Calibri"/>
                <w:color w:val="000000"/>
                <w:sz w:val="16"/>
                <w:szCs w:val="16"/>
                <w:lang w:eastAsia="en-AU"/>
              </w:rPr>
            </w:pPr>
          </w:p>
        </w:tc>
      </w:tr>
      <w:tr w:rsidR="00C97688" w:rsidRPr="00C97688" w:rsidTr="00C97688">
        <w:trPr>
          <w:trHeight w:val="450"/>
        </w:trPr>
        <w:tc>
          <w:tcPr>
            <w:tcW w:w="1660" w:type="dxa"/>
            <w:tcBorders>
              <w:top w:val="single" w:sz="4" w:space="0" w:color="auto"/>
              <w:left w:val="single" w:sz="4" w:space="0" w:color="auto"/>
              <w:bottom w:val="nil"/>
              <w:right w:val="single" w:sz="4" w:space="0" w:color="auto"/>
            </w:tcBorders>
            <w:shd w:val="clear" w:color="000000" w:fill="D8D8D8"/>
            <w:vAlign w:val="center"/>
            <w:hideMark/>
          </w:tcPr>
          <w:p w:rsidR="00C97688" w:rsidRPr="00C97688" w:rsidRDefault="00C97688" w:rsidP="00C97688">
            <w:pPr>
              <w:jc w:val="center"/>
              <w:rPr>
                <w:rFonts w:ascii="Calibri" w:hAnsi="Calibri" w:cs="Calibri"/>
                <w:color w:val="000000"/>
                <w:sz w:val="16"/>
                <w:szCs w:val="16"/>
                <w:lang w:eastAsia="en-AU"/>
              </w:rPr>
            </w:pPr>
            <w:r w:rsidRPr="00C97688">
              <w:rPr>
                <w:rFonts w:ascii="Calibri" w:hAnsi="Calibri" w:cs="Calibri"/>
                <w:color w:val="000000"/>
                <w:sz w:val="16"/>
                <w:szCs w:val="16"/>
                <w:lang w:eastAsia="en-AU"/>
              </w:rPr>
              <w:t>Method</w:t>
            </w:r>
          </w:p>
        </w:tc>
        <w:tc>
          <w:tcPr>
            <w:tcW w:w="1120" w:type="dxa"/>
            <w:tcBorders>
              <w:top w:val="single" w:sz="4" w:space="0" w:color="auto"/>
              <w:left w:val="nil"/>
              <w:bottom w:val="nil"/>
              <w:right w:val="single" w:sz="4" w:space="0" w:color="auto"/>
            </w:tcBorders>
            <w:shd w:val="clear" w:color="000000" w:fill="D8D8D8"/>
            <w:vAlign w:val="center"/>
            <w:hideMark/>
          </w:tcPr>
          <w:p w:rsidR="00C97688" w:rsidRPr="00C97688" w:rsidRDefault="00C97688" w:rsidP="00C97688">
            <w:pPr>
              <w:jc w:val="center"/>
              <w:rPr>
                <w:rFonts w:ascii="Calibri" w:hAnsi="Calibri" w:cs="Calibri"/>
                <w:color w:val="000000"/>
                <w:sz w:val="16"/>
                <w:szCs w:val="16"/>
                <w:lang w:eastAsia="en-AU"/>
              </w:rPr>
            </w:pPr>
            <w:r w:rsidRPr="00C97688">
              <w:rPr>
                <w:rFonts w:ascii="Calibri" w:hAnsi="Calibri" w:cs="Calibri"/>
                <w:color w:val="000000"/>
                <w:sz w:val="16"/>
                <w:szCs w:val="16"/>
                <w:lang w:eastAsia="en-AU"/>
              </w:rPr>
              <w:t>Measure of average</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C97688" w:rsidRPr="00C97688" w:rsidRDefault="00C97688" w:rsidP="00C97688">
            <w:pPr>
              <w:jc w:val="center"/>
              <w:rPr>
                <w:rFonts w:ascii="Calibri" w:hAnsi="Calibri" w:cs="Calibri"/>
                <w:color w:val="000000"/>
                <w:sz w:val="16"/>
                <w:szCs w:val="16"/>
                <w:lang w:eastAsia="en-AU"/>
              </w:rPr>
            </w:pPr>
            <w:r w:rsidRPr="00C97688">
              <w:rPr>
                <w:rFonts w:ascii="Calibri" w:hAnsi="Calibri" w:cs="Calibri"/>
                <w:color w:val="000000"/>
                <w:sz w:val="16"/>
                <w:szCs w:val="16"/>
                <w:lang w:eastAsia="en-AU"/>
              </w:rPr>
              <w:t>Average weight (kg)</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C97688" w:rsidRPr="00C97688" w:rsidRDefault="00C97688" w:rsidP="00C97688">
            <w:pPr>
              <w:jc w:val="center"/>
              <w:rPr>
                <w:rFonts w:ascii="Calibri" w:hAnsi="Calibri" w:cs="Calibri"/>
                <w:color w:val="000000"/>
                <w:sz w:val="16"/>
                <w:szCs w:val="16"/>
                <w:lang w:eastAsia="en-AU"/>
              </w:rPr>
            </w:pPr>
            <w:r w:rsidRPr="00C97688">
              <w:rPr>
                <w:rFonts w:ascii="Calibri" w:hAnsi="Calibri" w:cs="Calibri"/>
                <w:color w:val="000000"/>
                <w:sz w:val="16"/>
                <w:szCs w:val="16"/>
                <w:lang w:eastAsia="en-AU"/>
              </w:rPr>
              <w:t>Lower limit (kg)</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C97688" w:rsidRPr="00C97688" w:rsidRDefault="00C97688" w:rsidP="00C97688">
            <w:pPr>
              <w:jc w:val="center"/>
              <w:rPr>
                <w:rFonts w:ascii="Calibri" w:hAnsi="Calibri" w:cs="Calibri"/>
                <w:color w:val="000000"/>
                <w:sz w:val="16"/>
                <w:szCs w:val="16"/>
                <w:lang w:eastAsia="en-AU"/>
              </w:rPr>
            </w:pPr>
            <w:r w:rsidRPr="00C97688">
              <w:rPr>
                <w:rFonts w:ascii="Calibri" w:hAnsi="Calibri" w:cs="Calibri"/>
                <w:color w:val="000000"/>
                <w:sz w:val="16"/>
                <w:szCs w:val="16"/>
                <w:lang w:eastAsia="en-AU"/>
              </w:rPr>
              <w:t>Upper limit (kg)</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C97688" w:rsidRPr="00C97688" w:rsidRDefault="00C97688" w:rsidP="00C97688">
            <w:pPr>
              <w:jc w:val="center"/>
              <w:rPr>
                <w:rFonts w:ascii="Calibri" w:hAnsi="Calibri" w:cs="Calibri"/>
                <w:color w:val="000000"/>
                <w:sz w:val="16"/>
                <w:szCs w:val="16"/>
                <w:lang w:eastAsia="en-AU"/>
              </w:rPr>
            </w:pPr>
            <w:r w:rsidRPr="00C97688">
              <w:rPr>
                <w:rFonts w:ascii="Calibri" w:hAnsi="Calibri" w:cs="Calibri"/>
                <w:color w:val="000000"/>
                <w:sz w:val="16"/>
                <w:szCs w:val="16"/>
                <w:lang w:eastAsia="en-AU"/>
              </w:rPr>
              <w:t>Confidence interval ± (kg)</w:t>
            </w:r>
          </w:p>
        </w:tc>
      </w:tr>
      <w:tr w:rsidR="00C97688" w:rsidRPr="00C97688" w:rsidTr="00C97688">
        <w:trPr>
          <w:trHeight w:val="45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688" w:rsidRPr="00C97688" w:rsidRDefault="00C97688" w:rsidP="00C97688">
            <w:pPr>
              <w:jc w:val="center"/>
              <w:rPr>
                <w:rFonts w:ascii="Calibri" w:hAnsi="Calibri" w:cs="Calibri"/>
                <w:color w:val="000000"/>
                <w:sz w:val="16"/>
                <w:szCs w:val="16"/>
                <w:lang w:eastAsia="en-AU"/>
              </w:rPr>
            </w:pPr>
            <w:r w:rsidRPr="00C97688">
              <w:rPr>
                <w:rFonts w:ascii="Calibri" w:hAnsi="Calibri" w:cs="Calibri"/>
                <w:color w:val="000000"/>
                <w:sz w:val="16"/>
                <w:szCs w:val="16"/>
                <w:lang w:eastAsia="en-AU"/>
              </w:rPr>
              <w:t>Approximation to the normal distribution</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C97688" w:rsidRPr="00C97688" w:rsidRDefault="00C97688" w:rsidP="00C97688">
            <w:pPr>
              <w:jc w:val="center"/>
              <w:rPr>
                <w:rFonts w:ascii="Calibri" w:hAnsi="Calibri" w:cs="Calibri"/>
                <w:color w:val="000000"/>
                <w:sz w:val="16"/>
                <w:szCs w:val="16"/>
                <w:lang w:eastAsia="en-AU"/>
              </w:rPr>
            </w:pPr>
            <w:r w:rsidRPr="00C97688">
              <w:rPr>
                <w:rFonts w:ascii="Calibri" w:hAnsi="Calibri" w:cs="Calibri"/>
                <w:color w:val="000000"/>
                <w:sz w:val="16"/>
                <w:szCs w:val="16"/>
                <w:lang w:eastAsia="en-AU"/>
              </w:rPr>
              <w:t>Mean</w:t>
            </w:r>
          </w:p>
        </w:tc>
        <w:tc>
          <w:tcPr>
            <w:tcW w:w="1120" w:type="dxa"/>
            <w:tcBorders>
              <w:top w:val="nil"/>
              <w:left w:val="nil"/>
              <w:bottom w:val="single" w:sz="4" w:space="0" w:color="auto"/>
              <w:right w:val="single" w:sz="4" w:space="0" w:color="auto"/>
            </w:tcBorders>
            <w:shd w:val="clear" w:color="auto" w:fill="auto"/>
            <w:noWrap/>
            <w:vAlign w:val="center"/>
            <w:hideMark/>
          </w:tcPr>
          <w:p w:rsidR="00C97688" w:rsidRPr="00C97688" w:rsidRDefault="00C97688" w:rsidP="00C97688">
            <w:pPr>
              <w:jc w:val="center"/>
              <w:rPr>
                <w:rFonts w:ascii="Calibri" w:hAnsi="Calibri" w:cs="Calibri"/>
                <w:color w:val="000000"/>
                <w:sz w:val="16"/>
                <w:szCs w:val="16"/>
                <w:lang w:eastAsia="en-AU"/>
              </w:rPr>
            </w:pPr>
            <w:r w:rsidRPr="00C97688">
              <w:rPr>
                <w:rFonts w:ascii="Calibri" w:hAnsi="Calibri" w:cs="Calibri"/>
                <w:color w:val="000000"/>
                <w:sz w:val="16"/>
                <w:szCs w:val="16"/>
                <w:lang w:eastAsia="en-AU"/>
              </w:rPr>
              <w:t>39.9</w:t>
            </w:r>
          </w:p>
        </w:tc>
        <w:tc>
          <w:tcPr>
            <w:tcW w:w="1120" w:type="dxa"/>
            <w:tcBorders>
              <w:top w:val="nil"/>
              <w:left w:val="nil"/>
              <w:bottom w:val="single" w:sz="4" w:space="0" w:color="auto"/>
              <w:right w:val="single" w:sz="4" w:space="0" w:color="auto"/>
            </w:tcBorders>
            <w:shd w:val="clear" w:color="auto" w:fill="auto"/>
            <w:noWrap/>
            <w:vAlign w:val="center"/>
            <w:hideMark/>
          </w:tcPr>
          <w:p w:rsidR="00C97688" w:rsidRPr="00C97688" w:rsidRDefault="00C97688" w:rsidP="00C97688">
            <w:pPr>
              <w:jc w:val="center"/>
              <w:rPr>
                <w:rFonts w:ascii="Calibri" w:hAnsi="Calibri" w:cs="Calibri"/>
                <w:color w:val="000000"/>
                <w:sz w:val="16"/>
                <w:szCs w:val="16"/>
                <w:lang w:eastAsia="en-AU"/>
              </w:rPr>
            </w:pPr>
            <w:r w:rsidRPr="00C97688">
              <w:rPr>
                <w:rFonts w:ascii="Calibri" w:hAnsi="Calibri" w:cs="Calibri"/>
                <w:color w:val="000000"/>
                <w:sz w:val="16"/>
                <w:szCs w:val="16"/>
                <w:lang w:eastAsia="en-AU"/>
              </w:rPr>
              <w:t>39.</w:t>
            </w:r>
            <w:r>
              <w:rPr>
                <w:rFonts w:ascii="Calibri" w:hAnsi="Calibri" w:cs="Calibri"/>
                <w:color w:val="000000"/>
                <w:sz w:val="16"/>
                <w:szCs w:val="16"/>
                <w:lang w:eastAsia="en-AU"/>
              </w:rPr>
              <w:t>9</w:t>
            </w:r>
          </w:p>
        </w:tc>
        <w:tc>
          <w:tcPr>
            <w:tcW w:w="1120" w:type="dxa"/>
            <w:tcBorders>
              <w:top w:val="nil"/>
              <w:left w:val="nil"/>
              <w:bottom w:val="single" w:sz="4" w:space="0" w:color="auto"/>
              <w:right w:val="single" w:sz="4" w:space="0" w:color="auto"/>
            </w:tcBorders>
            <w:shd w:val="clear" w:color="auto" w:fill="auto"/>
            <w:noWrap/>
            <w:vAlign w:val="center"/>
            <w:hideMark/>
          </w:tcPr>
          <w:p w:rsidR="00C97688" w:rsidRPr="00C97688" w:rsidRDefault="00C97688" w:rsidP="00C97688">
            <w:pPr>
              <w:jc w:val="center"/>
              <w:rPr>
                <w:rFonts w:ascii="Calibri" w:hAnsi="Calibri" w:cs="Calibri"/>
                <w:color w:val="000000"/>
                <w:sz w:val="16"/>
                <w:szCs w:val="16"/>
                <w:lang w:eastAsia="en-AU"/>
              </w:rPr>
            </w:pPr>
            <w:r w:rsidRPr="00C97688">
              <w:rPr>
                <w:rFonts w:ascii="Calibri" w:hAnsi="Calibri" w:cs="Calibri"/>
                <w:color w:val="000000"/>
                <w:sz w:val="16"/>
                <w:szCs w:val="16"/>
                <w:lang w:eastAsia="en-AU"/>
              </w:rPr>
              <w:t>39.</w:t>
            </w:r>
            <w:r>
              <w:rPr>
                <w:rFonts w:ascii="Calibri" w:hAnsi="Calibri" w:cs="Calibri"/>
                <w:color w:val="000000"/>
                <w:sz w:val="16"/>
                <w:szCs w:val="16"/>
                <w:lang w:eastAsia="en-AU"/>
              </w:rPr>
              <w:t>9</w:t>
            </w:r>
          </w:p>
        </w:tc>
        <w:tc>
          <w:tcPr>
            <w:tcW w:w="1120" w:type="dxa"/>
            <w:tcBorders>
              <w:top w:val="nil"/>
              <w:left w:val="nil"/>
              <w:bottom w:val="single" w:sz="4" w:space="0" w:color="auto"/>
              <w:right w:val="single" w:sz="4" w:space="0" w:color="auto"/>
            </w:tcBorders>
            <w:shd w:val="clear" w:color="auto" w:fill="auto"/>
            <w:noWrap/>
            <w:vAlign w:val="center"/>
            <w:hideMark/>
          </w:tcPr>
          <w:p w:rsidR="00C97688" w:rsidRPr="00C97688" w:rsidRDefault="00C97688" w:rsidP="00C97688">
            <w:pPr>
              <w:jc w:val="center"/>
              <w:rPr>
                <w:rFonts w:ascii="Calibri" w:hAnsi="Calibri" w:cs="Calibri"/>
                <w:color w:val="000000"/>
                <w:sz w:val="16"/>
                <w:szCs w:val="16"/>
                <w:lang w:eastAsia="en-AU"/>
              </w:rPr>
            </w:pPr>
            <w:r>
              <w:rPr>
                <w:rFonts w:ascii="Calibri" w:hAnsi="Calibri" w:cs="Calibri"/>
                <w:color w:val="000000"/>
                <w:sz w:val="16"/>
                <w:szCs w:val="16"/>
                <w:lang w:eastAsia="en-AU"/>
              </w:rPr>
              <w:t>0.0</w:t>
            </w:r>
          </w:p>
        </w:tc>
      </w:tr>
      <w:tr w:rsidR="00C97688" w:rsidRPr="00C97688" w:rsidTr="00C97688">
        <w:trPr>
          <w:trHeight w:val="22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C97688" w:rsidRPr="00C97688" w:rsidRDefault="00C97688" w:rsidP="00C97688">
            <w:pPr>
              <w:jc w:val="center"/>
              <w:rPr>
                <w:rFonts w:ascii="Calibri" w:hAnsi="Calibri" w:cs="Calibri"/>
                <w:color w:val="000000"/>
                <w:sz w:val="16"/>
                <w:szCs w:val="16"/>
                <w:lang w:eastAsia="en-AU"/>
              </w:rPr>
            </w:pPr>
            <w:r w:rsidRPr="00C97688">
              <w:rPr>
                <w:rFonts w:ascii="Calibri" w:hAnsi="Calibri" w:cs="Calibri"/>
                <w:color w:val="000000"/>
                <w:sz w:val="16"/>
                <w:szCs w:val="16"/>
                <w:lang w:eastAsia="en-AU"/>
              </w:rPr>
              <w:t>Use of percentiles</w:t>
            </w:r>
          </w:p>
        </w:tc>
        <w:tc>
          <w:tcPr>
            <w:tcW w:w="1120" w:type="dxa"/>
            <w:tcBorders>
              <w:top w:val="nil"/>
              <w:left w:val="nil"/>
              <w:bottom w:val="single" w:sz="4" w:space="0" w:color="auto"/>
              <w:right w:val="single" w:sz="4" w:space="0" w:color="auto"/>
            </w:tcBorders>
            <w:shd w:val="clear" w:color="auto" w:fill="auto"/>
            <w:vAlign w:val="center"/>
            <w:hideMark/>
          </w:tcPr>
          <w:p w:rsidR="00C97688" w:rsidRPr="00C97688" w:rsidRDefault="00C97688" w:rsidP="00C97688">
            <w:pPr>
              <w:jc w:val="center"/>
              <w:rPr>
                <w:rFonts w:ascii="Calibri" w:hAnsi="Calibri" w:cs="Calibri"/>
                <w:color w:val="000000"/>
                <w:sz w:val="16"/>
                <w:szCs w:val="16"/>
                <w:lang w:eastAsia="en-AU"/>
              </w:rPr>
            </w:pPr>
            <w:r w:rsidRPr="00C97688">
              <w:rPr>
                <w:rFonts w:ascii="Calibri" w:hAnsi="Calibri" w:cs="Calibri"/>
                <w:color w:val="000000"/>
                <w:sz w:val="16"/>
                <w:szCs w:val="16"/>
                <w:lang w:eastAsia="en-AU"/>
              </w:rPr>
              <w:t>Median</w:t>
            </w:r>
          </w:p>
        </w:tc>
        <w:tc>
          <w:tcPr>
            <w:tcW w:w="1120" w:type="dxa"/>
            <w:tcBorders>
              <w:top w:val="nil"/>
              <w:left w:val="nil"/>
              <w:bottom w:val="single" w:sz="4" w:space="0" w:color="auto"/>
              <w:right w:val="single" w:sz="4" w:space="0" w:color="auto"/>
            </w:tcBorders>
            <w:shd w:val="clear" w:color="auto" w:fill="auto"/>
            <w:noWrap/>
            <w:vAlign w:val="center"/>
            <w:hideMark/>
          </w:tcPr>
          <w:p w:rsidR="00C97688" w:rsidRPr="00C97688" w:rsidRDefault="00C97688" w:rsidP="00C97688">
            <w:pPr>
              <w:jc w:val="center"/>
              <w:rPr>
                <w:rFonts w:ascii="Calibri" w:hAnsi="Calibri" w:cs="Calibri"/>
                <w:color w:val="000000"/>
                <w:sz w:val="16"/>
                <w:szCs w:val="16"/>
                <w:lang w:eastAsia="en-AU"/>
              </w:rPr>
            </w:pPr>
            <w:r w:rsidRPr="00C97688">
              <w:rPr>
                <w:rFonts w:ascii="Calibri" w:hAnsi="Calibri" w:cs="Calibri"/>
                <w:color w:val="000000"/>
                <w:sz w:val="16"/>
                <w:szCs w:val="16"/>
                <w:lang w:eastAsia="en-AU"/>
              </w:rPr>
              <w:t>39.</w:t>
            </w:r>
            <w:r>
              <w:rPr>
                <w:rFonts w:ascii="Calibri" w:hAnsi="Calibri" w:cs="Calibri"/>
                <w:color w:val="000000"/>
                <w:sz w:val="16"/>
                <w:szCs w:val="16"/>
                <w:lang w:eastAsia="en-AU"/>
              </w:rPr>
              <w:t>9</w:t>
            </w:r>
          </w:p>
        </w:tc>
        <w:tc>
          <w:tcPr>
            <w:tcW w:w="1120" w:type="dxa"/>
            <w:tcBorders>
              <w:top w:val="nil"/>
              <w:left w:val="nil"/>
              <w:bottom w:val="single" w:sz="4" w:space="0" w:color="auto"/>
              <w:right w:val="single" w:sz="4" w:space="0" w:color="auto"/>
            </w:tcBorders>
            <w:shd w:val="clear" w:color="auto" w:fill="auto"/>
            <w:noWrap/>
            <w:vAlign w:val="center"/>
            <w:hideMark/>
          </w:tcPr>
          <w:p w:rsidR="00C97688" w:rsidRPr="00C97688" w:rsidRDefault="00C97688" w:rsidP="00C97688">
            <w:pPr>
              <w:jc w:val="center"/>
              <w:rPr>
                <w:rFonts w:ascii="Calibri" w:hAnsi="Calibri" w:cs="Calibri"/>
                <w:color w:val="000000"/>
                <w:sz w:val="16"/>
                <w:szCs w:val="16"/>
                <w:lang w:eastAsia="en-AU"/>
              </w:rPr>
            </w:pPr>
            <w:r w:rsidRPr="00C97688">
              <w:rPr>
                <w:rFonts w:ascii="Calibri" w:hAnsi="Calibri" w:cs="Calibri"/>
                <w:color w:val="000000"/>
                <w:sz w:val="16"/>
                <w:szCs w:val="16"/>
                <w:lang w:eastAsia="en-AU"/>
              </w:rPr>
              <w:t>39.</w:t>
            </w:r>
            <w:r>
              <w:rPr>
                <w:rFonts w:ascii="Calibri" w:hAnsi="Calibri" w:cs="Calibri"/>
                <w:color w:val="000000"/>
                <w:sz w:val="16"/>
                <w:szCs w:val="16"/>
                <w:lang w:eastAsia="en-AU"/>
              </w:rPr>
              <w:t>9</w:t>
            </w:r>
          </w:p>
        </w:tc>
        <w:tc>
          <w:tcPr>
            <w:tcW w:w="1120" w:type="dxa"/>
            <w:tcBorders>
              <w:top w:val="nil"/>
              <w:left w:val="nil"/>
              <w:bottom w:val="single" w:sz="4" w:space="0" w:color="auto"/>
              <w:right w:val="single" w:sz="4" w:space="0" w:color="auto"/>
            </w:tcBorders>
            <w:shd w:val="clear" w:color="auto" w:fill="auto"/>
            <w:noWrap/>
            <w:vAlign w:val="center"/>
            <w:hideMark/>
          </w:tcPr>
          <w:p w:rsidR="00C97688" w:rsidRPr="00C97688" w:rsidRDefault="00C97688" w:rsidP="00C97688">
            <w:pPr>
              <w:jc w:val="center"/>
              <w:rPr>
                <w:rFonts w:ascii="Calibri" w:hAnsi="Calibri" w:cs="Calibri"/>
                <w:color w:val="000000"/>
                <w:sz w:val="16"/>
                <w:szCs w:val="16"/>
                <w:lang w:eastAsia="en-AU"/>
              </w:rPr>
            </w:pPr>
            <w:r w:rsidRPr="00C97688">
              <w:rPr>
                <w:rFonts w:ascii="Calibri" w:hAnsi="Calibri" w:cs="Calibri"/>
                <w:color w:val="000000"/>
                <w:sz w:val="16"/>
                <w:szCs w:val="16"/>
                <w:lang w:eastAsia="en-AU"/>
              </w:rPr>
              <w:t>39.9</w:t>
            </w:r>
          </w:p>
        </w:tc>
        <w:tc>
          <w:tcPr>
            <w:tcW w:w="1120" w:type="dxa"/>
            <w:tcBorders>
              <w:top w:val="nil"/>
              <w:left w:val="nil"/>
              <w:bottom w:val="single" w:sz="4" w:space="0" w:color="auto"/>
              <w:right w:val="single" w:sz="4" w:space="0" w:color="auto"/>
            </w:tcBorders>
            <w:shd w:val="clear" w:color="auto" w:fill="auto"/>
            <w:noWrap/>
            <w:vAlign w:val="center"/>
            <w:hideMark/>
          </w:tcPr>
          <w:p w:rsidR="00C97688" w:rsidRPr="00C97688" w:rsidRDefault="00C97688" w:rsidP="00C97688">
            <w:pPr>
              <w:jc w:val="center"/>
              <w:rPr>
                <w:rFonts w:ascii="Calibri" w:hAnsi="Calibri" w:cs="Calibri"/>
                <w:color w:val="000000"/>
                <w:sz w:val="16"/>
                <w:szCs w:val="16"/>
                <w:lang w:eastAsia="en-AU"/>
              </w:rPr>
            </w:pPr>
            <w:r w:rsidRPr="00C97688">
              <w:rPr>
                <w:rFonts w:ascii="Calibri" w:hAnsi="Calibri" w:cs="Calibri"/>
                <w:color w:val="000000"/>
                <w:sz w:val="16"/>
                <w:szCs w:val="16"/>
                <w:lang w:eastAsia="en-AU"/>
              </w:rPr>
              <w:t>0.</w:t>
            </w:r>
            <w:r>
              <w:rPr>
                <w:rFonts w:ascii="Calibri" w:hAnsi="Calibri" w:cs="Calibri"/>
                <w:color w:val="000000"/>
                <w:sz w:val="16"/>
                <w:szCs w:val="16"/>
                <w:lang w:eastAsia="en-AU"/>
              </w:rPr>
              <w:t>0</w:t>
            </w:r>
          </w:p>
        </w:tc>
      </w:tr>
      <w:tr w:rsidR="00C97688" w:rsidRPr="00C97688" w:rsidTr="00C97688">
        <w:trPr>
          <w:trHeight w:val="225"/>
        </w:trPr>
        <w:tc>
          <w:tcPr>
            <w:tcW w:w="1660" w:type="dxa"/>
            <w:tcBorders>
              <w:top w:val="nil"/>
              <w:left w:val="nil"/>
              <w:bottom w:val="nil"/>
              <w:right w:val="nil"/>
            </w:tcBorders>
            <w:shd w:val="clear" w:color="auto" w:fill="auto"/>
            <w:noWrap/>
            <w:vAlign w:val="bottom"/>
            <w:hideMark/>
          </w:tcPr>
          <w:p w:rsidR="00C97688" w:rsidRPr="00C97688" w:rsidRDefault="00C97688" w:rsidP="00C97688">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C97688" w:rsidRPr="00C97688" w:rsidRDefault="00C97688" w:rsidP="00C97688">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C97688" w:rsidRPr="00C97688" w:rsidRDefault="00C97688" w:rsidP="00C97688">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C97688" w:rsidRPr="00C97688" w:rsidRDefault="00C97688" w:rsidP="00C97688">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C97688" w:rsidRPr="00C97688" w:rsidRDefault="00C97688" w:rsidP="00C97688">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hideMark/>
          </w:tcPr>
          <w:p w:rsidR="00C97688" w:rsidRPr="00C97688" w:rsidRDefault="00C97688" w:rsidP="00C97688">
            <w:pPr>
              <w:rPr>
                <w:rFonts w:ascii="Calibri" w:hAnsi="Calibri" w:cs="Calibri"/>
                <w:color w:val="000000"/>
                <w:sz w:val="16"/>
                <w:szCs w:val="16"/>
                <w:lang w:eastAsia="en-AU"/>
              </w:rPr>
            </w:pPr>
          </w:p>
        </w:tc>
      </w:tr>
      <w:tr w:rsidR="00C97688" w:rsidRPr="00C97688" w:rsidTr="00C97688">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C97688" w:rsidRPr="00C97688" w:rsidRDefault="00C97688" w:rsidP="00C97688">
            <w:pPr>
              <w:rPr>
                <w:rFonts w:ascii="Calibri" w:hAnsi="Calibri" w:cs="Calibri"/>
                <w:color w:val="000000"/>
                <w:sz w:val="16"/>
                <w:szCs w:val="16"/>
                <w:lang w:eastAsia="en-AU"/>
              </w:rPr>
            </w:pPr>
            <w:r w:rsidRPr="00C97688">
              <w:rPr>
                <w:rFonts w:ascii="Calibri" w:hAnsi="Calibri" w:cs="Calibri"/>
                <w:color w:val="000000"/>
                <w:sz w:val="16"/>
                <w:szCs w:val="16"/>
                <w:lang w:eastAsia="en-AU"/>
              </w:rPr>
              <w:t>Year</w:t>
            </w:r>
          </w:p>
        </w:tc>
        <w:tc>
          <w:tcPr>
            <w:tcW w:w="1120" w:type="dxa"/>
            <w:tcBorders>
              <w:top w:val="single" w:sz="4" w:space="0" w:color="auto"/>
              <w:left w:val="nil"/>
              <w:bottom w:val="single" w:sz="4" w:space="0" w:color="auto"/>
              <w:right w:val="single" w:sz="4" w:space="0" w:color="auto"/>
            </w:tcBorders>
            <w:shd w:val="clear" w:color="000000" w:fill="D8D8D8"/>
            <w:noWrap/>
            <w:vAlign w:val="center"/>
            <w:hideMark/>
          </w:tcPr>
          <w:p w:rsidR="00C97688" w:rsidRPr="00C97688" w:rsidRDefault="00C97688" w:rsidP="00C97688">
            <w:pPr>
              <w:jc w:val="center"/>
              <w:rPr>
                <w:rFonts w:ascii="Calibri" w:hAnsi="Calibri" w:cs="Calibri"/>
                <w:color w:val="000000"/>
                <w:sz w:val="16"/>
                <w:szCs w:val="16"/>
                <w:lang w:eastAsia="en-AU"/>
              </w:rPr>
            </w:pPr>
            <w:r w:rsidRPr="00C97688">
              <w:rPr>
                <w:rFonts w:ascii="Calibri" w:hAnsi="Calibri" w:cs="Calibri"/>
                <w:color w:val="000000"/>
                <w:sz w:val="16"/>
                <w:szCs w:val="16"/>
                <w:lang w:eastAsia="en-AU"/>
              </w:rPr>
              <w:t>2010-11</w:t>
            </w:r>
          </w:p>
        </w:tc>
        <w:tc>
          <w:tcPr>
            <w:tcW w:w="1120" w:type="dxa"/>
            <w:tcBorders>
              <w:top w:val="single" w:sz="4" w:space="0" w:color="auto"/>
              <w:left w:val="nil"/>
              <w:bottom w:val="single" w:sz="4" w:space="0" w:color="auto"/>
              <w:right w:val="single" w:sz="4" w:space="0" w:color="auto"/>
            </w:tcBorders>
            <w:shd w:val="clear" w:color="000000" w:fill="D8D8D8"/>
            <w:noWrap/>
            <w:vAlign w:val="center"/>
            <w:hideMark/>
          </w:tcPr>
          <w:p w:rsidR="00C97688" w:rsidRPr="00C97688" w:rsidRDefault="00C97688" w:rsidP="00C97688">
            <w:pPr>
              <w:jc w:val="center"/>
              <w:rPr>
                <w:rFonts w:ascii="Calibri" w:hAnsi="Calibri" w:cs="Calibri"/>
                <w:color w:val="000000"/>
                <w:sz w:val="16"/>
                <w:szCs w:val="16"/>
                <w:lang w:eastAsia="en-AU"/>
              </w:rPr>
            </w:pPr>
            <w:r w:rsidRPr="00C97688">
              <w:rPr>
                <w:rFonts w:ascii="Calibri" w:hAnsi="Calibri" w:cs="Calibri"/>
                <w:color w:val="000000"/>
                <w:sz w:val="16"/>
                <w:szCs w:val="16"/>
                <w:lang w:eastAsia="en-AU"/>
              </w:rPr>
              <w:t>2009-10</w:t>
            </w:r>
          </w:p>
        </w:tc>
        <w:tc>
          <w:tcPr>
            <w:tcW w:w="1120" w:type="dxa"/>
            <w:tcBorders>
              <w:top w:val="single" w:sz="4" w:space="0" w:color="auto"/>
              <w:left w:val="nil"/>
              <w:bottom w:val="single" w:sz="4" w:space="0" w:color="auto"/>
              <w:right w:val="single" w:sz="4" w:space="0" w:color="auto"/>
            </w:tcBorders>
            <w:shd w:val="clear" w:color="000000" w:fill="D8D8D8"/>
            <w:noWrap/>
            <w:vAlign w:val="center"/>
            <w:hideMark/>
          </w:tcPr>
          <w:p w:rsidR="00C97688" w:rsidRPr="00C97688" w:rsidRDefault="00C97688" w:rsidP="00C97688">
            <w:pPr>
              <w:jc w:val="center"/>
              <w:rPr>
                <w:rFonts w:ascii="Calibri" w:hAnsi="Calibri" w:cs="Calibri"/>
                <w:color w:val="000000"/>
                <w:sz w:val="16"/>
                <w:szCs w:val="16"/>
                <w:lang w:eastAsia="en-AU"/>
              </w:rPr>
            </w:pPr>
            <w:r w:rsidRPr="00C97688">
              <w:rPr>
                <w:rFonts w:ascii="Calibri" w:hAnsi="Calibri" w:cs="Calibri"/>
                <w:color w:val="000000"/>
                <w:sz w:val="16"/>
                <w:szCs w:val="16"/>
                <w:lang w:eastAsia="en-AU"/>
              </w:rPr>
              <w:t>2008-09</w:t>
            </w:r>
          </w:p>
        </w:tc>
      </w:tr>
      <w:tr w:rsidR="00C97688" w:rsidRPr="00C97688" w:rsidTr="00C97688">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7688" w:rsidRPr="00C97688" w:rsidRDefault="00C97688" w:rsidP="00C97688">
            <w:pPr>
              <w:rPr>
                <w:rFonts w:ascii="Calibri" w:hAnsi="Calibri" w:cs="Calibri"/>
                <w:color w:val="000000"/>
                <w:sz w:val="16"/>
                <w:szCs w:val="16"/>
                <w:lang w:eastAsia="en-AU"/>
              </w:rPr>
            </w:pPr>
            <w:r w:rsidRPr="00C97688">
              <w:rPr>
                <w:rFonts w:ascii="Calibri" w:hAnsi="Calibri" w:cs="Calibri"/>
                <w:color w:val="000000"/>
                <w:sz w:val="16"/>
                <w:szCs w:val="16"/>
                <w:lang w:eastAsia="en-AU"/>
              </w:rPr>
              <w:t>Percentage by which the conversion factor over or under estimates the weight of imports</w:t>
            </w:r>
          </w:p>
        </w:tc>
        <w:tc>
          <w:tcPr>
            <w:tcW w:w="1120" w:type="dxa"/>
            <w:tcBorders>
              <w:top w:val="nil"/>
              <w:left w:val="nil"/>
              <w:bottom w:val="single" w:sz="4" w:space="0" w:color="auto"/>
              <w:right w:val="single" w:sz="4" w:space="0" w:color="auto"/>
            </w:tcBorders>
            <w:shd w:val="clear" w:color="auto" w:fill="auto"/>
            <w:noWrap/>
            <w:vAlign w:val="center"/>
            <w:hideMark/>
          </w:tcPr>
          <w:p w:rsidR="00C97688" w:rsidRPr="00C97688" w:rsidRDefault="00C97688" w:rsidP="00C97688">
            <w:pPr>
              <w:jc w:val="center"/>
              <w:rPr>
                <w:rFonts w:ascii="Calibri" w:hAnsi="Calibri" w:cs="Calibri"/>
                <w:color w:val="000000"/>
                <w:sz w:val="16"/>
                <w:szCs w:val="16"/>
                <w:lang w:eastAsia="en-AU"/>
              </w:rPr>
            </w:pPr>
          </w:p>
        </w:tc>
        <w:tc>
          <w:tcPr>
            <w:tcW w:w="1120" w:type="dxa"/>
            <w:tcBorders>
              <w:top w:val="nil"/>
              <w:left w:val="nil"/>
              <w:bottom w:val="single" w:sz="4" w:space="0" w:color="auto"/>
              <w:right w:val="single" w:sz="4" w:space="0" w:color="auto"/>
            </w:tcBorders>
            <w:shd w:val="clear" w:color="auto" w:fill="auto"/>
            <w:noWrap/>
            <w:vAlign w:val="center"/>
            <w:hideMark/>
          </w:tcPr>
          <w:p w:rsidR="00C97688" w:rsidRPr="00C97688" w:rsidRDefault="00C97688" w:rsidP="00C97688">
            <w:pPr>
              <w:jc w:val="center"/>
              <w:rPr>
                <w:rFonts w:ascii="Calibri" w:hAnsi="Calibri" w:cs="Calibri"/>
                <w:color w:val="000000"/>
                <w:sz w:val="16"/>
                <w:szCs w:val="16"/>
                <w:lang w:eastAsia="en-AU"/>
              </w:rPr>
            </w:pPr>
            <w:r w:rsidRPr="00C97688">
              <w:rPr>
                <w:rFonts w:ascii="Calibri" w:hAnsi="Calibri" w:cs="Calibri"/>
                <w:color w:val="000000"/>
                <w:sz w:val="16"/>
                <w:szCs w:val="16"/>
                <w:lang w:eastAsia="en-AU"/>
              </w:rPr>
              <w:t>0%</w:t>
            </w:r>
          </w:p>
        </w:tc>
        <w:tc>
          <w:tcPr>
            <w:tcW w:w="1120" w:type="dxa"/>
            <w:tcBorders>
              <w:top w:val="nil"/>
              <w:left w:val="nil"/>
              <w:bottom w:val="single" w:sz="4" w:space="0" w:color="auto"/>
              <w:right w:val="single" w:sz="4" w:space="0" w:color="auto"/>
            </w:tcBorders>
            <w:shd w:val="clear" w:color="auto" w:fill="auto"/>
            <w:noWrap/>
            <w:vAlign w:val="center"/>
            <w:hideMark/>
          </w:tcPr>
          <w:p w:rsidR="00C97688" w:rsidRPr="00C97688" w:rsidRDefault="00C97688" w:rsidP="00C97688">
            <w:pPr>
              <w:jc w:val="center"/>
              <w:rPr>
                <w:rFonts w:ascii="Calibri" w:hAnsi="Calibri" w:cs="Calibri"/>
                <w:color w:val="000000"/>
                <w:sz w:val="16"/>
                <w:szCs w:val="16"/>
                <w:lang w:eastAsia="en-AU"/>
              </w:rPr>
            </w:pPr>
            <w:r w:rsidRPr="00C97688">
              <w:rPr>
                <w:rFonts w:ascii="Calibri" w:hAnsi="Calibri" w:cs="Calibri"/>
                <w:color w:val="000000"/>
                <w:sz w:val="16"/>
                <w:szCs w:val="16"/>
                <w:lang w:eastAsia="en-AU"/>
              </w:rPr>
              <w:t>0%</w:t>
            </w:r>
          </w:p>
        </w:tc>
      </w:tr>
    </w:tbl>
    <w:p w:rsidR="001A78F2" w:rsidRDefault="0086387A">
      <w:pPr>
        <w:rPr>
          <w:szCs w:val="22"/>
        </w:rPr>
      </w:pPr>
      <w:r>
        <w:rPr>
          <w:szCs w:val="22"/>
        </w:rPr>
        <w:t>NB There were no ABS imports in the conversion factor year</w:t>
      </w:r>
    </w:p>
    <w:p w:rsidR="0086387A" w:rsidRDefault="0086387A">
      <w:pPr>
        <w:rPr>
          <w:szCs w:val="22"/>
        </w:rPr>
      </w:pPr>
    </w:p>
    <w:p w:rsidR="00C97688" w:rsidRDefault="00C97688" w:rsidP="00C97688">
      <w:pPr>
        <w:rPr>
          <w:szCs w:val="22"/>
        </w:rPr>
      </w:pPr>
      <w:r w:rsidRPr="005A3097">
        <w:rPr>
          <w:b/>
          <w:szCs w:val="22"/>
        </w:rPr>
        <w:t>Distribution:</w:t>
      </w:r>
      <w:r>
        <w:rPr>
          <w:b/>
          <w:szCs w:val="22"/>
        </w:rPr>
        <w:t xml:space="preserve"> </w:t>
      </w:r>
      <w:r>
        <w:rPr>
          <w:szCs w:val="22"/>
        </w:rPr>
        <w:t>One brand reporting one model at 39.9kg.</w:t>
      </w:r>
    </w:p>
    <w:p w:rsidR="00C97688" w:rsidRDefault="00C97688" w:rsidP="00C97688">
      <w:pPr>
        <w:rPr>
          <w:szCs w:val="22"/>
        </w:rPr>
      </w:pPr>
      <w:r>
        <w:rPr>
          <w:b/>
          <w:szCs w:val="22"/>
        </w:rPr>
        <w:t>Proposed conversion factor</w:t>
      </w:r>
      <w:r w:rsidRPr="00416A67">
        <w:rPr>
          <w:szCs w:val="22"/>
        </w:rPr>
        <w:t xml:space="preserve">: </w:t>
      </w:r>
      <w:r>
        <w:rPr>
          <w:szCs w:val="22"/>
        </w:rPr>
        <w:t>39.9</w:t>
      </w:r>
      <w:r>
        <w:rPr>
          <w:rFonts w:ascii="Calibri" w:hAnsi="Calibri" w:cs="Calibri"/>
          <w:color w:val="000000"/>
          <w:sz w:val="16"/>
          <w:szCs w:val="16"/>
          <w:lang w:eastAsia="en-AU"/>
        </w:rPr>
        <w:t xml:space="preserve"> </w:t>
      </w:r>
      <w:r>
        <w:rPr>
          <w:szCs w:val="22"/>
        </w:rPr>
        <w:t>kg</w:t>
      </w:r>
    </w:p>
    <w:p w:rsidR="00C97688" w:rsidRDefault="00C97688" w:rsidP="00C97688">
      <w:pPr>
        <w:rPr>
          <w:szCs w:val="22"/>
        </w:rPr>
      </w:pPr>
      <w:r>
        <w:rPr>
          <w:b/>
          <w:szCs w:val="22"/>
        </w:rPr>
        <w:t>Proposed confidence interval</w:t>
      </w:r>
      <w:r w:rsidRPr="00B02F83">
        <w:rPr>
          <w:szCs w:val="22"/>
        </w:rPr>
        <w:t xml:space="preserve">: </w:t>
      </w:r>
      <w:r>
        <w:rPr>
          <w:szCs w:val="22"/>
        </w:rPr>
        <w:t xml:space="preserve"> </w:t>
      </w:r>
      <w:r w:rsidRPr="000650C4">
        <w:rPr>
          <w:szCs w:val="22"/>
        </w:rPr>
        <w:t xml:space="preserve">± </w:t>
      </w:r>
      <w:r>
        <w:rPr>
          <w:szCs w:val="22"/>
        </w:rPr>
        <w:t>0</w:t>
      </w:r>
      <w:r w:rsidRPr="000650C4">
        <w:rPr>
          <w:szCs w:val="22"/>
        </w:rPr>
        <w:t xml:space="preserve"> kg</w:t>
      </w:r>
    </w:p>
    <w:p w:rsidR="00C97688" w:rsidRDefault="00C62346" w:rsidP="00C97688">
      <w:pPr>
        <w:rPr>
          <w:szCs w:val="22"/>
        </w:rPr>
      </w:pPr>
      <w:r>
        <w:rPr>
          <w:b/>
          <w:szCs w:val="22"/>
        </w:rPr>
        <w:t xml:space="preserve">Variation over time: </w:t>
      </w:r>
      <w:r w:rsidR="00C97688">
        <w:rPr>
          <w:szCs w:val="22"/>
        </w:rPr>
        <w:t>None</w:t>
      </w:r>
    </w:p>
    <w:p w:rsidR="000611A2" w:rsidRDefault="000611A2" w:rsidP="000941E0">
      <w:pPr>
        <w:jc w:val="both"/>
        <w:rPr>
          <w:szCs w:val="22"/>
        </w:rPr>
      </w:pPr>
    </w:p>
    <w:p w:rsidR="00CB3982" w:rsidRDefault="00CB3982" w:rsidP="00CB3982"/>
    <w:p w:rsidR="00CB3982" w:rsidRPr="00CB3982" w:rsidRDefault="00CB3982" w:rsidP="00CB3982">
      <w:pPr>
        <w:rPr>
          <w:rFonts w:ascii="Arial" w:hAnsi="Arial" w:cs="Arial"/>
          <w:b/>
          <w:bCs/>
          <w:color w:val="000000"/>
          <w:szCs w:val="22"/>
          <w:lang w:eastAsia="en-AU"/>
        </w:rPr>
      </w:pPr>
      <w:r>
        <w:rPr>
          <w:rFonts w:ascii="Arial" w:hAnsi="Arial" w:cs="Arial"/>
          <w:b/>
          <w:bCs/>
          <w:color w:val="000000"/>
          <w:szCs w:val="22"/>
          <w:lang w:eastAsia="en-AU"/>
        </w:rPr>
        <w:t>Data Gaps</w:t>
      </w:r>
    </w:p>
    <w:p w:rsidR="00CB3982" w:rsidRDefault="00CB3982" w:rsidP="00CB3982">
      <w:pPr>
        <w:rPr>
          <w:szCs w:val="22"/>
        </w:rPr>
      </w:pPr>
    </w:p>
    <w:p w:rsidR="00876A52" w:rsidRDefault="00876A52" w:rsidP="00876A52">
      <w:pPr>
        <w:rPr>
          <w:szCs w:val="22"/>
        </w:rPr>
      </w:pPr>
      <w:r>
        <w:rPr>
          <w:szCs w:val="22"/>
        </w:rPr>
        <w:t>For the remaining HTSICs without sufficient data on which to develop a conversion factor, HTSICS were grouped according to screen size (rather than apply the CTCN conversion factor).  For most screen size groupings a conversion factor for at least one HTISC existed.</w:t>
      </w:r>
    </w:p>
    <w:p w:rsidR="00876A52" w:rsidRDefault="00876A52" w:rsidP="00876A52">
      <w:pPr>
        <w:rPr>
          <w:szCs w:val="22"/>
        </w:rPr>
      </w:pPr>
    </w:p>
    <w:p w:rsidR="00876A52" w:rsidRDefault="00876A52" w:rsidP="00876A52">
      <w:pPr>
        <w:rPr>
          <w:szCs w:val="22"/>
        </w:rPr>
      </w:pPr>
      <w:r>
        <w:rPr>
          <w:szCs w:val="22"/>
        </w:rPr>
        <w:t>Screen size groups, representative HTSICs and conversion factors are as follows:</w:t>
      </w:r>
    </w:p>
    <w:p w:rsidR="00CB3982" w:rsidRDefault="00CB3982" w:rsidP="00CB3982">
      <w:pPr>
        <w:rPr>
          <w:szCs w:val="22"/>
        </w:rPr>
      </w:pPr>
    </w:p>
    <w:p w:rsidR="00DD2912" w:rsidRPr="00D73340" w:rsidRDefault="00EA470E" w:rsidP="0086387A">
      <w:pPr>
        <w:pStyle w:val="Caption"/>
      </w:pPr>
      <w:r>
        <w:rPr>
          <w:szCs w:val="22"/>
        </w:rPr>
        <w:br w:type="page"/>
      </w:r>
      <w:r w:rsidR="00207129">
        <w:t xml:space="preserve">Table 5-46  </w:t>
      </w:r>
      <w:r w:rsidR="00D73340">
        <w:t xml:space="preserve"> </w:t>
      </w:r>
      <w:r w:rsidR="00207129">
        <w:t>Conversion factors according to screen size group</w:t>
      </w:r>
    </w:p>
    <w:tbl>
      <w:tblPr>
        <w:tblW w:w="7812" w:type="dxa"/>
        <w:tblInd w:w="93" w:type="dxa"/>
        <w:tblLook w:val="04A0"/>
      </w:tblPr>
      <w:tblGrid>
        <w:gridCol w:w="2283"/>
        <w:gridCol w:w="1276"/>
        <w:gridCol w:w="1276"/>
        <w:gridCol w:w="1417"/>
        <w:gridCol w:w="1560"/>
      </w:tblGrid>
      <w:tr w:rsidR="00842D1F" w:rsidRPr="005F2394" w:rsidTr="00842D1F">
        <w:trPr>
          <w:trHeight w:val="300"/>
        </w:trPr>
        <w:tc>
          <w:tcPr>
            <w:tcW w:w="228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5F2394" w:rsidRPr="005F2394" w:rsidRDefault="00842D1F" w:rsidP="005F2394">
            <w:pPr>
              <w:rPr>
                <w:rFonts w:ascii="Calibri" w:hAnsi="Calibri" w:cs="Calibri"/>
                <w:b/>
                <w:bCs/>
                <w:color w:val="000000"/>
                <w:sz w:val="16"/>
                <w:szCs w:val="16"/>
                <w:lang w:eastAsia="en-AU"/>
              </w:rPr>
            </w:pPr>
            <w:r>
              <w:rPr>
                <w:rFonts w:ascii="Calibri" w:hAnsi="Calibri" w:cs="Calibri"/>
                <w:b/>
                <w:bCs/>
                <w:color w:val="000000"/>
                <w:sz w:val="16"/>
                <w:szCs w:val="16"/>
                <w:lang w:eastAsia="en-AU"/>
              </w:rPr>
              <w:t xml:space="preserve">Representative </w:t>
            </w:r>
            <w:r w:rsidR="005F2394" w:rsidRPr="005F2394">
              <w:rPr>
                <w:rFonts w:ascii="Calibri" w:hAnsi="Calibri" w:cs="Calibri"/>
                <w:b/>
                <w:bCs/>
                <w:color w:val="000000"/>
                <w:sz w:val="16"/>
                <w:szCs w:val="16"/>
                <w:lang w:eastAsia="en-AU"/>
              </w:rPr>
              <w:t>SC07 code</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5F2394" w:rsidRPr="005F2394" w:rsidRDefault="005F2394" w:rsidP="005F2394">
            <w:pPr>
              <w:jc w:val="center"/>
              <w:rPr>
                <w:rFonts w:ascii="Calibri" w:hAnsi="Calibri" w:cs="Calibri"/>
                <w:b/>
                <w:bCs/>
                <w:color w:val="000000"/>
                <w:sz w:val="16"/>
                <w:szCs w:val="16"/>
                <w:lang w:eastAsia="en-AU"/>
              </w:rPr>
            </w:pPr>
            <w:r w:rsidRPr="005F2394">
              <w:rPr>
                <w:rFonts w:ascii="Calibri" w:hAnsi="Calibri" w:cs="Calibri"/>
                <w:b/>
                <w:bCs/>
                <w:color w:val="000000"/>
                <w:sz w:val="16"/>
                <w:szCs w:val="16"/>
                <w:lang w:eastAsia="en-AU"/>
              </w:rPr>
              <w:t>CF Year</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5F2394" w:rsidRPr="005F2394" w:rsidRDefault="005F2394" w:rsidP="005F2394">
            <w:pPr>
              <w:jc w:val="center"/>
              <w:rPr>
                <w:rFonts w:ascii="Calibri" w:hAnsi="Calibri" w:cs="Calibri"/>
                <w:b/>
                <w:bCs/>
                <w:color w:val="000000"/>
                <w:sz w:val="16"/>
                <w:szCs w:val="16"/>
                <w:lang w:eastAsia="en-AU"/>
              </w:rPr>
            </w:pPr>
            <w:r w:rsidRPr="005F2394">
              <w:rPr>
                <w:rFonts w:ascii="Calibri" w:hAnsi="Calibri" w:cs="Calibri"/>
                <w:b/>
                <w:bCs/>
                <w:color w:val="000000"/>
                <w:sz w:val="16"/>
                <w:szCs w:val="16"/>
                <w:lang w:eastAsia="en-AU"/>
              </w:rPr>
              <w:t>Factor</w:t>
            </w:r>
            <w:r w:rsidR="00842D1F">
              <w:rPr>
                <w:rFonts w:ascii="Calibri" w:hAnsi="Calibri" w:cs="Calibri"/>
                <w:b/>
                <w:bCs/>
                <w:color w:val="000000"/>
                <w:sz w:val="16"/>
                <w:szCs w:val="16"/>
                <w:lang w:eastAsia="en-AU"/>
              </w:rPr>
              <w:t xml:space="preserve"> (kg)</w:t>
            </w:r>
          </w:p>
        </w:tc>
        <w:tc>
          <w:tcPr>
            <w:tcW w:w="1417" w:type="dxa"/>
            <w:tcBorders>
              <w:top w:val="single" w:sz="4" w:space="0" w:color="auto"/>
              <w:left w:val="nil"/>
              <w:bottom w:val="single" w:sz="4" w:space="0" w:color="auto"/>
              <w:right w:val="single" w:sz="4" w:space="0" w:color="auto"/>
            </w:tcBorders>
            <w:shd w:val="clear" w:color="000000" w:fill="D8D8D8"/>
            <w:noWrap/>
            <w:vAlign w:val="bottom"/>
            <w:hideMark/>
          </w:tcPr>
          <w:p w:rsidR="005F2394" w:rsidRPr="005F2394" w:rsidRDefault="005F2394" w:rsidP="005F2394">
            <w:pPr>
              <w:rPr>
                <w:rFonts w:ascii="Calibri" w:hAnsi="Calibri" w:cs="Calibri"/>
                <w:b/>
                <w:bCs/>
                <w:color w:val="000000"/>
                <w:sz w:val="16"/>
                <w:szCs w:val="16"/>
                <w:lang w:eastAsia="en-AU"/>
              </w:rPr>
            </w:pPr>
            <w:r w:rsidRPr="005F2394">
              <w:rPr>
                <w:rFonts w:ascii="Calibri" w:hAnsi="Calibri" w:cs="Calibri"/>
                <w:b/>
                <w:bCs/>
                <w:color w:val="000000"/>
                <w:sz w:val="16"/>
                <w:szCs w:val="16"/>
                <w:lang w:eastAsia="en-AU"/>
              </w:rPr>
              <w:t>Screen size group</w:t>
            </w:r>
          </w:p>
        </w:tc>
        <w:tc>
          <w:tcPr>
            <w:tcW w:w="1560" w:type="dxa"/>
            <w:tcBorders>
              <w:top w:val="single" w:sz="4" w:space="0" w:color="auto"/>
              <w:left w:val="nil"/>
              <w:bottom w:val="single" w:sz="4" w:space="0" w:color="auto"/>
              <w:right w:val="single" w:sz="4" w:space="0" w:color="auto"/>
            </w:tcBorders>
            <w:shd w:val="clear" w:color="000000" w:fill="D8D8D8"/>
            <w:noWrap/>
            <w:vAlign w:val="bottom"/>
            <w:hideMark/>
          </w:tcPr>
          <w:p w:rsidR="005F2394" w:rsidRPr="005F2394" w:rsidRDefault="005F2394" w:rsidP="005F2394">
            <w:pPr>
              <w:jc w:val="center"/>
              <w:rPr>
                <w:rFonts w:ascii="Calibri" w:hAnsi="Calibri" w:cs="Calibri"/>
                <w:b/>
                <w:bCs/>
                <w:color w:val="000000"/>
                <w:sz w:val="16"/>
                <w:szCs w:val="16"/>
                <w:lang w:eastAsia="en-AU"/>
              </w:rPr>
            </w:pPr>
            <w:r w:rsidRPr="005F2394">
              <w:rPr>
                <w:rFonts w:ascii="Calibri" w:hAnsi="Calibri" w:cs="Calibri"/>
                <w:b/>
                <w:bCs/>
                <w:color w:val="000000"/>
                <w:sz w:val="16"/>
                <w:szCs w:val="16"/>
                <w:lang w:eastAsia="en-AU"/>
              </w:rPr>
              <w:t>New factor</w:t>
            </w:r>
            <w:r w:rsidR="00842D1F">
              <w:rPr>
                <w:rFonts w:ascii="Calibri" w:hAnsi="Calibri" w:cs="Calibri"/>
                <w:b/>
                <w:bCs/>
                <w:color w:val="000000"/>
                <w:sz w:val="16"/>
                <w:szCs w:val="16"/>
                <w:lang w:eastAsia="en-AU"/>
              </w:rPr>
              <w:t xml:space="preserve"> (kg)</w:t>
            </w:r>
          </w:p>
        </w:tc>
      </w:tr>
      <w:tr w:rsidR="005F2394" w:rsidRPr="005F2394" w:rsidTr="00842D1F">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5F2394" w:rsidRPr="005F2394" w:rsidRDefault="005F2394" w:rsidP="005F2394">
            <w:pPr>
              <w:rPr>
                <w:rFonts w:ascii="Calibri" w:hAnsi="Calibri" w:cs="Calibri"/>
                <w:color w:val="000000"/>
                <w:sz w:val="16"/>
                <w:szCs w:val="16"/>
                <w:lang w:eastAsia="en-AU"/>
              </w:rPr>
            </w:pPr>
            <w:r w:rsidRPr="005F2394">
              <w:rPr>
                <w:rFonts w:ascii="Calibri" w:hAnsi="Calibri" w:cs="Calibri"/>
                <w:color w:val="000000"/>
                <w:sz w:val="16"/>
                <w:szCs w:val="16"/>
                <w:lang w:eastAsia="en-AU"/>
              </w:rPr>
              <w:t>8528.72.00 60</w:t>
            </w:r>
          </w:p>
        </w:tc>
        <w:tc>
          <w:tcPr>
            <w:tcW w:w="1276" w:type="dxa"/>
            <w:tcBorders>
              <w:top w:val="nil"/>
              <w:left w:val="nil"/>
              <w:bottom w:val="single" w:sz="4" w:space="0" w:color="auto"/>
              <w:right w:val="single" w:sz="4" w:space="0" w:color="auto"/>
            </w:tcBorders>
            <w:shd w:val="clear" w:color="auto" w:fill="auto"/>
            <w:noWrap/>
            <w:vAlign w:val="bottom"/>
            <w:hideMark/>
          </w:tcPr>
          <w:p w:rsidR="005F2394" w:rsidRPr="005F2394" w:rsidRDefault="005F2394" w:rsidP="005F2394">
            <w:pPr>
              <w:jc w:val="right"/>
              <w:rPr>
                <w:rFonts w:ascii="Calibri" w:hAnsi="Calibri" w:cs="Calibri"/>
                <w:color w:val="000000"/>
                <w:sz w:val="16"/>
                <w:szCs w:val="16"/>
                <w:lang w:eastAsia="en-AU"/>
              </w:rPr>
            </w:pPr>
            <w:r w:rsidRPr="005F2394">
              <w:rPr>
                <w:rFonts w:ascii="Calibri" w:hAnsi="Calibri" w:cs="Calibri"/>
                <w:color w:val="000000"/>
                <w:sz w:val="16"/>
                <w:szCs w:val="16"/>
                <w:lang w:eastAsia="en-AU"/>
              </w:rPr>
              <w:t>2010-11</w:t>
            </w:r>
          </w:p>
        </w:tc>
        <w:tc>
          <w:tcPr>
            <w:tcW w:w="1276" w:type="dxa"/>
            <w:tcBorders>
              <w:top w:val="nil"/>
              <w:left w:val="nil"/>
              <w:bottom w:val="single" w:sz="4" w:space="0" w:color="auto"/>
              <w:right w:val="single" w:sz="4" w:space="0" w:color="auto"/>
            </w:tcBorders>
            <w:shd w:val="clear" w:color="auto" w:fill="auto"/>
            <w:noWrap/>
            <w:vAlign w:val="bottom"/>
            <w:hideMark/>
          </w:tcPr>
          <w:p w:rsidR="005F2394" w:rsidRPr="005F2394" w:rsidRDefault="005F2394" w:rsidP="005F2394">
            <w:pPr>
              <w:jc w:val="center"/>
              <w:rPr>
                <w:rFonts w:ascii="Calibri" w:hAnsi="Calibri" w:cs="Calibri"/>
                <w:color w:val="000000"/>
                <w:sz w:val="16"/>
                <w:szCs w:val="16"/>
                <w:lang w:eastAsia="en-AU"/>
              </w:rPr>
            </w:pPr>
            <w:r w:rsidRPr="005F2394">
              <w:rPr>
                <w:rFonts w:ascii="Calibri" w:hAnsi="Calibri" w:cs="Calibri"/>
                <w:color w:val="000000"/>
                <w:sz w:val="16"/>
                <w:szCs w:val="16"/>
                <w:lang w:eastAsia="en-AU"/>
              </w:rPr>
              <w:t>5.4</w:t>
            </w:r>
          </w:p>
        </w:tc>
        <w:tc>
          <w:tcPr>
            <w:tcW w:w="1417" w:type="dxa"/>
            <w:tcBorders>
              <w:top w:val="nil"/>
              <w:left w:val="nil"/>
              <w:bottom w:val="single" w:sz="4" w:space="0" w:color="auto"/>
              <w:right w:val="single" w:sz="4" w:space="0" w:color="auto"/>
            </w:tcBorders>
            <w:shd w:val="clear" w:color="auto" w:fill="auto"/>
            <w:noWrap/>
            <w:vAlign w:val="bottom"/>
            <w:hideMark/>
          </w:tcPr>
          <w:p w:rsidR="005F2394" w:rsidRPr="005F2394" w:rsidRDefault="005F2394" w:rsidP="005F2394">
            <w:pPr>
              <w:rPr>
                <w:rFonts w:ascii="Calibri" w:hAnsi="Calibri" w:cs="Calibri"/>
                <w:color w:val="000000"/>
                <w:sz w:val="16"/>
                <w:szCs w:val="16"/>
                <w:lang w:eastAsia="en-AU"/>
              </w:rPr>
            </w:pPr>
            <w:r w:rsidRPr="005F2394">
              <w:rPr>
                <w:rFonts w:ascii="Calibri" w:hAnsi="Calibri" w:cs="Calibri"/>
                <w:color w:val="000000"/>
                <w:sz w:val="16"/>
                <w:szCs w:val="16"/>
                <w:lang w:eastAsia="en-AU"/>
              </w:rPr>
              <w:t>LCD &lt; 80</w:t>
            </w:r>
            <w:r w:rsidR="00842D1F">
              <w:rPr>
                <w:rFonts w:ascii="Calibri" w:hAnsi="Calibri" w:cs="Calibri"/>
                <w:color w:val="000000"/>
                <w:sz w:val="16"/>
                <w:szCs w:val="16"/>
                <w:lang w:eastAsia="en-AU"/>
              </w:rPr>
              <w:t xml:space="preserve"> cm</w:t>
            </w:r>
          </w:p>
        </w:tc>
        <w:tc>
          <w:tcPr>
            <w:tcW w:w="1560" w:type="dxa"/>
            <w:tcBorders>
              <w:top w:val="nil"/>
              <w:left w:val="nil"/>
              <w:bottom w:val="single" w:sz="4" w:space="0" w:color="auto"/>
              <w:right w:val="single" w:sz="4" w:space="0" w:color="auto"/>
            </w:tcBorders>
            <w:shd w:val="clear" w:color="auto" w:fill="auto"/>
            <w:noWrap/>
            <w:vAlign w:val="center"/>
            <w:hideMark/>
          </w:tcPr>
          <w:p w:rsidR="005F2394" w:rsidRPr="005F2394" w:rsidRDefault="005F2394" w:rsidP="005F2394">
            <w:pPr>
              <w:jc w:val="center"/>
              <w:rPr>
                <w:rFonts w:ascii="Calibri" w:hAnsi="Calibri" w:cs="Calibri"/>
                <w:color w:val="000000"/>
                <w:sz w:val="16"/>
                <w:szCs w:val="16"/>
                <w:lang w:eastAsia="en-AU"/>
              </w:rPr>
            </w:pPr>
            <w:r w:rsidRPr="005F2394">
              <w:rPr>
                <w:rFonts w:ascii="Calibri" w:hAnsi="Calibri" w:cs="Calibri"/>
                <w:color w:val="000000"/>
                <w:sz w:val="16"/>
                <w:szCs w:val="16"/>
                <w:lang w:eastAsia="en-AU"/>
              </w:rPr>
              <w:t>5.4</w:t>
            </w:r>
          </w:p>
        </w:tc>
      </w:tr>
      <w:tr w:rsidR="005F2394" w:rsidRPr="005F2394" w:rsidTr="00842D1F">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5F2394" w:rsidRPr="005F2394" w:rsidRDefault="005F2394" w:rsidP="005F2394">
            <w:pPr>
              <w:rPr>
                <w:rFonts w:ascii="Calibri" w:hAnsi="Calibri" w:cs="Calibri"/>
                <w:color w:val="000000"/>
                <w:sz w:val="16"/>
                <w:szCs w:val="16"/>
                <w:lang w:eastAsia="en-AU"/>
              </w:rPr>
            </w:pPr>
            <w:r w:rsidRPr="005F2394">
              <w:rPr>
                <w:rFonts w:ascii="Calibri" w:hAnsi="Calibri" w:cs="Calibri"/>
                <w:color w:val="000000"/>
                <w:sz w:val="16"/>
                <w:szCs w:val="16"/>
                <w:lang w:eastAsia="en-AU"/>
              </w:rPr>
              <w:t>8528.72.00 61</w:t>
            </w:r>
          </w:p>
        </w:tc>
        <w:tc>
          <w:tcPr>
            <w:tcW w:w="1276" w:type="dxa"/>
            <w:tcBorders>
              <w:top w:val="nil"/>
              <w:left w:val="nil"/>
              <w:bottom w:val="single" w:sz="4" w:space="0" w:color="auto"/>
              <w:right w:val="single" w:sz="4" w:space="0" w:color="auto"/>
            </w:tcBorders>
            <w:shd w:val="clear" w:color="auto" w:fill="auto"/>
            <w:noWrap/>
            <w:vAlign w:val="bottom"/>
            <w:hideMark/>
          </w:tcPr>
          <w:p w:rsidR="005F2394" w:rsidRPr="005F2394" w:rsidRDefault="005F2394" w:rsidP="005F2394">
            <w:pPr>
              <w:jc w:val="right"/>
              <w:rPr>
                <w:rFonts w:ascii="Calibri" w:hAnsi="Calibri" w:cs="Calibri"/>
                <w:color w:val="000000"/>
                <w:sz w:val="16"/>
                <w:szCs w:val="16"/>
                <w:lang w:eastAsia="en-AU"/>
              </w:rPr>
            </w:pPr>
            <w:r w:rsidRPr="005F2394">
              <w:rPr>
                <w:rFonts w:ascii="Calibri" w:hAnsi="Calibri" w:cs="Calibri"/>
                <w:color w:val="000000"/>
                <w:sz w:val="16"/>
                <w:szCs w:val="16"/>
                <w:lang w:eastAsia="en-AU"/>
              </w:rPr>
              <w:t>2010-11</w:t>
            </w:r>
          </w:p>
        </w:tc>
        <w:tc>
          <w:tcPr>
            <w:tcW w:w="1276" w:type="dxa"/>
            <w:tcBorders>
              <w:top w:val="nil"/>
              <w:left w:val="nil"/>
              <w:bottom w:val="single" w:sz="4" w:space="0" w:color="auto"/>
              <w:right w:val="single" w:sz="4" w:space="0" w:color="auto"/>
            </w:tcBorders>
            <w:shd w:val="clear" w:color="auto" w:fill="auto"/>
            <w:noWrap/>
            <w:vAlign w:val="bottom"/>
            <w:hideMark/>
          </w:tcPr>
          <w:p w:rsidR="005F2394" w:rsidRPr="005F2394" w:rsidRDefault="005F2394" w:rsidP="005F2394">
            <w:pPr>
              <w:jc w:val="center"/>
              <w:rPr>
                <w:rFonts w:ascii="Calibri" w:hAnsi="Calibri" w:cs="Calibri"/>
                <w:color w:val="000000"/>
                <w:sz w:val="16"/>
                <w:szCs w:val="16"/>
                <w:lang w:eastAsia="en-AU"/>
              </w:rPr>
            </w:pPr>
            <w:r w:rsidRPr="005F2394">
              <w:rPr>
                <w:rFonts w:ascii="Calibri" w:hAnsi="Calibri" w:cs="Calibri"/>
                <w:color w:val="000000"/>
                <w:sz w:val="16"/>
                <w:szCs w:val="16"/>
                <w:lang w:eastAsia="en-AU"/>
              </w:rPr>
              <w:t>18.4</w:t>
            </w:r>
          </w:p>
        </w:tc>
        <w:tc>
          <w:tcPr>
            <w:tcW w:w="1417" w:type="dxa"/>
            <w:tcBorders>
              <w:top w:val="nil"/>
              <w:left w:val="nil"/>
              <w:bottom w:val="single" w:sz="4" w:space="0" w:color="auto"/>
              <w:right w:val="single" w:sz="4" w:space="0" w:color="auto"/>
            </w:tcBorders>
            <w:shd w:val="clear" w:color="auto" w:fill="auto"/>
            <w:noWrap/>
            <w:vAlign w:val="bottom"/>
            <w:hideMark/>
          </w:tcPr>
          <w:p w:rsidR="005F2394" w:rsidRPr="005F2394" w:rsidRDefault="005F2394" w:rsidP="005F2394">
            <w:pPr>
              <w:rPr>
                <w:rFonts w:ascii="Calibri" w:hAnsi="Calibri" w:cs="Calibri"/>
                <w:color w:val="000000"/>
                <w:sz w:val="16"/>
                <w:szCs w:val="16"/>
                <w:lang w:eastAsia="en-AU"/>
              </w:rPr>
            </w:pPr>
            <w:r w:rsidRPr="005F2394">
              <w:rPr>
                <w:rFonts w:ascii="Calibri" w:hAnsi="Calibri" w:cs="Calibri"/>
                <w:color w:val="000000"/>
                <w:sz w:val="16"/>
                <w:szCs w:val="16"/>
                <w:lang w:eastAsia="en-AU"/>
              </w:rPr>
              <w:t>LCD &gt; 80</w:t>
            </w:r>
            <w:r w:rsidR="00842D1F">
              <w:rPr>
                <w:rFonts w:ascii="Calibri" w:hAnsi="Calibri" w:cs="Calibri"/>
                <w:color w:val="000000"/>
                <w:sz w:val="16"/>
                <w:szCs w:val="16"/>
                <w:lang w:eastAsia="en-AU"/>
              </w:rPr>
              <w:t xml:space="preserve"> cm</w:t>
            </w:r>
          </w:p>
        </w:tc>
        <w:tc>
          <w:tcPr>
            <w:tcW w:w="1560" w:type="dxa"/>
            <w:tcBorders>
              <w:top w:val="nil"/>
              <w:left w:val="nil"/>
              <w:bottom w:val="single" w:sz="4" w:space="0" w:color="auto"/>
              <w:right w:val="single" w:sz="4" w:space="0" w:color="auto"/>
            </w:tcBorders>
            <w:shd w:val="clear" w:color="auto" w:fill="auto"/>
            <w:noWrap/>
            <w:vAlign w:val="center"/>
            <w:hideMark/>
          </w:tcPr>
          <w:p w:rsidR="005F2394" w:rsidRPr="005F2394" w:rsidRDefault="005F2394" w:rsidP="005F2394">
            <w:pPr>
              <w:jc w:val="center"/>
              <w:rPr>
                <w:rFonts w:ascii="Calibri" w:hAnsi="Calibri" w:cs="Calibri"/>
                <w:color w:val="000000"/>
                <w:sz w:val="16"/>
                <w:szCs w:val="16"/>
                <w:lang w:eastAsia="en-AU"/>
              </w:rPr>
            </w:pPr>
            <w:r w:rsidRPr="005F2394">
              <w:rPr>
                <w:rFonts w:ascii="Calibri" w:hAnsi="Calibri" w:cs="Calibri"/>
                <w:color w:val="000000"/>
                <w:sz w:val="16"/>
                <w:szCs w:val="16"/>
                <w:lang w:eastAsia="en-AU"/>
              </w:rPr>
              <w:t>18.4</w:t>
            </w:r>
          </w:p>
        </w:tc>
      </w:tr>
      <w:tr w:rsidR="005F2394" w:rsidRPr="005F2394" w:rsidTr="00842D1F">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5F2394" w:rsidRPr="005F2394" w:rsidRDefault="005F2394" w:rsidP="005F2394">
            <w:pPr>
              <w:rPr>
                <w:rFonts w:ascii="Calibri" w:hAnsi="Calibri" w:cs="Calibri"/>
                <w:color w:val="000000"/>
                <w:sz w:val="16"/>
                <w:szCs w:val="16"/>
                <w:lang w:eastAsia="en-AU"/>
              </w:rPr>
            </w:pPr>
            <w:r w:rsidRPr="005F2394">
              <w:rPr>
                <w:rFonts w:ascii="Calibri" w:hAnsi="Calibri" w:cs="Calibri"/>
                <w:color w:val="000000"/>
                <w:sz w:val="16"/>
                <w:szCs w:val="16"/>
                <w:lang w:eastAsia="en-AU"/>
              </w:rPr>
              <w:t>8528.72.00 62</w:t>
            </w:r>
          </w:p>
        </w:tc>
        <w:tc>
          <w:tcPr>
            <w:tcW w:w="1276" w:type="dxa"/>
            <w:tcBorders>
              <w:top w:val="nil"/>
              <w:left w:val="nil"/>
              <w:bottom w:val="single" w:sz="4" w:space="0" w:color="auto"/>
              <w:right w:val="single" w:sz="4" w:space="0" w:color="auto"/>
            </w:tcBorders>
            <w:shd w:val="clear" w:color="auto" w:fill="auto"/>
            <w:noWrap/>
            <w:vAlign w:val="bottom"/>
            <w:hideMark/>
          </w:tcPr>
          <w:p w:rsidR="005F2394" w:rsidRPr="005F2394" w:rsidRDefault="005F2394" w:rsidP="005F2394">
            <w:pPr>
              <w:jc w:val="right"/>
              <w:rPr>
                <w:rFonts w:ascii="Calibri" w:hAnsi="Calibri" w:cs="Calibri"/>
                <w:color w:val="000000"/>
                <w:sz w:val="16"/>
                <w:szCs w:val="16"/>
                <w:lang w:eastAsia="en-AU"/>
              </w:rPr>
            </w:pPr>
            <w:r w:rsidRPr="005F2394">
              <w:rPr>
                <w:rFonts w:ascii="Calibri" w:hAnsi="Calibri" w:cs="Calibri"/>
                <w:color w:val="000000"/>
                <w:sz w:val="16"/>
                <w:szCs w:val="16"/>
                <w:lang w:eastAsia="en-AU"/>
              </w:rPr>
              <w:t>2010-11</w:t>
            </w:r>
          </w:p>
        </w:tc>
        <w:tc>
          <w:tcPr>
            <w:tcW w:w="1276" w:type="dxa"/>
            <w:tcBorders>
              <w:top w:val="nil"/>
              <w:left w:val="nil"/>
              <w:bottom w:val="single" w:sz="4" w:space="0" w:color="auto"/>
              <w:right w:val="single" w:sz="4" w:space="0" w:color="auto"/>
            </w:tcBorders>
            <w:shd w:val="clear" w:color="auto" w:fill="auto"/>
            <w:noWrap/>
            <w:vAlign w:val="bottom"/>
            <w:hideMark/>
          </w:tcPr>
          <w:p w:rsidR="005F2394" w:rsidRPr="005F2394" w:rsidRDefault="005F2394" w:rsidP="005F2394">
            <w:pPr>
              <w:jc w:val="center"/>
              <w:rPr>
                <w:rFonts w:ascii="Calibri" w:hAnsi="Calibri" w:cs="Calibri"/>
                <w:color w:val="000000"/>
                <w:sz w:val="16"/>
                <w:szCs w:val="16"/>
                <w:lang w:eastAsia="en-AU"/>
              </w:rPr>
            </w:pPr>
            <w:r w:rsidRPr="005F2394">
              <w:rPr>
                <w:rFonts w:ascii="Calibri" w:hAnsi="Calibri" w:cs="Calibri"/>
                <w:color w:val="000000"/>
                <w:sz w:val="16"/>
                <w:szCs w:val="16"/>
                <w:lang w:eastAsia="en-AU"/>
              </w:rPr>
              <w:t>18.5</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2394" w:rsidRPr="005F2394" w:rsidRDefault="005F2394" w:rsidP="005F2394">
            <w:pPr>
              <w:rPr>
                <w:rFonts w:ascii="Calibri" w:hAnsi="Calibri" w:cs="Calibri"/>
                <w:color w:val="000000"/>
                <w:sz w:val="16"/>
                <w:szCs w:val="16"/>
                <w:lang w:eastAsia="en-AU"/>
              </w:rPr>
            </w:pPr>
            <w:r w:rsidRPr="005F2394">
              <w:rPr>
                <w:rFonts w:ascii="Calibri" w:hAnsi="Calibri" w:cs="Calibri"/>
                <w:color w:val="000000"/>
                <w:sz w:val="16"/>
                <w:szCs w:val="16"/>
                <w:lang w:eastAsia="en-AU"/>
              </w:rPr>
              <w:t>LCD other</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2394" w:rsidRPr="005F2394" w:rsidRDefault="005F2394" w:rsidP="005F2394">
            <w:pPr>
              <w:jc w:val="center"/>
              <w:rPr>
                <w:rFonts w:ascii="Calibri" w:hAnsi="Calibri" w:cs="Calibri"/>
                <w:color w:val="000000"/>
                <w:sz w:val="16"/>
                <w:szCs w:val="16"/>
                <w:lang w:eastAsia="en-AU"/>
              </w:rPr>
            </w:pPr>
            <w:r w:rsidRPr="005F2394">
              <w:rPr>
                <w:rFonts w:ascii="Calibri" w:hAnsi="Calibri" w:cs="Calibri"/>
                <w:color w:val="000000"/>
                <w:sz w:val="16"/>
                <w:szCs w:val="16"/>
                <w:lang w:eastAsia="en-AU"/>
              </w:rPr>
              <w:t>18.5</w:t>
            </w:r>
          </w:p>
        </w:tc>
      </w:tr>
      <w:tr w:rsidR="005F2394" w:rsidRPr="005F2394" w:rsidTr="00842D1F">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5F2394" w:rsidRPr="005F2394" w:rsidRDefault="005F2394" w:rsidP="005F2394">
            <w:pPr>
              <w:rPr>
                <w:rFonts w:ascii="Calibri" w:hAnsi="Calibri" w:cs="Calibri"/>
                <w:color w:val="000000"/>
                <w:sz w:val="16"/>
                <w:szCs w:val="16"/>
                <w:lang w:eastAsia="en-AU"/>
              </w:rPr>
            </w:pPr>
            <w:r w:rsidRPr="005F2394">
              <w:rPr>
                <w:rFonts w:ascii="Calibri" w:hAnsi="Calibri" w:cs="Calibri"/>
                <w:color w:val="000000"/>
                <w:sz w:val="16"/>
                <w:szCs w:val="16"/>
                <w:lang w:eastAsia="en-AU"/>
              </w:rPr>
              <w:t>8528.72.00 40</w:t>
            </w:r>
          </w:p>
        </w:tc>
        <w:tc>
          <w:tcPr>
            <w:tcW w:w="1276" w:type="dxa"/>
            <w:tcBorders>
              <w:top w:val="nil"/>
              <w:left w:val="nil"/>
              <w:bottom w:val="single" w:sz="4" w:space="0" w:color="auto"/>
              <w:right w:val="single" w:sz="4" w:space="0" w:color="auto"/>
            </w:tcBorders>
            <w:shd w:val="clear" w:color="auto" w:fill="auto"/>
            <w:noWrap/>
            <w:vAlign w:val="bottom"/>
            <w:hideMark/>
          </w:tcPr>
          <w:p w:rsidR="005F2394" w:rsidRPr="005F2394" w:rsidRDefault="005F2394" w:rsidP="005F2394">
            <w:pPr>
              <w:jc w:val="right"/>
              <w:rPr>
                <w:rFonts w:ascii="Calibri" w:hAnsi="Calibri" w:cs="Calibri"/>
                <w:color w:val="000000"/>
                <w:sz w:val="16"/>
                <w:szCs w:val="16"/>
                <w:lang w:eastAsia="en-AU"/>
              </w:rPr>
            </w:pPr>
            <w:r w:rsidRPr="005F2394">
              <w:rPr>
                <w:rFonts w:ascii="Calibri" w:hAnsi="Calibri" w:cs="Calibri"/>
                <w:color w:val="000000"/>
                <w:sz w:val="16"/>
                <w:szCs w:val="16"/>
                <w:lang w:eastAsia="en-AU"/>
              </w:rPr>
              <w:t>2008-09</w:t>
            </w:r>
          </w:p>
        </w:tc>
        <w:tc>
          <w:tcPr>
            <w:tcW w:w="1276" w:type="dxa"/>
            <w:tcBorders>
              <w:top w:val="nil"/>
              <w:left w:val="nil"/>
              <w:bottom w:val="single" w:sz="4" w:space="0" w:color="auto"/>
              <w:right w:val="single" w:sz="4" w:space="0" w:color="auto"/>
            </w:tcBorders>
            <w:shd w:val="clear" w:color="auto" w:fill="auto"/>
            <w:noWrap/>
            <w:vAlign w:val="bottom"/>
            <w:hideMark/>
          </w:tcPr>
          <w:p w:rsidR="005F2394" w:rsidRPr="005F2394" w:rsidRDefault="005F2394" w:rsidP="005F2394">
            <w:pPr>
              <w:jc w:val="center"/>
              <w:rPr>
                <w:rFonts w:ascii="Calibri" w:hAnsi="Calibri" w:cs="Calibri"/>
                <w:color w:val="000000"/>
                <w:sz w:val="16"/>
                <w:szCs w:val="16"/>
                <w:lang w:eastAsia="en-AU"/>
              </w:rPr>
            </w:pPr>
            <w:r w:rsidRPr="005F2394">
              <w:rPr>
                <w:rFonts w:ascii="Calibri" w:hAnsi="Calibri" w:cs="Calibri"/>
                <w:color w:val="000000"/>
                <w:sz w:val="16"/>
                <w:szCs w:val="16"/>
                <w:lang w:eastAsia="en-AU"/>
              </w:rPr>
              <w:t>18.5</w:t>
            </w:r>
          </w:p>
        </w:tc>
        <w:tc>
          <w:tcPr>
            <w:tcW w:w="1417" w:type="dxa"/>
            <w:vMerge/>
            <w:tcBorders>
              <w:top w:val="nil"/>
              <w:left w:val="single" w:sz="4" w:space="0" w:color="auto"/>
              <w:bottom w:val="single" w:sz="4" w:space="0" w:color="auto"/>
              <w:right w:val="single" w:sz="4" w:space="0" w:color="auto"/>
            </w:tcBorders>
            <w:vAlign w:val="center"/>
            <w:hideMark/>
          </w:tcPr>
          <w:p w:rsidR="005F2394" w:rsidRPr="005F2394" w:rsidRDefault="005F2394" w:rsidP="005F2394">
            <w:pPr>
              <w:rPr>
                <w:rFonts w:ascii="Calibri" w:hAnsi="Calibri" w:cs="Calibri"/>
                <w:color w:val="000000"/>
                <w:sz w:val="16"/>
                <w:szCs w:val="16"/>
                <w:lang w:eastAsia="en-AU"/>
              </w:rPr>
            </w:pPr>
          </w:p>
        </w:tc>
        <w:tc>
          <w:tcPr>
            <w:tcW w:w="1560" w:type="dxa"/>
            <w:vMerge/>
            <w:tcBorders>
              <w:top w:val="nil"/>
              <w:left w:val="single" w:sz="4" w:space="0" w:color="auto"/>
              <w:bottom w:val="single" w:sz="4" w:space="0" w:color="auto"/>
              <w:right w:val="single" w:sz="4" w:space="0" w:color="auto"/>
            </w:tcBorders>
            <w:vAlign w:val="center"/>
            <w:hideMark/>
          </w:tcPr>
          <w:p w:rsidR="005F2394" w:rsidRPr="005F2394" w:rsidRDefault="005F2394" w:rsidP="005F2394">
            <w:pPr>
              <w:rPr>
                <w:rFonts w:ascii="Calibri" w:hAnsi="Calibri" w:cs="Calibri"/>
                <w:color w:val="000000"/>
                <w:sz w:val="16"/>
                <w:szCs w:val="16"/>
                <w:lang w:eastAsia="en-AU"/>
              </w:rPr>
            </w:pPr>
          </w:p>
        </w:tc>
      </w:tr>
      <w:tr w:rsidR="00842D1F" w:rsidRPr="005F2394" w:rsidTr="00842D1F">
        <w:trPr>
          <w:trHeight w:val="300"/>
        </w:trPr>
        <w:tc>
          <w:tcPr>
            <w:tcW w:w="4835" w:type="dxa"/>
            <w:gridSpan w:val="3"/>
            <w:tcBorders>
              <w:top w:val="nil"/>
              <w:left w:val="single" w:sz="4" w:space="0" w:color="auto"/>
              <w:bottom w:val="single" w:sz="4" w:space="0" w:color="auto"/>
              <w:right w:val="single" w:sz="4" w:space="0" w:color="auto"/>
            </w:tcBorders>
            <w:shd w:val="clear" w:color="auto" w:fill="auto"/>
            <w:noWrap/>
            <w:vAlign w:val="center"/>
            <w:hideMark/>
          </w:tcPr>
          <w:p w:rsidR="00842D1F" w:rsidRPr="005F2394" w:rsidRDefault="00842D1F" w:rsidP="00842D1F">
            <w:pPr>
              <w:rPr>
                <w:rFonts w:ascii="Calibri" w:hAnsi="Calibri" w:cs="Calibri"/>
                <w:color w:val="000000"/>
                <w:sz w:val="16"/>
                <w:szCs w:val="16"/>
                <w:lang w:eastAsia="en-AU"/>
              </w:rPr>
            </w:pPr>
            <w:r>
              <w:rPr>
                <w:rFonts w:ascii="Calibri" w:hAnsi="Calibri" w:cs="Calibri"/>
                <w:color w:val="000000"/>
                <w:sz w:val="16"/>
                <w:szCs w:val="16"/>
                <w:lang w:eastAsia="en-AU"/>
              </w:rPr>
              <w:t>No factor for a representative screen size. See proxy method below.</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842D1F" w:rsidRPr="005F2394" w:rsidRDefault="00842D1F" w:rsidP="00842D1F">
            <w:pPr>
              <w:rPr>
                <w:rFonts w:ascii="Calibri" w:hAnsi="Calibri" w:cs="Calibri"/>
                <w:color w:val="000000"/>
                <w:sz w:val="16"/>
                <w:szCs w:val="16"/>
                <w:lang w:eastAsia="en-AU"/>
              </w:rPr>
            </w:pPr>
            <w:r w:rsidRPr="005F2394">
              <w:rPr>
                <w:rFonts w:ascii="Calibri" w:hAnsi="Calibri" w:cs="Calibri"/>
                <w:color w:val="000000"/>
                <w:sz w:val="16"/>
                <w:szCs w:val="16"/>
                <w:lang w:eastAsia="en-AU"/>
              </w:rPr>
              <w:t xml:space="preserve">Plasma/projection </w:t>
            </w:r>
            <w:r>
              <w:rPr>
                <w:rFonts w:ascii="Calibri" w:hAnsi="Calibri" w:cs="Calibri"/>
                <w:color w:val="000000"/>
                <w:sz w:val="16"/>
                <w:szCs w:val="16"/>
                <w:lang w:eastAsia="en-AU"/>
              </w:rPr>
              <w:t>&lt;</w:t>
            </w:r>
            <w:r w:rsidRPr="005F2394">
              <w:rPr>
                <w:rFonts w:ascii="Calibri" w:hAnsi="Calibri" w:cs="Calibri"/>
                <w:color w:val="000000"/>
                <w:sz w:val="16"/>
                <w:szCs w:val="16"/>
                <w:lang w:eastAsia="en-AU"/>
              </w:rPr>
              <w:t xml:space="preserve"> 80</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842D1F" w:rsidRPr="005F2394" w:rsidRDefault="00842D1F" w:rsidP="005F2394">
            <w:pPr>
              <w:jc w:val="center"/>
              <w:rPr>
                <w:rFonts w:ascii="Calibri" w:hAnsi="Calibri" w:cs="Calibri"/>
                <w:color w:val="000000"/>
                <w:sz w:val="16"/>
                <w:szCs w:val="16"/>
                <w:lang w:eastAsia="en-AU"/>
              </w:rPr>
            </w:pPr>
            <w:r>
              <w:rPr>
                <w:rFonts w:ascii="Calibri" w:hAnsi="Calibri" w:cs="Calibri"/>
                <w:color w:val="000000"/>
                <w:sz w:val="16"/>
                <w:szCs w:val="16"/>
                <w:lang w:eastAsia="en-AU"/>
              </w:rPr>
              <w:t>8.9</w:t>
            </w:r>
          </w:p>
        </w:tc>
      </w:tr>
      <w:tr w:rsidR="005F2394" w:rsidRPr="005F2394" w:rsidTr="00842D1F">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5F2394" w:rsidRPr="005F2394" w:rsidRDefault="005F2394" w:rsidP="005F2394">
            <w:pPr>
              <w:rPr>
                <w:rFonts w:ascii="Calibri" w:hAnsi="Calibri" w:cs="Calibri"/>
                <w:color w:val="000000"/>
                <w:sz w:val="16"/>
                <w:szCs w:val="16"/>
                <w:lang w:eastAsia="en-AU"/>
              </w:rPr>
            </w:pPr>
            <w:r w:rsidRPr="005F2394">
              <w:rPr>
                <w:rFonts w:ascii="Calibri" w:hAnsi="Calibri" w:cs="Calibri"/>
                <w:color w:val="000000"/>
                <w:sz w:val="16"/>
                <w:szCs w:val="16"/>
                <w:lang w:eastAsia="en-AU"/>
              </w:rPr>
              <w:t>8528.72.00 11</w:t>
            </w:r>
          </w:p>
        </w:tc>
        <w:tc>
          <w:tcPr>
            <w:tcW w:w="1276" w:type="dxa"/>
            <w:tcBorders>
              <w:top w:val="nil"/>
              <w:left w:val="nil"/>
              <w:bottom w:val="single" w:sz="4" w:space="0" w:color="auto"/>
              <w:right w:val="single" w:sz="4" w:space="0" w:color="auto"/>
            </w:tcBorders>
            <w:shd w:val="clear" w:color="auto" w:fill="auto"/>
            <w:noWrap/>
            <w:vAlign w:val="bottom"/>
            <w:hideMark/>
          </w:tcPr>
          <w:p w:rsidR="005F2394" w:rsidRPr="005F2394" w:rsidRDefault="005F2394" w:rsidP="005F2394">
            <w:pPr>
              <w:jc w:val="right"/>
              <w:rPr>
                <w:rFonts w:ascii="Calibri" w:hAnsi="Calibri" w:cs="Calibri"/>
                <w:color w:val="000000"/>
                <w:sz w:val="16"/>
                <w:szCs w:val="16"/>
                <w:lang w:eastAsia="en-AU"/>
              </w:rPr>
            </w:pPr>
            <w:r w:rsidRPr="005F2394">
              <w:rPr>
                <w:rFonts w:ascii="Calibri" w:hAnsi="Calibri" w:cs="Calibri"/>
                <w:color w:val="000000"/>
                <w:sz w:val="16"/>
                <w:szCs w:val="16"/>
                <w:lang w:eastAsia="en-AU"/>
              </w:rPr>
              <w:t>2010-11</w:t>
            </w:r>
          </w:p>
        </w:tc>
        <w:tc>
          <w:tcPr>
            <w:tcW w:w="1276" w:type="dxa"/>
            <w:tcBorders>
              <w:top w:val="nil"/>
              <w:left w:val="nil"/>
              <w:bottom w:val="single" w:sz="4" w:space="0" w:color="auto"/>
              <w:right w:val="single" w:sz="4" w:space="0" w:color="auto"/>
            </w:tcBorders>
            <w:shd w:val="clear" w:color="auto" w:fill="auto"/>
            <w:noWrap/>
            <w:vAlign w:val="bottom"/>
            <w:hideMark/>
          </w:tcPr>
          <w:p w:rsidR="005F2394" w:rsidRPr="005F2394" w:rsidRDefault="005F2394" w:rsidP="005F2394">
            <w:pPr>
              <w:jc w:val="center"/>
              <w:rPr>
                <w:rFonts w:ascii="Calibri" w:hAnsi="Calibri" w:cs="Calibri"/>
                <w:color w:val="000000"/>
                <w:sz w:val="16"/>
                <w:szCs w:val="16"/>
                <w:lang w:eastAsia="en-AU"/>
              </w:rPr>
            </w:pPr>
            <w:r w:rsidRPr="005F2394">
              <w:rPr>
                <w:rFonts w:ascii="Calibri" w:hAnsi="Calibri" w:cs="Calibri"/>
                <w:color w:val="000000"/>
                <w:sz w:val="16"/>
                <w:szCs w:val="16"/>
                <w:lang w:eastAsia="en-AU"/>
              </w:rPr>
              <w:t>30.2</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2394" w:rsidRPr="005F2394" w:rsidRDefault="005F2394" w:rsidP="005F2394">
            <w:pPr>
              <w:rPr>
                <w:rFonts w:ascii="Calibri" w:hAnsi="Calibri" w:cs="Calibri"/>
                <w:color w:val="000000"/>
                <w:sz w:val="16"/>
                <w:szCs w:val="16"/>
                <w:lang w:eastAsia="en-AU"/>
              </w:rPr>
            </w:pPr>
            <w:r w:rsidRPr="005F2394">
              <w:rPr>
                <w:rFonts w:ascii="Calibri" w:hAnsi="Calibri" w:cs="Calibri"/>
                <w:color w:val="000000"/>
                <w:sz w:val="16"/>
                <w:szCs w:val="16"/>
                <w:lang w:eastAsia="en-AU"/>
              </w:rPr>
              <w:t>Plasma/projection &gt; 80</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5F2394" w:rsidRPr="005F2394" w:rsidRDefault="005F2394" w:rsidP="005F2394">
            <w:pPr>
              <w:jc w:val="center"/>
              <w:rPr>
                <w:rFonts w:ascii="Calibri" w:hAnsi="Calibri" w:cs="Calibri"/>
                <w:color w:val="000000"/>
                <w:sz w:val="16"/>
                <w:szCs w:val="16"/>
                <w:lang w:eastAsia="en-AU"/>
              </w:rPr>
            </w:pPr>
            <w:r w:rsidRPr="005F2394">
              <w:rPr>
                <w:rFonts w:ascii="Calibri" w:hAnsi="Calibri" w:cs="Calibri"/>
                <w:color w:val="000000"/>
                <w:sz w:val="16"/>
                <w:szCs w:val="16"/>
                <w:lang w:eastAsia="en-AU"/>
              </w:rPr>
              <w:t>30.1</w:t>
            </w:r>
          </w:p>
        </w:tc>
      </w:tr>
      <w:tr w:rsidR="005F2394" w:rsidRPr="005F2394" w:rsidTr="00842D1F">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5F2394" w:rsidRPr="005F2394" w:rsidRDefault="005F2394" w:rsidP="005F2394">
            <w:pPr>
              <w:rPr>
                <w:rFonts w:ascii="Calibri" w:hAnsi="Calibri" w:cs="Calibri"/>
                <w:color w:val="000000"/>
                <w:sz w:val="16"/>
                <w:szCs w:val="16"/>
                <w:lang w:eastAsia="en-AU"/>
              </w:rPr>
            </w:pPr>
            <w:r w:rsidRPr="005F2394">
              <w:rPr>
                <w:rFonts w:ascii="Calibri" w:hAnsi="Calibri" w:cs="Calibri"/>
                <w:color w:val="000000"/>
                <w:sz w:val="16"/>
                <w:szCs w:val="16"/>
                <w:lang w:eastAsia="en-AU"/>
              </w:rPr>
              <w:t>8528.72.00 51</w:t>
            </w:r>
          </w:p>
        </w:tc>
        <w:tc>
          <w:tcPr>
            <w:tcW w:w="1276" w:type="dxa"/>
            <w:tcBorders>
              <w:top w:val="nil"/>
              <w:left w:val="nil"/>
              <w:bottom w:val="single" w:sz="4" w:space="0" w:color="auto"/>
              <w:right w:val="single" w:sz="4" w:space="0" w:color="auto"/>
            </w:tcBorders>
            <w:shd w:val="clear" w:color="auto" w:fill="auto"/>
            <w:noWrap/>
            <w:vAlign w:val="bottom"/>
            <w:hideMark/>
          </w:tcPr>
          <w:p w:rsidR="005F2394" w:rsidRPr="005F2394" w:rsidRDefault="005F2394" w:rsidP="005F2394">
            <w:pPr>
              <w:jc w:val="right"/>
              <w:rPr>
                <w:rFonts w:ascii="Calibri" w:hAnsi="Calibri" w:cs="Calibri"/>
                <w:color w:val="000000"/>
                <w:sz w:val="16"/>
                <w:szCs w:val="16"/>
                <w:lang w:eastAsia="en-AU"/>
              </w:rPr>
            </w:pPr>
            <w:r w:rsidRPr="005F2394">
              <w:rPr>
                <w:rFonts w:ascii="Calibri" w:hAnsi="Calibri" w:cs="Calibri"/>
                <w:color w:val="000000"/>
                <w:sz w:val="16"/>
                <w:szCs w:val="16"/>
                <w:lang w:eastAsia="en-AU"/>
              </w:rPr>
              <w:t>2010-11</w:t>
            </w:r>
          </w:p>
        </w:tc>
        <w:tc>
          <w:tcPr>
            <w:tcW w:w="1276" w:type="dxa"/>
            <w:tcBorders>
              <w:top w:val="nil"/>
              <w:left w:val="nil"/>
              <w:bottom w:val="single" w:sz="4" w:space="0" w:color="auto"/>
              <w:right w:val="single" w:sz="4" w:space="0" w:color="auto"/>
            </w:tcBorders>
            <w:shd w:val="clear" w:color="auto" w:fill="auto"/>
            <w:noWrap/>
            <w:vAlign w:val="bottom"/>
            <w:hideMark/>
          </w:tcPr>
          <w:p w:rsidR="005F2394" w:rsidRPr="005F2394" w:rsidRDefault="005F2394" w:rsidP="005F2394">
            <w:pPr>
              <w:jc w:val="center"/>
              <w:rPr>
                <w:rFonts w:ascii="Calibri" w:hAnsi="Calibri" w:cs="Calibri"/>
                <w:color w:val="000000"/>
                <w:sz w:val="16"/>
                <w:szCs w:val="16"/>
                <w:lang w:eastAsia="en-AU"/>
              </w:rPr>
            </w:pPr>
            <w:r w:rsidRPr="005F2394">
              <w:rPr>
                <w:rFonts w:ascii="Calibri" w:hAnsi="Calibri" w:cs="Calibri"/>
                <w:color w:val="000000"/>
                <w:sz w:val="16"/>
                <w:szCs w:val="16"/>
                <w:lang w:eastAsia="en-AU"/>
              </w:rPr>
              <w:t>30.1</w:t>
            </w:r>
          </w:p>
        </w:tc>
        <w:tc>
          <w:tcPr>
            <w:tcW w:w="1417" w:type="dxa"/>
            <w:vMerge/>
            <w:tcBorders>
              <w:top w:val="nil"/>
              <w:left w:val="single" w:sz="4" w:space="0" w:color="auto"/>
              <w:bottom w:val="single" w:sz="4" w:space="0" w:color="auto"/>
              <w:right w:val="single" w:sz="4" w:space="0" w:color="auto"/>
            </w:tcBorders>
            <w:vAlign w:val="center"/>
            <w:hideMark/>
          </w:tcPr>
          <w:p w:rsidR="005F2394" w:rsidRPr="005F2394" w:rsidRDefault="005F2394" w:rsidP="005F2394">
            <w:pPr>
              <w:rPr>
                <w:rFonts w:ascii="Calibri" w:hAnsi="Calibri" w:cs="Calibri"/>
                <w:color w:val="000000"/>
                <w:sz w:val="16"/>
                <w:szCs w:val="16"/>
                <w:lang w:eastAsia="en-AU"/>
              </w:rPr>
            </w:pPr>
          </w:p>
        </w:tc>
        <w:tc>
          <w:tcPr>
            <w:tcW w:w="1560" w:type="dxa"/>
            <w:vMerge/>
            <w:tcBorders>
              <w:top w:val="nil"/>
              <w:left w:val="single" w:sz="4" w:space="0" w:color="auto"/>
              <w:bottom w:val="single" w:sz="4" w:space="0" w:color="auto"/>
              <w:right w:val="single" w:sz="4" w:space="0" w:color="auto"/>
            </w:tcBorders>
            <w:vAlign w:val="center"/>
            <w:hideMark/>
          </w:tcPr>
          <w:p w:rsidR="005F2394" w:rsidRPr="005F2394" w:rsidRDefault="005F2394" w:rsidP="005F2394">
            <w:pPr>
              <w:rPr>
                <w:rFonts w:ascii="Calibri" w:hAnsi="Calibri" w:cs="Calibri"/>
                <w:color w:val="000000"/>
                <w:sz w:val="16"/>
                <w:szCs w:val="16"/>
                <w:lang w:eastAsia="en-AU"/>
              </w:rPr>
            </w:pPr>
          </w:p>
        </w:tc>
      </w:tr>
      <w:tr w:rsidR="00842D1F" w:rsidRPr="005F2394" w:rsidTr="00842D1F">
        <w:trPr>
          <w:trHeight w:val="300"/>
        </w:trPr>
        <w:tc>
          <w:tcPr>
            <w:tcW w:w="4835" w:type="dxa"/>
            <w:gridSpan w:val="3"/>
            <w:tcBorders>
              <w:top w:val="nil"/>
              <w:left w:val="single" w:sz="4" w:space="0" w:color="auto"/>
              <w:bottom w:val="single" w:sz="4" w:space="0" w:color="auto"/>
              <w:right w:val="single" w:sz="4" w:space="0" w:color="auto"/>
            </w:tcBorders>
            <w:shd w:val="clear" w:color="auto" w:fill="auto"/>
            <w:noWrap/>
            <w:vAlign w:val="center"/>
            <w:hideMark/>
          </w:tcPr>
          <w:p w:rsidR="00842D1F" w:rsidRPr="005F2394" w:rsidRDefault="00842D1F" w:rsidP="00842D1F">
            <w:pPr>
              <w:rPr>
                <w:rFonts w:ascii="Calibri" w:hAnsi="Calibri" w:cs="Calibri"/>
                <w:color w:val="000000"/>
                <w:sz w:val="16"/>
                <w:szCs w:val="16"/>
                <w:lang w:eastAsia="en-AU"/>
              </w:rPr>
            </w:pPr>
            <w:r>
              <w:rPr>
                <w:rFonts w:ascii="Calibri" w:hAnsi="Calibri" w:cs="Calibri"/>
                <w:color w:val="000000"/>
                <w:sz w:val="16"/>
                <w:szCs w:val="16"/>
                <w:lang w:eastAsia="en-AU"/>
              </w:rPr>
              <w:t>No factor for a representative screen size. See proxy  method below.</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842D1F" w:rsidRPr="005F2394" w:rsidRDefault="00842D1F" w:rsidP="00876A52">
            <w:pPr>
              <w:rPr>
                <w:rFonts w:ascii="Calibri" w:hAnsi="Calibri" w:cs="Calibri"/>
                <w:color w:val="000000"/>
                <w:sz w:val="16"/>
                <w:szCs w:val="16"/>
                <w:lang w:eastAsia="en-AU"/>
              </w:rPr>
            </w:pPr>
            <w:r>
              <w:rPr>
                <w:rFonts w:ascii="Calibri" w:hAnsi="Calibri" w:cs="Calibri"/>
                <w:color w:val="000000"/>
                <w:sz w:val="16"/>
                <w:szCs w:val="16"/>
                <w:lang w:eastAsia="en-AU"/>
              </w:rPr>
              <w:t>CRT &lt;3</w:t>
            </w:r>
            <w:r w:rsidR="00876A52">
              <w:rPr>
                <w:rFonts w:ascii="Calibri" w:hAnsi="Calibri" w:cs="Calibri"/>
                <w:color w:val="000000"/>
                <w:sz w:val="16"/>
                <w:szCs w:val="16"/>
                <w:lang w:eastAsia="en-AU"/>
              </w:rPr>
              <w:t>4</w:t>
            </w:r>
            <w:r>
              <w:rPr>
                <w:rFonts w:ascii="Calibri" w:hAnsi="Calibri" w:cs="Calibri"/>
                <w:color w:val="000000"/>
                <w:sz w:val="16"/>
                <w:szCs w:val="16"/>
                <w:lang w:eastAsia="en-AU"/>
              </w:rPr>
              <w:t xml:space="preserve"> cm</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42D1F" w:rsidRPr="005F2394" w:rsidRDefault="007B4B34" w:rsidP="005F2394">
            <w:pPr>
              <w:jc w:val="center"/>
              <w:rPr>
                <w:rFonts w:ascii="Calibri" w:hAnsi="Calibri" w:cs="Calibri"/>
                <w:color w:val="000000"/>
                <w:sz w:val="16"/>
                <w:szCs w:val="16"/>
                <w:lang w:eastAsia="en-AU"/>
              </w:rPr>
            </w:pPr>
            <w:r>
              <w:rPr>
                <w:rFonts w:ascii="Calibri" w:hAnsi="Calibri" w:cs="Calibri"/>
                <w:color w:val="000000"/>
                <w:sz w:val="16"/>
                <w:szCs w:val="16"/>
                <w:lang w:eastAsia="en-AU"/>
              </w:rPr>
              <w:t>4</w:t>
            </w:r>
            <w:r w:rsidR="00DE6256">
              <w:rPr>
                <w:rFonts w:ascii="Calibri" w:hAnsi="Calibri" w:cs="Calibri"/>
                <w:color w:val="000000"/>
                <w:sz w:val="16"/>
                <w:szCs w:val="16"/>
                <w:lang w:eastAsia="en-AU"/>
              </w:rPr>
              <w:t>.0</w:t>
            </w:r>
          </w:p>
        </w:tc>
      </w:tr>
      <w:tr w:rsidR="005F2394" w:rsidRPr="005F2394" w:rsidTr="00842D1F">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5F2394" w:rsidRPr="005F2394" w:rsidRDefault="005F2394" w:rsidP="005F2394">
            <w:pPr>
              <w:rPr>
                <w:rFonts w:ascii="Calibri" w:hAnsi="Calibri" w:cs="Calibri"/>
                <w:color w:val="000000"/>
                <w:sz w:val="16"/>
                <w:szCs w:val="16"/>
                <w:lang w:eastAsia="en-AU"/>
              </w:rPr>
            </w:pPr>
            <w:r w:rsidRPr="005F2394">
              <w:rPr>
                <w:rFonts w:ascii="Calibri" w:hAnsi="Calibri" w:cs="Calibri"/>
                <w:color w:val="000000"/>
                <w:sz w:val="16"/>
                <w:szCs w:val="16"/>
                <w:lang w:eastAsia="en-AU"/>
              </w:rPr>
              <w:t>8528.72.00 31</w:t>
            </w:r>
          </w:p>
        </w:tc>
        <w:tc>
          <w:tcPr>
            <w:tcW w:w="1276" w:type="dxa"/>
            <w:tcBorders>
              <w:top w:val="nil"/>
              <w:left w:val="nil"/>
              <w:bottom w:val="single" w:sz="4" w:space="0" w:color="auto"/>
              <w:right w:val="single" w:sz="4" w:space="0" w:color="auto"/>
            </w:tcBorders>
            <w:shd w:val="clear" w:color="auto" w:fill="auto"/>
            <w:noWrap/>
            <w:vAlign w:val="bottom"/>
            <w:hideMark/>
          </w:tcPr>
          <w:p w:rsidR="005F2394" w:rsidRPr="005F2394" w:rsidRDefault="005F2394" w:rsidP="005F2394">
            <w:pPr>
              <w:jc w:val="right"/>
              <w:rPr>
                <w:rFonts w:ascii="Calibri" w:hAnsi="Calibri" w:cs="Calibri"/>
                <w:color w:val="000000"/>
                <w:sz w:val="16"/>
                <w:szCs w:val="16"/>
                <w:lang w:eastAsia="en-AU"/>
              </w:rPr>
            </w:pPr>
            <w:r w:rsidRPr="005F2394">
              <w:rPr>
                <w:rFonts w:ascii="Calibri" w:hAnsi="Calibri" w:cs="Calibri"/>
                <w:color w:val="000000"/>
                <w:sz w:val="16"/>
                <w:szCs w:val="16"/>
                <w:lang w:eastAsia="en-AU"/>
              </w:rPr>
              <w:t>2009-10</w:t>
            </w:r>
          </w:p>
        </w:tc>
        <w:tc>
          <w:tcPr>
            <w:tcW w:w="1276" w:type="dxa"/>
            <w:tcBorders>
              <w:top w:val="nil"/>
              <w:left w:val="nil"/>
              <w:bottom w:val="single" w:sz="4" w:space="0" w:color="auto"/>
              <w:right w:val="single" w:sz="4" w:space="0" w:color="auto"/>
            </w:tcBorders>
            <w:shd w:val="clear" w:color="auto" w:fill="auto"/>
            <w:noWrap/>
            <w:vAlign w:val="bottom"/>
            <w:hideMark/>
          </w:tcPr>
          <w:p w:rsidR="005F2394" w:rsidRPr="005F2394" w:rsidRDefault="005F2394" w:rsidP="005F2394">
            <w:pPr>
              <w:jc w:val="center"/>
              <w:rPr>
                <w:rFonts w:ascii="Calibri" w:hAnsi="Calibri" w:cs="Calibri"/>
                <w:color w:val="000000"/>
                <w:sz w:val="16"/>
                <w:szCs w:val="16"/>
                <w:lang w:eastAsia="en-AU"/>
              </w:rPr>
            </w:pPr>
            <w:r w:rsidRPr="005F2394">
              <w:rPr>
                <w:rFonts w:ascii="Calibri" w:hAnsi="Calibri" w:cs="Calibri"/>
                <w:color w:val="000000"/>
                <w:sz w:val="16"/>
                <w:szCs w:val="16"/>
                <w:lang w:eastAsia="en-AU"/>
              </w:rPr>
              <w:t>8.6</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2394" w:rsidRPr="005F2394" w:rsidRDefault="005F2394" w:rsidP="005F2394">
            <w:pPr>
              <w:rPr>
                <w:rFonts w:ascii="Calibri" w:hAnsi="Calibri" w:cs="Calibri"/>
                <w:color w:val="000000"/>
                <w:sz w:val="16"/>
                <w:szCs w:val="16"/>
                <w:lang w:eastAsia="en-AU"/>
              </w:rPr>
            </w:pPr>
            <w:r w:rsidRPr="005F2394">
              <w:rPr>
                <w:rFonts w:ascii="Calibri" w:hAnsi="Calibri" w:cs="Calibri"/>
                <w:color w:val="000000"/>
                <w:sz w:val="16"/>
                <w:szCs w:val="16"/>
                <w:lang w:eastAsia="en-AU"/>
              </w:rPr>
              <w:t>CRT 34-50</w:t>
            </w:r>
            <w:r w:rsidR="00842D1F">
              <w:rPr>
                <w:rFonts w:ascii="Calibri" w:hAnsi="Calibri" w:cs="Calibri"/>
                <w:color w:val="000000"/>
                <w:sz w:val="16"/>
                <w:szCs w:val="16"/>
                <w:lang w:eastAsia="en-AU"/>
              </w:rPr>
              <w:t xml:space="preserve"> cm</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2394" w:rsidRPr="005F2394" w:rsidRDefault="005F2394" w:rsidP="005F2394">
            <w:pPr>
              <w:jc w:val="center"/>
              <w:rPr>
                <w:rFonts w:ascii="Calibri" w:hAnsi="Calibri" w:cs="Calibri"/>
                <w:color w:val="000000"/>
                <w:sz w:val="16"/>
                <w:szCs w:val="16"/>
                <w:lang w:eastAsia="en-AU"/>
              </w:rPr>
            </w:pPr>
            <w:r w:rsidRPr="005F2394">
              <w:rPr>
                <w:rFonts w:ascii="Calibri" w:hAnsi="Calibri" w:cs="Calibri"/>
                <w:color w:val="000000"/>
                <w:sz w:val="16"/>
                <w:szCs w:val="16"/>
                <w:lang w:eastAsia="en-AU"/>
              </w:rPr>
              <w:t>8.2</w:t>
            </w:r>
          </w:p>
        </w:tc>
      </w:tr>
      <w:tr w:rsidR="005F2394" w:rsidRPr="005F2394" w:rsidTr="00842D1F">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5F2394" w:rsidRPr="005F2394" w:rsidRDefault="005F2394" w:rsidP="005F2394">
            <w:pPr>
              <w:rPr>
                <w:rFonts w:ascii="Calibri" w:hAnsi="Calibri" w:cs="Calibri"/>
                <w:color w:val="000000"/>
                <w:sz w:val="16"/>
                <w:szCs w:val="16"/>
                <w:lang w:eastAsia="en-AU"/>
              </w:rPr>
            </w:pPr>
            <w:r w:rsidRPr="005F2394">
              <w:rPr>
                <w:rFonts w:ascii="Calibri" w:hAnsi="Calibri" w:cs="Calibri"/>
                <w:color w:val="000000"/>
                <w:sz w:val="16"/>
                <w:szCs w:val="16"/>
                <w:lang w:eastAsia="en-AU"/>
              </w:rPr>
              <w:t>8528.72.00 71</w:t>
            </w:r>
          </w:p>
        </w:tc>
        <w:tc>
          <w:tcPr>
            <w:tcW w:w="1276" w:type="dxa"/>
            <w:tcBorders>
              <w:top w:val="nil"/>
              <w:left w:val="nil"/>
              <w:bottom w:val="single" w:sz="4" w:space="0" w:color="auto"/>
              <w:right w:val="single" w:sz="4" w:space="0" w:color="auto"/>
            </w:tcBorders>
            <w:shd w:val="clear" w:color="auto" w:fill="auto"/>
            <w:noWrap/>
            <w:vAlign w:val="bottom"/>
            <w:hideMark/>
          </w:tcPr>
          <w:p w:rsidR="005F2394" w:rsidRPr="005F2394" w:rsidRDefault="005F2394" w:rsidP="005F2394">
            <w:pPr>
              <w:jc w:val="right"/>
              <w:rPr>
                <w:rFonts w:ascii="Calibri" w:hAnsi="Calibri" w:cs="Calibri"/>
                <w:color w:val="000000"/>
                <w:sz w:val="16"/>
                <w:szCs w:val="16"/>
                <w:lang w:eastAsia="en-AU"/>
              </w:rPr>
            </w:pPr>
            <w:r w:rsidRPr="005F2394">
              <w:rPr>
                <w:rFonts w:ascii="Calibri" w:hAnsi="Calibri" w:cs="Calibri"/>
                <w:color w:val="000000"/>
                <w:sz w:val="16"/>
                <w:szCs w:val="16"/>
                <w:lang w:eastAsia="en-AU"/>
              </w:rPr>
              <w:t>2008-09</w:t>
            </w:r>
          </w:p>
        </w:tc>
        <w:tc>
          <w:tcPr>
            <w:tcW w:w="1276" w:type="dxa"/>
            <w:tcBorders>
              <w:top w:val="nil"/>
              <w:left w:val="nil"/>
              <w:bottom w:val="single" w:sz="4" w:space="0" w:color="auto"/>
              <w:right w:val="single" w:sz="4" w:space="0" w:color="auto"/>
            </w:tcBorders>
            <w:shd w:val="clear" w:color="auto" w:fill="auto"/>
            <w:noWrap/>
            <w:vAlign w:val="bottom"/>
            <w:hideMark/>
          </w:tcPr>
          <w:p w:rsidR="005F2394" w:rsidRPr="005F2394" w:rsidRDefault="005F2394" w:rsidP="005F2394">
            <w:pPr>
              <w:jc w:val="center"/>
              <w:rPr>
                <w:rFonts w:ascii="Calibri" w:hAnsi="Calibri" w:cs="Calibri"/>
                <w:color w:val="000000"/>
                <w:sz w:val="16"/>
                <w:szCs w:val="16"/>
                <w:lang w:eastAsia="en-AU"/>
              </w:rPr>
            </w:pPr>
            <w:r w:rsidRPr="005F2394">
              <w:rPr>
                <w:rFonts w:ascii="Calibri" w:hAnsi="Calibri" w:cs="Calibri"/>
                <w:color w:val="000000"/>
                <w:sz w:val="16"/>
                <w:szCs w:val="16"/>
                <w:lang w:eastAsia="en-AU"/>
              </w:rPr>
              <w:t>4.0</w:t>
            </w:r>
          </w:p>
        </w:tc>
        <w:tc>
          <w:tcPr>
            <w:tcW w:w="1417" w:type="dxa"/>
            <w:vMerge/>
            <w:tcBorders>
              <w:top w:val="nil"/>
              <w:left w:val="single" w:sz="4" w:space="0" w:color="auto"/>
              <w:bottom w:val="single" w:sz="4" w:space="0" w:color="auto"/>
              <w:right w:val="single" w:sz="4" w:space="0" w:color="auto"/>
            </w:tcBorders>
            <w:vAlign w:val="center"/>
            <w:hideMark/>
          </w:tcPr>
          <w:p w:rsidR="005F2394" w:rsidRPr="005F2394" w:rsidRDefault="005F2394" w:rsidP="005F2394">
            <w:pPr>
              <w:rPr>
                <w:rFonts w:ascii="Calibri" w:hAnsi="Calibri" w:cs="Calibri"/>
                <w:color w:val="000000"/>
                <w:sz w:val="16"/>
                <w:szCs w:val="16"/>
                <w:lang w:eastAsia="en-AU"/>
              </w:rPr>
            </w:pPr>
          </w:p>
        </w:tc>
        <w:tc>
          <w:tcPr>
            <w:tcW w:w="1560" w:type="dxa"/>
            <w:vMerge/>
            <w:tcBorders>
              <w:top w:val="nil"/>
              <w:left w:val="single" w:sz="4" w:space="0" w:color="auto"/>
              <w:bottom w:val="single" w:sz="4" w:space="0" w:color="auto"/>
              <w:right w:val="single" w:sz="4" w:space="0" w:color="auto"/>
            </w:tcBorders>
            <w:vAlign w:val="center"/>
            <w:hideMark/>
          </w:tcPr>
          <w:p w:rsidR="005F2394" w:rsidRPr="005F2394" w:rsidRDefault="005F2394" w:rsidP="005F2394">
            <w:pPr>
              <w:rPr>
                <w:rFonts w:ascii="Calibri" w:hAnsi="Calibri" w:cs="Calibri"/>
                <w:color w:val="000000"/>
                <w:sz w:val="16"/>
                <w:szCs w:val="16"/>
                <w:lang w:eastAsia="en-AU"/>
              </w:rPr>
            </w:pPr>
          </w:p>
        </w:tc>
      </w:tr>
      <w:tr w:rsidR="005F2394" w:rsidRPr="005F2394" w:rsidTr="00842D1F">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5F2394" w:rsidRPr="005F2394" w:rsidRDefault="005F2394" w:rsidP="005F2394">
            <w:pPr>
              <w:rPr>
                <w:rFonts w:ascii="Calibri" w:hAnsi="Calibri" w:cs="Calibri"/>
                <w:color w:val="000000"/>
                <w:sz w:val="16"/>
                <w:szCs w:val="16"/>
                <w:lang w:eastAsia="en-AU"/>
              </w:rPr>
            </w:pPr>
            <w:r w:rsidRPr="005F2394">
              <w:rPr>
                <w:rFonts w:ascii="Calibri" w:hAnsi="Calibri" w:cs="Calibri"/>
                <w:color w:val="000000"/>
                <w:sz w:val="16"/>
                <w:szCs w:val="16"/>
                <w:lang w:eastAsia="en-AU"/>
              </w:rPr>
              <w:t>8528.72.00 76</w:t>
            </w:r>
          </w:p>
        </w:tc>
        <w:tc>
          <w:tcPr>
            <w:tcW w:w="1276" w:type="dxa"/>
            <w:tcBorders>
              <w:top w:val="nil"/>
              <w:left w:val="nil"/>
              <w:bottom w:val="single" w:sz="4" w:space="0" w:color="auto"/>
              <w:right w:val="single" w:sz="4" w:space="0" w:color="auto"/>
            </w:tcBorders>
            <w:shd w:val="clear" w:color="auto" w:fill="auto"/>
            <w:noWrap/>
            <w:vAlign w:val="bottom"/>
            <w:hideMark/>
          </w:tcPr>
          <w:p w:rsidR="005F2394" w:rsidRPr="005F2394" w:rsidRDefault="005F2394" w:rsidP="005F2394">
            <w:pPr>
              <w:jc w:val="right"/>
              <w:rPr>
                <w:rFonts w:ascii="Calibri" w:hAnsi="Calibri" w:cs="Calibri"/>
                <w:color w:val="000000"/>
                <w:sz w:val="16"/>
                <w:szCs w:val="16"/>
                <w:lang w:eastAsia="en-AU"/>
              </w:rPr>
            </w:pPr>
            <w:r w:rsidRPr="005F2394">
              <w:rPr>
                <w:rFonts w:ascii="Calibri" w:hAnsi="Calibri" w:cs="Calibri"/>
                <w:color w:val="000000"/>
                <w:sz w:val="16"/>
                <w:szCs w:val="16"/>
                <w:lang w:eastAsia="en-AU"/>
              </w:rPr>
              <w:t>2010-11</w:t>
            </w:r>
          </w:p>
        </w:tc>
        <w:tc>
          <w:tcPr>
            <w:tcW w:w="1276" w:type="dxa"/>
            <w:tcBorders>
              <w:top w:val="nil"/>
              <w:left w:val="nil"/>
              <w:bottom w:val="single" w:sz="4" w:space="0" w:color="auto"/>
              <w:right w:val="single" w:sz="4" w:space="0" w:color="auto"/>
            </w:tcBorders>
            <w:shd w:val="clear" w:color="auto" w:fill="auto"/>
            <w:noWrap/>
            <w:vAlign w:val="bottom"/>
            <w:hideMark/>
          </w:tcPr>
          <w:p w:rsidR="005F2394" w:rsidRPr="005F2394" w:rsidRDefault="005F2394" w:rsidP="005F2394">
            <w:pPr>
              <w:jc w:val="center"/>
              <w:rPr>
                <w:rFonts w:ascii="Calibri" w:hAnsi="Calibri" w:cs="Calibri"/>
                <w:color w:val="000000"/>
                <w:sz w:val="16"/>
                <w:szCs w:val="16"/>
                <w:lang w:eastAsia="en-AU"/>
              </w:rPr>
            </w:pPr>
            <w:r w:rsidRPr="005F2394">
              <w:rPr>
                <w:rFonts w:ascii="Calibri" w:hAnsi="Calibri" w:cs="Calibri"/>
                <w:color w:val="000000"/>
                <w:sz w:val="16"/>
                <w:szCs w:val="16"/>
                <w:lang w:eastAsia="en-AU"/>
              </w:rPr>
              <w:t>5.0</w:t>
            </w:r>
          </w:p>
        </w:tc>
        <w:tc>
          <w:tcPr>
            <w:tcW w:w="1417" w:type="dxa"/>
            <w:vMerge/>
            <w:tcBorders>
              <w:top w:val="nil"/>
              <w:left w:val="single" w:sz="4" w:space="0" w:color="auto"/>
              <w:bottom w:val="single" w:sz="4" w:space="0" w:color="auto"/>
              <w:right w:val="single" w:sz="4" w:space="0" w:color="auto"/>
            </w:tcBorders>
            <w:vAlign w:val="center"/>
            <w:hideMark/>
          </w:tcPr>
          <w:p w:rsidR="005F2394" w:rsidRPr="005F2394" w:rsidRDefault="005F2394" w:rsidP="005F2394">
            <w:pPr>
              <w:rPr>
                <w:rFonts w:ascii="Calibri" w:hAnsi="Calibri" w:cs="Calibri"/>
                <w:color w:val="000000"/>
                <w:sz w:val="16"/>
                <w:szCs w:val="16"/>
                <w:lang w:eastAsia="en-AU"/>
              </w:rPr>
            </w:pPr>
          </w:p>
        </w:tc>
        <w:tc>
          <w:tcPr>
            <w:tcW w:w="1560" w:type="dxa"/>
            <w:vMerge/>
            <w:tcBorders>
              <w:top w:val="nil"/>
              <w:left w:val="single" w:sz="4" w:space="0" w:color="auto"/>
              <w:bottom w:val="single" w:sz="4" w:space="0" w:color="auto"/>
              <w:right w:val="single" w:sz="4" w:space="0" w:color="auto"/>
            </w:tcBorders>
            <w:vAlign w:val="center"/>
            <w:hideMark/>
          </w:tcPr>
          <w:p w:rsidR="005F2394" w:rsidRPr="005F2394" w:rsidRDefault="005F2394" w:rsidP="005F2394">
            <w:pPr>
              <w:rPr>
                <w:rFonts w:ascii="Calibri" w:hAnsi="Calibri" w:cs="Calibri"/>
                <w:color w:val="000000"/>
                <w:sz w:val="16"/>
                <w:szCs w:val="16"/>
                <w:lang w:eastAsia="en-AU"/>
              </w:rPr>
            </w:pPr>
          </w:p>
        </w:tc>
      </w:tr>
      <w:tr w:rsidR="005F2394" w:rsidRPr="005F2394" w:rsidTr="00842D1F">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5F2394" w:rsidRPr="005F2394" w:rsidRDefault="005F2394" w:rsidP="005F2394">
            <w:pPr>
              <w:rPr>
                <w:rFonts w:ascii="Calibri" w:hAnsi="Calibri" w:cs="Calibri"/>
                <w:color w:val="000000"/>
                <w:sz w:val="16"/>
                <w:szCs w:val="16"/>
                <w:lang w:eastAsia="en-AU"/>
              </w:rPr>
            </w:pPr>
            <w:r w:rsidRPr="005F2394">
              <w:rPr>
                <w:rFonts w:ascii="Calibri" w:hAnsi="Calibri" w:cs="Calibri"/>
                <w:color w:val="000000"/>
                <w:sz w:val="16"/>
                <w:szCs w:val="16"/>
                <w:lang w:eastAsia="en-AU"/>
              </w:rPr>
              <w:t>8528.72.00 32</w:t>
            </w:r>
          </w:p>
        </w:tc>
        <w:tc>
          <w:tcPr>
            <w:tcW w:w="1276" w:type="dxa"/>
            <w:tcBorders>
              <w:top w:val="nil"/>
              <w:left w:val="nil"/>
              <w:bottom w:val="single" w:sz="4" w:space="0" w:color="auto"/>
              <w:right w:val="single" w:sz="4" w:space="0" w:color="auto"/>
            </w:tcBorders>
            <w:shd w:val="clear" w:color="auto" w:fill="auto"/>
            <w:noWrap/>
            <w:vAlign w:val="bottom"/>
            <w:hideMark/>
          </w:tcPr>
          <w:p w:rsidR="005F2394" w:rsidRPr="005F2394" w:rsidRDefault="005F2394" w:rsidP="005F2394">
            <w:pPr>
              <w:jc w:val="right"/>
              <w:rPr>
                <w:rFonts w:ascii="Calibri" w:hAnsi="Calibri" w:cs="Calibri"/>
                <w:color w:val="000000"/>
                <w:sz w:val="16"/>
                <w:szCs w:val="16"/>
                <w:lang w:eastAsia="en-AU"/>
              </w:rPr>
            </w:pPr>
            <w:r w:rsidRPr="005F2394">
              <w:rPr>
                <w:rFonts w:ascii="Calibri" w:hAnsi="Calibri" w:cs="Calibri"/>
                <w:color w:val="000000"/>
                <w:sz w:val="16"/>
                <w:szCs w:val="16"/>
                <w:lang w:eastAsia="en-AU"/>
              </w:rPr>
              <w:t>2009-10</w:t>
            </w:r>
          </w:p>
        </w:tc>
        <w:tc>
          <w:tcPr>
            <w:tcW w:w="1276" w:type="dxa"/>
            <w:tcBorders>
              <w:top w:val="nil"/>
              <w:left w:val="nil"/>
              <w:bottom w:val="single" w:sz="4" w:space="0" w:color="auto"/>
              <w:right w:val="single" w:sz="4" w:space="0" w:color="auto"/>
            </w:tcBorders>
            <w:shd w:val="clear" w:color="auto" w:fill="auto"/>
            <w:noWrap/>
            <w:vAlign w:val="bottom"/>
            <w:hideMark/>
          </w:tcPr>
          <w:p w:rsidR="005F2394" w:rsidRPr="005F2394" w:rsidRDefault="005F2394" w:rsidP="005F2394">
            <w:pPr>
              <w:jc w:val="center"/>
              <w:rPr>
                <w:rFonts w:ascii="Calibri" w:hAnsi="Calibri" w:cs="Calibri"/>
                <w:color w:val="000000"/>
                <w:sz w:val="16"/>
                <w:szCs w:val="16"/>
                <w:lang w:eastAsia="en-AU"/>
              </w:rPr>
            </w:pPr>
            <w:r w:rsidRPr="005F2394">
              <w:rPr>
                <w:rFonts w:ascii="Calibri" w:hAnsi="Calibri" w:cs="Calibri"/>
                <w:color w:val="000000"/>
                <w:sz w:val="16"/>
                <w:szCs w:val="16"/>
                <w:lang w:eastAsia="en-AU"/>
              </w:rPr>
              <w:t>20.8</w:t>
            </w:r>
          </w:p>
        </w:tc>
        <w:tc>
          <w:tcPr>
            <w:tcW w:w="1417" w:type="dxa"/>
            <w:tcBorders>
              <w:top w:val="nil"/>
              <w:left w:val="nil"/>
              <w:bottom w:val="single" w:sz="4" w:space="0" w:color="auto"/>
              <w:right w:val="single" w:sz="4" w:space="0" w:color="auto"/>
            </w:tcBorders>
            <w:shd w:val="clear" w:color="auto" w:fill="auto"/>
            <w:noWrap/>
            <w:vAlign w:val="bottom"/>
            <w:hideMark/>
          </w:tcPr>
          <w:p w:rsidR="005F2394" w:rsidRPr="005F2394" w:rsidRDefault="005F2394" w:rsidP="005F2394">
            <w:pPr>
              <w:rPr>
                <w:rFonts w:ascii="Calibri" w:hAnsi="Calibri" w:cs="Calibri"/>
                <w:color w:val="000000"/>
                <w:sz w:val="16"/>
                <w:szCs w:val="16"/>
                <w:lang w:eastAsia="en-AU"/>
              </w:rPr>
            </w:pPr>
            <w:r w:rsidRPr="005F2394">
              <w:rPr>
                <w:rFonts w:ascii="Calibri" w:hAnsi="Calibri" w:cs="Calibri"/>
                <w:color w:val="000000"/>
                <w:sz w:val="16"/>
                <w:szCs w:val="16"/>
                <w:lang w:eastAsia="en-AU"/>
              </w:rPr>
              <w:t>CRT 51-67</w:t>
            </w:r>
            <w:r w:rsidR="00842D1F">
              <w:rPr>
                <w:rFonts w:ascii="Calibri" w:hAnsi="Calibri" w:cs="Calibri"/>
                <w:color w:val="000000"/>
                <w:sz w:val="16"/>
                <w:szCs w:val="16"/>
                <w:lang w:eastAsia="en-AU"/>
              </w:rPr>
              <w:t xml:space="preserve"> cm</w:t>
            </w:r>
          </w:p>
        </w:tc>
        <w:tc>
          <w:tcPr>
            <w:tcW w:w="1560" w:type="dxa"/>
            <w:tcBorders>
              <w:top w:val="nil"/>
              <w:left w:val="nil"/>
              <w:bottom w:val="single" w:sz="4" w:space="0" w:color="auto"/>
              <w:right w:val="single" w:sz="4" w:space="0" w:color="auto"/>
            </w:tcBorders>
            <w:shd w:val="clear" w:color="auto" w:fill="auto"/>
            <w:noWrap/>
            <w:vAlign w:val="center"/>
            <w:hideMark/>
          </w:tcPr>
          <w:p w:rsidR="005F2394" w:rsidRPr="005F2394" w:rsidRDefault="005F2394" w:rsidP="005F2394">
            <w:pPr>
              <w:jc w:val="center"/>
              <w:rPr>
                <w:rFonts w:ascii="Calibri" w:hAnsi="Calibri" w:cs="Calibri"/>
                <w:color w:val="000000"/>
                <w:sz w:val="16"/>
                <w:szCs w:val="16"/>
                <w:lang w:eastAsia="en-AU"/>
              </w:rPr>
            </w:pPr>
            <w:r w:rsidRPr="005F2394">
              <w:rPr>
                <w:rFonts w:ascii="Calibri" w:hAnsi="Calibri" w:cs="Calibri"/>
                <w:color w:val="000000"/>
                <w:sz w:val="16"/>
                <w:szCs w:val="16"/>
                <w:lang w:eastAsia="en-AU"/>
              </w:rPr>
              <w:t>20.8</w:t>
            </w:r>
          </w:p>
        </w:tc>
      </w:tr>
      <w:tr w:rsidR="00842D1F" w:rsidRPr="005F2394" w:rsidTr="00842D1F">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2394" w:rsidRPr="005F2394" w:rsidRDefault="005F2394" w:rsidP="005F2394">
            <w:pPr>
              <w:rPr>
                <w:rFonts w:ascii="Calibri" w:hAnsi="Calibri" w:cs="Calibri"/>
                <w:color w:val="000000"/>
                <w:sz w:val="16"/>
                <w:szCs w:val="16"/>
                <w:lang w:eastAsia="en-AU"/>
              </w:rPr>
            </w:pPr>
            <w:r w:rsidRPr="005F2394">
              <w:rPr>
                <w:rFonts w:ascii="Calibri" w:hAnsi="Calibri" w:cs="Calibri"/>
                <w:color w:val="000000"/>
                <w:sz w:val="16"/>
                <w:szCs w:val="16"/>
                <w:lang w:eastAsia="en-AU"/>
              </w:rPr>
              <w:t>8528.72.00 73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F2394" w:rsidRPr="005F2394" w:rsidRDefault="005F2394" w:rsidP="005F2394">
            <w:pPr>
              <w:jc w:val="right"/>
              <w:rPr>
                <w:rFonts w:ascii="Calibri" w:hAnsi="Calibri" w:cs="Calibri"/>
                <w:color w:val="000000"/>
                <w:sz w:val="16"/>
                <w:szCs w:val="16"/>
                <w:lang w:eastAsia="en-AU"/>
              </w:rPr>
            </w:pPr>
            <w:r w:rsidRPr="005F2394">
              <w:rPr>
                <w:rFonts w:ascii="Calibri" w:hAnsi="Calibri" w:cs="Calibri"/>
                <w:color w:val="000000"/>
                <w:sz w:val="16"/>
                <w:szCs w:val="16"/>
                <w:lang w:eastAsia="en-AU"/>
              </w:rPr>
              <w:t>2009-10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F2394" w:rsidRPr="005F2394" w:rsidRDefault="005F2394" w:rsidP="005F2394">
            <w:pPr>
              <w:jc w:val="center"/>
              <w:rPr>
                <w:rFonts w:ascii="Calibri" w:hAnsi="Calibri" w:cs="Calibri"/>
                <w:color w:val="000000"/>
                <w:sz w:val="16"/>
                <w:szCs w:val="16"/>
                <w:lang w:eastAsia="en-AU"/>
              </w:rPr>
            </w:pPr>
            <w:r w:rsidRPr="005F2394">
              <w:rPr>
                <w:rFonts w:ascii="Calibri" w:hAnsi="Calibri" w:cs="Calibri"/>
                <w:color w:val="000000"/>
                <w:sz w:val="16"/>
                <w:szCs w:val="16"/>
                <w:lang w:eastAsia="en-AU"/>
              </w:rPr>
              <w:t>39.9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5F2394" w:rsidRPr="005F2394" w:rsidRDefault="005F2394" w:rsidP="005F2394">
            <w:pPr>
              <w:rPr>
                <w:rFonts w:ascii="Calibri" w:hAnsi="Calibri" w:cs="Calibri"/>
                <w:color w:val="000000"/>
                <w:sz w:val="16"/>
                <w:szCs w:val="16"/>
                <w:lang w:eastAsia="en-AU"/>
              </w:rPr>
            </w:pPr>
            <w:r w:rsidRPr="005F2394">
              <w:rPr>
                <w:rFonts w:ascii="Calibri" w:hAnsi="Calibri" w:cs="Calibri"/>
                <w:color w:val="000000"/>
                <w:sz w:val="16"/>
                <w:szCs w:val="16"/>
                <w:lang w:eastAsia="en-AU"/>
              </w:rPr>
              <w:t>CRT 68-78</w:t>
            </w:r>
            <w:r w:rsidR="00842D1F">
              <w:rPr>
                <w:rFonts w:ascii="Calibri" w:hAnsi="Calibri" w:cs="Calibri"/>
                <w:color w:val="000000"/>
                <w:sz w:val="16"/>
                <w:szCs w:val="16"/>
                <w:lang w:eastAsia="en-AU"/>
              </w:rPr>
              <w:t xml:space="preserve"> cm</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F2394" w:rsidRPr="005F2394" w:rsidRDefault="005F2394" w:rsidP="005F2394">
            <w:pPr>
              <w:jc w:val="center"/>
              <w:rPr>
                <w:rFonts w:ascii="Calibri" w:hAnsi="Calibri" w:cs="Calibri"/>
                <w:color w:val="000000"/>
                <w:sz w:val="16"/>
                <w:szCs w:val="16"/>
                <w:lang w:eastAsia="en-AU"/>
              </w:rPr>
            </w:pPr>
            <w:r w:rsidRPr="005F2394">
              <w:rPr>
                <w:rFonts w:ascii="Calibri" w:hAnsi="Calibri" w:cs="Calibri"/>
                <w:color w:val="000000"/>
                <w:sz w:val="16"/>
                <w:szCs w:val="16"/>
                <w:lang w:eastAsia="en-AU"/>
              </w:rPr>
              <w:t>39.9</w:t>
            </w:r>
          </w:p>
        </w:tc>
      </w:tr>
      <w:tr w:rsidR="00842D1F" w:rsidRPr="005F2394" w:rsidTr="00842D1F">
        <w:trPr>
          <w:trHeight w:val="300"/>
        </w:trPr>
        <w:tc>
          <w:tcPr>
            <w:tcW w:w="48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D1F" w:rsidRPr="005F2394" w:rsidRDefault="007B4B34" w:rsidP="00842D1F">
            <w:pPr>
              <w:rPr>
                <w:rFonts w:ascii="Calibri" w:hAnsi="Calibri" w:cs="Calibri"/>
                <w:color w:val="000000"/>
                <w:sz w:val="16"/>
                <w:szCs w:val="16"/>
                <w:lang w:eastAsia="en-AU"/>
              </w:rPr>
            </w:pPr>
            <w:r>
              <w:rPr>
                <w:rFonts w:ascii="Calibri" w:hAnsi="Calibri" w:cs="Calibri"/>
                <w:color w:val="000000"/>
                <w:sz w:val="16"/>
                <w:szCs w:val="16"/>
                <w:lang w:eastAsia="en-AU"/>
              </w:rPr>
              <w:t xml:space="preserve">No factor for a representative screen size. See </w:t>
            </w:r>
            <w:r w:rsidR="00DB1C7F">
              <w:rPr>
                <w:rFonts w:ascii="Calibri" w:hAnsi="Calibri" w:cs="Calibri"/>
                <w:color w:val="000000"/>
                <w:sz w:val="16"/>
                <w:szCs w:val="16"/>
                <w:lang w:eastAsia="en-AU"/>
              </w:rPr>
              <w:t>proxy method</w:t>
            </w:r>
            <w:r>
              <w:rPr>
                <w:rFonts w:ascii="Calibri" w:hAnsi="Calibri" w:cs="Calibri"/>
                <w:color w:val="000000"/>
                <w:sz w:val="16"/>
                <w:szCs w:val="16"/>
                <w:lang w:eastAsia="en-AU"/>
              </w:rPr>
              <w:t xml:space="preserve"> below.</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842D1F" w:rsidRPr="005F2394" w:rsidRDefault="007B4B34" w:rsidP="005F2394">
            <w:pPr>
              <w:rPr>
                <w:rFonts w:ascii="Calibri" w:hAnsi="Calibri" w:cs="Calibri"/>
                <w:color w:val="000000"/>
                <w:sz w:val="16"/>
                <w:szCs w:val="16"/>
                <w:lang w:eastAsia="en-AU"/>
              </w:rPr>
            </w:pPr>
            <w:r>
              <w:rPr>
                <w:rFonts w:ascii="Calibri" w:hAnsi="Calibri" w:cs="Calibri"/>
                <w:color w:val="000000"/>
                <w:sz w:val="16"/>
                <w:szCs w:val="16"/>
                <w:lang w:eastAsia="en-AU"/>
              </w:rPr>
              <w:t>CRT &gt; 78 cm</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42D1F" w:rsidRPr="005F2394" w:rsidRDefault="007B4B34" w:rsidP="005F2394">
            <w:pPr>
              <w:jc w:val="center"/>
              <w:rPr>
                <w:rFonts w:ascii="Calibri" w:hAnsi="Calibri" w:cs="Calibri"/>
                <w:color w:val="000000"/>
                <w:sz w:val="16"/>
                <w:szCs w:val="16"/>
                <w:lang w:eastAsia="en-AU"/>
              </w:rPr>
            </w:pPr>
            <w:r>
              <w:rPr>
                <w:rFonts w:ascii="Calibri" w:hAnsi="Calibri" w:cs="Calibri"/>
                <w:color w:val="000000"/>
                <w:sz w:val="16"/>
                <w:szCs w:val="16"/>
                <w:lang w:eastAsia="en-AU"/>
              </w:rPr>
              <w:t>58</w:t>
            </w:r>
            <w:r w:rsidR="00DE6256">
              <w:rPr>
                <w:rFonts w:ascii="Calibri" w:hAnsi="Calibri" w:cs="Calibri"/>
                <w:color w:val="000000"/>
                <w:sz w:val="16"/>
                <w:szCs w:val="16"/>
                <w:lang w:eastAsia="en-AU"/>
              </w:rPr>
              <w:t>.0</w:t>
            </w:r>
          </w:p>
        </w:tc>
      </w:tr>
    </w:tbl>
    <w:p w:rsidR="00552FF0" w:rsidRDefault="00552FF0" w:rsidP="000941E0">
      <w:pPr>
        <w:jc w:val="both"/>
        <w:rPr>
          <w:szCs w:val="22"/>
        </w:rPr>
      </w:pPr>
    </w:p>
    <w:p w:rsidR="005F2394" w:rsidRPr="005F2394" w:rsidRDefault="005F2394" w:rsidP="005F2394">
      <w:pPr>
        <w:rPr>
          <w:szCs w:val="22"/>
        </w:rPr>
      </w:pPr>
      <w:r>
        <w:rPr>
          <w:szCs w:val="22"/>
        </w:rPr>
        <w:t xml:space="preserve">As there was no representative screen size factor for </w:t>
      </w:r>
      <w:r w:rsidRPr="005F2394">
        <w:rPr>
          <w:i/>
          <w:szCs w:val="22"/>
        </w:rPr>
        <w:t>Plasma/projection &lt; 80</w:t>
      </w:r>
      <w:r>
        <w:rPr>
          <w:i/>
          <w:szCs w:val="22"/>
        </w:rPr>
        <w:t xml:space="preserve"> cm,</w:t>
      </w:r>
      <w:r>
        <w:rPr>
          <w:szCs w:val="22"/>
        </w:rPr>
        <w:t xml:space="preserve"> extrapolation was used to develop a factor by applying to the factor for </w:t>
      </w:r>
      <w:r w:rsidRPr="005F2394">
        <w:rPr>
          <w:i/>
          <w:szCs w:val="22"/>
        </w:rPr>
        <w:t xml:space="preserve">Plasma/projection </w:t>
      </w:r>
      <w:r>
        <w:rPr>
          <w:i/>
          <w:szCs w:val="22"/>
        </w:rPr>
        <w:t>&gt;</w:t>
      </w:r>
      <w:r w:rsidRPr="005F2394">
        <w:rPr>
          <w:i/>
          <w:szCs w:val="22"/>
        </w:rPr>
        <w:t xml:space="preserve"> 8</w:t>
      </w:r>
      <w:r>
        <w:rPr>
          <w:i/>
          <w:szCs w:val="22"/>
        </w:rPr>
        <w:t>0cm</w:t>
      </w:r>
      <w:r>
        <w:rPr>
          <w:szCs w:val="22"/>
        </w:rPr>
        <w:t xml:space="preserve"> the weight ratio of </w:t>
      </w:r>
      <w:r w:rsidRPr="005F2394">
        <w:rPr>
          <w:i/>
          <w:szCs w:val="22"/>
        </w:rPr>
        <w:t>LCD &lt; 80</w:t>
      </w:r>
      <w:r>
        <w:rPr>
          <w:szCs w:val="22"/>
        </w:rPr>
        <w:t xml:space="preserve"> cm and </w:t>
      </w:r>
      <w:r w:rsidRPr="005F2394">
        <w:rPr>
          <w:i/>
          <w:szCs w:val="22"/>
        </w:rPr>
        <w:t>LCD &gt; 80cm</w:t>
      </w:r>
      <w:r w:rsidR="00664205">
        <w:rPr>
          <w:szCs w:val="22"/>
        </w:rPr>
        <w:t>, resulting in a conversion factor of 8.9 kg</w:t>
      </w:r>
      <w:r>
        <w:rPr>
          <w:i/>
          <w:szCs w:val="22"/>
        </w:rPr>
        <w:t>.</w:t>
      </w:r>
      <w:r>
        <w:rPr>
          <w:szCs w:val="22"/>
        </w:rPr>
        <w:t xml:space="preserve"> In the absence of a conversion factor for </w:t>
      </w:r>
      <w:r w:rsidRPr="005F2394">
        <w:rPr>
          <w:i/>
          <w:szCs w:val="22"/>
        </w:rPr>
        <w:t xml:space="preserve">CRT </w:t>
      </w:r>
      <w:r w:rsidR="00664205">
        <w:rPr>
          <w:i/>
          <w:szCs w:val="22"/>
        </w:rPr>
        <w:t>&lt;34</w:t>
      </w:r>
      <w:r w:rsidRPr="005F2394">
        <w:rPr>
          <w:i/>
          <w:szCs w:val="22"/>
        </w:rPr>
        <w:t xml:space="preserve"> cm</w:t>
      </w:r>
      <w:r w:rsidR="00664205">
        <w:rPr>
          <w:i/>
          <w:szCs w:val="22"/>
        </w:rPr>
        <w:t xml:space="preserve">, </w:t>
      </w:r>
      <w:r w:rsidR="00664205" w:rsidRPr="00664205">
        <w:rPr>
          <w:szCs w:val="22"/>
        </w:rPr>
        <w:t>the low</w:t>
      </w:r>
      <w:r w:rsidR="00664205">
        <w:rPr>
          <w:szCs w:val="22"/>
        </w:rPr>
        <w:t>est value reported for the next largest screen size (4kg) was applied. The conversion factor for CRT &gt; 79 cm was developed by extrapolation of the previous three factors to achieve 58 kg.</w:t>
      </w:r>
    </w:p>
    <w:p w:rsidR="00552FF0" w:rsidRDefault="00552FF0" w:rsidP="000941E0">
      <w:pPr>
        <w:jc w:val="both"/>
        <w:rPr>
          <w:szCs w:val="22"/>
        </w:rPr>
      </w:pPr>
    </w:p>
    <w:p w:rsidR="000611A2" w:rsidRDefault="000B5964" w:rsidP="000941E0">
      <w:pPr>
        <w:jc w:val="both"/>
        <w:rPr>
          <w:szCs w:val="22"/>
        </w:rPr>
      </w:pPr>
      <w:r>
        <w:rPr>
          <w:szCs w:val="22"/>
        </w:rPr>
        <w:t xml:space="preserve">The CTCN factor is not required for SC07 codes but an evaluation is presented below as it is required for the SC12 </w:t>
      </w:r>
      <w:r w:rsidR="003B37F0">
        <w:rPr>
          <w:szCs w:val="22"/>
        </w:rPr>
        <w:t>factors</w:t>
      </w:r>
      <w:r>
        <w:rPr>
          <w:szCs w:val="22"/>
        </w:rPr>
        <w:t>.</w:t>
      </w:r>
    </w:p>
    <w:p w:rsidR="000B5964" w:rsidRDefault="000B5964">
      <w:pPr>
        <w:rPr>
          <w:rFonts w:ascii="Arial" w:hAnsi="Arial" w:cs="Arial"/>
          <w:b/>
          <w:bCs/>
          <w:color w:val="000000"/>
          <w:szCs w:val="22"/>
          <w:lang w:eastAsia="en-AU"/>
        </w:rPr>
      </w:pPr>
    </w:p>
    <w:p w:rsidR="00745130" w:rsidRPr="00745130" w:rsidRDefault="00745130" w:rsidP="00745130">
      <w:pPr>
        <w:pStyle w:val="Caption"/>
      </w:pPr>
      <w:r>
        <w:t>Table 5-47   HTISC codes and screen size groups for which conversion factors are assigned</w:t>
      </w:r>
    </w:p>
    <w:tbl>
      <w:tblPr>
        <w:tblW w:w="8340" w:type="dxa"/>
        <w:tblInd w:w="103" w:type="dxa"/>
        <w:tblLook w:val="04A0"/>
      </w:tblPr>
      <w:tblGrid>
        <w:gridCol w:w="1340"/>
        <w:gridCol w:w="3260"/>
        <w:gridCol w:w="1120"/>
        <w:gridCol w:w="2620"/>
      </w:tblGrid>
      <w:tr w:rsidR="00745130" w:rsidRPr="00745130" w:rsidTr="00745130">
        <w:trPr>
          <w:trHeight w:val="675"/>
        </w:trPr>
        <w:tc>
          <w:tcPr>
            <w:tcW w:w="134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745130" w:rsidRPr="00745130" w:rsidRDefault="00745130" w:rsidP="00745130">
            <w:pPr>
              <w:rPr>
                <w:rFonts w:ascii="Calibri" w:hAnsi="Calibri" w:cs="Calibri"/>
                <w:b/>
                <w:bCs/>
                <w:color w:val="000000"/>
                <w:sz w:val="16"/>
                <w:szCs w:val="16"/>
                <w:lang w:eastAsia="en-AU"/>
              </w:rPr>
            </w:pPr>
            <w:r w:rsidRPr="00745130">
              <w:rPr>
                <w:rFonts w:ascii="Calibri" w:hAnsi="Calibri" w:cs="Calibri"/>
                <w:b/>
                <w:bCs/>
                <w:color w:val="000000"/>
                <w:sz w:val="16"/>
                <w:szCs w:val="16"/>
                <w:lang w:eastAsia="en-AU"/>
              </w:rPr>
              <w:t>HTISC</w:t>
            </w:r>
          </w:p>
        </w:tc>
        <w:tc>
          <w:tcPr>
            <w:tcW w:w="3260" w:type="dxa"/>
            <w:tcBorders>
              <w:top w:val="single" w:sz="4" w:space="0" w:color="auto"/>
              <w:left w:val="nil"/>
              <w:bottom w:val="single" w:sz="4" w:space="0" w:color="auto"/>
              <w:right w:val="single" w:sz="4" w:space="0" w:color="auto"/>
            </w:tcBorders>
            <w:shd w:val="clear" w:color="000000" w:fill="D8D8D8"/>
            <w:vAlign w:val="center"/>
            <w:hideMark/>
          </w:tcPr>
          <w:p w:rsidR="00745130" w:rsidRPr="00745130" w:rsidRDefault="00745130" w:rsidP="00745130">
            <w:pPr>
              <w:rPr>
                <w:rFonts w:ascii="Calibri" w:hAnsi="Calibri" w:cs="Calibri"/>
                <w:b/>
                <w:bCs/>
                <w:color w:val="000000"/>
                <w:sz w:val="16"/>
                <w:szCs w:val="16"/>
                <w:lang w:eastAsia="en-AU"/>
              </w:rPr>
            </w:pPr>
            <w:r w:rsidRPr="00745130">
              <w:rPr>
                <w:rFonts w:ascii="Calibri" w:hAnsi="Calibri" w:cs="Calibri"/>
                <w:b/>
                <w:bCs/>
                <w:color w:val="000000"/>
                <w:sz w:val="16"/>
                <w:szCs w:val="16"/>
                <w:lang w:eastAsia="en-AU"/>
              </w:rPr>
              <w:t>HTISC description</w:t>
            </w:r>
          </w:p>
        </w:tc>
        <w:tc>
          <w:tcPr>
            <w:tcW w:w="1120" w:type="dxa"/>
            <w:tcBorders>
              <w:top w:val="single" w:sz="4" w:space="0" w:color="auto"/>
              <w:left w:val="nil"/>
              <w:bottom w:val="single" w:sz="4" w:space="0" w:color="auto"/>
              <w:right w:val="single" w:sz="4" w:space="0" w:color="auto"/>
            </w:tcBorders>
            <w:shd w:val="clear" w:color="000000" w:fill="D8D8D8"/>
            <w:vAlign w:val="center"/>
            <w:hideMark/>
          </w:tcPr>
          <w:p w:rsidR="00745130" w:rsidRPr="00745130" w:rsidRDefault="00745130" w:rsidP="00745130">
            <w:pPr>
              <w:jc w:val="center"/>
              <w:rPr>
                <w:rFonts w:ascii="Calibri" w:hAnsi="Calibri" w:cs="Calibri"/>
                <w:b/>
                <w:bCs/>
                <w:color w:val="000000"/>
                <w:sz w:val="16"/>
                <w:szCs w:val="16"/>
                <w:lang w:eastAsia="en-AU"/>
              </w:rPr>
            </w:pPr>
            <w:r w:rsidRPr="00745130">
              <w:rPr>
                <w:rFonts w:ascii="Calibri" w:hAnsi="Calibri" w:cs="Calibri"/>
                <w:b/>
                <w:bCs/>
                <w:color w:val="000000"/>
                <w:sz w:val="16"/>
                <w:szCs w:val="16"/>
                <w:lang w:eastAsia="en-AU"/>
              </w:rPr>
              <w:t>Method used to develop factor</w:t>
            </w:r>
          </w:p>
        </w:tc>
        <w:tc>
          <w:tcPr>
            <w:tcW w:w="2620" w:type="dxa"/>
            <w:tcBorders>
              <w:top w:val="single" w:sz="4" w:space="0" w:color="auto"/>
              <w:left w:val="nil"/>
              <w:bottom w:val="single" w:sz="4" w:space="0" w:color="auto"/>
              <w:right w:val="single" w:sz="4" w:space="0" w:color="auto"/>
            </w:tcBorders>
            <w:shd w:val="clear" w:color="000000" w:fill="D8D8D8"/>
            <w:vAlign w:val="center"/>
            <w:hideMark/>
          </w:tcPr>
          <w:p w:rsidR="00745130" w:rsidRPr="00745130" w:rsidRDefault="00745130" w:rsidP="00745130">
            <w:pPr>
              <w:rPr>
                <w:rFonts w:ascii="Calibri" w:hAnsi="Calibri" w:cs="Calibri"/>
                <w:b/>
                <w:bCs/>
                <w:color w:val="000000"/>
                <w:sz w:val="16"/>
                <w:szCs w:val="16"/>
                <w:lang w:eastAsia="en-AU"/>
              </w:rPr>
            </w:pPr>
            <w:r w:rsidRPr="00745130">
              <w:rPr>
                <w:rFonts w:ascii="Calibri" w:hAnsi="Calibri" w:cs="Calibri"/>
                <w:b/>
                <w:bCs/>
                <w:color w:val="000000"/>
                <w:sz w:val="16"/>
                <w:szCs w:val="16"/>
                <w:lang w:eastAsia="en-AU"/>
              </w:rPr>
              <w:t>Equivalent screen size group (factors assigned via the proxy method only)</w:t>
            </w:r>
          </w:p>
        </w:tc>
      </w:tr>
      <w:tr w:rsidR="00745130" w:rsidRPr="00745130" w:rsidTr="00745130">
        <w:trPr>
          <w:trHeight w:val="45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8528.72.00 20</w:t>
            </w:r>
          </w:p>
        </w:tc>
        <w:tc>
          <w:tcPr>
            <w:tcW w:w="326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Clr TVs: Analogue LCD..Wide screen, screen size less than 80cm</w:t>
            </w:r>
          </w:p>
        </w:tc>
        <w:tc>
          <w:tcPr>
            <w:tcW w:w="11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jc w:val="center"/>
              <w:rPr>
                <w:rFonts w:ascii="Calibri" w:hAnsi="Calibri" w:cs="Calibri"/>
                <w:color w:val="000000"/>
                <w:sz w:val="16"/>
                <w:szCs w:val="16"/>
                <w:lang w:eastAsia="en-AU"/>
              </w:rPr>
            </w:pPr>
            <w:r w:rsidRPr="00745130">
              <w:rPr>
                <w:rFonts w:ascii="Calibri" w:hAnsi="Calibri" w:cs="Calibri"/>
                <w:color w:val="000000"/>
                <w:sz w:val="16"/>
                <w:szCs w:val="16"/>
                <w:lang w:eastAsia="en-AU"/>
              </w:rPr>
              <w:t>proxy</w:t>
            </w:r>
          </w:p>
        </w:tc>
        <w:tc>
          <w:tcPr>
            <w:tcW w:w="26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LCD &lt; 80 cm</w:t>
            </w:r>
          </w:p>
        </w:tc>
      </w:tr>
      <w:tr w:rsidR="00745130" w:rsidRPr="00745130" w:rsidTr="00745130">
        <w:trPr>
          <w:trHeight w:val="45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8528.72.00 21</w:t>
            </w:r>
          </w:p>
        </w:tc>
        <w:tc>
          <w:tcPr>
            <w:tcW w:w="326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Clr TVs: Analogue LCD..Wide screen, screen size 80 cm and over</w:t>
            </w:r>
          </w:p>
        </w:tc>
        <w:tc>
          <w:tcPr>
            <w:tcW w:w="11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jc w:val="center"/>
              <w:rPr>
                <w:rFonts w:ascii="Calibri" w:hAnsi="Calibri" w:cs="Calibri"/>
                <w:color w:val="000000"/>
                <w:sz w:val="16"/>
                <w:szCs w:val="16"/>
                <w:lang w:eastAsia="en-AU"/>
              </w:rPr>
            </w:pPr>
            <w:r w:rsidRPr="00745130">
              <w:rPr>
                <w:rFonts w:ascii="Calibri" w:hAnsi="Calibri" w:cs="Calibri"/>
                <w:color w:val="000000"/>
                <w:sz w:val="16"/>
                <w:szCs w:val="16"/>
                <w:lang w:eastAsia="en-AU"/>
              </w:rPr>
              <w:t>proxy</w:t>
            </w:r>
          </w:p>
        </w:tc>
        <w:tc>
          <w:tcPr>
            <w:tcW w:w="26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LCD &gt; 80 cm</w:t>
            </w:r>
          </w:p>
        </w:tc>
      </w:tr>
      <w:tr w:rsidR="00745130" w:rsidRPr="00745130" w:rsidTr="00745130">
        <w:trPr>
          <w:trHeight w:val="225"/>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8528.72.00 22</w:t>
            </w:r>
          </w:p>
        </w:tc>
        <w:tc>
          <w:tcPr>
            <w:tcW w:w="326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Clr TVs: Analogue LCD..Other</w:t>
            </w:r>
          </w:p>
        </w:tc>
        <w:tc>
          <w:tcPr>
            <w:tcW w:w="11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jc w:val="center"/>
              <w:rPr>
                <w:rFonts w:ascii="Calibri" w:hAnsi="Calibri" w:cs="Calibri"/>
                <w:color w:val="000000"/>
                <w:sz w:val="16"/>
                <w:szCs w:val="16"/>
                <w:lang w:eastAsia="en-AU"/>
              </w:rPr>
            </w:pPr>
            <w:r w:rsidRPr="00745130">
              <w:rPr>
                <w:rFonts w:ascii="Calibri" w:hAnsi="Calibri" w:cs="Calibri"/>
                <w:color w:val="000000"/>
                <w:sz w:val="16"/>
                <w:szCs w:val="16"/>
                <w:lang w:eastAsia="en-AU"/>
              </w:rPr>
              <w:t>proxy</w:t>
            </w:r>
          </w:p>
        </w:tc>
        <w:tc>
          <w:tcPr>
            <w:tcW w:w="26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LCD other cm</w:t>
            </w:r>
          </w:p>
        </w:tc>
      </w:tr>
      <w:tr w:rsidR="00745130" w:rsidRPr="00745130" w:rsidTr="00745130">
        <w:trPr>
          <w:trHeight w:val="225"/>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8528.72.00 40</w:t>
            </w:r>
          </w:p>
        </w:tc>
        <w:tc>
          <w:tcPr>
            <w:tcW w:w="326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Clr TVs: Analogue, Other</w:t>
            </w:r>
          </w:p>
        </w:tc>
        <w:tc>
          <w:tcPr>
            <w:tcW w:w="11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jc w:val="center"/>
              <w:rPr>
                <w:rFonts w:ascii="Calibri" w:hAnsi="Calibri" w:cs="Calibri"/>
                <w:color w:val="000000"/>
                <w:sz w:val="16"/>
                <w:szCs w:val="16"/>
                <w:lang w:eastAsia="en-AU"/>
              </w:rPr>
            </w:pPr>
            <w:r w:rsidRPr="00745130">
              <w:rPr>
                <w:rFonts w:ascii="Calibri" w:hAnsi="Calibri" w:cs="Calibri"/>
                <w:color w:val="000000"/>
                <w:sz w:val="16"/>
                <w:szCs w:val="16"/>
                <w:lang w:eastAsia="en-AU"/>
              </w:rPr>
              <w:t>data</w:t>
            </w:r>
          </w:p>
        </w:tc>
        <w:tc>
          <w:tcPr>
            <w:tcW w:w="26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 </w:t>
            </w:r>
          </w:p>
        </w:tc>
      </w:tr>
      <w:tr w:rsidR="00745130" w:rsidRPr="00745130" w:rsidTr="00745130">
        <w:trPr>
          <w:trHeight w:val="45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8528.72.00 60</w:t>
            </w:r>
          </w:p>
        </w:tc>
        <w:tc>
          <w:tcPr>
            <w:tcW w:w="326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Clr TVs: Digital LCD..Wide screen, screen size less than 80cm</w:t>
            </w:r>
          </w:p>
        </w:tc>
        <w:tc>
          <w:tcPr>
            <w:tcW w:w="11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jc w:val="center"/>
              <w:rPr>
                <w:rFonts w:ascii="Calibri" w:hAnsi="Calibri" w:cs="Calibri"/>
                <w:color w:val="000000"/>
                <w:sz w:val="16"/>
                <w:szCs w:val="16"/>
                <w:lang w:eastAsia="en-AU"/>
              </w:rPr>
            </w:pPr>
            <w:r w:rsidRPr="00745130">
              <w:rPr>
                <w:rFonts w:ascii="Calibri" w:hAnsi="Calibri" w:cs="Calibri"/>
                <w:color w:val="000000"/>
                <w:sz w:val="16"/>
                <w:szCs w:val="16"/>
                <w:lang w:eastAsia="en-AU"/>
              </w:rPr>
              <w:t>data</w:t>
            </w:r>
          </w:p>
        </w:tc>
        <w:tc>
          <w:tcPr>
            <w:tcW w:w="26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 </w:t>
            </w:r>
          </w:p>
        </w:tc>
      </w:tr>
      <w:tr w:rsidR="00745130" w:rsidRPr="00745130" w:rsidTr="00745130">
        <w:trPr>
          <w:trHeight w:val="45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8528.72.00 61</w:t>
            </w:r>
          </w:p>
        </w:tc>
        <w:tc>
          <w:tcPr>
            <w:tcW w:w="326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Clr TVs: Digital LCD..Wide screen, screen size 80 cm and over</w:t>
            </w:r>
          </w:p>
        </w:tc>
        <w:tc>
          <w:tcPr>
            <w:tcW w:w="11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jc w:val="center"/>
              <w:rPr>
                <w:rFonts w:ascii="Calibri" w:hAnsi="Calibri" w:cs="Calibri"/>
                <w:color w:val="000000"/>
                <w:sz w:val="16"/>
                <w:szCs w:val="16"/>
                <w:lang w:eastAsia="en-AU"/>
              </w:rPr>
            </w:pPr>
            <w:r w:rsidRPr="00745130">
              <w:rPr>
                <w:rFonts w:ascii="Calibri" w:hAnsi="Calibri" w:cs="Calibri"/>
                <w:color w:val="000000"/>
                <w:sz w:val="16"/>
                <w:szCs w:val="16"/>
                <w:lang w:eastAsia="en-AU"/>
              </w:rPr>
              <w:t>data</w:t>
            </w:r>
          </w:p>
        </w:tc>
        <w:tc>
          <w:tcPr>
            <w:tcW w:w="26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 </w:t>
            </w:r>
          </w:p>
        </w:tc>
      </w:tr>
      <w:tr w:rsidR="00745130" w:rsidRPr="00745130" w:rsidTr="00745130">
        <w:trPr>
          <w:trHeight w:val="225"/>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8528.72.00 62</w:t>
            </w:r>
          </w:p>
        </w:tc>
        <w:tc>
          <w:tcPr>
            <w:tcW w:w="326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Clr TVs: Digital LCD..Other</w:t>
            </w:r>
          </w:p>
        </w:tc>
        <w:tc>
          <w:tcPr>
            <w:tcW w:w="11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jc w:val="center"/>
              <w:rPr>
                <w:rFonts w:ascii="Calibri" w:hAnsi="Calibri" w:cs="Calibri"/>
                <w:color w:val="000000"/>
                <w:sz w:val="16"/>
                <w:szCs w:val="16"/>
                <w:lang w:eastAsia="en-AU"/>
              </w:rPr>
            </w:pPr>
            <w:r w:rsidRPr="00745130">
              <w:rPr>
                <w:rFonts w:ascii="Calibri" w:hAnsi="Calibri" w:cs="Calibri"/>
                <w:color w:val="000000"/>
                <w:sz w:val="16"/>
                <w:szCs w:val="16"/>
                <w:lang w:eastAsia="en-AU"/>
              </w:rPr>
              <w:t>data</w:t>
            </w:r>
          </w:p>
        </w:tc>
        <w:tc>
          <w:tcPr>
            <w:tcW w:w="26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 </w:t>
            </w:r>
          </w:p>
        </w:tc>
      </w:tr>
      <w:tr w:rsidR="00745130" w:rsidRPr="00745130" w:rsidTr="00745130">
        <w:trPr>
          <w:trHeight w:val="225"/>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8528.72.00 80</w:t>
            </w:r>
          </w:p>
        </w:tc>
        <w:tc>
          <w:tcPr>
            <w:tcW w:w="326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Clr TVs: Digital, other</w:t>
            </w:r>
          </w:p>
        </w:tc>
        <w:tc>
          <w:tcPr>
            <w:tcW w:w="11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jc w:val="center"/>
              <w:rPr>
                <w:rFonts w:ascii="Calibri" w:hAnsi="Calibri" w:cs="Calibri"/>
                <w:color w:val="000000"/>
                <w:sz w:val="16"/>
                <w:szCs w:val="16"/>
                <w:lang w:eastAsia="en-AU"/>
              </w:rPr>
            </w:pPr>
            <w:r w:rsidRPr="00745130">
              <w:rPr>
                <w:rFonts w:ascii="Calibri" w:hAnsi="Calibri" w:cs="Calibri"/>
                <w:color w:val="000000"/>
                <w:sz w:val="16"/>
                <w:szCs w:val="16"/>
                <w:lang w:eastAsia="en-AU"/>
              </w:rPr>
              <w:t>proxy</w:t>
            </w:r>
          </w:p>
        </w:tc>
        <w:tc>
          <w:tcPr>
            <w:tcW w:w="26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LCD other cm</w:t>
            </w:r>
          </w:p>
        </w:tc>
      </w:tr>
      <w:tr w:rsidR="00745130" w:rsidRPr="00745130" w:rsidTr="00745130">
        <w:trPr>
          <w:trHeight w:val="225"/>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8528.72.00 10</w:t>
            </w:r>
          </w:p>
        </w:tc>
        <w:tc>
          <w:tcPr>
            <w:tcW w:w="326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Clr TVs: Plasma Under 80cm</w:t>
            </w:r>
          </w:p>
        </w:tc>
        <w:tc>
          <w:tcPr>
            <w:tcW w:w="11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jc w:val="center"/>
              <w:rPr>
                <w:rFonts w:ascii="Calibri" w:hAnsi="Calibri" w:cs="Calibri"/>
                <w:color w:val="000000"/>
                <w:sz w:val="16"/>
                <w:szCs w:val="16"/>
                <w:lang w:eastAsia="en-AU"/>
              </w:rPr>
            </w:pPr>
            <w:r w:rsidRPr="00745130">
              <w:rPr>
                <w:rFonts w:ascii="Calibri" w:hAnsi="Calibri" w:cs="Calibri"/>
                <w:color w:val="000000"/>
                <w:sz w:val="16"/>
                <w:szCs w:val="16"/>
                <w:lang w:eastAsia="en-AU"/>
              </w:rPr>
              <w:t>proxy</w:t>
            </w:r>
          </w:p>
        </w:tc>
        <w:tc>
          <w:tcPr>
            <w:tcW w:w="26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Plasma/projection &lt; 80 cm</w:t>
            </w:r>
          </w:p>
        </w:tc>
      </w:tr>
      <w:tr w:rsidR="00745130" w:rsidRPr="00745130" w:rsidTr="00745130">
        <w:trPr>
          <w:trHeight w:val="225"/>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8528.72.00 50</w:t>
            </w:r>
          </w:p>
        </w:tc>
        <w:tc>
          <w:tcPr>
            <w:tcW w:w="326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Clr TVs: Plasma Under 80cm</w:t>
            </w:r>
          </w:p>
        </w:tc>
        <w:tc>
          <w:tcPr>
            <w:tcW w:w="11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jc w:val="center"/>
              <w:rPr>
                <w:rFonts w:ascii="Calibri" w:hAnsi="Calibri" w:cs="Calibri"/>
                <w:color w:val="000000"/>
                <w:sz w:val="16"/>
                <w:szCs w:val="16"/>
                <w:lang w:eastAsia="en-AU"/>
              </w:rPr>
            </w:pPr>
            <w:r w:rsidRPr="00745130">
              <w:rPr>
                <w:rFonts w:ascii="Calibri" w:hAnsi="Calibri" w:cs="Calibri"/>
                <w:color w:val="000000"/>
                <w:sz w:val="16"/>
                <w:szCs w:val="16"/>
                <w:lang w:eastAsia="en-AU"/>
              </w:rPr>
              <w:t>proxy</w:t>
            </w:r>
          </w:p>
        </w:tc>
        <w:tc>
          <w:tcPr>
            <w:tcW w:w="26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Plasma/projection &lt; 80 cm</w:t>
            </w:r>
          </w:p>
        </w:tc>
      </w:tr>
      <w:tr w:rsidR="00745130" w:rsidRPr="00745130" w:rsidTr="00745130">
        <w:trPr>
          <w:trHeight w:val="225"/>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8528.72.00 11</w:t>
            </w:r>
          </w:p>
        </w:tc>
        <w:tc>
          <w:tcPr>
            <w:tcW w:w="326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Clr TVs: Plasma 80cm+</w:t>
            </w:r>
          </w:p>
        </w:tc>
        <w:tc>
          <w:tcPr>
            <w:tcW w:w="11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jc w:val="center"/>
              <w:rPr>
                <w:rFonts w:ascii="Calibri" w:hAnsi="Calibri" w:cs="Calibri"/>
                <w:color w:val="000000"/>
                <w:sz w:val="16"/>
                <w:szCs w:val="16"/>
                <w:lang w:eastAsia="en-AU"/>
              </w:rPr>
            </w:pPr>
            <w:r w:rsidRPr="00745130">
              <w:rPr>
                <w:rFonts w:ascii="Calibri" w:hAnsi="Calibri" w:cs="Calibri"/>
                <w:color w:val="000000"/>
                <w:sz w:val="16"/>
                <w:szCs w:val="16"/>
                <w:lang w:eastAsia="en-AU"/>
              </w:rPr>
              <w:t>data</w:t>
            </w:r>
          </w:p>
        </w:tc>
        <w:tc>
          <w:tcPr>
            <w:tcW w:w="26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 </w:t>
            </w:r>
          </w:p>
        </w:tc>
      </w:tr>
      <w:tr w:rsidR="00745130" w:rsidRPr="00745130" w:rsidTr="00745130">
        <w:trPr>
          <w:trHeight w:val="225"/>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8528.72.00 51</w:t>
            </w:r>
          </w:p>
        </w:tc>
        <w:tc>
          <w:tcPr>
            <w:tcW w:w="326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Clr TVs: Plasma 80cm+</w:t>
            </w:r>
          </w:p>
        </w:tc>
        <w:tc>
          <w:tcPr>
            <w:tcW w:w="11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jc w:val="center"/>
              <w:rPr>
                <w:rFonts w:ascii="Calibri" w:hAnsi="Calibri" w:cs="Calibri"/>
                <w:color w:val="000000"/>
                <w:sz w:val="16"/>
                <w:szCs w:val="16"/>
                <w:lang w:eastAsia="en-AU"/>
              </w:rPr>
            </w:pPr>
            <w:r w:rsidRPr="00745130">
              <w:rPr>
                <w:rFonts w:ascii="Calibri" w:hAnsi="Calibri" w:cs="Calibri"/>
                <w:color w:val="000000"/>
                <w:sz w:val="16"/>
                <w:szCs w:val="16"/>
                <w:lang w:eastAsia="en-AU"/>
              </w:rPr>
              <w:t>data</w:t>
            </w:r>
          </w:p>
        </w:tc>
        <w:tc>
          <w:tcPr>
            <w:tcW w:w="26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 </w:t>
            </w:r>
          </w:p>
        </w:tc>
      </w:tr>
      <w:tr w:rsidR="00745130" w:rsidRPr="00745130" w:rsidTr="00745130">
        <w:trPr>
          <w:trHeight w:val="225"/>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8528.72.00 15</w:t>
            </w:r>
          </w:p>
        </w:tc>
        <w:tc>
          <w:tcPr>
            <w:tcW w:w="326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Clr TVs: Projection under 80cm</w:t>
            </w:r>
          </w:p>
        </w:tc>
        <w:tc>
          <w:tcPr>
            <w:tcW w:w="11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jc w:val="center"/>
              <w:rPr>
                <w:rFonts w:ascii="Calibri" w:hAnsi="Calibri" w:cs="Calibri"/>
                <w:color w:val="000000"/>
                <w:sz w:val="16"/>
                <w:szCs w:val="16"/>
                <w:lang w:eastAsia="en-AU"/>
              </w:rPr>
            </w:pPr>
            <w:r w:rsidRPr="00745130">
              <w:rPr>
                <w:rFonts w:ascii="Calibri" w:hAnsi="Calibri" w:cs="Calibri"/>
                <w:color w:val="000000"/>
                <w:sz w:val="16"/>
                <w:szCs w:val="16"/>
                <w:lang w:eastAsia="en-AU"/>
              </w:rPr>
              <w:t>proxy</w:t>
            </w:r>
          </w:p>
        </w:tc>
        <w:tc>
          <w:tcPr>
            <w:tcW w:w="26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Plasma/projection &lt; 80 cm</w:t>
            </w:r>
          </w:p>
        </w:tc>
      </w:tr>
      <w:tr w:rsidR="00745130" w:rsidRPr="00745130" w:rsidTr="00745130">
        <w:trPr>
          <w:trHeight w:val="225"/>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8528.72.00 55</w:t>
            </w:r>
          </w:p>
        </w:tc>
        <w:tc>
          <w:tcPr>
            <w:tcW w:w="326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Clr TVs: Projection under 80cm</w:t>
            </w:r>
          </w:p>
        </w:tc>
        <w:tc>
          <w:tcPr>
            <w:tcW w:w="11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jc w:val="center"/>
              <w:rPr>
                <w:rFonts w:ascii="Calibri" w:hAnsi="Calibri" w:cs="Calibri"/>
                <w:color w:val="000000"/>
                <w:sz w:val="16"/>
                <w:szCs w:val="16"/>
                <w:lang w:eastAsia="en-AU"/>
              </w:rPr>
            </w:pPr>
            <w:r w:rsidRPr="00745130">
              <w:rPr>
                <w:rFonts w:ascii="Calibri" w:hAnsi="Calibri" w:cs="Calibri"/>
                <w:color w:val="000000"/>
                <w:sz w:val="16"/>
                <w:szCs w:val="16"/>
                <w:lang w:eastAsia="en-AU"/>
              </w:rPr>
              <w:t>proxy</w:t>
            </w:r>
          </w:p>
        </w:tc>
        <w:tc>
          <w:tcPr>
            <w:tcW w:w="26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Plasma/projection &lt; 80 cm</w:t>
            </w:r>
          </w:p>
        </w:tc>
      </w:tr>
      <w:tr w:rsidR="00745130" w:rsidRPr="00745130" w:rsidTr="00745130">
        <w:trPr>
          <w:trHeight w:val="225"/>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8528.72.00 16</w:t>
            </w:r>
          </w:p>
        </w:tc>
        <w:tc>
          <w:tcPr>
            <w:tcW w:w="326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Clr TVs: Projection 80cm+</w:t>
            </w:r>
          </w:p>
        </w:tc>
        <w:tc>
          <w:tcPr>
            <w:tcW w:w="11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jc w:val="center"/>
              <w:rPr>
                <w:rFonts w:ascii="Calibri" w:hAnsi="Calibri" w:cs="Calibri"/>
                <w:color w:val="000000"/>
                <w:sz w:val="16"/>
                <w:szCs w:val="16"/>
                <w:lang w:eastAsia="en-AU"/>
              </w:rPr>
            </w:pPr>
            <w:r w:rsidRPr="00745130">
              <w:rPr>
                <w:rFonts w:ascii="Calibri" w:hAnsi="Calibri" w:cs="Calibri"/>
                <w:color w:val="000000"/>
                <w:sz w:val="16"/>
                <w:szCs w:val="16"/>
                <w:lang w:eastAsia="en-AU"/>
              </w:rPr>
              <w:t>proxy</w:t>
            </w:r>
          </w:p>
        </w:tc>
        <w:tc>
          <w:tcPr>
            <w:tcW w:w="26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Plasma/projection &gt; 80 cm</w:t>
            </w:r>
          </w:p>
        </w:tc>
      </w:tr>
      <w:tr w:rsidR="00745130" w:rsidRPr="00745130" w:rsidTr="00745130">
        <w:trPr>
          <w:trHeight w:val="225"/>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8528.72.00 56</w:t>
            </w:r>
          </w:p>
        </w:tc>
        <w:tc>
          <w:tcPr>
            <w:tcW w:w="326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Clr TVs: Projection 80cm+</w:t>
            </w:r>
          </w:p>
        </w:tc>
        <w:tc>
          <w:tcPr>
            <w:tcW w:w="11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jc w:val="center"/>
              <w:rPr>
                <w:rFonts w:ascii="Calibri" w:hAnsi="Calibri" w:cs="Calibri"/>
                <w:color w:val="000000"/>
                <w:sz w:val="16"/>
                <w:szCs w:val="16"/>
                <w:lang w:eastAsia="en-AU"/>
              </w:rPr>
            </w:pPr>
            <w:r w:rsidRPr="00745130">
              <w:rPr>
                <w:rFonts w:ascii="Calibri" w:hAnsi="Calibri" w:cs="Calibri"/>
                <w:color w:val="000000"/>
                <w:sz w:val="16"/>
                <w:szCs w:val="16"/>
                <w:lang w:eastAsia="en-AU"/>
              </w:rPr>
              <w:t>proxy</w:t>
            </w:r>
          </w:p>
        </w:tc>
        <w:tc>
          <w:tcPr>
            <w:tcW w:w="26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Plasma/projection &gt; 80 cm</w:t>
            </w:r>
          </w:p>
        </w:tc>
      </w:tr>
      <w:tr w:rsidR="00745130" w:rsidRPr="00745130" w:rsidTr="00745130">
        <w:trPr>
          <w:trHeight w:val="225"/>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8528.72.00 17</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Clr TVs: Projection other</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130" w:rsidRPr="00745130" w:rsidRDefault="00745130" w:rsidP="00745130">
            <w:pPr>
              <w:jc w:val="center"/>
              <w:rPr>
                <w:rFonts w:ascii="Calibri" w:hAnsi="Calibri" w:cs="Calibri"/>
                <w:color w:val="000000"/>
                <w:sz w:val="16"/>
                <w:szCs w:val="16"/>
                <w:lang w:eastAsia="en-AU"/>
              </w:rPr>
            </w:pPr>
            <w:r w:rsidRPr="00745130">
              <w:rPr>
                <w:rFonts w:ascii="Calibri" w:hAnsi="Calibri" w:cs="Calibri"/>
                <w:color w:val="000000"/>
                <w:sz w:val="16"/>
                <w:szCs w:val="16"/>
                <w:lang w:eastAsia="en-AU"/>
              </w:rPr>
              <w:t>proxy</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Plasma/projection &gt; 80 cm</w:t>
            </w:r>
          </w:p>
        </w:tc>
      </w:tr>
      <w:tr w:rsidR="00745130" w:rsidRPr="00745130" w:rsidTr="00745130">
        <w:trPr>
          <w:trHeight w:val="225"/>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8528.72.00 57</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Clr TVs: Projection other</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130" w:rsidRPr="00745130" w:rsidRDefault="00745130" w:rsidP="00745130">
            <w:pPr>
              <w:jc w:val="center"/>
              <w:rPr>
                <w:rFonts w:ascii="Calibri" w:hAnsi="Calibri" w:cs="Calibri"/>
                <w:color w:val="000000"/>
                <w:sz w:val="16"/>
                <w:szCs w:val="16"/>
                <w:lang w:eastAsia="en-AU"/>
              </w:rPr>
            </w:pPr>
            <w:r w:rsidRPr="00745130">
              <w:rPr>
                <w:rFonts w:ascii="Calibri" w:hAnsi="Calibri" w:cs="Calibri"/>
                <w:color w:val="000000"/>
                <w:sz w:val="16"/>
                <w:szCs w:val="16"/>
                <w:lang w:eastAsia="en-AU"/>
              </w:rPr>
              <w:t>proxy</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Plasma/projection &gt; 80 cm</w:t>
            </w:r>
          </w:p>
        </w:tc>
      </w:tr>
      <w:tr w:rsidR="00745130" w:rsidRPr="00745130" w:rsidTr="00745130">
        <w:trPr>
          <w:trHeight w:val="225"/>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8528.72.00 30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Clr TVs: CRT &lt;34cm</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745130" w:rsidRPr="00745130" w:rsidRDefault="00745130" w:rsidP="00745130">
            <w:pPr>
              <w:jc w:val="center"/>
              <w:rPr>
                <w:rFonts w:ascii="Calibri" w:hAnsi="Calibri" w:cs="Calibri"/>
                <w:color w:val="000000"/>
                <w:sz w:val="16"/>
                <w:szCs w:val="16"/>
                <w:lang w:eastAsia="en-AU"/>
              </w:rPr>
            </w:pPr>
            <w:r w:rsidRPr="00745130">
              <w:rPr>
                <w:rFonts w:ascii="Calibri" w:hAnsi="Calibri" w:cs="Calibri"/>
                <w:color w:val="000000"/>
                <w:sz w:val="16"/>
                <w:szCs w:val="16"/>
                <w:lang w:eastAsia="en-AU"/>
              </w:rPr>
              <w:t>proxy</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CRT &lt; 34 cm</w:t>
            </w:r>
          </w:p>
        </w:tc>
      </w:tr>
      <w:tr w:rsidR="00745130" w:rsidRPr="00745130" w:rsidTr="00745130">
        <w:trPr>
          <w:trHeight w:val="225"/>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8528.72.00 35</w:t>
            </w:r>
          </w:p>
        </w:tc>
        <w:tc>
          <w:tcPr>
            <w:tcW w:w="326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Clr TVs: CRT &lt;34cm</w:t>
            </w:r>
          </w:p>
        </w:tc>
        <w:tc>
          <w:tcPr>
            <w:tcW w:w="11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jc w:val="center"/>
              <w:rPr>
                <w:rFonts w:ascii="Calibri" w:hAnsi="Calibri" w:cs="Calibri"/>
                <w:color w:val="000000"/>
                <w:sz w:val="16"/>
                <w:szCs w:val="16"/>
                <w:lang w:eastAsia="en-AU"/>
              </w:rPr>
            </w:pPr>
            <w:r w:rsidRPr="00745130">
              <w:rPr>
                <w:rFonts w:ascii="Calibri" w:hAnsi="Calibri" w:cs="Calibri"/>
                <w:color w:val="000000"/>
                <w:sz w:val="16"/>
                <w:szCs w:val="16"/>
                <w:lang w:eastAsia="en-AU"/>
              </w:rPr>
              <w:t>proxy</w:t>
            </w:r>
          </w:p>
        </w:tc>
        <w:tc>
          <w:tcPr>
            <w:tcW w:w="26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CRT &lt; 34 cm</w:t>
            </w:r>
          </w:p>
        </w:tc>
      </w:tr>
      <w:tr w:rsidR="00745130" w:rsidRPr="00745130" w:rsidTr="00745130">
        <w:trPr>
          <w:trHeight w:val="225"/>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8528.72.00 70</w:t>
            </w:r>
          </w:p>
        </w:tc>
        <w:tc>
          <w:tcPr>
            <w:tcW w:w="326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Clr TVs: CRT &lt;34cm</w:t>
            </w:r>
          </w:p>
        </w:tc>
        <w:tc>
          <w:tcPr>
            <w:tcW w:w="11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jc w:val="center"/>
              <w:rPr>
                <w:rFonts w:ascii="Calibri" w:hAnsi="Calibri" w:cs="Calibri"/>
                <w:color w:val="000000"/>
                <w:sz w:val="16"/>
                <w:szCs w:val="16"/>
                <w:lang w:eastAsia="en-AU"/>
              </w:rPr>
            </w:pPr>
            <w:r w:rsidRPr="00745130">
              <w:rPr>
                <w:rFonts w:ascii="Calibri" w:hAnsi="Calibri" w:cs="Calibri"/>
                <w:color w:val="000000"/>
                <w:sz w:val="16"/>
                <w:szCs w:val="16"/>
                <w:lang w:eastAsia="en-AU"/>
              </w:rPr>
              <w:t>proxy</w:t>
            </w:r>
          </w:p>
        </w:tc>
        <w:tc>
          <w:tcPr>
            <w:tcW w:w="26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CRT &lt; 34 cm</w:t>
            </w:r>
          </w:p>
        </w:tc>
      </w:tr>
      <w:tr w:rsidR="00745130" w:rsidRPr="00745130" w:rsidTr="00745130">
        <w:trPr>
          <w:trHeight w:val="225"/>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8528.72.00 75</w:t>
            </w:r>
          </w:p>
        </w:tc>
        <w:tc>
          <w:tcPr>
            <w:tcW w:w="326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Clr TVs: CRT &lt;34cm</w:t>
            </w:r>
          </w:p>
        </w:tc>
        <w:tc>
          <w:tcPr>
            <w:tcW w:w="11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jc w:val="center"/>
              <w:rPr>
                <w:rFonts w:ascii="Calibri" w:hAnsi="Calibri" w:cs="Calibri"/>
                <w:color w:val="000000"/>
                <w:sz w:val="16"/>
                <w:szCs w:val="16"/>
                <w:lang w:eastAsia="en-AU"/>
              </w:rPr>
            </w:pPr>
            <w:r w:rsidRPr="00745130">
              <w:rPr>
                <w:rFonts w:ascii="Calibri" w:hAnsi="Calibri" w:cs="Calibri"/>
                <w:color w:val="000000"/>
                <w:sz w:val="16"/>
                <w:szCs w:val="16"/>
                <w:lang w:eastAsia="en-AU"/>
              </w:rPr>
              <w:t>proxy</w:t>
            </w:r>
          </w:p>
        </w:tc>
        <w:tc>
          <w:tcPr>
            <w:tcW w:w="26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CRT &lt; 34 cm</w:t>
            </w:r>
          </w:p>
        </w:tc>
      </w:tr>
      <w:tr w:rsidR="00745130" w:rsidRPr="00745130" w:rsidTr="00745130">
        <w:trPr>
          <w:trHeight w:val="225"/>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8528.72.00 31</w:t>
            </w:r>
          </w:p>
        </w:tc>
        <w:tc>
          <w:tcPr>
            <w:tcW w:w="326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Clr TVs: CRT 34-50cm</w:t>
            </w:r>
          </w:p>
        </w:tc>
        <w:tc>
          <w:tcPr>
            <w:tcW w:w="11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jc w:val="center"/>
              <w:rPr>
                <w:rFonts w:ascii="Calibri" w:hAnsi="Calibri" w:cs="Calibri"/>
                <w:color w:val="000000"/>
                <w:sz w:val="16"/>
                <w:szCs w:val="16"/>
                <w:lang w:eastAsia="en-AU"/>
              </w:rPr>
            </w:pPr>
            <w:r w:rsidRPr="00745130">
              <w:rPr>
                <w:rFonts w:ascii="Calibri" w:hAnsi="Calibri" w:cs="Calibri"/>
                <w:color w:val="000000"/>
                <w:sz w:val="16"/>
                <w:szCs w:val="16"/>
                <w:lang w:eastAsia="en-AU"/>
              </w:rPr>
              <w:t>data</w:t>
            </w:r>
          </w:p>
        </w:tc>
        <w:tc>
          <w:tcPr>
            <w:tcW w:w="26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 </w:t>
            </w:r>
          </w:p>
        </w:tc>
      </w:tr>
      <w:tr w:rsidR="00745130" w:rsidRPr="00745130" w:rsidTr="00745130">
        <w:trPr>
          <w:trHeight w:val="225"/>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8528.72.00 36</w:t>
            </w:r>
          </w:p>
        </w:tc>
        <w:tc>
          <w:tcPr>
            <w:tcW w:w="326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Clr TVs: CRT 34-50cm</w:t>
            </w:r>
          </w:p>
        </w:tc>
        <w:tc>
          <w:tcPr>
            <w:tcW w:w="11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jc w:val="center"/>
              <w:rPr>
                <w:rFonts w:ascii="Calibri" w:hAnsi="Calibri" w:cs="Calibri"/>
                <w:color w:val="000000"/>
                <w:sz w:val="16"/>
                <w:szCs w:val="16"/>
                <w:lang w:eastAsia="en-AU"/>
              </w:rPr>
            </w:pPr>
            <w:r w:rsidRPr="00745130">
              <w:rPr>
                <w:rFonts w:ascii="Calibri" w:hAnsi="Calibri" w:cs="Calibri"/>
                <w:color w:val="000000"/>
                <w:sz w:val="16"/>
                <w:szCs w:val="16"/>
                <w:lang w:eastAsia="en-AU"/>
              </w:rPr>
              <w:t>proxy</w:t>
            </w:r>
          </w:p>
        </w:tc>
        <w:tc>
          <w:tcPr>
            <w:tcW w:w="26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CRT 34-50 cm</w:t>
            </w:r>
          </w:p>
        </w:tc>
      </w:tr>
      <w:tr w:rsidR="00745130" w:rsidRPr="00745130" w:rsidTr="00745130">
        <w:trPr>
          <w:trHeight w:val="225"/>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8528.72.00 71</w:t>
            </w:r>
          </w:p>
        </w:tc>
        <w:tc>
          <w:tcPr>
            <w:tcW w:w="326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Clr TVs: CRT 34-50cm</w:t>
            </w:r>
          </w:p>
        </w:tc>
        <w:tc>
          <w:tcPr>
            <w:tcW w:w="11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jc w:val="center"/>
              <w:rPr>
                <w:rFonts w:ascii="Calibri" w:hAnsi="Calibri" w:cs="Calibri"/>
                <w:color w:val="000000"/>
                <w:sz w:val="16"/>
                <w:szCs w:val="16"/>
                <w:lang w:eastAsia="en-AU"/>
              </w:rPr>
            </w:pPr>
            <w:r w:rsidRPr="00745130">
              <w:rPr>
                <w:rFonts w:ascii="Calibri" w:hAnsi="Calibri" w:cs="Calibri"/>
                <w:color w:val="000000"/>
                <w:sz w:val="16"/>
                <w:szCs w:val="16"/>
                <w:lang w:eastAsia="en-AU"/>
              </w:rPr>
              <w:t>data</w:t>
            </w:r>
          </w:p>
        </w:tc>
        <w:tc>
          <w:tcPr>
            <w:tcW w:w="26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 </w:t>
            </w:r>
          </w:p>
        </w:tc>
      </w:tr>
      <w:tr w:rsidR="00745130" w:rsidRPr="00745130" w:rsidTr="00745130">
        <w:trPr>
          <w:trHeight w:val="225"/>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8528.72.00 76</w:t>
            </w:r>
          </w:p>
        </w:tc>
        <w:tc>
          <w:tcPr>
            <w:tcW w:w="326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Clr TVs: CRT 34-50cm</w:t>
            </w:r>
          </w:p>
        </w:tc>
        <w:tc>
          <w:tcPr>
            <w:tcW w:w="11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jc w:val="center"/>
              <w:rPr>
                <w:rFonts w:ascii="Calibri" w:hAnsi="Calibri" w:cs="Calibri"/>
                <w:color w:val="000000"/>
                <w:sz w:val="16"/>
                <w:szCs w:val="16"/>
                <w:lang w:eastAsia="en-AU"/>
              </w:rPr>
            </w:pPr>
            <w:r w:rsidRPr="00745130">
              <w:rPr>
                <w:rFonts w:ascii="Calibri" w:hAnsi="Calibri" w:cs="Calibri"/>
                <w:color w:val="000000"/>
                <w:sz w:val="16"/>
                <w:szCs w:val="16"/>
                <w:lang w:eastAsia="en-AU"/>
              </w:rPr>
              <w:t>data</w:t>
            </w:r>
          </w:p>
        </w:tc>
        <w:tc>
          <w:tcPr>
            <w:tcW w:w="26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 </w:t>
            </w:r>
          </w:p>
        </w:tc>
      </w:tr>
      <w:tr w:rsidR="00745130" w:rsidRPr="00745130" w:rsidTr="00745130">
        <w:trPr>
          <w:trHeight w:val="225"/>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8528.72.00 32</w:t>
            </w:r>
          </w:p>
        </w:tc>
        <w:tc>
          <w:tcPr>
            <w:tcW w:w="326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Clr TVs: CRT 51-67cm</w:t>
            </w:r>
          </w:p>
        </w:tc>
        <w:tc>
          <w:tcPr>
            <w:tcW w:w="11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jc w:val="center"/>
              <w:rPr>
                <w:rFonts w:ascii="Calibri" w:hAnsi="Calibri" w:cs="Calibri"/>
                <w:color w:val="000000"/>
                <w:sz w:val="16"/>
                <w:szCs w:val="16"/>
                <w:lang w:eastAsia="en-AU"/>
              </w:rPr>
            </w:pPr>
            <w:r w:rsidRPr="00745130">
              <w:rPr>
                <w:rFonts w:ascii="Calibri" w:hAnsi="Calibri" w:cs="Calibri"/>
                <w:color w:val="000000"/>
                <w:sz w:val="16"/>
                <w:szCs w:val="16"/>
                <w:lang w:eastAsia="en-AU"/>
              </w:rPr>
              <w:t>data</w:t>
            </w:r>
          </w:p>
        </w:tc>
        <w:tc>
          <w:tcPr>
            <w:tcW w:w="26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 </w:t>
            </w:r>
          </w:p>
        </w:tc>
      </w:tr>
      <w:tr w:rsidR="00745130" w:rsidRPr="00745130" w:rsidTr="00745130">
        <w:trPr>
          <w:trHeight w:val="225"/>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8528.72.00 37</w:t>
            </w:r>
          </w:p>
        </w:tc>
        <w:tc>
          <w:tcPr>
            <w:tcW w:w="326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Clr TVs: CRT 51-67cm</w:t>
            </w:r>
          </w:p>
        </w:tc>
        <w:tc>
          <w:tcPr>
            <w:tcW w:w="11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jc w:val="center"/>
              <w:rPr>
                <w:rFonts w:ascii="Calibri" w:hAnsi="Calibri" w:cs="Calibri"/>
                <w:color w:val="000000"/>
                <w:sz w:val="16"/>
                <w:szCs w:val="16"/>
                <w:lang w:eastAsia="en-AU"/>
              </w:rPr>
            </w:pPr>
            <w:r w:rsidRPr="00745130">
              <w:rPr>
                <w:rFonts w:ascii="Calibri" w:hAnsi="Calibri" w:cs="Calibri"/>
                <w:color w:val="000000"/>
                <w:sz w:val="16"/>
                <w:szCs w:val="16"/>
                <w:lang w:eastAsia="en-AU"/>
              </w:rPr>
              <w:t>proxy</w:t>
            </w:r>
          </w:p>
        </w:tc>
        <w:tc>
          <w:tcPr>
            <w:tcW w:w="26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CRT 51-67 cm</w:t>
            </w:r>
          </w:p>
        </w:tc>
      </w:tr>
      <w:tr w:rsidR="00745130" w:rsidRPr="00745130" w:rsidTr="00745130">
        <w:trPr>
          <w:trHeight w:val="225"/>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8528.72.00 72</w:t>
            </w:r>
          </w:p>
        </w:tc>
        <w:tc>
          <w:tcPr>
            <w:tcW w:w="326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Clr TVs: CRT 51-67cm</w:t>
            </w:r>
          </w:p>
        </w:tc>
        <w:tc>
          <w:tcPr>
            <w:tcW w:w="11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jc w:val="center"/>
              <w:rPr>
                <w:rFonts w:ascii="Calibri" w:hAnsi="Calibri" w:cs="Calibri"/>
                <w:color w:val="000000"/>
                <w:sz w:val="16"/>
                <w:szCs w:val="16"/>
                <w:lang w:eastAsia="en-AU"/>
              </w:rPr>
            </w:pPr>
            <w:r w:rsidRPr="00745130">
              <w:rPr>
                <w:rFonts w:ascii="Calibri" w:hAnsi="Calibri" w:cs="Calibri"/>
                <w:color w:val="000000"/>
                <w:sz w:val="16"/>
                <w:szCs w:val="16"/>
                <w:lang w:eastAsia="en-AU"/>
              </w:rPr>
              <w:t>proxy</w:t>
            </w:r>
          </w:p>
        </w:tc>
        <w:tc>
          <w:tcPr>
            <w:tcW w:w="26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CRT 51-67 cm</w:t>
            </w:r>
          </w:p>
        </w:tc>
      </w:tr>
      <w:tr w:rsidR="00745130" w:rsidRPr="00745130" w:rsidTr="00745130">
        <w:trPr>
          <w:trHeight w:val="225"/>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8528.72.00 77</w:t>
            </w:r>
          </w:p>
        </w:tc>
        <w:tc>
          <w:tcPr>
            <w:tcW w:w="326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Clr TVs: CRT 51-67cm</w:t>
            </w:r>
          </w:p>
        </w:tc>
        <w:tc>
          <w:tcPr>
            <w:tcW w:w="11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jc w:val="center"/>
              <w:rPr>
                <w:rFonts w:ascii="Calibri" w:hAnsi="Calibri" w:cs="Calibri"/>
                <w:color w:val="000000"/>
                <w:sz w:val="16"/>
                <w:szCs w:val="16"/>
                <w:lang w:eastAsia="en-AU"/>
              </w:rPr>
            </w:pPr>
            <w:r w:rsidRPr="00745130">
              <w:rPr>
                <w:rFonts w:ascii="Calibri" w:hAnsi="Calibri" w:cs="Calibri"/>
                <w:color w:val="000000"/>
                <w:sz w:val="16"/>
                <w:szCs w:val="16"/>
                <w:lang w:eastAsia="en-AU"/>
              </w:rPr>
              <w:t>proxy</w:t>
            </w:r>
          </w:p>
        </w:tc>
        <w:tc>
          <w:tcPr>
            <w:tcW w:w="26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CRT 51-67 cm</w:t>
            </w:r>
          </w:p>
        </w:tc>
      </w:tr>
      <w:tr w:rsidR="00745130" w:rsidRPr="00745130" w:rsidTr="00745130">
        <w:trPr>
          <w:trHeight w:val="225"/>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8528.72.00 33</w:t>
            </w:r>
          </w:p>
        </w:tc>
        <w:tc>
          <w:tcPr>
            <w:tcW w:w="326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Clr TVs: CRT 68-78cm</w:t>
            </w:r>
          </w:p>
        </w:tc>
        <w:tc>
          <w:tcPr>
            <w:tcW w:w="11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jc w:val="center"/>
              <w:rPr>
                <w:rFonts w:ascii="Calibri" w:hAnsi="Calibri" w:cs="Calibri"/>
                <w:color w:val="000000"/>
                <w:sz w:val="16"/>
                <w:szCs w:val="16"/>
                <w:lang w:eastAsia="en-AU"/>
              </w:rPr>
            </w:pPr>
            <w:r w:rsidRPr="00745130">
              <w:rPr>
                <w:rFonts w:ascii="Calibri" w:hAnsi="Calibri" w:cs="Calibri"/>
                <w:color w:val="000000"/>
                <w:sz w:val="16"/>
                <w:szCs w:val="16"/>
                <w:lang w:eastAsia="en-AU"/>
              </w:rPr>
              <w:t>proxy</w:t>
            </w:r>
          </w:p>
        </w:tc>
        <w:tc>
          <w:tcPr>
            <w:tcW w:w="26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CRT 68-78 cm</w:t>
            </w:r>
          </w:p>
        </w:tc>
      </w:tr>
      <w:tr w:rsidR="00745130" w:rsidRPr="00745130" w:rsidTr="00745130">
        <w:trPr>
          <w:trHeight w:val="225"/>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8528.72.00 38</w:t>
            </w:r>
          </w:p>
        </w:tc>
        <w:tc>
          <w:tcPr>
            <w:tcW w:w="326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Clr TVs: CRT 68-78cm</w:t>
            </w:r>
          </w:p>
        </w:tc>
        <w:tc>
          <w:tcPr>
            <w:tcW w:w="11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jc w:val="center"/>
              <w:rPr>
                <w:rFonts w:ascii="Calibri" w:hAnsi="Calibri" w:cs="Calibri"/>
                <w:color w:val="000000"/>
                <w:sz w:val="16"/>
                <w:szCs w:val="16"/>
                <w:lang w:eastAsia="en-AU"/>
              </w:rPr>
            </w:pPr>
            <w:r w:rsidRPr="00745130">
              <w:rPr>
                <w:rFonts w:ascii="Calibri" w:hAnsi="Calibri" w:cs="Calibri"/>
                <w:color w:val="000000"/>
                <w:sz w:val="16"/>
                <w:szCs w:val="16"/>
                <w:lang w:eastAsia="en-AU"/>
              </w:rPr>
              <w:t>proxy</w:t>
            </w:r>
          </w:p>
        </w:tc>
        <w:tc>
          <w:tcPr>
            <w:tcW w:w="26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CRT 68-78 cm</w:t>
            </w:r>
          </w:p>
        </w:tc>
      </w:tr>
      <w:tr w:rsidR="00745130" w:rsidRPr="00745130" w:rsidTr="00745130">
        <w:trPr>
          <w:trHeight w:val="225"/>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8528.72.00 73</w:t>
            </w:r>
          </w:p>
        </w:tc>
        <w:tc>
          <w:tcPr>
            <w:tcW w:w="326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Clr TVs: CRT 68-78cm</w:t>
            </w:r>
          </w:p>
        </w:tc>
        <w:tc>
          <w:tcPr>
            <w:tcW w:w="11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jc w:val="center"/>
              <w:rPr>
                <w:rFonts w:ascii="Calibri" w:hAnsi="Calibri" w:cs="Calibri"/>
                <w:color w:val="000000"/>
                <w:sz w:val="16"/>
                <w:szCs w:val="16"/>
                <w:lang w:eastAsia="en-AU"/>
              </w:rPr>
            </w:pPr>
            <w:r w:rsidRPr="00745130">
              <w:rPr>
                <w:rFonts w:ascii="Calibri" w:hAnsi="Calibri" w:cs="Calibri"/>
                <w:color w:val="000000"/>
                <w:sz w:val="16"/>
                <w:szCs w:val="16"/>
                <w:lang w:eastAsia="en-AU"/>
              </w:rPr>
              <w:t>data</w:t>
            </w:r>
          </w:p>
        </w:tc>
        <w:tc>
          <w:tcPr>
            <w:tcW w:w="26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 </w:t>
            </w:r>
          </w:p>
        </w:tc>
      </w:tr>
      <w:tr w:rsidR="00745130" w:rsidRPr="00745130" w:rsidTr="00745130">
        <w:trPr>
          <w:trHeight w:val="225"/>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8528.72.00 78</w:t>
            </w:r>
          </w:p>
        </w:tc>
        <w:tc>
          <w:tcPr>
            <w:tcW w:w="326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Clr TVs: CRT 68-78cm</w:t>
            </w:r>
          </w:p>
        </w:tc>
        <w:tc>
          <w:tcPr>
            <w:tcW w:w="11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jc w:val="center"/>
              <w:rPr>
                <w:rFonts w:ascii="Calibri" w:hAnsi="Calibri" w:cs="Calibri"/>
                <w:color w:val="000000"/>
                <w:sz w:val="16"/>
                <w:szCs w:val="16"/>
                <w:lang w:eastAsia="en-AU"/>
              </w:rPr>
            </w:pPr>
            <w:r w:rsidRPr="00745130">
              <w:rPr>
                <w:rFonts w:ascii="Calibri" w:hAnsi="Calibri" w:cs="Calibri"/>
                <w:color w:val="000000"/>
                <w:sz w:val="16"/>
                <w:szCs w:val="16"/>
                <w:lang w:eastAsia="en-AU"/>
              </w:rPr>
              <w:t>proxy</w:t>
            </w:r>
          </w:p>
        </w:tc>
        <w:tc>
          <w:tcPr>
            <w:tcW w:w="26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CRT 68-78 cm</w:t>
            </w:r>
          </w:p>
        </w:tc>
      </w:tr>
      <w:tr w:rsidR="00745130" w:rsidRPr="00745130" w:rsidTr="00745130">
        <w:trPr>
          <w:trHeight w:val="225"/>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8528.72.00 34</w:t>
            </w:r>
          </w:p>
        </w:tc>
        <w:tc>
          <w:tcPr>
            <w:tcW w:w="326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Clr TVs: CRT 79cm +</w:t>
            </w:r>
          </w:p>
        </w:tc>
        <w:tc>
          <w:tcPr>
            <w:tcW w:w="11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jc w:val="center"/>
              <w:rPr>
                <w:rFonts w:ascii="Calibri" w:hAnsi="Calibri" w:cs="Calibri"/>
                <w:color w:val="000000"/>
                <w:sz w:val="16"/>
                <w:szCs w:val="16"/>
                <w:lang w:eastAsia="en-AU"/>
              </w:rPr>
            </w:pPr>
            <w:r w:rsidRPr="00745130">
              <w:rPr>
                <w:rFonts w:ascii="Calibri" w:hAnsi="Calibri" w:cs="Calibri"/>
                <w:color w:val="000000"/>
                <w:sz w:val="16"/>
                <w:szCs w:val="16"/>
                <w:lang w:eastAsia="en-AU"/>
              </w:rPr>
              <w:t>proxy</w:t>
            </w:r>
          </w:p>
        </w:tc>
        <w:tc>
          <w:tcPr>
            <w:tcW w:w="26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CRT &gt; 79 cm</w:t>
            </w:r>
          </w:p>
        </w:tc>
      </w:tr>
      <w:tr w:rsidR="00745130" w:rsidRPr="00745130" w:rsidTr="00745130">
        <w:trPr>
          <w:trHeight w:val="225"/>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8528.72.00 39</w:t>
            </w:r>
          </w:p>
        </w:tc>
        <w:tc>
          <w:tcPr>
            <w:tcW w:w="326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Clr TVs: CRT 79cm +</w:t>
            </w:r>
          </w:p>
        </w:tc>
        <w:tc>
          <w:tcPr>
            <w:tcW w:w="11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jc w:val="center"/>
              <w:rPr>
                <w:rFonts w:ascii="Calibri" w:hAnsi="Calibri" w:cs="Calibri"/>
                <w:color w:val="000000"/>
                <w:sz w:val="16"/>
                <w:szCs w:val="16"/>
                <w:lang w:eastAsia="en-AU"/>
              </w:rPr>
            </w:pPr>
            <w:r w:rsidRPr="00745130">
              <w:rPr>
                <w:rFonts w:ascii="Calibri" w:hAnsi="Calibri" w:cs="Calibri"/>
                <w:color w:val="000000"/>
                <w:sz w:val="16"/>
                <w:szCs w:val="16"/>
                <w:lang w:eastAsia="en-AU"/>
              </w:rPr>
              <w:t>proxy</w:t>
            </w:r>
          </w:p>
        </w:tc>
        <w:tc>
          <w:tcPr>
            <w:tcW w:w="26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CRT &gt; 79 cm</w:t>
            </w:r>
          </w:p>
        </w:tc>
      </w:tr>
      <w:tr w:rsidR="00745130" w:rsidRPr="00745130" w:rsidTr="00745130">
        <w:trPr>
          <w:trHeight w:val="225"/>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8528.72.00 74</w:t>
            </w:r>
          </w:p>
        </w:tc>
        <w:tc>
          <w:tcPr>
            <w:tcW w:w="326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Clr TVs: CRT 79cm +</w:t>
            </w:r>
          </w:p>
        </w:tc>
        <w:tc>
          <w:tcPr>
            <w:tcW w:w="11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jc w:val="center"/>
              <w:rPr>
                <w:rFonts w:ascii="Calibri" w:hAnsi="Calibri" w:cs="Calibri"/>
                <w:color w:val="000000"/>
                <w:sz w:val="16"/>
                <w:szCs w:val="16"/>
                <w:lang w:eastAsia="en-AU"/>
              </w:rPr>
            </w:pPr>
            <w:r w:rsidRPr="00745130">
              <w:rPr>
                <w:rFonts w:ascii="Calibri" w:hAnsi="Calibri" w:cs="Calibri"/>
                <w:color w:val="000000"/>
                <w:sz w:val="16"/>
                <w:szCs w:val="16"/>
                <w:lang w:eastAsia="en-AU"/>
              </w:rPr>
              <w:t>proxy</w:t>
            </w:r>
          </w:p>
        </w:tc>
        <w:tc>
          <w:tcPr>
            <w:tcW w:w="26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CRT &gt; 79 cm</w:t>
            </w:r>
          </w:p>
        </w:tc>
      </w:tr>
      <w:tr w:rsidR="00745130" w:rsidRPr="00745130" w:rsidTr="00745130">
        <w:trPr>
          <w:trHeight w:val="225"/>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8528.72.00 79</w:t>
            </w:r>
          </w:p>
        </w:tc>
        <w:tc>
          <w:tcPr>
            <w:tcW w:w="326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Clr TVs: CRT 79cm +</w:t>
            </w:r>
          </w:p>
        </w:tc>
        <w:tc>
          <w:tcPr>
            <w:tcW w:w="11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jc w:val="center"/>
              <w:rPr>
                <w:rFonts w:ascii="Calibri" w:hAnsi="Calibri" w:cs="Calibri"/>
                <w:color w:val="000000"/>
                <w:sz w:val="16"/>
                <w:szCs w:val="16"/>
                <w:lang w:eastAsia="en-AU"/>
              </w:rPr>
            </w:pPr>
            <w:r w:rsidRPr="00745130">
              <w:rPr>
                <w:rFonts w:ascii="Calibri" w:hAnsi="Calibri" w:cs="Calibri"/>
                <w:color w:val="000000"/>
                <w:sz w:val="16"/>
                <w:szCs w:val="16"/>
                <w:lang w:eastAsia="en-AU"/>
              </w:rPr>
              <w:t>proxy</w:t>
            </w:r>
          </w:p>
        </w:tc>
        <w:tc>
          <w:tcPr>
            <w:tcW w:w="2620" w:type="dxa"/>
            <w:tcBorders>
              <w:top w:val="nil"/>
              <w:left w:val="nil"/>
              <w:bottom w:val="single" w:sz="4" w:space="0" w:color="auto"/>
              <w:right w:val="single" w:sz="4" w:space="0" w:color="auto"/>
            </w:tcBorders>
            <w:shd w:val="clear" w:color="auto" w:fill="auto"/>
            <w:vAlign w:val="center"/>
            <w:hideMark/>
          </w:tcPr>
          <w:p w:rsidR="00745130" w:rsidRPr="00745130" w:rsidRDefault="00745130" w:rsidP="00745130">
            <w:pPr>
              <w:rPr>
                <w:rFonts w:ascii="Calibri" w:hAnsi="Calibri" w:cs="Calibri"/>
                <w:color w:val="000000"/>
                <w:sz w:val="16"/>
                <w:szCs w:val="16"/>
                <w:lang w:eastAsia="en-AU"/>
              </w:rPr>
            </w:pPr>
            <w:r w:rsidRPr="00745130">
              <w:rPr>
                <w:rFonts w:ascii="Calibri" w:hAnsi="Calibri" w:cs="Calibri"/>
                <w:color w:val="000000"/>
                <w:sz w:val="16"/>
                <w:szCs w:val="16"/>
                <w:lang w:eastAsia="en-AU"/>
              </w:rPr>
              <w:t>CRT &gt; 79 cm</w:t>
            </w:r>
          </w:p>
        </w:tc>
      </w:tr>
    </w:tbl>
    <w:p w:rsidR="000B5964" w:rsidRDefault="000B5964">
      <w:pPr>
        <w:rPr>
          <w:rFonts w:ascii="Arial" w:hAnsi="Arial" w:cs="Arial"/>
          <w:b/>
          <w:bCs/>
          <w:color w:val="000000"/>
          <w:szCs w:val="22"/>
          <w:lang w:eastAsia="en-AU"/>
        </w:rPr>
      </w:pPr>
      <w:r>
        <w:rPr>
          <w:rFonts w:ascii="Arial" w:hAnsi="Arial" w:cs="Arial"/>
          <w:b/>
          <w:bCs/>
          <w:color w:val="000000"/>
          <w:szCs w:val="22"/>
          <w:lang w:eastAsia="en-AU"/>
        </w:rPr>
        <w:br w:type="page"/>
      </w:r>
    </w:p>
    <w:p w:rsidR="001A78F2" w:rsidRDefault="000B5964">
      <w:pPr>
        <w:rPr>
          <w:rFonts w:ascii="Arial" w:hAnsi="Arial" w:cs="Arial"/>
          <w:b/>
          <w:bCs/>
          <w:color w:val="000000"/>
          <w:szCs w:val="22"/>
          <w:lang w:eastAsia="en-AU"/>
        </w:rPr>
      </w:pPr>
      <w:r w:rsidRPr="008E266F">
        <w:rPr>
          <w:rFonts w:ascii="Arial" w:hAnsi="Arial" w:cs="Arial"/>
          <w:b/>
          <w:bCs/>
          <w:color w:val="000000"/>
          <w:szCs w:val="22"/>
          <w:lang w:eastAsia="en-AU"/>
        </w:rPr>
        <w:t xml:space="preserve">CTCN 8528.72.00 </w:t>
      </w:r>
      <w:r>
        <w:rPr>
          <w:rFonts w:ascii="Arial" w:hAnsi="Arial" w:cs="Arial"/>
          <w:b/>
          <w:bCs/>
          <w:color w:val="000000"/>
          <w:szCs w:val="22"/>
          <w:lang w:eastAsia="en-AU"/>
        </w:rPr>
        <w:t>–</w:t>
      </w:r>
      <w:r w:rsidRPr="008E266F">
        <w:rPr>
          <w:rFonts w:ascii="Arial" w:hAnsi="Arial" w:cs="Arial"/>
          <w:b/>
          <w:bCs/>
          <w:color w:val="000000"/>
          <w:szCs w:val="22"/>
          <w:lang w:eastAsia="en-AU"/>
        </w:rPr>
        <w:t xml:space="preserve"> </w:t>
      </w:r>
      <w:r>
        <w:rPr>
          <w:rFonts w:ascii="Arial" w:hAnsi="Arial" w:cs="Arial"/>
          <w:b/>
          <w:bCs/>
          <w:color w:val="000000"/>
          <w:szCs w:val="22"/>
          <w:lang w:eastAsia="en-AU"/>
        </w:rPr>
        <w:t xml:space="preserve">other </w:t>
      </w:r>
      <w:r w:rsidRPr="008E266F">
        <w:rPr>
          <w:rFonts w:ascii="Arial" w:hAnsi="Arial" w:cs="Arial"/>
          <w:b/>
          <w:bCs/>
          <w:color w:val="000000"/>
          <w:szCs w:val="22"/>
          <w:lang w:eastAsia="en-AU"/>
        </w:rPr>
        <w:t>Clr TVs</w:t>
      </w:r>
    </w:p>
    <w:p w:rsidR="000B5964" w:rsidRDefault="000B5964" w:rsidP="000B5964">
      <w:pPr>
        <w:rPr>
          <w:rFonts w:ascii="Arial" w:hAnsi="Arial" w:cs="Arial"/>
          <w:b/>
          <w:bCs/>
          <w:color w:val="000000"/>
          <w:szCs w:val="22"/>
          <w:lang w:eastAsia="en-AU"/>
        </w:rPr>
      </w:pPr>
    </w:p>
    <w:p w:rsidR="000B5964" w:rsidRPr="00AC1355" w:rsidRDefault="002652C5" w:rsidP="00AC1355">
      <w:pPr>
        <w:pStyle w:val="Caption"/>
        <w:keepNext/>
      </w:pPr>
      <w:r>
        <w:t>Figure 5-5</w:t>
      </w:r>
      <w:r w:rsidR="00CB58FA">
        <w:t>7</w:t>
      </w:r>
      <w:r>
        <w:t xml:space="preserve">     </w:t>
      </w:r>
      <w:r w:rsidR="000B5964">
        <w:t xml:space="preserve"> </w:t>
      </w:r>
      <w:r w:rsidR="00AC1355">
        <w:t>CTCN frequency distribution in CF year</w:t>
      </w:r>
    </w:p>
    <w:p w:rsidR="000B5964" w:rsidRDefault="000B5964">
      <w:pPr>
        <w:rPr>
          <w:szCs w:val="22"/>
        </w:rPr>
      </w:pPr>
      <w:r w:rsidRPr="000B5964">
        <w:rPr>
          <w:noProof/>
          <w:szCs w:val="22"/>
          <w:lang w:eastAsia="en-AU"/>
        </w:rPr>
        <w:drawing>
          <wp:inline distT="0" distB="0" distL="0" distR="0">
            <wp:extent cx="4889500" cy="2984500"/>
            <wp:effectExtent l="19050" t="0" r="25400"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DE3252" w:rsidRDefault="00DE3252" w:rsidP="000941E0">
      <w:pPr>
        <w:jc w:val="both"/>
        <w:rPr>
          <w:szCs w:val="22"/>
        </w:rPr>
      </w:pPr>
    </w:p>
    <w:p w:rsidR="00B81223" w:rsidRPr="000B5964" w:rsidRDefault="00207129" w:rsidP="000B5964">
      <w:pPr>
        <w:pStyle w:val="Caption"/>
      </w:pPr>
      <w:r>
        <w:t>Table 5-4</w:t>
      </w:r>
      <w:r w:rsidR="00745130">
        <w:t>8</w:t>
      </w:r>
      <w:r>
        <w:t xml:space="preserve">   </w:t>
      </w:r>
      <w:r w:rsidR="000B5964">
        <w:t xml:space="preserve"> Conversion factor statistics</w:t>
      </w:r>
    </w:p>
    <w:tbl>
      <w:tblPr>
        <w:tblW w:w="7260" w:type="dxa"/>
        <w:tblInd w:w="93" w:type="dxa"/>
        <w:tblLook w:val="04A0"/>
      </w:tblPr>
      <w:tblGrid>
        <w:gridCol w:w="1660"/>
        <w:gridCol w:w="1120"/>
        <w:gridCol w:w="1120"/>
        <w:gridCol w:w="1120"/>
        <w:gridCol w:w="1120"/>
        <w:gridCol w:w="1120"/>
      </w:tblGrid>
      <w:tr w:rsidR="008E266F" w:rsidRPr="008E266F">
        <w:trPr>
          <w:trHeight w:val="450"/>
        </w:trPr>
        <w:tc>
          <w:tcPr>
            <w:tcW w:w="1660" w:type="dxa"/>
            <w:tcBorders>
              <w:top w:val="single" w:sz="4" w:space="0" w:color="auto"/>
              <w:left w:val="single" w:sz="4" w:space="0" w:color="auto"/>
              <w:bottom w:val="single" w:sz="4" w:space="0" w:color="auto"/>
              <w:right w:val="single" w:sz="4" w:space="0" w:color="auto"/>
            </w:tcBorders>
            <w:shd w:val="clear" w:color="000000" w:fill="D8D8D8"/>
            <w:vAlign w:val="center"/>
          </w:tcPr>
          <w:p w:rsidR="008E266F" w:rsidRPr="008E266F" w:rsidRDefault="008E266F" w:rsidP="008E266F">
            <w:pPr>
              <w:jc w:val="center"/>
              <w:rPr>
                <w:rFonts w:ascii="Calibri" w:hAnsi="Calibri" w:cs="Calibri"/>
                <w:color w:val="000000"/>
                <w:sz w:val="16"/>
                <w:szCs w:val="16"/>
                <w:lang w:eastAsia="en-AU"/>
              </w:rPr>
            </w:pPr>
            <w:r w:rsidRPr="008E266F">
              <w:rPr>
                <w:rFonts w:ascii="Calibri" w:hAnsi="Calibri" w:cs="Calibri"/>
                <w:color w:val="000000"/>
                <w:sz w:val="16"/>
                <w:szCs w:val="16"/>
                <w:lang w:eastAsia="en-AU"/>
              </w:rPr>
              <w:t>CF year</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8E266F" w:rsidRPr="008E266F" w:rsidRDefault="008E266F" w:rsidP="008E266F">
            <w:pPr>
              <w:jc w:val="center"/>
              <w:rPr>
                <w:rFonts w:ascii="Calibri" w:hAnsi="Calibri" w:cs="Calibri"/>
                <w:color w:val="000000"/>
                <w:sz w:val="16"/>
                <w:szCs w:val="16"/>
                <w:lang w:eastAsia="en-AU"/>
              </w:rPr>
            </w:pPr>
            <w:r w:rsidRPr="008E266F">
              <w:rPr>
                <w:rFonts w:ascii="Calibri" w:hAnsi="Calibri" w:cs="Calibri"/>
                <w:color w:val="000000"/>
                <w:sz w:val="16"/>
                <w:szCs w:val="16"/>
                <w:lang w:eastAsia="en-AU"/>
              </w:rPr>
              <w:t>No. of ABS imports</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8E266F" w:rsidRPr="008E266F" w:rsidRDefault="008E266F" w:rsidP="008E266F">
            <w:pPr>
              <w:jc w:val="center"/>
              <w:rPr>
                <w:rFonts w:ascii="Calibri" w:hAnsi="Calibri" w:cs="Calibri"/>
                <w:color w:val="000000"/>
                <w:sz w:val="16"/>
                <w:szCs w:val="16"/>
                <w:lang w:eastAsia="en-AU"/>
              </w:rPr>
            </w:pPr>
            <w:r w:rsidRPr="008E266F">
              <w:rPr>
                <w:rFonts w:ascii="Calibri" w:hAnsi="Calibri" w:cs="Calibri"/>
                <w:color w:val="000000"/>
                <w:sz w:val="16"/>
                <w:szCs w:val="16"/>
                <w:lang w:eastAsia="en-AU"/>
              </w:rPr>
              <w:t>% ABS imports included</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8E266F" w:rsidRPr="008E266F" w:rsidRDefault="008E266F" w:rsidP="008E266F">
            <w:pPr>
              <w:jc w:val="center"/>
              <w:rPr>
                <w:rFonts w:ascii="Calibri" w:hAnsi="Calibri" w:cs="Calibri"/>
                <w:color w:val="000000"/>
                <w:sz w:val="16"/>
                <w:szCs w:val="16"/>
                <w:lang w:eastAsia="en-AU"/>
              </w:rPr>
            </w:pPr>
            <w:r w:rsidRPr="008E266F">
              <w:rPr>
                <w:rFonts w:ascii="Calibri" w:hAnsi="Calibri" w:cs="Calibri"/>
                <w:color w:val="000000"/>
                <w:sz w:val="16"/>
                <w:szCs w:val="16"/>
                <w:lang w:eastAsia="en-AU"/>
              </w:rPr>
              <w:t>Min weight</w:t>
            </w:r>
            <w:r w:rsidRPr="008E266F">
              <w:rPr>
                <w:rFonts w:ascii="Calibri" w:hAnsi="Calibri" w:cs="Calibri"/>
                <w:color w:val="000000"/>
                <w:sz w:val="16"/>
                <w:szCs w:val="16"/>
                <w:lang w:eastAsia="en-AU"/>
              </w:rPr>
              <w:br/>
              <w:t>(kg)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8E266F" w:rsidRPr="008E266F" w:rsidRDefault="008E266F" w:rsidP="008E266F">
            <w:pPr>
              <w:jc w:val="center"/>
              <w:rPr>
                <w:rFonts w:ascii="Calibri" w:hAnsi="Calibri" w:cs="Calibri"/>
                <w:color w:val="000000"/>
                <w:sz w:val="16"/>
                <w:szCs w:val="16"/>
                <w:lang w:eastAsia="en-AU"/>
              </w:rPr>
            </w:pPr>
            <w:r w:rsidRPr="008E266F">
              <w:rPr>
                <w:rFonts w:ascii="Calibri" w:hAnsi="Calibri" w:cs="Calibri"/>
                <w:color w:val="000000"/>
                <w:sz w:val="16"/>
                <w:szCs w:val="16"/>
                <w:lang w:eastAsia="en-AU"/>
              </w:rPr>
              <w:t>Max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8E266F" w:rsidRPr="008E266F" w:rsidRDefault="008E266F" w:rsidP="008E266F">
            <w:pPr>
              <w:jc w:val="center"/>
              <w:rPr>
                <w:rFonts w:ascii="Calibri" w:hAnsi="Calibri" w:cs="Calibri"/>
                <w:color w:val="000000"/>
                <w:sz w:val="16"/>
                <w:szCs w:val="16"/>
                <w:lang w:eastAsia="en-AU"/>
              </w:rPr>
            </w:pPr>
            <w:r w:rsidRPr="008E266F">
              <w:rPr>
                <w:rFonts w:ascii="Calibri" w:hAnsi="Calibri" w:cs="Calibri"/>
                <w:color w:val="000000"/>
                <w:sz w:val="16"/>
                <w:szCs w:val="16"/>
                <w:lang w:eastAsia="en-AU"/>
              </w:rPr>
              <w:t>Standard deviation</w:t>
            </w:r>
          </w:p>
        </w:tc>
      </w:tr>
      <w:tr w:rsidR="008E266F" w:rsidRPr="008E266F">
        <w:trPr>
          <w:trHeight w:val="225"/>
        </w:trPr>
        <w:tc>
          <w:tcPr>
            <w:tcW w:w="1660" w:type="dxa"/>
            <w:tcBorders>
              <w:top w:val="nil"/>
              <w:left w:val="single" w:sz="4" w:space="0" w:color="auto"/>
              <w:bottom w:val="single" w:sz="4" w:space="0" w:color="auto"/>
              <w:right w:val="single" w:sz="4" w:space="0" w:color="auto"/>
            </w:tcBorders>
            <w:shd w:val="clear" w:color="auto" w:fill="auto"/>
            <w:noWrap/>
            <w:vAlign w:val="center"/>
          </w:tcPr>
          <w:p w:rsidR="008E266F" w:rsidRPr="008E266F" w:rsidRDefault="008E266F" w:rsidP="008E266F">
            <w:pPr>
              <w:jc w:val="center"/>
              <w:rPr>
                <w:rFonts w:ascii="Calibri" w:hAnsi="Calibri" w:cs="Calibri"/>
                <w:color w:val="000000"/>
                <w:sz w:val="16"/>
                <w:szCs w:val="16"/>
                <w:lang w:eastAsia="en-AU"/>
              </w:rPr>
            </w:pPr>
            <w:r w:rsidRPr="008E266F">
              <w:rPr>
                <w:rFonts w:ascii="Calibri" w:hAnsi="Calibri" w:cs="Calibri"/>
                <w:color w:val="000000"/>
                <w:sz w:val="16"/>
                <w:szCs w:val="16"/>
                <w:lang w:eastAsia="en-AU"/>
              </w:rPr>
              <w:t>2010-11</w:t>
            </w:r>
          </w:p>
        </w:tc>
        <w:tc>
          <w:tcPr>
            <w:tcW w:w="1120" w:type="dxa"/>
            <w:tcBorders>
              <w:top w:val="nil"/>
              <w:left w:val="nil"/>
              <w:bottom w:val="single" w:sz="4" w:space="0" w:color="auto"/>
              <w:right w:val="single" w:sz="4" w:space="0" w:color="auto"/>
            </w:tcBorders>
            <w:shd w:val="clear" w:color="auto" w:fill="auto"/>
            <w:noWrap/>
            <w:vAlign w:val="center"/>
          </w:tcPr>
          <w:p w:rsidR="008E266F" w:rsidRPr="008E266F" w:rsidRDefault="008E266F" w:rsidP="008E266F">
            <w:pPr>
              <w:jc w:val="center"/>
              <w:rPr>
                <w:rFonts w:ascii="Calibri" w:hAnsi="Calibri" w:cs="Calibri"/>
                <w:color w:val="000000"/>
                <w:sz w:val="16"/>
                <w:szCs w:val="16"/>
                <w:lang w:eastAsia="en-AU"/>
              </w:rPr>
            </w:pPr>
            <w:r w:rsidRPr="008E266F">
              <w:rPr>
                <w:rFonts w:ascii="Calibri" w:hAnsi="Calibri" w:cs="Calibri"/>
                <w:color w:val="000000"/>
                <w:sz w:val="16"/>
                <w:szCs w:val="16"/>
                <w:lang w:eastAsia="en-AU"/>
              </w:rPr>
              <w:t>3,916,947</w:t>
            </w:r>
          </w:p>
        </w:tc>
        <w:tc>
          <w:tcPr>
            <w:tcW w:w="1120" w:type="dxa"/>
            <w:tcBorders>
              <w:top w:val="nil"/>
              <w:left w:val="nil"/>
              <w:bottom w:val="single" w:sz="4" w:space="0" w:color="auto"/>
              <w:right w:val="single" w:sz="4" w:space="0" w:color="auto"/>
            </w:tcBorders>
            <w:shd w:val="clear" w:color="auto" w:fill="auto"/>
            <w:noWrap/>
            <w:vAlign w:val="center"/>
          </w:tcPr>
          <w:p w:rsidR="008E266F" w:rsidRPr="008E266F" w:rsidRDefault="008E266F" w:rsidP="008E266F">
            <w:pPr>
              <w:jc w:val="center"/>
              <w:rPr>
                <w:rFonts w:ascii="Calibri" w:hAnsi="Calibri" w:cs="Calibri"/>
                <w:color w:val="000000"/>
                <w:sz w:val="16"/>
                <w:szCs w:val="16"/>
                <w:lang w:eastAsia="en-AU"/>
              </w:rPr>
            </w:pPr>
            <w:r w:rsidRPr="008E266F">
              <w:rPr>
                <w:rFonts w:ascii="Calibri" w:hAnsi="Calibri" w:cs="Calibri"/>
                <w:color w:val="000000"/>
                <w:sz w:val="16"/>
                <w:szCs w:val="16"/>
                <w:lang w:eastAsia="en-AU"/>
              </w:rPr>
              <w:t>39%</w:t>
            </w:r>
          </w:p>
        </w:tc>
        <w:tc>
          <w:tcPr>
            <w:tcW w:w="1120" w:type="dxa"/>
            <w:tcBorders>
              <w:top w:val="nil"/>
              <w:left w:val="nil"/>
              <w:bottom w:val="single" w:sz="4" w:space="0" w:color="auto"/>
              <w:right w:val="single" w:sz="4" w:space="0" w:color="auto"/>
            </w:tcBorders>
            <w:shd w:val="clear" w:color="auto" w:fill="auto"/>
            <w:noWrap/>
            <w:vAlign w:val="center"/>
          </w:tcPr>
          <w:p w:rsidR="008E266F" w:rsidRPr="008E266F" w:rsidRDefault="008E266F" w:rsidP="008E266F">
            <w:pPr>
              <w:jc w:val="center"/>
              <w:rPr>
                <w:rFonts w:ascii="Calibri" w:hAnsi="Calibri" w:cs="Calibri"/>
                <w:color w:val="000000"/>
                <w:sz w:val="16"/>
                <w:szCs w:val="16"/>
                <w:lang w:eastAsia="en-AU"/>
              </w:rPr>
            </w:pPr>
            <w:r w:rsidRPr="008E266F">
              <w:rPr>
                <w:rFonts w:ascii="Calibri" w:hAnsi="Calibri" w:cs="Calibri"/>
                <w:color w:val="000000"/>
                <w:sz w:val="16"/>
                <w:szCs w:val="16"/>
                <w:lang w:eastAsia="en-AU"/>
              </w:rPr>
              <w:t>3.4</w:t>
            </w:r>
          </w:p>
        </w:tc>
        <w:tc>
          <w:tcPr>
            <w:tcW w:w="1120" w:type="dxa"/>
            <w:tcBorders>
              <w:top w:val="nil"/>
              <w:left w:val="nil"/>
              <w:bottom w:val="single" w:sz="4" w:space="0" w:color="auto"/>
              <w:right w:val="single" w:sz="4" w:space="0" w:color="auto"/>
            </w:tcBorders>
            <w:shd w:val="clear" w:color="auto" w:fill="auto"/>
            <w:noWrap/>
            <w:vAlign w:val="center"/>
          </w:tcPr>
          <w:p w:rsidR="008E266F" w:rsidRPr="008E266F" w:rsidRDefault="00B8498B" w:rsidP="00B8498B">
            <w:pPr>
              <w:jc w:val="center"/>
              <w:rPr>
                <w:rFonts w:ascii="Calibri" w:hAnsi="Calibri" w:cs="Calibri"/>
                <w:color w:val="000000"/>
                <w:sz w:val="16"/>
                <w:szCs w:val="16"/>
                <w:lang w:eastAsia="en-AU"/>
              </w:rPr>
            </w:pPr>
            <w:r>
              <w:rPr>
                <w:rFonts w:ascii="Calibri" w:hAnsi="Calibri" w:cs="Calibri"/>
                <w:color w:val="000000"/>
                <w:sz w:val="16"/>
                <w:szCs w:val="16"/>
                <w:lang w:eastAsia="en-AU"/>
              </w:rPr>
              <w:t>58.3</w:t>
            </w:r>
          </w:p>
        </w:tc>
        <w:tc>
          <w:tcPr>
            <w:tcW w:w="1120" w:type="dxa"/>
            <w:tcBorders>
              <w:top w:val="nil"/>
              <w:left w:val="nil"/>
              <w:bottom w:val="single" w:sz="4" w:space="0" w:color="auto"/>
              <w:right w:val="single" w:sz="4" w:space="0" w:color="auto"/>
            </w:tcBorders>
            <w:shd w:val="clear" w:color="auto" w:fill="auto"/>
            <w:noWrap/>
            <w:vAlign w:val="center"/>
          </w:tcPr>
          <w:p w:rsidR="008E266F" w:rsidRPr="008E266F" w:rsidRDefault="008E266F" w:rsidP="008E266F">
            <w:pPr>
              <w:jc w:val="center"/>
              <w:rPr>
                <w:rFonts w:ascii="Calibri" w:hAnsi="Calibri" w:cs="Calibri"/>
                <w:color w:val="000000"/>
                <w:sz w:val="16"/>
                <w:szCs w:val="16"/>
                <w:lang w:eastAsia="en-AU"/>
              </w:rPr>
            </w:pPr>
            <w:r w:rsidRPr="008E266F">
              <w:rPr>
                <w:rFonts w:ascii="Calibri" w:hAnsi="Calibri" w:cs="Calibri"/>
                <w:color w:val="000000"/>
                <w:sz w:val="16"/>
                <w:szCs w:val="16"/>
                <w:lang w:eastAsia="en-AU"/>
              </w:rPr>
              <w:t>0.2</w:t>
            </w:r>
          </w:p>
        </w:tc>
      </w:tr>
      <w:tr w:rsidR="008E266F" w:rsidRPr="008E266F">
        <w:trPr>
          <w:trHeight w:val="225"/>
        </w:trPr>
        <w:tc>
          <w:tcPr>
            <w:tcW w:w="1660" w:type="dxa"/>
            <w:tcBorders>
              <w:top w:val="nil"/>
              <w:left w:val="nil"/>
              <w:bottom w:val="nil"/>
              <w:right w:val="nil"/>
            </w:tcBorders>
            <w:shd w:val="clear" w:color="auto" w:fill="auto"/>
            <w:noWrap/>
            <w:vAlign w:val="bottom"/>
          </w:tcPr>
          <w:p w:rsidR="008E266F" w:rsidRPr="008E266F" w:rsidRDefault="008E266F" w:rsidP="008E266F">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8E266F" w:rsidRPr="008E266F" w:rsidRDefault="008E266F" w:rsidP="008E266F">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8E266F" w:rsidRPr="008E266F" w:rsidRDefault="008E266F" w:rsidP="008E266F">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8E266F" w:rsidRPr="008E266F" w:rsidRDefault="008E266F" w:rsidP="008E266F">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8E266F" w:rsidRPr="008E266F" w:rsidRDefault="008E266F" w:rsidP="008E266F">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8E266F" w:rsidRPr="008E266F" w:rsidRDefault="008E266F" w:rsidP="008E266F">
            <w:pPr>
              <w:rPr>
                <w:rFonts w:ascii="Calibri" w:hAnsi="Calibri" w:cs="Calibri"/>
                <w:color w:val="000000"/>
                <w:sz w:val="16"/>
                <w:szCs w:val="16"/>
                <w:lang w:eastAsia="en-AU"/>
              </w:rPr>
            </w:pPr>
          </w:p>
        </w:tc>
      </w:tr>
      <w:tr w:rsidR="008E266F" w:rsidRPr="008E266F">
        <w:trPr>
          <w:trHeight w:val="450"/>
        </w:trPr>
        <w:tc>
          <w:tcPr>
            <w:tcW w:w="1660" w:type="dxa"/>
            <w:tcBorders>
              <w:top w:val="single" w:sz="4" w:space="0" w:color="auto"/>
              <w:left w:val="single" w:sz="4" w:space="0" w:color="auto"/>
              <w:bottom w:val="nil"/>
              <w:right w:val="single" w:sz="4" w:space="0" w:color="auto"/>
            </w:tcBorders>
            <w:shd w:val="clear" w:color="000000" w:fill="D8D8D8"/>
            <w:vAlign w:val="center"/>
          </w:tcPr>
          <w:p w:rsidR="008E266F" w:rsidRPr="008E266F" w:rsidRDefault="008E266F" w:rsidP="008E266F">
            <w:pPr>
              <w:jc w:val="center"/>
              <w:rPr>
                <w:rFonts w:ascii="Calibri" w:hAnsi="Calibri" w:cs="Calibri"/>
                <w:color w:val="000000"/>
                <w:sz w:val="16"/>
                <w:szCs w:val="16"/>
                <w:lang w:eastAsia="en-AU"/>
              </w:rPr>
            </w:pPr>
            <w:r w:rsidRPr="008E266F">
              <w:rPr>
                <w:rFonts w:ascii="Calibri" w:hAnsi="Calibri" w:cs="Calibri"/>
                <w:color w:val="000000"/>
                <w:sz w:val="16"/>
                <w:szCs w:val="16"/>
                <w:lang w:eastAsia="en-AU"/>
              </w:rPr>
              <w:t>Method</w:t>
            </w:r>
          </w:p>
        </w:tc>
        <w:tc>
          <w:tcPr>
            <w:tcW w:w="1120" w:type="dxa"/>
            <w:tcBorders>
              <w:top w:val="single" w:sz="4" w:space="0" w:color="auto"/>
              <w:left w:val="nil"/>
              <w:bottom w:val="nil"/>
              <w:right w:val="single" w:sz="4" w:space="0" w:color="auto"/>
            </w:tcBorders>
            <w:shd w:val="clear" w:color="000000" w:fill="D8D8D8"/>
            <w:vAlign w:val="center"/>
          </w:tcPr>
          <w:p w:rsidR="008E266F" w:rsidRPr="008E266F" w:rsidRDefault="008E266F" w:rsidP="008E266F">
            <w:pPr>
              <w:jc w:val="center"/>
              <w:rPr>
                <w:rFonts w:ascii="Calibri" w:hAnsi="Calibri" w:cs="Calibri"/>
                <w:color w:val="000000"/>
                <w:sz w:val="16"/>
                <w:szCs w:val="16"/>
                <w:lang w:eastAsia="en-AU"/>
              </w:rPr>
            </w:pPr>
            <w:r w:rsidRPr="008E266F">
              <w:rPr>
                <w:rFonts w:ascii="Calibri" w:hAnsi="Calibri" w:cs="Calibri"/>
                <w:color w:val="000000"/>
                <w:sz w:val="16"/>
                <w:szCs w:val="16"/>
                <w:lang w:eastAsia="en-AU"/>
              </w:rPr>
              <w:t>Measure of average</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8E266F" w:rsidRPr="008E266F" w:rsidRDefault="008E266F" w:rsidP="008E266F">
            <w:pPr>
              <w:jc w:val="center"/>
              <w:rPr>
                <w:rFonts w:ascii="Calibri" w:hAnsi="Calibri" w:cs="Calibri"/>
                <w:color w:val="000000"/>
                <w:sz w:val="16"/>
                <w:szCs w:val="16"/>
                <w:lang w:eastAsia="en-AU"/>
              </w:rPr>
            </w:pPr>
            <w:r w:rsidRPr="008E266F">
              <w:rPr>
                <w:rFonts w:ascii="Calibri" w:hAnsi="Calibri" w:cs="Calibri"/>
                <w:color w:val="000000"/>
                <w:sz w:val="16"/>
                <w:szCs w:val="16"/>
                <w:lang w:eastAsia="en-AU"/>
              </w:rPr>
              <w:t>Average weight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8E266F" w:rsidRPr="008E266F" w:rsidRDefault="008E266F" w:rsidP="008E266F">
            <w:pPr>
              <w:jc w:val="center"/>
              <w:rPr>
                <w:rFonts w:ascii="Calibri" w:hAnsi="Calibri" w:cs="Calibri"/>
                <w:color w:val="000000"/>
                <w:sz w:val="16"/>
                <w:szCs w:val="16"/>
                <w:lang w:eastAsia="en-AU"/>
              </w:rPr>
            </w:pPr>
            <w:r w:rsidRPr="008E266F">
              <w:rPr>
                <w:rFonts w:ascii="Calibri" w:hAnsi="Calibri" w:cs="Calibri"/>
                <w:color w:val="000000"/>
                <w:sz w:val="16"/>
                <w:szCs w:val="16"/>
                <w:lang w:eastAsia="en-AU"/>
              </w:rPr>
              <w:t>Lower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8E266F" w:rsidRPr="008E266F" w:rsidRDefault="008E266F" w:rsidP="008E266F">
            <w:pPr>
              <w:jc w:val="center"/>
              <w:rPr>
                <w:rFonts w:ascii="Calibri" w:hAnsi="Calibri" w:cs="Calibri"/>
                <w:color w:val="000000"/>
                <w:sz w:val="16"/>
                <w:szCs w:val="16"/>
                <w:lang w:eastAsia="en-AU"/>
              </w:rPr>
            </w:pPr>
            <w:r w:rsidRPr="008E266F">
              <w:rPr>
                <w:rFonts w:ascii="Calibri" w:hAnsi="Calibri" w:cs="Calibri"/>
                <w:color w:val="000000"/>
                <w:sz w:val="16"/>
                <w:szCs w:val="16"/>
                <w:lang w:eastAsia="en-AU"/>
              </w:rPr>
              <w:t>Upper limit (kg)</w:t>
            </w:r>
          </w:p>
        </w:tc>
        <w:tc>
          <w:tcPr>
            <w:tcW w:w="1120" w:type="dxa"/>
            <w:tcBorders>
              <w:top w:val="single" w:sz="4" w:space="0" w:color="auto"/>
              <w:left w:val="nil"/>
              <w:bottom w:val="single" w:sz="4" w:space="0" w:color="auto"/>
              <w:right w:val="single" w:sz="4" w:space="0" w:color="auto"/>
            </w:tcBorders>
            <w:shd w:val="clear" w:color="000000" w:fill="D8D8D8"/>
            <w:vAlign w:val="center"/>
          </w:tcPr>
          <w:p w:rsidR="008E266F" w:rsidRPr="008E266F" w:rsidRDefault="008E266F" w:rsidP="008E266F">
            <w:pPr>
              <w:jc w:val="center"/>
              <w:rPr>
                <w:rFonts w:ascii="Calibri" w:hAnsi="Calibri" w:cs="Calibri"/>
                <w:color w:val="000000"/>
                <w:sz w:val="16"/>
                <w:szCs w:val="16"/>
                <w:lang w:eastAsia="en-AU"/>
              </w:rPr>
            </w:pPr>
            <w:r w:rsidRPr="008E266F">
              <w:rPr>
                <w:rFonts w:ascii="Calibri" w:hAnsi="Calibri" w:cs="Calibri"/>
                <w:color w:val="000000"/>
                <w:sz w:val="16"/>
                <w:szCs w:val="16"/>
                <w:lang w:eastAsia="en-AU"/>
              </w:rPr>
              <w:t>Confidence interval ± (kg)</w:t>
            </w:r>
          </w:p>
        </w:tc>
      </w:tr>
      <w:tr w:rsidR="008E266F" w:rsidRPr="008E266F">
        <w:trPr>
          <w:trHeight w:val="48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8E266F" w:rsidRPr="008E266F" w:rsidRDefault="008E266F" w:rsidP="008E266F">
            <w:pPr>
              <w:jc w:val="center"/>
              <w:rPr>
                <w:rFonts w:ascii="Calibri" w:hAnsi="Calibri" w:cs="Calibri"/>
                <w:color w:val="000000"/>
                <w:sz w:val="16"/>
                <w:szCs w:val="16"/>
                <w:lang w:eastAsia="en-AU"/>
              </w:rPr>
            </w:pPr>
            <w:r w:rsidRPr="008E266F">
              <w:rPr>
                <w:rFonts w:ascii="Calibri" w:hAnsi="Calibri" w:cs="Calibri"/>
                <w:color w:val="000000"/>
                <w:sz w:val="16"/>
                <w:szCs w:val="16"/>
                <w:lang w:eastAsia="en-AU"/>
              </w:rPr>
              <w:t>Approximation to the normal distribution</w:t>
            </w:r>
          </w:p>
        </w:tc>
        <w:tc>
          <w:tcPr>
            <w:tcW w:w="1120" w:type="dxa"/>
            <w:tcBorders>
              <w:top w:val="single" w:sz="4" w:space="0" w:color="auto"/>
              <w:left w:val="nil"/>
              <w:bottom w:val="single" w:sz="4" w:space="0" w:color="auto"/>
              <w:right w:val="single" w:sz="4" w:space="0" w:color="auto"/>
            </w:tcBorders>
            <w:shd w:val="clear" w:color="auto" w:fill="auto"/>
            <w:vAlign w:val="center"/>
          </w:tcPr>
          <w:p w:rsidR="008E266F" w:rsidRPr="008E266F" w:rsidRDefault="008E266F" w:rsidP="008E266F">
            <w:pPr>
              <w:jc w:val="center"/>
              <w:rPr>
                <w:rFonts w:ascii="Calibri" w:hAnsi="Calibri" w:cs="Calibri"/>
                <w:color w:val="000000"/>
                <w:sz w:val="16"/>
                <w:szCs w:val="16"/>
                <w:lang w:eastAsia="en-AU"/>
              </w:rPr>
            </w:pPr>
            <w:r w:rsidRPr="008E266F">
              <w:rPr>
                <w:rFonts w:ascii="Calibri" w:hAnsi="Calibri" w:cs="Calibri"/>
                <w:color w:val="000000"/>
                <w:sz w:val="16"/>
                <w:szCs w:val="16"/>
                <w:lang w:eastAsia="en-AU"/>
              </w:rPr>
              <w:t>Mean</w:t>
            </w:r>
          </w:p>
        </w:tc>
        <w:tc>
          <w:tcPr>
            <w:tcW w:w="1120" w:type="dxa"/>
            <w:tcBorders>
              <w:top w:val="nil"/>
              <w:left w:val="nil"/>
              <w:bottom w:val="single" w:sz="4" w:space="0" w:color="auto"/>
              <w:right w:val="single" w:sz="4" w:space="0" w:color="auto"/>
            </w:tcBorders>
            <w:shd w:val="clear" w:color="auto" w:fill="auto"/>
            <w:noWrap/>
            <w:vAlign w:val="center"/>
          </w:tcPr>
          <w:p w:rsidR="008E266F" w:rsidRPr="008E266F" w:rsidRDefault="008E266F" w:rsidP="008E266F">
            <w:pPr>
              <w:jc w:val="center"/>
              <w:rPr>
                <w:rFonts w:ascii="Calibri" w:hAnsi="Calibri" w:cs="Calibri"/>
                <w:color w:val="000000"/>
                <w:sz w:val="16"/>
                <w:szCs w:val="16"/>
                <w:lang w:eastAsia="en-AU"/>
              </w:rPr>
            </w:pPr>
            <w:r w:rsidRPr="008E266F">
              <w:rPr>
                <w:rFonts w:ascii="Calibri" w:hAnsi="Calibri" w:cs="Calibri"/>
                <w:color w:val="000000"/>
                <w:sz w:val="16"/>
                <w:szCs w:val="16"/>
                <w:lang w:eastAsia="en-AU"/>
              </w:rPr>
              <w:t>20.6</w:t>
            </w:r>
          </w:p>
        </w:tc>
        <w:tc>
          <w:tcPr>
            <w:tcW w:w="1120" w:type="dxa"/>
            <w:tcBorders>
              <w:top w:val="nil"/>
              <w:left w:val="nil"/>
              <w:bottom w:val="single" w:sz="4" w:space="0" w:color="auto"/>
              <w:right w:val="single" w:sz="4" w:space="0" w:color="auto"/>
            </w:tcBorders>
            <w:shd w:val="clear" w:color="auto" w:fill="auto"/>
            <w:noWrap/>
            <w:vAlign w:val="center"/>
          </w:tcPr>
          <w:p w:rsidR="008E266F" w:rsidRPr="008E266F" w:rsidRDefault="008E266F" w:rsidP="008E266F">
            <w:pPr>
              <w:jc w:val="center"/>
              <w:rPr>
                <w:rFonts w:ascii="Calibri" w:hAnsi="Calibri" w:cs="Calibri"/>
                <w:color w:val="000000"/>
                <w:sz w:val="16"/>
                <w:szCs w:val="16"/>
                <w:lang w:eastAsia="en-AU"/>
              </w:rPr>
            </w:pPr>
            <w:r w:rsidRPr="008E266F">
              <w:rPr>
                <w:rFonts w:ascii="Calibri" w:hAnsi="Calibri" w:cs="Calibri"/>
                <w:color w:val="000000"/>
                <w:sz w:val="16"/>
                <w:szCs w:val="16"/>
                <w:lang w:eastAsia="en-AU"/>
              </w:rPr>
              <w:t>20.2</w:t>
            </w:r>
          </w:p>
        </w:tc>
        <w:tc>
          <w:tcPr>
            <w:tcW w:w="1120" w:type="dxa"/>
            <w:tcBorders>
              <w:top w:val="nil"/>
              <w:left w:val="nil"/>
              <w:bottom w:val="single" w:sz="4" w:space="0" w:color="auto"/>
              <w:right w:val="single" w:sz="4" w:space="0" w:color="auto"/>
            </w:tcBorders>
            <w:shd w:val="clear" w:color="auto" w:fill="auto"/>
            <w:noWrap/>
            <w:vAlign w:val="center"/>
          </w:tcPr>
          <w:p w:rsidR="008E266F" w:rsidRPr="008E266F" w:rsidRDefault="008E266F" w:rsidP="008E266F">
            <w:pPr>
              <w:jc w:val="center"/>
              <w:rPr>
                <w:rFonts w:ascii="Calibri" w:hAnsi="Calibri" w:cs="Calibri"/>
                <w:color w:val="000000"/>
                <w:sz w:val="16"/>
                <w:szCs w:val="16"/>
                <w:lang w:eastAsia="en-AU"/>
              </w:rPr>
            </w:pPr>
            <w:r w:rsidRPr="008E266F">
              <w:rPr>
                <w:rFonts w:ascii="Calibri" w:hAnsi="Calibri" w:cs="Calibri"/>
                <w:color w:val="000000"/>
                <w:sz w:val="16"/>
                <w:szCs w:val="16"/>
                <w:lang w:eastAsia="en-AU"/>
              </w:rPr>
              <w:t>21.0</w:t>
            </w:r>
          </w:p>
        </w:tc>
        <w:tc>
          <w:tcPr>
            <w:tcW w:w="1120" w:type="dxa"/>
            <w:tcBorders>
              <w:top w:val="nil"/>
              <w:left w:val="nil"/>
              <w:bottom w:val="single" w:sz="4" w:space="0" w:color="auto"/>
              <w:right w:val="single" w:sz="4" w:space="0" w:color="auto"/>
            </w:tcBorders>
            <w:shd w:val="clear" w:color="auto" w:fill="auto"/>
            <w:noWrap/>
            <w:vAlign w:val="center"/>
          </w:tcPr>
          <w:p w:rsidR="008E266F" w:rsidRPr="008E266F" w:rsidRDefault="008E266F" w:rsidP="008E266F">
            <w:pPr>
              <w:jc w:val="center"/>
              <w:rPr>
                <w:rFonts w:ascii="Calibri" w:hAnsi="Calibri" w:cs="Calibri"/>
                <w:color w:val="000000"/>
                <w:sz w:val="16"/>
                <w:szCs w:val="16"/>
                <w:lang w:eastAsia="en-AU"/>
              </w:rPr>
            </w:pPr>
            <w:r w:rsidRPr="008E266F">
              <w:rPr>
                <w:rFonts w:ascii="Calibri" w:hAnsi="Calibri" w:cs="Calibri"/>
                <w:color w:val="000000"/>
                <w:sz w:val="16"/>
                <w:szCs w:val="16"/>
                <w:lang w:eastAsia="en-AU"/>
              </w:rPr>
              <w:t>0.4</w:t>
            </w:r>
          </w:p>
        </w:tc>
      </w:tr>
      <w:tr w:rsidR="008E266F" w:rsidRPr="008E266F">
        <w:trPr>
          <w:trHeight w:val="480"/>
        </w:trPr>
        <w:tc>
          <w:tcPr>
            <w:tcW w:w="1660" w:type="dxa"/>
            <w:tcBorders>
              <w:top w:val="nil"/>
              <w:left w:val="single" w:sz="4" w:space="0" w:color="auto"/>
              <w:bottom w:val="single" w:sz="4" w:space="0" w:color="auto"/>
              <w:right w:val="single" w:sz="4" w:space="0" w:color="auto"/>
            </w:tcBorders>
            <w:shd w:val="clear" w:color="auto" w:fill="auto"/>
            <w:vAlign w:val="center"/>
          </w:tcPr>
          <w:p w:rsidR="008E266F" w:rsidRPr="008E266F" w:rsidRDefault="008E266F" w:rsidP="008E266F">
            <w:pPr>
              <w:jc w:val="center"/>
              <w:rPr>
                <w:rFonts w:ascii="Calibri" w:hAnsi="Calibri" w:cs="Calibri"/>
                <w:color w:val="000000"/>
                <w:sz w:val="16"/>
                <w:szCs w:val="16"/>
                <w:lang w:eastAsia="en-AU"/>
              </w:rPr>
            </w:pPr>
            <w:r w:rsidRPr="008E266F">
              <w:rPr>
                <w:rFonts w:ascii="Calibri" w:hAnsi="Calibri" w:cs="Calibri"/>
                <w:color w:val="000000"/>
                <w:sz w:val="16"/>
                <w:szCs w:val="16"/>
                <w:lang w:eastAsia="en-AU"/>
              </w:rPr>
              <w:t>Use of percentiles</w:t>
            </w:r>
          </w:p>
        </w:tc>
        <w:tc>
          <w:tcPr>
            <w:tcW w:w="1120" w:type="dxa"/>
            <w:tcBorders>
              <w:top w:val="nil"/>
              <w:left w:val="nil"/>
              <w:bottom w:val="single" w:sz="4" w:space="0" w:color="auto"/>
              <w:right w:val="single" w:sz="4" w:space="0" w:color="auto"/>
            </w:tcBorders>
            <w:shd w:val="clear" w:color="auto" w:fill="auto"/>
            <w:vAlign w:val="center"/>
          </w:tcPr>
          <w:p w:rsidR="008E266F" w:rsidRPr="008E266F" w:rsidRDefault="008E266F" w:rsidP="008E266F">
            <w:pPr>
              <w:jc w:val="center"/>
              <w:rPr>
                <w:rFonts w:ascii="Calibri" w:hAnsi="Calibri" w:cs="Calibri"/>
                <w:color w:val="000000"/>
                <w:sz w:val="16"/>
                <w:szCs w:val="16"/>
                <w:lang w:eastAsia="en-AU"/>
              </w:rPr>
            </w:pPr>
            <w:r w:rsidRPr="008E266F">
              <w:rPr>
                <w:rFonts w:ascii="Calibri" w:hAnsi="Calibri" w:cs="Calibri"/>
                <w:color w:val="000000"/>
                <w:sz w:val="16"/>
                <w:szCs w:val="16"/>
                <w:lang w:eastAsia="en-AU"/>
              </w:rPr>
              <w:t>Median</w:t>
            </w:r>
          </w:p>
        </w:tc>
        <w:tc>
          <w:tcPr>
            <w:tcW w:w="1120" w:type="dxa"/>
            <w:tcBorders>
              <w:top w:val="nil"/>
              <w:left w:val="nil"/>
              <w:bottom w:val="single" w:sz="4" w:space="0" w:color="auto"/>
              <w:right w:val="single" w:sz="4" w:space="0" w:color="auto"/>
            </w:tcBorders>
            <w:shd w:val="clear" w:color="auto" w:fill="auto"/>
            <w:noWrap/>
            <w:vAlign w:val="center"/>
          </w:tcPr>
          <w:p w:rsidR="008E266F" w:rsidRPr="008E266F" w:rsidRDefault="008E266F" w:rsidP="008E266F">
            <w:pPr>
              <w:jc w:val="center"/>
              <w:rPr>
                <w:rFonts w:ascii="Calibri" w:hAnsi="Calibri" w:cs="Calibri"/>
                <w:color w:val="000000"/>
                <w:sz w:val="16"/>
                <w:szCs w:val="16"/>
                <w:lang w:eastAsia="en-AU"/>
              </w:rPr>
            </w:pPr>
            <w:r w:rsidRPr="008E266F">
              <w:rPr>
                <w:rFonts w:ascii="Calibri" w:hAnsi="Calibri" w:cs="Calibri"/>
                <w:color w:val="000000"/>
                <w:sz w:val="16"/>
                <w:szCs w:val="16"/>
                <w:lang w:eastAsia="en-AU"/>
              </w:rPr>
              <w:t>23.4</w:t>
            </w:r>
          </w:p>
        </w:tc>
        <w:tc>
          <w:tcPr>
            <w:tcW w:w="1120" w:type="dxa"/>
            <w:tcBorders>
              <w:top w:val="nil"/>
              <w:left w:val="nil"/>
              <w:bottom w:val="single" w:sz="4" w:space="0" w:color="auto"/>
              <w:right w:val="single" w:sz="4" w:space="0" w:color="auto"/>
            </w:tcBorders>
            <w:shd w:val="clear" w:color="auto" w:fill="auto"/>
            <w:noWrap/>
            <w:vAlign w:val="center"/>
          </w:tcPr>
          <w:p w:rsidR="008E266F" w:rsidRPr="008E266F" w:rsidRDefault="008E266F" w:rsidP="008E266F">
            <w:pPr>
              <w:jc w:val="center"/>
              <w:rPr>
                <w:rFonts w:ascii="Calibri" w:hAnsi="Calibri" w:cs="Calibri"/>
                <w:color w:val="000000"/>
                <w:sz w:val="16"/>
                <w:szCs w:val="16"/>
                <w:lang w:eastAsia="en-AU"/>
              </w:rPr>
            </w:pPr>
            <w:r w:rsidRPr="008E266F">
              <w:rPr>
                <w:rFonts w:ascii="Calibri" w:hAnsi="Calibri" w:cs="Calibri"/>
                <w:color w:val="000000"/>
                <w:sz w:val="16"/>
                <w:szCs w:val="16"/>
                <w:lang w:eastAsia="en-AU"/>
              </w:rPr>
              <w:t>9.0</w:t>
            </w:r>
          </w:p>
        </w:tc>
        <w:tc>
          <w:tcPr>
            <w:tcW w:w="1120" w:type="dxa"/>
            <w:tcBorders>
              <w:top w:val="nil"/>
              <w:left w:val="nil"/>
              <w:bottom w:val="single" w:sz="4" w:space="0" w:color="auto"/>
              <w:right w:val="single" w:sz="4" w:space="0" w:color="auto"/>
            </w:tcBorders>
            <w:shd w:val="clear" w:color="auto" w:fill="auto"/>
            <w:noWrap/>
            <w:vAlign w:val="center"/>
          </w:tcPr>
          <w:p w:rsidR="008E266F" w:rsidRPr="008E266F" w:rsidRDefault="008E266F" w:rsidP="008E266F">
            <w:pPr>
              <w:jc w:val="center"/>
              <w:rPr>
                <w:rFonts w:ascii="Calibri" w:hAnsi="Calibri" w:cs="Calibri"/>
                <w:color w:val="000000"/>
                <w:sz w:val="16"/>
                <w:szCs w:val="16"/>
                <w:lang w:eastAsia="en-AU"/>
              </w:rPr>
            </w:pPr>
            <w:r w:rsidRPr="008E266F">
              <w:rPr>
                <w:rFonts w:ascii="Calibri" w:hAnsi="Calibri" w:cs="Calibri"/>
                <w:color w:val="000000"/>
                <w:sz w:val="16"/>
                <w:szCs w:val="16"/>
                <w:lang w:eastAsia="en-AU"/>
              </w:rPr>
              <w:t>48.8</w:t>
            </w:r>
          </w:p>
        </w:tc>
        <w:tc>
          <w:tcPr>
            <w:tcW w:w="1120" w:type="dxa"/>
            <w:tcBorders>
              <w:top w:val="nil"/>
              <w:left w:val="nil"/>
              <w:bottom w:val="single" w:sz="4" w:space="0" w:color="auto"/>
              <w:right w:val="single" w:sz="4" w:space="0" w:color="auto"/>
            </w:tcBorders>
            <w:shd w:val="clear" w:color="auto" w:fill="auto"/>
            <w:noWrap/>
            <w:vAlign w:val="center"/>
          </w:tcPr>
          <w:p w:rsidR="008E266F" w:rsidRPr="008E266F" w:rsidRDefault="008E266F" w:rsidP="008E266F">
            <w:pPr>
              <w:jc w:val="center"/>
              <w:rPr>
                <w:rFonts w:ascii="Calibri" w:hAnsi="Calibri" w:cs="Calibri"/>
                <w:color w:val="000000"/>
                <w:sz w:val="16"/>
                <w:szCs w:val="16"/>
                <w:lang w:eastAsia="en-AU"/>
              </w:rPr>
            </w:pPr>
            <w:r w:rsidRPr="008E266F">
              <w:rPr>
                <w:rFonts w:ascii="Calibri" w:hAnsi="Calibri" w:cs="Calibri"/>
                <w:color w:val="000000"/>
                <w:sz w:val="16"/>
                <w:szCs w:val="16"/>
                <w:lang w:eastAsia="en-AU"/>
              </w:rPr>
              <w:t>25.4</w:t>
            </w:r>
          </w:p>
        </w:tc>
      </w:tr>
      <w:tr w:rsidR="008E266F" w:rsidRPr="008E266F">
        <w:trPr>
          <w:trHeight w:val="225"/>
        </w:trPr>
        <w:tc>
          <w:tcPr>
            <w:tcW w:w="1660" w:type="dxa"/>
            <w:tcBorders>
              <w:top w:val="nil"/>
              <w:left w:val="nil"/>
              <w:bottom w:val="nil"/>
              <w:right w:val="nil"/>
            </w:tcBorders>
            <w:shd w:val="clear" w:color="auto" w:fill="auto"/>
            <w:noWrap/>
            <w:vAlign w:val="bottom"/>
          </w:tcPr>
          <w:p w:rsidR="008E266F" w:rsidRPr="008E266F" w:rsidRDefault="008E266F" w:rsidP="008E266F">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8E266F" w:rsidRPr="008E266F" w:rsidRDefault="008E266F" w:rsidP="008E266F">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8E266F" w:rsidRPr="008E266F" w:rsidRDefault="008E266F" w:rsidP="008E266F">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8E266F" w:rsidRPr="008E266F" w:rsidRDefault="008E266F" w:rsidP="008E266F">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8E266F" w:rsidRPr="008E266F" w:rsidRDefault="008E266F" w:rsidP="008E266F">
            <w:pPr>
              <w:rPr>
                <w:rFonts w:ascii="Calibri" w:hAnsi="Calibri" w:cs="Calibri"/>
                <w:color w:val="000000"/>
                <w:sz w:val="16"/>
                <w:szCs w:val="16"/>
                <w:lang w:eastAsia="en-AU"/>
              </w:rPr>
            </w:pPr>
          </w:p>
        </w:tc>
        <w:tc>
          <w:tcPr>
            <w:tcW w:w="1120" w:type="dxa"/>
            <w:tcBorders>
              <w:top w:val="nil"/>
              <w:left w:val="nil"/>
              <w:bottom w:val="nil"/>
              <w:right w:val="nil"/>
            </w:tcBorders>
            <w:shd w:val="clear" w:color="auto" w:fill="auto"/>
            <w:noWrap/>
            <w:vAlign w:val="bottom"/>
          </w:tcPr>
          <w:p w:rsidR="008E266F" w:rsidRPr="008E266F" w:rsidRDefault="008E266F" w:rsidP="008E266F">
            <w:pPr>
              <w:rPr>
                <w:rFonts w:ascii="Calibri" w:hAnsi="Calibri" w:cs="Calibri"/>
                <w:color w:val="000000"/>
                <w:sz w:val="16"/>
                <w:szCs w:val="16"/>
                <w:lang w:eastAsia="en-AU"/>
              </w:rPr>
            </w:pPr>
          </w:p>
        </w:tc>
      </w:tr>
      <w:tr w:rsidR="008E266F" w:rsidRPr="008E266F">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000000" w:fill="D8D8D8"/>
            <w:noWrap/>
            <w:vAlign w:val="bottom"/>
          </w:tcPr>
          <w:p w:rsidR="008E266F" w:rsidRPr="008E266F" w:rsidRDefault="008E266F" w:rsidP="008E266F">
            <w:pPr>
              <w:rPr>
                <w:rFonts w:ascii="Calibri" w:hAnsi="Calibri" w:cs="Calibri"/>
                <w:color w:val="000000"/>
                <w:sz w:val="16"/>
                <w:szCs w:val="16"/>
                <w:lang w:eastAsia="en-AU"/>
              </w:rPr>
            </w:pPr>
            <w:r w:rsidRPr="008E266F">
              <w:rPr>
                <w:rFonts w:ascii="Calibri" w:hAnsi="Calibri" w:cs="Calibri"/>
                <w:color w:val="000000"/>
                <w:sz w:val="16"/>
                <w:szCs w:val="16"/>
                <w:lang w:eastAsia="en-AU"/>
              </w:rPr>
              <w:t>Year</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8E266F" w:rsidRPr="008E266F" w:rsidRDefault="008E266F" w:rsidP="008E266F">
            <w:pPr>
              <w:jc w:val="center"/>
              <w:rPr>
                <w:rFonts w:ascii="Calibri" w:hAnsi="Calibri" w:cs="Calibri"/>
                <w:color w:val="000000"/>
                <w:sz w:val="16"/>
                <w:szCs w:val="16"/>
                <w:lang w:eastAsia="en-AU"/>
              </w:rPr>
            </w:pPr>
            <w:r w:rsidRPr="008E266F">
              <w:rPr>
                <w:rFonts w:ascii="Calibri" w:hAnsi="Calibri" w:cs="Calibri"/>
                <w:color w:val="000000"/>
                <w:sz w:val="16"/>
                <w:szCs w:val="16"/>
                <w:lang w:eastAsia="en-AU"/>
              </w:rPr>
              <w:t>2010-11</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8E266F" w:rsidRPr="008E266F" w:rsidRDefault="008E266F" w:rsidP="008E266F">
            <w:pPr>
              <w:jc w:val="center"/>
              <w:rPr>
                <w:rFonts w:ascii="Calibri" w:hAnsi="Calibri" w:cs="Calibri"/>
                <w:color w:val="000000"/>
                <w:sz w:val="16"/>
                <w:szCs w:val="16"/>
                <w:lang w:eastAsia="en-AU"/>
              </w:rPr>
            </w:pPr>
            <w:r w:rsidRPr="008E266F">
              <w:rPr>
                <w:rFonts w:ascii="Calibri" w:hAnsi="Calibri" w:cs="Calibri"/>
                <w:color w:val="000000"/>
                <w:sz w:val="16"/>
                <w:szCs w:val="16"/>
                <w:lang w:eastAsia="en-AU"/>
              </w:rPr>
              <w:t>2009-10</w:t>
            </w:r>
          </w:p>
        </w:tc>
        <w:tc>
          <w:tcPr>
            <w:tcW w:w="1120" w:type="dxa"/>
            <w:tcBorders>
              <w:top w:val="single" w:sz="4" w:space="0" w:color="auto"/>
              <w:left w:val="nil"/>
              <w:bottom w:val="single" w:sz="4" w:space="0" w:color="auto"/>
              <w:right w:val="single" w:sz="4" w:space="0" w:color="auto"/>
            </w:tcBorders>
            <w:shd w:val="clear" w:color="000000" w:fill="D8D8D8"/>
            <w:noWrap/>
            <w:vAlign w:val="center"/>
          </w:tcPr>
          <w:p w:rsidR="008E266F" w:rsidRPr="008E266F" w:rsidRDefault="008E266F" w:rsidP="008E266F">
            <w:pPr>
              <w:jc w:val="center"/>
              <w:rPr>
                <w:rFonts w:ascii="Calibri" w:hAnsi="Calibri" w:cs="Calibri"/>
                <w:color w:val="000000"/>
                <w:sz w:val="16"/>
                <w:szCs w:val="16"/>
                <w:lang w:eastAsia="en-AU"/>
              </w:rPr>
            </w:pPr>
            <w:r w:rsidRPr="008E266F">
              <w:rPr>
                <w:rFonts w:ascii="Calibri" w:hAnsi="Calibri" w:cs="Calibri"/>
                <w:color w:val="000000"/>
                <w:sz w:val="16"/>
                <w:szCs w:val="16"/>
                <w:lang w:eastAsia="en-AU"/>
              </w:rPr>
              <w:t>2008-09</w:t>
            </w:r>
          </w:p>
        </w:tc>
      </w:tr>
      <w:tr w:rsidR="008E266F" w:rsidRPr="008E266F">
        <w:trPr>
          <w:trHeight w:val="225"/>
        </w:trPr>
        <w:tc>
          <w:tcPr>
            <w:tcW w:w="39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E266F" w:rsidRPr="008E266F" w:rsidRDefault="00606932" w:rsidP="008E266F">
            <w:pPr>
              <w:rPr>
                <w:rFonts w:ascii="Calibri" w:hAnsi="Calibri" w:cs="Calibri"/>
                <w:color w:val="000000"/>
                <w:sz w:val="16"/>
                <w:szCs w:val="16"/>
                <w:lang w:eastAsia="en-AU"/>
              </w:rPr>
            </w:pPr>
            <w:r w:rsidRPr="00CB6A7D">
              <w:rPr>
                <w:rFonts w:ascii="Calibri" w:hAnsi="Calibri" w:cs="Calibri"/>
                <w:color w:val="000000"/>
                <w:sz w:val="16"/>
                <w:szCs w:val="16"/>
                <w:lang w:eastAsia="en-AU"/>
              </w:rPr>
              <w:t>Percentage by which the conversion factor over or under estimates the weight of imports</w:t>
            </w:r>
          </w:p>
        </w:tc>
        <w:tc>
          <w:tcPr>
            <w:tcW w:w="1120" w:type="dxa"/>
            <w:tcBorders>
              <w:top w:val="nil"/>
              <w:left w:val="nil"/>
              <w:bottom w:val="single" w:sz="4" w:space="0" w:color="auto"/>
              <w:right w:val="single" w:sz="4" w:space="0" w:color="auto"/>
            </w:tcBorders>
            <w:shd w:val="clear" w:color="auto" w:fill="auto"/>
            <w:noWrap/>
            <w:vAlign w:val="center"/>
          </w:tcPr>
          <w:p w:rsidR="008E266F" w:rsidRPr="008E266F" w:rsidRDefault="008E266F" w:rsidP="008E266F">
            <w:pPr>
              <w:jc w:val="center"/>
              <w:rPr>
                <w:rFonts w:ascii="Calibri" w:hAnsi="Calibri" w:cs="Calibri"/>
                <w:color w:val="000000"/>
                <w:sz w:val="16"/>
                <w:szCs w:val="16"/>
                <w:lang w:eastAsia="en-AU"/>
              </w:rPr>
            </w:pPr>
            <w:r w:rsidRPr="008E266F">
              <w:rPr>
                <w:rFonts w:ascii="Calibri" w:hAnsi="Calibri" w:cs="Calibri"/>
                <w:color w:val="000000"/>
                <w:sz w:val="16"/>
                <w:szCs w:val="16"/>
                <w:lang w:eastAsia="en-AU"/>
              </w:rPr>
              <w:t>100%</w:t>
            </w:r>
          </w:p>
        </w:tc>
        <w:tc>
          <w:tcPr>
            <w:tcW w:w="1120" w:type="dxa"/>
            <w:tcBorders>
              <w:top w:val="nil"/>
              <w:left w:val="nil"/>
              <w:bottom w:val="single" w:sz="4" w:space="0" w:color="auto"/>
              <w:right w:val="single" w:sz="4" w:space="0" w:color="auto"/>
            </w:tcBorders>
            <w:shd w:val="clear" w:color="auto" w:fill="auto"/>
            <w:noWrap/>
            <w:vAlign w:val="center"/>
          </w:tcPr>
          <w:p w:rsidR="008E266F" w:rsidRPr="008E266F" w:rsidRDefault="008E266F" w:rsidP="008E266F">
            <w:pPr>
              <w:jc w:val="center"/>
              <w:rPr>
                <w:rFonts w:ascii="Calibri" w:hAnsi="Calibri" w:cs="Calibri"/>
                <w:color w:val="000000"/>
                <w:sz w:val="16"/>
                <w:szCs w:val="16"/>
                <w:lang w:eastAsia="en-AU"/>
              </w:rPr>
            </w:pPr>
            <w:r w:rsidRPr="008E266F">
              <w:rPr>
                <w:rFonts w:ascii="Calibri" w:hAnsi="Calibri" w:cs="Calibri"/>
                <w:color w:val="000000"/>
                <w:sz w:val="16"/>
                <w:szCs w:val="16"/>
                <w:lang w:eastAsia="en-AU"/>
              </w:rPr>
              <w:t>97%</w:t>
            </w:r>
          </w:p>
        </w:tc>
        <w:tc>
          <w:tcPr>
            <w:tcW w:w="1120" w:type="dxa"/>
            <w:tcBorders>
              <w:top w:val="nil"/>
              <w:left w:val="nil"/>
              <w:bottom w:val="single" w:sz="4" w:space="0" w:color="auto"/>
              <w:right w:val="single" w:sz="4" w:space="0" w:color="auto"/>
            </w:tcBorders>
            <w:shd w:val="clear" w:color="auto" w:fill="auto"/>
            <w:noWrap/>
            <w:vAlign w:val="center"/>
          </w:tcPr>
          <w:p w:rsidR="008E266F" w:rsidRPr="008E266F" w:rsidRDefault="008E266F" w:rsidP="008E266F">
            <w:pPr>
              <w:jc w:val="center"/>
              <w:rPr>
                <w:rFonts w:ascii="Calibri" w:hAnsi="Calibri" w:cs="Calibri"/>
                <w:color w:val="000000"/>
                <w:sz w:val="16"/>
                <w:szCs w:val="16"/>
                <w:lang w:eastAsia="en-AU"/>
              </w:rPr>
            </w:pPr>
            <w:r w:rsidRPr="008E266F">
              <w:rPr>
                <w:rFonts w:ascii="Calibri" w:hAnsi="Calibri" w:cs="Calibri"/>
                <w:color w:val="000000"/>
                <w:sz w:val="16"/>
                <w:szCs w:val="16"/>
                <w:lang w:eastAsia="en-AU"/>
              </w:rPr>
              <w:t>81%</w:t>
            </w:r>
          </w:p>
        </w:tc>
      </w:tr>
    </w:tbl>
    <w:p w:rsidR="00B81223" w:rsidRDefault="00B81223" w:rsidP="000941E0">
      <w:pPr>
        <w:jc w:val="both"/>
        <w:rPr>
          <w:szCs w:val="22"/>
        </w:rPr>
      </w:pPr>
    </w:p>
    <w:p w:rsidR="001A78F2" w:rsidRDefault="001A78F2">
      <w:pPr>
        <w:rPr>
          <w:szCs w:val="22"/>
        </w:rPr>
      </w:pPr>
    </w:p>
    <w:p w:rsidR="001A78F2" w:rsidRDefault="001A78F2">
      <w:pPr>
        <w:rPr>
          <w:szCs w:val="22"/>
        </w:rPr>
      </w:pPr>
    </w:p>
    <w:p w:rsidR="001A78F2" w:rsidRDefault="00EF40A3">
      <w:pPr>
        <w:rPr>
          <w:szCs w:val="22"/>
        </w:rPr>
      </w:pPr>
      <w:r w:rsidRPr="005A3097">
        <w:rPr>
          <w:b/>
          <w:szCs w:val="22"/>
        </w:rPr>
        <w:t>Distribution:</w:t>
      </w:r>
      <w:r>
        <w:rPr>
          <w:b/>
          <w:szCs w:val="22"/>
        </w:rPr>
        <w:t xml:space="preserve"> </w:t>
      </w:r>
      <w:r w:rsidR="00A0494A">
        <w:rPr>
          <w:szCs w:val="22"/>
        </w:rPr>
        <w:t>A relatively wide distribution, peaking at 15-20 kg</w:t>
      </w:r>
    </w:p>
    <w:p w:rsidR="001A78F2" w:rsidRDefault="00EF40A3">
      <w:pPr>
        <w:rPr>
          <w:szCs w:val="22"/>
        </w:rPr>
      </w:pPr>
      <w:r>
        <w:rPr>
          <w:b/>
          <w:szCs w:val="22"/>
        </w:rPr>
        <w:t>Proposed conversion factor</w:t>
      </w:r>
      <w:r w:rsidRPr="00416A67">
        <w:rPr>
          <w:szCs w:val="22"/>
        </w:rPr>
        <w:t xml:space="preserve">: </w:t>
      </w:r>
      <w:r w:rsidR="00A0494A" w:rsidRPr="008E266F">
        <w:rPr>
          <w:szCs w:val="22"/>
        </w:rPr>
        <w:t>20.6</w:t>
      </w:r>
      <w:r w:rsidR="00A0494A">
        <w:rPr>
          <w:szCs w:val="22"/>
        </w:rPr>
        <w:t xml:space="preserve"> </w:t>
      </w:r>
      <w:r>
        <w:rPr>
          <w:szCs w:val="22"/>
        </w:rPr>
        <w:t>kg</w:t>
      </w:r>
    </w:p>
    <w:p w:rsidR="001A78F2" w:rsidRDefault="00EF40A3">
      <w:pPr>
        <w:rPr>
          <w:szCs w:val="22"/>
        </w:rPr>
      </w:pPr>
      <w:r>
        <w:rPr>
          <w:b/>
          <w:szCs w:val="22"/>
        </w:rPr>
        <w:t>Proposed confidence interval</w:t>
      </w:r>
      <w:r w:rsidRPr="00B02F83">
        <w:rPr>
          <w:szCs w:val="22"/>
        </w:rPr>
        <w:t xml:space="preserve">: </w:t>
      </w:r>
      <w:r>
        <w:rPr>
          <w:szCs w:val="22"/>
        </w:rPr>
        <w:t xml:space="preserve"> </w:t>
      </w:r>
      <w:r w:rsidR="00A0494A">
        <w:rPr>
          <w:szCs w:val="22"/>
        </w:rPr>
        <w:t>&gt;</w:t>
      </w:r>
      <w:r w:rsidR="002332B1">
        <w:rPr>
          <w:szCs w:val="22"/>
        </w:rPr>
        <w:t xml:space="preserve"> </w:t>
      </w:r>
      <w:r w:rsidR="00A0494A">
        <w:rPr>
          <w:szCs w:val="22"/>
        </w:rPr>
        <w:t>9 kg, &lt; 48.8 kg</w:t>
      </w:r>
    </w:p>
    <w:p w:rsidR="001A78F2" w:rsidRDefault="00C62346">
      <w:pPr>
        <w:rPr>
          <w:szCs w:val="22"/>
        </w:rPr>
      </w:pPr>
      <w:r>
        <w:rPr>
          <w:b/>
          <w:szCs w:val="22"/>
        </w:rPr>
        <w:t xml:space="preserve">Variation over time: </w:t>
      </w:r>
      <w:r w:rsidR="00A0494A">
        <w:rPr>
          <w:szCs w:val="22"/>
        </w:rPr>
        <w:t>Moderate</w:t>
      </w:r>
    </w:p>
    <w:p w:rsidR="00604D2F" w:rsidRDefault="00604D2F">
      <w:pPr>
        <w:rPr>
          <w:szCs w:val="22"/>
        </w:rPr>
      </w:pPr>
    </w:p>
    <w:p w:rsidR="00604D2F" w:rsidRDefault="00604D2F">
      <w:pPr>
        <w:rPr>
          <w:szCs w:val="22"/>
        </w:rPr>
      </w:pPr>
    </w:p>
    <w:p w:rsidR="00604D2F" w:rsidRDefault="00604D2F">
      <w:pPr>
        <w:rPr>
          <w:szCs w:val="22"/>
        </w:rPr>
      </w:pPr>
    </w:p>
    <w:p w:rsidR="00604D2F" w:rsidRDefault="00604D2F">
      <w:pPr>
        <w:rPr>
          <w:szCs w:val="22"/>
        </w:rPr>
      </w:pPr>
    </w:p>
    <w:p w:rsidR="00604D2F" w:rsidRDefault="00604D2F">
      <w:pPr>
        <w:rPr>
          <w:szCs w:val="22"/>
        </w:rPr>
      </w:pPr>
    </w:p>
    <w:p w:rsidR="00604D2F" w:rsidRDefault="00604D2F">
      <w:pPr>
        <w:rPr>
          <w:szCs w:val="22"/>
        </w:rPr>
      </w:pPr>
    </w:p>
    <w:p w:rsidR="00604D2F" w:rsidRDefault="00604D2F">
      <w:pPr>
        <w:rPr>
          <w:szCs w:val="22"/>
        </w:rPr>
      </w:pPr>
    </w:p>
    <w:p w:rsidR="00604D2F" w:rsidRDefault="00604D2F">
      <w:pPr>
        <w:rPr>
          <w:szCs w:val="22"/>
        </w:rPr>
      </w:pPr>
    </w:p>
    <w:p w:rsidR="00604D2F" w:rsidRDefault="00604D2F">
      <w:pPr>
        <w:rPr>
          <w:szCs w:val="22"/>
        </w:rPr>
      </w:pPr>
    </w:p>
    <w:p w:rsidR="003A59EB" w:rsidRPr="00761941" w:rsidRDefault="00604D2F" w:rsidP="00761941">
      <w:pPr>
        <w:pStyle w:val="Heading1"/>
      </w:pPr>
      <w:bookmarkStart w:id="73" w:name="_Toc304967201"/>
      <w:r w:rsidRPr="00761941">
        <w:t>RESULTS - PROPOSED CONVERSION FACTORS FOR SC12</w:t>
      </w:r>
      <w:bookmarkEnd w:id="73"/>
    </w:p>
    <w:p w:rsidR="00604D2F" w:rsidRDefault="00604D2F" w:rsidP="00604D2F"/>
    <w:p w:rsidR="00604D2F" w:rsidRDefault="00604D2F" w:rsidP="00604D2F">
      <w:r>
        <w:t xml:space="preserve">This section presents further evaluations for the 2012 HTISCs.  Most 2012 codes are equivalent to the 2007 codes. Some 2007 codes have been consolidated to form one new 2012 code and if sufficient data exists, a new conversion factor has been developed.  </w:t>
      </w:r>
    </w:p>
    <w:p w:rsidR="00604D2F" w:rsidRDefault="00604D2F" w:rsidP="00604D2F"/>
    <w:p w:rsidR="00604D2F" w:rsidRDefault="00604D2F" w:rsidP="00604D2F">
      <w:r>
        <w:t>In some cases there was insufficient data to develop conversion factors for any of the consolidated 2007 codes, in which case it is recommended that the factor for the higher level CTCN is applied. Where sufficient data exi</w:t>
      </w:r>
      <w:r w:rsidR="00CF23D0">
        <w:t>s</w:t>
      </w:r>
      <w:r>
        <w:t>ts to only have developed a factor for one of the consolidated 2007 codes, the 2012 factor would be the same as the factor for that one code.</w:t>
      </w:r>
      <w:r w:rsidRPr="006F650F">
        <w:t xml:space="preserve"> </w:t>
      </w:r>
    </w:p>
    <w:p w:rsidR="00604D2F" w:rsidRDefault="00604D2F" w:rsidP="00604D2F"/>
    <w:p w:rsidR="00604D2F" w:rsidRDefault="00176521" w:rsidP="00604D2F">
      <w:r>
        <w:t xml:space="preserve">Table 6-1 </w:t>
      </w:r>
      <w:r w:rsidR="00604D2F">
        <w:t xml:space="preserve">lists the new 2012 codes, the change if any from the 2007 code, and where appropriate the consolidated 2007 codes and whether a new factor has been developed or which 2007 code to use instead. </w:t>
      </w:r>
    </w:p>
    <w:p w:rsidR="00604D2F" w:rsidRDefault="00604D2F" w:rsidP="00604D2F"/>
    <w:p w:rsidR="00604D2F" w:rsidRDefault="00604D2F" w:rsidP="00604D2F">
      <w:pPr>
        <w:rPr>
          <w:szCs w:val="22"/>
        </w:rPr>
      </w:pPr>
      <w:r>
        <w:t xml:space="preserve">As with 2007 HTISCs, several </w:t>
      </w:r>
      <w:r>
        <w:rPr>
          <w:szCs w:val="22"/>
        </w:rPr>
        <w:t>conversion factors for TVs were not derived for a number of HTISCs due to insufficient data being available. The ‘equivalent screen size’ approach adopted for the 2007 HTISCs is adopted here, with the same 2007 factors applied. A separate table is presented for colour TVs.</w:t>
      </w:r>
    </w:p>
    <w:p w:rsidR="00604D2F" w:rsidRDefault="00604D2F" w:rsidP="00604D2F"/>
    <w:p w:rsidR="00604D2F" w:rsidRDefault="00604D2F" w:rsidP="00604D2F"/>
    <w:p w:rsidR="00604D2F" w:rsidRDefault="00604D2F" w:rsidP="00604D2F">
      <w:pPr>
        <w:pStyle w:val="Caption"/>
      </w:pPr>
      <w:r>
        <w:t xml:space="preserve">Table </w:t>
      </w:r>
      <w:r w:rsidR="00246893">
        <w:fldChar w:fldCharType="begin"/>
      </w:r>
      <w:r>
        <w:instrText xml:space="preserve"> STYLEREF 1 \s </w:instrText>
      </w:r>
      <w:r w:rsidR="00246893">
        <w:fldChar w:fldCharType="separate"/>
      </w:r>
      <w:r w:rsidR="002D292C">
        <w:rPr>
          <w:noProof/>
        </w:rPr>
        <w:t>6</w:t>
      </w:r>
      <w:r w:rsidR="00246893">
        <w:fldChar w:fldCharType="end"/>
      </w:r>
      <w:r>
        <w:t>-</w:t>
      </w:r>
      <w:r w:rsidR="00246893">
        <w:fldChar w:fldCharType="begin"/>
      </w:r>
      <w:r>
        <w:instrText xml:space="preserve"> SEQ Figure \* ARABIC \s 1 </w:instrText>
      </w:r>
      <w:r w:rsidR="00246893">
        <w:fldChar w:fldCharType="separate"/>
      </w:r>
      <w:r w:rsidR="002D292C">
        <w:rPr>
          <w:noProof/>
        </w:rPr>
        <w:t>1</w:t>
      </w:r>
      <w:r w:rsidR="00246893">
        <w:fldChar w:fldCharType="end"/>
      </w:r>
      <w:r>
        <w:t xml:space="preserve"> </w:t>
      </w:r>
      <w:r w:rsidRPr="00472541">
        <w:rPr>
          <w:rFonts w:ascii="Arial" w:hAnsi="Arial" w:cs="Arial"/>
          <w:color w:val="000000"/>
          <w:sz w:val="16"/>
          <w:szCs w:val="16"/>
          <w:lang w:eastAsia="en-AU"/>
        </w:rPr>
        <w:t>Changes to 2007 HTISCs to form 2012 HTISCs to determine conversion factors</w:t>
      </w:r>
      <w:r>
        <w:t xml:space="preserve"> (all SC12 HTISCs except colour TVs)</w:t>
      </w:r>
    </w:p>
    <w:tbl>
      <w:tblPr>
        <w:tblW w:w="8260" w:type="dxa"/>
        <w:tblInd w:w="93" w:type="dxa"/>
        <w:tblLook w:val="04A0"/>
      </w:tblPr>
      <w:tblGrid>
        <w:gridCol w:w="1060"/>
        <w:gridCol w:w="1600"/>
        <w:gridCol w:w="1280"/>
        <w:gridCol w:w="1540"/>
        <w:gridCol w:w="2780"/>
      </w:tblGrid>
      <w:tr w:rsidR="00604D2F" w:rsidRPr="00472541" w:rsidTr="00604D2F">
        <w:trPr>
          <w:trHeight w:val="315"/>
        </w:trPr>
        <w:tc>
          <w:tcPr>
            <w:tcW w:w="8260" w:type="dxa"/>
            <w:gridSpan w:val="5"/>
            <w:tcBorders>
              <w:top w:val="single" w:sz="8" w:space="0" w:color="auto"/>
              <w:left w:val="single" w:sz="8" w:space="0" w:color="auto"/>
              <w:bottom w:val="single" w:sz="8" w:space="0" w:color="auto"/>
              <w:right w:val="single" w:sz="8" w:space="0" w:color="auto"/>
            </w:tcBorders>
            <w:shd w:val="clear" w:color="000000" w:fill="D8D8D8"/>
            <w:noWrap/>
            <w:vAlign w:val="center"/>
            <w:hideMark/>
          </w:tcPr>
          <w:p w:rsidR="00604D2F" w:rsidRPr="00472541" w:rsidRDefault="00604D2F" w:rsidP="00604D2F">
            <w:pPr>
              <w:rPr>
                <w:rFonts w:ascii="Arial" w:hAnsi="Arial" w:cs="Arial"/>
                <w:b/>
                <w:bCs/>
                <w:color w:val="000000"/>
                <w:sz w:val="16"/>
                <w:szCs w:val="16"/>
                <w:lang w:eastAsia="en-AU"/>
              </w:rPr>
            </w:pPr>
            <w:r w:rsidRPr="00472541">
              <w:rPr>
                <w:rFonts w:ascii="Arial" w:hAnsi="Arial" w:cs="Arial"/>
                <w:b/>
                <w:bCs/>
                <w:color w:val="000000"/>
                <w:sz w:val="16"/>
                <w:szCs w:val="16"/>
                <w:lang w:eastAsia="en-AU"/>
              </w:rPr>
              <w:t>Changes to 2007 HTISCs to form 2012 HTISCs to determine conversion factors</w:t>
            </w:r>
          </w:p>
        </w:tc>
      </w:tr>
      <w:tr w:rsidR="00604D2F" w:rsidRPr="00472541" w:rsidTr="00604D2F">
        <w:trPr>
          <w:trHeight w:val="315"/>
        </w:trPr>
        <w:tc>
          <w:tcPr>
            <w:tcW w:w="1060" w:type="dxa"/>
            <w:tcBorders>
              <w:top w:val="single" w:sz="8" w:space="0" w:color="auto"/>
              <w:left w:val="single" w:sz="8" w:space="0" w:color="auto"/>
              <w:bottom w:val="single" w:sz="8" w:space="0" w:color="auto"/>
              <w:right w:val="nil"/>
            </w:tcBorders>
            <w:shd w:val="clear" w:color="000000" w:fill="D8D8D8"/>
            <w:noWrap/>
            <w:vAlign w:val="center"/>
            <w:hideMark/>
          </w:tcPr>
          <w:p w:rsidR="00604D2F" w:rsidRPr="00472541" w:rsidRDefault="00604D2F" w:rsidP="00604D2F">
            <w:pPr>
              <w:jc w:val="center"/>
              <w:rPr>
                <w:rFonts w:ascii="Arial" w:hAnsi="Arial" w:cs="Arial"/>
                <w:b/>
                <w:bCs/>
                <w:color w:val="000000"/>
                <w:sz w:val="16"/>
                <w:szCs w:val="16"/>
                <w:lang w:eastAsia="en-AU"/>
              </w:rPr>
            </w:pPr>
            <w:r w:rsidRPr="00472541">
              <w:rPr>
                <w:rFonts w:ascii="Arial" w:hAnsi="Arial" w:cs="Arial"/>
                <w:b/>
                <w:bCs/>
                <w:color w:val="000000"/>
                <w:sz w:val="16"/>
                <w:szCs w:val="16"/>
                <w:lang w:eastAsia="en-AU"/>
              </w:rPr>
              <w:t>CTCN</w:t>
            </w:r>
          </w:p>
        </w:tc>
        <w:tc>
          <w:tcPr>
            <w:tcW w:w="1600" w:type="dxa"/>
            <w:tcBorders>
              <w:top w:val="single" w:sz="8" w:space="0" w:color="auto"/>
              <w:left w:val="single" w:sz="8" w:space="0" w:color="auto"/>
              <w:bottom w:val="single" w:sz="8" w:space="0" w:color="auto"/>
              <w:right w:val="single" w:sz="8" w:space="0" w:color="auto"/>
            </w:tcBorders>
            <w:shd w:val="clear" w:color="000000" w:fill="D8D8D8"/>
            <w:noWrap/>
            <w:vAlign w:val="center"/>
            <w:hideMark/>
          </w:tcPr>
          <w:p w:rsidR="00604D2F" w:rsidRPr="00472541" w:rsidRDefault="00604D2F" w:rsidP="00604D2F">
            <w:pPr>
              <w:jc w:val="center"/>
              <w:rPr>
                <w:rFonts w:ascii="Arial" w:hAnsi="Arial" w:cs="Arial"/>
                <w:b/>
                <w:bCs/>
                <w:color w:val="000000"/>
                <w:sz w:val="16"/>
                <w:szCs w:val="16"/>
                <w:lang w:eastAsia="en-AU"/>
              </w:rPr>
            </w:pPr>
            <w:r w:rsidRPr="00472541">
              <w:rPr>
                <w:rFonts w:ascii="Arial" w:hAnsi="Arial" w:cs="Arial"/>
                <w:b/>
                <w:bCs/>
                <w:color w:val="000000"/>
                <w:sz w:val="16"/>
                <w:szCs w:val="16"/>
                <w:lang w:eastAsia="en-AU"/>
              </w:rPr>
              <w:t>SC12 HTISC</w:t>
            </w:r>
          </w:p>
        </w:tc>
        <w:tc>
          <w:tcPr>
            <w:tcW w:w="1280" w:type="dxa"/>
            <w:tcBorders>
              <w:top w:val="single" w:sz="8" w:space="0" w:color="auto"/>
              <w:left w:val="nil"/>
              <w:bottom w:val="single" w:sz="8" w:space="0" w:color="auto"/>
              <w:right w:val="nil"/>
            </w:tcBorders>
            <w:shd w:val="clear" w:color="000000" w:fill="D8D8D8"/>
            <w:noWrap/>
            <w:vAlign w:val="center"/>
            <w:hideMark/>
          </w:tcPr>
          <w:p w:rsidR="00604D2F" w:rsidRPr="00472541" w:rsidRDefault="00604D2F" w:rsidP="00604D2F">
            <w:pPr>
              <w:jc w:val="center"/>
              <w:rPr>
                <w:rFonts w:ascii="Arial" w:hAnsi="Arial" w:cs="Arial"/>
                <w:b/>
                <w:bCs/>
                <w:color w:val="000000"/>
                <w:sz w:val="16"/>
                <w:szCs w:val="16"/>
                <w:lang w:eastAsia="en-AU"/>
              </w:rPr>
            </w:pPr>
            <w:r w:rsidRPr="00472541">
              <w:rPr>
                <w:rFonts w:ascii="Arial" w:hAnsi="Arial" w:cs="Arial"/>
                <w:b/>
                <w:bCs/>
                <w:color w:val="000000"/>
                <w:sz w:val="16"/>
                <w:szCs w:val="16"/>
                <w:lang w:eastAsia="en-AU"/>
              </w:rPr>
              <w:t>Change type</w:t>
            </w:r>
          </w:p>
        </w:tc>
        <w:tc>
          <w:tcPr>
            <w:tcW w:w="1540" w:type="dxa"/>
            <w:tcBorders>
              <w:top w:val="single" w:sz="8" w:space="0" w:color="auto"/>
              <w:left w:val="single" w:sz="8" w:space="0" w:color="auto"/>
              <w:bottom w:val="single" w:sz="8" w:space="0" w:color="auto"/>
              <w:right w:val="single" w:sz="8" w:space="0" w:color="auto"/>
            </w:tcBorders>
            <w:shd w:val="clear" w:color="000000" w:fill="D8D8D8"/>
            <w:noWrap/>
            <w:vAlign w:val="center"/>
            <w:hideMark/>
          </w:tcPr>
          <w:p w:rsidR="00604D2F" w:rsidRPr="00472541" w:rsidRDefault="00604D2F" w:rsidP="00604D2F">
            <w:pPr>
              <w:jc w:val="center"/>
              <w:rPr>
                <w:rFonts w:ascii="Arial" w:hAnsi="Arial" w:cs="Arial"/>
                <w:b/>
                <w:bCs/>
                <w:color w:val="000000"/>
                <w:sz w:val="16"/>
                <w:szCs w:val="16"/>
                <w:lang w:eastAsia="en-AU"/>
              </w:rPr>
            </w:pPr>
            <w:r w:rsidRPr="00472541">
              <w:rPr>
                <w:rFonts w:ascii="Arial" w:hAnsi="Arial" w:cs="Arial"/>
                <w:b/>
                <w:bCs/>
                <w:color w:val="000000"/>
                <w:sz w:val="16"/>
                <w:szCs w:val="16"/>
                <w:lang w:eastAsia="en-AU"/>
              </w:rPr>
              <w:t>Consolidated SC07</w:t>
            </w:r>
          </w:p>
        </w:tc>
        <w:tc>
          <w:tcPr>
            <w:tcW w:w="2780" w:type="dxa"/>
            <w:tcBorders>
              <w:top w:val="single" w:sz="8" w:space="0" w:color="auto"/>
              <w:left w:val="nil"/>
              <w:bottom w:val="single" w:sz="8" w:space="0" w:color="auto"/>
              <w:right w:val="single" w:sz="8" w:space="0" w:color="auto"/>
            </w:tcBorders>
            <w:shd w:val="clear" w:color="000000" w:fill="D8D8D8"/>
            <w:noWrap/>
            <w:vAlign w:val="center"/>
            <w:hideMark/>
          </w:tcPr>
          <w:p w:rsidR="00604D2F" w:rsidRPr="00472541" w:rsidRDefault="00604D2F" w:rsidP="00604D2F">
            <w:pPr>
              <w:rPr>
                <w:rFonts w:ascii="Arial" w:hAnsi="Arial" w:cs="Arial"/>
                <w:b/>
                <w:bCs/>
                <w:color w:val="000000"/>
                <w:sz w:val="16"/>
                <w:szCs w:val="16"/>
                <w:lang w:eastAsia="en-AU"/>
              </w:rPr>
            </w:pPr>
            <w:r w:rsidRPr="00472541">
              <w:rPr>
                <w:rFonts w:ascii="Arial" w:hAnsi="Arial" w:cs="Arial"/>
                <w:b/>
                <w:bCs/>
                <w:color w:val="000000"/>
                <w:sz w:val="16"/>
                <w:szCs w:val="16"/>
                <w:lang w:eastAsia="en-AU"/>
              </w:rPr>
              <w:t>New code details</w:t>
            </w:r>
          </w:p>
        </w:tc>
      </w:tr>
      <w:tr w:rsidR="00604D2F" w:rsidRPr="00472541" w:rsidTr="00604D2F">
        <w:trPr>
          <w:trHeight w:val="285"/>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8443.31.00</w:t>
            </w:r>
          </w:p>
        </w:tc>
        <w:tc>
          <w:tcPr>
            <w:tcW w:w="1600" w:type="dxa"/>
            <w:tcBorders>
              <w:top w:val="nil"/>
              <w:left w:val="nil"/>
              <w:bottom w:val="single" w:sz="4" w:space="0" w:color="auto"/>
              <w:right w:val="single" w:sz="8" w:space="0" w:color="auto"/>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8443.31.00 61</w:t>
            </w:r>
          </w:p>
        </w:tc>
        <w:tc>
          <w:tcPr>
            <w:tcW w:w="1280" w:type="dxa"/>
            <w:tcBorders>
              <w:top w:val="nil"/>
              <w:left w:val="nil"/>
              <w:bottom w:val="single" w:sz="4" w:space="0" w:color="auto"/>
              <w:right w:val="nil"/>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no change</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604D2F" w:rsidRPr="00472541" w:rsidRDefault="00604D2F" w:rsidP="00604D2F">
            <w:pPr>
              <w:jc w:val="center"/>
              <w:rPr>
                <w:rFonts w:ascii="Arial" w:hAnsi="Arial" w:cs="Arial"/>
                <w:color w:val="000000"/>
                <w:sz w:val="16"/>
                <w:szCs w:val="16"/>
                <w:lang w:eastAsia="en-AU"/>
              </w:rPr>
            </w:pPr>
          </w:p>
        </w:tc>
        <w:tc>
          <w:tcPr>
            <w:tcW w:w="2780" w:type="dxa"/>
            <w:tcBorders>
              <w:top w:val="nil"/>
              <w:left w:val="nil"/>
              <w:bottom w:val="single" w:sz="4" w:space="0" w:color="auto"/>
              <w:right w:val="single" w:sz="8" w:space="0" w:color="auto"/>
            </w:tcBorders>
            <w:shd w:val="clear" w:color="auto" w:fill="auto"/>
            <w:noWrap/>
            <w:vAlign w:val="center"/>
            <w:hideMark/>
          </w:tcPr>
          <w:p w:rsidR="00604D2F" w:rsidRPr="00472541" w:rsidRDefault="00604D2F" w:rsidP="00604D2F">
            <w:pPr>
              <w:rPr>
                <w:rFonts w:ascii="Arial" w:hAnsi="Arial" w:cs="Arial"/>
                <w:color w:val="000000"/>
                <w:sz w:val="16"/>
                <w:szCs w:val="16"/>
                <w:lang w:eastAsia="en-AU"/>
              </w:rPr>
            </w:pPr>
          </w:p>
        </w:tc>
      </w:tr>
      <w:tr w:rsidR="00604D2F" w:rsidRPr="00472541" w:rsidTr="00604D2F">
        <w:trPr>
          <w:trHeight w:val="570"/>
        </w:trPr>
        <w:tc>
          <w:tcPr>
            <w:tcW w:w="1060" w:type="dxa"/>
            <w:vMerge/>
            <w:tcBorders>
              <w:top w:val="nil"/>
              <w:left w:val="single" w:sz="8" w:space="0" w:color="auto"/>
              <w:bottom w:val="single" w:sz="8" w:space="0" w:color="000000"/>
              <w:right w:val="single" w:sz="8" w:space="0" w:color="auto"/>
            </w:tcBorders>
            <w:vAlign w:val="center"/>
            <w:hideMark/>
          </w:tcPr>
          <w:p w:rsidR="00604D2F" w:rsidRPr="00472541" w:rsidRDefault="00604D2F" w:rsidP="00604D2F">
            <w:pPr>
              <w:jc w:val="center"/>
              <w:rPr>
                <w:rFonts w:ascii="Arial" w:hAnsi="Arial" w:cs="Arial"/>
                <w:color w:val="000000"/>
                <w:sz w:val="16"/>
                <w:szCs w:val="16"/>
                <w:lang w:eastAsia="en-AU"/>
              </w:rPr>
            </w:pPr>
          </w:p>
        </w:tc>
        <w:tc>
          <w:tcPr>
            <w:tcW w:w="1600" w:type="dxa"/>
            <w:tcBorders>
              <w:top w:val="nil"/>
              <w:left w:val="nil"/>
              <w:bottom w:val="single" w:sz="4" w:space="0" w:color="auto"/>
              <w:right w:val="single" w:sz="8" w:space="0" w:color="auto"/>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8443.31.00 90</w:t>
            </w:r>
          </w:p>
        </w:tc>
        <w:tc>
          <w:tcPr>
            <w:tcW w:w="1280" w:type="dxa"/>
            <w:tcBorders>
              <w:top w:val="nil"/>
              <w:left w:val="nil"/>
              <w:bottom w:val="single" w:sz="4" w:space="0" w:color="auto"/>
              <w:right w:val="nil"/>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consolidation</w:t>
            </w:r>
          </w:p>
        </w:tc>
        <w:tc>
          <w:tcPr>
            <w:tcW w:w="1540" w:type="dxa"/>
            <w:tcBorders>
              <w:top w:val="nil"/>
              <w:left w:val="single" w:sz="8" w:space="0" w:color="auto"/>
              <w:bottom w:val="single" w:sz="4" w:space="0" w:color="auto"/>
              <w:right w:val="single" w:sz="8" w:space="0" w:color="auto"/>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8443.31.00  62</w:t>
            </w:r>
            <w:r w:rsidRPr="00472541">
              <w:rPr>
                <w:rFonts w:ascii="Arial" w:hAnsi="Arial" w:cs="Arial"/>
                <w:color w:val="000000"/>
                <w:sz w:val="16"/>
                <w:szCs w:val="16"/>
                <w:lang w:eastAsia="en-AU"/>
              </w:rPr>
              <w:br/>
              <w:t>8443.31.00 90</w:t>
            </w:r>
          </w:p>
        </w:tc>
        <w:tc>
          <w:tcPr>
            <w:tcW w:w="2780" w:type="dxa"/>
            <w:tcBorders>
              <w:top w:val="nil"/>
              <w:left w:val="nil"/>
              <w:bottom w:val="single" w:sz="4" w:space="0" w:color="auto"/>
              <w:right w:val="single" w:sz="8" w:space="0" w:color="auto"/>
            </w:tcBorders>
            <w:shd w:val="clear" w:color="auto" w:fill="auto"/>
            <w:vAlign w:val="center"/>
            <w:hideMark/>
          </w:tcPr>
          <w:p w:rsidR="00604D2F" w:rsidRPr="00472541" w:rsidRDefault="00604D2F" w:rsidP="00604D2F">
            <w:pPr>
              <w:rPr>
                <w:rFonts w:ascii="Arial" w:hAnsi="Arial" w:cs="Arial"/>
                <w:color w:val="000000"/>
                <w:sz w:val="16"/>
                <w:szCs w:val="16"/>
                <w:lang w:eastAsia="en-AU"/>
              </w:rPr>
            </w:pPr>
            <w:r w:rsidRPr="00472541">
              <w:rPr>
                <w:rFonts w:ascii="Arial" w:hAnsi="Arial" w:cs="Arial"/>
                <w:color w:val="000000"/>
                <w:sz w:val="16"/>
                <w:szCs w:val="16"/>
                <w:lang w:eastAsia="en-AU"/>
              </w:rPr>
              <w:t xml:space="preserve">Apply CF for </w:t>
            </w:r>
            <w:r w:rsidRPr="00472541">
              <w:rPr>
                <w:rFonts w:ascii="Arial" w:hAnsi="Arial" w:cs="Arial"/>
                <w:b/>
                <w:color w:val="000000"/>
                <w:sz w:val="16"/>
                <w:szCs w:val="16"/>
                <w:lang w:eastAsia="en-AU"/>
              </w:rPr>
              <w:t>SC07 8443.31.00 90</w:t>
            </w:r>
            <w:r w:rsidRPr="00472541">
              <w:rPr>
                <w:rFonts w:ascii="Arial" w:hAnsi="Arial" w:cs="Arial"/>
                <w:color w:val="000000"/>
                <w:sz w:val="16"/>
                <w:szCs w:val="16"/>
                <w:lang w:eastAsia="en-AU"/>
              </w:rPr>
              <w:t>: no data for SC07 8443.31.00 62</w:t>
            </w:r>
          </w:p>
        </w:tc>
      </w:tr>
      <w:tr w:rsidR="00604D2F" w:rsidRPr="00472541" w:rsidTr="00604D2F">
        <w:trPr>
          <w:trHeight w:val="315"/>
        </w:trPr>
        <w:tc>
          <w:tcPr>
            <w:tcW w:w="1060" w:type="dxa"/>
            <w:vMerge/>
            <w:tcBorders>
              <w:top w:val="nil"/>
              <w:left w:val="single" w:sz="8" w:space="0" w:color="auto"/>
              <w:bottom w:val="single" w:sz="8" w:space="0" w:color="000000"/>
              <w:right w:val="single" w:sz="8" w:space="0" w:color="auto"/>
            </w:tcBorders>
            <w:vAlign w:val="center"/>
            <w:hideMark/>
          </w:tcPr>
          <w:p w:rsidR="00604D2F" w:rsidRPr="00472541" w:rsidRDefault="00604D2F" w:rsidP="00604D2F">
            <w:pPr>
              <w:jc w:val="center"/>
              <w:rPr>
                <w:rFonts w:ascii="Arial" w:hAnsi="Arial" w:cs="Arial"/>
                <w:color w:val="000000"/>
                <w:sz w:val="16"/>
                <w:szCs w:val="16"/>
                <w:lang w:eastAsia="en-AU"/>
              </w:rPr>
            </w:pPr>
          </w:p>
        </w:tc>
        <w:tc>
          <w:tcPr>
            <w:tcW w:w="1600" w:type="dxa"/>
            <w:tcBorders>
              <w:top w:val="nil"/>
              <w:left w:val="nil"/>
              <w:bottom w:val="single" w:sz="8" w:space="0" w:color="auto"/>
              <w:right w:val="single" w:sz="8" w:space="0" w:color="auto"/>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8443.31.00 64</w:t>
            </w:r>
          </w:p>
        </w:tc>
        <w:tc>
          <w:tcPr>
            <w:tcW w:w="1280" w:type="dxa"/>
            <w:tcBorders>
              <w:top w:val="nil"/>
              <w:left w:val="nil"/>
              <w:bottom w:val="single" w:sz="8" w:space="0" w:color="auto"/>
              <w:right w:val="nil"/>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no change</w:t>
            </w:r>
          </w:p>
        </w:tc>
        <w:tc>
          <w:tcPr>
            <w:tcW w:w="1540" w:type="dxa"/>
            <w:tcBorders>
              <w:top w:val="nil"/>
              <w:left w:val="single" w:sz="8" w:space="0" w:color="auto"/>
              <w:bottom w:val="single" w:sz="8" w:space="0" w:color="auto"/>
              <w:right w:val="single" w:sz="8" w:space="0" w:color="auto"/>
            </w:tcBorders>
            <w:shd w:val="clear" w:color="auto" w:fill="auto"/>
            <w:noWrap/>
            <w:vAlign w:val="center"/>
            <w:hideMark/>
          </w:tcPr>
          <w:p w:rsidR="00604D2F" w:rsidRPr="00472541" w:rsidRDefault="00604D2F" w:rsidP="00604D2F">
            <w:pPr>
              <w:jc w:val="center"/>
              <w:rPr>
                <w:rFonts w:ascii="Arial" w:hAnsi="Arial" w:cs="Arial"/>
                <w:color w:val="000000"/>
                <w:sz w:val="16"/>
                <w:szCs w:val="16"/>
                <w:lang w:eastAsia="en-AU"/>
              </w:rPr>
            </w:pPr>
          </w:p>
        </w:tc>
        <w:tc>
          <w:tcPr>
            <w:tcW w:w="2780" w:type="dxa"/>
            <w:tcBorders>
              <w:top w:val="nil"/>
              <w:left w:val="nil"/>
              <w:bottom w:val="single" w:sz="8" w:space="0" w:color="auto"/>
              <w:right w:val="single" w:sz="8" w:space="0" w:color="auto"/>
            </w:tcBorders>
            <w:shd w:val="clear" w:color="auto" w:fill="auto"/>
            <w:noWrap/>
            <w:vAlign w:val="center"/>
            <w:hideMark/>
          </w:tcPr>
          <w:p w:rsidR="00604D2F" w:rsidRPr="00472541" w:rsidRDefault="00604D2F" w:rsidP="00604D2F">
            <w:pPr>
              <w:rPr>
                <w:rFonts w:ascii="Arial" w:hAnsi="Arial" w:cs="Arial"/>
                <w:color w:val="000000"/>
                <w:sz w:val="16"/>
                <w:szCs w:val="16"/>
                <w:lang w:eastAsia="en-AU"/>
              </w:rPr>
            </w:pPr>
          </w:p>
        </w:tc>
      </w:tr>
      <w:tr w:rsidR="00604D2F" w:rsidRPr="00472541" w:rsidTr="00604D2F">
        <w:trPr>
          <w:trHeight w:val="30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8443.32.00</w:t>
            </w:r>
          </w:p>
        </w:tc>
        <w:tc>
          <w:tcPr>
            <w:tcW w:w="1600" w:type="dxa"/>
            <w:tcBorders>
              <w:top w:val="nil"/>
              <w:left w:val="nil"/>
              <w:bottom w:val="single" w:sz="4" w:space="0" w:color="auto"/>
              <w:right w:val="single" w:sz="8" w:space="0" w:color="auto"/>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8443.32.00 71</w:t>
            </w:r>
          </w:p>
        </w:tc>
        <w:tc>
          <w:tcPr>
            <w:tcW w:w="1280" w:type="dxa"/>
            <w:tcBorders>
              <w:top w:val="nil"/>
              <w:left w:val="nil"/>
              <w:bottom w:val="single" w:sz="4" w:space="0" w:color="auto"/>
              <w:right w:val="nil"/>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no change</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604D2F" w:rsidRPr="00472541" w:rsidRDefault="00604D2F" w:rsidP="00604D2F">
            <w:pPr>
              <w:jc w:val="center"/>
              <w:rPr>
                <w:rFonts w:ascii="Arial" w:hAnsi="Arial" w:cs="Arial"/>
                <w:color w:val="000000"/>
                <w:sz w:val="16"/>
                <w:szCs w:val="16"/>
                <w:lang w:eastAsia="en-AU"/>
              </w:rPr>
            </w:pPr>
          </w:p>
        </w:tc>
        <w:tc>
          <w:tcPr>
            <w:tcW w:w="2780" w:type="dxa"/>
            <w:tcBorders>
              <w:top w:val="nil"/>
              <w:left w:val="nil"/>
              <w:bottom w:val="single" w:sz="4" w:space="0" w:color="auto"/>
              <w:right w:val="single" w:sz="8" w:space="0" w:color="auto"/>
            </w:tcBorders>
            <w:shd w:val="clear" w:color="auto" w:fill="auto"/>
            <w:noWrap/>
            <w:vAlign w:val="center"/>
            <w:hideMark/>
          </w:tcPr>
          <w:p w:rsidR="00604D2F" w:rsidRPr="00472541" w:rsidRDefault="00604D2F" w:rsidP="00604D2F">
            <w:pPr>
              <w:rPr>
                <w:rFonts w:ascii="Arial" w:hAnsi="Arial" w:cs="Arial"/>
                <w:color w:val="000000"/>
                <w:sz w:val="16"/>
                <w:szCs w:val="16"/>
                <w:lang w:eastAsia="en-AU"/>
              </w:rPr>
            </w:pPr>
          </w:p>
        </w:tc>
      </w:tr>
      <w:tr w:rsidR="00604D2F" w:rsidRPr="00472541" w:rsidTr="00604D2F">
        <w:trPr>
          <w:trHeight w:val="300"/>
        </w:trPr>
        <w:tc>
          <w:tcPr>
            <w:tcW w:w="1060" w:type="dxa"/>
            <w:vMerge/>
            <w:tcBorders>
              <w:top w:val="nil"/>
              <w:left w:val="single" w:sz="8" w:space="0" w:color="auto"/>
              <w:bottom w:val="single" w:sz="8" w:space="0" w:color="000000"/>
              <w:right w:val="single" w:sz="8" w:space="0" w:color="auto"/>
            </w:tcBorders>
            <w:vAlign w:val="center"/>
            <w:hideMark/>
          </w:tcPr>
          <w:p w:rsidR="00604D2F" w:rsidRPr="00472541" w:rsidRDefault="00604D2F" w:rsidP="00604D2F">
            <w:pPr>
              <w:jc w:val="center"/>
              <w:rPr>
                <w:rFonts w:ascii="Arial" w:hAnsi="Arial" w:cs="Arial"/>
                <w:color w:val="000000"/>
                <w:sz w:val="16"/>
                <w:szCs w:val="16"/>
                <w:lang w:eastAsia="en-AU"/>
              </w:rPr>
            </w:pPr>
          </w:p>
        </w:tc>
        <w:tc>
          <w:tcPr>
            <w:tcW w:w="1600" w:type="dxa"/>
            <w:tcBorders>
              <w:top w:val="nil"/>
              <w:left w:val="nil"/>
              <w:bottom w:val="single" w:sz="4" w:space="0" w:color="auto"/>
              <w:right w:val="single" w:sz="8" w:space="0" w:color="auto"/>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8443.32.00 72</w:t>
            </w:r>
          </w:p>
        </w:tc>
        <w:tc>
          <w:tcPr>
            <w:tcW w:w="1280" w:type="dxa"/>
            <w:tcBorders>
              <w:top w:val="nil"/>
              <w:left w:val="nil"/>
              <w:bottom w:val="single" w:sz="4" w:space="0" w:color="auto"/>
              <w:right w:val="nil"/>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no change</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604D2F" w:rsidRPr="00472541" w:rsidRDefault="00604D2F" w:rsidP="00604D2F">
            <w:pPr>
              <w:jc w:val="center"/>
              <w:rPr>
                <w:rFonts w:ascii="Arial" w:hAnsi="Arial" w:cs="Arial"/>
                <w:color w:val="000000"/>
                <w:sz w:val="16"/>
                <w:szCs w:val="16"/>
                <w:lang w:eastAsia="en-AU"/>
              </w:rPr>
            </w:pPr>
          </w:p>
        </w:tc>
        <w:tc>
          <w:tcPr>
            <w:tcW w:w="2780" w:type="dxa"/>
            <w:tcBorders>
              <w:top w:val="nil"/>
              <w:left w:val="nil"/>
              <w:bottom w:val="single" w:sz="4" w:space="0" w:color="auto"/>
              <w:right w:val="single" w:sz="8" w:space="0" w:color="auto"/>
            </w:tcBorders>
            <w:shd w:val="clear" w:color="auto" w:fill="auto"/>
            <w:noWrap/>
            <w:vAlign w:val="center"/>
            <w:hideMark/>
          </w:tcPr>
          <w:p w:rsidR="00604D2F" w:rsidRPr="00472541" w:rsidRDefault="00604D2F" w:rsidP="00604D2F">
            <w:pPr>
              <w:rPr>
                <w:rFonts w:ascii="Arial" w:hAnsi="Arial" w:cs="Arial"/>
                <w:color w:val="000000"/>
                <w:sz w:val="16"/>
                <w:szCs w:val="16"/>
                <w:lang w:eastAsia="en-AU"/>
              </w:rPr>
            </w:pPr>
          </w:p>
        </w:tc>
      </w:tr>
      <w:tr w:rsidR="00604D2F" w:rsidRPr="00472541" w:rsidTr="00604D2F">
        <w:trPr>
          <w:trHeight w:val="300"/>
        </w:trPr>
        <w:tc>
          <w:tcPr>
            <w:tcW w:w="1060" w:type="dxa"/>
            <w:vMerge/>
            <w:tcBorders>
              <w:top w:val="nil"/>
              <w:left w:val="single" w:sz="8" w:space="0" w:color="auto"/>
              <w:bottom w:val="single" w:sz="8" w:space="0" w:color="000000"/>
              <w:right w:val="single" w:sz="8" w:space="0" w:color="auto"/>
            </w:tcBorders>
            <w:vAlign w:val="center"/>
            <w:hideMark/>
          </w:tcPr>
          <w:p w:rsidR="00604D2F" w:rsidRPr="00472541" w:rsidRDefault="00604D2F" w:rsidP="00604D2F">
            <w:pPr>
              <w:jc w:val="center"/>
              <w:rPr>
                <w:rFonts w:ascii="Arial" w:hAnsi="Arial" w:cs="Arial"/>
                <w:color w:val="000000"/>
                <w:sz w:val="16"/>
                <w:szCs w:val="16"/>
                <w:lang w:eastAsia="en-AU"/>
              </w:rPr>
            </w:pPr>
          </w:p>
        </w:tc>
        <w:tc>
          <w:tcPr>
            <w:tcW w:w="1600" w:type="dxa"/>
            <w:tcBorders>
              <w:top w:val="nil"/>
              <w:left w:val="nil"/>
              <w:bottom w:val="single" w:sz="4" w:space="0" w:color="auto"/>
              <w:right w:val="single" w:sz="8" w:space="0" w:color="auto"/>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8443.32.00 74</w:t>
            </w:r>
          </w:p>
        </w:tc>
        <w:tc>
          <w:tcPr>
            <w:tcW w:w="1280" w:type="dxa"/>
            <w:tcBorders>
              <w:top w:val="nil"/>
              <w:left w:val="nil"/>
              <w:bottom w:val="single" w:sz="4" w:space="0" w:color="auto"/>
              <w:right w:val="nil"/>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no change</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604D2F" w:rsidRPr="00472541" w:rsidRDefault="00604D2F" w:rsidP="00604D2F">
            <w:pPr>
              <w:jc w:val="center"/>
              <w:rPr>
                <w:rFonts w:ascii="Arial" w:hAnsi="Arial" w:cs="Arial"/>
                <w:color w:val="000000"/>
                <w:sz w:val="16"/>
                <w:szCs w:val="16"/>
                <w:lang w:eastAsia="en-AU"/>
              </w:rPr>
            </w:pPr>
          </w:p>
        </w:tc>
        <w:tc>
          <w:tcPr>
            <w:tcW w:w="2780" w:type="dxa"/>
            <w:tcBorders>
              <w:top w:val="nil"/>
              <w:left w:val="nil"/>
              <w:bottom w:val="single" w:sz="4" w:space="0" w:color="auto"/>
              <w:right w:val="single" w:sz="8" w:space="0" w:color="auto"/>
            </w:tcBorders>
            <w:shd w:val="clear" w:color="auto" w:fill="auto"/>
            <w:noWrap/>
            <w:vAlign w:val="center"/>
            <w:hideMark/>
          </w:tcPr>
          <w:p w:rsidR="00604D2F" w:rsidRPr="00472541" w:rsidRDefault="00604D2F" w:rsidP="00604D2F">
            <w:pPr>
              <w:rPr>
                <w:rFonts w:ascii="Arial" w:hAnsi="Arial" w:cs="Arial"/>
                <w:color w:val="000000"/>
                <w:sz w:val="16"/>
                <w:szCs w:val="16"/>
                <w:lang w:eastAsia="en-AU"/>
              </w:rPr>
            </w:pPr>
          </w:p>
        </w:tc>
      </w:tr>
      <w:tr w:rsidR="00604D2F" w:rsidRPr="00472541" w:rsidTr="00604D2F">
        <w:trPr>
          <w:trHeight w:val="480"/>
        </w:trPr>
        <w:tc>
          <w:tcPr>
            <w:tcW w:w="1060" w:type="dxa"/>
            <w:vMerge/>
            <w:tcBorders>
              <w:top w:val="nil"/>
              <w:left w:val="single" w:sz="8" w:space="0" w:color="auto"/>
              <w:bottom w:val="single" w:sz="8" w:space="0" w:color="000000"/>
              <w:right w:val="single" w:sz="8" w:space="0" w:color="auto"/>
            </w:tcBorders>
            <w:vAlign w:val="center"/>
            <w:hideMark/>
          </w:tcPr>
          <w:p w:rsidR="00604D2F" w:rsidRPr="00472541" w:rsidRDefault="00604D2F" w:rsidP="00604D2F">
            <w:pPr>
              <w:jc w:val="center"/>
              <w:rPr>
                <w:rFonts w:ascii="Arial" w:hAnsi="Arial" w:cs="Arial"/>
                <w:color w:val="000000"/>
                <w:sz w:val="16"/>
                <w:szCs w:val="16"/>
                <w:lang w:eastAsia="en-AU"/>
              </w:rPr>
            </w:pPr>
          </w:p>
        </w:tc>
        <w:tc>
          <w:tcPr>
            <w:tcW w:w="1600" w:type="dxa"/>
            <w:tcBorders>
              <w:top w:val="nil"/>
              <w:left w:val="nil"/>
              <w:bottom w:val="nil"/>
              <w:right w:val="single" w:sz="8" w:space="0" w:color="auto"/>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8443.32.00 79</w:t>
            </w:r>
          </w:p>
        </w:tc>
        <w:tc>
          <w:tcPr>
            <w:tcW w:w="1280" w:type="dxa"/>
            <w:tcBorders>
              <w:top w:val="nil"/>
              <w:left w:val="nil"/>
              <w:bottom w:val="nil"/>
              <w:right w:val="nil"/>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consolidation</w:t>
            </w:r>
          </w:p>
        </w:tc>
        <w:tc>
          <w:tcPr>
            <w:tcW w:w="1540" w:type="dxa"/>
            <w:tcBorders>
              <w:top w:val="nil"/>
              <w:left w:val="single" w:sz="8" w:space="0" w:color="auto"/>
              <w:bottom w:val="nil"/>
              <w:right w:val="single" w:sz="8" w:space="0" w:color="auto"/>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8443.32.00 79</w:t>
            </w:r>
            <w:r w:rsidRPr="00472541">
              <w:rPr>
                <w:rFonts w:ascii="Arial" w:hAnsi="Arial" w:cs="Arial"/>
                <w:color w:val="000000"/>
                <w:sz w:val="16"/>
                <w:szCs w:val="16"/>
                <w:lang w:eastAsia="en-AU"/>
              </w:rPr>
              <w:br/>
              <w:t>8443.32.00 95</w:t>
            </w:r>
          </w:p>
        </w:tc>
        <w:tc>
          <w:tcPr>
            <w:tcW w:w="2780" w:type="dxa"/>
            <w:tcBorders>
              <w:top w:val="nil"/>
              <w:left w:val="nil"/>
              <w:bottom w:val="nil"/>
              <w:right w:val="single" w:sz="8" w:space="0" w:color="auto"/>
            </w:tcBorders>
            <w:shd w:val="clear" w:color="auto" w:fill="auto"/>
            <w:vAlign w:val="center"/>
            <w:hideMark/>
          </w:tcPr>
          <w:p w:rsidR="00604D2F" w:rsidRPr="007D4E8D" w:rsidRDefault="00604D2F" w:rsidP="00604D2F">
            <w:pPr>
              <w:rPr>
                <w:rFonts w:ascii="Arial" w:hAnsi="Arial" w:cs="Arial"/>
                <w:b/>
                <w:color w:val="000000"/>
                <w:sz w:val="16"/>
                <w:szCs w:val="16"/>
                <w:lang w:eastAsia="en-AU"/>
              </w:rPr>
            </w:pPr>
            <w:r w:rsidRPr="00472541">
              <w:rPr>
                <w:rFonts w:ascii="Arial" w:hAnsi="Arial" w:cs="Arial"/>
                <w:color w:val="000000"/>
                <w:sz w:val="16"/>
                <w:szCs w:val="16"/>
                <w:lang w:eastAsia="en-AU"/>
              </w:rPr>
              <w:t xml:space="preserve">Apply </w:t>
            </w:r>
            <w:r>
              <w:rPr>
                <w:rFonts w:ascii="Arial" w:hAnsi="Arial" w:cs="Arial"/>
                <w:color w:val="000000"/>
                <w:sz w:val="16"/>
                <w:szCs w:val="16"/>
                <w:lang w:eastAsia="en-AU"/>
              </w:rPr>
              <w:t xml:space="preserve">CF </w:t>
            </w:r>
            <w:r w:rsidRPr="00472541">
              <w:rPr>
                <w:rFonts w:ascii="Arial" w:hAnsi="Arial" w:cs="Arial"/>
                <w:color w:val="000000"/>
                <w:sz w:val="16"/>
                <w:szCs w:val="16"/>
                <w:lang w:eastAsia="en-AU"/>
              </w:rPr>
              <w:t xml:space="preserve"> for </w:t>
            </w:r>
            <w:r w:rsidRPr="00472541">
              <w:rPr>
                <w:rFonts w:ascii="Arial" w:hAnsi="Arial" w:cs="Arial"/>
                <w:b/>
                <w:color w:val="000000"/>
                <w:sz w:val="16"/>
                <w:szCs w:val="16"/>
                <w:lang w:eastAsia="en-AU"/>
              </w:rPr>
              <w:t>SC07  8443.32.00 79:</w:t>
            </w:r>
            <w:r w:rsidRPr="00472541">
              <w:rPr>
                <w:rFonts w:ascii="Arial" w:hAnsi="Arial" w:cs="Arial"/>
                <w:color w:val="000000"/>
                <w:sz w:val="16"/>
                <w:szCs w:val="16"/>
                <w:lang w:eastAsia="en-AU"/>
              </w:rPr>
              <w:t xml:space="preserve"> no data for SC07 8443.32.00 95</w:t>
            </w:r>
          </w:p>
        </w:tc>
      </w:tr>
      <w:tr w:rsidR="00604D2F" w:rsidRPr="00472541" w:rsidTr="00604D2F">
        <w:trPr>
          <w:trHeight w:val="30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8471.30.00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8471.30.00 20</w:t>
            </w:r>
          </w:p>
        </w:tc>
        <w:tc>
          <w:tcPr>
            <w:tcW w:w="1280" w:type="dxa"/>
            <w:tcBorders>
              <w:top w:val="single" w:sz="8" w:space="0" w:color="auto"/>
              <w:left w:val="nil"/>
              <w:bottom w:val="single" w:sz="4" w:space="0" w:color="auto"/>
              <w:right w:val="nil"/>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no change</w:t>
            </w:r>
          </w:p>
        </w:tc>
        <w:tc>
          <w:tcPr>
            <w:tcW w:w="15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04D2F" w:rsidRPr="00472541" w:rsidRDefault="00604D2F" w:rsidP="00604D2F">
            <w:pPr>
              <w:jc w:val="center"/>
              <w:rPr>
                <w:rFonts w:ascii="Arial" w:hAnsi="Arial" w:cs="Arial"/>
                <w:color w:val="000000"/>
                <w:sz w:val="16"/>
                <w:szCs w:val="16"/>
                <w:lang w:eastAsia="en-AU"/>
              </w:rPr>
            </w:pPr>
          </w:p>
        </w:tc>
        <w:tc>
          <w:tcPr>
            <w:tcW w:w="2780" w:type="dxa"/>
            <w:tcBorders>
              <w:top w:val="single" w:sz="8" w:space="0" w:color="auto"/>
              <w:left w:val="nil"/>
              <w:bottom w:val="single" w:sz="4" w:space="0" w:color="auto"/>
              <w:right w:val="single" w:sz="8" w:space="0" w:color="auto"/>
            </w:tcBorders>
            <w:shd w:val="clear" w:color="auto" w:fill="auto"/>
            <w:noWrap/>
            <w:vAlign w:val="center"/>
            <w:hideMark/>
          </w:tcPr>
          <w:p w:rsidR="00604D2F" w:rsidRPr="00472541" w:rsidRDefault="00604D2F" w:rsidP="00604D2F">
            <w:pPr>
              <w:rPr>
                <w:rFonts w:ascii="Arial" w:hAnsi="Arial" w:cs="Arial"/>
                <w:color w:val="000000"/>
                <w:sz w:val="16"/>
                <w:szCs w:val="16"/>
                <w:lang w:eastAsia="en-AU"/>
              </w:rPr>
            </w:pPr>
          </w:p>
        </w:tc>
      </w:tr>
      <w:tr w:rsidR="00604D2F" w:rsidRPr="00472541" w:rsidTr="00604D2F">
        <w:trPr>
          <w:trHeight w:val="315"/>
        </w:trPr>
        <w:tc>
          <w:tcPr>
            <w:tcW w:w="1060" w:type="dxa"/>
            <w:vMerge/>
            <w:tcBorders>
              <w:top w:val="nil"/>
              <w:left w:val="single" w:sz="8" w:space="0" w:color="auto"/>
              <w:bottom w:val="single" w:sz="8" w:space="0" w:color="000000"/>
              <w:right w:val="single" w:sz="8" w:space="0" w:color="auto"/>
            </w:tcBorders>
            <w:vAlign w:val="center"/>
            <w:hideMark/>
          </w:tcPr>
          <w:p w:rsidR="00604D2F" w:rsidRPr="00472541" w:rsidRDefault="00604D2F" w:rsidP="00604D2F">
            <w:pPr>
              <w:jc w:val="center"/>
              <w:rPr>
                <w:rFonts w:ascii="Arial" w:hAnsi="Arial" w:cs="Arial"/>
                <w:color w:val="000000"/>
                <w:sz w:val="16"/>
                <w:szCs w:val="16"/>
                <w:lang w:eastAsia="en-AU"/>
              </w:rPr>
            </w:pPr>
          </w:p>
        </w:tc>
        <w:tc>
          <w:tcPr>
            <w:tcW w:w="1600" w:type="dxa"/>
            <w:tcBorders>
              <w:top w:val="nil"/>
              <w:left w:val="nil"/>
              <w:bottom w:val="single" w:sz="8" w:space="0" w:color="auto"/>
              <w:right w:val="single" w:sz="8" w:space="0" w:color="auto"/>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8471.30.00 90</w:t>
            </w:r>
          </w:p>
        </w:tc>
        <w:tc>
          <w:tcPr>
            <w:tcW w:w="1280" w:type="dxa"/>
            <w:tcBorders>
              <w:top w:val="nil"/>
              <w:left w:val="nil"/>
              <w:bottom w:val="single" w:sz="8" w:space="0" w:color="auto"/>
              <w:right w:val="nil"/>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no change</w:t>
            </w:r>
          </w:p>
        </w:tc>
        <w:tc>
          <w:tcPr>
            <w:tcW w:w="1540" w:type="dxa"/>
            <w:tcBorders>
              <w:top w:val="nil"/>
              <w:left w:val="single" w:sz="8" w:space="0" w:color="auto"/>
              <w:bottom w:val="single" w:sz="8" w:space="0" w:color="auto"/>
              <w:right w:val="single" w:sz="8" w:space="0" w:color="auto"/>
            </w:tcBorders>
            <w:shd w:val="clear" w:color="auto" w:fill="auto"/>
            <w:noWrap/>
            <w:vAlign w:val="center"/>
            <w:hideMark/>
          </w:tcPr>
          <w:p w:rsidR="00604D2F" w:rsidRPr="00472541" w:rsidRDefault="00604D2F" w:rsidP="00604D2F">
            <w:pPr>
              <w:jc w:val="center"/>
              <w:rPr>
                <w:rFonts w:ascii="Arial" w:hAnsi="Arial" w:cs="Arial"/>
                <w:color w:val="000000"/>
                <w:sz w:val="16"/>
                <w:szCs w:val="16"/>
                <w:lang w:eastAsia="en-AU"/>
              </w:rPr>
            </w:pPr>
          </w:p>
        </w:tc>
        <w:tc>
          <w:tcPr>
            <w:tcW w:w="2780" w:type="dxa"/>
            <w:tcBorders>
              <w:top w:val="nil"/>
              <w:left w:val="nil"/>
              <w:bottom w:val="single" w:sz="8" w:space="0" w:color="auto"/>
              <w:right w:val="single" w:sz="8" w:space="0" w:color="auto"/>
            </w:tcBorders>
            <w:shd w:val="clear" w:color="auto" w:fill="auto"/>
            <w:noWrap/>
            <w:vAlign w:val="center"/>
            <w:hideMark/>
          </w:tcPr>
          <w:p w:rsidR="00604D2F" w:rsidRPr="00472541" w:rsidRDefault="00604D2F" w:rsidP="00604D2F">
            <w:pPr>
              <w:rPr>
                <w:rFonts w:ascii="Arial" w:hAnsi="Arial" w:cs="Arial"/>
                <w:color w:val="000000"/>
                <w:sz w:val="16"/>
                <w:szCs w:val="16"/>
                <w:lang w:eastAsia="en-AU"/>
              </w:rPr>
            </w:pPr>
          </w:p>
        </w:tc>
      </w:tr>
      <w:tr w:rsidR="00604D2F" w:rsidRPr="00472541" w:rsidTr="00604D2F">
        <w:trPr>
          <w:trHeight w:val="30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8471.41.00</w:t>
            </w:r>
          </w:p>
        </w:tc>
        <w:tc>
          <w:tcPr>
            <w:tcW w:w="1600" w:type="dxa"/>
            <w:tcBorders>
              <w:top w:val="nil"/>
              <w:left w:val="nil"/>
              <w:bottom w:val="single" w:sz="4" w:space="0" w:color="auto"/>
              <w:right w:val="single" w:sz="8" w:space="0" w:color="auto"/>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8471.41.00 21</w:t>
            </w:r>
          </w:p>
        </w:tc>
        <w:tc>
          <w:tcPr>
            <w:tcW w:w="1280" w:type="dxa"/>
            <w:tcBorders>
              <w:top w:val="nil"/>
              <w:left w:val="nil"/>
              <w:bottom w:val="single" w:sz="4" w:space="0" w:color="auto"/>
              <w:right w:val="nil"/>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no change</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604D2F" w:rsidRPr="00472541" w:rsidRDefault="00604D2F" w:rsidP="00604D2F">
            <w:pPr>
              <w:jc w:val="center"/>
              <w:rPr>
                <w:rFonts w:ascii="Arial" w:hAnsi="Arial" w:cs="Arial"/>
                <w:color w:val="000000"/>
                <w:sz w:val="16"/>
                <w:szCs w:val="16"/>
                <w:lang w:eastAsia="en-AU"/>
              </w:rPr>
            </w:pPr>
          </w:p>
        </w:tc>
        <w:tc>
          <w:tcPr>
            <w:tcW w:w="2780" w:type="dxa"/>
            <w:tcBorders>
              <w:top w:val="nil"/>
              <w:left w:val="nil"/>
              <w:bottom w:val="single" w:sz="4" w:space="0" w:color="auto"/>
              <w:right w:val="single" w:sz="8" w:space="0" w:color="auto"/>
            </w:tcBorders>
            <w:shd w:val="clear" w:color="auto" w:fill="auto"/>
            <w:noWrap/>
            <w:vAlign w:val="center"/>
            <w:hideMark/>
          </w:tcPr>
          <w:p w:rsidR="00604D2F" w:rsidRPr="00472541" w:rsidRDefault="00604D2F" w:rsidP="00604D2F">
            <w:pPr>
              <w:rPr>
                <w:rFonts w:ascii="Arial" w:hAnsi="Arial" w:cs="Arial"/>
                <w:color w:val="000000"/>
                <w:sz w:val="16"/>
                <w:szCs w:val="16"/>
                <w:lang w:eastAsia="en-AU"/>
              </w:rPr>
            </w:pPr>
          </w:p>
        </w:tc>
      </w:tr>
      <w:tr w:rsidR="00604D2F" w:rsidRPr="00472541" w:rsidTr="00604D2F">
        <w:trPr>
          <w:trHeight w:val="315"/>
        </w:trPr>
        <w:tc>
          <w:tcPr>
            <w:tcW w:w="1060" w:type="dxa"/>
            <w:vMerge/>
            <w:tcBorders>
              <w:top w:val="nil"/>
              <w:left w:val="single" w:sz="8" w:space="0" w:color="auto"/>
              <w:bottom w:val="single" w:sz="8" w:space="0" w:color="000000"/>
              <w:right w:val="single" w:sz="8" w:space="0" w:color="auto"/>
            </w:tcBorders>
            <w:vAlign w:val="center"/>
            <w:hideMark/>
          </w:tcPr>
          <w:p w:rsidR="00604D2F" w:rsidRPr="00472541" w:rsidRDefault="00604D2F" w:rsidP="00604D2F">
            <w:pPr>
              <w:jc w:val="center"/>
              <w:rPr>
                <w:rFonts w:ascii="Arial" w:hAnsi="Arial" w:cs="Arial"/>
                <w:color w:val="000000"/>
                <w:sz w:val="16"/>
                <w:szCs w:val="16"/>
                <w:lang w:eastAsia="en-AU"/>
              </w:rPr>
            </w:pPr>
          </w:p>
        </w:tc>
        <w:tc>
          <w:tcPr>
            <w:tcW w:w="1600" w:type="dxa"/>
            <w:tcBorders>
              <w:top w:val="nil"/>
              <w:left w:val="nil"/>
              <w:bottom w:val="nil"/>
              <w:right w:val="single" w:sz="8" w:space="0" w:color="auto"/>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8471.41.00 91</w:t>
            </w:r>
          </w:p>
        </w:tc>
        <w:tc>
          <w:tcPr>
            <w:tcW w:w="1280" w:type="dxa"/>
            <w:tcBorders>
              <w:top w:val="nil"/>
              <w:left w:val="nil"/>
              <w:bottom w:val="nil"/>
              <w:right w:val="nil"/>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no change</w:t>
            </w:r>
          </w:p>
        </w:tc>
        <w:tc>
          <w:tcPr>
            <w:tcW w:w="1540" w:type="dxa"/>
            <w:tcBorders>
              <w:top w:val="nil"/>
              <w:left w:val="single" w:sz="8" w:space="0" w:color="auto"/>
              <w:bottom w:val="nil"/>
              <w:right w:val="single" w:sz="8" w:space="0" w:color="auto"/>
            </w:tcBorders>
            <w:shd w:val="clear" w:color="auto" w:fill="auto"/>
            <w:noWrap/>
            <w:vAlign w:val="center"/>
            <w:hideMark/>
          </w:tcPr>
          <w:p w:rsidR="00604D2F" w:rsidRPr="00472541" w:rsidRDefault="00604D2F" w:rsidP="00604D2F">
            <w:pPr>
              <w:jc w:val="center"/>
              <w:rPr>
                <w:rFonts w:ascii="Arial" w:hAnsi="Arial" w:cs="Arial"/>
                <w:color w:val="000000"/>
                <w:sz w:val="16"/>
                <w:szCs w:val="16"/>
                <w:lang w:eastAsia="en-AU"/>
              </w:rPr>
            </w:pPr>
          </w:p>
        </w:tc>
        <w:tc>
          <w:tcPr>
            <w:tcW w:w="2780" w:type="dxa"/>
            <w:tcBorders>
              <w:top w:val="nil"/>
              <w:left w:val="nil"/>
              <w:bottom w:val="nil"/>
              <w:right w:val="single" w:sz="8" w:space="0" w:color="auto"/>
            </w:tcBorders>
            <w:shd w:val="clear" w:color="auto" w:fill="auto"/>
            <w:noWrap/>
            <w:vAlign w:val="center"/>
            <w:hideMark/>
          </w:tcPr>
          <w:p w:rsidR="00604D2F" w:rsidRPr="00472541" w:rsidRDefault="00604D2F" w:rsidP="00604D2F">
            <w:pPr>
              <w:rPr>
                <w:rFonts w:ascii="Arial" w:hAnsi="Arial" w:cs="Arial"/>
                <w:color w:val="000000"/>
                <w:sz w:val="16"/>
                <w:szCs w:val="16"/>
                <w:lang w:eastAsia="en-AU"/>
              </w:rPr>
            </w:pPr>
          </w:p>
        </w:tc>
      </w:tr>
      <w:tr w:rsidR="00604D2F" w:rsidRPr="00472541" w:rsidTr="00604D2F">
        <w:trPr>
          <w:trHeight w:val="30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8471.49.00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8471.49.00 22</w:t>
            </w:r>
          </w:p>
        </w:tc>
        <w:tc>
          <w:tcPr>
            <w:tcW w:w="1280" w:type="dxa"/>
            <w:tcBorders>
              <w:top w:val="single" w:sz="8" w:space="0" w:color="auto"/>
              <w:left w:val="nil"/>
              <w:bottom w:val="single" w:sz="4" w:space="0" w:color="auto"/>
              <w:right w:val="nil"/>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no change</w:t>
            </w:r>
          </w:p>
        </w:tc>
        <w:tc>
          <w:tcPr>
            <w:tcW w:w="15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04D2F" w:rsidRPr="00472541" w:rsidRDefault="00604D2F" w:rsidP="00604D2F">
            <w:pPr>
              <w:jc w:val="center"/>
              <w:rPr>
                <w:rFonts w:ascii="Arial" w:hAnsi="Arial" w:cs="Arial"/>
                <w:color w:val="000000"/>
                <w:sz w:val="16"/>
                <w:szCs w:val="16"/>
                <w:lang w:eastAsia="en-AU"/>
              </w:rPr>
            </w:pPr>
          </w:p>
        </w:tc>
        <w:tc>
          <w:tcPr>
            <w:tcW w:w="2780" w:type="dxa"/>
            <w:tcBorders>
              <w:top w:val="single" w:sz="8" w:space="0" w:color="auto"/>
              <w:left w:val="nil"/>
              <w:bottom w:val="single" w:sz="4" w:space="0" w:color="auto"/>
              <w:right w:val="single" w:sz="8" w:space="0" w:color="auto"/>
            </w:tcBorders>
            <w:shd w:val="clear" w:color="auto" w:fill="auto"/>
            <w:noWrap/>
            <w:vAlign w:val="center"/>
            <w:hideMark/>
          </w:tcPr>
          <w:p w:rsidR="00604D2F" w:rsidRPr="00472541" w:rsidRDefault="00604D2F" w:rsidP="00604D2F">
            <w:pPr>
              <w:rPr>
                <w:rFonts w:ascii="Arial" w:hAnsi="Arial" w:cs="Arial"/>
                <w:color w:val="000000"/>
                <w:sz w:val="16"/>
                <w:szCs w:val="16"/>
                <w:lang w:eastAsia="en-AU"/>
              </w:rPr>
            </w:pPr>
          </w:p>
        </w:tc>
      </w:tr>
      <w:tr w:rsidR="00604D2F" w:rsidRPr="00472541" w:rsidTr="00604D2F">
        <w:trPr>
          <w:trHeight w:val="315"/>
        </w:trPr>
        <w:tc>
          <w:tcPr>
            <w:tcW w:w="1060" w:type="dxa"/>
            <w:vMerge/>
            <w:tcBorders>
              <w:top w:val="nil"/>
              <w:left w:val="single" w:sz="8" w:space="0" w:color="auto"/>
              <w:bottom w:val="single" w:sz="8" w:space="0" w:color="000000"/>
              <w:right w:val="single" w:sz="8" w:space="0" w:color="auto"/>
            </w:tcBorders>
            <w:vAlign w:val="center"/>
            <w:hideMark/>
          </w:tcPr>
          <w:p w:rsidR="00604D2F" w:rsidRPr="00472541" w:rsidRDefault="00604D2F" w:rsidP="00604D2F">
            <w:pPr>
              <w:jc w:val="center"/>
              <w:rPr>
                <w:rFonts w:ascii="Arial" w:hAnsi="Arial" w:cs="Arial"/>
                <w:color w:val="000000"/>
                <w:sz w:val="16"/>
                <w:szCs w:val="16"/>
                <w:lang w:eastAsia="en-AU"/>
              </w:rPr>
            </w:pPr>
          </w:p>
        </w:tc>
        <w:tc>
          <w:tcPr>
            <w:tcW w:w="1600" w:type="dxa"/>
            <w:tcBorders>
              <w:top w:val="nil"/>
              <w:left w:val="nil"/>
              <w:bottom w:val="single" w:sz="8" w:space="0" w:color="auto"/>
              <w:right w:val="single" w:sz="8" w:space="0" w:color="auto"/>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8471.49.00 92</w:t>
            </w:r>
          </w:p>
        </w:tc>
        <w:tc>
          <w:tcPr>
            <w:tcW w:w="1280" w:type="dxa"/>
            <w:tcBorders>
              <w:top w:val="nil"/>
              <w:left w:val="nil"/>
              <w:bottom w:val="single" w:sz="8" w:space="0" w:color="auto"/>
              <w:right w:val="nil"/>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no change</w:t>
            </w:r>
          </w:p>
        </w:tc>
        <w:tc>
          <w:tcPr>
            <w:tcW w:w="1540" w:type="dxa"/>
            <w:tcBorders>
              <w:top w:val="nil"/>
              <w:left w:val="single" w:sz="8" w:space="0" w:color="auto"/>
              <w:bottom w:val="single" w:sz="8" w:space="0" w:color="auto"/>
              <w:right w:val="single" w:sz="8" w:space="0" w:color="auto"/>
            </w:tcBorders>
            <w:shd w:val="clear" w:color="auto" w:fill="auto"/>
            <w:noWrap/>
            <w:vAlign w:val="center"/>
            <w:hideMark/>
          </w:tcPr>
          <w:p w:rsidR="00604D2F" w:rsidRPr="00472541" w:rsidRDefault="00604D2F" w:rsidP="00604D2F">
            <w:pPr>
              <w:jc w:val="center"/>
              <w:rPr>
                <w:rFonts w:ascii="Arial" w:hAnsi="Arial" w:cs="Arial"/>
                <w:color w:val="000000"/>
                <w:sz w:val="16"/>
                <w:szCs w:val="16"/>
                <w:lang w:eastAsia="en-AU"/>
              </w:rPr>
            </w:pPr>
          </w:p>
        </w:tc>
        <w:tc>
          <w:tcPr>
            <w:tcW w:w="2780" w:type="dxa"/>
            <w:tcBorders>
              <w:top w:val="nil"/>
              <w:left w:val="nil"/>
              <w:bottom w:val="single" w:sz="8" w:space="0" w:color="auto"/>
              <w:right w:val="single" w:sz="8" w:space="0" w:color="auto"/>
            </w:tcBorders>
            <w:shd w:val="clear" w:color="auto" w:fill="auto"/>
            <w:noWrap/>
            <w:vAlign w:val="center"/>
            <w:hideMark/>
          </w:tcPr>
          <w:p w:rsidR="00604D2F" w:rsidRPr="00472541" w:rsidRDefault="00604D2F" w:rsidP="00604D2F">
            <w:pPr>
              <w:rPr>
                <w:rFonts w:ascii="Arial" w:hAnsi="Arial" w:cs="Arial"/>
                <w:color w:val="000000"/>
                <w:sz w:val="16"/>
                <w:szCs w:val="16"/>
                <w:lang w:eastAsia="en-AU"/>
              </w:rPr>
            </w:pPr>
          </w:p>
        </w:tc>
      </w:tr>
      <w:tr w:rsidR="00604D2F" w:rsidRPr="00472541" w:rsidTr="00604D2F">
        <w:trPr>
          <w:trHeight w:val="30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8471.50.00</w:t>
            </w:r>
          </w:p>
        </w:tc>
        <w:tc>
          <w:tcPr>
            <w:tcW w:w="1600" w:type="dxa"/>
            <w:tcBorders>
              <w:top w:val="nil"/>
              <w:left w:val="nil"/>
              <w:bottom w:val="single" w:sz="4" w:space="0" w:color="auto"/>
              <w:right w:val="single" w:sz="8" w:space="0" w:color="auto"/>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8471.50.00 23</w:t>
            </w:r>
          </w:p>
        </w:tc>
        <w:tc>
          <w:tcPr>
            <w:tcW w:w="1280" w:type="dxa"/>
            <w:tcBorders>
              <w:top w:val="nil"/>
              <w:left w:val="nil"/>
              <w:bottom w:val="single" w:sz="4" w:space="0" w:color="auto"/>
              <w:right w:val="nil"/>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no change</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604D2F" w:rsidRPr="00472541" w:rsidRDefault="00604D2F" w:rsidP="00604D2F">
            <w:pPr>
              <w:jc w:val="center"/>
              <w:rPr>
                <w:rFonts w:ascii="Arial" w:hAnsi="Arial" w:cs="Arial"/>
                <w:color w:val="000000"/>
                <w:sz w:val="16"/>
                <w:szCs w:val="16"/>
                <w:lang w:eastAsia="en-AU"/>
              </w:rPr>
            </w:pPr>
          </w:p>
        </w:tc>
        <w:tc>
          <w:tcPr>
            <w:tcW w:w="2780" w:type="dxa"/>
            <w:tcBorders>
              <w:top w:val="nil"/>
              <w:left w:val="nil"/>
              <w:bottom w:val="single" w:sz="4" w:space="0" w:color="auto"/>
              <w:right w:val="single" w:sz="8" w:space="0" w:color="auto"/>
            </w:tcBorders>
            <w:shd w:val="clear" w:color="auto" w:fill="auto"/>
            <w:noWrap/>
            <w:vAlign w:val="center"/>
            <w:hideMark/>
          </w:tcPr>
          <w:p w:rsidR="00604D2F" w:rsidRPr="00472541" w:rsidRDefault="00604D2F" w:rsidP="00604D2F">
            <w:pPr>
              <w:rPr>
                <w:rFonts w:ascii="Arial" w:hAnsi="Arial" w:cs="Arial"/>
                <w:color w:val="000000"/>
                <w:sz w:val="16"/>
                <w:szCs w:val="16"/>
                <w:lang w:eastAsia="en-AU"/>
              </w:rPr>
            </w:pPr>
          </w:p>
        </w:tc>
      </w:tr>
      <w:tr w:rsidR="00604D2F" w:rsidRPr="00472541" w:rsidTr="00604D2F">
        <w:trPr>
          <w:trHeight w:val="315"/>
        </w:trPr>
        <w:tc>
          <w:tcPr>
            <w:tcW w:w="1060" w:type="dxa"/>
            <w:vMerge/>
            <w:tcBorders>
              <w:top w:val="nil"/>
              <w:left w:val="single" w:sz="8" w:space="0" w:color="auto"/>
              <w:bottom w:val="single" w:sz="8" w:space="0" w:color="000000"/>
              <w:right w:val="single" w:sz="8" w:space="0" w:color="auto"/>
            </w:tcBorders>
            <w:vAlign w:val="center"/>
            <w:hideMark/>
          </w:tcPr>
          <w:p w:rsidR="00604D2F" w:rsidRPr="00472541" w:rsidRDefault="00604D2F" w:rsidP="00604D2F">
            <w:pPr>
              <w:jc w:val="center"/>
              <w:rPr>
                <w:rFonts w:ascii="Arial" w:hAnsi="Arial" w:cs="Arial"/>
                <w:color w:val="000000"/>
                <w:sz w:val="16"/>
                <w:szCs w:val="16"/>
                <w:lang w:eastAsia="en-AU"/>
              </w:rPr>
            </w:pPr>
          </w:p>
        </w:tc>
        <w:tc>
          <w:tcPr>
            <w:tcW w:w="1600" w:type="dxa"/>
            <w:tcBorders>
              <w:top w:val="nil"/>
              <w:left w:val="nil"/>
              <w:bottom w:val="nil"/>
              <w:right w:val="single" w:sz="8" w:space="0" w:color="auto"/>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8471.50.00 93</w:t>
            </w:r>
          </w:p>
        </w:tc>
        <w:tc>
          <w:tcPr>
            <w:tcW w:w="1280" w:type="dxa"/>
            <w:tcBorders>
              <w:top w:val="nil"/>
              <w:left w:val="nil"/>
              <w:bottom w:val="nil"/>
              <w:right w:val="nil"/>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no change</w:t>
            </w:r>
          </w:p>
        </w:tc>
        <w:tc>
          <w:tcPr>
            <w:tcW w:w="1540" w:type="dxa"/>
            <w:tcBorders>
              <w:top w:val="nil"/>
              <w:left w:val="single" w:sz="8" w:space="0" w:color="auto"/>
              <w:bottom w:val="nil"/>
              <w:right w:val="single" w:sz="8" w:space="0" w:color="auto"/>
            </w:tcBorders>
            <w:shd w:val="clear" w:color="auto" w:fill="auto"/>
            <w:noWrap/>
            <w:vAlign w:val="center"/>
            <w:hideMark/>
          </w:tcPr>
          <w:p w:rsidR="00604D2F" w:rsidRPr="00472541" w:rsidRDefault="00604D2F" w:rsidP="00604D2F">
            <w:pPr>
              <w:jc w:val="center"/>
              <w:rPr>
                <w:rFonts w:ascii="Arial" w:hAnsi="Arial" w:cs="Arial"/>
                <w:color w:val="000000"/>
                <w:sz w:val="16"/>
                <w:szCs w:val="16"/>
                <w:lang w:eastAsia="en-AU"/>
              </w:rPr>
            </w:pPr>
          </w:p>
        </w:tc>
        <w:tc>
          <w:tcPr>
            <w:tcW w:w="2780" w:type="dxa"/>
            <w:tcBorders>
              <w:top w:val="nil"/>
              <w:left w:val="nil"/>
              <w:bottom w:val="nil"/>
              <w:right w:val="single" w:sz="8" w:space="0" w:color="auto"/>
            </w:tcBorders>
            <w:shd w:val="clear" w:color="auto" w:fill="auto"/>
            <w:noWrap/>
            <w:vAlign w:val="center"/>
            <w:hideMark/>
          </w:tcPr>
          <w:p w:rsidR="00604D2F" w:rsidRPr="00472541" w:rsidRDefault="00604D2F" w:rsidP="00604D2F">
            <w:pPr>
              <w:rPr>
                <w:rFonts w:ascii="Arial" w:hAnsi="Arial" w:cs="Arial"/>
                <w:color w:val="000000"/>
                <w:sz w:val="16"/>
                <w:szCs w:val="16"/>
                <w:lang w:eastAsia="en-AU"/>
              </w:rPr>
            </w:pPr>
          </w:p>
        </w:tc>
      </w:tr>
      <w:tr w:rsidR="00604D2F" w:rsidRPr="00472541" w:rsidTr="00604D2F">
        <w:trPr>
          <w:trHeight w:val="300"/>
        </w:trPr>
        <w:tc>
          <w:tcPr>
            <w:tcW w:w="1060"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8471.60.00</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8471.60.00 55</w:t>
            </w:r>
          </w:p>
        </w:tc>
        <w:tc>
          <w:tcPr>
            <w:tcW w:w="1280" w:type="dxa"/>
            <w:tcBorders>
              <w:top w:val="single" w:sz="8" w:space="0" w:color="auto"/>
              <w:left w:val="nil"/>
              <w:bottom w:val="single" w:sz="4" w:space="0" w:color="auto"/>
              <w:right w:val="nil"/>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no change</w:t>
            </w:r>
          </w:p>
        </w:tc>
        <w:tc>
          <w:tcPr>
            <w:tcW w:w="15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04D2F" w:rsidRPr="00472541" w:rsidRDefault="00604D2F" w:rsidP="00604D2F">
            <w:pPr>
              <w:jc w:val="center"/>
              <w:rPr>
                <w:rFonts w:ascii="Arial" w:hAnsi="Arial" w:cs="Arial"/>
                <w:color w:val="000000"/>
                <w:sz w:val="16"/>
                <w:szCs w:val="16"/>
                <w:lang w:eastAsia="en-AU"/>
              </w:rPr>
            </w:pPr>
          </w:p>
        </w:tc>
        <w:tc>
          <w:tcPr>
            <w:tcW w:w="2780" w:type="dxa"/>
            <w:tcBorders>
              <w:top w:val="single" w:sz="8" w:space="0" w:color="auto"/>
              <w:left w:val="nil"/>
              <w:bottom w:val="single" w:sz="4" w:space="0" w:color="auto"/>
              <w:right w:val="single" w:sz="8" w:space="0" w:color="auto"/>
            </w:tcBorders>
            <w:shd w:val="clear" w:color="auto" w:fill="auto"/>
            <w:noWrap/>
            <w:vAlign w:val="center"/>
            <w:hideMark/>
          </w:tcPr>
          <w:p w:rsidR="00604D2F" w:rsidRPr="00472541" w:rsidRDefault="00604D2F" w:rsidP="00604D2F">
            <w:pPr>
              <w:rPr>
                <w:rFonts w:ascii="Arial" w:hAnsi="Arial" w:cs="Arial"/>
                <w:color w:val="000000"/>
                <w:sz w:val="16"/>
                <w:szCs w:val="16"/>
                <w:lang w:eastAsia="en-AU"/>
              </w:rPr>
            </w:pPr>
          </w:p>
        </w:tc>
      </w:tr>
      <w:tr w:rsidR="00604D2F" w:rsidRPr="00472541" w:rsidTr="00604D2F">
        <w:trPr>
          <w:trHeight w:val="300"/>
        </w:trPr>
        <w:tc>
          <w:tcPr>
            <w:tcW w:w="1060" w:type="dxa"/>
            <w:vMerge/>
            <w:tcBorders>
              <w:top w:val="single" w:sz="8" w:space="0" w:color="000000"/>
              <w:left w:val="single" w:sz="8" w:space="0" w:color="auto"/>
              <w:bottom w:val="single" w:sz="4" w:space="0" w:color="auto"/>
              <w:right w:val="single" w:sz="8" w:space="0" w:color="auto"/>
            </w:tcBorders>
            <w:vAlign w:val="center"/>
            <w:hideMark/>
          </w:tcPr>
          <w:p w:rsidR="00604D2F" w:rsidRPr="00472541" w:rsidRDefault="00604D2F" w:rsidP="00604D2F">
            <w:pPr>
              <w:jc w:val="center"/>
              <w:rPr>
                <w:rFonts w:ascii="Arial" w:hAnsi="Arial" w:cs="Arial"/>
                <w:color w:val="000000"/>
                <w:sz w:val="16"/>
                <w:szCs w:val="16"/>
                <w:lang w:eastAsia="en-AU"/>
              </w:rPr>
            </w:pPr>
          </w:p>
        </w:tc>
        <w:tc>
          <w:tcPr>
            <w:tcW w:w="1600" w:type="dxa"/>
            <w:tcBorders>
              <w:top w:val="nil"/>
              <w:left w:val="nil"/>
              <w:bottom w:val="single" w:sz="4" w:space="0" w:color="auto"/>
              <w:right w:val="single" w:sz="8" w:space="0" w:color="auto"/>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8471.60.00 91</w:t>
            </w:r>
          </w:p>
        </w:tc>
        <w:tc>
          <w:tcPr>
            <w:tcW w:w="1280" w:type="dxa"/>
            <w:tcBorders>
              <w:top w:val="nil"/>
              <w:left w:val="nil"/>
              <w:bottom w:val="single" w:sz="4" w:space="0" w:color="auto"/>
              <w:right w:val="nil"/>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no change</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604D2F" w:rsidRPr="00472541" w:rsidRDefault="00604D2F" w:rsidP="00604D2F">
            <w:pPr>
              <w:jc w:val="center"/>
              <w:rPr>
                <w:rFonts w:ascii="Arial" w:hAnsi="Arial" w:cs="Arial"/>
                <w:color w:val="000000"/>
                <w:sz w:val="16"/>
                <w:szCs w:val="16"/>
                <w:lang w:eastAsia="en-AU"/>
              </w:rPr>
            </w:pPr>
          </w:p>
        </w:tc>
        <w:tc>
          <w:tcPr>
            <w:tcW w:w="2780" w:type="dxa"/>
            <w:tcBorders>
              <w:top w:val="nil"/>
              <w:left w:val="nil"/>
              <w:bottom w:val="single" w:sz="4" w:space="0" w:color="auto"/>
              <w:right w:val="single" w:sz="8" w:space="0" w:color="auto"/>
            </w:tcBorders>
            <w:shd w:val="clear" w:color="auto" w:fill="auto"/>
            <w:noWrap/>
            <w:vAlign w:val="center"/>
            <w:hideMark/>
          </w:tcPr>
          <w:p w:rsidR="00604D2F" w:rsidRPr="00472541" w:rsidRDefault="00604D2F" w:rsidP="00604D2F">
            <w:pPr>
              <w:rPr>
                <w:rFonts w:ascii="Arial" w:hAnsi="Arial" w:cs="Arial"/>
                <w:color w:val="000000"/>
                <w:sz w:val="16"/>
                <w:szCs w:val="16"/>
                <w:lang w:eastAsia="en-AU"/>
              </w:rPr>
            </w:pPr>
          </w:p>
        </w:tc>
      </w:tr>
      <w:tr w:rsidR="00604D2F" w:rsidRPr="00472541" w:rsidTr="00604D2F">
        <w:trPr>
          <w:trHeight w:val="300"/>
        </w:trPr>
        <w:tc>
          <w:tcPr>
            <w:tcW w:w="1060" w:type="dxa"/>
            <w:vMerge/>
            <w:tcBorders>
              <w:top w:val="single" w:sz="8" w:space="0" w:color="000000"/>
              <w:left w:val="single" w:sz="8" w:space="0" w:color="auto"/>
              <w:bottom w:val="single" w:sz="4" w:space="0" w:color="auto"/>
              <w:right w:val="single" w:sz="8" w:space="0" w:color="auto"/>
            </w:tcBorders>
            <w:vAlign w:val="center"/>
            <w:hideMark/>
          </w:tcPr>
          <w:p w:rsidR="00604D2F" w:rsidRPr="00472541" w:rsidRDefault="00604D2F" w:rsidP="00604D2F">
            <w:pPr>
              <w:jc w:val="center"/>
              <w:rPr>
                <w:rFonts w:ascii="Arial" w:hAnsi="Arial" w:cs="Arial"/>
                <w:color w:val="000000"/>
                <w:sz w:val="16"/>
                <w:szCs w:val="16"/>
                <w:lang w:eastAsia="en-AU"/>
              </w:rPr>
            </w:pPr>
          </w:p>
        </w:tc>
        <w:tc>
          <w:tcPr>
            <w:tcW w:w="1600" w:type="dxa"/>
            <w:tcBorders>
              <w:top w:val="nil"/>
              <w:left w:val="nil"/>
              <w:bottom w:val="single" w:sz="4" w:space="0" w:color="auto"/>
              <w:right w:val="single" w:sz="8" w:space="0" w:color="auto"/>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8471.60.00 92</w:t>
            </w:r>
          </w:p>
        </w:tc>
        <w:tc>
          <w:tcPr>
            <w:tcW w:w="1280" w:type="dxa"/>
            <w:tcBorders>
              <w:top w:val="nil"/>
              <w:left w:val="nil"/>
              <w:bottom w:val="single" w:sz="4" w:space="0" w:color="auto"/>
              <w:right w:val="nil"/>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no change</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604D2F" w:rsidRPr="00472541" w:rsidRDefault="00604D2F" w:rsidP="00604D2F">
            <w:pPr>
              <w:jc w:val="center"/>
              <w:rPr>
                <w:rFonts w:ascii="Arial" w:hAnsi="Arial" w:cs="Arial"/>
                <w:color w:val="000000"/>
                <w:sz w:val="16"/>
                <w:szCs w:val="16"/>
                <w:lang w:eastAsia="en-AU"/>
              </w:rPr>
            </w:pPr>
          </w:p>
        </w:tc>
        <w:tc>
          <w:tcPr>
            <w:tcW w:w="2780" w:type="dxa"/>
            <w:tcBorders>
              <w:top w:val="nil"/>
              <w:left w:val="nil"/>
              <w:bottom w:val="single" w:sz="4" w:space="0" w:color="auto"/>
              <w:right w:val="single" w:sz="8" w:space="0" w:color="auto"/>
            </w:tcBorders>
            <w:shd w:val="clear" w:color="auto" w:fill="auto"/>
            <w:noWrap/>
            <w:vAlign w:val="center"/>
            <w:hideMark/>
          </w:tcPr>
          <w:p w:rsidR="00604D2F" w:rsidRPr="00472541" w:rsidRDefault="00604D2F" w:rsidP="00604D2F">
            <w:pPr>
              <w:rPr>
                <w:rFonts w:ascii="Arial" w:hAnsi="Arial" w:cs="Arial"/>
                <w:color w:val="000000"/>
                <w:sz w:val="16"/>
                <w:szCs w:val="16"/>
                <w:lang w:eastAsia="en-AU"/>
              </w:rPr>
            </w:pPr>
          </w:p>
        </w:tc>
      </w:tr>
      <w:tr w:rsidR="00604D2F" w:rsidRPr="00472541" w:rsidTr="00604D2F">
        <w:trPr>
          <w:trHeight w:val="300"/>
        </w:trPr>
        <w:tc>
          <w:tcPr>
            <w:tcW w:w="1060" w:type="dxa"/>
            <w:vMerge/>
            <w:tcBorders>
              <w:top w:val="single" w:sz="8" w:space="0" w:color="000000"/>
              <w:left w:val="single" w:sz="8" w:space="0" w:color="auto"/>
              <w:bottom w:val="single" w:sz="4" w:space="0" w:color="auto"/>
              <w:right w:val="single" w:sz="8" w:space="0" w:color="auto"/>
            </w:tcBorders>
            <w:vAlign w:val="center"/>
            <w:hideMark/>
          </w:tcPr>
          <w:p w:rsidR="00604D2F" w:rsidRPr="00472541" w:rsidRDefault="00604D2F" w:rsidP="00604D2F">
            <w:pPr>
              <w:jc w:val="center"/>
              <w:rPr>
                <w:rFonts w:ascii="Arial" w:hAnsi="Arial" w:cs="Arial"/>
                <w:color w:val="000000"/>
                <w:sz w:val="16"/>
                <w:szCs w:val="16"/>
                <w:lang w:eastAsia="en-AU"/>
              </w:rPr>
            </w:pPr>
          </w:p>
        </w:tc>
        <w:tc>
          <w:tcPr>
            <w:tcW w:w="1600" w:type="dxa"/>
            <w:tcBorders>
              <w:top w:val="single" w:sz="4" w:space="0" w:color="auto"/>
              <w:left w:val="nil"/>
              <w:bottom w:val="single" w:sz="4" w:space="0" w:color="auto"/>
              <w:right w:val="single" w:sz="8" w:space="0" w:color="auto"/>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8471.60.00 95</w:t>
            </w:r>
          </w:p>
        </w:tc>
        <w:tc>
          <w:tcPr>
            <w:tcW w:w="1280" w:type="dxa"/>
            <w:tcBorders>
              <w:top w:val="single" w:sz="4" w:space="0" w:color="auto"/>
              <w:left w:val="nil"/>
              <w:bottom w:val="single" w:sz="4" w:space="0" w:color="auto"/>
              <w:right w:val="nil"/>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no change</w:t>
            </w:r>
          </w:p>
        </w:tc>
        <w:tc>
          <w:tcPr>
            <w:tcW w:w="154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04D2F" w:rsidRPr="00472541" w:rsidRDefault="00604D2F" w:rsidP="00604D2F">
            <w:pPr>
              <w:jc w:val="center"/>
              <w:rPr>
                <w:rFonts w:ascii="Arial" w:hAnsi="Arial" w:cs="Arial"/>
                <w:color w:val="000000"/>
                <w:sz w:val="16"/>
                <w:szCs w:val="16"/>
                <w:lang w:eastAsia="en-AU"/>
              </w:rPr>
            </w:pPr>
          </w:p>
        </w:tc>
        <w:tc>
          <w:tcPr>
            <w:tcW w:w="2780" w:type="dxa"/>
            <w:tcBorders>
              <w:top w:val="single" w:sz="4" w:space="0" w:color="auto"/>
              <w:left w:val="nil"/>
              <w:bottom w:val="single" w:sz="4" w:space="0" w:color="auto"/>
              <w:right w:val="single" w:sz="8" w:space="0" w:color="auto"/>
            </w:tcBorders>
            <w:shd w:val="clear" w:color="auto" w:fill="auto"/>
            <w:noWrap/>
            <w:vAlign w:val="center"/>
            <w:hideMark/>
          </w:tcPr>
          <w:p w:rsidR="00604D2F" w:rsidRPr="00472541" w:rsidRDefault="00604D2F" w:rsidP="00604D2F">
            <w:pPr>
              <w:rPr>
                <w:rFonts w:ascii="Arial" w:hAnsi="Arial" w:cs="Arial"/>
                <w:color w:val="000000"/>
                <w:sz w:val="16"/>
                <w:szCs w:val="16"/>
                <w:lang w:eastAsia="en-AU"/>
              </w:rPr>
            </w:pPr>
          </w:p>
        </w:tc>
      </w:tr>
      <w:tr w:rsidR="00604D2F" w:rsidRPr="00472541" w:rsidTr="00604D2F">
        <w:trPr>
          <w:trHeight w:val="315"/>
        </w:trPr>
        <w:tc>
          <w:tcPr>
            <w:tcW w:w="1060" w:type="dxa"/>
            <w:vMerge/>
            <w:tcBorders>
              <w:top w:val="single" w:sz="8" w:space="0" w:color="000000"/>
              <w:left w:val="single" w:sz="8" w:space="0" w:color="auto"/>
              <w:bottom w:val="single" w:sz="4" w:space="0" w:color="auto"/>
              <w:right w:val="single" w:sz="8" w:space="0" w:color="auto"/>
            </w:tcBorders>
            <w:vAlign w:val="center"/>
            <w:hideMark/>
          </w:tcPr>
          <w:p w:rsidR="00604D2F" w:rsidRPr="00472541" w:rsidRDefault="00604D2F" w:rsidP="00604D2F">
            <w:pPr>
              <w:jc w:val="center"/>
              <w:rPr>
                <w:rFonts w:ascii="Arial" w:hAnsi="Arial" w:cs="Arial"/>
                <w:color w:val="000000"/>
                <w:sz w:val="16"/>
                <w:szCs w:val="16"/>
                <w:lang w:eastAsia="en-AU"/>
              </w:rPr>
            </w:pPr>
          </w:p>
        </w:tc>
        <w:tc>
          <w:tcPr>
            <w:tcW w:w="1600" w:type="dxa"/>
            <w:tcBorders>
              <w:top w:val="single" w:sz="4" w:space="0" w:color="auto"/>
              <w:left w:val="nil"/>
              <w:bottom w:val="single" w:sz="8" w:space="0" w:color="auto"/>
              <w:right w:val="single" w:sz="8" w:space="0" w:color="auto"/>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8471.60.00 98</w:t>
            </w:r>
          </w:p>
        </w:tc>
        <w:tc>
          <w:tcPr>
            <w:tcW w:w="1280" w:type="dxa"/>
            <w:tcBorders>
              <w:top w:val="single" w:sz="4" w:space="0" w:color="auto"/>
              <w:left w:val="nil"/>
              <w:bottom w:val="single" w:sz="8" w:space="0" w:color="auto"/>
              <w:right w:val="nil"/>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no change</w:t>
            </w:r>
          </w:p>
        </w:tc>
        <w:tc>
          <w:tcPr>
            <w:tcW w:w="15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604D2F" w:rsidRPr="00472541" w:rsidRDefault="00604D2F" w:rsidP="00604D2F">
            <w:pPr>
              <w:jc w:val="center"/>
              <w:rPr>
                <w:rFonts w:ascii="Arial" w:hAnsi="Arial" w:cs="Arial"/>
                <w:color w:val="000000"/>
                <w:sz w:val="16"/>
                <w:szCs w:val="16"/>
                <w:lang w:eastAsia="en-AU"/>
              </w:rPr>
            </w:pPr>
          </w:p>
        </w:tc>
        <w:tc>
          <w:tcPr>
            <w:tcW w:w="2780" w:type="dxa"/>
            <w:tcBorders>
              <w:top w:val="single" w:sz="4" w:space="0" w:color="auto"/>
              <w:left w:val="nil"/>
              <w:bottom w:val="single" w:sz="8" w:space="0" w:color="auto"/>
              <w:right w:val="single" w:sz="8" w:space="0" w:color="auto"/>
            </w:tcBorders>
            <w:shd w:val="clear" w:color="auto" w:fill="auto"/>
            <w:noWrap/>
            <w:vAlign w:val="center"/>
            <w:hideMark/>
          </w:tcPr>
          <w:p w:rsidR="00604D2F" w:rsidRPr="00472541" w:rsidRDefault="00604D2F" w:rsidP="00604D2F">
            <w:pPr>
              <w:rPr>
                <w:rFonts w:ascii="Arial" w:hAnsi="Arial" w:cs="Arial"/>
                <w:color w:val="000000"/>
                <w:sz w:val="16"/>
                <w:szCs w:val="16"/>
                <w:lang w:eastAsia="en-AU"/>
              </w:rPr>
            </w:pPr>
          </w:p>
        </w:tc>
      </w:tr>
      <w:tr w:rsidR="00604D2F" w:rsidRPr="00472541" w:rsidTr="00604D2F">
        <w:trPr>
          <w:trHeight w:val="300"/>
        </w:trPr>
        <w:tc>
          <w:tcPr>
            <w:tcW w:w="10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8471.70.00</w:t>
            </w:r>
          </w:p>
        </w:tc>
        <w:tc>
          <w:tcPr>
            <w:tcW w:w="1600" w:type="dxa"/>
            <w:tcBorders>
              <w:top w:val="nil"/>
              <w:left w:val="nil"/>
              <w:bottom w:val="single" w:sz="4" w:space="0" w:color="auto"/>
              <w:right w:val="single" w:sz="8" w:space="0" w:color="auto"/>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8471.70.00 20</w:t>
            </w:r>
          </w:p>
        </w:tc>
        <w:tc>
          <w:tcPr>
            <w:tcW w:w="1280" w:type="dxa"/>
            <w:tcBorders>
              <w:top w:val="nil"/>
              <w:left w:val="nil"/>
              <w:bottom w:val="single" w:sz="4" w:space="0" w:color="auto"/>
              <w:right w:val="nil"/>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no change</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604D2F" w:rsidRPr="00472541" w:rsidRDefault="00604D2F" w:rsidP="00604D2F">
            <w:pPr>
              <w:jc w:val="center"/>
              <w:rPr>
                <w:rFonts w:ascii="Arial" w:hAnsi="Arial" w:cs="Arial"/>
                <w:color w:val="000000"/>
                <w:sz w:val="16"/>
                <w:szCs w:val="16"/>
                <w:lang w:eastAsia="en-AU"/>
              </w:rPr>
            </w:pPr>
          </w:p>
        </w:tc>
        <w:tc>
          <w:tcPr>
            <w:tcW w:w="2780" w:type="dxa"/>
            <w:tcBorders>
              <w:top w:val="nil"/>
              <w:left w:val="nil"/>
              <w:bottom w:val="single" w:sz="4" w:space="0" w:color="auto"/>
              <w:right w:val="single" w:sz="8" w:space="0" w:color="auto"/>
            </w:tcBorders>
            <w:shd w:val="clear" w:color="auto" w:fill="auto"/>
            <w:noWrap/>
            <w:vAlign w:val="center"/>
            <w:hideMark/>
          </w:tcPr>
          <w:p w:rsidR="00604D2F" w:rsidRPr="00472541" w:rsidRDefault="00604D2F" w:rsidP="00604D2F">
            <w:pPr>
              <w:rPr>
                <w:rFonts w:ascii="Arial" w:hAnsi="Arial" w:cs="Arial"/>
                <w:color w:val="000000"/>
                <w:sz w:val="16"/>
                <w:szCs w:val="16"/>
                <w:lang w:eastAsia="en-AU"/>
              </w:rPr>
            </w:pPr>
          </w:p>
        </w:tc>
      </w:tr>
      <w:tr w:rsidR="00604D2F" w:rsidRPr="00472541" w:rsidTr="00604D2F">
        <w:trPr>
          <w:trHeight w:val="300"/>
        </w:trPr>
        <w:tc>
          <w:tcPr>
            <w:tcW w:w="1060" w:type="dxa"/>
            <w:vMerge/>
            <w:tcBorders>
              <w:top w:val="nil"/>
              <w:left w:val="single" w:sz="8" w:space="0" w:color="auto"/>
              <w:bottom w:val="single" w:sz="8" w:space="0" w:color="000000"/>
              <w:right w:val="single" w:sz="8" w:space="0" w:color="auto"/>
            </w:tcBorders>
            <w:vAlign w:val="center"/>
            <w:hideMark/>
          </w:tcPr>
          <w:p w:rsidR="00604D2F" w:rsidRPr="00472541" w:rsidRDefault="00604D2F" w:rsidP="00604D2F">
            <w:pPr>
              <w:jc w:val="center"/>
              <w:rPr>
                <w:rFonts w:ascii="Arial" w:hAnsi="Arial" w:cs="Arial"/>
                <w:color w:val="000000"/>
                <w:sz w:val="16"/>
                <w:szCs w:val="16"/>
                <w:lang w:eastAsia="en-AU"/>
              </w:rPr>
            </w:pPr>
          </w:p>
        </w:tc>
        <w:tc>
          <w:tcPr>
            <w:tcW w:w="1600" w:type="dxa"/>
            <w:tcBorders>
              <w:top w:val="nil"/>
              <w:left w:val="nil"/>
              <w:bottom w:val="single" w:sz="4" w:space="0" w:color="auto"/>
              <w:right w:val="single" w:sz="8" w:space="0" w:color="auto"/>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8471.70.00 25</w:t>
            </w:r>
          </w:p>
        </w:tc>
        <w:tc>
          <w:tcPr>
            <w:tcW w:w="1280" w:type="dxa"/>
            <w:tcBorders>
              <w:top w:val="nil"/>
              <w:left w:val="nil"/>
              <w:bottom w:val="single" w:sz="4" w:space="0" w:color="auto"/>
              <w:right w:val="nil"/>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no change</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604D2F" w:rsidRPr="00472541" w:rsidRDefault="00604D2F" w:rsidP="00604D2F">
            <w:pPr>
              <w:jc w:val="center"/>
              <w:rPr>
                <w:rFonts w:ascii="Arial" w:hAnsi="Arial" w:cs="Arial"/>
                <w:color w:val="000000"/>
                <w:sz w:val="16"/>
                <w:szCs w:val="16"/>
                <w:lang w:eastAsia="en-AU"/>
              </w:rPr>
            </w:pPr>
          </w:p>
        </w:tc>
        <w:tc>
          <w:tcPr>
            <w:tcW w:w="2780" w:type="dxa"/>
            <w:tcBorders>
              <w:top w:val="nil"/>
              <w:left w:val="nil"/>
              <w:bottom w:val="single" w:sz="4" w:space="0" w:color="auto"/>
              <w:right w:val="single" w:sz="8" w:space="0" w:color="auto"/>
            </w:tcBorders>
            <w:shd w:val="clear" w:color="auto" w:fill="auto"/>
            <w:noWrap/>
            <w:vAlign w:val="center"/>
            <w:hideMark/>
          </w:tcPr>
          <w:p w:rsidR="00604D2F" w:rsidRPr="00472541" w:rsidRDefault="00604D2F" w:rsidP="00604D2F">
            <w:pPr>
              <w:rPr>
                <w:rFonts w:ascii="Arial" w:hAnsi="Arial" w:cs="Arial"/>
                <w:color w:val="000000"/>
                <w:sz w:val="16"/>
                <w:szCs w:val="16"/>
                <w:lang w:eastAsia="en-AU"/>
              </w:rPr>
            </w:pPr>
          </w:p>
        </w:tc>
      </w:tr>
      <w:tr w:rsidR="00604D2F" w:rsidRPr="00472541" w:rsidTr="00604D2F">
        <w:trPr>
          <w:trHeight w:val="300"/>
        </w:trPr>
        <w:tc>
          <w:tcPr>
            <w:tcW w:w="1060" w:type="dxa"/>
            <w:vMerge/>
            <w:tcBorders>
              <w:top w:val="nil"/>
              <w:left w:val="single" w:sz="8" w:space="0" w:color="auto"/>
              <w:bottom w:val="single" w:sz="8" w:space="0" w:color="000000"/>
              <w:right w:val="single" w:sz="8" w:space="0" w:color="auto"/>
            </w:tcBorders>
            <w:vAlign w:val="center"/>
            <w:hideMark/>
          </w:tcPr>
          <w:p w:rsidR="00604D2F" w:rsidRPr="00472541" w:rsidRDefault="00604D2F" w:rsidP="00604D2F">
            <w:pPr>
              <w:jc w:val="center"/>
              <w:rPr>
                <w:rFonts w:ascii="Arial" w:hAnsi="Arial" w:cs="Arial"/>
                <w:color w:val="000000"/>
                <w:sz w:val="16"/>
                <w:szCs w:val="16"/>
                <w:lang w:eastAsia="en-AU"/>
              </w:rPr>
            </w:pPr>
          </w:p>
        </w:tc>
        <w:tc>
          <w:tcPr>
            <w:tcW w:w="1600" w:type="dxa"/>
            <w:tcBorders>
              <w:top w:val="nil"/>
              <w:left w:val="nil"/>
              <w:bottom w:val="single" w:sz="4" w:space="0" w:color="auto"/>
              <w:right w:val="single" w:sz="8" w:space="0" w:color="auto"/>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8471.70.00 74</w:t>
            </w:r>
          </w:p>
        </w:tc>
        <w:tc>
          <w:tcPr>
            <w:tcW w:w="1280" w:type="dxa"/>
            <w:tcBorders>
              <w:top w:val="nil"/>
              <w:left w:val="nil"/>
              <w:bottom w:val="single" w:sz="4" w:space="0" w:color="auto"/>
              <w:right w:val="nil"/>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no change</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604D2F" w:rsidRPr="00472541" w:rsidRDefault="00604D2F" w:rsidP="00604D2F">
            <w:pPr>
              <w:jc w:val="center"/>
              <w:rPr>
                <w:rFonts w:ascii="Arial" w:hAnsi="Arial" w:cs="Arial"/>
                <w:color w:val="000000"/>
                <w:sz w:val="16"/>
                <w:szCs w:val="16"/>
                <w:lang w:eastAsia="en-AU"/>
              </w:rPr>
            </w:pPr>
          </w:p>
        </w:tc>
        <w:tc>
          <w:tcPr>
            <w:tcW w:w="2780" w:type="dxa"/>
            <w:tcBorders>
              <w:top w:val="nil"/>
              <w:left w:val="nil"/>
              <w:bottom w:val="single" w:sz="4" w:space="0" w:color="auto"/>
              <w:right w:val="single" w:sz="8" w:space="0" w:color="auto"/>
            </w:tcBorders>
            <w:shd w:val="clear" w:color="auto" w:fill="auto"/>
            <w:noWrap/>
            <w:vAlign w:val="center"/>
            <w:hideMark/>
          </w:tcPr>
          <w:p w:rsidR="00604D2F" w:rsidRPr="00472541" w:rsidRDefault="00604D2F" w:rsidP="00604D2F">
            <w:pPr>
              <w:rPr>
                <w:rFonts w:ascii="Arial" w:hAnsi="Arial" w:cs="Arial"/>
                <w:color w:val="000000"/>
                <w:sz w:val="16"/>
                <w:szCs w:val="16"/>
                <w:lang w:eastAsia="en-AU"/>
              </w:rPr>
            </w:pPr>
          </w:p>
        </w:tc>
      </w:tr>
      <w:tr w:rsidR="00604D2F" w:rsidRPr="00472541" w:rsidTr="00604D2F">
        <w:trPr>
          <w:trHeight w:val="480"/>
        </w:trPr>
        <w:tc>
          <w:tcPr>
            <w:tcW w:w="1060" w:type="dxa"/>
            <w:vMerge/>
            <w:tcBorders>
              <w:top w:val="nil"/>
              <w:left w:val="single" w:sz="8" w:space="0" w:color="auto"/>
              <w:bottom w:val="single" w:sz="4" w:space="0" w:color="auto"/>
              <w:right w:val="single" w:sz="8" w:space="0" w:color="auto"/>
            </w:tcBorders>
            <w:vAlign w:val="center"/>
            <w:hideMark/>
          </w:tcPr>
          <w:p w:rsidR="00604D2F" w:rsidRPr="00472541" w:rsidRDefault="00604D2F" w:rsidP="00604D2F">
            <w:pPr>
              <w:jc w:val="center"/>
              <w:rPr>
                <w:rFonts w:ascii="Arial" w:hAnsi="Arial" w:cs="Arial"/>
                <w:color w:val="000000"/>
                <w:sz w:val="16"/>
                <w:szCs w:val="16"/>
                <w:lang w:eastAsia="en-AU"/>
              </w:rPr>
            </w:pPr>
          </w:p>
        </w:tc>
        <w:tc>
          <w:tcPr>
            <w:tcW w:w="1600" w:type="dxa"/>
            <w:tcBorders>
              <w:top w:val="nil"/>
              <w:left w:val="nil"/>
              <w:bottom w:val="single" w:sz="4" w:space="0" w:color="auto"/>
              <w:right w:val="single" w:sz="8" w:space="0" w:color="auto"/>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8471.70.00 43</w:t>
            </w:r>
          </w:p>
        </w:tc>
        <w:tc>
          <w:tcPr>
            <w:tcW w:w="1280" w:type="dxa"/>
            <w:tcBorders>
              <w:top w:val="nil"/>
              <w:left w:val="nil"/>
              <w:bottom w:val="single" w:sz="4" w:space="0" w:color="auto"/>
              <w:right w:val="nil"/>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consolidation</w:t>
            </w:r>
          </w:p>
        </w:tc>
        <w:tc>
          <w:tcPr>
            <w:tcW w:w="1540" w:type="dxa"/>
            <w:tcBorders>
              <w:top w:val="nil"/>
              <w:left w:val="single" w:sz="8" w:space="0" w:color="auto"/>
              <w:bottom w:val="single" w:sz="4" w:space="0" w:color="auto"/>
              <w:right w:val="single" w:sz="8" w:space="0" w:color="auto"/>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8471.70.00 43</w:t>
            </w:r>
            <w:r w:rsidRPr="00472541">
              <w:rPr>
                <w:rFonts w:ascii="Arial" w:hAnsi="Arial" w:cs="Arial"/>
                <w:color w:val="000000"/>
                <w:sz w:val="16"/>
                <w:szCs w:val="16"/>
                <w:lang w:eastAsia="en-AU"/>
              </w:rPr>
              <w:br/>
              <w:t>8471.70.00 75</w:t>
            </w:r>
          </w:p>
        </w:tc>
        <w:tc>
          <w:tcPr>
            <w:tcW w:w="2780" w:type="dxa"/>
            <w:tcBorders>
              <w:top w:val="nil"/>
              <w:left w:val="nil"/>
              <w:bottom w:val="single" w:sz="4" w:space="0" w:color="auto"/>
              <w:right w:val="single" w:sz="8" w:space="0" w:color="auto"/>
            </w:tcBorders>
            <w:shd w:val="clear" w:color="auto" w:fill="auto"/>
            <w:vAlign w:val="center"/>
            <w:hideMark/>
          </w:tcPr>
          <w:p w:rsidR="00604D2F" w:rsidRPr="00472541" w:rsidRDefault="00604D2F" w:rsidP="00604D2F">
            <w:pPr>
              <w:rPr>
                <w:rFonts w:ascii="Arial" w:hAnsi="Arial" w:cs="Arial"/>
                <w:color w:val="000000"/>
                <w:sz w:val="16"/>
                <w:szCs w:val="16"/>
                <w:lang w:eastAsia="en-AU"/>
              </w:rPr>
            </w:pPr>
            <w:r w:rsidRPr="00472541">
              <w:rPr>
                <w:rFonts w:ascii="Arial" w:hAnsi="Arial" w:cs="Arial"/>
                <w:color w:val="000000"/>
                <w:sz w:val="16"/>
                <w:szCs w:val="16"/>
                <w:lang w:eastAsia="en-AU"/>
              </w:rPr>
              <w:t xml:space="preserve">Apply factor for </w:t>
            </w:r>
            <w:r w:rsidRPr="007D4E8D">
              <w:rPr>
                <w:rFonts w:ascii="Arial" w:hAnsi="Arial" w:cs="Arial"/>
                <w:b/>
                <w:color w:val="000000"/>
                <w:sz w:val="16"/>
                <w:szCs w:val="16"/>
                <w:lang w:eastAsia="en-AU"/>
              </w:rPr>
              <w:t>SC 8471.70.00 43</w:t>
            </w:r>
            <w:r w:rsidRPr="007D4E8D">
              <w:rPr>
                <w:rFonts w:ascii="Arial" w:hAnsi="Arial" w:cs="Arial"/>
                <w:color w:val="000000"/>
                <w:sz w:val="16"/>
                <w:szCs w:val="16"/>
                <w:lang w:eastAsia="en-AU"/>
              </w:rPr>
              <w:t>:</w:t>
            </w:r>
            <w:r w:rsidRPr="00472541">
              <w:rPr>
                <w:rFonts w:ascii="Arial" w:hAnsi="Arial" w:cs="Arial"/>
                <w:color w:val="000000"/>
                <w:sz w:val="16"/>
                <w:szCs w:val="16"/>
                <w:lang w:eastAsia="en-AU"/>
              </w:rPr>
              <w:t xml:space="preserve"> </w:t>
            </w:r>
            <w:r>
              <w:rPr>
                <w:rFonts w:ascii="Arial" w:hAnsi="Arial" w:cs="Arial"/>
                <w:color w:val="000000"/>
                <w:sz w:val="16"/>
                <w:szCs w:val="16"/>
                <w:lang w:eastAsia="en-AU"/>
              </w:rPr>
              <w:t xml:space="preserve">insufficient data for SC12 </w:t>
            </w:r>
            <w:r w:rsidRPr="00472541">
              <w:rPr>
                <w:rFonts w:ascii="Arial" w:hAnsi="Arial" w:cs="Arial"/>
                <w:color w:val="000000"/>
                <w:sz w:val="16"/>
                <w:szCs w:val="16"/>
                <w:lang w:eastAsia="en-AU"/>
              </w:rPr>
              <w:t>8471.70.00 75</w:t>
            </w:r>
            <w:r>
              <w:rPr>
                <w:rFonts w:ascii="Arial" w:hAnsi="Arial" w:cs="Arial"/>
                <w:color w:val="000000"/>
                <w:sz w:val="16"/>
                <w:szCs w:val="16"/>
                <w:lang w:eastAsia="en-AU"/>
              </w:rPr>
              <w:t>.</w:t>
            </w:r>
          </w:p>
        </w:tc>
      </w:tr>
      <w:tr w:rsidR="00604D2F" w:rsidRPr="00472541" w:rsidTr="00604D2F">
        <w:trPr>
          <w:trHeight w:val="300"/>
        </w:trPr>
        <w:tc>
          <w:tcPr>
            <w:tcW w:w="10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8473.30.00</w:t>
            </w:r>
          </w:p>
        </w:tc>
        <w:tc>
          <w:tcPr>
            <w:tcW w:w="1600" w:type="dxa"/>
            <w:tcBorders>
              <w:top w:val="single" w:sz="4" w:space="0" w:color="auto"/>
              <w:left w:val="nil"/>
              <w:bottom w:val="single" w:sz="4" w:space="0" w:color="auto"/>
              <w:right w:val="single" w:sz="8" w:space="0" w:color="auto"/>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8473.30.00 62</w:t>
            </w:r>
          </w:p>
        </w:tc>
        <w:tc>
          <w:tcPr>
            <w:tcW w:w="1280" w:type="dxa"/>
            <w:tcBorders>
              <w:top w:val="single" w:sz="4" w:space="0" w:color="auto"/>
              <w:left w:val="nil"/>
              <w:bottom w:val="single" w:sz="4" w:space="0" w:color="auto"/>
              <w:right w:val="nil"/>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no change</w:t>
            </w:r>
          </w:p>
        </w:tc>
        <w:tc>
          <w:tcPr>
            <w:tcW w:w="154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04D2F" w:rsidRPr="00472541" w:rsidRDefault="00604D2F" w:rsidP="00604D2F">
            <w:pPr>
              <w:jc w:val="center"/>
              <w:rPr>
                <w:rFonts w:ascii="Arial" w:hAnsi="Arial" w:cs="Arial"/>
                <w:color w:val="000000"/>
                <w:sz w:val="16"/>
                <w:szCs w:val="16"/>
                <w:lang w:eastAsia="en-AU"/>
              </w:rPr>
            </w:pPr>
          </w:p>
        </w:tc>
        <w:tc>
          <w:tcPr>
            <w:tcW w:w="2780" w:type="dxa"/>
            <w:tcBorders>
              <w:top w:val="single" w:sz="4" w:space="0" w:color="auto"/>
              <w:left w:val="nil"/>
              <w:bottom w:val="single" w:sz="4" w:space="0" w:color="auto"/>
              <w:right w:val="single" w:sz="8" w:space="0" w:color="auto"/>
            </w:tcBorders>
            <w:shd w:val="clear" w:color="auto" w:fill="auto"/>
            <w:noWrap/>
            <w:vAlign w:val="center"/>
            <w:hideMark/>
          </w:tcPr>
          <w:p w:rsidR="00604D2F" w:rsidRPr="00472541" w:rsidRDefault="00604D2F" w:rsidP="00604D2F">
            <w:pPr>
              <w:rPr>
                <w:rFonts w:ascii="Arial" w:hAnsi="Arial" w:cs="Arial"/>
                <w:color w:val="000000"/>
                <w:sz w:val="16"/>
                <w:szCs w:val="16"/>
                <w:lang w:eastAsia="en-AU"/>
              </w:rPr>
            </w:pPr>
          </w:p>
        </w:tc>
      </w:tr>
      <w:tr w:rsidR="00604D2F" w:rsidRPr="00472541" w:rsidTr="00604D2F">
        <w:trPr>
          <w:trHeight w:val="300"/>
        </w:trPr>
        <w:tc>
          <w:tcPr>
            <w:tcW w:w="1060" w:type="dxa"/>
            <w:vMerge/>
            <w:tcBorders>
              <w:top w:val="nil"/>
              <w:left w:val="single" w:sz="8" w:space="0" w:color="auto"/>
              <w:bottom w:val="single" w:sz="8" w:space="0" w:color="000000"/>
              <w:right w:val="single" w:sz="8" w:space="0" w:color="auto"/>
            </w:tcBorders>
            <w:vAlign w:val="center"/>
            <w:hideMark/>
          </w:tcPr>
          <w:p w:rsidR="00604D2F" w:rsidRPr="00472541" w:rsidRDefault="00604D2F" w:rsidP="00604D2F">
            <w:pPr>
              <w:jc w:val="center"/>
              <w:rPr>
                <w:rFonts w:ascii="Arial" w:hAnsi="Arial" w:cs="Arial"/>
                <w:color w:val="000000"/>
                <w:sz w:val="16"/>
                <w:szCs w:val="16"/>
                <w:lang w:eastAsia="en-AU"/>
              </w:rPr>
            </w:pPr>
          </w:p>
        </w:tc>
        <w:tc>
          <w:tcPr>
            <w:tcW w:w="1600" w:type="dxa"/>
            <w:tcBorders>
              <w:top w:val="nil"/>
              <w:left w:val="nil"/>
              <w:bottom w:val="single" w:sz="4" w:space="0" w:color="auto"/>
              <w:right w:val="single" w:sz="8" w:space="0" w:color="auto"/>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8473.30.00 68</w:t>
            </w:r>
          </w:p>
        </w:tc>
        <w:tc>
          <w:tcPr>
            <w:tcW w:w="1280" w:type="dxa"/>
            <w:tcBorders>
              <w:top w:val="nil"/>
              <w:left w:val="nil"/>
              <w:bottom w:val="single" w:sz="4" w:space="0" w:color="auto"/>
              <w:right w:val="nil"/>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no change</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604D2F" w:rsidRPr="00472541" w:rsidRDefault="00604D2F" w:rsidP="00604D2F">
            <w:pPr>
              <w:jc w:val="center"/>
              <w:rPr>
                <w:rFonts w:ascii="Arial" w:hAnsi="Arial" w:cs="Arial"/>
                <w:color w:val="000000"/>
                <w:sz w:val="16"/>
                <w:szCs w:val="16"/>
                <w:lang w:eastAsia="en-AU"/>
              </w:rPr>
            </w:pPr>
          </w:p>
        </w:tc>
        <w:tc>
          <w:tcPr>
            <w:tcW w:w="2780" w:type="dxa"/>
            <w:tcBorders>
              <w:top w:val="nil"/>
              <w:left w:val="nil"/>
              <w:bottom w:val="single" w:sz="4" w:space="0" w:color="auto"/>
              <w:right w:val="single" w:sz="8" w:space="0" w:color="auto"/>
            </w:tcBorders>
            <w:shd w:val="clear" w:color="auto" w:fill="auto"/>
            <w:noWrap/>
            <w:vAlign w:val="center"/>
            <w:hideMark/>
          </w:tcPr>
          <w:p w:rsidR="00604D2F" w:rsidRPr="00472541" w:rsidRDefault="00604D2F" w:rsidP="00604D2F">
            <w:pPr>
              <w:rPr>
                <w:rFonts w:ascii="Arial" w:hAnsi="Arial" w:cs="Arial"/>
                <w:color w:val="000000"/>
                <w:sz w:val="16"/>
                <w:szCs w:val="16"/>
                <w:lang w:eastAsia="en-AU"/>
              </w:rPr>
            </w:pPr>
          </w:p>
        </w:tc>
      </w:tr>
      <w:tr w:rsidR="00604D2F" w:rsidRPr="00472541" w:rsidTr="00604D2F">
        <w:trPr>
          <w:trHeight w:val="300"/>
        </w:trPr>
        <w:tc>
          <w:tcPr>
            <w:tcW w:w="1060" w:type="dxa"/>
            <w:vMerge/>
            <w:tcBorders>
              <w:top w:val="nil"/>
              <w:left w:val="single" w:sz="8" w:space="0" w:color="auto"/>
              <w:bottom w:val="single" w:sz="8" w:space="0" w:color="000000"/>
              <w:right w:val="single" w:sz="8" w:space="0" w:color="auto"/>
            </w:tcBorders>
            <w:vAlign w:val="center"/>
            <w:hideMark/>
          </w:tcPr>
          <w:p w:rsidR="00604D2F" w:rsidRPr="00472541" w:rsidRDefault="00604D2F" w:rsidP="00604D2F">
            <w:pPr>
              <w:jc w:val="center"/>
              <w:rPr>
                <w:rFonts w:ascii="Arial" w:hAnsi="Arial" w:cs="Arial"/>
                <w:color w:val="000000"/>
                <w:sz w:val="16"/>
                <w:szCs w:val="16"/>
                <w:lang w:eastAsia="en-AU"/>
              </w:rPr>
            </w:pPr>
          </w:p>
        </w:tc>
        <w:tc>
          <w:tcPr>
            <w:tcW w:w="1600" w:type="dxa"/>
            <w:tcBorders>
              <w:top w:val="nil"/>
              <w:left w:val="nil"/>
              <w:bottom w:val="single" w:sz="4" w:space="0" w:color="auto"/>
              <w:right w:val="single" w:sz="8" w:space="0" w:color="auto"/>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8473.30.00 70</w:t>
            </w:r>
          </w:p>
        </w:tc>
        <w:tc>
          <w:tcPr>
            <w:tcW w:w="1280" w:type="dxa"/>
            <w:tcBorders>
              <w:top w:val="nil"/>
              <w:left w:val="nil"/>
              <w:bottom w:val="single" w:sz="4" w:space="0" w:color="auto"/>
              <w:right w:val="nil"/>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no change</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604D2F" w:rsidRPr="00472541" w:rsidRDefault="00604D2F" w:rsidP="00604D2F">
            <w:pPr>
              <w:jc w:val="center"/>
              <w:rPr>
                <w:rFonts w:ascii="Arial" w:hAnsi="Arial" w:cs="Arial"/>
                <w:color w:val="000000"/>
                <w:sz w:val="16"/>
                <w:szCs w:val="16"/>
                <w:lang w:eastAsia="en-AU"/>
              </w:rPr>
            </w:pPr>
          </w:p>
        </w:tc>
        <w:tc>
          <w:tcPr>
            <w:tcW w:w="2780" w:type="dxa"/>
            <w:tcBorders>
              <w:top w:val="nil"/>
              <w:left w:val="nil"/>
              <w:bottom w:val="single" w:sz="4" w:space="0" w:color="auto"/>
              <w:right w:val="single" w:sz="8" w:space="0" w:color="auto"/>
            </w:tcBorders>
            <w:shd w:val="clear" w:color="auto" w:fill="auto"/>
            <w:noWrap/>
            <w:vAlign w:val="center"/>
            <w:hideMark/>
          </w:tcPr>
          <w:p w:rsidR="00604D2F" w:rsidRPr="00472541" w:rsidRDefault="00604D2F" w:rsidP="00604D2F">
            <w:pPr>
              <w:rPr>
                <w:rFonts w:ascii="Arial" w:hAnsi="Arial" w:cs="Arial"/>
                <w:color w:val="000000"/>
                <w:sz w:val="16"/>
                <w:szCs w:val="16"/>
                <w:lang w:eastAsia="en-AU"/>
              </w:rPr>
            </w:pPr>
          </w:p>
        </w:tc>
      </w:tr>
      <w:tr w:rsidR="00604D2F" w:rsidRPr="00472541" w:rsidTr="00604D2F">
        <w:trPr>
          <w:trHeight w:val="315"/>
        </w:trPr>
        <w:tc>
          <w:tcPr>
            <w:tcW w:w="1060" w:type="dxa"/>
            <w:vMerge/>
            <w:tcBorders>
              <w:top w:val="nil"/>
              <w:left w:val="single" w:sz="8" w:space="0" w:color="auto"/>
              <w:bottom w:val="single" w:sz="8" w:space="0" w:color="000000"/>
              <w:right w:val="single" w:sz="8" w:space="0" w:color="auto"/>
            </w:tcBorders>
            <w:vAlign w:val="center"/>
            <w:hideMark/>
          </w:tcPr>
          <w:p w:rsidR="00604D2F" w:rsidRPr="00472541" w:rsidRDefault="00604D2F" w:rsidP="00604D2F">
            <w:pPr>
              <w:jc w:val="center"/>
              <w:rPr>
                <w:rFonts w:ascii="Arial" w:hAnsi="Arial" w:cs="Arial"/>
                <w:color w:val="000000"/>
                <w:sz w:val="16"/>
                <w:szCs w:val="16"/>
                <w:lang w:eastAsia="en-AU"/>
              </w:rPr>
            </w:pPr>
          </w:p>
        </w:tc>
        <w:tc>
          <w:tcPr>
            <w:tcW w:w="1600" w:type="dxa"/>
            <w:tcBorders>
              <w:top w:val="nil"/>
              <w:left w:val="nil"/>
              <w:bottom w:val="single" w:sz="8" w:space="0" w:color="auto"/>
              <w:right w:val="single" w:sz="8" w:space="0" w:color="auto"/>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8473.30.00 85</w:t>
            </w:r>
          </w:p>
        </w:tc>
        <w:tc>
          <w:tcPr>
            <w:tcW w:w="1280" w:type="dxa"/>
            <w:tcBorders>
              <w:top w:val="nil"/>
              <w:left w:val="nil"/>
              <w:bottom w:val="single" w:sz="8" w:space="0" w:color="auto"/>
              <w:right w:val="nil"/>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no change</w:t>
            </w:r>
          </w:p>
        </w:tc>
        <w:tc>
          <w:tcPr>
            <w:tcW w:w="1540" w:type="dxa"/>
            <w:tcBorders>
              <w:top w:val="nil"/>
              <w:left w:val="single" w:sz="8" w:space="0" w:color="auto"/>
              <w:bottom w:val="single" w:sz="8" w:space="0" w:color="auto"/>
              <w:right w:val="single" w:sz="8" w:space="0" w:color="auto"/>
            </w:tcBorders>
            <w:shd w:val="clear" w:color="auto" w:fill="auto"/>
            <w:noWrap/>
            <w:vAlign w:val="center"/>
            <w:hideMark/>
          </w:tcPr>
          <w:p w:rsidR="00604D2F" w:rsidRPr="00472541" w:rsidRDefault="00604D2F" w:rsidP="00604D2F">
            <w:pPr>
              <w:jc w:val="center"/>
              <w:rPr>
                <w:rFonts w:ascii="Arial" w:hAnsi="Arial" w:cs="Arial"/>
                <w:color w:val="000000"/>
                <w:sz w:val="16"/>
                <w:szCs w:val="16"/>
                <w:lang w:eastAsia="en-AU"/>
              </w:rPr>
            </w:pPr>
          </w:p>
        </w:tc>
        <w:tc>
          <w:tcPr>
            <w:tcW w:w="2780" w:type="dxa"/>
            <w:tcBorders>
              <w:top w:val="nil"/>
              <w:left w:val="nil"/>
              <w:bottom w:val="single" w:sz="8" w:space="0" w:color="auto"/>
              <w:right w:val="single" w:sz="8" w:space="0" w:color="auto"/>
            </w:tcBorders>
            <w:shd w:val="clear" w:color="auto" w:fill="auto"/>
            <w:noWrap/>
            <w:vAlign w:val="center"/>
            <w:hideMark/>
          </w:tcPr>
          <w:p w:rsidR="00604D2F" w:rsidRPr="00472541" w:rsidRDefault="00604D2F" w:rsidP="00604D2F">
            <w:pPr>
              <w:rPr>
                <w:rFonts w:ascii="Arial" w:hAnsi="Arial" w:cs="Arial"/>
                <w:color w:val="000000"/>
                <w:sz w:val="16"/>
                <w:szCs w:val="16"/>
                <w:lang w:eastAsia="en-AU"/>
              </w:rPr>
            </w:pPr>
          </w:p>
        </w:tc>
      </w:tr>
      <w:tr w:rsidR="00604D2F" w:rsidRPr="00472541" w:rsidTr="00604D2F">
        <w:trPr>
          <w:trHeight w:val="315"/>
        </w:trPr>
        <w:tc>
          <w:tcPr>
            <w:tcW w:w="1060" w:type="dxa"/>
            <w:tcBorders>
              <w:top w:val="nil"/>
              <w:left w:val="single" w:sz="8" w:space="0" w:color="auto"/>
              <w:bottom w:val="nil"/>
              <w:right w:val="nil"/>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8504.40.30</w:t>
            </w:r>
          </w:p>
        </w:tc>
        <w:tc>
          <w:tcPr>
            <w:tcW w:w="1600" w:type="dxa"/>
            <w:tcBorders>
              <w:top w:val="nil"/>
              <w:left w:val="single" w:sz="8" w:space="0" w:color="auto"/>
              <w:bottom w:val="nil"/>
              <w:right w:val="single" w:sz="8" w:space="0" w:color="auto"/>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8504.40.30 59</w:t>
            </w:r>
          </w:p>
        </w:tc>
        <w:tc>
          <w:tcPr>
            <w:tcW w:w="1280" w:type="dxa"/>
            <w:tcBorders>
              <w:top w:val="nil"/>
              <w:left w:val="nil"/>
              <w:bottom w:val="nil"/>
              <w:right w:val="nil"/>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no change</w:t>
            </w:r>
          </w:p>
        </w:tc>
        <w:tc>
          <w:tcPr>
            <w:tcW w:w="1540" w:type="dxa"/>
            <w:tcBorders>
              <w:top w:val="nil"/>
              <w:left w:val="single" w:sz="8" w:space="0" w:color="auto"/>
              <w:bottom w:val="nil"/>
              <w:right w:val="single" w:sz="8" w:space="0" w:color="auto"/>
            </w:tcBorders>
            <w:shd w:val="clear" w:color="auto" w:fill="auto"/>
            <w:noWrap/>
            <w:vAlign w:val="center"/>
            <w:hideMark/>
          </w:tcPr>
          <w:p w:rsidR="00604D2F" w:rsidRPr="00472541" w:rsidRDefault="00604D2F" w:rsidP="00604D2F">
            <w:pPr>
              <w:jc w:val="center"/>
              <w:rPr>
                <w:rFonts w:ascii="Arial" w:hAnsi="Arial" w:cs="Arial"/>
                <w:color w:val="000000"/>
                <w:sz w:val="16"/>
                <w:szCs w:val="16"/>
                <w:lang w:eastAsia="en-AU"/>
              </w:rPr>
            </w:pPr>
          </w:p>
        </w:tc>
        <w:tc>
          <w:tcPr>
            <w:tcW w:w="2780" w:type="dxa"/>
            <w:tcBorders>
              <w:top w:val="nil"/>
              <w:left w:val="nil"/>
              <w:bottom w:val="nil"/>
              <w:right w:val="single" w:sz="8" w:space="0" w:color="auto"/>
            </w:tcBorders>
            <w:shd w:val="clear" w:color="auto" w:fill="auto"/>
            <w:noWrap/>
            <w:vAlign w:val="center"/>
            <w:hideMark/>
          </w:tcPr>
          <w:p w:rsidR="00604D2F" w:rsidRPr="00472541" w:rsidRDefault="00604D2F" w:rsidP="00604D2F">
            <w:pPr>
              <w:rPr>
                <w:rFonts w:ascii="Arial" w:hAnsi="Arial" w:cs="Arial"/>
                <w:color w:val="000000"/>
                <w:sz w:val="16"/>
                <w:szCs w:val="16"/>
                <w:lang w:eastAsia="en-AU"/>
              </w:rPr>
            </w:pPr>
          </w:p>
        </w:tc>
      </w:tr>
      <w:tr w:rsidR="00604D2F" w:rsidRPr="00472541" w:rsidTr="00604D2F">
        <w:trPr>
          <w:trHeight w:val="570"/>
        </w:trPr>
        <w:tc>
          <w:tcPr>
            <w:tcW w:w="1060" w:type="dxa"/>
            <w:tcBorders>
              <w:top w:val="single" w:sz="8" w:space="0" w:color="auto"/>
              <w:left w:val="single" w:sz="8" w:space="0" w:color="auto"/>
              <w:bottom w:val="single" w:sz="8" w:space="0" w:color="auto"/>
              <w:right w:val="nil"/>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8518.29.90</w:t>
            </w:r>
          </w:p>
        </w:tc>
        <w:tc>
          <w:tcPr>
            <w:tcW w:w="16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8518.29.90 xx</w:t>
            </w:r>
          </w:p>
        </w:tc>
        <w:tc>
          <w:tcPr>
            <w:tcW w:w="1280" w:type="dxa"/>
            <w:tcBorders>
              <w:top w:val="single" w:sz="8" w:space="0" w:color="auto"/>
              <w:left w:val="nil"/>
              <w:bottom w:val="single" w:sz="8" w:space="0" w:color="auto"/>
              <w:right w:val="nil"/>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no change</w:t>
            </w:r>
          </w:p>
        </w:tc>
        <w:tc>
          <w:tcPr>
            <w:tcW w:w="15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8518.29.90 23</w:t>
            </w:r>
          </w:p>
        </w:tc>
        <w:tc>
          <w:tcPr>
            <w:tcW w:w="2780" w:type="dxa"/>
            <w:tcBorders>
              <w:top w:val="single" w:sz="8" w:space="0" w:color="auto"/>
              <w:left w:val="nil"/>
              <w:bottom w:val="single" w:sz="8" w:space="0" w:color="auto"/>
              <w:right w:val="single" w:sz="8" w:space="0" w:color="auto"/>
            </w:tcBorders>
            <w:shd w:val="clear" w:color="auto" w:fill="auto"/>
            <w:vAlign w:val="center"/>
            <w:hideMark/>
          </w:tcPr>
          <w:p w:rsidR="00604D2F" w:rsidRPr="00472541" w:rsidRDefault="00604D2F" w:rsidP="00604D2F">
            <w:pPr>
              <w:rPr>
                <w:rFonts w:ascii="Arial" w:hAnsi="Arial" w:cs="Arial"/>
                <w:color w:val="000000"/>
                <w:sz w:val="16"/>
                <w:szCs w:val="16"/>
                <w:lang w:eastAsia="en-AU"/>
              </w:rPr>
            </w:pPr>
            <w:r w:rsidRPr="00472541">
              <w:rPr>
                <w:rFonts w:ascii="Arial" w:hAnsi="Arial" w:cs="Arial"/>
                <w:color w:val="000000"/>
                <w:sz w:val="16"/>
                <w:szCs w:val="16"/>
                <w:lang w:eastAsia="en-AU"/>
              </w:rPr>
              <w:t xml:space="preserve">Apply factor for </w:t>
            </w:r>
            <w:r w:rsidRPr="00472541">
              <w:rPr>
                <w:rFonts w:ascii="Arial" w:hAnsi="Arial" w:cs="Arial"/>
                <w:b/>
                <w:color w:val="000000"/>
                <w:sz w:val="16"/>
                <w:szCs w:val="16"/>
                <w:lang w:eastAsia="en-AU"/>
              </w:rPr>
              <w:t>SC07 8518.29.90 23</w:t>
            </w:r>
            <w:r w:rsidRPr="00472541">
              <w:rPr>
                <w:rFonts w:ascii="Arial" w:hAnsi="Arial" w:cs="Arial"/>
                <w:color w:val="000000"/>
                <w:sz w:val="16"/>
                <w:szCs w:val="16"/>
                <w:lang w:eastAsia="en-AU"/>
              </w:rPr>
              <w:t>: name change only</w:t>
            </w:r>
          </w:p>
        </w:tc>
      </w:tr>
      <w:tr w:rsidR="00604D2F" w:rsidRPr="00472541" w:rsidTr="00604D2F">
        <w:trPr>
          <w:trHeight w:val="315"/>
        </w:trPr>
        <w:tc>
          <w:tcPr>
            <w:tcW w:w="1060" w:type="dxa"/>
            <w:tcBorders>
              <w:top w:val="nil"/>
              <w:left w:val="single" w:sz="8" w:space="0" w:color="auto"/>
              <w:bottom w:val="nil"/>
              <w:right w:val="nil"/>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8525.80.10</w:t>
            </w:r>
          </w:p>
        </w:tc>
        <w:tc>
          <w:tcPr>
            <w:tcW w:w="1600" w:type="dxa"/>
            <w:tcBorders>
              <w:top w:val="nil"/>
              <w:left w:val="single" w:sz="8" w:space="0" w:color="auto"/>
              <w:bottom w:val="nil"/>
              <w:right w:val="single" w:sz="8" w:space="0" w:color="auto"/>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8525.80.10 15</w:t>
            </w:r>
          </w:p>
        </w:tc>
        <w:tc>
          <w:tcPr>
            <w:tcW w:w="1280" w:type="dxa"/>
            <w:tcBorders>
              <w:top w:val="nil"/>
              <w:left w:val="nil"/>
              <w:bottom w:val="nil"/>
              <w:right w:val="nil"/>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no change</w:t>
            </w:r>
          </w:p>
        </w:tc>
        <w:tc>
          <w:tcPr>
            <w:tcW w:w="1540" w:type="dxa"/>
            <w:tcBorders>
              <w:top w:val="nil"/>
              <w:left w:val="single" w:sz="8" w:space="0" w:color="auto"/>
              <w:bottom w:val="nil"/>
              <w:right w:val="single" w:sz="8" w:space="0" w:color="auto"/>
            </w:tcBorders>
            <w:shd w:val="clear" w:color="auto" w:fill="auto"/>
            <w:noWrap/>
            <w:vAlign w:val="center"/>
            <w:hideMark/>
          </w:tcPr>
          <w:p w:rsidR="00604D2F" w:rsidRPr="00472541" w:rsidRDefault="00604D2F" w:rsidP="00604D2F">
            <w:pPr>
              <w:jc w:val="center"/>
              <w:rPr>
                <w:rFonts w:ascii="Arial" w:hAnsi="Arial" w:cs="Arial"/>
                <w:color w:val="000000"/>
                <w:sz w:val="16"/>
                <w:szCs w:val="16"/>
                <w:lang w:eastAsia="en-AU"/>
              </w:rPr>
            </w:pPr>
          </w:p>
        </w:tc>
        <w:tc>
          <w:tcPr>
            <w:tcW w:w="2780" w:type="dxa"/>
            <w:tcBorders>
              <w:top w:val="nil"/>
              <w:left w:val="nil"/>
              <w:bottom w:val="nil"/>
              <w:right w:val="single" w:sz="8" w:space="0" w:color="auto"/>
            </w:tcBorders>
            <w:shd w:val="clear" w:color="auto" w:fill="auto"/>
            <w:noWrap/>
            <w:vAlign w:val="center"/>
            <w:hideMark/>
          </w:tcPr>
          <w:p w:rsidR="00604D2F" w:rsidRPr="00472541" w:rsidRDefault="00604D2F" w:rsidP="00604D2F">
            <w:pPr>
              <w:rPr>
                <w:rFonts w:ascii="Arial" w:hAnsi="Arial" w:cs="Arial"/>
                <w:color w:val="000000"/>
                <w:sz w:val="16"/>
                <w:szCs w:val="16"/>
                <w:lang w:eastAsia="en-AU"/>
              </w:rPr>
            </w:pPr>
          </w:p>
        </w:tc>
      </w:tr>
      <w:tr w:rsidR="00604D2F" w:rsidRPr="00472541" w:rsidTr="00604D2F">
        <w:trPr>
          <w:trHeight w:val="315"/>
        </w:trPr>
        <w:tc>
          <w:tcPr>
            <w:tcW w:w="1060" w:type="dxa"/>
            <w:tcBorders>
              <w:top w:val="single" w:sz="8" w:space="0" w:color="auto"/>
              <w:left w:val="single" w:sz="8" w:space="0" w:color="auto"/>
              <w:bottom w:val="single" w:sz="8" w:space="0" w:color="auto"/>
              <w:right w:val="nil"/>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8528.41.00</w:t>
            </w:r>
          </w:p>
        </w:tc>
        <w:tc>
          <w:tcPr>
            <w:tcW w:w="16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8528.41.00 10</w:t>
            </w:r>
          </w:p>
        </w:tc>
        <w:tc>
          <w:tcPr>
            <w:tcW w:w="1280" w:type="dxa"/>
            <w:tcBorders>
              <w:top w:val="single" w:sz="8" w:space="0" w:color="auto"/>
              <w:left w:val="nil"/>
              <w:bottom w:val="single" w:sz="8" w:space="0" w:color="auto"/>
              <w:right w:val="nil"/>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no change</w:t>
            </w:r>
          </w:p>
        </w:tc>
        <w:tc>
          <w:tcPr>
            <w:tcW w:w="15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04D2F" w:rsidRPr="00472541" w:rsidRDefault="00604D2F" w:rsidP="00604D2F">
            <w:pPr>
              <w:jc w:val="center"/>
              <w:rPr>
                <w:rFonts w:ascii="Arial" w:hAnsi="Arial" w:cs="Arial"/>
                <w:color w:val="000000"/>
                <w:sz w:val="16"/>
                <w:szCs w:val="16"/>
                <w:lang w:eastAsia="en-AU"/>
              </w:rPr>
            </w:pPr>
          </w:p>
        </w:tc>
        <w:tc>
          <w:tcPr>
            <w:tcW w:w="2780" w:type="dxa"/>
            <w:tcBorders>
              <w:top w:val="single" w:sz="8" w:space="0" w:color="auto"/>
              <w:left w:val="nil"/>
              <w:bottom w:val="single" w:sz="8" w:space="0" w:color="auto"/>
              <w:right w:val="single" w:sz="8" w:space="0" w:color="auto"/>
            </w:tcBorders>
            <w:shd w:val="clear" w:color="auto" w:fill="auto"/>
            <w:noWrap/>
            <w:vAlign w:val="center"/>
            <w:hideMark/>
          </w:tcPr>
          <w:p w:rsidR="00604D2F" w:rsidRPr="00472541" w:rsidRDefault="00604D2F" w:rsidP="00604D2F">
            <w:pPr>
              <w:rPr>
                <w:rFonts w:ascii="Arial" w:hAnsi="Arial" w:cs="Arial"/>
                <w:color w:val="000000"/>
                <w:sz w:val="16"/>
                <w:szCs w:val="16"/>
                <w:lang w:eastAsia="en-AU"/>
              </w:rPr>
            </w:pPr>
          </w:p>
        </w:tc>
      </w:tr>
      <w:tr w:rsidR="00604D2F" w:rsidRPr="00472541" w:rsidTr="00604D2F">
        <w:trPr>
          <w:trHeight w:val="30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8528.51.00</w:t>
            </w:r>
          </w:p>
        </w:tc>
        <w:tc>
          <w:tcPr>
            <w:tcW w:w="1600" w:type="dxa"/>
            <w:tcBorders>
              <w:top w:val="nil"/>
              <w:left w:val="nil"/>
              <w:bottom w:val="single" w:sz="4" w:space="0" w:color="auto"/>
              <w:right w:val="single" w:sz="8" w:space="0" w:color="auto"/>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8528.51.00 32</w:t>
            </w:r>
          </w:p>
        </w:tc>
        <w:tc>
          <w:tcPr>
            <w:tcW w:w="1280" w:type="dxa"/>
            <w:tcBorders>
              <w:top w:val="nil"/>
              <w:left w:val="nil"/>
              <w:bottom w:val="single" w:sz="4" w:space="0" w:color="auto"/>
              <w:right w:val="nil"/>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no change</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604D2F" w:rsidRPr="00472541" w:rsidRDefault="00604D2F" w:rsidP="00604D2F">
            <w:pPr>
              <w:jc w:val="center"/>
              <w:rPr>
                <w:rFonts w:ascii="Arial" w:hAnsi="Arial" w:cs="Arial"/>
                <w:color w:val="000000"/>
                <w:sz w:val="16"/>
                <w:szCs w:val="16"/>
                <w:lang w:eastAsia="en-AU"/>
              </w:rPr>
            </w:pPr>
          </w:p>
        </w:tc>
        <w:tc>
          <w:tcPr>
            <w:tcW w:w="2780" w:type="dxa"/>
            <w:tcBorders>
              <w:top w:val="nil"/>
              <w:left w:val="nil"/>
              <w:bottom w:val="single" w:sz="4" w:space="0" w:color="auto"/>
              <w:right w:val="single" w:sz="8" w:space="0" w:color="auto"/>
            </w:tcBorders>
            <w:shd w:val="clear" w:color="auto" w:fill="auto"/>
            <w:noWrap/>
            <w:vAlign w:val="center"/>
            <w:hideMark/>
          </w:tcPr>
          <w:p w:rsidR="00604D2F" w:rsidRPr="00472541" w:rsidRDefault="00604D2F" w:rsidP="00604D2F">
            <w:pPr>
              <w:rPr>
                <w:rFonts w:ascii="Arial" w:hAnsi="Arial" w:cs="Arial"/>
                <w:color w:val="000000"/>
                <w:sz w:val="16"/>
                <w:szCs w:val="16"/>
                <w:lang w:eastAsia="en-AU"/>
              </w:rPr>
            </w:pPr>
          </w:p>
        </w:tc>
      </w:tr>
      <w:tr w:rsidR="00604D2F" w:rsidRPr="00472541" w:rsidTr="00604D2F">
        <w:trPr>
          <w:trHeight w:val="315"/>
        </w:trPr>
        <w:tc>
          <w:tcPr>
            <w:tcW w:w="1060" w:type="dxa"/>
            <w:vMerge/>
            <w:tcBorders>
              <w:top w:val="nil"/>
              <w:left w:val="single" w:sz="8" w:space="0" w:color="auto"/>
              <w:bottom w:val="single" w:sz="8" w:space="0" w:color="000000"/>
              <w:right w:val="single" w:sz="8" w:space="0" w:color="auto"/>
            </w:tcBorders>
            <w:vAlign w:val="center"/>
            <w:hideMark/>
          </w:tcPr>
          <w:p w:rsidR="00604D2F" w:rsidRPr="00472541" w:rsidRDefault="00604D2F" w:rsidP="00604D2F">
            <w:pPr>
              <w:jc w:val="center"/>
              <w:rPr>
                <w:rFonts w:ascii="Arial" w:hAnsi="Arial" w:cs="Arial"/>
                <w:color w:val="000000"/>
                <w:sz w:val="16"/>
                <w:szCs w:val="16"/>
                <w:lang w:eastAsia="en-AU"/>
              </w:rPr>
            </w:pPr>
          </w:p>
        </w:tc>
        <w:tc>
          <w:tcPr>
            <w:tcW w:w="1600" w:type="dxa"/>
            <w:tcBorders>
              <w:top w:val="nil"/>
              <w:left w:val="nil"/>
              <w:bottom w:val="nil"/>
              <w:right w:val="single" w:sz="8" w:space="0" w:color="auto"/>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8528.51.00 33</w:t>
            </w:r>
          </w:p>
        </w:tc>
        <w:tc>
          <w:tcPr>
            <w:tcW w:w="1280" w:type="dxa"/>
            <w:tcBorders>
              <w:top w:val="nil"/>
              <w:left w:val="nil"/>
              <w:bottom w:val="nil"/>
              <w:right w:val="nil"/>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no change</w:t>
            </w:r>
          </w:p>
        </w:tc>
        <w:tc>
          <w:tcPr>
            <w:tcW w:w="1540" w:type="dxa"/>
            <w:tcBorders>
              <w:top w:val="nil"/>
              <w:left w:val="single" w:sz="8" w:space="0" w:color="auto"/>
              <w:bottom w:val="nil"/>
              <w:right w:val="single" w:sz="8" w:space="0" w:color="auto"/>
            </w:tcBorders>
            <w:shd w:val="clear" w:color="auto" w:fill="auto"/>
            <w:noWrap/>
            <w:vAlign w:val="center"/>
            <w:hideMark/>
          </w:tcPr>
          <w:p w:rsidR="00604D2F" w:rsidRPr="00472541" w:rsidRDefault="00604D2F" w:rsidP="00604D2F">
            <w:pPr>
              <w:jc w:val="center"/>
              <w:rPr>
                <w:rFonts w:ascii="Arial" w:hAnsi="Arial" w:cs="Arial"/>
                <w:color w:val="000000"/>
                <w:sz w:val="16"/>
                <w:szCs w:val="16"/>
                <w:lang w:eastAsia="en-AU"/>
              </w:rPr>
            </w:pPr>
          </w:p>
        </w:tc>
        <w:tc>
          <w:tcPr>
            <w:tcW w:w="2780" w:type="dxa"/>
            <w:tcBorders>
              <w:top w:val="nil"/>
              <w:left w:val="nil"/>
              <w:bottom w:val="nil"/>
              <w:right w:val="single" w:sz="8" w:space="0" w:color="auto"/>
            </w:tcBorders>
            <w:shd w:val="clear" w:color="auto" w:fill="auto"/>
            <w:noWrap/>
            <w:vAlign w:val="center"/>
            <w:hideMark/>
          </w:tcPr>
          <w:p w:rsidR="00604D2F" w:rsidRPr="00472541" w:rsidRDefault="00604D2F" w:rsidP="00604D2F">
            <w:pPr>
              <w:rPr>
                <w:rFonts w:ascii="Arial" w:hAnsi="Arial" w:cs="Arial"/>
                <w:color w:val="000000"/>
                <w:sz w:val="16"/>
                <w:szCs w:val="16"/>
                <w:lang w:eastAsia="en-AU"/>
              </w:rPr>
            </w:pPr>
          </w:p>
        </w:tc>
      </w:tr>
      <w:tr w:rsidR="00604D2F" w:rsidRPr="00472541" w:rsidTr="00604D2F">
        <w:trPr>
          <w:trHeight w:val="315"/>
        </w:trPr>
        <w:tc>
          <w:tcPr>
            <w:tcW w:w="1060" w:type="dxa"/>
            <w:tcBorders>
              <w:top w:val="nil"/>
              <w:left w:val="single" w:sz="8" w:space="0" w:color="auto"/>
              <w:bottom w:val="single" w:sz="8" w:space="0" w:color="auto"/>
              <w:right w:val="nil"/>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8528.73.00</w:t>
            </w:r>
          </w:p>
        </w:tc>
        <w:tc>
          <w:tcPr>
            <w:tcW w:w="16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8528.73.00 35</w:t>
            </w:r>
          </w:p>
        </w:tc>
        <w:tc>
          <w:tcPr>
            <w:tcW w:w="1280" w:type="dxa"/>
            <w:tcBorders>
              <w:top w:val="single" w:sz="8" w:space="0" w:color="auto"/>
              <w:left w:val="nil"/>
              <w:bottom w:val="single" w:sz="8" w:space="0" w:color="auto"/>
              <w:right w:val="nil"/>
            </w:tcBorders>
            <w:shd w:val="clear" w:color="auto" w:fill="auto"/>
            <w:vAlign w:val="center"/>
            <w:hideMark/>
          </w:tcPr>
          <w:p w:rsidR="00604D2F" w:rsidRPr="00472541" w:rsidRDefault="00604D2F" w:rsidP="00604D2F">
            <w:pPr>
              <w:jc w:val="center"/>
              <w:rPr>
                <w:rFonts w:ascii="Arial" w:hAnsi="Arial" w:cs="Arial"/>
                <w:color w:val="000000"/>
                <w:sz w:val="16"/>
                <w:szCs w:val="16"/>
                <w:lang w:eastAsia="en-AU"/>
              </w:rPr>
            </w:pPr>
            <w:r w:rsidRPr="00472541">
              <w:rPr>
                <w:rFonts w:ascii="Arial" w:hAnsi="Arial" w:cs="Arial"/>
                <w:color w:val="000000"/>
                <w:sz w:val="16"/>
                <w:szCs w:val="16"/>
                <w:lang w:eastAsia="en-AU"/>
              </w:rPr>
              <w:t>no change</w:t>
            </w:r>
          </w:p>
        </w:tc>
        <w:tc>
          <w:tcPr>
            <w:tcW w:w="15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04D2F" w:rsidRPr="00472541" w:rsidRDefault="00604D2F" w:rsidP="00604D2F">
            <w:pPr>
              <w:jc w:val="center"/>
              <w:rPr>
                <w:rFonts w:ascii="Arial" w:hAnsi="Arial" w:cs="Arial"/>
                <w:color w:val="000000"/>
                <w:sz w:val="16"/>
                <w:szCs w:val="16"/>
                <w:lang w:eastAsia="en-AU"/>
              </w:rPr>
            </w:pPr>
          </w:p>
        </w:tc>
        <w:tc>
          <w:tcPr>
            <w:tcW w:w="2780" w:type="dxa"/>
            <w:tcBorders>
              <w:top w:val="single" w:sz="8" w:space="0" w:color="auto"/>
              <w:left w:val="nil"/>
              <w:bottom w:val="single" w:sz="8" w:space="0" w:color="auto"/>
              <w:right w:val="single" w:sz="8" w:space="0" w:color="auto"/>
            </w:tcBorders>
            <w:shd w:val="clear" w:color="auto" w:fill="auto"/>
            <w:noWrap/>
            <w:vAlign w:val="center"/>
            <w:hideMark/>
          </w:tcPr>
          <w:p w:rsidR="00604D2F" w:rsidRPr="00472541" w:rsidRDefault="00604D2F" w:rsidP="00604D2F">
            <w:pPr>
              <w:rPr>
                <w:rFonts w:ascii="Arial" w:hAnsi="Arial" w:cs="Arial"/>
                <w:color w:val="000000"/>
                <w:sz w:val="16"/>
                <w:szCs w:val="16"/>
                <w:lang w:eastAsia="en-AU"/>
              </w:rPr>
            </w:pPr>
          </w:p>
        </w:tc>
      </w:tr>
    </w:tbl>
    <w:p w:rsidR="00604D2F" w:rsidRDefault="00604D2F" w:rsidP="00604D2F"/>
    <w:p w:rsidR="00604D2F" w:rsidRDefault="00604D2F" w:rsidP="00604D2F"/>
    <w:p w:rsidR="00604D2F" w:rsidRDefault="00604D2F" w:rsidP="00604D2F"/>
    <w:p w:rsidR="00604D2F" w:rsidRDefault="00604D2F" w:rsidP="00604D2F"/>
    <w:p w:rsidR="00604D2F" w:rsidRDefault="00604D2F" w:rsidP="00604D2F">
      <w:pPr>
        <w:pStyle w:val="Caption"/>
      </w:pPr>
      <w:r>
        <w:t xml:space="preserve">Table </w:t>
      </w:r>
      <w:r w:rsidR="00246893">
        <w:fldChar w:fldCharType="begin"/>
      </w:r>
      <w:r>
        <w:instrText xml:space="preserve"> STYLEREF 1 \s </w:instrText>
      </w:r>
      <w:r w:rsidR="00246893">
        <w:fldChar w:fldCharType="separate"/>
      </w:r>
      <w:r w:rsidR="002D292C">
        <w:rPr>
          <w:noProof/>
        </w:rPr>
        <w:t>6</w:t>
      </w:r>
      <w:r w:rsidR="00246893">
        <w:fldChar w:fldCharType="end"/>
      </w:r>
      <w:r>
        <w:t>-</w:t>
      </w:r>
      <w:r w:rsidR="00246893">
        <w:fldChar w:fldCharType="begin"/>
      </w:r>
      <w:r>
        <w:instrText xml:space="preserve"> SEQ Figure \* ARABIC \s 1 </w:instrText>
      </w:r>
      <w:r w:rsidR="00246893">
        <w:fldChar w:fldCharType="separate"/>
      </w:r>
      <w:r w:rsidR="002D292C">
        <w:rPr>
          <w:noProof/>
        </w:rPr>
        <w:t>2</w:t>
      </w:r>
      <w:r w:rsidR="00246893">
        <w:fldChar w:fldCharType="end"/>
      </w:r>
      <w:r>
        <w:t xml:space="preserve"> </w:t>
      </w:r>
      <w:r>
        <w:rPr>
          <w:rFonts w:ascii="Arial" w:hAnsi="Arial" w:cs="Arial"/>
          <w:color w:val="000000"/>
          <w:sz w:val="16"/>
          <w:szCs w:val="16"/>
          <w:lang w:eastAsia="en-AU"/>
        </w:rPr>
        <w:t>Proposed conversion factors for</w:t>
      </w:r>
      <w:r>
        <w:t xml:space="preserve"> SC12 colour TVs</w:t>
      </w:r>
    </w:p>
    <w:tbl>
      <w:tblPr>
        <w:tblW w:w="8379" w:type="dxa"/>
        <w:tblInd w:w="93" w:type="dxa"/>
        <w:tblLook w:val="04A0"/>
      </w:tblPr>
      <w:tblGrid>
        <w:gridCol w:w="3276"/>
        <w:gridCol w:w="1417"/>
        <w:gridCol w:w="1276"/>
        <w:gridCol w:w="2410"/>
      </w:tblGrid>
      <w:tr w:rsidR="00604D2F" w:rsidRPr="000B5964" w:rsidTr="00604D2F">
        <w:trPr>
          <w:trHeight w:val="300"/>
        </w:trPr>
        <w:tc>
          <w:tcPr>
            <w:tcW w:w="3276"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604D2F" w:rsidRPr="000B5964" w:rsidRDefault="00604D2F" w:rsidP="00604D2F">
            <w:pPr>
              <w:rPr>
                <w:rFonts w:ascii="Calibri" w:hAnsi="Calibri" w:cs="Calibri"/>
                <w:b/>
                <w:bCs/>
                <w:color w:val="000000"/>
                <w:sz w:val="16"/>
                <w:szCs w:val="16"/>
                <w:lang w:eastAsia="en-AU"/>
              </w:rPr>
            </w:pPr>
            <w:r w:rsidRPr="000B5964">
              <w:rPr>
                <w:rFonts w:ascii="Calibri" w:hAnsi="Calibri" w:cs="Calibri"/>
                <w:b/>
                <w:bCs/>
                <w:color w:val="000000"/>
                <w:sz w:val="16"/>
                <w:szCs w:val="16"/>
                <w:lang w:eastAsia="en-AU"/>
              </w:rPr>
              <w:t>2012 HTISC description</w:t>
            </w:r>
          </w:p>
        </w:tc>
        <w:tc>
          <w:tcPr>
            <w:tcW w:w="1417" w:type="dxa"/>
            <w:tcBorders>
              <w:top w:val="single" w:sz="4" w:space="0" w:color="auto"/>
              <w:left w:val="nil"/>
              <w:bottom w:val="single" w:sz="4" w:space="0" w:color="auto"/>
              <w:right w:val="single" w:sz="4" w:space="0" w:color="auto"/>
            </w:tcBorders>
            <w:shd w:val="clear" w:color="000000" w:fill="D8D8D8"/>
            <w:noWrap/>
            <w:vAlign w:val="bottom"/>
            <w:hideMark/>
          </w:tcPr>
          <w:p w:rsidR="00604D2F" w:rsidRPr="000B5964" w:rsidRDefault="00604D2F" w:rsidP="00604D2F">
            <w:pPr>
              <w:rPr>
                <w:rFonts w:ascii="Calibri" w:hAnsi="Calibri" w:cs="Calibri"/>
                <w:b/>
                <w:bCs/>
                <w:color w:val="000000"/>
                <w:sz w:val="16"/>
                <w:szCs w:val="16"/>
                <w:lang w:eastAsia="en-AU"/>
              </w:rPr>
            </w:pPr>
            <w:r w:rsidRPr="000B5964">
              <w:rPr>
                <w:rFonts w:ascii="Calibri" w:hAnsi="Calibri" w:cs="Calibri"/>
                <w:b/>
                <w:bCs/>
                <w:color w:val="000000"/>
                <w:sz w:val="16"/>
                <w:szCs w:val="16"/>
                <w:lang w:eastAsia="en-AU"/>
              </w:rPr>
              <w:t>2012 HTISC</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604D2F" w:rsidRPr="000B5964" w:rsidRDefault="00604D2F" w:rsidP="00604D2F">
            <w:pPr>
              <w:jc w:val="center"/>
              <w:rPr>
                <w:rFonts w:ascii="Calibri" w:hAnsi="Calibri" w:cs="Calibri"/>
                <w:b/>
                <w:bCs/>
                <w:color w:val="000000"/>
                <w:sz w:val="16"/>
                <w:szCs w:val="16"/>
                <w:lang w:eastAsia="en-AU"/>
              </w:rPr>
            </w:pPr>
            <w:r>
              <w:rPr>
                <w:rFonts w:ascii="Calibri" w:hAnsi="Calibri" w:cs="Calibri"/>
                <w:b/>
                <w:bCs/>
                <w:color w:val="000000"/>
                <w:sz w:val="16"/>
                <w:szCs w:val="16"/>
                <w:lang w:eastAsia="en-AU"/>
              </w:rPr>
              <w:t>P</w:t>
            </w:r>
            <w:r w:rsidRPr="000B5964">
              <w:rPr>
                <w:rFonts w:ascii="Calibri" w:hAnsi="Calibri" w:cs="Calibri"/>
                <w:b/>
                <w:bCs/>
                <w:color w:val="000000"/>
                <w:sz w:val="16"/>
                <w:szCs w:val="16"/>
                <w:lang w:eastAsia="en-AU"/>
              </w:rPr>
              <w:t>roposed CF</w:t>
            </w:r>
            <w:r>
              <w:rPr>
                <w:rFonts w:ascii="Calibri" w:hAnsi="Calibri" w:cs="Calibri"/>
                <w:b/>
                <w:bCs/>
                <w:color w:val="000000"/>
                <w:sz w:val="16"/>
                <w:szCs w:val="16"/>
                <w:lang w:eastAsia="en-AU"/>
              </w:rPr>
              <w:t xml:space="preserve"> (kg)</w:t>
            </w:r>
          </w:p>
        </w:tc>
        <w:tc>
          <w:tcPr>
            <w:tcW w:w="2410" w:type="dxa"/>
            <w:tcBorders>
              <w:top w:val="single" w:sz="4" w:space="0" w:color="auto"/>
              <w:left w:val="nil"/>
              <w:bottom w:val="single" w:sz="4" w:space="0" w:color="auto"/>
              <w:right w:val="single" w:sz="4" w:space="0" w:color="auto"/>
            </w:tcBorders>
            <w:shd w:val="clear" w:color="000000" w:fill="D8D8D8"/>
            <w:noWrap/>
            <w:vAlign w:val="bottom"/>
            <w:hideMark/>
          </w:tcPr>
          <w:p w:rsidR="00604D2F" w:rsidRPr="000B5964" w:rsidRDefault="00604D2F" w:rsidP="00604D2F">
            <w:pPr>
              <w:rPr>
                <w:rFonts w:ascii="Calibri" w:hAnsi="Calibri" w:cs="Calibri"/>
                <w:b/>
                <w:bCs/>
                <w:color w:val="000000"/>
                <w:sz w:val="16"/>
                <w:szCs w:val="16"/>
                <w:lang w:eastAsia="en-AU"/>
              </w:rPr>
            </w:pPr>
            <w:r>
              <w:rPr>
                <w:rFonts w:ascii="Calibri" w:hAnsi="Calibri" w:cs="Calibri"/>
                <w:b/>
                <w:bCs/>
                <w:color w:val="000000"/>
                <w:sz w:val="16"/>
                <w:szCs w:val="16"/>
                <w:lang w:eastAsia="en-AU"/>
              </w:rPr>
              <w:t>A</w:t>
            </w:r>
            <w:r w:rsidRPr="000B5964">
              <w:rPr>
                <w:rFonts w:ascii="Calibri" w:hAnsi="Calibri" w:cs="Calibri"/>
                <w:b/>
                <w:bCs/>
                <w:color w:val="000000"/>
                <w:sz w:val="16"/>
                <w:szCs w:val="16"/>
                <w:lang w:eastAsia="en-AU"/>
              </w:rPr>
              <w:t>ssumption / method</w:t>
            </w:r>
          </w:p>
        </w:tc>
      </w:tr>
      <w:tr w:rsidR="00604D2F" w:rsidRPr="000B5964" w:rsidTr="00604D2F">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Clr TVs: Analogue LCD..Wide screen, &lt; 80cm</w:t>
            </w:r>
          </w:p>
        </w:tc>
        <w:tc>
          <w:tcPr>
            <w:tcW w:w="1417"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8528.72.00 20</w:t>
            </w:r>
          </w:p>
        </w:tc>
        <w:tc>
          <w:tcPr>
            <w:tcW w:w="1276"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jc w:val="center"/>
              <w:rPr>
                <w:rFonts w:ascii="Calibri" w:hAnsi="Calibri" w:cs="Calibri"/>
                <w:color w:val="000000"/>
                <w:sz w:val="16"/>
                <w:szCs w:val="16"/>
                <w:lang w:eastAsia="en-AU"/>
              </w:rPr>
            </w:pPr>
            <w:r w:rsidRPr="000B5964">
              <w:rPr>
                <w:rFonts w:ascii="Calibri" w:hAnsi="Calibri" w:cs="Calibri"/>
                <w:color w:val="000000"/>
                <w:sz w:val="16"/>
                <w:szCs w:val="16"/>
                <w:lang w:eastAsia="en-AU"/>
              </w:rPr>
              <w:t>5.4</w:t>
            </w:r>
          </w:p>
        </w:tc>
        <w:tc>
          <w:tcPr>
            <w:tcW w:w="2410"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SC07: LCD &lt; 80</w:t>
            </w:r>
          </w:p>
        </w:tc>
      </w:tr>
      <w:tr w:rsidR="00604D2F" w:rsidRPr="000B5964" w:rsidTr="00604D2F">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Clr TVs: Analogue LCD..Wide screen, &gt; 80 cm</w:t>
            </w:r>
          </w:p>
        </w:tc>
        <w:tc>
          <w:tcPr>
            <w:tcW w:w="1417"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8528.72.00 21</w:t>
            </w:r>
          </w:p>
        </w:tc>
        <w:tc>
          <w:tcPr>
            <w:tcW w:w="1276"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jc w:val="center"/>
              <w:rPr>
                <w:rFonts w:ascii="Calibri" w:hAnsi="Calibri" w:cs="Calibri"/>
                <w:color w:val="000000"/>
                <w:sz w:val="16"/>
                <w:szCs w:val="16"/>
                <w:lang w:eastAsia="en-AU"/>
              </w:rPr>
            </w:pPr>
            <w:r w:rsidRPr="000B5964">
              <w:rPr>
                <w:rFonts w:ascii="Calibri" w:hAnsi="Calibri" w:cs="Calibri"/>
                <w:color w:val="000000"/>
                <w:sz w:val="16"/>
                <w:szCs w:val="16"/>
                <w:lang w:eastAsia="en-AU"/>
              </w:rPr>
              <w:t>18.4</w:t>
            </w:r>
          </w:p>
        </w:tc>
        <w:tc>
          <w:tcPr>
            <w:tcW w:w="2410"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SC07: LCD &gt; 80</w:t>
            </w:r>
          </w:p>
        </w:tc>
      </w:tr>
      <w:tr w:rsidR="00604D2F" w:rsidRPr="000B5964" w:rsidTr="00604D2F">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Clr TVs: Analogue LCD..Other</w:t>
            </w:r>
          </w:p>
        </w:tc>
        <w:tc>
          <w:tcPr>
            <w:tcW w:w="1417"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8528.72.00 22</w:t>
            </w:r>
          </w:p>
        </w:tc>
        <w:tc>
          <w:tcPr>
            <w:tcW w:w="1276"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jc w:val="center"/>
              <w:rPr>
                <w:rFonts w:ascii="Calibri" w:hAnsi="Calibri" w:cs="Calibri"/>
                <w:color w:val="000000"/>
                <w:sz w:val="16"/>
                <w:szCs w:val="16"/>
                <w:lang w:eastAsia="en-AU"/>
              </w:rPr>
            </w:pPr>
            <w:r w:rsidRPr="000B5964">
              <w:rPr>
                <w:rFonts w:ascii="Calibri" w:hAnsi="Calibri" w:cs="Calibri"/>
                <w:color w:val="000000"/>
                <w:sz w:val="16"/>
                <w:szCs w:val="16"/>
                <w:lang w:eastAsia="en-AU"/>
              </w:rPr>
              <w:t>18.5</w:t>
            </w:r>
          </w:p>
        </w:tc>
        <w:tc>
          <w:tcPr>
            <w:tcW w:w="2410"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SC07: LCD other</w:t>
            </w:r>
          </w:p>
        </w:tc>
      </w:tr>
      <w:tr w:rsidR="00604D2F" w:rsidRPr="000B5964" w:rsidTr="00604D2F">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Clr TVs: Analogue, Plasma</w:t>
            </w:r>
          </w:p>
        </w:tc>
        <w:tc>
          <w:tcPr>
            <w:tcW w:w="1417"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8528.72.00 xa</w:t>
            </w:r>
          </w:p>
        </w:tc>
        <w:tc>
          <w:tcPr>
            <w:tcW w:w="1276"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jc w:val="center"/>
              <w:rPr>
                <w:rFonts w:ascii="Calibri" w:hAnsi="Calibri" w:cs="Calibri"/>
                <w:color w:val="000000"/>
                <w:sz w:val="16"/>
                <w:szCs w:val="16"/>
                <w:lang w:eastAsia="en-AU"/>
              </w:rPr>
            </w:pPr>
            <w:r w:rsidRPr="000B5964">
              <w:rPr>
                <w:rFonts w:ascii="Calibri" w:hAnsi="Calibri" w:cs="Calibri"/>
                <w:color w:val="000000"/>
                <w:sz w:val="16"/>
                <w:szCs w:val="16"/>
                <w:lang w:eastAsia="en-AU"/>
              </w:rPr>
              <w:t>19.5</w:t>
            </w:r>
          </w:p>
        </w:tc>
        <w:tc>
          <w:tcPr>
            <w:tcW w:w="2410"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average plasma/projection</w:t>
            </w:r>
          </w:p>
        </w:tc>
      </w:tr>
      <w:tr w:rsidR="00604D2F" w:rsidRPr="000B5964" w:rsidTr="00604D2F">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Clr TVs: Analogue, Projection</w:t>
            </w:r>
          </w:p>
        </w:tc>
        <w:tc>
          <w:tcPr>
            <w:tcW w:w="1417"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8528.72.00 xb</w:t>
            </w:r>
          </w:p>
        </w:tc>
        <w:tc>
          <w:tcPr>
            <w:tcW w:w="1276"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jc w:val="center"/>
              <w:rPr>
                <w:rFonts w:ascii="Calibri" w:hAnsi="Calibri" w:cs="Calibri"/>
                <w:color w:val="000000"/>
                <w:sz w:val="16"/>
                <w:szCs w:val="16"/>
                <w:lang w:eastAsia="en-AU"/>
              </w:rPr>
            </w:pPr>
            <w:r w:rsidRPr="000B5964">
              <w:rPr>
                <w:rFonts w:ascii="Calibri" w:hAnsi="Calibri" w:cs="Calibri"/>
                <w:color w:val="000000"/>
                <w:sz w:val="16"/>
                <w:szCs w:val="16"/>
                <w:lang w:eastAsia="en-AU"/>
              </w:rPr>
              <w:t>19.5</w:t>
            </w:r>
          </w:p>
        </w:tc>
        <w:tc>
          <w:tcPr>
            <w:tcW w:w="2410"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average plasma/projection</w:t>
            </w:r>
          </w:p>
        </w:tc>
      </w:tr>
      <w:tr w:rsidR="00604D2F" w:rsidRPr="000B5964" w:rsidTr="00604D2F">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Clr TVs: Analogue,CRT</w:t>
            </w:r>
          </w:p>
        </w:tc>
        <w:tc>
          <w:tcPr>
            <w:tcW w:w="1417"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8528.72.00 xc</w:t>
            </w:r>
          </w:p>
        </w:tc>
        <w:tc>
          <w:tcPr>
            <w:tcW w:w="1276"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jc w:val="center"/>
              <w:rPr>
                <w:rFonts w:ascii="Calibri" w:hAnsi="Calibri" w:cs="Calibri"/>
                <w:color w:val="000000"/>
                <w:sz w:val="16"/>
                <w:szCs w:val="16"/>
                <w:lang w:eastAsia="en-AU"/>
              </w:rPr>
            </w:pPr>
            <w:r w:rsidRPr="000B5964">
              <w:rPr>
                <w:rFonts w:ascii="Calibri" w:hAnsi="Calibri" w:cs="Calibri"/>
                <w:color w:val="000000"/>
                <w:sz w:val="16"/>
                <w:szCs w:val="16"/>
                <w:lang w:eastAsia="en-AU"/>
              </w:rPr>
              <w:t>26.2</w:t>
            </w:r>
          </w:p>
        </w:tc>
        <w:tc>
          <w:tcPr>
            <w:tcW w:w="2410"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average all CRT</w:t>
            </w:r>
          </w:p>
        </w:tc>
      </w:tr>
      <w:tr w:rsidR="00604D2F" w:rsidRPr="000B5964" w:rsidTr="00604D2F">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Clr TVs: Analogue,CRT,&lt;51 cm</w:t>
            </w:r>
          </w:p>
        </w:tc>
        <w:tc>
          <w:tcPr>
            <w:tcW w:w="1417"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8528.72.00 xd</w:t>
            </w:r>
          </w:p>
        </w:tc>
        <w:tc>
          <w:tcPr>
            <w:tcW w:w="1276"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jc w:val="center"/>
              <w:rPr>
                <w:rFonts w:ascii="Calibri" w:hAnsi="Calibri" w:cs="Calibri"/>
                <w:color w:val="000000"/>
                <w:sz w:val="16"/>
                <w:szCs w:val="16"/>
                <w:lang w:eastAsia="en-AU"/>
              </w:rPr>
            </w:pPr>
            <w:r w:rsidRPr="000B5964">
              <w:rPr>
                <w:rFonts w:ascii="Calibri" w:hAnsi="Calibri" w:cs="Calibri"/>
                <w:color w:val="000000"/>
                <w:sz w:val="16"/>
                <w:szCs w:val="16"/>
                <w:lang w:eastAsia="en-AU"/>
              </w:rPr>
              <w:t>6.1</w:t>
            </w:r>
          </w:p>
        </w:tc>
        <w:tc>
          <w:tcPr>
            <w:tcW w:w="2410"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average CRT &lt; 51</w:t>
            </w:r>
          </w:p>
        </w:tc>
      </w:tr>
      <w:tr w:rsidR="00604D2F" w:rsidRPr="000B5964" w:rsidTr="00604D2F">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Clr TVs: Analogue,CRT, &gt;51 cm</w:t>
            </w:r>
          </w:p>
        </w:tc>
        <w:tc>
          <w:tcPr>
            <w:tcW w:w="1417"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8528.72.00 xe</w:t>
            </w:r>
          </w:p>
        </w:tc>
        <w:tc>
          <w:tcPr>
            <w:tcW w:w="1276"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jc w:val="center"/>
              <w:rPr>
                <w:rFonts w:ascii="Calibri" w:hAnsi="Calibri" w:cs="Calibri"/>
                <w:color w:val="000000"/>
                <w:sz w:val="16"/>
                <w:szCs w:val="16"/>
                <w:lang w:eastAsia="en-AU"/>
              </w:rPr>
            </w:pPr>
            <w:r w:rsidRPr="000B5964">
              <w:rPr>
                <w:rFonts w:ascii="Calibri" w:hAnsi="Calibri" w:cs="Calibri"/>
                <w:color w:val="000000"/>
                <w:sz w:val="16"/>
                <w:szCs w:val="16"/>
                <w:lang w:eastAsia="en-AU"/>
              </w:rPr>
              <w:t>39.6</w:t>
            </w:r>
          </w:p>
        </w:tc>
        <w:tc>
          <w:tcPr>
            <w:tcW w:w="2410"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average CRT&gt; 51</w:t>
            </w:r>
          </w:p>
        </w:tc>
      </w:tr>
      <w:tr w:rsidR="00604D2F" w:rsidRPr="000B5964" w:rsidTr="00604D2F">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Clr TVs: Analogue, Other</w:t>
            </w:r>
          </w:p>
        </w:tc>
        <w:tc>
          <w:tcPr>
            <w:tcW w:w="1417"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8528.72.00 40</w:t>
            </w:r>
          </w:p>
        </w:tc>
        <w:tc>
          <w:tcPr>
            <w:tcW w:w="1276"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jc w:val="center"/>
              <w:rPr>
                <w:rFonts w:ascii="Calibri" w:hAnsi="Calibri" w:cs="Calibri"/>
                <w:color w:val="000000"/>
                <w:sz w:val="16"/>
                <w:szCs w:val="16"/>
                <w:lang w:eastAsia="en-AU"/>
              </w:rPr>
            </w:pPr>
            <w:r w:rsidRPr="000B5964">
              <w:rPr>
                <w:rFonts w:ascii="Calibri" w:hAnsi="Calibri" w:cs="Calibri"/>
                <w:color w:val="000000"/>
                <w:sz w:val="16"/>
                <w:szCs w:val="16"/>
                <w:lang w:eastAsia="en-AU"/>
              </w:rPr>
              <w:t>20.6</w:t>
            </w:r>
          </w:p>
        </w:tc>
        <w:tc>
          <w:tcPr>
            <w:tcW w:w="2410"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CTCN</w:t>
            </w:r>
          </w:p>
        </w:tc>
      </w:tr>
      <w:tr w:rsidR="00604D2F" w:rsidRPr="000B5964" w:rsidTr="00604D2F">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Clr TVs: Digital, plasma</w:t>
            </w:r>
          </w:p>
        </w:tc>
        <w:tc>
          <w:tcPr>
            <w:tcW w:w="1417"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8528.72.00 xf</w:t>
            </w:r>
          </w:p>
        </w:tc>
        <w:tc>
          <w:tcPr>
            <w:tcW w:w="1276"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jc w:val="center"/>
              <w:rPr>
                <w:rFonts w:ascii="Calibri" w:hAnsi="Calibri" w:cs="Calibri"/>
                <w:color w:val="000000"/>
                <w:sz w:val="16"/>
                <w:szCs w:val="16"/>
                <w:lang w:eastAsia="en-AU"/>
              </w:rPr>
            </w:pPr>
            <w:r w:rsidRPr="000B5964">
              <w:rPr>
                <w:rFonts w:ascii="Calibri" w:hAnsi="Calibri" w:cs="Calibri"/>
                <w:color w:val="000000"/>
                <w:sz w:val="16"/>
                <w:szCs w:val="16"/>
                <w:lang w:eastAsia="en-AU"/>
              </w:rPr>
              <w:t>30.1</w:t>
            </w:r>
          </w:p>
        </w:tc>
        <w:tc>
          <w:tcPr>
            <w:tcW w:w="2410"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average plasma/projection</w:t>
            </w:r>
          </w:p>
        </w:tc>
      </w:tr>
      <w:tr w:rsidR="00604D2F" w:rsidRPr="000B5964" w:rsidTr="00604D2F">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Clr TVs: Digital, projection</w:t>
            </w:r>
          </w:p>
        </w:tc>
        <w:tc>
          <w:tcPr>
            <w:tcW w:w="1417"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8528.72.00 xg</w:t>
            </w:r>
          </w:p>
        </w:tc>
        <w:tc>
          <w:tcPr>
            <w:tcW w:w="1276"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jc w:val="center"/>
              <w:rPr>
                <w:rFonts w:ascii="Calibri" w:hAnsi="Calibri" w:cs="Calibri"/>
                <w:color w:val="000000"/>
                <w:sz w:val="16"/>
                <w:szCs w:val="16"/>
                <w:lang w:eastAsia="en-AU"/>
              </w:rPr>
            </w:pPr>
            <w:r w:rsidRPr="000B5964">
              <w:rPr>
                <w:rFonts w:ascii="Calibri" w:hAnsi="Calibri" w:cs="Calibri"/>
                <w:color w:val="000000"/>
                <w:sz w:val="16"/>
                <w:szCs w:val="16"/>
                <w:lang w:eastAsia="en-AU"/>
              </w:rPr>
              <w:t>20.6</w:t>
            </w:r>
          </w:p>
        </w:tc>
        <w:tc>
          <w:tcPr>
            <w:tcW w:w="2410"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CTCN</w:t>
            </w:r>
          </w:p>
        </w:tc>
      </w:tr>
      <w:tr w:rsidR="00604D2F" w:rsidRPr="000B5964" w:rsidTr="00604D2F">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Clr TVs: Digital LCD..Wide screen, &lt; 80cm</w:t>
            </w:r>
          </w:p>
        </w:tc>
        <w:tc>
          <w:tcPr>
            <w:tcW w:w="1417"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8528.72.00 60</w:t>
            </w:r>
          </w:p>
        </w:tc>
        <w:tc>
          <w:tcPr>
            <w:tcW w:w="1276"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jc w:val="center"/>
              <w:rPr>
                <w:rFonts w:ascii="Calibri" w:hAnsi="Calibri" w:cs="Calibri"/>
                <w:color w:val="000000"/>
                <w:sz w:val="16"/>
                <w:szCs w:val="16"/>
                <w:lang w:eastAsia="en-AU"/>
              </w:rPr>
            </w:pPr>
            <w:r w:rsidRPr="000B5964">
              <w:rPr>
                <w:rFonts w:ascii="Calibri" w:hAnsi="Calibri" w:cs="Calibri"/>
                <w:color w:val="000000"/>
                <w:sz w:val="16"/>
                <w:szCs w:val="16"/>
                <w:lang w:eastAsia="en-AU"/>
              </w:rPr>
              <w:t>5.4</w:t>
            </w:r>
          </w:p>
        </w:tc>
        <w:tc>
          <w:tcPr>
            <w:tcW w:w="2410"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SC07: LCD &lt; 80</w:t>
            </w:r>
          </w:p>
        </w:tc>
      </w:tr>
      <w:tr w:rsidR="00604D2F" w:rsidRPr="000B5964" w:rsidTr="00604D2F">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Clr TVs: Digital LCD..Wide screen, &gt; 80 cm</w:t>
            </w:r>
          </w:p>
        </w:tc>
        <w:tc>
          <w:tcPr>
            <w:tcW w:w="1417"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8528.72.00 61</w:t>
            </w:r>
          </w:p>
        </w:tc>
        <w:tc>
          <w:tcPr>
            <w:tcW w:w="1276"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jc w:val="center"/>
              <w:rPr>
                <w:rFonts w:ascii="Calibri" w:hAnsi="Calibri" w:cs="Calibri"/>
                <w:color w:val="000000"/>
                <w:sz w:val="16"/>
                <w:szCs w:val="16"/>
                <w:lang w:eastAsia="en-AU"/>
              </w:rPr>
            </w:pPr>
            <w:r w:rsidRPr="000B5964">
              <w:rPr>
                <w:rFonts w:ascii="Calibri" w:hAnsi="Calibri" w:cs="Calibri"/>
                <w:color w:val="000000"/>
                <w:sz w:val="16"/>
                <w:szCs w:val="16"/>
                <w:lang w:eastAsia="en-AU"/>
              </w:rPr>
              <w:t>18.4</w:t>
            </w:r>
          </w:p>
        </w:tc>
        <w:tc>
          <w:tcPr>
            <w:tcW w:w="2410"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SC07: LCD &gt; 80</w:t>
            </w:r>
          </w:p>
        </w:tc>
      </w:tr>
      <w:tr w:rsidR="00604D2F" w:rsidRPr="000B5964" w:rsidTr="00604D2F">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Clr TVs: Digital LCD..Other</w:t>
            </w:r>
          </w:p>
        </w:tc>
        <w:tc>
          <w:tcPr>
            <w:tcW w:w="1417"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8528.72.00 62</w:t>
            </w:r>
          </w:p>
        </w:tc>
        <w:tc>
          <w:tcPr>
            <w:tcW w:w="1276"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jc w:val="center"/>
              <w:rPr>
                <w:rFonts w:ascii="Calibri" w:hAnsi="Calibri" w:cs="Calibri"/>
                <w:color w:val="000000"/>
                <w:sz w:val="16"/>
                <w:szCs w:val="16"/>
                <w:lang w:eastAsia="en-AU"/>
              </w:rPr>
            </w:pPr>
            <w:r w:rsidRPr="000B5964">
              <w:rPr>
                <w:rFonts w:ascii="Calibri" w:hAnsi="Calibri" w:cs="Calibri"/>
                <w:color w:val="000000"/>
                <w:sz w:val="16"/>
                <w:szCs w:val="16"/>
                <w:lang w:eastAsia="en-AU"/>
              </w:rPr>
              <w:t>18.5</w:t>
            </w:r>
          </w:p>
        </w:tc>
        <w:tc>
          <w:tcPr>
            <w:tcW w:w="2410"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SC07: LCD other</w:t>
            </w:r>
          </w:p>
        </w:tc>
      </w:tr>
      <w:tr w:rsidR="00604D2F" w:rsidRPr="000B5964" w:rsidTr="00604D2F">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Clr TVs: Digital, CRT &lt;51 cm</w:t>
            </w:r>
          </w:p>
        </w:tc>
        <w:tc>
          <w:tcPr>
            <w:tcW w:w="1417"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8528.72.00 xh</w:t>
            </w:r>
          </w:p>
        </w:tc>
        <w:tc>
          <w:tcPr>
            <w:tcW w:w="1276"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jc w:val="center"/>
              <w:rPr>
                <w:rFonts w:ascii="Calibri" w:hAnsi="Calibri" w:cs="Calibri"/>
                <w:color w:val="000000"/>
                <w:sz w:val="16"/>
                <w:szCs w:val="16"/>
                <w:lang w:eastAsia="en-AU"/>
              </w:rPr>
            </w:pPr>
            <w:r w:rsidRPr="000B5964">
              <w:rPr>
                <w:rFonts w:ascii="Calibri" w:hAnsi="Calibri" w:cs="Calibri"/>
                <w:color w:val="000000"/>
                <w:sz w:val="16"/>
                <w:szCs w:val="16"/>
                <w:lang w:eastAsia="en-AU"/>
              </w:rPr>
              <w:t>6.1</w:t>
            </w:r>
          </w:p>
        </w:tc>
        <w:tc>
          <w:tcPr>
            <w:tcW w:w="2410"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average CRT &lt; 51</w:t>
            </w:r>
          </w:p>
        </w:tc>
      </w:tr>
      <w:tr w:rsidR="00604D2F" w:rsidRPr="000B5964" w:rsidTr="00604D2F">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Clr TVs: Digital, CRT &gt;51 cm</w:t>
            </w:r>
          </w:p>
        </w:tc>
        <w:tc>
          <w:tcPr>
            <w:tcW w:w="1417"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8528.72.00 xi</w:t>
            </w:r>
          </w:p>
        </w:tc>
        <w:tc>
          <w:tcPr>
            <w:tcW w:w="1276"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jc w:val="center"/>
              <w:rPr>
                <w:rFonts w:ascii="Calibri" w:hAnsi="Calibri" w:cs="Calibri"/>
                <w:color w:val="000000"/>
                <w:sz w:val="16"/>
                <w:szCs w:val="16"/>
                <w:lang w:eastAsia="en-AU"/>
              </w:rPr>
            </w:pPr>
            <w:r w:rsidRPr="000B5964">
              <w:rPr>
                <w:rFonts w:ascii="Calibri" w:hAnsi="Calibri" w:cs="Calibri"/>
                <w:color w:val="000000"/>
                <w:sz w:val="16"/>
                <w:szCs w:val="16"/>
                <w:lang w:eastAsia="en-AU"/>
              </w:rPr>
              <w:t>39.6</w:t>
            </w:r>
          </w:p>
        </w:tc>
        <w:tc>
          <w:tcPr>
            <w:tcW w:w="2410"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average CRT&gt; 51</w:t>
            </w:r>
          </w:p>
        </w:tc>
      </w:tr>
      <w:tr w:rsidR="00604D2F" w:rsidRPr="000B5964" w:rsidTr="00604D2F">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Clr TVs: Digital CRT, other</w:t>
            </w:r>
          </w:p>
        </w:tc>
        <w:tc>
          <w:tcPr>
            <w:tcW w:w="1417"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8528.72.00 xj</w:t>
            </w:r>
          </w:p>
        </w:tc>
        <w:tc>
          <w:tcPr>
            <w:tcW w:w="1276"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jc w:val="center"/>
              <w:rPr>
                <w:rFonts w:ascii="Calibri" w:hAnsi="Calibri" w:cs="Calibri"/>
                <w:color w:val="000000"/>
                <w:sz w:val="16"/>
                <w:szCs w:val="16"/>
                <w:lang w:eastAsia="en-AU"/>
              </w:rPr>
            </w:pPr>
            <w:r w:rsidRPr="000B5964">
              <w:rPr>
                <w:rFonts w:ascii="Calibri" w:hAnsi="Calibri" w:cs="Calibri"/>
                <w:color w:val="000000"/>
                <w:sz w:val="16"/>
                <w:szCs w:val="16"/>
                <w:lang w:eastAsia="en-AU"/>
              </w:rPr>
              <w:t>26.2</w:t>
            </w:r>
          </w:p>
        </w:tc>
        <w:tc>
          <w:tcPr>
            <w:tcW w:w="2410"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average all CRT</w:t>
            </w:r>
          </w:p>
        </w:tc>
      </w:tr>
      <w:tr w:rsidR="00604D2F" w:rsidRPr="000B5964" w:rsidTr="00604D2F">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Clr TVs: Digital, other</w:t>
            </w:r>
          </w:p>
        </w:tc>
        <w:tc>
          <w:tcPr>
            <w:tcW w:w="1417"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8528.72.00 80</w:t>
            </w:r>
          </w:p>
        </w:tc>
        <w:tc>
          <w:tcPr>
            <w:tcW w:w="1276"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jc w:val="center"/>
              <w:rPr>
                <w:rFonts w:ascii="Calibri" w:hAnsi="Calibri" w:cs="Calibri"/>
                <w:color w:val="000000"/>
                <w:sz w:val="16"/>
                <w:szCs w:val="16"/>
                <w:lang w:eastAsia="en-AU"/>
              </w:rPr>
            </w:pPr>
            <w:r w:rsidRPr="000B5964">
              <w:rPr>
                <w:rFonts w:ascii="Calibri" w:hAnsi="Calibri" w:cs="Calibri"/>
                <w:color w:val="000000"/>
                <w:sz w:val="16"/>
                <w:szCs w:val="16"/>
                <w:lang w:eastAsia="en-AU"/>
              </w:rPr>
              <w:t>20.6</w:t>
            </w:r>
          </w:p>
        </w:tc>
        <w:tc>
          <w:tcPr>
            <w:tcW w:w="2410" w:type="dxa"/>
            <w:tcBorders>
              <w:top w:val="nil"/>
              <w:left w:val="nil"/>
              <w:bottom w:val="single" w:sz="4" w:space="0" w:color="auto"/>
              <w:right w:val="single" w:sz="4" w:space="0" w:color="auto"/>
            </w:tcBorders>
            <w:shd w:val="clear" w:color="auto" w:fill="auto"/>
            <w:noWrap/>
            <w:vAlign w:val="bottom"/>
            <w:hideMark/>
          </w:tcPr>
          <w:p w:rsidR="00604D2F" w:rsidRPr="000B5964" w:rsidRDefault="00604D2F" w:rsidP="00604D2F">
            <w:pPr>
              <w:rPr>
                <w:rFonts w:ascii="Calibri" w:hAnsi="Calibri" w:cs="Calibri"/>
                <w:color w:val="000000"/>
                <w:sz w:val="16"/>
                <w:szCs w:val="16"/>
                <w:lang w:eastAsia="en-AU"/>
              </w:rPr>
            </w:pPr>
            <w:r w:rsidRPr="000B5964">
              <w:rPr>
                <w:rFonts w:ascii="Calibri" w:hAnsi="Calibri" w:cs="Calibri"/>
                <w:color w:val="000000"/>
                <w:sz w:val="16"/>
                <w:szCs w:val="16"/>
                <w:lang w:eastAsia="en-AU"/>
              </w:rPr>
              <w:t>CTCN</w:t>
            </w:r>
          </w:p>
        </w:tc>
      </w:tr>
    </w:tbl>
    <w:p w:rsidR="00604D2F" w:rsidRDefault="00604D2F" w:rsidP="00604D2F"/>
    <w:p w:rsidR="001A78F2" w:rsidRPr="00394AF9" w:rsidRDefault="00604D2F">
      <w:r>
        <w:t>Note that where S</w:t>
      </w:r>
      <w:r w:rsidR="00CF23D0">
        <w:t>C</w:t>
      </w:r>
      <w:r>
        <w:t>12 factors have been developed by averaging SC07 factors, the same approach is applied to develop the confidence ratings.</w:t>
      </w:r>
    </w:p>
    <w:p w:rsidR="002D72E5" w:rsidRDefault="002D72E5">
      <w:pPr>
        <w:rPr>
          <w:szCs w:val="22"/>
        </w:rPr>
      </w:pPr>
    </w:p>
    <w:p w:rsidR="00E94EEA" w:rsidRDefault="00E94EEA" w:rsidP="00E94EEA"/>
    <w:p w:rsidR="002C2C49" w:rsidRDefault="002C2C49" w:rsidP="00761941">
      <w:pPr>
        <w:pStyle w:val="Heading1"/>
      </w:pPr>
      <w:bookmarkStart w:id="74" w:name="_Toc304967202"/>
      <w:bookmarkStart w:id="75" w:name="_Toc303860099"/>
      <w:r>
        <w:t>DISCUSSION</w:t>
      </w:r>
      <w:bookmarkEnd w:id="74"/>
    </w:p>
    <w:p w:rsidR="00A14EE0" w:rsidRDefault="00A14EE0" w:rsidP="00A14EE0"/>
    <w:p w:rsidR="003A59EB" w:rsidRDefault="00761941" w:rsidP="00761941">
      <w:pPr>
        <w:pStyle w:val="Heading2"/>
        <w:numPr>
          <w:ilvl w:val="0"/>
          <w:numId w:val="0"/>
        </w:numPr>
      </w:pPr>
      <w:bookmarkStart w:id="76" w:name="_Toc304967203"/>
      <w:r>
        <w:t xml:space="preserve">7.1 </w:t>
      </w:r>
      <w:r w:rsidR="00E94EEA">
        <w:t>Robustness of conversion factors</w:t>
      </w:r>
      <w:r w:rsidR="001D22E3">
        <w:t xml:space="preserve"> applied individually</w:t>
      </w:r>
      <w:bookmarkEnd w:id="75"/>
      <w:bookmarkEnd w:id="76"/>
    </w:p>
    <w:p w:rsidR="002C2C49" w:rsidRDefault="002C2C49" w:rsidP="002C2C49"/>
    <w:p w:rsidR="002C2C49" w:rsidRDefault="002C2C49" w:rsidP="002C2C49">
      <w:pPr>
        <w:rPr>
          <w:b/>
          <w:szCs w:val="22"/>
        </w:rPr>
      </w:pPr>
    </w:p>
    <w:p w:rsidR="002C2C49" w:rsidRDefault="002C2C49" w:rsidP="002C2C49">
      <w:pPr>
        <w:rPr>
          <w:rFonts w:ascii="Arial" w:hAnsi="Arial" w:cs="Arial"/>
          <w:b/>
          <w:szCs w:val="22"/>
        </w:rPr>
      </w:pPr>
      <w:r w:rsidRPr="00717A50">
        <w:rPr>
          <w:rFonts w:ascii="Arial" w:hAnsi="Arial" w:cs="Arial"/>
          <w:b/>
          <w:szCs w:val="22"/>
        </w:rPr>
        <w:t>Data provided and assumptions made</w:t>
      </w:r>
    </w:p>
    <w:p w:rsidR="002C2C49" w:rsidRDefault="002C2C49" w:rsidP="002C2C49">
      <w:pPr>
        <w:rPr>
          <w:b/>
          <w:szCs w:val="22"/>
        </w:rPr>
      </w:pPr>
    </w:p>
    <w:p w:rsidR="002C2C49" w:rsidRPr="002540D7" w:rsidRDefault="002C2C49" w:rsidP="002C2C49">
      <w:r>
        <w:rPr>
          <w:szCs w:val="22"/>
        </w:rPr>
        <w:t xml:space="preserve">The data provided by participants was </w:t>
      </w:r>
      <w:r>
        <w:t>generally provided in the requested format. Note that the conversion factors and data provided only reflect</w:t>
      </w:r>
      <w:r w:rsidRPr="002540D7">
        <w:t xml:space="preserve"> the data which brand</w:t>
      </w:r>
      <w:r>
        <w:t xml:space="preserve"> owner</w:t>
      </w:r>
      <w:r w:rsidRPr="002540D7">
        <w:t xml:space="preserve">s were able </w:t>
      </w:r>
      <w:r>
        <w:t xml:space="preserve">or willing to </w:t>
      </w:r>
      <w:r w:rsidRPr="002540D7">
        <w:t xml:space="preserve">provide. The </w:t>
      </w:r>
      <w:r>
        <w:t>data provided by each brand</w:t>
      </w:r>
      <w:r w:rsidRPr="002540D7">
        <w:t xml:space="preserve"> </w:t>
      </w:r>
      <w:r>
        <w:t xml:space="preserve">owner </w:t>
      </w:r>
      <w:r w:rsidRPr="002540D7">
        <w:t>do not necessarily comprise an exhaustive record of all items imported u</w:t>
      </w:r>
      <w:r>
        <w:t xml:space="preserve">nder the specified tariff codes, nor do they </w:t>
      </w:r>
      <w:r w:rsidRPr="002540D7">
        <w:t>comprise an exhaustive record of all items imported u</w:t>
      </w:r>
      <w:r>
        <w:t>nder the specified tariff codes for the individual brand.</w:t>
      </w:r>
    </w:p>
    <w:p w:rsidR="002C2C49" w:rsidRDefault="002C2C49" w:rsidP="002C2C49"/>
    <w:p w:rsidR="002C2C49" w:rsidRDefault="002C2C49" w:rsidP="002C2C49">
      <w:r w:rsidRPr="002540D7">
        <w:t>In terms of data quality, the following should be noted:</w:t>
      </w:r>
    </w:p>
    <w:p w:rsidR="002C2C49" w:rsidRDefault="002C2C49" w:rsidP="002C2C49">
      <w:pPr>
        <w:pStyle w:val="ListParagraph"/>
        <w:numPr>
          <w:ilvl w:val="0"/>
          <w:numId w:val="27"/>
        </w:numPr>
        <w:spacing w:after="200" w:line="276" w:lineRule="auto"/>
      </w:pPr>
      <w:r>
        <w:t>Two</w:t>
      </w:r>
      <w:r w:rsidRPr="002540D7">
        <w:t xml:space="preserve"> brand</w:t>
      </w:r>
      <w:r>
        <w:t xml:space="preserve"> owners</w:t>
      </w:r>
      <w:r w:rsidRPr="002540D7">
        <w:t xml:space="preserve"> submitted rounded weight figures, suggesting they were estimates.</w:t>
      </w:r>
    </w:p>
    <w:p w:rsidR="002C2C49" w:rsidRDefault="002C2C49" w:rsidP="002C2C49">
      <w:pPr>
        <w:pStyle w:val="ListParagraph"/>
        <w:numPr>
          <w:ilvl w:val="0"/>
          <w:numId w:val="27"/>
        </w:numPr>
        <w:spacing w:after="200" w:line="276" w:lineRule="auto"/>
      </w:pPr>
      <w:r w:rsidRPr="002540D7">
        <w:t>Several brand</w:t>
      </w:r>
      <w:r>
        <w:t xml:space="preserve"> owner</w:t>
      </w:r>
      <w:r w:rsidRPr="002540D7">
        <w:t>s were unable to provide data for all items.</w:t>
      </w:r>
    </w:p>
    <w:p w:rsidR="002C2C49" w:rsidRDefault="002C2C49" w:rsidP="002C2C49">
      <w:pPr>
        <w:pStyle w:val="ListParagraph"/>
        <w:numPr>
          <w:ilvl w:val="0"/>
          <w:numId w:val="27"/>
        </w:numPr>
        <w:spacing w:after="200" w:line="276" w:lineRule="auto"/>
      </w:pPr>
      <w:r w:rsidRPr="002540D7">
        <w:t>In some cases, either item weights or unit imports were provided. In these cases these line items were excluded from the analysis.</w:t>
      </w:r>
    </w:p>
    <w:p w:rsidR="002C2C49" w:rsidRDefault="002C2C49" w:rsidP="002C2C49">
      <w:pPr>
        <w:pStyle w:val="ListParagraph"/>
        <w:numPr>
          <w:ilvl w:val="0"/>
          <w:numId w:val="27"/>
        </w:numPr>
        <w:spacing w:after="200" w:line="276" w:lineRule="auto"/>
      </w:pPr>
      <w:r w:rsidRPr="002540D7">
        <w:t xml:space="preserve">One brand </w:t>
      </w:r>
      <w:r>
        <w:t xml:space="preserve">owner </w:t>
      </w:r>
      <w:r w:rsidRPr="002540D7">
        <w:t xml:space="preserve">provided </w:t>
      </w:r>
      <w:r>
        <w:t>its</w:t>
      </w:r>
      <w:r w:rsidRPr="002540D7">
        <w:t xml:space="preserve"> own average weight per tariff code.</w:t>
      </w:r>
    </w:p>
    <w:p w:rsidR="00162EB5" w:rsidRDefault="002C2C49">
      <w:pPr>
        <w:pStyle w:val="ListParagraph"/>
        <w:numPr>
          <w:ilvl w:val="0"/>
          <w:numId w:val="27"/>
        </w:numPr>
      </w:pPr>
      <w:r>
        <w:t>Two</w:t>
      </w:r>
      <w:r w:rsidRPr="002540D7">
        <w:t xml:space="preserve"> brand</w:t>
      </w:r>
      <w:r>
        <w:t xml:space="preserve"> owners</w:t>
      </w:r>
      <w:r w:rsidRPr="002540D7">
        <w:t xml:space="preserve"> reported by calendar years rather than fiscal</w:t>
      </w:r>
      <w:r>
        <w:t>,</w:t>
      </w:r>
      <w:r w:rsidRPr="002540D7">
        <w:t xml:space="preserve"> </w:t>
      </w:r>
      <w:r>
        <w:t xml:space="preserve">so </w:t>
      </w:r>
      <w:r w:rsidRPr="002540D7">
        <w:t xml:space="preserve">adjustments were made to </w:t>
      </w:r>
      <w:r>
        <w:t xml:space="preserve">convert the data to fiscal year. </w:t>
      </w:r>
    </w:p>
    <w:p w:rsidR="00162EB5" w:rsidRDefault="004B577A">
      <w:pPr>
        <w:pStyle w:val="ListParagraph"/>
        <w:numPr>
          <w:ilvl w:val="0"/>
          <w:numId w:val="27"/>
        </w:numPr>
      </w:pPr>
      <w:r>
        <w:t>There is a certain degree of misreporting against the tariff codes.</w:t>
      </w:r>
    </w:p>
    <w:p w:rsidR="002C2C49" w:rsidRPr="002C2C49" w:rsidRDefault="002C2C49" w:rsidP="004B577A"/>
    <w:p w:rsidR="005F217E" w:rsidRPr="005F217E" w:rsidRDefault="00B82EFE" w:rsidP="004B577A">
      <w:pPr>
        <w:rPr>
          <w:szCs w:val="22"/>
        </w:rPr>
      </w:pPr>
      <w:r>
        <w:t>One of the key requirements of this exercise was t</w:t>
      </w:r>
      <w:r w:rsidR="00E54B20">
        <w:t xml:space="preserve">o develop robust </w:t>
      </w:r>
      <w:r>
        <w:t xml:space="preserve">conversion factors </w:t>
      </w:r>
      <w:r w:rsidR="00E54B20">
        <w:t xml:space="preserve">and there are </w:t>
      </w:r>
      <w:r>
        <w:t xml:space="preserve">different </w:t>
      </w:r>
      <w:r w:rsidR="00A3165D">
        <w:t xml:space="preserve">indicators </w:t>
      </w:r>
      <w:r>
        <w:t>for robustness</w:t>
      </w:r>
      <w:r w:rsidR="00E54B20">
        <w:t xml:space="preserve">. </w:t>
      </w:r>
      <w:r w:rsidR="005F217E">
        <w:rPr>
          <w:szCs w:val="22"/>
        </w:rPr>
        <w:t xml:space="preserve">At </w:t>
      </w:r>
      <w:r w:rsidR="00E54B20">
        <w:rPr>
          <w:szCs w:val="22"/>
        </w:rPr>
        <w:t xml:space="preserve">the </w:t>
      </w:r>
      <w:r w:rsidR="005F217E">
        <w:rPr>
          <w:szCs w:val="22"/>
        </w:rPr>
        <w:t xml:space="preserve">HTSIC level the indicators of robustness are confidence ratings, sample size and validity over time. </w:t>
      </w:r>
    </w:p>
    <w:p w:rsidR="005106AC" w:rsidRDefault="005106AC" w:rsidP="00B82EFE"/>
    <w:p w:rsidR="00B82EFE" w:rsidRDefault="00B82EFE" w:rsidP="00B82EFE"/>
    <w:p w:rsidR="005106AC" w:rsidRPr="00E94EEA" w:rsidRDefault="00876A52" w:rsidP="00876A52">
      <w:pPr>
        <w:tabs>
          <w:tab w:val="left" w:pos="2790"/>
        </w:tabs>
        <w:rPr>
          <w:rFonts w:ascii="Arial" w:hAnsi="Arial" w:cs="Arial"/>
          <w:b/>
          <w:bCs/>
          <w:color w:val="000000"/>
          <w:szCs w:val="22"/>
          <w:lang w:eastAsia="en-AU"/>
        </w:rPr>
      </w:pPr>
      <w:r>
        <w:rPr>
          <w:rFonts w:ascii="Arial" w:hAnsi="Arial" w:cs="Arial"/>
          <w:b/>
          <w:bCs/>
          <w:color w:val="000000"/>
          <w:szCs w:val="22"/>
          <w:lang w:eastAsia="en-AU"/>
        </w:rPr>
        <w:t xml:space="preserve">Sample size </w:t>
      </w:r>
    </w:p>
    <w:p w:rsidR="00510917" w:rsidRDefault="00510917" w:rsidP="00B82EFE"/>
    <w:p w:rsidR="00B82EFE" w:rsidRDefault="006B0EF4" w:rsidP="00B82EFE">
      <w:r>
        <w:t xml:space="preserve">Data </w:t>
      </w:r>
      <w:r w:rsidR="001A5B2D">
        <w:t>obtained</w:t>
      </w:r>
      <w:r>
        <w:t xml:space="preserve"> for each HTISC was compared with </w:t>
      </w:r>
      <w:r w:rsidR="00E9333B">
        <w:t xml:space="preserve">ABS import data </w:t>
      </w:r>
      <w:r>
        <w:t>for each HTISC to estimate sample sizes</w:t>
      </w:r>
      <w:r w:rsidR="00E9333B">
        <w:t xml:space="preserve">. </w:t>
      </w:r>
      <w:r w:rsidR="00510917">
        <w:t>T</w:t>
      </w:r>
      <w:r w:rsidR="00B82EFE">
        <w:t xml:space="preserve">he greater the sample size the </w:t>
      </w:r>
      <w:r w:rsidR="00510917">
        <w:t>more robust the conversion factor</w:t>
      </w:r>
      <w:r w:rsidR="00E9333B">
        <w:t>s</w:t>
      </w:r>
      <w:r w:rsidR="00587594">
        <w:t>,</w:t>
      </w:r>
      <w:r w:rsidR="00510917">
        <w:t xml:space="preserve"> i.e.</w:t>
      </w:r>
      <w:r w:rsidR="00903866">
        <w:t xml:space="preserve"> the</w:t>
      </w:r>
      <w:r w:rsidR="00510917">
        <w:t xml:space="preserve"> </w:t>
      </w:r>
      <w:r w:rsidR="00B82EFE">
        <w:t xml:space="preserve">greater the likelihood </w:t>
      </w:r>
      <w:r w:rsidR="001A5B2D">
        <w:t xml:space="preserve">that </w:t>
      </w:r>
      <w:r w:rsidR="00B82EFE">
        <w:t xml:space="preserve">the data reported in the sample </w:t>
      </w:r>
      <w:r w:rsidR="001A5B2D">
        <w:t xml:space="preserve">is </w:t>
      </w:r>
      <w:r w:rsidR="00903866">
        <w:t>representative of all imports.</w:t>
      </w:r>
      <w:r w:rsidR="00B82EFE">
        <w:t xml:space="preserve"> </w:t>
      </w:r>
      <w:r w:rsidR="00E9333B">
        <w:t>However, s</w:t>
      </w:r>
      <w:r w:rsidR="003928DF">
        <w:t xml:space="preserve">ample size is only </w:t>
      </w:r>
      <w:r w:rsidR="00E9333B">
        <w:t>one</w:t>
      </w:r>
      <w:r w:rsidR="003928DF">
        <w:t xml:space="preserve"> indicator </w:t>
      </w:r>
      <w:r w:rsidR="00E9333B">
        <w:t xml:space="preserve">of a conversion factors </w:t>
      </w:r>
      <w:r w:rsidR="003928DF">
        <w:t xml:space="preserve">robustness and needs to be considered </w:t>
      </w:r>
      <w:r>
        <w:t xml:space="preserve">also </w:t>
      </w:r>
      <w:r w:rsidR="003928DF">
        <w:t xml:space="preserve">in terms of actual imports and </w:t>
      </w:r>
      <w:r w:rsidR="00E9333B">
        <w:t xml:space="preserve">the </w:t>
      </w:r>
      <w:r w:rsidR="003928DF">
        <w:t>dominance of individual HTISCs within CTCN</w:t>
      </w:r>
      <w:r w:rsidR="00E9333B">
        <w:t>s</w:t>
      </w:r>
      <w:r w:rsidR="003928DF">
        <w:t>.</w:t>
      </w:r>
    </w:p>
    <w:p w:rsidR="00B82EFE" w:rsidRDefault="00B82EFE" w:rsidP="00B82EFE"/>
    <w:p w:rsidR="004755A8" w:rsidRDefault="00903866" w:rsidP="004755A8">
      <w:r>
        <w:t xml:space="preserve">While </w:t>
      </w:r>
      <w:r w:rsidR="00B82EFE">
        <w:t>Perchards</w:t>
      </w:r>
      <w:r>
        <w:t>/MS2</w:t>
      </w:r>
      <w:r w:rsidR="00B82EFE">
        <w:t xml:space="preserve"> aimed for a percentage representation of 70%</w:t>
      </w:r>
      <w:r w:rsidR="00A3165D">
        <w:t>, the percentage representation for each brand in the returned data ranged from 0.001% to over 1000% across all HTISCs.</w:t>
      </w:r>
      <w:r w:rsidR="00E9333B">
        <w:t xml:space="preserve"> </w:t>
      </w:r>
      <w:r w:rsidR="004755A8">
        <w:t>A difficulty with interpreting the industry and ABS data is that, as admitted by the brand owners, there is a certain degree of misreporting against the tariff codes. For the smaller HTISC ‘populations’</w:t>
      </w:r>
      <w:r w:rsidR="001A5B2D">
        <w:t>,</w:t>
      </w:r>
      <w:r w:rsidR="004755A8">
        <w:t xml:space="preserve"> such as any HTISCs with fewer than 100,000 units imported, misreporting can have a dramatic impact on the percentage representation, for example misreporting by only a few tens of thousands of units could result in many percentage points over or below the ABS imports value. This misreporting is </w:t>
      </w:r>
      <w:r w:rsidR="00E9333B">
        <w:t>a</w:t>
      </w:r>
      <w:r w:rsidR="004755A8">
        <w:t>pparent for HTISCs where a representation of over 100% was reported.</w:t>
      </w:r>
    </w:p>
    <w:p w:rsidR="00B74216" w:rsidRDefault="00B74216" w:rsidP="00A3165D"/>
    <w:p w:rsidR="00945F2D" w:rsidRPr="00394AF9" w:rsidRDefault="00945F2D" w:rsidP="00945F2D">
      <w:r w:rsidRPr="00394AF9">
        <w:t>Within the Printing/Imagery sector, an average representation of 33% across all HTISCs was achieved</w:t>
      </w:r>
      <w:r w:rsidR="00200E4A">
        <w:t xml:space="preserve"> and this is considered adequate</w:t>
      </w:r>
      <w:r w:rsidRPr="00394AF9">
        <w:t xml:space="preserve">. The sector encompasses two CTCNs, relevant to the Scheme: multi function devices (MFDs) and personal printing devices (PDPs). A representation of 34% was achieved for MFDs, ranging from 84% for ink-jet MFDs and 1% in the category ‘Other MFDs’.  In the PDPs CTCN, an average representation of 29% was achieved, ranging from 57% for ink-jet printers and 0.1% in the category ‘Other printers’.  </w:t>
      </w:r>
    </w:p>
    <w:p w:rsidR="00945F2D" w:rsidRPr="00394AF9" w:rsidRDefault="00945F2D" w:rsidP="00945F2D"/>
    <w:p w:rsidR="00945F2D" w:rsidRPr="00394AF9" w:rsidRDefault="00F54A4E" w:rsidP="00945F2D">
      <w:r>
        <w:t>For c</w:t>
      </w:r>
      <w:r w:rsidRPr="00394AF9">
        <w:t>omputer</w:t>
      </w:r>
      <w:r>
        <w:t xml:space="preserve"> related HTISCs </w:t>
      </w:r>
      <w:r w:rsidRPr="00394AF9">
        <w:t>an average representation of 3</w:t>
      </w:r>
      <w:r>
        <w:t>2</w:t>
      </w:r>
      <w:r w:rsidRPr="00394AF9">
        <w:t xml:space="preserve">% </w:t>
      </w:r>
      <w:r>
        <w:t>was achieved and this is also considered adequate.</w:t>
      </w:r>
      <w:r w:rsidRPr="00394AF9">
        <w:t xml:space="preserve"> </w:t>
      </w:r>
      <w:r w:rsidR="00945F2D" w:rsidRPr="00394AF9">
        <w:t>Computers comprise of five CTCNs: mobile units, three categories of desktops and similar (referred to in this report as A, B and C), and computer displays, with a representations of 53%, 70%, 2%, 56%</w:t>
      </w:r>
      <w:r>
        <w:t xml:space="preserve"> and</w:t>
      </w:r>
      <w:r w:rsidR="00945F2D" w:rsidRPr="00394AF9">
        <w:t xml:space="preserve"> 4% respectively.</w:t>
      </w:r>
    </w:p>
    <w:p w:rsidR="00945F2D" w:rsidRPr="00394AF9" w:rsidRDefault="00945F2D" w:rsidP="00945F2D"/>
    <w:p w:rsidR="00945F2D" w:rsidRPr="00394AF9" w:rsidRDefault="00945F2D" w:rsidP="00945F2D">
      <w:r w:rsidRPr="00394AF9">
        <w:t xml:space="preserve">The overall representation for </w:t>
      </w:r>
      <w:r w:rsidR="00453843">
        <w:t>television</w:t>
      </w:r>
      <w:r w:rsidR="00453843" w:rsidRPr="00394AF9">
        <w:t xml:space="preserve">s </w:t>
      </w:r>
      <w:r w:rsidRPr="00394AF9">
        <w:t xml:space="preserve">(including black and white </w:t>
      </w:r>
      <w:r w:rsidR="00453843">
        <w:t>televisions</w:t>
      </w:r>
      <w:r w:rsidRPr="00394AF9">
        <w:t>) was 47%, ranging from no representation at all for several HTISCs to 1891%</w:t>
      </w:r>
      <w:r w:rsidR="00453843">
        <w:t xml:space="preserve"> representation</w:t>
      </w:r>
      <w:r w:rsidRPr="00394AF9">
        <w:t>. Note that the HTSIC representation of 1891% and another of 310% suggest a degree of misreporting. These two HTSICs are both fairly small in terms of ABS imports (9192 and 5859 units respectively) and misreporting by a few thousand units would have a significant effect on the percentage representation</w:t>
      </w:r>
      <w:r w:rsidR="00453843">
        <w:t>. T</w:t>
      </w:r>
      <w:r w:rsidRPr="00394AF9">
        <w:t>he dominant HTISC in the group</w:t>
      </w:r>
      <w:r w:rsidR="00453843">
        <w:t>,</w:t>
      </w:r>
      <w:r w:rsidRPr="00394AF9">
        <w:t xml:space="preserve"> with approximately 1.4 million ABS imports </w:t>
      </w:r>
      <w:r w:rsidR="00453843">
        <w:t>had</w:t>
      </w:r>
      <w:r w:rsidRPr="00394AF9">
        <w:t xml:space="preserve"> 65% representation</w:t>
      </w:r>
      <w:r w:rsidR="00453843">
        <w:t xml:space="preserve"> and </w:t>
      </w:r>
      <w:r w:rsidRPr="00394AF9">
        <w:t xml:space="preserve"> misreporting </w:t>
      </w:r>
      <w:r w:rsidR="00453843">
        <w:t xml:space="preserve">against this HTISC </w:t>
      </w:r>
      <w:r w:rsidRPr="00394AF9">
        <w:t xml:space="preserve">would </w:t>
      </w:r>
      <w:r w:rsidR="00453843">
        <w:t>have a</w:t>
      </w:r>
      <w:r w:rsidRPr="00394AF9">
        <w:t xml:space="preserve"> negligible</w:t>
      </w:r>
      <w:r w:rsidR="00453843">
        <w:t xml:space="preserve"> impact on the resultant percentage representation</w:t>
      </w:r>
      <w:r w:rsidRPr="00394AF9">
        <w:t xml:space="preserve">. </w:t>
      </w:r>
    </w:p>
    <w:p w:rsidR="00945F2D" w:rsidRPr="00394AF9" w:rsidRDefault="00945F2D" w:rsidP="00945F2D"/>
    <w:p w:rsidR="00945F2D" w:rsidRDefault="00945F2D" w:rsidP="00945F2D">
      <w:r w:rsidRPr="00394AF9">
        <w:t xml:space="preserve">Despite the variation in percentage representation across the HTISCs comprising printing/imagery, computer and </w:t>
      </w:r>
      <w:r w:rsidR="00453843">
        <w:t>television</w:t>
      </w:r>
      <w:r w:rsidR="00453843" w:rsidRPr="00394AF9">
        <w:t xml:space="preserve"> </w:t>
      </w:r>
      <w:r w:rsidRPr="00394AF9">
        <w:t>CTCNs, Perchards/MS2 highlight that this method of determining robustness is only a proxy, particularly given the misalignment between ABS unit import data and data provided for the sample. This data confirms some of the concerns raised by the industry in the feasibility study whereby brands suspect that a degree of misreporting is occurring by brokers when the products are being imported. Viewed at a CTCN level as opposed to HTSIC level, the effect of potential misreporting appears to be more diffused, and average representations of 33%, 32% and 47% is considered a reasonable sample size on which to base the conversion factors.</w:t>
      </w:r>
    </w:p>
    <w:p w:rsidR="00945F2D" w:rsidRDefault="00945F2D" w:rsidP="00A3165D"/>
    <w:p w:rsidR="00737B4D" w:rsidRPr="00120DFE" w:rsidRDefault="004755A8" w:rsidP="00A3165D">
      <w:pPr>
        <w:rPr>
          <w:szCs w:val="22"/>
        </w:rPr>
      </w:pPr>
      <w:r>
        <w:rPr>
          <w:szCs w:val="22"/>
        </w:rPr>
        <w:t>Sample size</w:t>
      </w:r>
      <w:r w:rsidR="006B0EF4">
        <w:rPr>
          <w:szCs w:val="22"/>
        </w:rPr>
        <w:t>s</w:t>
      </w:r>
      <w:r>
        <w:rPr>
          <w:szCs w:val="22"/>
        </w:rPr>
        <w:t xml:space="preserve"> for </w:t>
      </w:r>
      <w:r w:rsidRPr="00120DFE">
        <w:rPr>
          <w:szCs w:val="22"/>
        </w:rPr>
        <w:t>peripheral</w:t>
      </w:r>
      <w:r w:rsidR="006B0EF4">
        <w:rPr>
          <w:szCs w:val="22"/>
        </w:rPr>
        <w:t xml:space="preserve"> HTISCs</w:t>
      </w:r>
      <w:r w:rsidRPr="00120DFE">
        <w:rPr>
          <w:szCs w:val="22"/>
        </w:rPr>
        <w:t xml:space="preserve"> </w:t>
      </w:r>
      <w:r w:rsidR="001A5B2D">
        <w:rPr>
          <w:szCs w:val="22"/>
        </w:rPr>
        <w:t>were</w:t>
      </w:r>
      <w:r>
        <w:rPr>
          <w:szCs w:val="22"/>
        </w:rPr>
        <w:t xml:space="preserve"> fairly low and </w:t>
      </w:r>
      <w:r w:rsidRPr="00120DFE">
        <w:rPr>
          <w:szCs w:val="22"/>
        </w:rPr>
        <w:t xml:space="preserve">averaged at 2%, </w:t>
      </w:r>
      <w:r>
        <w:rPr>
          <w:szCs w:val="22"/>
        </w:rPr>
        <w:t xml:space="preserve">with a </w:t>
      </w:r>
      <w:r w:rsidRPr="00120DFE">
        <w:rPr>
          <w:szCs w:val="22"/>
        </w:rPr>
        <w:t xml:space="preserve">range from 0.3% to 20.2% across all </w:t>
      </w:r>
      <w:r w:rsidR="006B0EF4" w:rsidRPr="00120DFE">
        <w:rPr>
          <w:szCs w:val="22"/>
        </w:rPr>
        <w:t xml:space="preserve">peripheral </w:t>
      </w:r>
      <w:r w:rsidRPr="00120DFE">
        <w:rPr>
          <w:szCs w:val="22"/>
        </w:rPr>
        <w:t xml:space="preserve">HTISCs. </w:t>
      </w:r>
      <w:r w:rsidR="008B15C9">
        <w:rPr>
          <w:szCs w:val="22"/>
        </w:rPr>
        <w:t>Although s</w:t>
      </w:r>
      <w:r w:rsidR="00E6197C" w:rsidRPr="00120DFE">
        <w:rPr>
          <w:szCs w:val="22"/>
        </w:rPr>
        <w:t xml:space="preserve">tudy participants were invited to provide data on peripherals, </w:t>
      </w:r>
      <w:r w:rsidR="00120DFE" w:rsidRPr="00120DFE">
        <w:rPr>
          <w:szCs w:val="22"/>
        </w:rPr>
        <w:t>due to the light weight nature of peripherals, Perchards/MS2 were advised th</w:t>
      </w:r>
      <w:r w:rsidR="008B15C9">
        <w:rPr>
          <w:szCs w:val="22"/>
        </w:rPr>
        <w:t>at thi</w:t>
      </w:r>
      <w:r w:rsidR="00E9333B">
        <w:rPr>
          <w:szCs w:val="22"/>
        </w:rPr>
        <w:t>s type of</w:t>
      </w:r>
      <w:r w:rsidR="00120DFE" w:rsidRPr="00120DFE">
        <w:rPr>
          <w:szCs w:val="22"/>
        </w:rPr>
        <w:t xml:space="preserve"> data </w:t>
      </w:r>
      <w:r w:rsidR="00E9333B">
        <w:rPr>
          <w:szCs w:val="22"/>
        </w:rPr>
        <w:t>wa</w:t>
      </w:r>
      <w:r w:rsidR="00120DFE" w:rsidRPr="00120DFE">
        <w:rPr>
          <w:szCs w:val="22"/>
        </w:rPr>
        <w:t>s not stored</w:t>
      </w:r>
      <w:r w:rsidR="00E9333B">
        <w:rPr>
          <w:szCs w:val="22"/>
        </w:rPr>
        <w:t xml:space="preserve"> by the study participants</w:t>
      </w:r>
      <w:r w:rsidR="00120DFE" w:rsidRPr="00120DFE">
        <w:rPr>
          <w:szCs w:val="22"/>
        </w:rPr>
        <w:t xml:space="preserve">. Perchards/MS2 then </w:t>
      </w:r>
      <w:r>
        <w:rPr>
          <w:szCs w:val="22"/>
        </w:rPr>
        <w:t xml:space="preserve">sought data from </w:t>
      </w:r>
      <w:r w:rsidR="00120DFE" w:rsidRPr="00120DFE">
        <w:rPr>
          <w:szCs w:val="22"/>
        </w:rPr>
        <w:t>t</w:t>
      </w:r>
      <w:r w:rsidR="00737B4D" w:rsidRPr="00120DFE">
        <w:rPr>
          <w:szCs w:val="22"/>
        </w:rPr>
        <w:t>hree large peripherals importer</w:t>
      </w:r>
      <w:r w:rsidR="00120DFE" w:rsidRPr="00120DFE">
        <w:rPr>
          <w:szCs w:val="22"/>
        </w:rPr>
        <w:t>s</w:t>
      </w:r>
      <w:r>
        <w:rPr>
          <w:szCs w:val="22"/>
        </w:rPr>
        <w:t>,</w:t>
      </w:r>
      <w:r w:rsidR="00144F17" w:rsidRPr="00120DFE">
        <w:rPr>
          <w:szCs w:val="22"/>
        </w:rPr>
        <w:t xml:space="preserve"> </w:t>
      </w:r>
      <w:r w:rsidR="00120DFE" w:rsidRPr="00120DFE">
        <w:rPr>
          <w:szCs w:val="22"/>
        </w:rPr>
        <w:t xml:space="preserve">with </w:t>
      </w:r>
      <w:r w:rsidR="00737B4D" w:rsidRPr="00120DFE">
        <w:rPr>
          <w:szCs w:val="22"/>
        </w:rPr>
        <w:t xml:space="preserve">only one </w:t>
      </w:r>
      <w:r w:rsidR="00120DFE" w:rsidRPr="00120DFE">
        <w:rPr>
          <w:szCs w:val="22"/>
        </w:rPr>
        <w:t xml:space="preserve">importer </w:t>
      </w:r>
      <w:r w:rsidR="00737B4D" w:rsidRPr="00120DFE">
        <w:rPr>
          <w:szCs w:val="22"/>
        </w:rPr>
        <w:t>provid</w:t>
      </w:r>
      <w:r w:rsidR="00120DFE" w:rsidRPr="00120DFE">
        <w:rPr>
          <w:szCs w:val="22"/>
        </w:rPr>
        <w:t>ing</w:t>
      </w:r>
      <w:r w:rsidR="00737B4D" w:rsidRPr="00120DFE">
        <w:rPr>
          <w:szCs w:val="22"/>
        </w:rPr>
        <w:t xml:space="preserve"> data.</w:t>
      </w:r>
      <w:r w:rsidR="00B74216" w:rsidRPr="00120DFE">
        <w:rPr>
          <w:szCs w:val="22"/>
        </w:rPr>
        <w:t xml:space="preserve"> </w:t>
      </w:r>
      <w:r w:rsidR="007C59BB" w:rsidRPr="007C59BB">
        <w:rPr>
          <w:szCs w:val="22"/>
        </w:rPr>
        <w:t>Although a limited sample size was used to develop conversion factors for peripherals, at a Scheme level, the relatively lighter weight of these HTISCs as compared with heavier substantive products, makes them of lesser significance when estimating Scheme targets</w:t>
      </w:r>
      <w:r w:rsidR="001A5B2D">
        <w:rPr>
          <w:szCs w:val="22"/>
        </w:rPr>
        <w:t xml:space="preserve"> and calculating import shares</w:t>
      </w:r>
      <w:r w:rsidR="007C59BB" w:rsidRPr="007C59BB">
        <w:rPr>
          <w:szCs w:val="22"/>
        </w:rPr>
        <w:t>.</w:t>
      </w:r>
      <w:r w:rsidR="00B74216" w:rsidRPr="00120DFE">
        <w:rPr>
          <w:szCs w:val="22"/>
        </w:rPr>
        <w:t xml:space="preserve"> </w:t>
      </w:r>
      <w:r w:rsidR="00D46CD2" w:rsidRPr="00120DFE">
        <w:rPr>
          <w:szCs w:val="22"/>
        </w:rPr>
        <w:t>It is therefore recommended that the conversion factors for these HTISCs provide an appropriate proxy which can be improved over time, and should be included in the Scheme.</w:t>
      </w:r>
    </w:p>
    <w:p w:rsidR="00144F17" w:rsidRDefault="00144F17" w:rsidP="005106AC">
      <w:pPr>
        <w:rPr>
          <w:rFonts w:ascii="Arial" w:hAnsi="Arial" w:cs="Arial"/>
          <w:b/>
          <w:bCs/>
          <w:color w:val="000000"/>
          <w:szCs w:val="22"/>
          <w:lang w:eastAsia="en-AU"/>
        </w:rPr>
      </w:pPr>
    </w:p>
    <w:p w:rsidR="00144F17" w:rsidRDefault="00144F17" w:rsidP="005106AC">
      <w:pPr>
        <w:rPr>
          <w:rFonts w:ascii="Arial" w:hAnsi="Arial" w:cs="Arial"/>
          <w:b/>
          <w:bCs/>
          <w:color w:val="000000"/>
          <w:szCs w:val="22"/>
          <w:lang w:eastAsia="en-AU"/>
        </w:rPr>
      </w:pPr>
    </w:p>
    <w:p w:rsidR="005106AC" w:rsidRPr="00E94EEA" w:rsidRDefault="005106AC" w:rsidP="005106AC">
      <w:pPr>
        <w:rPr>
          <w:rFonts w:ascii="Arial" w:hAnsi="Arial" w:cs="Arial"/>
          <w:b/>
          <w:bCs/>
          <w:color w:val="000000"/>
          <w:szCs w:val="22"/>
          <w:lang w:eastAsia="en-AU"/>
        </w:rPr>
      </w:pPr>
      <w:r w:rsidRPr="00E94EEA">
        <w:rPr>
          <w:rFonts w:ascii="Arial" w:hAnsi="Arial" w:cs="Arial"/>
          <w:b/>
          <w:bCs/>
          <w:color w:val="000000"/>
          <w:szCs w:val="22"/>
          <w:lang w:eastAsia="en-AU"/>
        </w:rPr>
        <w:t>Variation over time</w:t>
      </w:r>
    </w:p>
    <w:p w:rsidR="005106AC" w:rsidRDefault="005106AC" w:rsidP="005106AC">
      <w:pPr>
        <w:rPr>
          <w:b/>
        </w:rPr>
      </w:pPr>
    </w:p>
    <w:p w:rsidR="00AD1153" w:rsidRDefault="00B74216" w:rsidP="00AD1153">
      <w:pPr>
        <w:tabs>
          <w:tab w:val="left" w:pos="1695"/>
        </w:tabs>
      </w:pPr>
      <w:r>
        <w:t>The robustness of the conversion factors can also be gauged by using the conversion factors to calculate the weight of past imports</w:t>
      </w:r>
      <w:r w:rsidR="00B65B9E">
        <w:t xml:space="preserve">. </w:t>
      </w:r>
      <w:r>
        <w:t xml:space="preserve">In most cases, the variation over time </w:t>
      </w:r>
      <w:r w:rsidR="005F217E">
        <w:t>from 2010-11 to 200</w:t>
      </w:r>
      <w:r w:rsidR="00144F17">
        <w:t>9</w:t>
      </w:r>
      <w:r w:rsidR="005F217E">
        <w:t>-</w:t>
      </w:r>
      <w:r w:rsidR="00144F17">
        <w:t>10</w:t>
      </w:r>
      <w:r w:rsidR="005F217E">
        <w:t xml:space="preserve"> </w:t>
      </w:r>
      <w:r>
        <w:t xml:space="preserve">is assigned as ‘high’. However, comparing the conversion factor with the average import weight </w:t>
      </w:r>
      <w:r w:rsidR="005F217E">
        <w:t xml:space="preserve">to 2008-07 </w:t>
      </w:r>
      <w:r>
        <w:t xml:space="preserve">normally gives a </w:t>
      </w:r>
      <w:r w:rsidRPr="00604D2F">
        <w:t>variation over time as moderate or low. This measure is considered more relevant as</w:t>
      </w:r>
      <w:r w:rsidR="00B43915" w:rsidRPr="00604D2F">
        <w:t>, for estimating Scheme targets,</w:t>
      </w:r>
      <w:r w:rsidRPr="00604D2F">
        <w:t xml:space="preserve"> the factors </w:t>
      </w:r>
      <w:r w:rsidR="001A5B2D" w:rsidRPr="00604D2F">
        <w:t xml:space="preserve">will be used </w:t>
      </w:r>
      <w:r w:rsidRPr="00604D2F">
        <w:t>to calculate a proxy for the weight of imports</w:t>
      </w:r>
      <w:r w:rsidR="005F217E" w:rsidRPr="00604D2F">
        <w:t xml:space="preserve"> </w:t>
      </w:r>
      <w:r w:rsidR="00F54196" w:rsidRPr="00604D2F">
        <w:t xml:space="preserve">over </w:t>
      </w:r>
      <w:r w:rsidR="007C59BB" w:rsidRPr="007C59BB">
        <w:t>several years</w:t>
      </w:r>
      <w:r w:rsidR="00F54196" w:rsidRPr="00F54196">
        <w:t xml:space="preserve">, i.e. </w:t>
      </w:r>
      <w:r w:rsidR="009A663E">
        <w:t>the 2012-13 target will be based on imports from</w:t>
      </w:r>
      <w:r w:rsidR="00F54196" w:rsidRPr="00F54196">
        <w:t xml:space="preserve"> 2009-10, 2010-11 and 2011-12</w:t>
      </w:r>
      <w:r>
        <w:t>.</w:t>
      </w:r>
      <w:r w:rsidR="00B43915">
        <w:t xml:space="preserve"> I</w:t>
      </w:r>
      <w:r w:rsidR="005F217E">
        <w:t xml:space="preserve">n most cases, a moderate or high variation over time between the conversion factor year and previous years is negative, meaning that the </w:t>
      </w:r>
      <w:r w:rsidR="005F217E">
        <w:rPr>
          <w:i/>
        </w:rPr>
        <w:t xml:space="preserve">calculated </w:t>
      </w:r>
      <w:r w:rsidR="005F217E" w:rsidRPr="00935C20">
        <w:rPr>
          <w:i/>
        </w:rPr>
        <w:t xml:space="preserve">weight imported </w:t>
      </w:r>
      <w:r w:rsidR="005F217E">
        <w:t xml:space="preserve">understates </w:t>
      </w:r>
      <w:r w:rsidR="005F217E" w:rsidRPr="00935C20">
        <w:rPr>
          <w:i/>
        </w:rPr>
        <w:t>actual weight imported</w:t>
      </w:r>
      <w:r w:rsidR="005F217E">
        <w:t>.</w:t>
      </w:r>
      <w:r w:rsidR="00B43915">
        <w:t xml:space="preserve"> </w:t>
      </w:r>
    </w:p>
    <w:p w:rsidR="00AF1CB9" w:rsidRDefault="00AF1CB9">
      <w:pPr>
        <w:tabs>
          <w:tab w:val="left" w:pos="1695"/>
        </w:tabs>
        <w:rPr>
          <w:rFonts w:ascii="Arial" w:hAnsi="Arial" w:cs="Arial"/>
          <w:b/>
          <w:bCs/>
          <w:color w:val="000000"/>
          <w:szCs w:val="22"/>
          <w:lang w:eastAsia="en-AU"/>
        </w:rPr>
      </w:pPr>
    </w:p>
    <w:p w:rsidR="00406924" w:rsidRDefault="00406924" w:rsidP="00E94EEA">
      <w:pPr>
        <w:rPr>
          <w:rFonts w:ascii="Arial" w:hAnsi="Arial" w:cs="Arial"/>
          <w:b/>
          <w:bCs/>
          <w:color w:val="000000"/>
          <w:szCs w:val="22"/>
          <w:lang w:eastAsia="en-AU"/>
        </w:rPr>
      </w:pPr>
    </w:p>
    <w:p w:rsidR="00406924" w:rsidRDefault="00406924" w:rsidP="00E94EEA">
      <w:pPr>
        <w:rPr>
          <w:rFonts w:ascii="Arial" w:hAnsi="Arial" w:cs="Arial"/>
          <w:b/>
          <w:bCs/>
          <w:color w:val="000000"/>
          <w:szCs w:val="22"/>
          <w:lang w:eastAsia="en-AU"/>
        </w:rPr>
      </w:pPr>
    </w:p>
    <w:p w:rsidR="00E94EEA" w:rsidRPr="00E94EEA" w:rsidRDefault="00E94EEA" w:rsidP="00E94EEA">
      <w:pPr>
        <w:rPr>
          <w:rFonts w:ascii="Arial" w:hAnsi="Arial" w:cs="Arial"/>
          <w:b/>
          <w:bCs/>
          <w:color w:val="000000"/>
          <w:szCs w:val="22"/>
          <w:lang w:eastAsia="en-AU"/>
        </w:rPr>
      </w:pPr>
      <w:r w:rsidRPr="00E94EEA">
        <w:rPr>
          <w:rFonts w:ascii="Arial" w:hAnsi="Arial" w:cs="Arial"/>
          <w:b/>
          <w:bCs/>
          <w:color w:val="000000"/>
          <w:szCs w:val="22"/>
          <w:lang w:eastAsia="en-AU"/>
        </w:rPr>
        <w:t>Confidence</w:t>
      </w:r>
      <w:r w:rsidR="00AC3A9E">
        <w:rPr>
          <w:rFonts w:ascii="Arial" w:hAnsi="Arial" w:cs="Arial"/>
          <w:b/>
          <w:bCs/>
          <w:color w:val="000000"/>
          <w:szCs w:val="22"/>
          <w:lang w:eastAsia="en-AU"/>
        </w:rPr>
        <w:t xml:space="preserve"> thresholds</w:t>
      </w:r>
    </w:p>
    <w:p w:rsidR="00510917" w:rsidRDefault="00510917" w:rsidP="005106AC">
      <w:pPr>
        <w:tabs>
          <w:tab w:val="left" w:pos="1695"/>
        </w:tabs>
      </w:pPr>
    </w:p>
    <w:p w:rsidR="00E94EEA" w:rsidRDefault="00E94EEA" w:rsidP="005106AC">
      <w:pPr>
        <w:tabs>
          <w:tab w:val="left" w:pos="1695"/>
        </w:tabs>
      </w:pPr>
      <w:r>
        <w:t xml:space="preserve">As detailed in the methodology, two methods are used for deriving confidence thresholds: </w:t>
      </w:r>
      <w:r w:rsidRPr="00E94EEA">
        <w:rPr>
          <w:i/>
        </w:rPr>
        <w:t>approximation to the normal distribution</w:t>
      </w:r>
      <w:r>
        <w:t xml:space="preserve"> and </w:t>
      </w:r>
      <w:r w:rsidRPr="00E94EEA">
        <w:rPr>
          <w:i/>
        </w:rPr>
        <w:t>use of percentiles</w:t>
      </w:r>
      <w:r>
        <w:t>. In most cases approximation to the normal distribution is inappropriate as the data is not normally distributed. Instead</w:t>
      </w:r>
      <w:r w:rsidR="00A73C8F">
        <w:t>,</w:t>
      </w:r>
      <w:r>
        <w:t xml:space="preserve"> the use of percentiles approach was adopted to determine the weight thresholds for 95% of the distribution. Unlike confidence limits developed for normal distributions, the confidence intervals are not symmetrical</w:t>
      </w:r>
      <w:r w:rsidR="00144F17">
        <w:t xml:space="preserve"> </w:t>
      </w:r>
      <w:r>
        <w:t xml:space="preserve">and give a wide range, representing </w:t>
      </w:r>
      <w:r w:rsidR="00EC2CA4">
        <w:t xml:space="preserve">the high </w:t>
      </w:r>
      <w:r w:rsidR="00C62346">
        <w:t>variation</w:t>
      </w:r>
      <w:r w:rsidR="00EC2CA4">
        <w:t xml:space="preserve"> within the distribution.</w:t>
      </w:r>
    </w:p>
    <w:p w:rsidR="00AC3A9E" w:rsidRDefault="00AC3A9E" w:rsidP="005106AC">
      <w:pPr>
        <w:tabs>
          <w:tab w:val="left" w:pos="1695"/>
        </w:tabs>
      </w:pPr>
    </w:p>
    <w:p w:rsidR="008908F8" w:rsidRDefault="00AC3A9E" w:rsidP="00AC3A9E">
      <w:pPr>
        <w:tabs>
          <w:tab w:val="left" w:pos="1695"/>
        </w:tabs>
      </w:pPr>
      <w:r>
        <w:t xml:space="preserve">Where the percentage representation is low, narrow </w:t>
      </w:r>
      <w:r w:rsidR="008908F8">
        <w:t>confidence intervals of zero do not necessarily signify a low variation in the distribution, rather the narrow confidence intervals reflect the distribution of a small sample of data.</w:t>
      </w:r>
    </w:p>
    <w:p w:rsidR="002C2C49" w:rsidRDefault="002C2C49" w:rsidP="00AC3A9E">
      <w:pPr>
        <w:tabs>
          <w:tab w:val="left" w:pos="1695"/>
        </w:tabs>
      </w:pPr>
    </w:p>
    <w:p w:rsidR="00AC3A9E" w:rsidRDefault="00AC3A9E" w:rsidP="005106AC">
      <w:pPr>
        <w:tabs>
          <w:tab w:val="left" w:pos="1695"/>
        </w:tabs>
      </w:pPr>
    </w:p>
    <w:p w:rsidR="00604D2F" w:rsidRPr="00604D2F" w:rsidRDefault="00604D2F" w:rsidP="00604D2F"/>
    <w:p w:rsidR="00AF1CB9" w:rsidRDefault="00604D2F">
      <w:pPr>
        <w:pStyle w:val="Heading2"/>
        <w:numPr>
          <w:ilvl w:val="0"/>
          <w:numId w:val="0"/>
        </w:numPr>
      </w:pPr>
      <w:bookmarkStart w:id="77" w:name="_Ref303010792"/>
      <w:bookmarkStart w:id="78" w:name="_Toc303860100"/>
      <w:bookmarkStart w:id="79" w:name="_Toc304967204"/>
      <w:r>
        <w:t xml:space="preserve">7.2 </w:t>
      </w:r>
      <w:r w:rsidR="00AC3A9E">
        <w:t>Robustness of conversion factors</w:t>
      </w:r>
      <w:r w:rsidR="00620511">
        <w:t xml:space="preserve"> applied collectively</w:t>
      </w:r>
      <w:bookmarkEnd w:id="77"/>
      <w:bookmarkEnd w:id="78"/>
      <w:bookmarkEnd w:id="79"/>
    </w:p>
    <w:p w:rsidR="00AC3A9E" w:rsidRDefault="00AC3A9E" w:rsidP="005106AC">
      <w:pPr>
        <w:tabs>
          <w:tab w:val="left" w:pos="1695"/>
        </w:tabs>
      </w:pPr>
    </w:p>
    <w:p w:rsidR="00B82EFE" w:rsidRDefault="00604D2F" w:rsidP="003F019A">
      <w:pPr>
        <w:tabs>
          <w:tab w:val="left" w:pos="1695"/>
        </w:tabs>
      </w:pPr>
      <w:r>
        <w:rPr>
          <w:szCs w:val="22"/>
        </w:rPr>
        <w:t xml:space="preserve">At the collective level, robustness is evaluated by considering the extent to which the conversion factors accurately calculate the weight of total imports and </w:t>
      </w:r>
      <w:r w:rsidR="00F4474A">
        <w:rPr>
          <w:szCs w:val="22"/>
        </w:rPr>
        <w:t>the extent to which it provides a reasonable measure of the import share of</w:t>
      </w:r>
      <w:r>
        <w:rPr>
          <w:szCs w:val="22"/>
        </w:rPr>
        <w:t xml:space="preserve"> individual importers. This has been gauged by comparing </w:t>
      </w:r>
      <w:r w:rsidR="00F4474A">
        <w:rPr>
          <w:szCs w:val="22"/>
        </w:rPr>
        <w:t xml:space="preserve">the </w:t>
      </w:r>
      <w:r>
        <w:rPr>
          <w:szCs w:val="22"/>
        </w:rPr>
        <w:t>calculated weight for all impo</w:t>
      </w:r>
      <w:r w:rsidR="009A663E">
        <w:rPr>
          <w:szCs w:val="22"/>
        </w:rPr>
        <w:t>rt</w:t>
      </w:r>
      <w:r>
        <w:rPr>
          <w:szCs w:val="22"/>
        </w:rPr>
        <w:t xml:space="preserve">ers with the </w:t>
      </w:r>
      <w:r w:rsidR="00036063">
        <w:t>actual</w:t>
      </w:r>
      <w:r w:rsidR="003F019A">
        <w:t xml:space="preserve"> weight</w:t>
      </w:r>
      <w:r w:rsidR="00036063">
        <w:t xml:space="preserve"> imported based on the known weights provided by each participant</w:t>
      </w:r>
      <w:r w:rsidR="003F019A">
        <w:t xml:space="preserve">. </w:t>
      </w:r>
      <w:r w:rsidR="00F4474A">
        <w:t xml:space="preserve">It also involves comparing the difference in import share for individual importers under actual weight and calculated weight scenarios. </w:t>
      </w:r>
      <w:r>
        <w:t>The results are only indicative as importers did not provide data on</w:t>
      </w:r>
      <w:r w:rsidR="009A663E">
        <w:t xml:space="preserve"> all</w:t>
      </w:r>
      <w:r>
        <w:t xml:space="preserve"> </w:t>
      </w:r>
      <w:r w:rsidR="009A663E">
        <w:t xml:space="preserve">of </w:t>
      </w:r>
      <w:r>
        <w:t>their imports.</w:t>
      </w:r>
    </w:p>
    <w:p w:rsidR="00B82EFE" w:rsidRDefault="000562C8" w:rsidP="00B82EFE">
      <w:r>
        <w:t xml:space="preserve"> </w:t>
      </w:r>
    </w:p>
    <w:p w:rsidR="00B82EFE" w:rsidRDefault="00B82EFE" w:rsidP="00B82EFE"/>
    <w:p w:rsidR="005B3F7B" w:rsidRPr="0000192C" w:rsidRDefault="005B3F7B" w:rsidP="0000192C">
      <w:pPr>
        <w:pStyle w:val="Heading3"/>
      </w:pPr>
      <w:bookmarkStart w:id="80" w:name="_Toc303860101"/>
      <w:bookmarkStart w:id="81" w:name="_Toc304967205"/>
      <w:r w:rsidRPr="0000192C">
        <w:t>Overall impact</w:t>
      </w:r>
      <w:bookmarkEnd w:id="80"/>
      <w:bookmarkEnd w:id="81"/>
    </w:p>
    <w:p w:rsidR="002D72E5" w:rsidRDefault="002D72E5">
      <w:pPr>
        <w:rPr>
          <w:szCs w:val="22"/>
        </w:rPr>
      </w:pPr>
    </w:p>
    <w:p w:rsidR="00BC7F2E" w:rsidRDefault="003F019A">
      <w:pPr>
        <w:rPr>
          <w:szCs w:val="22"/>
        </w:rPr>
      </w:pPr>
      <w:r>
        <w:rPr>
          <w:szCs w:val="22"/>
        </w:rPr>
        <w:t xml:space="preserve">This section differentiates between </w:t>
      </w:r>
      <w:r w:rsidRPr="003F019A">
        <w:rPr>
          <w:i/>
          <w:szCs w:val="22"/>
        </w:rPr>
        <w:t>overall actual import</w:t>
      </w:r>
      <w:r w:rsidR="00581E86">
        <w:rPr>
          <w:i/>
          <w:szCs w:val="22"/>
        </w:rPr>
        <w:t xml:space="preserve"> weight</w:t>
      </w:r>
      <w:r>
        <w:rPr>
          <w:szCs w:val="22"/>
        </w:rPr>
        <w:t xml:space="preserve"> and the </w:t>
      </w:r>
      <w:r w:rsidRPr="003F019A">
        <w:rPr>
          <w:i/>
          <w:szCs w:val="22"/>
        </w:rPr>
        <w:t xml:space="preserve">overall </w:t>
      </w:r>
      <w:r>
        <w:rPr>
          <w:i/>
          <w:szCs w:val="22"/>
        </w:rPr>
        <w:t xml:space="preserve">calculated </w:t>
      </w:r>
      <w:r w:rsidRPr="003F019A">
        <w:rPr>
          <w:i/>
          <w:szCs w:val="22"/>
        </w:rPr>
        <w:t>imp</w:t>
      </w:r>
      <w:r w:rsidR="00581E86">
        <w:rPr>
          <w:i/>
          <w:szCs w:val="22"/>
        </w:rPr>
        <w:t>ort weight</w:t>
      </w:r>
      <w:r>
        <w:rPr>
          <w:i/>
          <w:szCs w:val="22"/>
        </w:rPr>
        <w:t>.</w:t>
      </w:r>
      <w:r w:rsidR="00A41312">
        <w:rPr>
          <w:i/>
          <w:szCs w:val="22"/>
        </w:rPr>
        <w:t xml:space="preserve"> </w:t>
      </w:r>
      <w:r w:rsidR="00581E86">
        <w:rPr>
          <w:szCs w:val="22"/>
        </w:rPr>
        <w:t xml:space="preserve">The </w:t>
      </w:r>
      <w:r w:rsidR="00581E86" w:rsidRPr="003F019A">
        <w:rPr>
          <w:i/>
          <w:szCs w:val="22"/>
        </w:rPr>
        <w:t>overall actual import</w:t>
      </w:r>
      <w:r w:rsidR="00581E86">
        <w:rPr>
          <w:i/>
          <w:szCs w:val="22"/>
        </w:rPr>
        <w:t xml:space="preserve"> weight</w:t>
      </w:r>
      <w:r w:rsidR="00581E86">
        <w:rPr>
          <w:szCs w:val="22"/>
        </w:rPr>
        <w:t xml:space="preserve"> </w:t>
      </w:r>
      <w:r>
        <w:rPr>
          <w:szCs w:val="22"/>
        </w:rPr>
        <w:t>ha</w:t>
      </w:r>
      <w:r w:rsidR="00581E86">
        <w:rPr>
          <w:szCs w:val="22"/>
        </w:rPr>
        <w:t>s</w:t>
      </w:r>
      <w:r>
        <w:rPr>
          <w:szCs w:val="22"/>
        </w:rPr>
        <w:t xml:space="preserve"> been calculated by summing each participating brands’ imported weight for each HTSIC. </w:t>
      </w:r>
      <w:r w:rsidR="00581E86">
        <w:rPr>
          <w:szCs w:val="22"/>
        </w:rPr>
        <w:t xml:space="preserve">The </w:t>
      </w:r>
      <w:r w:rsidR="00581E86" w:rsidRPr="003F019A">
        <w:rPr>
          <w:i/>
          <w:szCs w:val="22"/>
        </w:rPr>
        <w:t xml:space="preserve">overall </w:t>
      </w:r>
      <w:r w:rsidR="00581E86">
        <w:rPr>
          <w:i/>
          <w:szCs w:val="22"/>
        </w:rPr>
        <w:t xml:space="preserve">calculated </w:t>
      </w:r>
      <w:r w:rsidR="00581E86" w:rsidRPr="003F019A">
        <w:rPr>
          <w:i/>
          <w:szCs w:val="22"/>
        </w:rPr>
        <w:t>imp</w:t>
      </w:r>
      <w:r w:rsidR="00581E86">
        <w:rPr>
          <w:i/>
          <w:szCs w:val="22"/>
        </w:rPr>
        <w:t>ort weight</w:t>
      </w:r>
      <w:r>
        <w:rPr>
          <w:szCs w:val="22"/>
        </w:rPr>
        <w:t xml:space="preserve"> ha</w:t>
      </w:r>
      <w:r w:rsidR="00581E86">
        <w:rPr>
          <w:szCs w:val="22"/>
        </w:rPr>
        <w:t xml:space="preserve">s </w:t>
      </w:r>
      <w:r>
        <w:rPr>
          <w:szCs w:val="22"/>
        </w:rPr>
        <w:t xml:space="preserve">been calculated by </w:t>
      </w:r>
      <w:r w:rsidR="00581E86">
        <w:rPr>
          <w:szCs w:val="22"/>
        </w:rPr>
        <w:t xml:space="preserve">applying the conversion factors to the total number of units imported </w:t>
      </w:r>
      <w:r w:rsidR="00A73C8F">
        <w:rPr>
          <w:szCs w:val="22"/>
        </w:rPr>
        <w:t>for e</w:t>
      </w:r>
      <w:r w:rsidR="00036063">
        <w:rPr>
          <w:szCs w:val="22"/>
        </w:rPr>
        <w:t>ach HTSIC (Table 6-1).</w:t>
      </w:r>
    </w:p>
    <w:p w:rsidR="00036063" w:rsidRDefault="00036063">
      <w:pPr>
        <w:rPr>
          <w:szCs w:val="22"/>
        </w:rPr>
      </w:pPr>
    </w:p>
    <w:p w:rsidR="00BC7F2E" w:rsidRDefault="00D914FA" w:rsidP="001D22E3">
      <w:pPr>
        <w:pStyle w:val="Caption"/>
        <w:rPr>
          <w:szCs w:val="22"/>
        </w:rPr>
      </w:pPr>
      <w:r>
        <w:t>Table 6-1</w:t>
      </w:r>
      <w:r w:rsidR="001D22E3">
        <w:t xml:space="preserve"> </w:t>
      </w:r>
      <w:r w:rsidR="00A53EBF">
        <w:t>Actual import weight compared to calculated import weight</w:t>
      </w:r>
    </w:p>
    <w:tbl>
      <w:tblPr>
        <w:tblW w:w="7245" w:type="dxa"/>
        <w:tblInd w:w="93" w:type="dxa"/>
        <w:tblLook w:val="04A0"/>
      </w:tblPr>
      <w:tblGrid>
        <w:gridCol w:w="3134"/>
        <w:gridCol w:w="1276"/>
        <w:gridCol w:w="1275"/>
        <w:gridCol w:w="1560"/>
      </w:tblGrid>
      <w:tr w:rsidR="00BC7F2E" w:rsidRPr="00BC7F2E" w:rsidTr="00A53EBF">
        <w:trPr>
          <w:trHeight w:val="255"/>
        </w:trPr>
        <w:tc>
          <w:tcPr>
            <w:tcW w:w="3134" w:type="dxa"/>
            <w:tcBorders>
              <w:top w:val="single" w:sz="4" w:space="0" w:color="auto"/>
              <w:left w:val="single" w:sz="4" w:space="0" w:color="auto"/>
              <w:bottom w:val="single" w:sz="4" w:space="0" w:color="auto"/>
              <w:right w:val="single" w:sz="4" w:space="0" w:color="auto"/>
            </w:tcBorders>
            <w:shd w:val="clear" w:color="000000" w:fill="D8D8D8"/>
            <w:noWrap/>
            <w:vAlign w:val="bottom"/>
          </w:tcPr>
          <w:p w:rsidR="00BC7F2E" w:rsidRPr="00BC7F2E" w:rsidRDefault="00BC7F2E" w:rsidP="00BC7F2E">
            <w:pPr>
              <w:rPr>
                <w:rFonts w:ascii="Calibri" w:hAnsi="Calibri" w:cs="Calibri"/>
                <w:color w:val="000000"/>
                <w:sz w:val="20"/>
                <w:szCs w:val="20"/>
                <w:lang w:eastAsia="en-AU"/>
              </w:rPr>
            </w:pPr>
            <w:r w:rsidRPr="00BC7F2E">
              <w:rPr>
                <w:rFonts w:ascii="Calibri" w:hAnsi="Calibri" w:cs="Calibri"/>
                <w:color w:val="000000"/>
                <w:sz w:val="20"/>
                <w:szCs w:val="20"/>
                <w:lang w:eastAsia="en-AU"/>
              </w:rPr>
              <w:t>Year</w:t>
            </w:r>
          </w:p>
        </w:tc>
        <w:tc>
          <w:tcPr>
            <w:tcW w:w="1276" w:type="dxa"/>
            <w:tcBorders>
              <w:top w:val="single" w:sz="4" w:space="0" w:color="auto"/>
              <w:left w:val="nil"/>
              <w:bottom w:val="single" w:sz="4" w:space="0" w:color="auto"/>
              <w:right w:val="single" w:sz="4" w:space="0" w:color="auto"/>
            </w:tcBorders>
            <w:shd w:val="clear" w:color="000000" w:fill="D8D8D8"/>
            <w:noWrap/>
            <w:vAlign w:val="bottom"/>
          </w:tcPr>
          <w:p w:rsidR="00BC7F2E" w:rsidRPr="00BC7F2E" w:rsidRDefault="00BC7F2E" w:rsidP="00BC7F2E">
            <w:pPr>
              <w:jc w:val="center"/>
              <w:rPr>
                <w:rFonts w:ascii="Calibri" w:hAnsi="Calibri" w:cs="Calibri"/>
                <w:b/>
                <w:bCs/>
                <w:color w:val="000000"/>
                <w:sz w:val="20"/>
                <w:szCs w:val="20"/>
                <w:lang w:eastAsia="en-AU"/>
              </w:rPr>
            </w:pPr>
            <w:r w:rsidRPr="00BC7F2E">
              <w:rPr>
                <w:rFonts w:ascii="Calibri" w:hAnsi="Calibri" w:cs="Calibri"/>
                <w:b/>
                <w:bCs/>
                <w:color w:val="000000"/>
                <w:sz w:val="20"/>
                <w:szCs w:val="20"/>
                <w:lang w:eastAsia="en-AU"/>
              </w:rPr>
              <w:t>2010-11</w:t>
            </w:r>
          </w:p>
        </w:tc>
        <w:tc>
          <w:tcPr>
            <w:tcW w:w="1275" w:type="dxa"/>
            <w:tcBorders>
              <w:top w:val="single" w:sz="4" w:space="0" w:color="auto"/>
              <w:left w:val="nil"/>
              <w:bottom w:val="single" w:sz="4" w:space="0" w:color="auto"/>
              <w:right w:val="single" w:sz="4" w:space="0" w:color="auto"/>
            </w:tcBorders>
            <w:shd w:val="clear" w:color="000000" w:fill="D8D8D8"/>
            <w:noWrap/>
            <w:vAlign w:val="bottom"/>
          </w:tcPr>
          <w:p w:rsidR="00BC7F2E" w:rsidRPr="00BC7F2E" w:rsidRDefault="00BC7F2E" w:rsidP="00BC7F2E">
            <w:pPr>
              <w:jc w:val="center"/>
              <w:rPr>
                <w:rFonts w:ascii="Calibri" w:hAnsi="Calibri" w:cs="Calibri"/>
                <w:b/>
                <w:bCs/>
                <w:color w:val="000000"/>
                <w:sz w:val="20"/>
                <w:szCs w:val="20"/>
                <w:lang w:eastAsia="en-AU"/>
              </w:rPr>
            </w:pPr>
            <w:r w:rsidRPr="00BC7F2E">
              <w:rPr>
                <w:rFonts w:ascii="Calibri" w:hAnsi="Calibri" w:cs="Calibri"/>
                <w:b/>
                <w:bCs/>
                <w:color w:val="000000"/>
                <w:sz w:val="20"/>
                <w:szCs w:val="20"/>
                <w:lang w:eastAsia="en-AU"/>
              </w:rPr>
              <w:t>2009-10</w:t>
            </w:r>
          </w:p>
        </w:tc>
        <w:tc>
          <w:tcPr>
            <w:tcW w:w="1560" w:type="dxa"/>
            <w:tcBorders>
              <w:top w:val="single" w:sz="4" w:space="0" w:color="auto"/>
              <w:left w:val="nil"/>
              <w:bottom w:val="single" w:sz="4" w:space="0" w:color="auto"/>
              <w:right w:val="single" w:sz="4" w:space="0" w:color="auto"/>
            </w:tcBorders>
            <w:shd w:val="clear" w:color="000000" w:fill="D8D8D8"/>
            <w:noWrap/>
            <w:vAlign w:val="bottom"/>
          </w:tcPr>
          <w:p w:rsidR="00BC7F2E" w:rsidRPr="00BC7F2E" w:rsidRDefault="00BC7F2E" w:rsidP="00BC7F2E">
            <w:pPr>
              <w:jc w:val="center"/>
              <w:rPr>
                <w:rFonts w:ascii="Calibri" w:hAnsi="Calibri" w:cs="Calibri"/>
                <w:b/>
                <w:bCs/>
                <w:color w:val="000000"/>
                <w:sz w:val="20"/>
                <w:szCs w:val="20"/>
                <w:lang w:eastAsia="en-AU"/>
              </w:rPr>
            </w:pPr>
            <w:r w:rsidRPr="00BC7F2E">
              <w:rPr>
                <w:rFonts w:ascii="Calibri" w:hAnsi="Calibri" w:cs="Calibri"/>
                <w:b/>
                <w:bCs/>
                <w:color w:val="000000"/>
                <w:sz w:val="20"/>
                <w:szCs w:val="20"/>
                <w:lang w:eastAsia="en-AU"/>
              </w:rPr>
              <w:t>2008-09</w:t>
            </w:r>
          </w:p>
        </w:tc>
      </w:tr>
      <w:tr w:rsidR="006720DE" w:rsidRPr="00BC7F2E" w:rsidTr="002E7CBA">
        <w:trPr>
          <w:trHeight w:val="255"/>
        </w:trPr>
        <w:tc>
          <w:tcPr>
            <w:tcW w:w="3134" w:type="dxa"/>
            <w:tcBorders>
              <w:top w:val="nil"/>
              <w:left w:val="single" w:sz="4" w:space="0" w:color="auto"/>
              <w:bottom w:val="single" w:sz="4" w:space="0" w:color="auto"/>
              <w:right w:val="single" w:sz="4" w:space="0" w:color="auto"/>
            </w:tcBorders>
            <w:shd w:val="clear" w:color="auto" w:fill="auto"/>
            <w:noWrap/>
            <w:vAlign w:val="bottom"/>
          </w:tcPr>
          <w:p w:rsidR="006720DE" w:rsidRPr="00A53EBF" w:rsidRDefault="006720DE" w:rsidP="00A53EBF">
            <w:pPr>
              <w:rPr>
                <w:rFonts w:ascii="Calibri" w:hAnsi="Calibri" w:cs="Calibri"/>
                <w:color w:val="000000"/>
                <w:sz w:val="20"/>
                <w:szCs w:val="20"/>
              </w:rPr>
            </w:pPr>
            <w:r w:rsidRPr="00A53EBF">
              <w:rPr>
                <w:rFonts w:ascii="Calibri" w:hAnsi="Calibri" w:cs="Calibri"/>
                <w:color w:val="000000"/>
                <w:sz w:val="20"/>
                <w:szCs w:val="20"/>
              </w:rPr>
              <w:t>Overall actual import weight</w:t>
            </w:r>
          </w:p>
        </w:tc>
        <w:tc>
          <w:tcPr>
            <w:tcW w:w="1276" w:type="dxa"/>
            <w:tcBorders>
              <w:top w:val="nil"/>
              <w:left w:val="nil"/>
              <w:bottom w:val="single" w:sz="4" w:space="0" w:color="auto"/>
              <w:right w:val="single" w:sz="4" w:space="0" w:color="auto"/>
            </w:tcBorders>
            <w:shd w:val="clear" w:color="auto" w:fill="auto"/>
            <w:noWrap/>
            <w:vAlign w:val="bottom"/>
          </w:tcPr>
          <w:p w:rsidR="006720DE" w:rsidRDefault="006720DE">
            <w:pPr>
              <w:jc w:val="center"/>
              <w:rPr>
                <w:rFonts w:ascii="Calibri" w:hAnsi="Calibri" w:cs="Calibri"/>
                <w:color w:val="000000"/>
                <w:sz w:val="20"/>
                <w:szCs w:val="20"/>
              </w:rPr>
            </w:pPr>
            <w:r>
              <w:rPr>
                <w:rFonts w:ascii="Calibri" w:hAnsi="Calibri" w:cs="Calibri"/>
                <w:color w:val="000000"/>
                <w:sz w:val="20"/>
                <w:szCs w:val="20"/>
              </w:rPr>
              <w:t xml:space="preserve">62,082 </w:t>
            </w:r>
          </w:p>
        </w:tc>
        <w:tc>
          <w:tcPr>
            <w:tcW w:w="1275" w:type="dxa"/>
            <w:tcBorders>
              <w:top w:val="nil"/>
              <w:left w:val="nil"/>
              <w:bottom w:val="single" w:sz="4" w:space="0" w:color="auto"/>
              <w:right w:val="single" w:sz="4" w:space="0" w:color="auto"/>
            </w:tcBorders>
            <w:shd w:val="clear" w:color="auto" w:fill="auto"/>
            <w:noWrap/>
            <w:vAlign w:val="bottom"/>
          </w:tcPr>
          <w:p w:rsidR="006720DE" w:rsidRDefault="006720DE">
            <w:pPr>
              <w:jc w:val="center"/>
              <w:rPr>
                <w:rFonts w:ascii="Calibri" w:hAnsi="Calibri" w:cs="Calibri"/>
                <w:color w:val="000000"/>
                <w:sz w:val="20"/>
                <w:szCs w:val="20"/>
              </w:rPr>
            </w:pPr>
            <w:r>
              <w:rPr>
                <w:rFonts w:ascii="Calibri" w:hAnsi="Calibri" w:cs="Calibri"/>
                <w:color w:val="000000"/>
                <w:sz w:val="20"/>
                <w:szCs w:val="20"/>
              </w:rPr>
              <w:t xml:space="preserve">46,684 </w:t>
            </w:r>
          </w:p>
        </w:tc>
        <w:tc>
          <w:tcPr>
            <w:tcW w:w="1560" w:type="dxa"/>
            <w:tcBorders>
              <w:top w:val="nil"/>
              <w:left w:val="nil"/>
              <w:bottom w:val="single" w:sz="4" w:space="0" w:color="auto"/>
              <w:right w:val="single" w:sz="4" w:space="0" w:color="auto"/>
            </w:tcBorders>
            <w:shd w:val="clear" w:color="auto" w:fill="auto"/>
            <w:noWrap/>
            <w:vAlign w:val="bottom"/>
          </w:tcPr>
          <w:p w:rsidR="006720DE" w:rsidRDefault="006720DE">
            <w:pPr>
              <w:jc w:val="center"/>
              <w:rPr>
                <w:rFonts w:ascii="Calibri" w:hAnsi="Calibri" w:cs="Calibri"/>
                <w:color w:val="000000"/>
                <w:sz w:val="20"/>
                <w:szCs w:val="20"/>
              </w:rPr>
            </w:pPr>
            <w:r>
              <w:rPr>
                <w:rFonts w:ascii="Calibri" w:hAnsi="Calibri" w:cs="Calibri"/>
                <w:color w:val="000000"/>
                <w:sz w:val="20"/>
                <w:szCs w:val="20"/>
              </w:rPr>
              <w:t xml:space="preserve">35,273 </w:t>
            </w:r>
          </w:p>
        </w:tc>
      </w:tr>
      <w:tr w:rsidR="006720DE" w:rsidRPr="00BC7F2E" w:rsidTr="00A53EBF">
        <w:trPr>
          <w:trHeight w:val="255"/>
        </w:trPr>
        <w:tc>
          <w:tcPr>
            <w:tcW w:w="3134" w:type="dxa"/>
            <w:tcBorders>
              <w:top w:val="nil"/>
              <w:left w:val="single" w:sz="4" w:space="0" w:color="auto"/>
              <w:bottom w:val="single" w:sz="4" w:space="0" w:color="auto"/>
              <w:right w:val="single" w:sz="4" w:space="0" w:color="auto"/>
            </w:tcBorders>
            <w:shd w:val="clear" w:color="auto" w:fill="auto"/>
            <w:noWrap/>
            <w:vAlign w:val="bottom"/>
          </w:tcPr>
          <w:p w:rsidR="006720DE" w:rsidRPr="00A53EBF" w:rsidRDefault="006720DE" w:rsidP="00A53EBF">
            <w:pPr>
              <w:rPr>
                <w:rFonts w:ascii="Calibri" w:hAnsi="Calibri" w:cs="Calibri"/>
                <w:color w:val="000000"/>
                <w:sz w:val="20"/>
                <w:szCs w:val="20"/>
              </w:rPr>
            </w:pPr>
            <w:r w:rsidRPr="00A53EBF">
              <w:rPr>
                <w:rFonts w:ascii="Calibri" w:hAnsi="Calibri" w:cs="Calibri"/>
                <w:color w:val="000000"/>
                <w:sz w:val="20"/>
                <w:szCs w:val="20"/>
              </w:rPr>
              <w:t>Overall calculated import weight</w:t>
            </w:r>
          </w:p>
        </w:tc>
        <w:tc>
          <w:tcPr>
            <w:tcW w:w="1276" w:type="dxa"/>
            <w:tcBorders>
              <w:top w:val="nil"/>
              <w:left w:val="nil"/>
              <w:bottom w:val="single" w:sz="4" w:space="0" w:color="auto"/>
              <w:right w:val="single" w:sz="4" w:space="0" w:color="auto"/>
            </w:tcBorders>
            <w:shd w:val="clear" w:color="auto" w:fill="auto"/>
            <w:noWrap/>
            <w:vAlign w:val="bottom"/>
          </w:tcPr>
          <w:p w:rsidR="006720DE" w:rsidRDefault="006720DE">
            <w:pPr>
              <w:jc w:val="center"/>
              <w:rPr>
                <w:rFonts w:ascii="Calibri" w:hAnsi="Calibri" w:cs="Calibri"/>
                <w:color w:val="000000"/>
                <w:sz w:val="20"/>
                <w:szCs w:val="20"/>
              </w:rPr>
            </w:pPr>
            <w:r>
              <w:rPr>
                <w:rFonts w:ascii="Calibri" w:hAnsi="Calibri" w:cs="Calibri"/>
                <w:color w:val="000000"/>
                <w:sz w:val="20"/>
                <w:szCs w:val="20"/>
              </w:rPr>
              <w:t xml:space="preserve">56,526 </w:t>
            </w:r>
          </w:p>
        </w:tc>
        <w:tc>
          <w:tcPr>
            <w:tcW w:w="1275" w:type="dxa"/>
            <w:tcBorders>
              <w:top w:val="nil"/>
              <w:left w:val="nil"/>
              <w:bottom w:val="single" w:sz="4" w:space="0" w:color="auto"/>
              <w:right w:val="single" w:sz="4" w:space="0" w:color="auto"/>
            </w:tcBorders>
            <w:shd w:val="clear" w:color="auto" w:fill="auto"/>
            <w:noWrap/>
            <w:vAlign w:val="bottom"/>
          </w:tcPr>
          <w:p w:rsidR="006720DE" w:rsidRDefault="006720DE">
            <w:pPr>
              <w:jc w:val="center"/>
              <w:rPr>
                <w:rFonts w:ascii="Calibri" w:hAnsi="Calibri" w:cs="Calibri"/>
                <w:color w:val="000000"/>
                <w:sz w:val="20"/>
                <w:szCs w:val="20"/>
              </w:rPr>
            </w:pPr>
            <w:r>
              <w:rPr>
                <w:rFonts w:ascii="Calibri" w:hAnsi="Calibri" w:cs="Calibri"/>
                <w:color w:val="000000"/>
                <w:sz w:val="20"/>
                <w:szCs w:val="20"/>
              </w:rPr>
              <w:t xml:space="preserve">39,805 </w:t>
            </w:r>
          </w:p>
        </w:tc>
        <w:tc>
          <w:tcPr>
            <w:tcW w:w="1560" w:type="dxa"/>
            <w:tcBorders>
              <w:top w:val="nil"/>
              <w:left w:val="nil"/>
              <w:bottom w:val="single" w:sz="4" w:space="0" w:color="auto"/>
              <w:right w:val="single" w:sz="4" w:space="0" w:color="auto"/>
            </w:tcBorders>
            <w:shd w:val="clear" w:color="auto" w:fill="auto"/>
            <w:noWrap/>
            <w:vAlign w:val="bottom"/>
          </w:tcPr>
          <w:p w:rsidR="006720DE" w:rsidRDefault="006720DE">
            <w:pPr>
              <w:jc w:val="center"/>
              <w:rPr>
                <w:rFonts w:ascii="Calibri" w:hAnsi="Calibri" w:cs="Calibri"/>
                <w:color w:val="000000"/>
                <w:sz w:val="20"/>
                <w:szCs w:val="20"/>
              </w:rPr>
            </w:pPr>
            <w:r>
              <w:rPr>
                <w:rFonts w:ascii="Calibri" w:hAnsi="Calibri" w:cs="Calibri"/>
                <w:color w:val="000000"/>
                <w:sz w:val="20"/>
                <w:szCs w:val="20"/>
              </w:rPr>
              <w:t xml:space="preserve">30,998 </w:t>
            </w:r>
          </w:p>
        </w:tc>
      </w:tr>
    </w:tbl>
    <w:p w:rsidR="00BC7F2E" w:rsidRDefault="00BC7F2E">
      <w:pPr>
        <w:rPr>
          <w:szCs w:val="22"/>
        </w:rPr>
      </w:pPr>
    </w:p>
    <w:p w:rsidR="005B3F7B" w:rsidRDefault="006720DE" w:rsidP="00710187">
      <w:pPr>
        <w:rPr>
          <w:szCs w:val="22"/>
        </w:rPr>
      </w:pPr>
      <w:r>
        <w:rPr>
          <w:szCs w:val="22"/>
        </w:rPr>
        <w:t xml:space="preserve">The </w:t>
      </w:r>
      <w:r w:rsidRPr="006720DE">
        <w:rPr>
          <w:i/>
          <w:szCs w:val="22"/>
        </w:rPr>
        <w:t>overall calculated</w:t>
      </w:r>
      <w:r w:rsidRPr="003F019A">
        <w:rPr>
          <w:i/>
          <w:szCs w:val="22"/>
        </w:rPr>
        <w:t xml:space="preserve"> import</w:t>
      </w:r>
      <w:r>
        <w:rPr>
          <w:i/>
          <w:szCs w:val="22"/>
        </w:rPr>
        <w:t xml:space="preserve"> weight</w:t>
      </w:r>
      <w:r>
        <w:rPr>
          <w:szCs w:val="22"/>
        </w:rPr>
        <w:t xml:space="preserve"> is consistently lower than the </w:t>
      </w:r>
      <w:r w:rsidRPr="006720DE">
        <w:rPr>
          <w:i/>
          <w:szCs w:val="22"/>
        </w:rPr>
        <w:t xml:space="preserve">overall </w:t>
      </w:r>
      <w:r>
        <w:rPr>
          <w:i/>
          <w:szCs w:val="22"/>
        </w:rPr>
        <w:t>actual</w:t>
      </w:r>
      <w:r w:rsidRPr="003F019A">
        <w:rPr>
          <w:i/>
          <w:szCs w:val="22"/>
        </w:rPr>
        <w:t xml:space="preserve"> import</w:t>
      </w:r>
      <w:r>
        <w:rPr>
          <w:i/>
          <w:szCs w:val="22"/>
        </w:rPr>
        <w:t xml:space="preserve"> weight</w:t>
      </w:r>
      <w:r>
        <w:rPr>
          <w:szCs w:val="22"/>
        </w:rPr>
        <w:t xml:space="preserve"> in each year, at 9% lower in 2010-11, 15% in 2009-10 and 12% in 2008-09.  This is expected given the elimination of some heavier weight products for MDFs (laser and other MFDs) and computer accessories (cards)</w:t>
      </w:r>
      <w:r w:rsidR="00B92D54">
        <w:rPr>
          <w:szCs w:val="22"/>
        </w:rPr>
        <w:t xml:space="preserve"> and also </w:t>
      </w:r>
      <w:r w:rsidR="00C56E05">
        <w:rPr>
          <w:szCs w:val="22"/>
        </w:rPr>
        <w:t xml:space="preserve">because the conversion factor is set at a lower weighted average weight than </w:t>
      </w:r>
      <w:r w:rsidR="00EC59F2">
        <w:rPr>
          <w:szCs w:val="22"/>
        </w:rPr>
        <w:t>that</w:t>
      </w:r>
      <w:r w:rsidR="00C56E05">
        <w:rPr>
          <w:szCs w:val="22"/>
        </w:rPr>
        <w:t xml:space="preserve"> for the previous years. This is appropriate given that the weighted mean weight of imported units has decreased since </w:t>
      </w:r>
      <w:r w:rsidR="00710187">
        <w:rPr>
          <w:szCs w:val="22"/>
        </w:rPr>
        <w:t>2008-09</w:t>
      </w:r>
      <w:r w:rsidR="005C1111">
        <w:rPr>
          <w:rStyle w:val="FootnoteReference"/>
          <w:szCs w:val="22"/>
        </w:rPr>
        <w:footnoteReference w:id="1"/>
      </w:r>
      <w:r w:rsidR="00854FED">
        <w:rPr>
          <w:szCs w:val="22"/>
        </w:rPr>
        <w:t xml:space="preserve"> (</w:t>
      </w:r>
      <w:r w:rsidR="00C62346">
        <w:rPr>
          <w:szCs w:val="22"/>
        </w:rPr>
        <w:t>Figure 6-1).</w:t>
      </w:r>
    </w:p>
    <w:p w:rsidR="00C62346" w:rsidRDefault="00C62346" w:rsidP="00710187">
      <w:pPr>
        <w:rPr>
          <w:szCs w:val="22"/>
        </w:rPr>
      </w:pPr>
    </w:p>
    <w:p w:rsidR="00A53EBF" w:rsidRDefault="00C62346" w:rsidP="00A53EBF">
      <w:pPr>
        <w:pStyle w:val="Caption"/>
        <w:keepNext/>
      </w:pPr>
      <w:bookmarkStart w:id="82" w:name="_Ref303018819"/>
      <w:r>
        <w:t>Figure 6-1</w:t>
      </w:r>
      <w:r w:rsidR="00A53EBF">
        <w:t xml:space="preserve"> Annual weighted mean weights derived from unit and weight import data</w:t>
      </w:r>
      <w:bookmarkEnd w:id="82"/>
    </w:p>
    <w:p w:rsidR="005C4081" w:rsidRDefault="005C4081" w:rsidP="005C4081">
      <w:pPr>
        <w:rPr>
          <w:lang w:val="en-GB"/>
        </w:rPr>
      </w:pPr>
      <w:r w:rsidRPr="005C4081">
        <w:rPr>
          <w:noProof/>
          <w:lang w:eastAsia="en-AU"/>
        </w:rPr>
        <w:drawing>
          <wp:inline distT="0" distB="0" distL="0" distR="0">
            <wp:extent cx="5278755" cy="3244136"/>
            <wp:effectExtent l="19050" t="0" r="17145" b="0"/>
            <wp:docPr id="2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5B3F7B" w:rsidRDefault="005B3F7B" w:rsidP="00710187">
      <w:pPr>
        <w:rPr>
          <w:szCs w:val="22"/>
        </w:rPr>
      </w:pPr>
    </w:p>
    <w:p w:rsidR="005B3F7B" w:rsidRDefault="005B3F7B" w:rsidP="00710187">
      <w:pPr>
        <w:rPr>
          <w:szCs w:val="22"/>
        </w:rPr>
      </w:pPr>
    </w:p>
    <w:p w:rsidR="000D0721" w:rsidRDefault="005B3F7B" w:rsidP="001F182C">
      <w:pPr>
        <w:rPr>
          <w:szCs w:val="22"/>
        </w:rPr>
      </w:pPr>
      <w:r>
        <w:rPr>
          <w:szCs w:val="22"/>
        </w:rPr>
        <w:t>While the rate of decrease of the weighted average unit weight cannot be pre-empted, it is likely that a decrease will continue</w:t>
      </w:r>
      <w:r w:rsidR="001F182C">
        <w:rPr>
          <w:szCs w:val="22"/>
        </w:rPr>
        <w:t xml:space="preserve">. </w:t>
      </w:r>
      <w:r w:rsidR="004363DD">
        <w:rPr>
          <w:szCs w:val="22"/>
        </w:rPr>
        <w:t xml:space="preserve">Where the conversion factors are applied to 2011-12 data it is expected that </w:t>
      </w:r>
      <w:r w:rsidR="001F182C" w:rsidRPr="003F019A">
        <w:rPr>
          <w:i/>
          <w:szCs w:val="22"/>
        </w:rPr>
        <w:t xml:space="preserve">overall </w:t>
      </w:r>
      <w:r w:rsidR="001F182C">
        <w:rPr>
          <w:i/>
          <w:szCs w:val="22"/>
        </w:rPr>
        <w:t xml:space="preserve">actual </w:t>
      </w:r>
      <w:r w:rsidR="001F182C" w:rsidRPr="003F019A">
        <w:rPr>
          <w:i/>
          <w:szCs w:val="22"/>
        </w:rPr>
        <w:t>import</w:t>
      </w:r>
      <w:r w:rsidR="001F182C">
        <w:rPr>
          <w:i/>
          <w:szCs w:val="22"/>
        </w:rPr>
        <w:t xml:space="preserve"> weight </w:t>
      </w:r>
      <w:r w:rsidR="004363DD">
        <w:rPr>
          <w:szCs w:val="22"/>
        </w:rPr>
        <w:t>w</w:t>
      </w:r>
      <w:r w:rsidR="000D0721">
        <w:rPr>
          <w:szCs w:val="22"/>
        </w:rPr>
        <w:t>ould</w:t>
      </w:r>
      <w:r w:rsidR="004363DD">
        <w:rPr>
          <w:szCs w:val="22"/>
        </w:rPr>
        <w:t xml:space="preserve"> be slightly over estimated</w:t>
      </w:r>
      <w:r w:rsidR="000D0721">
        <w:rPr>
          <w:szCs w:val="22"/>
        </w:rPr>
        <w:t xml:space="preserve"> if the factors were based on all data. However the effect of excluding some heavier weight products from the factors is likely to continue to apply in 2011-12, thus it is expected that the conversion factors will still slightly underestimate overall import share.</w:t>
      </w:r>
    </w:p>
    <w:p w:rsidR="000D0721" w:rsidRDefault="000D0721" w:rsidP="001F182C">
      <w:pPr>
        <w:rPr>
          <w:szCs w:val="22"/>
        </w:rPr>
      </w:pPr>
    </w:p>
    <w:p w:rsidR="00710187" w:rsidRPr="001F182C" w:rsidRDefault="00B92D54" w:rsidP="00B92D54">
      <w:pPr>
        <w:rPr>
          <w:szCs w:val="22"/>
        </w:rPr>
      </w:pPr>
      <w:r>
        <w:rPr>
          <w:szCs w:val="22"/>
        </w:rPr>
        <w:t xml:space="preserve">In 2012-13 the </w:t>
      </w:r>
      <w:r w:rsidR="00384343">
        <w:rPr>
          <w:szCs w:val="22"/>
        </w:rPr>
        <w:t xml:space="preserve">Scheme target </w:t>
      </w:r>
      <w:r>
        <w:rPr>
          <w:szCs w:val="22"/>
        </w:rPr>
        <w:t xml:space="preserve">will be </w:t>
      </w:r>
      <w:r w:rsidR="00384343">
        <w:rPr>
          <w:szCs w:val="22"/>
        </w:rPr>
        <w:t xml:space="preserve">based on imports </w:t>
      </w:r>
      <w:r>
        <w:rPr>
          <w:szCs w:val="22"/>
        </w:rPr>
        <w:t xml:space="preserve">over three years, </w:t>
      </w:r>
      <w:r w:rsidR="00384343">
        <w:rPr>
          <w:szCs w:val="22"/>
        </w:rPr>
        <w:t>from 2009-10 to 2011-12.</w:t>
      </w:r>
      <w:r w:rsidR="005231ED">
        <w:rPr>
          <w:szCs w:val="22"/>
        </w:rPr>
        <w:t xml:space="preserve"> </w:t>
      </w:r>
      <w:r w:rsidR="00EA16FE">
        <w:rPr>
          <w:szCs w:val="22"/>
        </w:rPr>
        <w:t>T</w:t>
      </w:r>
      <w:r w:rsidR="005231ED">
        <w:t>he</w:t>
      </w:r>
      <w:r>
        <w:t xml:space="preserve"> conversion factors are expected to underestimate </w:t>
      </w:r>
      <w:r w:rsidR="00EC59F2">
        <w:t xml:space="preserve">the </w:t>
      </w:r>
      <w:r w:rsidR="00970971" w:rsidRPr="00970971">
        <w:rPr>
          <w:i/>
        </w:rPr>
        <w:t xml:space="preserve">overall actual </w:t>
      </w:r>
      <w:r w:rsidR="00EC59F2">
        <w:rPr>
          <w:i/>
        </w:rPr>
        <w:t xml:space="preserve">import </w:t>
      </w:r>
      <w:r w:rsidR="00970971" w:rsidRPr="00970971">
        <w:rPr>
          <w:i/>
        </w:rPr>
        <w:t xml:space="preserve">weight </w:t>
      </w:r>
      <w:r>
        <w:t>during these years</w:t>
      </w:r>
      <w:r w:rsidR="00EA16FE">
        <w:t xml:space="preserve"> with the 2011-12 underestimate expected to be smaller than the 2010-11 (-</w:t>
      </w:r>
      <w:r w:rsidR="00406924">
        <w:t>15</w:t>
      </w:r>
      <w:r w:rsidR="00EA16FE">
        <w:t>%) and 2009-10 (-</w:t>
      </w:r>
      <w:r w:rsidR="00406924">
        <w:t>12</w:t>
      </w:r>
      <w:r w:rsidR="00EA16FE">
        <w:t>%) underestimates, where the trend of declining product weights continues. Accordingly</w:t>
      </w:r>
      <w:r>
        <w:t xml:space="preserve">, it is expected that the </w:t>
      </w:r>
      <w:r w:rsidR="005231ED">
        <w:t xml:space="preserve">Scheme target in 2012-13 </w:t>
      </w:r>
      <w:r>
        <w:t xml:space="preserve">will </w:t>
      </w:r>
      <w:r w:rsidR="00EC59F2">
        <w:t>slightly</w:t>
      </w:r>
      <w:r>
        <w:t xml:space="preserve"> underestimate </w:t>
      </w:r>
      <w:r w:rsidR="005231ED">
        <w:t xml:space="preserve">the </w:t>
      </w:r>
      <w:r w:rsidR="005231ED" w:rsidRPr="00935C20">
        <w:rPr>
          <w:i/>
        </w:rPr>
        <w:t xml:space="preserve">actual weight </w:t>
      </w:r>
      <w:r>
        <w:rPr>
          <w:i/>
        </w:rPr>
        <w:t xml:space="preserve">of </w:t>
      </w:r>
      <w:r w:rsidR="005231ED" w:rsidRPr="00935C20">
        <w:rPr>
          <w:i/>
        </w:rPr>
        <w:t>import</w:t>
      </w:r>
      <w:r>
        <w:rPr>
          <w:i/>
        </w:rPr>
        <w:t>s</w:t>
      </w:r>
      <w:r w:rsidR="005231ED" w:rsidRPr="00E90AE9">
        <w:t>.</w:t>
      </w:r>
      <w:r>
        <w:t xml:space="preserve"> </w:t>
      </w:r>
    </w:p>
    <w:p w:rsidR="00A14EE0" w:rsidRDefault="00A14EE0" w:rsidP="00A14EE0"/>
    <w:p w:rsidR="00A64500" w:rsidRPr="0000192C" w:rsidRDefault="0000192C" w:rsidP="0000192C">
      <w:pPr>
        <w:pStyle w:val="Heading3"/>
        <w:rPr>
          <w:szCs w:val="24"/>
        </w:rPr>
      </w:pPr>
      <w:bookmarkStart w:id="83" w:name="_Toc303860102"/>
      <w:bookmarkStart w:id="84" w:name="_Toc304967206"/>
      <w:r w:rsidRPr="0000192C">
        <w:rPr>
          <w:szCs w:val="24"/>
        </w:rPr>
        <w:t>Impact of applying factors to each brand/importer</w:t>
      </w:r>
      <w:bookmarkEnd w:id="83"/>
      <w:bookmarkEnd w:id="84"/>
    </w:p>
    <w:p w:rsidR="005B3F7B" w:rsidRDefault="005B3F7B" w:rsidP="005B3F7B"/>
    <w:p w:rsidR="00F4474A" w:rsidRDefault="00F4474A" w:rsidP="005B3F7B">
      <w:r>
        <w:t>A separate analysis was</w:t>
      </w:r>
      <w:r w:rsidR="00463864">
        <w:t xml:space="preserve"> carried out on </w:t>
      </w:r>
      <w:r w:rsidR="005B3F7B">
        <w:t>individual brands to determine the effect of the conversion factors</w:t>
      </w:r>
      <w:r w:rsidR="00A41312">
        <w:t xml:space="preserve"> on each brand</w:t>
      </w:r>
      <w:r w:rsidR="00463864">
        <w:t>s</w:t>
      </w:r>
      <w:r w:rsidR="00A41312">
        <w:t>’</w:t>
      </w:r>
      <w:r w:rsidR="00463864">
        <w:t xml:space="preserve"> </w:t>
      </w:r>
      <w:r>
        <w:t>import share</w:t>
      </w:r>
      <w:r w:rsidR="00463864">
        <w:t>.</w:t>
      </w:r>
      <w:r>
        <w:t xml:space="preserve"> </w:t>
      </w:r>
      <w:r w:rsidR="00A57F35">
        <w:t>I</w:t>
      </w:r>
      <w:r>
        <w:t>mport share</w:t>
      </w:r>
      <w:r w:rsidR="00A57F35">
        <w:t xml:space="preserve"> </w:t>
      </w:r>
      <w:r>
        <w:t xml:space="preserve">will be used as the basis for allocating targets under the Scheme. </w:t>
      </w:r>
      <w:r w:rsidR="00A57F35">
        <w:t>Import share will be calculated by dividing an individual liable party’s imports in the previous financial year by the total imports by all liable parties.</w:t>
      </w:r>
    </w:p>
    <w:p w:rsidR="00F4474A" w:rsidRDefault="00F4474A" w:rsidP="005B3F7B"/>
    <w:p w:rsidR="0061320D" w:rsidRDefault="00463864" w:rsidP="005B3F7B">
      <w:pPr>
        <w:rPr>
          <w:szCs w:val="22"/>
        </w:rPr>
      </w:pPr>
      <w:r>
        <w:t xml:space="preserve">This section distinguishes between </w:t>
      </w:r>
      <w:r w:rsidRPr="00463864">
        <w:rPr>
          <w:i/>
        </w:rPr>
        <w:t>importer actual weight</w:t>
      </w:r>
      <w:r>
        <w:t xml:space="preserve"> and </w:t>
      </w:r>
      <w:r w:rsidRPr="00463864">
        <w:rPr>
          <w:i/>
        </w:rPr>
        <w:t>importer calculated weight</w:t>
      </w:r>
      <w:r>
        <w:rPr>
          <w:i/>
        </w:rPr>
        <w:t xml:space="preserve">. </w:t>
      </w:r>
      <w:r w:rsidRPr="00463864">
        <w:rPr>
          <w:i/>
        </w:rPr>
        <w:t>Importer actual weight</w:t>
      </w:r>
      <w:r>
        <w:t xml:space="preserve"> refers to the actual weight per participating importer summed across all HTISCs, as reported for the exercise. </w:t>
      </w:r>
      <w:r w:rsidR="00A30F33">
        <w:rPr>
          <w:szCs w:val="22"/>
        </w:rPr>
        <w:t xml:space="preserve">The </w:t>
      </w:r>
      <w:r w:rsidR="005A2B75">
        <w:rPr>
          <w:i/>
          <w:szCs w:val="22"/>
        </w:rPr>
        <w:t>importer calculated</w:t>
      </w:r>
      <w:r w:rsidR="00A30F33">
        <w:rPr>
          <w:i/>
          <w:szCs w:val="22"/>
        </w:rPr>
        <w:t xml:space="preserve"> weight</w:t>
      </w:r>
      <w:r w:rsidR="00A30F33">
        <w:rPr>
          <w:szCs w:val="22"/>
        </w:rPr>
        <w:t xml:space="preserve"> has been calculated by applying the conversion factors to the total number of units imported for each HTSIC for each importer.</w:t>
      </w:r>
    </w:p>
    <w:p w:rsidR="0061320D" w:rsidRDefault="0061320D" w:rsidP="005B3F7B">
      <w:pPr>
        <w:rPr>
          <w:szCs w:val="22"/>
        </w:rPr>
      </w:pPr>
    </w:p>
    <w:p w:rsidR="00F80CD3" w:rsidRPr="00293FC1" w:rsidRDefault="00A57F35" w:rsidP="00F80CD3">
      <w:pPr>
        <w:pStyle w:val="FootnoteText"/>
        <w:rPr>
          <w:sz w:val="22"/>
          <w:szCs w:val="24"/>
          <w:lang w:val="en-AU"/>
        </w:rPr>
      </w:pPr>
      <w:r w:rsidRPr="00293FC1">
        <w:rPr>
          <w:sz w:val="22"/>
          <w:szCs w:val="22"/>
          <w:lang w:val="en-AU"/>
        </w:rPr>
        <w:t>The analysis</w:t>
      </w:r>
      <w:r w:rsidR="00945F2D" w:rsidRPr="00293FC1">
        <w:rPr>
          <w:sz w:val="22"/>
          <w:szCs w:val="22"/>
          <w:lang w:val="en-AU"/>
        </w:rPr>
        <w:t xml:space="preserve"> compar</w:t>
      </w:r>
      <w:r w:rsidRPr="00293FC1">
        <w:rPr>
          <w:sz w:val="22"/>
          <w:szCs w:val="22"/>
          <w:lang w:val="en-AU"/>
        </w:rPr>
        <w:t>es</w:t>
      </w:r>
      <w:r w:rsidR="00945F2D" w:rsidRPr="00293FC1">
        <w:rPr>
          <w:sz w:val="22"/>
          <w:szCs w:val="22"/>
          <w:lang w:val="en-AU"/>
        </w:rPr>
        <w:t xml:space="preserve"> the </w:t>
      </w:r>
      <w:r w:rsidRPr="00293FC1">
        <w:rPr>
          <w:sz w:val="22"/>
          <w:szCs w:val="22"/>
          <w:lang w:val="en-AU"/>
        </w:rPr>
        <w:t xml:space="preserve">difference in import share for each brand that participated in the study under an actual weight and calculated weight scenario. This was done by determining the </w:t>
      </w:r>
      <w:r w:rsidR="00945F2D" w:rsidRPr="00293FC1">
        <w:rPr>
          <w:sz w:val="22"/>
          <w:szCs w:val="22"/>
          <w:lang w:val="en-AU"/>
        </w:rPr>
        <w:t xml:space="preserve">calculated weight </w:t>
      </w:r>
      <w:r w:rsidRPr="00293FC1">
        <w:rPr>
          <w:sz w:val="22"/>
          <w:szCs w:val="22"/>
          <w:lang w:val="en-AU"/>
        </w:rPr>
        <w:t xml:space="preserve">of each brand </w:t>
      </w:r>
      <w:r w:rsidR="00945F2D" w:rsidRPr="00293FC1">
        <w:rPr>
          <w:sz w:val="22"/>
          <w:szCs w:val="22"/>
          <w:lang w:val="en-AU"/>
        </w:rPr>
        <w:t>as a percentage of total imported weight</w:t>
      </w:r>
      <w:r w:rsidRPr="00293FC1">
        <w:rPr>
          <w:sz w:val="22"/>
          <w:szCs w:val="22"/>
          <w:lang w:val="en-AU"/>
        </w:rPr>
        <w:t xml:space="preserve"> and the</w:t>
      </w:r>
      <w:r w:rsidR="00945F2D" w:rsidRPr="00293FC1">
        <w:rPr>
          <w:sz w:val="22"/>
          <w:szCs w:val="22"/>
          <w:lang w:val="en-AU"/>
        </w:rPr>
        <w:t xml:space="preserve"> actual weight as a percentage of total imported weight.  Total imported weights for each year are determined by applying the conversion factors to the ABS unit import data</w:t>
      </w:r>
      <w:r w:rsidRPr="00293FC1">
        <w:rPr>
          <w:sz w:val="22"/>
          <w:szCs w:val="22"/>
          <w:lang w:val="en-AU"/>
        </w:rPr>
        <w:t>, which were shown above to collectively provide a</w:t>
      </w:r>
      <w:r w:rsidR="00F80CD3" w:rsidRPr="00293FC1">
        <w:rPr>
          <w:sz w:val="22"/>
          <w:szCs w:val="22"/>
          <w:lang w:val="en-AU"/>
        </w:rPr>
        <w:t xml:space="preserve"> lower but reasonable estimate </w:t>
      </w:r>
      <w:r w:rsidRPr="00293FC1">
        <w:rPr>
          <w:sz w:val="22"/>
          <w:szCs w:val="22"/>
          <w:lang w:val="en-AU"/>
        </w:rPr>
        <w:t>of total actual weight imported</w:t>
      </w:r>
      <w:r w:rsidR="00945F2D" w:rsidRPr="00293FC1">
        <w:rPr>
          <w:sz w:val="22"/>
          <w:szCs w:val="22"/>
          <w:lang w:val="en-AU"/>
        </w:rPr>
        <w:t>. The results are presented in Table 6-3.</w:t>
      </w:r>
      <w:r w:rsidR="00F80CD3" w:rsidRPr="00293FC1">
        <w:rPr>
          <w:sz w:val="22"/>
          <w:szCs w:val="22"/>
          <w:lang w:val="en-AU"/>
        </w:rPr>
        <w:t xml:space="preserve"> The actual weight import shares presented in Table 6-3 would likely to be lower if they were calculated as a proportion of total actual weight given that total calculated weight slightly underestimates total actual import weight. </w:t>
      </w:r>
    </w:p>
    <w:p w:rsidR="00945F2D" w:rsidRPr="000562C8" w:rsidRDefault="00945F2D" w:rsidP="00945F2D"/>
    <w:p w:rsidR="00945F2D" w:rsidRPr="000562C8" w:rsidRDefault="00945F2D" w:rsidP="00945F2D">
      <w:pPr>
        <w:pStyle w:val="Caption"/>
        <w:keepNext/>
      </w:pPr>
      <w:r w:rsidRPr="000562C8">
        <w:t xml:space="preserve">Table 6-3 </w:t>
      </w:r>
      <w:r w:rsidR="00D4554C" w:rsidRPr="000562C8">
        <w:t>Comparison of import share under</w:t>
      </w:r>
      <w:r w:rsidRPr="000562C8">
        <w:t xml:space="preserve"> importer actual weight </w:t>
      </w:r>
      <w:r w:rsidR="00D4554C" w:rsidRPr="000562C8">
        <w:t xml:space="preserve">and </w:t>
      </w:r>
      <w:r w:rsidRPr="000562C8">
        <w:t>importer calculated weight</w:t>
      </w:r>
    </w:p>
    <w:tbl>
      <w:tblPr>
        <w:tblW w:w="7670" w:type="dxa"/>
        <w:tblInd w:w="93" w:type="dxa"/>
        <w:tblLook w:val="04A0"/>
      </w:tblPr>
      <w:tblGrid>
        <w:gridCol w:w="1120"/>
        <w:gridCol w:w="1022"/>
        <w:gridCol w:w="1134"/>
        <w:gridCol w:w="1134"/>
        <w:gridCol w:w="1086"/>
        <w:gridCol w:w="1040"/>
        <w:gridCol w:w="1134"/>
      </w:tblGrid>
      <w:tr w:rsidR="00945F2D" w:rsidRPr="000562C8" w:rsidTr="00945F2D">
        <w:trPr>
          <w:trHeight w:val="255"/>
        </w:trPr>
        <w:tc>
          <w:tcPr>
            <w:tcW w:w="1120"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945F2D" w:rsidRPr="000562C8" w:rsidRDefault="00945F2D" w:rsidP="00945F2D">
            <w:pPr>
              <w:jc w:val="center"/>
              <w:rPr>
                <w:rFonts w:ascii="Calibri" w:hAnsi="Calibri" w:cs="Calibri"/>
                <w:b/>
                <w:bCs/>
                <w:color w:val="000000"/>
                <w:sz w:val="20"/>
                <w:szCs w:val="20"/>
                <w:lang w:eastAsia="en-AU"/>
              </w:rPr>
            </w:pPr>
          </w:p>
          <w:p w:rsidR="00945F2D" w:rsidRPr="000562C8" w:rsidRDefault="00945F2D" w:rsidP="00945F2D">
            <w:pPr>
              <w:jc w:val="center"/>
              <w:rPr>
                <w:rFonts w:ascii="Calibri" w:hAnsi="Calibri" w:cs="Calibri"/>
                <w:b/>
                <w:bCs/>
                <w:color w:val="000000"/>
                <w:sz w:val="20"/>
                <w:szCs w:val="20"/>
                <w:lang w:eastAsia="en-AU"/>
              </w:rPr>
            </w:pPr>
          </w:p>
        </w:tc>
        <w:tc>
          <w:tcPr>
            <w:tcW w:w="2156" w:type="dxa"/>
            <w:gridSpan w:val="2"/>
            <w:tcBorders>
              <w:top w:val="single" w:sz="4" w:space="0" w:color="auto"/>
              <w:left w:val="nil"/>
              <w:bottom w:val="single" w:sz="4" w:space="0" w:color="auto"/>
              <w:right w:val="single" w:sz="4" w:space="0" w:color="auto"/>
            </w:tcBorders>
            <w:shd w:val="clear" w:color="000000" w:fill="D8D8D8"/>
            <w:noWrap/>
            <w:vAlign w:val="bottom"/>
            <w:hideMark/>
          </w:tcPr>
          <w:p w:rsidR="00945F2D" w:rsidRPr="000562C8" w:rsidRDefault="00945F2D" w:rsidP="00945F2D">
            <w:pPr>
              <w:jc w:val="center"/>
              <w:rPr>
                <w:rFonts w:ascii="Calibri" w:hAnsi="Calibri" w:cs="Calibri"/>
                <w:b/>
                <w:bCs/>
                <w:color w:val="000000"/>
                <w:sz w:val="20"/>
                <w:szCs w:val="20"/>
                <w:lang w:eastAsia="en-AU"/>
              </w:rPr>
            </w:pPr>
            <w:r w:rsidRPr="000562C8">
              <w:rPr>
                <w:rFonts w:ascii="Calibri" w:hAnsi="Calibri" w:cs="Calibri"/>
                <w:b/>
                <w:bCs/>
                <w:color w:val="000000"/>
                <w:sz w:val="20"/>
                <w:szCs w:val="20"/>
                <w:lang w:eastAsia="en-AU"/>
              </w:rPr>
              <w:t>2010-11</w:t>
            </w:r>
          </w:p>
        </w:tc>
        <w:tc>
          <w:tcPr>
            <w:tcW w:w="2220" w:type="dxa"/>
            <w:gridSpan w:val="2"/>
            <w:tcBorders>
              <w:top w:val="single" w:sz="4" w:space="0" w:color="auto"/>
              <w:left w:val="nil"/>
              <w:bottom w:val="single" w:sz="4" w:space="0" w:color="auto"/>
              <w:right w:val="single" w:sz="4" w:space="0" w:color="auto"/>
            </w:tcBorders>
            <w:shd w:val="clear" w:color="000000" w:fill="D8D8D8"/>
            <w:noWrap/>
            <w:vAlign w:val="bottom"/>
            <w:hideMark/>
          </w:tcPr>
          <w:p w:rsidR="00945F2D" w:rsidRPr="000562C8" w:rsidRDefault="00945F2D" w:rsidP="00945F2D">
            <w:pPr>
              <w:jc w:val="center"/>
              <w:rPr>
                <w:rFonts w:ascii="Calibri" w:hAnsi="Calibri" w:cs="Calibri"/>
                <w:b/>
                <w:bCs/>
                <w:color w:val="000000"/>
                <w:sz w:val="20"/>
                <w:szCs w:val="20"/>
                <w:lang w:eastAsia="en-AU"/>
              </w:rPr>
            </w:pPr>
            <w:r w:rsidRPr="000562C8">
              <w:rPr>
                <w:rFonts w:ascii="Calibri" w:hAnsi="Calibri" w:cs="Calibri"/>
                <w:b/>
                <w:bCs/>
                <w:color w:val="000000"/>
                <w:sz w:val="20"/>
                <w:szCs w:val="20"/>
                <w:lang w:eastAsia="en-AU"/>
              </w:rPr>
              <w:t>2009-10</w:t>
            </w:r>
          </w:p>
        </w:tc>
        <w:tc>
          <w:tcPr>
            <w:tcW w:w="2174" w:type="dxa"/>
            <w:gridSpan w:val="2"/>
            <w:tcBorders>
              <w:top w:val="single" w:sz="4" w:space="0" w:color="auto"/>
              <w:left w:val="nil"/>
              <w:bottom w:val="single" w:sz="4" w:space="0" w:color="auto"/>
              <w:right w:val="single" w:sz="4" w:space="0" w:color="auto"/>
            </w:tcBorders>
            <w:shd w:val="clear" w:color="000000" w:fill="D8D8D8"/>
            <w:noWrap/>
            <w:vAlign w:val="bottom"/>
            <w:hideMark/>
          </w:tcPr>
          <w:p w:rsidR="00945F2D" w:rsidRPr="000562C8" w:rsidRDefault="00945F2D" w:rsidP="00945F2D">
            <w:pPr>
              <w:jc w:val="center"/>
              <w:rPr>
                <w:rFonts w:ascii="Calibri" w:hAnsi="Calibri" w:cs="Calibri"/>
                <w:b/>
                <w:bCs/>
                <w:color w:val="000000"/>
                <w:sz w:val="20"/>
                <w:szCs w:val="20"/>
                <w:lang w:eastAsia="en-AU"/>
              </w:rPr>
            </w:pPr>
            <w:r w:rsidRPr="000562C8">
              <w:rPr>
                <w:rFonts w:ascii="Calibri" w:hAnsi="Calibri" w:cs="Calibri"/>
                <w:b/>
                <w:bCs/>
                <w:color w:val="000000"/>
                <w:sz w:val="20"/>
                <w:szCs w:val="20"/>
                <w:lang w:eastAsia="en-AU"/>
              </w:rPr>
              <w:t>2008-</w:t>
            </w:r>
            <w:r w:rsidR="00D951C3" w:rsidRPr="000562C8">
              <w:rPr>
                <w:rFonts w:ascii="Calibri" w:hAnsi="Calibri" w:cs="Calibri"/>
                <w:b/>
                <w:bCs/>
                <w:color w:val="000000"/>
                <w:sz w:val="20"/>
                <w:szCs w:val="20"/>
                <w:lang w:eastAsia="en-AU"/>
              </w:rPr>
              <w:t>09</w:t>
            </w:r>
          </w:p>
        </w:tc>
      </w:tr>
      <w:tr w:rsidR="00945F2D" w:rsidRPr="000562C8" w:rsidTr="00945F2D">
        <w:trPr>
          <w:trHeight w:val="255"/>
        </w:trPr>
        <w:tc>
          <w:tcPr>
            <w:tcW w:w="1120" w:type="dxa"/>
            <w:vMerge/>
            <w:tcBorders>
              <w:top w:val="single" w:sz="4" w:space="0" w:color="auto"/>
              <w:left w:val="single" w:sz="4" w:space="0" w:color="auto"/>
              <w:bottom w:val="single" w:sz="4" w:space="0" w:color="000000"/>
              <w:right w:val="single" w:sz="4" w:space="0" w:color="auto"/>
            </w:tcBorders>
            <w:vAlign w:val="center"/>
            <w:hideMark/>
          </w:tcPr>
          <w:p w:rsidR="00945F2D" w:rsidRPr="000562C8" w:rsidRDefault="00945F2D" w:rsidP="00945F2D">
            <w:pPr>
              <w:rPr>
                <w:rFonts w:ascii="Calibri" w:hAnsi="Calibri" w:cs="Calibri"/>
                <w:b/>
                <w:bCs/>
                <w:color w:val="000000"/>
                <w:sz w:val="20"/>
                <w:szCs w:val="20"/>
                <w:lang w:eastAsia="en-AU"/>
              </w:rPr>
            </w:pPr>
          </w:p>
        </w:tc>
        <w:tc>
          <w:tcPr>
            <w:tcW w:w="1022" w:type="dxa"/>
            <w:tcBorders>
              <w:top w:val="nil"/>
              <w:left w:val="nil"/>
              <w:bottom w:val="single" w:sz="4" w:space="0" w:color="auto"/>
              <w:right w:val="nil"/>
            </w:tcBorders>
            <w:shd w:val="clear" w:color="000000" w:fill="D8D8D8"/>
            <w:noWrap/>
            <w:vAlign w:val="bottom"/>
            <w:hideMark/>
          </w:tcPr>
          <w:p w:rsidR="00945F2D" w:rsidRPr="000562C8" w:rsidRDefault="00945F2D" w:rsidP="00945F2D">
            <w:pPr>
              <w:jc w:val="center"/>
              <w:rPr>
                <w:rFonts w:ascii="Calibri" w:hAnsi="Calibri" w:cs="Calibri"/>
                <w:b/>
                <w:bCs/>
                <w:color w:val="000000"/>
                <w:sz w:val="20"/>
                <w:szCs w:val="20"/>
                <w:lang w:eastAsia="en-AU"/>
              </w:rPr>
            </w:pPr>
            <w:r w:rsidRPr="000562C8">
              <w:rPr>
                <w:rFonts w:ascii="Calibri" w:hAnsi="Calibri" w:cs="Calibri"/>
                <w:b/>
                <w:bCs/>
                <w:color w:val="000000"/>
                <w:sz w:val="20"/>
                <w:szCs w:val="20"/>
                <w:lang w:eastAsia="en-AU"/>
              </w:rPr>
              <w:t>Actual</w:t>
            </w:r>
          </w:p>
        </w:tc>
        <w:tc>
          <w:tcPr>
            <w:tcW w:w="1134" w:type="dxa"/>
            <w:tcBorders>
              <w:top w:val="nil"/>
              <w:left w:val="dotted" w:sz="4" w:space="0" w:color="auto"/>
              <w:bottom w:val="single" w:sz="4" w:space="0" w:color="auto"/>
              <w:right w:val="single" w:sz="4" w:space="0" w:color="auto"/>
            </w:tcBorders>
            <w:shd w:val="clear" w:color="000000" w:fill="D8D8D8"/>
            <w:noWrap/>
            <w:vAlign w:val="bottom"/>
            <w:hideMark/>
          </w:tcPr>
          <w:p w:rsidR="00945F2D" w:rsidRPr="000562C8" w:rsidRDefault="00945F2D" w:rsidP="00945F2D">
            <w:pPr>
              <w:jc w:val="center"/>
              <w:rPr>
                <w:rFonts w:ascii="Calibri" w:hAnsi="Calibri" w:cs="Calibri"/>
                <w:b/>
                <w:bCs/>
                <w:color w:val="000000"/>
                <w:sz w:val="20"/>
                <w:szCs w:val="20"/>
                <w:lang w:eastAsia="en-AU"/>
              </w:rPr>
            </w:pPr>
            <w:r w:rsidRPr="000562C8">
              <w:rPr>
                <w:rFonts w:ascii="Calibri" w:hAnsi="Calibri" w:cs="Calibri"/>
                <w:b/>
                <w:bCs/>
                <w:color w:val="000000"/>
                <w:sz w:val="20"/>
                <w:szCs w:val="20"/>
                <w:lang w:eastAsia="en-AU"/>
              </w:rPr>
              <w:t>Calculated</w:t>
            </w:r>
          </w:p>
        </w:tc>
        <w:tc>
          <w:tcPr>
            <w:tcW w:w="1134" w:type="dxa"/>
            <w:tcBorders>
              <w:top w:val="nil"/>
              <w:left w:val="nil"/>
              <w:bottom w:val="single" w:sz="4" w:space="0" w:color="auto"/>
              <w:right w:val="nil"/>
            </w:tcBorders>
            <w:shd w:val="clear" w:color="000000" w:fill="D8D8D8"/>
            <w:noWrap/>
            <w:vAlign w:val="bottom"/>
            <w:hideMark/>
          </w:tcPr>
          <w:p w:rsidR="00945F2D" w:rsidRPr="000562C8" w:rsidRDefault="00945F2D" w:rsidP="00945F2D">
            <w:pPr>
              <w:jc w:val="center"/>
              <w:rPr>
                <w:rFonts w:ascii="Calibri" w:hAnsi="Calibri" w:cs="Calibri"/>
                <w:b/>
                <w:bCs/>
                <w:color w:val="000000"/>
                <w:sz w:val="20"/>
                <w:szCs w:val="20"/>
                <w:lang w:eastAsia="en-AU"/>
              </w:rPr>
            </w:pPr>
            <w:r w:rsidRPr="000562C8">
              <w:rPr>
                <w:rFonts w:ascii="Calibri" w:hAnsi="Calibri" w:cs="Calibri"/>
                <w:b/>
                <w:bCs/>
                <w:color w:val="000000"/>
                <w:sz w:val="20"/>
                <w:szCs w:val="20"/>
                <w:lang w:eastAsia="en-AU"/>
              </w:rPr>
              <w:t>Actual</w:t>
            </w:r>
          </w:p>
        </w:tc>
        <w:tc>
          <w:tcPr>
            <w:tcW w:w="1086" w:type="dxa"/>
            <w:tcBorders>
              <w:top w:val="nil"/>
              <w:left w:val="dotted" w:sz="4" w:space="0" w:color="auto"/>
              <w:bottom w:val="single" w:sz="4" w:space="0" w:color="auto"/>
              <w:right w:val="single" w:sz="4" w:space="0" w:color="auto"/>
            </w:tcBorders>
            <w:shd w:val="clear" w:color="000000" w:fill="D8D8D8"/>
            <w:noWrap/>
            <w:vAlign w:val="bottom"/>
            <w:hideMark/>
          </w:tcPr>
          <w:p w:rsidR="00945F2D" w:rsidRPr="000562C8" w:rsidRDefault="00945F2D" w:rsidP="00945F2D">
            <w:pPr>
              <w:jc w:val="center"/>
              <w:rPr>
                <w:rFonts w:ascii="Calibri" w:hAnsi="Calibri" w:cs="Calibri"/>
                <w:b/>
                <w:bCs/>
                <w:color w:val="000000"/>
                <w:sz w:val="20"/>
                <w:szCs w:val="20"/>
                <w:lang w:eastAsia="en-AU"/>
              </w:rPr>
            </w:pPr>
            <w:r w:rsidRPr="000562C8">
              <w:rPr>
                <w:rFonts w:ascii="Calibri" w:hAnsi="Calibri" w:cs="Calibri"/>
                <w:b/>
                <w:bCs/>
                <w:color w:val="000000"/>
                <w:sz w:val="20"/>
                <w:szCs w:val="20"/>
                <w:lang w:eastAsia="en-AU"/>
              </w:rPr>
              <w:t>Calculated</w:t>
            </w:r>
          </w:p>
        </w:tc>
        <w:tc>
          <w:tcPr>
            <w:tcW w:w="1040" w:type="dxa"/>
            <w:tcBorders>
              <w:top w:val="nil"/>
              <w:left w:val="nil"/>
              <w:bottom w:val="single" w:sz="4" w:space="0" w:color="auto"/>
              <w:right w:val="nil"/>
            </w:tcBorders>
            <w:shd w:val="clear" w:color="000000" w:fill="D8D8D8"/>
            <w:noWrap/>
            <w:vAlign w:val="bottom"/>
            <w:hideMark/>
          </w:tcPr>
          <w:p w:rsidR="00945F2D" w:rsidRPr="000562C8" w:rsidRDefault="00945F2D" w:rsidP="00945F2D">
            <w:pPr>
              <w:jc w:val="center"/>
              <w:rPr>
                <w:rFonts w:ascii="Calibri" w:hAnsi="Calibri" w:cs="Calibri"/>
                <w:b/>
                <w:bCs/>
                <w:color w:val="000000"/>
                <w:sz w:val="20"/>
                <w:szCs w:val="20"/>
                <w:lang w:eastAsia="en-AU"/>
              </w:rPr>
            </w:pPr>
            <w:r w:rsidRPr="000562C8">
              <w:rPr>
                <w:rFonts w:ascii="Calibri" w:hAnsi="Calibri" w:cs="Calibri"/>
                <w:b/>
                <w:bCs/>
                <w:color w:val="000000"/>
                <w:sz w:val="20"/>
                <w:szCs w:val="20"/>
                <w:lang w:eastAsia="en-AU"/>
              </w:rPr>
              <w:t>Actual</w:t>
            </w:r>
          </w:p>
        </w:tc>
        <w:tc>
          <w:tcPr>
            <w:tcW w:w="1134" w:type="dxa"/>
            <w:tcBorders>
              <w:top w:val="nil"/>
              <w:left w:val="dotted" w:sz="4" w:space="0" w:color="auto"/>
              <w:bottom w:val="single" w:sz="4" w:space="0" w:color="auto"/>
              <w:right w:val="single" w:sz="4" w:space="0" w:color="auto"/>
            </w:tcBorders>
            <w:shd w:val="clear" w:color="000000" w:fill="D8D8D8"/>
            <w:noWrap/>
            <w:vAlign w:val="bottom"/>
            <w:hideMark/>
          </w:tcPr>
          <w:p w:rsidR="00945F2D" w:rsidRPr="000562C8" w:rsidRDefault="00945F2D" w:rsidP="00945F2D">
            <w:pPr>
              <w:jc w:val="center"/>
              <w:rPr>
                <w:rFonts w:ascii="Calibri" w:hAnsi="Calibri" w:cs="Calibri"/>
                <w:b/>
                <w:bCs/>
                <w:color w:val="000000"/>
                <w:sz w:val="20"/>
                <w:szCs w:val="20"/>
                <w:lang w:eastAsia="en-AU"/>
              </w:rPr>
            </w:pPr>
            <w:r w:rsidRPr="000562C8">
              <w:rPr>
                <w:rFonts w:ascii="Calibri" w:hAnsi="Calibri" w:cs="Calibri"/>
                <w:b/>
                <w:bCs/>
                <w:color w:val="000000"/>
                <w:sz w:val="20"/>
                <w:szCs w:val="20"/>
                <w:lang w:eastAsia="en-AU"/>
              </w:rPr>
              <w:t>Calculated</w:t>
            </w:r>
          </w:p>
        </w:tc>
      </w:tr>
      <w:tr w:rsidR="00904E6E" w:rsidRPr="000562C8" w:rsidTr="00904E6E">
        <w:trPr>
          <w:trHeight w:val="25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04E6E" w:rsidRPr="000562C8" w:rsidRDefault="00904E6E" w:rsidP="00945F2D">
            <w:pPr>
              <w:jc w:val="center"/>
              <w:rPr>
                <w:rFonts w:ascii="Calibri" w:hAnsi="Calibri" w:cs="Calibri"/>
                <w:color w:val="000000"/>
                <w:sz w:val="20"/>
                <w:szCs w:val="20"/>
                <w:lang w:eastAsia="en-AU"/>
              </w:rPr>
            </w:pPr>
            <w:r w:rsidRPr="000562C8">
              <w:rPr>
                <w:rFonts w:ascii="Calibri" w:hAnsi="Calibri" w:cs="Calibri"/>
                <w:color w:val="000000"/>
                <w:sz w:val="20"/>
                <w:szCs w:val="20"/>
                <w:lang w:eastAsia="en-AU"/>
              </w:rPr>
              <w:t>Brand1</w:t>
            </w:r>
          </w:p>
        </w:tc>
        <w:tc>
          <w:tcPr>
            <w:tcW w:w="1022" w:type="dxa"/>
            <w:tcBorders>
              <w:top w:val="nil"/>
              <w:left w:val="nil"/>
              <w:bottom w:val="single" w:sz="4" w:space="0" w:color="auto"/>
              <w:right w:val="nil"/>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2.1%</w:t>
            </w:r>
          </w:p>
        </w:tc>
        <w:tc>
          <w:tcPr>
            <w:tcW w:w="1134" w:type="dxa"/>
            <w:tcBorders>
              <w:top w:val="nil"/>
              <w:left w:val="dotted" w:sz="4" w:space="0" w:color="auto"/>
              <w:bottom w:val="single" w:sz="4" w:space="0" w:color="auto"/>
              <w:right w:val="single" w:sz="4" w:space="0" w:color="auto"/>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2.0%</w:t>
            </w:r>
          </w:p>
        </w:tc>
        <w:tc>
          <w:tcPr>
            <w:tcW w:w="1134" w:type="dxa"/>
            <w:tcBorders>
              <w:top w:val="nil"/>
              <w:left w:val="nil"/>
              <w:bottom w:val="single" w:sz="4" w:space="0" w:color="auto"/>
              <w:right w:val="nil"/>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2.8%</w:t>
            </w:r>
          </w:p>
        </w:tc>
        <w:tc>
          <w:tcPr>
            <w:tcW w:w="1086" w:type="dxa"/>
            <w:tcBorders>
              <w:top w:val="nil"/>
              <w:left w:val="dotted" w:sz="4" w:space="0" w:color="auto"/>
              <w:bottom w:val="single" w:sz="4" w:space="0" w:color="auto"/>
              <w:right w:val="single" w:sz="4" w:space="0" w:color="auto"/>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2.7%</w:t>
            </w:r>
          </w:p>
        </w:tc>
        <w:tc>
          <w:tcPr>
            <w:tcW w:w="1040" w:type="dxa"/>
            <w:tcBorders>
              <w:top w:val="nil"/>
              <w:left w:val="nil"/>
              <w:bottom w:val="single" w:sz="4" w:space="0" w:color="auto"/>
              <w:right w:val="nil"/>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1.9%</w:t>
            </w:r>
          </w:p>
        </w:tc>
        <w:tc>
          <w:tcPr>
            <w:tcW w:w="1134" w:type="dxa"/>
            <w:tcBorders>
              <w:top w:val="nil"/>
              <w:left w:val="dotted" w:sz="4" w:space="0" w:color="auto"/>
              <w:bottom w:val="single" w:sz="4" w:space="0" w:color="auto"/>
              <w:right w:val="single" w:sz="4" w:space="0" w:color="auto"/>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1.9%</w:t>
            </w:r>
          </w:p>
        </w:tc>
      </w:tr>
      <w:tr w:rsidR="00904E6E" w:rsidRPr="000562C8" w:rsidTr="00904E6E">
        <w:trPr>
          <w:trHeight w:val="25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04E6E" w:rsidRPr="000562C8" w:rsidRDefault="00904E6E" w:rsidP="00945F2D">
            <w:pPr>
              <w:jc w:val="center"/>
              <w:rPr>
                <w:rFonts w:ascii="Calibri" w:hAnsi="Calibri" w:cs="Calibri"/>
                <w:color w:val="000000"/>
                <w:sz w:val="20"/>
                <w:szCs w:val="20"/>
                <w:lang w:eastAsia="en-AU"/>
              </w:rPr>
            </w:pPr>
            <w:r w:rsidRPr="000562C8">
              <w:rPr>
                <w:rFonts w:ascii="Calibri" w:hAnsi="Calibri" w:cs="Calibri"/>
                <w:color w:val="000000"/>
                <w:sz w:val="20"/>
                <w:szCs w:val="20"/>
                <w:lang w:eastAsia="en-AU"/>
              </w:rPr>
              <w:t>Brand2</w:t>
            </w:r>
          </w:p>
        </w:tc>
        <w:tc>
          <w:tcPr>
            <w:tcW w:w="1022" w:type="dxa"/>
            <w:tcBorders>
              <w:top w:val="nil"/>
              <w:left w:val="nil"/>
              <w:bottom w:val="single" w:sz="4" w:space="0" w:color="auto"/>
              <w:right w:val="nil"/>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2.3%</w:t>
            </w:r>
          </w:p>
        </w:tc>
        <w:tc>
          <w:tcPr>
            <w:tcW w:w="1134" w:type="dxa"/>
            <w:tcBorders>
              <w:top w:val="nil"/>
              <w:left w:val="dotted" w:sz="4" w:space="0" w:color="auto"/>
              <w:bottom w:val="single" w:sz="4" w:space="0" w:color="auto"/>
              <w:right w:val="single" w:sz="4" w:space="0" w:color="auto"/>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3.1%</w:t>
            </w:r>
          </w:p>
        </w:tc>
        <w:tc>
          <w:tcPr>
            <w:tcW w:w="1134" w:type="dxa"/>
            <w:tcBorders>
              <w:top w:val="nil"/>
              <w:left w:val="nil"/>
              <w:bottom w:val="single" w:sz="4" w:space="0" w:color="auto"/>
              <w:right w:val="nil"/>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2.0%</w:t>
            </w:r>
          </w:p>
        </w:tc>
        <w:tc>
          <w:tcPr>
            <w:tcW w:w="1086" w:type="dxa"/>
            <w:tcBorders>
              <w:top w:val="nil"/>
              <w:left w:val="dotted" w:sz="4" w:space="0" w:color="auto"/>
              <w:bottom w:val="single" w:sz="4" w:space="0" w:color="auto"/>
              <w:right w:val="single" w:sz="4" w:space="0" w:color="auto"/>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2.2%</w:t>
            </w:r>
          </w:p>
        </w:tc>
        <w:tc>
          <w:tcPr>
            <w:tcW w:w="1040" w:type="dxa"/>
            <w:tcBorders>
              <w:top w:val="nil"/>
              <w:left w:val="nil"/>
              <w:bottom w:val="single" w:sz="4" w:space="0" w:color="auto"/>
              <w:right w:val="nil"/>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1.2%</w:t>
            </w:r>
          </w:p>
        </w:tc>
        <w:tc>
          <w:tcPr>
            <w:tcW w:w="1134" w:type="dxa"/>
            <w:tcBorders>
              <w:top w:val="nil"/>
              <w:left w:val="dotted" w:sz="4" w:space="0" w:color="auto"/>
              <w:bottom w:val="single" w:sz="4" w:space="0" w:color="auto"/>
              <w:right w:val="single" w:sz="4" w:space="0" w:color="auto"/>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1.2%</w:t>
            </w:r>
          </w:p>
        </w:tc>
      </w:tr>
      <w:tr w:rsidR="00904E6E" w:rsidRPr="000562C8" w:rsidTr="00904E6E">
        <w:trPr>
          <w:trHeight w:val="25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04E6E" w:rsidRPr="000562C8" w:rsidRDefault="00904E6E" w:rsidP="00945F2D">
            <w:pPr>
              <w:jc w:val="center"/>
              <w:rPr>
                <w:rFonts w:ascii="Calibri" w:hAnsi="Calibri" w:cs="Calibri"/>
                <w:color w:val="000000"/>
                <w:sz w:val="20"/>
                <w:szCs w:val="20"/>
                <w:lang w:eastAsia="en-AU"/>
              </w:rPr>
            </w:pPr>
            <w:r w:rsidRPr="000562C8">
              <w:rPr>
                <w:rFonts w:ascii="Calibri" w:hAnsi="Calibri" w:cs="Calibri"/>
                <w:color w:val="000000"/>
                <w:sz w:val="20"/>
                <w:szCs w:val="20"/>
                <w:lang w:eastAsia="en-AU"/>
              </w:rPr>
              <w:t>Brand3</w:t>
            </w:r>
          </w:p>
        </w:tc>
        <w:tc>
          <w:tcPr>
            <w:tcW w:w="1022" w:type="dxa"/>
            <w:tcBorders>
              <w:top w:val="nil"/>
              <w:left w:val="nil"/>
              <w:bottom w:val="single" w:sz="4" w:space="0" w:color="auto"/>
              <w:right w:val="nil"/>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2.6%</w:t>
            </w:r>
          </w:p>
        </w:tc>
        <w:tc>
          <w:tcPr>
            <w:tcW w:w="1134" w:type="dxa"/>
            <w:tcBorders>
              <w:top w:val="nil"/>
              <w:left w:val="dotted" w:sz="4" w:space="0" w:color="auto"/>
              <w:bottom w:val="single" w:sz="4" w:space="0" w:color="auto"/>
              <w:right w:val="single" w:sz="4" w:space="0" w:color="auto"/>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3.1%</w:t>
            </w:r>
          </w:p>
        </w:tc>
        <w:tc>
          <w:tcPr>
            <w:tcW w:w="1134" w:type="dxa"/>
            <w:tcBorders>
              <w:top w:val="nil"/>
              <w:left w:val="nil"/>
              <w:bottom w:val="single" w:sz="4" w:space="0" w:color="auto"/>
              <w:right w:val="nil"/>
            </w:tcBorders>
            <w:shd w:val="clear" w:color="auto" w:fill="auto"/>
            <w:noWrap/>
            <w:vAlign w:val="center"/>
            <w:hideMark/>
          </w:tcPr>
          <w:p w:rsidR="00904E6E" w:rsidRDefault="00904E6E" w:rsidP="00904E6E">
            <w:pPr>
              <w:jc w:val="center"/>
              <w:rPr>
                <w:rFonts w:ascii="Calibri" w:hAnsi="Calibri" w:cs="Calibri"/>
                <w:color w:val="000000"/>
                <w:sz w:val="20"/>
                <w:szCs w:val="20"/>
              </w:rPr>
            </w:pPr>
          </w:p>
        </w:tc>
        <w:tc>
          <w:tcPr>
            <w:tcW w:w="1086" w:type="dxa"/>
            <w:tcBorders>
              <w:top w:val="nil"/>
              <w:left w:val="dotted" w:sz="4" w:space="0" w:color="auto"/>
              <w:bottom w:val="single" w:sz="4" w:space="0" w:color="auto"/>
              <w:right w:val="single" w:sz="4" w:space="0" w:color="auto"/>
            </w:tcBorders>
            <w:shd w:val="clear" w:color="auto" w:fill="auto"/>
            <w:noWrap/>
            <w:vAlign w:val="center"/>
            <w:hideMark/>
          </w:tcPr>
          <w:p w:rsidR="00904E6E" w:rsidRDefault="00904E6E" w:rsidP="00904E6E">
            <w:pPr>
              <w:jc w:val="center"/>
              <w:rPr>
                <w:rFonts w:ascii="Calibri" w:hAnsi="Calibri" w:cs="Calibri"/>
                <w:color w:val="000000"/>
                <w:sz w:val="20"/>
                <w:szCs w:val="20"/>
              </w:rPr>
            </w:pPr>
          </w:p>
        </w:tc>
        <w:tc>
          <w:tcPr>
            <w:tcW w:w="1040" w:type="dxa"/>
            <w:tcBorders>
              <w:top w:val="nil"/>
              <w:left w:val="nil"/>
              <w:bottom w:val="single" w:sz="4" w:space="0" w:color="auto"/>
              <w:right w:val="nil"/>
            </w:tcBorders>
            <w:shd w:val="clear" w:color="auto" w:fill="auto"/>
            <w:noWrap/>
            <w:vAlign w:val="center"/>
            <w:hideMark/>
          </w:tcPr>
          <w:p w:rsidR="00904E6E" w:rsidRDefault="00904E6E" w:rsidP="00904E6E">
            <w:pPr>
              <w:jc w:val="center"/>
              <w:rPr>
                <w:rFonts w:ascii="Calibri" w:hAnsi="Calibri" w:cs="Calibri"/>
                <w:color w:val="000000"/>
                <w:sz w:val="20"/>
                <w:szCs w:val="20"/>
              </w:rPr>
            </w:pPr>
          </w:p>
        </w:tc>
        <w:tc>
          <w:tcPr>
            <w:tcW w:w="1134" w:type="dxa"/>
            <w:tcBorders>
              <w:top w:val="nil"/>
              <w:left w:val="dotted" w:sz="4" w:space="0" w:color="auto"/>
              <w:bottom w:val="single" w:sz="4" w:space="0" w:color="auto"/>
              <w:right w:val="single" w:sz="4" w:space="0" w:color="auto"/>
            </w:tcBorders>
            <w:shd w:val="clear" w:color="auto" w:fill="auto"/>
            <w:noWrap/>
            <w:vAlign w:val="center"/>
            <w:hideMark/>
          </w:tcPr>
          <w:p w:rsidR="00904E6E" w:rsidRDefault="00904E6E" w:rsidP="00904E6E">
            <w:pPr>
              <w:jc w:val="center"/>
              <w:rPr>
                <w:rFonts w:ascii="Calibri" w:hAnsi="Calibri" w:cs="Calibri"/>
                <w:color w:val="000000"/>
                <w:sz w:val="20"/>
                <w:szCs w:val="20"/>
              </w:rPr>
            </w:pPr>
          </w:p>
        </w:tc>
      </w:tr>
      <w:tr w:rsidR="00904E6E" w:rsidRPr="000562C8" w:rsidTr="00904E6E">
        <w:trPr>
          <w:trHeight w:val="25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04E6E" w:rsidRPr="000562C8" w:rsidRDefault="00904E6E" w:rsidP="00945F2D">
            <w:pPr>
              <w:jc w:val="center"/>
              <w:rPr>
                <w:rFonts w:ascii="Calibri" w:hAnsi="Calibri" w:cs="Calibri"/>
                <w:color w:val="000000"/>
                <w:sz w:val="20"/>
                <w:szCs w:val="20"/>
                <w:lang w:eastAsia="en-AU"/>
              </w:rPr>
            </w:pPr>
            <w:r w:rsidRPr="000562C8">
              <w:rPr>
                <w:rFonts w:ascii="Calibri" w:hAnsi="Calibri" w:cs="Calibri"/>
                <w:color w:val="000000"/>
                <w:sz w:val="20"/>
                <w:szCs w:val="20"/>
                <w:lang w:eastAsia="en-AU"/>
              </w:rPr>
              <w:t>Brand4</w:t>
            </w:r>
          </w:p>
        </w:tc>
        <w:tc>
          <w:tcPr>
            <w:tcW w:w="1022" w:type="dxa"/>
            <w:tcBorders>
              <w:top w:val="nil"/>
              <w:left w:val="nil"/>
              <w:bottom w:val="single" w:sz="4" w:space="0" w:color="auto"/>
              <w:right w:val="nil"/>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4.1%</w:t>
            </w:r>
          </w:p>
        </w:tc>
        <w:tc>
          <w:tcPr>
            <w:tcW w:w="1134" w:type="dxa"/>
            <w:tcBorders>
              <w:top w:val="nil"/>
              <w:left w:val="dotted" w:sz="4" w:space="0" w:color="auto"/>
              <w:bottom w:val="single" w:sz="4" w:space="0" w:color="auto"/>
              <w:right w:val="single" w:sz="4" w:space="0" w:color="auto"/>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2.9%</w:t>
            </w:r>
          </w:p>
        </w:tc>
        <w:tc>
          <w:tcPr>
            <w:tcW w:w="1134" w:type="dxa"/>
            <w:tcBorders>
              <w:top w:val="nil"/>
              <w:left w:val="nil"/>
              <w:bottom w:val="single" w:sz="4" w:space="0" w:color="auto"/>
              <w:right w:val="nil"/>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4.4%</w:t>
            </w:r>
          </w:p>
        </w:tc>
        <w:tc>
          <w:tcPr>
            <w:tcW w:w="1086" w:type="dxa"/>
            <w:tcBorders>
              <w:top w:val="nil"/>
              <w:left w:val="dotted" w:sz="4" w:space="0" w:color="auto"/>
              <w:bottom w:val="single" w:sz="4" w:space="0" w:color="auto"/>
              <w:right w:val="single" w:sz="4" w:space="0" w:color="auto"/>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3.1%</w:t>
            </w:r>
          </w:p>
        </w:tc>
        <w:tc>
          <w:tcPr>
            <w:tcW w:w="1040" w:type="dxa"/>
            <w:tcBorders>
              <w:top w:val="nil"/>
              <w:left w:val="nil"/>
              <w:bottom w:val="single" w:sz="4" w:space="0" w:color="auto"/>
              <w:right w:val="nil"/>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2.6%</w:t>
            </w:r>
          </w:p>
        </w:tc>
        <w:tc>
          <w:tcPr>
            <w:tcW w:w="1134" w:type="dxa"/>
            <w:tcBorders>
              <w:top w:val="nil"/>
              <w:left w:val="dotted" w:sz="4" w:space="0" w:color="auto"/>
              <w:bottom w:val="single" w:sz="4" w:space="0" w:color="auto"/>
              <w:right w:val="single" w:sz="4" w:space="0" w:color="auto"/>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1.9%</w:t>
            </w:r>
          </w:p>
        </w:tc>
      </w:tr>
      <w:tr w:rsidR="00904E6E" w:rsidRPr="000562C8" w:rsidTr="00904E6E">
        <w:trPr>
          <w:trHeight w:val="25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04E6E" w:rsidRPr="000562C8" w:rsidRDefault="00904E6E" w:rsidP="00945F2D">
            <w:pPr>
              <w:jc w:val="center"/>
              <w:rPr>
                <w:rFonts w:ascii="Calibri" w:hAnsi="Calibri" w:cs="Calibri"/>
                <w:color w:val="000000"/>
                <w:sz w:val="20"/>
                <w:szCs w:val="20"/>
                <w:lang w:eastAsia="en-AU"/>
              </w:rPr>
            </w:pPr>
            <w:r w:rsidRPr="000562C8">
              <w:rPr>
                <w:rFonts w:ascii="Calibri" w:hAnsi="Calibri" w:cs="Calibri"/>
                <w:color w:val="000000"/>
                <w:sz w:val="20"/>
                <w:szCs w:val="20"/>
                <w:lang w:eastAsia="en-AU"/>
              </w:rPr>
              <w:t>Brand5</w:t>
            </w:r>
          </w:p>
        </w:tc>
        <w:tc>
          <w:tcPr>
            <w:tcW w:w="1022" w:type="dxa"/>
            <w:tcBorders>
              <w:top w:val="nil"/>
              <w:left w:val="nil"/>
              <w:bottom w:val="single" w:sz="4" w:space="0" w:color="auto"/>
              <w:right w:val="nil"/>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6.8%</w:t>
            </w:r>
          </w:p>
        </w:tc>
        <w:tc>
          <w:tcPr>
            <w:tcW w:w="1134" w:type="dxa"/>
            <w:tcBorders>
              <w:top w:val="nil"/>
              <w:left w:val="dotted" w:sz="4" w:space="0" w:color="auto"/>
              <w:bottom w:val="single" w:sz="4" w:space="0" w:color="auto"/>
              <w:right w:val="single" w:sz="4" w:space="0" w:color="auto"/>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4.3%</w:t>
            </w:r>
          </w:p>
        </w:tc>
        <w:tc>
          <w:tcPr>
            <w:tcW w:w="1134" w:type="dxa"/>
            <w:tcBorders>
              <w:top w:val="nil"/>
              <w:left w:val="nil"/>
              <w:bottom w:val="single" w:sz="4" w:space="0" w:color="auto"/>
              <w:right w:val="nil"/>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3.8%</w:t>
            </w:r>
          </w:p>
        </w:tc>
        <w:tc>
          <w:tcPr>
            <w:tcW w:w="1086" w:type="dxa"/>
            <w:tcBorders>
              <w:top w:val="nil"/>
              <w:left w:val="dotted" w:sz="4" w:space="0" w:color="auto"/>
              <w:bottom w:val="single" w:sz="4" w:space="0" w:color="auto"/>
              <w:right w:val="single" w:sz="4" w:space="0" w:color="auto"/>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1.4%</w:t>
            </w:r>
          </w:p>
        </w:tc>
        <w:tc>
          <w:tcPr>
            <w:tcW w:w="1040" w:type="dxa"/>
            <w:tcBorders>
              <w:top w:val="nil"/>
              <w:left w:val="nil"/>
              <w:bottom w:val="single" w:sz="4" w:space="0" w:color="auto"/>
              <w:right w:val="nil"/>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1.4%</w:t>
            </w:r>
          </w:p>
        </w:tc>
        <w:tc>
          <w:tcPr>
            <w:tcW w:w="1134" w:type="dxa"/>
            <w:tcBorders>
              <w:top w:val="nil"/>
              <w:left w:val="dotted" w:sz="4" w:space="0" w:color="auto"/>
              <w:bottom w:val="single" w:sz="4" w:space="0" w:color="auto"/>
              <w:right w:val="single" w:sz="4" w:space="0" w:color="auto"/>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0.9%</w:t>
            </w:r>
          </w:p>
        </w:tc>
      </w:tr>
      <w:tr w:rsidR="00904E6E" w:rsidRPr="000562C8" w:rsidTr="00904E6E">
        <w:trPr>
          <w:trHeight w:val="25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04E6E" w:rsidRPr="000562C8" w:rsidRDefault="00904E6E" w:rsidP="00945F2D">
            <w:pPr>
              <w:jc w:val="center"/>
              <w:rPr>
                <w:rFonts w:ascii="Calibri" w:hAnsi="Calibri" w:cs="Calibri"/>
                <w:color w:val="000000"/>
                <w:sz w:val="20"/>
                <w:szCs w:val="20"/>
                <w:lang w:eastAsia="en-AU"/>
              </w:rPr>
            </w:pPr>
            <w:r w:rsidRPr="000562C8">
              <w:rPr>
                <w:rFonts w:ascii="Calibri" w:hAnsi="Calibri" w:cs="Calibri"/>
                <w:color w:val="000000"/>
                <w:sz w:val="20"/>
                <w:szCs w:val="20"/>
                <w:lang w:eastAsia="en-AU"/>
              </w:rPr>
              <w:t>Brand6</w:t>
            </w:r>
          </w:p>
        </w:tc>
        <w:tc>
          <w:tcPr>
            <w:tcW w:w="1022" w:type="dxa"/>
            <w:tcBorders>
              <w:top w:val="nil"/>
              <w:left w:val="nil"/>
              <w:bottom w:val="single" w:sz="4" w:space="0" w:color="auto"/>
              <w:right w:val="nil"/>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1.8%</w:t>
            </w:r>
          </w:p>
        </w:tc>
        <w:tc>
          <w:tcPr>
            <w:tcW w:w="1134" w:type="dxa"/>
            <w:tcBorders>
              <w:top w:val="nil"/>
              <w:left w:val="dotted" w:sz="4" w:space="0" w:color="auto"/>
              <w:bottom w:val="single" w:sz="4" w:space="0" w:color="auto"/>
              <w:right w:val="single" w:sz="4" w:space="0" w:color="auto"/>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2.0%</w:t>
            </w:r>
          </w:p>
        </w:tc>
        <w:tc>
          <w:tcPr>
            <w:tcW w:w="1134" w:type="dxa"/>
            <w:tcBorders>
              <w:top w:val="nil"/>
              <w:left w:val="nil"/>
              <w:bottom w:val="single" w:sz="4" w:space="0" w:color="auto"/>
              <w:right w:val="nil"/>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2.1%</w:t>
            </w:r>
          </w:p>
        </w:tc>
        <w:tc>
          <w:tcPr>
            <w:tcW w:w="1086" w:type="dxa"/>
            <w:tcBorders>
              <w:top w:val="nil"/>
              <w:left w:val="dotted" w:sz="4" w:space="0" w:color="auto"/>
              <w:bottom w:val="single" w:sz="4" w:space="0" w:color="auto"/>
              <w:right w:val="single" w:sz="4" w:space="0" w:color="auto"/>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2.2%</w:t>
            </w:r>
          </w:p>
        </w:tc>
        <w:tc>
          <w:tcPr>
            <w:tcW w:w="1040" w:type="dxa"/>
            <w:tcBorders>
              <w:top w:val="nil"/>
              <w:left w:val="nil"/>
              <w:bottom w:val="single" w:sz="4" w:space="0" w:color="auto"/>
              <w:right w:val="nil"/>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1.5%</w:t>
            </w:r>
          </w:p>
        </w:tc>
        <w:tc>
          <w:tcPr>
            <w:tcW w:w="1134" w:type="dxa"/>
            <w:tcBorders>
              <w:top w:val="nil"/>
              <w:left w:val="dotted" w:sz="4" w:space="0" w:color="auto"/>
              <w:bottom w:val="single" w:sz="4" w:space="0" w:color="auto"/>
              <w:right w:val="single" w:sz="4" w:space="0" w:color="auto"/>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1.7%</w:t>
            </w:r>
          </w:p>
        </w:tc>
      </w:tr>
      <w:tr w:rsidR="00904E6E" w:rsidRPr="000562C8" w:rsidTr="00904E6E">
        <w:trPr>
          <w:trHeight w:val="25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04E6E" w:rsidRPr="000562C8" w:rsidRDefault="00904E6E" w:rsidP="00945F2D">
            <w:pPr>
              <w:jc w:val="center"/>
              <w:rPr>
                <w:rFonts w:ascii="Calibri" w:hAnsi="Calibri" w:cs="Calibri"/>
                <w:color w:val="000000"/>
                <w:sz w:val="20"/>
                <w:szCs w:val="20"/>
                <w:lang w:eastAsia="en-AU"/>
              </w:rPr>
            </w:pPr>
            <w:r w:rsidRPr="000562C8">
              <w:rPr>
                <w:rFonts w:ascii="Calibri" w:hAnsi="Calibri" w:cs="Calibri"/>
                <w:color w:val="000000"/>
                <w:sz w:val="20"/>
                <w:szCs w:val="20"/>
                <w:lang w:eastAsia="en-AU"/>
              </w:rPr>
              <w:t>Brand7</w:t>
            </w:r>
          </w:p>
        </w:tc>
        <w:tc>
          <w:tcPr>
            <w:tcW w:w="1022" w:type="dxa"/>
            <w:tcBorders>
              <w:top w:val="nil"/>
              <w:left w:val="nil"/>
              <w:bottom w:val="single" w:sz="4" w:space="0" w:color="auto"/>
              <w:right w:val="nil"/>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1.4%</w:t>
            </w:r>
          </w:p>
        </w:tc>
        <w:tc>
          <w:tcPr>
            <w:tcW w:w="1134" w:type="dxa"/>
            <w:tcBorders>
              <w:top w:val="nil"/>
              <w:left w:val="dotted" w:sz="4" w:space="0" w:color="auto"/>
              <w:bottom w:val="single" w:sz="4" w:space="0" w:color="auto"/>
              <w:right w:val="single" w:sz="4" w:space="0" w:color="auto"/>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0.1%</w:t>
            </w:r>
          </w:p>
        </w:tc>
        <w:tc>
          <w:tcPr>
            <w:tcW w:w="1134" w:type="dxa"/>
            <w:tcBorders>
              <w:top w:val="nil"/>
              <w:left w:val="nil"/>
              <w:bottom w:val="single" w:sz="4" w:space="0" w:color="auto"/>
              <w:right w:val="nil"/>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2.1%</w:t>
            </w:r>
          </w:p>
        </w:tc>
        <w:tc>
          <w:tcPr>
            <w:tcW w:w="1086" w:type="dxa"/>
            <w:tcBorders>
              <w:top w:val="nil"/>
              <w:left w:val="dotted" w:sz="4" w:space="0" w:color="auto"/>
              <w:bottom w:val="single" w:sz="4" w:space="0" w:color="auto"/>
              <w:right w:val="single" w:sz="4" w:space="0" w:color="auto"/>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0.2%</w:t>
            </w:r>
          </w:p>
        </w:tc>
        <w:tc>
          <w:tcPr>
            <w:tcW w:w="1040" w:type="dxa"/>
            <w:tcBorders>
              <w:top w:val="nil"/>
              <w:left w:val="nil"/>
              <w:bottom w:val="single" w:sz="4" w:space="0" w:color="auto"/>
              <w:right w:val="nil"/>
            </w:tcBorders>
            <w:shd w:val="clear" w:color="auto" w:fill="auto"/>
            <w:noWrap/>
            <w:vAlign w:val="center"/>
            <w:hideMark/>
          </w:tcPr>
          <w:p w:rsidR="00904E6E" w:rsidRDefault="00904E6E" w:rsidP="00904E6E">
            <w:pPr>
              <w:jc w:val="center"/>
              <w:rPr>
                <w:rFonts w:ascii="Calibri" w:hAnsi="Calibri" w:cs="Calibri"/>
                <w:color w:val="000000"/>
                <w:sz w:val="20"/>
                <w:szCs w:val="20"/>
              </w:rPr>
            </w:pPr>
          </w:p>
        </w:tc>
        <w:tc>
          <w:tcPr>
            <w:tcW w:w="1134" w:type="dxa"/>
            <w:tcBorders>
              <w:top w:val="nil"/>
              <w:left w:val="dotted" w:sz="4" w:space="0" w:color="auto"/>
              <w:bottom w:val="single" w:sz="4" w:space="0" w:color="auto"/>
              <w:right w:val="single" w:sz="4" w:space="0" w:color="auto"/>
            </w:tcBorders>
            <w:shd w:val="clear" w:color="auto" w:fill="auto"/>
            <w:noWrap/>
            <w:vAlign w:val="center"/>
            <w:hideMark/>
          </w:tcPr>
          <w:p w:rsidR="00904E6E" w:rsidRDefault="00904E6E" w:rsidP="00904E6E">
            <w:pPr>
              <w:jc w:val="center"/>
              <w:rPr>
                <w:rFonts w:ascii="Calibri" w:hAnsi="Calibri" w:cs="Calibri"/>
                <w:color w:val="000000"/>
                <w:sz w:val="20"/>
                <w:szCs w:val="20"/>
              </w:rPr>
            </w:pPr>
          </w:p>
        </w:tc>
      </w:tr>
      <w:tr w:rsidR="00904E6E" w:rsidRPr="000562C8" w:rsidTr="00904E6E">
        <w:trPr>
          <w:trHeight w:val="25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04E6E" w:rsidRPr="000562C8" w:rsidRDefault="00904E6E" w:rsidP="00945F2D">
            <w:pPr>
              <w:jc w:val="center"/>
              <w:rPr>
                <w:rFonts w:ascii="Calibri" w:hAnsi="Calibri" w:cs="Calibri"/>
                <w:color w:val="000000"/>
                <w:sz w:val="20"/>
                <w:szCs w:val="20"/>
                <w:lang w:eastAsia="en-AU"/>
              </w:rPr>
            </w:pPr>
            <w:r w:rsidRPr="000562C8">
              <w:rPr>
                <w:rFonts w:ascii="Calibri" w:hAnsi="Calibri" w:cs="Calibri"/>
                <w:color w:val="000000"/>
                <w:sz w:val="20"/>
                <w:szCs w:val="20"/>
                <w:lang w:eastAsia="en-AU"/>
              </w:rPr>
              <w:t>Brand8</w:t>
            </w:r>
          </w:p>
        </w:tc>
        <w:tc>
          <w:tcPr>
            <w:tcW w:w="1022" w:type="dxa"/>
            <w:tcBorders>
              <w:top w:val="nil"/>
              <w:left w:val="nil"/>
              <w:bottom w:val="single" w:sz="4" w:space="0" w:color="auto"/>
              <w:right w:val="nil"/>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0.005%</w:t>
            </w:r>
          </w:p>
        </w:tc>
        <w:tc>
          <w:tcPr>
            <w:tcW w:w="1134" w:type="dxa"/>
            <w:tcBorders>
              <w:top w:val="nil"/>
              <w:left w:val="dotted" w:sz="4" w:space="0" w:color="auto"/>
              <w:bottom w:val="single" w:sz="4" w:space="0" w:color="auto"/>
              <w:right w:val="single" w:sz="4" w:space="0" w:color="auto"/>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0.004%</w:t>
            </w:r>
          </w:p>
        </w:tc>
        <w:tc>
          <w:tcPr>
            <w:tcW w:w="1134" w:type="dxa"/>
            <w:tcBorders>
              <w:top w:val="nil"/>
              <w:left w:val="nil"/>
              <w:bottom w:val="single" w:sz="4" w:space="0" w:color="auto"/>
              <w:right w:val="nil"/>
            </w:tcBorders>
            <w:shd w:val="clear" w:color="auto" w:fill="auto"/>
            <w:noWrap/>
            <w:vAlign w:val="center"/>
            <w:hideMark/>
          </w:tcPr>
          <w:p w:rsidR="00904E6E" w:rsidRDefault="00904E6E" w:rsidP="00904E6E">
            <w:pPr>
              <w:jc w:val="center"/>
              <w:rPr>
                <w:rFonts w:ascii="Calibri" w:hAnsi="Calibri" w:cs="Calibri"/>
                <w:color w:val="000000"/>
                <w:sz w:val="20"/>
                <w:szCs w:val="20"/>
              </w:rPr>
            </w:pPr>
          </w:p>
        </w:tc>
        <w:tc>
          <w:tcPr>
            <w:tcW w:w="1086" w:type="dxa"/>
            <w:tcBorders>
              <w:top w:val="nil"/>
              <w:left w:val="dotted" w:sz="4" w:space="0" w:color="auto"/>
              <w:bottom w:val="single" w:sz="4" w:space="0" w:color="auto"/>
              <w:right w:val="single" w:sz="4" w:space="0" w:color="auto"/>
            </w:tcBorders>
            <w:shd w:val="clear" w:color="auto" w:fill="auto"/>
            <w:noWrap/>
            <w:vAlign w:val="center"/>
            <w:hideMark/>
          </w:tcPr>
          <w:p w:rsidR="00904E6E" w:rsidRDefault="00904E6E" w:rsidP="00904E6E">
            <w:pPr>
              <w:jc w:val="center"/>
              <w:rPr>
                <w:rFonts w:ascii="Calibri" w:hAnsi="Calibri" w:cs="Calibri"/>
                <w:color w:val="000000"/>
                <w:sz w:val="20"/>
                <w:szCs w:val="20"/>
              </w:rPr>
            </w:pPr>
          </w:p>
        </w:tc>
        <w:tc>
          <w:tcPr>
            <w:tcW w:w="1040" w:type="dxa"/>
            <w:tcBorders>
              <w:top w:val="nil"/>
              <w:left w:val="nil"/>
              <w:bottom w:val="single" w:sz="4" w:space="0" w:color="auto"/>
              <w:right w:val="nil"/>
            </w:tcBorders>
            <w:shd w:val="clear" w:color="auto" w:fill="auto"/>
            <w:noWrap/>
            <w:vAlign w:val="center"/>
            <w:hideMark/>
          </w:tcPr>
          <w:p w:rsidR="00904E6E" w:rsidRDefault="00904E6E" w:rsidP="00904E6E">
            <w:pPr>
              <w:jc w:val="center"/>
              <w:rPr>
                <w:rFonts w:ascii="Calibri" w:hAnsi="Calibri" w:cs="Calibri"/>
                <w:color w:val="000000"/>
                <w:sz w:val="20"/>
                <w:szCs w:val="20"/>
              </w:rPr>
            </w:pPr>
          </w:p>
        </w:tc>
        <w:tc>
          <w:tcPr>
            <w:tcW w:w="1134" w:type="dxa"/>
            <w:tcBorders>
              <w:top w:val="nil"/>
              <w:left w:val="dotted" w:sz="4" w:space="0" w:color="auto"/>
              <w:bottom w:val="single" w:sz="4" w:space="0" w:color="auto"/>
              <w:right w:val="single" w:sz="4" w:space="0" w:color="auto"/>
            </w:tcBorders>
            <w:shd w:val="clear" w:color="auto" w:fill="auto"/>
            <w:noWrap/>
            <w:vAlign w:val="center"/>
            <w:hideMark/>
          </w:tcPr>
          <w:p w:rsidR="00904E6E" w:rsidRDefault="00904E6E" w:rsidP="00904E6E">
            <w:pPr>
              <w:jc w:val="center"/>
              <w:rPr>
                <w:rFonts w:ascii="Calibri" w:hAnsi="Calibri" w:cs="Calibri"/>
                <w:color w:val="000000"/>
                <w:sz w:val="20"/>
                <w:szCs w:val="20"/>
              </w:rPr>
            </w:pPr>
          </w:p>
        </w:tc>
      </w:tr>
      <w:tr w:rsidR="00904E6E" w:rsidRPr="000562C8" w:rsidTr="00904E6E">
        <w:trPr>
          <w:trHeight w:val="25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04E6E" w:rsidRPr="000562C8" w:rsidRDefault="00904E6E" w:rsidP="00945F2D">
            <w:pPr>
              <w:jc w:val="center"/>
              <w:rPr>
                <w:rFonts w:ascii="Calibri" w:hAnsi="Calibri" w:cs="Calibri"/>
                <w:color w:val="000000"/>
                <w:sz w:val="20"/>
                <w:szCs w:val="20"/>
                <w:lang w:eastAsia="en-AU"/>
              </w:rPr>
            </w:pPr>
            <w:r w:rsidRPr="000562C8">
              <w:rPr>
                <w:rFonts w:ascii="Calibri" w:hAnsi="Calibri" w:cs="Calibri"/>
                <w:color w:val="000000"/>
                <w:sz w:val="20"/>
                <w:szCs w:val="20"/>
                <w:lang w:eastAsia="en-AU"/>
              </w:rPr>
              <w:t>Brand9</w:t>
            </w:r>
          </w:p>
        </w:tc>
        <w:tc>
          <w:tcPr>
            <w:tcW w:w="1022" w:type="dxa"/>
            <w:tcBorders>
              <w:top w:val="nil"/>
              <w:left w:val="nil"/>
              <w:bottom w:val="single" w:sz="4" w:space="0" w:color="auto"/>
              <w:right w:val="nil"/>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4.5%</w:t>
            </w:r>
          </w:p>
        </w:tc>
        <w:tc>
          <w:tcPr>
            <w:tcW w:w="1134" w:type="dxa"/>
            <w:tcBorders>
              <w:top w:val="nil"/>
              <w:left w:val="dotted" w:sz="4" w:space="0" w:color="auto"/>
              <w:bottom w:val="single" w:sz="4" w:space="0" w:color="auto"/>
              <w:right w:val="single" w:sz="4" w:space="0" w:color="auto"/>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3.5%</w:t>
            </w:r>
          </w:p>
        </w:tc>
        <w:tc>
          <w:tcPr>
            <w:tcW w:w="1134" w:type="dxa"/>
            <w:tcBorders>
              <w:top w:val="nil"/>
              <w:left w:val="nil"/>
              <w:bottom w:val="single" w:sz="4" w:space="0" w:color="auto"/>
              <w:right w:val="nil"/>
            </w:tcBorders>
            <w:shd w:val="clear" w:color="auto" w:fill="auto"/>
            <w:noWrap/>
            <w:vAlign w:val="center"/>
            <w:hideMark/>
          </w:tcPr>
          <w:p w:rsidR="00904E6E" w:rsidRDefault="00904E6E" w:rsidP="00904E6E">
            <w:pPr>
              <w:jc w:val="center"/>
              <w:rPr>
                <w:rFonts w:ascii="Calibri" w:hAnsi="Calibri" w:cs="Calibri"/>
                <w:color w:val="000000"/>
                <w:sz w:val="20"/>
                <w:szCs w:val="20"/>
              </w:rPr>
            </w:pPr>
          </w:p>
        </w:tc>
        <w:tc>
          <w:tcPr>
            <w:tcW w:w="1086" w:type="dxa"/>
            <w:tcBorders>
              <w:top w:val="nil"/>
              <w:left w:val="dotted" w:sz="4" w:space="0" w:color="auto"/>
              <w:bottom w:val="single" w:sz="4" w:space="0" w:color="auto"/>
              <w:right w:val="single" w:sz="4" w:space="0" w:color="auto"/>
            </w:tcBorders>
            <w:shd w:val="clear" w:color="auto" w:fill="auto"/>
            <w:noWrap/>
            <w:vAlign w:val="center"/>
            <w:hideMark/>
          </w:tcPr>
          <w:p w:rsidR="00904E6E" w:rsidRDefault="00904E6E" w:rsidP="00904E6E">
            <w:pPr>
              <w:jc w:val="center"/>
              <w:rPr>
                <w:rFonts w:ascii="Calibri" w:hAnsi="Calibri" w:cs="Calibri"/>
                <w:color w:val="000000"/>
                <w:sz w:val="20"/>
                <w:szCs w:val="20"/>
              </w:rPr>
            </w:pPr>
          </w:p>
        </w:tc>
        <w:tc>
          <w:tcPr>
            <w:tcW w:w="1040" w:type="dxa"/>
            <w:tcBorders>
              <w:top w:val="nil"/>
              <w:left w:val="nil"/>
              <w:bottom w:val="single" w:sz="4" w:space="0" w:color="auto"/>
              <w:right w:val="nil"/>
            </w:tcBorders>
            <w:shd w:val="clear" w:color="auto" w:fill="auto"/>
            <w:noWrap/>
            <w:vAlign w:val="center"/>
            <w:hideMark/>
          </w:tcPr>
          <w:p w:rsidR="00904E6E" w:rsidRDefault="00904E6E" w:rsidP="00904E6E">
            <w:pPr>
              <w:jc w:val="center"/>
              <w:rPr>
                <w:rFonts w:ascii="Calibri" w:hAnsi="Calibri" w:cs="Calibri"/>
                <w:color w:val="000000"/>
                <w:sz w:val="20"/>
                <w:szCs w:val="20"/>
              </w:rPr>
            </w:pPr>
          </w:p>
        </w:tc>
        <w:tc>
          <w:tcPr>
            <w:tcW w:w="1134" w:type="dxa"/>
            <w:tcBorders>
              <w:top w:val="nil"/>
              <w:left w:val="dotted" w:sz="4" w:space="0" w:color="auto"/>
              <w:bottom w:val="single" w:sz="4" w:space="0" w:color="auto"/>
              <w:right w:val="single" w:sz="4" w:space="0" w:color="auto"/>
            </w:tcBorders>
            <w:shd w:val="clear" w:color="auto" w:fill="auto"/>
            <w:noWrap/>
            <w:vAlign w:val="center"/>
            <w:hideMark/>
          </w:tcPr>
          <w:p w:rsidR="00904E6E" w:rsidRDefault="00904E6E" w:rsidP="00904E6E">
            <w:pPr>
              <w:jc w:val="center"/>
              <w:rPr>
                <w:rFonts w:ascii="Calibri" w:hAnsi="Calibri" w:cs="Calibri"/>
                <w:color w:val="000000"/>
                <w:sz w:val="20"/>
                <w:szCs w:val="20"/>
              </w:rPr>
            </w:pPr>
          </w:p>
        </w:tc>
      </w:tr>
      <w:tr w:rsidR="00904E6E" w:rsidRPr="000562C8" w:rsidTr="00904E6E">
        <w:trPr>
          <w:trHeight w:val="25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04E6E" w:rsidRPr="000562C8" w:rsidRDefault="00904E6E" w:rsidP="00945F2D">
            <w:pPr>
              <w:jc w:val="center"/>
              <w:rPr>
                <w:rFonts w:ascii="Calibri" w:hAnsi="Calibri" w:cs="Calibri"/>
                <w:color w:val="000000"/>
                <w:sz w:val="20"/>
                <w:szCs w:val="20"/>
                <w:lang w:eastAsia="en-AU"/>
              </w:rPr>
            </w:pPr>
            <w:r w:rsidRPr="000562C8">
              <w:rPr>
                <w:rFonts w:ascii="Calibri" w:hAnsi="Calibri" w:cs="Calibri"/>
                <w:color w:val="000000"/>
                <w:sz w:val="20"/>
                <w:szCs w:val="20"/>
                <w:lang w:eastAsia="en-AU"/>
              </w:rPr>
              <w:t>Brand10</w:t>
            </w:r>
          </w:p>
        </w:tc>
        <w:tc>
          <w:tcPr>
            <w:tcW w:w="1022" w:type="dxa"/>
            <w:tcBorders>
              <w:top w:val="nil"/>
              <w:left w:val="nil"/>
              <w:bottom w:val="single" w:sz="4" w:space="0" w:color="auto"/>
              <w:right w:val="nil"/>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1.1%</w:t>
            </w:r>
          </w:p>
        </w:tc>
        <w:tc>
          <w:tcPr>
            <w:tcW w:w="1134" w:type="dxa"/>
            <w:tcBorders>
              <w:top w:val="nil"/>
              <w:left w:val="dotted" w:sz="4" w:space="0" w:color="auto"/>
              <w:bottom w:val="single" w:sz="4" w:space="0" w:color="auto"/>
              <w:right w:val="single" w:sz="4" w:space="0" w:color="auto"/>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1.3%</w:t>
            </w:r>
          </w:p>
        </w:tc>
        <w:tc>
          <w:tcPr>
            <w:tcW w:w="1134" w:type="dxa"/>
            <w:tcBorders>
              <w:top w:val="nil"/>
              <w:left w:val="nil"/>
              <w:bottom w:val="single" w:sz="4" w:space="0" w:color="auto"/>
              <w:right w:val="nil"/>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2.4%</w:t>
            </w:r>
          </w:p>
        </w:tc>
        <w:tc>
          <w:tcPr>
            <w:tcW w:w="1086" w:type="dxa"/>
            <w:tcBorders>
              <w:top w:val="nil"/>
              <w:left w:val="dotted" w:sz="4" w:space="0" w:color="auto"/>
              <w:bottom w:val="single" w:sz="4" w:space="0" w:color="auto"/>
              <w:right w:val="single" w:sz="4" w:space="0" w:color="auto"/>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2.5%</w:t>
            </w:r>
          </w:p>
        </w:tc>
        <w:tc>
          <w:tcPr>
            <w:tcW w:w="1040" w:type="dxa"/>
            <w:tcBorders>
              <w:top w:val="nil"/>
              <w:left w:val="nil"/>
              <w:bottom w:val="single" w:sz="4" w:space="0" w:color="auto"/>
              <w:right w:val="nil"/>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1.7%</w:t>
            </w:r>
          </w:p>
        </w:tc>
        <w:tc>
          <w:tcPr>
            <w:tcW w:w="1134" w:type="dxa"/>
            <w:tcBorders>
              <w:top w:val="nil"/>
              <w:left w:val="dotted" w:sz="4" w:space="0" w:color="auto"/>
              <w:bottom w:val="single" w:sz="4" w:space="0" w:color="auto"/>
              <w:right w:val="single" w:sz="4" w:space="0" w:color="auto"/>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1.5%</w:t>
            </w:r>
          </w:p>
        </w:tc>
      </w:tr>
      <w:tr w:rsidR="00904E6E" w:rsidRPr="000562C8" w:rsidTr="00904E6E">
        <w:trPr>
          <w:trHeight w:val="25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04E6E" w:rsidRPr="000562C8" w:rsidRDefault="00904E6E" w:rsidP="00945F2D">
            <w:pPr>
              <w:jc w:val="center"/>
              <w:rPr>
                <w:rFonts w:ascii="Calibri" w:hAnsi="Calibri" w:cs="Calibri"/>
                <w:color w:val="000000"/>
                <w:sz w:val="20"/>
                <w:szCs w:val="20"/>
                <w:lang w:eastAsia="en-AU"/>
              </w:rPr>
            </w:pPr>
            <w:r w:rsidRPr="000562C8">
              <w:rPr>
                <w:rFonts w:ascii="Calibri" w:hAnsi="Calibri" w:cs="Calibri"/>
                <w:color w:val="000000"/>
                <w:sz w:val="20"/>
                <w:szCs w:val="20"/>
                <w:lang w:eastAsia="en-AU"/>
              </w:rPr>
              <w:t>Brand11</w:t>
            </w:r>
          </w:p>
        </w:tc>
        <w:tc>
          <w:tcPr>
            <w:tcW w:w="1022" w:type="dxa"/>
            <w:tcBorders>
              <w:top w:val="nil"/>
              <w:left w:val="nil"/>
              <w:bottom w:val="single" w:sz="4" w:space="0" w:color="auto"/>
              <w:right w:val="nil"/>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6.4%</w:t>
            </w:r>
          </w:p>
        </w:tc>
        <w:tc>
          <w:tcPr>
            <w:tcW w:w="1134" w:type="dxa"/>
            <w:tcBorders>
              <w:top w:val="nil"/>
              <w:left w:val="dotted" w:sz="4" w:space="0" w:color="auto"/>
              <w:bottom w:val="single" w:sz="4" w:space="0" w:color="auto"/>
              <w:right w:val="single" w:sz="4" w:space="0" w:color="auto"/>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6.8%</w:t>
            </w:r>
          </w:p>
        </w:tc>
        <w:tc>
          <w:tcPr>
            <w:tcW w:w="1134" w:type="dxa"/>
            <w:tcBorders>
              <w:top w:val="nil"/>
              <w:left w:val="nil"/>
              <w:bottom w:val="single" w:sz="4" w:space="0" w:color="auto"/>
              <w:right w:val="nil"/>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8.8%</w:t>
            </w:r>
          </w:p>
        </w:tc>
        <w:tc>
          <w:tcPr>
            <w:tcW w:w="1086" w:type="dxa"/>
            <w:tcBorders>
              <w:top w:val="nil"/>
              <w:left w:val="dotted" w:sz="4" w:space="0" w:color="auto"/>
              <w:bottom w:val="single" w:sz="4" w:space="0" w:color="auto"/>
              <w:right w:val="single" w:sz="4" w:space="0" w:color="auto"/>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8.7%</w:t>
            </w:r>
          </w:p>
        </w:tc>
        <w:tc>
          <w:tcPr>
            <w:tcW w:w="1040" w:type="dxa"/>
            <w:tcBorders>
              <w:top w:val="nil"/>
              <w:left w:val="nil"/>
              <w:bottom w:val="single" w:sz="4" w:space="0" w:color="auto"/>
              <w:right w:val="nil"/>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6.5%</w:t>
            </w:r>
          </w:p>
        </w:tc>
        <w:tc>
          <w:tcPr>
            <w:tcW w:w="1134" w:type="dxa"/>
            <w:tcBorders>
              <w:top w:val="nil"/>
              <w:left w:val="dotted" w:sz="4" w:space="0" w:color="auto"/>
              <w:bottom w:val="single" w:sz="4" w:space="0" w:color="auto"/>
              <w:right w:val="single" w:sz="4" w:space="0" w:color="auto"/>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5.5%</w:t>
            </w:r>
          </w:p>
        </w:tc>
      </w:tr>
      <w:tr w:rsidR="00904E6E" w:rsidRPr="000562C8" w:rsidTr="00904E6E">
        <w:trPr>
          <w:trHeight w:val="255"/>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E6E" w:rsidRPr="000562C8" w:rsidRDefault="00904E6E" w:rsidP="00945F2D">
            <w:pPr>
              <w:jc w:val="center"/>
              <w:rPr>
                <w:rFonts w:ascii="Calibri" w:hAnsi="Calibri" w:cs="Calibri"/>
                <w:color w:val="000000"/>
                <w:sz w:val="20"/>
                <w:szCs w:val="20"/>
                <w:lang w:eastAsia="en-AU"/>
              </w:rPr>
            </w:pPr>
            <w:r w:rsidRPr="000562C8">
              <w:rPr>
                <w:rFonts w:ascii="Calibri" w:hAnsi="Calibri" w:cs="Calibri"/>
                <w:color w:val="000000"/>
                <w:sz w:val="20"/>
                <w:szCs w:val="20"/>
                <w:lang w:eastAsia="en-AU"/>
              </w:rPr>
              <w:t>Brand12</w:t>
            </w:r>
          </w:p>
        </w:tc>
        <w:tc>
          <w:tcPr>
            <w:tcW w:w="1022" w:type="dxa"/>
            <w:tcBorders>
              <w:top w:val="single" w:sz="4" w:space="0" w:color="auto"/>
              <w:left w:val="nil"/>
              <w:bottom w:val="single" w:sz="4" w:space="0" w:color="auto"/>
              <w:right w:val="nil"/>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6.3%</w:t>
            </w:r>
          </w:p>
        </w:tc>
        <w:tc>
          <w:tcPr>
            <w:tcW w:w="1134"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6.5%</w:t>
            </w:r>
          </w:p>
        </w:tc>
        <w:tc>
          <w:tcPr>
            <w:tcW w:w="1134" w:type="dxa"/>
            <w:tcBorders>
              <w:top w:val="single" w:sz="4" w:space="0" w:color="auto"/>
              <w:left w:val="nil"/>
              <w:bottom w:val="single" w:sz="4" w:space="0" w:color="auto"/>
              <w:right w:val="nil"/>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7.3%</w:t>
            </w:r>
          </w:p>
        </w:tc>
        <w:tc>
          <w:tcPr>
            <w:tcW w:w="1086"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7.4%</w:t>
            </w:r>
          </w:p>
        </w:tc>
        <w:tc>
          <w:tcPr>
            <w:tcW w:w="1040" w:type="dxa"/>
            <w:tcBorders>
              <w:top w:val="single" w:sz="4" w:space="0" w:color="auto"/>
              <w:left w:val="nil"/>
              <w:bottom w:val="single" w:sz="4" w:space="0" w:color="auto"/>
              <w:right w:val="nil"/>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6.5%</w:t>
            </w:r>
          </w:p>
        </w:tc>
        <w:tc>
          <w:tcPr>
            <w:tcW w:w="1134"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rsidR="00904E6E" w:rsidRDefault="00904E6E" w:rsidP="00904E6E">
            <w:pPr>
              <w:jc w:val="center"/>
              <w:rPr>
                <w:rFonts w:ascii="Calibri" w:hAnsi="Calibri" w:cs="Calibri"/>
                <w:color w:val="000000"/>
                <w:sz w:val="20"/>
                <w:szCs w:val="20"/>
              </w:rPr>
            </w:pPr>
            <w:r>
              <w:rPr>
                <w:rFonts w:ascii="Calibri" w:hAnsi="Calibri" w:cs="Calibri"/>
                <w:color w:val="000000"/>
                <w:sz w:val="20"/>
                <w:szCs w:val="20"/>
              </w:rPr>
              <w:t>5.9%</w:t>
            </w:r>
          </w:p>
        </w:tc>
      </w:tr>
    </w:tbl>
    <w:p w:rsidR="00945F2D" w:rsidRDefault="00945F2D" w:rsidP="00945F2D"/>
    <w:p w:rsidR="00D728F1" w:rsidRPr="000562C8" w:rsidRDefault="00D728F1" w:rsidP="00945F2D"/>
    <w:p w:rsidR="00945F2D" w:rsidRDefault="00A57F35" w:rsidP="00945F2D">
      <w:r w:rsidRPr="000562C8">
        <w:rPr>
          <w:szCs w:val="22"/>
        </w:rPr>
        <w:t>The results presented in this table are intended to provide an example of the impact of using conversion factors to calculate import share as compared to actual weight. As brands did not provide data for all of their imports, these numbers are just indicative</w:t>
      </w:r>
      <w:r w:rsidR="00D4554C" w:rsidRPr="000562C8">
        <w:rPr>
          <w:szCs w:val="22"/>
        </w:rPr>
        <w:t xml:space="preserve"> and are </w:t>
      </w:r>
      <w:r w:rsidRPr="000562C8">
        <w:rPr>
          <w:szCs w:val="22"/>
        </w:rPr>
        <w:t xml:space="preserve">not representative of actual import share under the Scheme. </w:t>
      </w:r>
      <w:r w:rsidR="00D4554C" w:rsidRPr="000562C8">
        <w:rPr>
          <w:szCs w:val="22"/>
        </w:rPr>
        <w:t xml:space="preserve">The import share has been calculated based on total imports, not total liable party imports as proposed under the Scheme and </w:t>
      </w:r>
      <w:r w:rsidR="00406924">
        <w:rPr>
          <w:szCs w:val="22"/>
        </w:rPr>
        <w:t xml:space="preserve">is presented as a whole rather than separate </w:t>
      </w:r>
      <w:r w:rsidR="00D951C3" w:rsidRPr="000562C8">
        <w:rPr>
          <w:szCs w:val="22"/>
        </w:rPr>
        <w:t xml:space="preserve">import </w:t>
      </w:r>
      <w:r w:rsidR="00D4554C" w:rsidRPr="000562C8">
        <w:rPr>
          <w:szCs w:val="22"/>
        </w:rPr>
        <w:t xml:space="preserve">shares for televisions </w:t>
      </w:r>
      <w:r w:rsidR="00406924">
        <w:rPr>
          <w:szCs w:val="22"/>
        </w:rPr>
        <w:t>and</w:t>
      </w:r>
      <w:r w:rsidR="00406924" w:rsidRPr="000562C8">
        <w:rPr>
          <w:szCs w:val="22"/>
        </w:rPr>
        <w:t xml:space="preserve"> </w:t>
      </w:r>
      <w:r w:rsidR="00D4554C" w:rsidRPr="000562C8">
        <w:rPr>
          <w:szCs w:val="22"/>
        </w:rPr>
        <w:t>computer products.</w:t>
      </w:r>
    </w:p>
    <w:p w:rsidR="00945F2D" w:rsidRDefault="00945F2D" w:rsidP="00945F2D">
      <w:pPr>
        <w:rPr>
          <w:szCs w:val="22"/>
        </w:rPr>
      </w:pPr>
    </w:p>
    <w:p w:rsidR="00D951C3" w:rsidRPr="00D728F1" w:rsidRDefault="00945F2D" w:rsidP="00945F2D">
      <w:pPr>
        <w:rPr>
          <w:szCs w:val="22"/>
        </w:rPr>
      </w:pPr>
      <w:r w:rsidRPr="00D728F1">
        <w:t xml:space="preserve">Table 6-3 </w:t>
      </w:r>
      <w:r w:rsidR="00D4554C" w:rsidRPr="00D728F1">
        <w:t xml:space="preserve">shows that </w:t>
      </w:r>
      <w:r w:rsidR="00D4554C" w:rsidRPr="00D728F1">
        <w:rPr>
          <w:szCs w:val="22"/>
        </w:rPr>
        <w:t>i</w:t>
      </w:r>
      <w:r w:rsidRPr="00D728F1">
        <w:rPr>
          <w:szCs w:val="22"/>
        </w:rPr>
        <w:t xml:space="preserve">n 2010-11 the difference between actual and calculated </w:t>
      </w:r>
      <w:r w:rsidR="00D4554C" w:rsidRPr="00D728F1">
        <w:rPr>
          <w:szCs w:val="22"/>
        </w:rPr>
        <w:t xml:space="preserve">import </w:t>
      </w:r>
      <w:r w:rsidRPr="00D728F1">
        <w:rPr>
          <w:szCs w:val="22"/>
        </w:rPr>
        <w:t>share ranged from -</w:t>
      </w:r>
      <w:r w:rsidR="00D728F1" w:rsidRPr="00D728F1">
        <w:rPr>
          <w:szCs w:val="22"/>
        </w:rPr>
        <w:t>2.6</w:t>
      </w:r>
      <w:r w:rsidRPr="00D728F1">
        <w:rPr>
          <w:szCs w:val="22"/>
        </w:rPr>
        <w:t xml:space="preserve"> to </w:t>
      </w:r>
      <w:r w:rsidR="00D4554C" w:rsidRPr="00D728F1">
        <w:rPr>
          <w:szCs w:val="22"/>
        </w:rPr>
        <w:t>+</w:t>
      </w:r>
      <w:r w:rsidR="00D728F1" w:rsidRPr="00D728F1">
        <w:rPr>
          <w:szCs w:val="22"/>
        </w:rPr>
        <w:t xml:space="preserve"> </w:t>
      </w:r>
      <w:r w:rsidRPr="00D728F1">
        <w:rPr>
          <w:szCs w:val="22"/>
        </w:rPr>
        <w:t xml:space="preserve">0.8%. </w:t>
      </w:r>
      <w:r w:rsidR="00D951C3" w:rsidRPr="00D728F1">
        <w:rPr>
          <w:szCs w:val="22"/>
        </w:rPr>
        <w:t>This shows that while there is a difference between the actual and imported weight for each brand that participated in this study (as expected), when viewed from an import share perspective the impact of using conversion factors compared to actual weight is not significant and provide</w:t>
      </w:r>
      <w:r w:rsidR="004A1911">
        <w:rPr>
          <w:szCs w:val="22"/>
        </w:rPr>
        <w:t>s</w:t>
      </w:r>
      <w:r w:rsidR="00D951C3" w:rsidRPr="00D728F1">
        <w:rPr>
          <w:szCs w:val="22"/>
        </w:rPr>
        <w:t xml:space="preserve"> a reasonable basis for allocating liability under the Scheme. </w:t>
      </w:r>
    </w:p>
    <w:p w:rsidR="00D951C3" w:rsidRPr="00D728F1" w:rsidRDefault="00D951C3" w:rsidP="00945F2D">
      <w:pPr>
        <w:rPr>
          <w:szCs w:val="22"/>
        </w:rPr>
      </w:pPr>
    </w:p>
    <w:p w:rsidR="00945F2D" w:rsidRDefault="00D951C3" w:rsidP="00945F2D">
      <w:pPr>
        <w:rPr>
          <w:szCs w:val="22"/>
        </w:rPr>
      </w:pPr>
      <w:r w:rsidRPr="00D728F1">
        <w:rPr>
          <w:szCs w:val="22"/>
        </w:rPr>
        <w:t>The results shown in Table 6-3 for 2009-10 and 2008-09 are less relevant for this analysis, as import share under the Scheme for allocating targets will be based on results from the previous financial year (e.g. the first target year of 2012-13 will base import share on 2011-12 data). However, these results do show that d</w:t>
      </w:r>
      <w:r w:rsidR="00945F2D" w:rsidRPr="00D728F1">
        <w:rPr>
          <w:szCs w:val="22"/>
        </w:rPr>
        <w:t>ue to product light weighting, in most cases in 2009-10 and 2008-09 the conversion factors result in a lower calculated weight share than actual weight share.</w:t>
      </w:r>
    </w:p>
    <w:p w:rsidR="004926FE" w:rsidRPr="00D914FA" w:rsidRDefault="004926FE" w:rsidP="00D914FA">
      <w:pPr>
        <w:jc w:val="both"/>
        <w:rPr>
          <w:rFonts w:ascii="Arial" w:hAnsi="Arial" w:cs="Arial"/>
          <w:b/>
          <w:bCs/>
          <w:color w:val="000000"/>
          <w:szCs w:val="22"/>
          <w:lang w:eastAsia="en-AU"/>
        </w:rPr>
      </w:pPr>
    </w:p>
    <w:p w:rsidR="0097157A" w:rsidRDefault="0097157A" w:rsidP="00D914FA">
      <w:pPr>
        <w:jc w:val="both"/>
        <w:rPr>
          <w:rFonts w:ascii="Arial" w:hAnsi="Arial" w:cs="Arial"/>
          <w:b/>
          <w:szCs w:val="22"/>
        </w:rPr>
      </w:pPr>
    </w:p>
    <w:p w:rsidR="00DA4F07" w:rsidRPr="0000192C" w:rsidRDefault="00384343" w:rsidP="00D914FA">
      <w:pPr>
        <w:jc w:val="both"/>
        <w:rPr>
          <w:rFonts w:ascii="Arial" w:hAnsi="Arial" w:cs="Arial"/>
          <w:b/>
          <w:szCs w:val="22"/>
        </w:rPr>
      </w:pPr>
      <w:r>
        <w:rPr>
          <w:rFonts w:ascii="Arial" w:hAnsi="Arial" w:cs="Arial"/>
          <w:b/>
          <w:szCs w:val="22"/>
        </w:rPr>
        <w:t>Conclusion</w:t>
      </w:r>
    </w:p>
    <w:p w:rsidR="004926FE" w:rsidRDefault="004926FE">
      <w:pPr>
        <w:rPr>
          <w:szCs w:val="22"/>
        </w:rPr>
      </w:pPr>
    </w:p>
    <w:p w:rsidR="00406924" w:rsidRDefault="005F217E" w:rsidP="005F217E">
      <w:pPr>
        <w:rPr>
          <w:szCs w:val="22"/>
        </w:rPr>
      </w:pPr>
      <w:r>
        <w:rPr>
          <w:szCs w:val="22"/>
        </w:rPr>
        <w:t xml:space="preserve">What was not known until the exercise had been carried out was the degree of uncertainty </w:t>
      </w:r>
      <w:r w:rsidR="009530B7">
        <w:rPr>
          <w:szCs w:val="22"/>
        </w:rPr>
        <w:t xml:space="preserve">when applying the conversion </w:t>
      </w:r>
      <w:r>
        <w:rPr>
          <w:szCs w:val="22"/>
        </w:rPr>
        <w:t xml:space="preserve">factors to each tariff code. Although several outliers result from the underpinning data and there is some variation, taken as a whole the conversion factors provide a reasonably robust set of values </w:t>
      </w:r>
      <w:r w:rsidR="009530B7">
        <w:rPr>
          <w:szCs w:val="22"/>
        </w:rPr>
        <w:t xml:space="preserve">for estimating </w:t>
      </w:r>
      <w:r w:rsidR="004A1911">
        <w:rPr>
          <w:szCs w:val="22"/>
        </w:rPr>
        <w:t xml:space="preserve">the </w:t>
      </w:r>
      <w:r w:rsidR="009530B7">
        <w:rPr>
          <w:szCs w:val="22"/>
        </w:rPr>
        <w:t>actual weight</w:t>
      </w:r>
      <w:r w:rsidR="004A1911">
        <w:rPr>
          <w:szCs w:val="22"/>
        </w:rPr>
        <w:t xml:space="preserve"> of imports</w:t>
      </w:r>
      <w:r>
        <w:rPr>
          <w:szCs w:val="22"/>
        </w:rPr>
        <w:t xml:space="preserve">. </w:t>
      </w:r>
    </w:p>
    <w:p w:rsidR="005F217E" w:rsidRPr="006421D1" w:rsidRDefault="005F217E" w:rsidP="005F217E">
      <w:pPr>
        <w:rPr>
          <w:szCs w:val="22"/>
        </w:rPr>
      </w:pPr>
      <w:r w:rsidRPr="002C2C49">
        <w:rPr>
          <w:szCs w:val="22"/>
        </w:rPr>
        <w:t xml:space="preserve">Applying the conversion factors for each tariff code for all brands </w:t>
      </w:r>
      <w:r w:rsidR="009530B7" w:rsidRPr="002C2C49">
        <w:rPr>
          <w:szCs w:val="22"/>
        </w:rPr>
        <w:t xml:space="preserve">in terms of import share </w:t>
      </w:r>
      <w:r w:rsidRPr="002C2C49">
        <w:rPr>
          <w:szCs w:val="22"/>
        </w:rPr>
        <w:t xml:space="preserve">shows </w:t>
      </w:r>
      <w:r w:rsidR="009530B7" w:rsidRPr="002C2C49">
        <w:rPr>
          <w:szCs w:val="22"/>
        </w:rPr>
        <w:t xml:space="preserve">that </w:t>
      </w:r>
      <w:r w:rsidR="00945F2D" w:rsidRPr="002C2C49">
        <w:rPr>
          <w:szCs w:val="22"/>
        </w:rPr>
        <w:t>the extent to which the conversion fac</w:t>
      </w:r>
      <w:r w:rsidR="00904E6E">
        <w:rPr>
          <w:szCs w:val="22"/>
        </w:rPr>
        <w:t xml:space="preserve">tors under or over </w:t>
      </w:r>
      <w:r w:rsidR="009530B7" w:rsidRPr="002C2C49">
        <w:rPr>
          <w:szCs w:val="22"/>
        </w:rPr>
        <w:t xml:space="preserve">state import share when compared to actual weight </w:t>
      </w:r>
      <w:r w:rsidR="00904E6E">
        <w:rPr>
          <w:szCs w:val="22"/>
        </w:rPr>
        <w:t>ranges from -2.6% to 0.8%.</w:t>
      </w:r>
      <w:r w:rsidR="002B1B56">
        <w:rPr>
          <w:szCs w:val="22"/>
        </w:rPr>
        <w:t xml:space="preserve"> </w:t>
      </w:r>
      <w:r>
        <w:rPr>
          <w:szCs w:val="22"/>
        </w:rPr>
        <w:t xml:space="preserve">Perchards/MS2 conclude that the conversion factors are robust enough to provide an estimate of the weight of imports in order to determine waste </w:t>
      </w:r>
      <w:r w:rsidR="00A41312">
        <w:rPr>
          <w:szCs w:val="22"/>
        </w:rPr>
        <w:t>quantities</w:t>
      </w:r>
      <w:r>
        <w:rPr>
          <w:szCs w:val="22"/>
        </w:rPr>
        <w:t>. Under the Scheme</w:t>
      </w:r>
      <w:r w:rsidR="009530B7">
        <w:rPr>
          <w:szCs w:val="22"/>
        </w:rPr>
        <w:t xml:space="preserve"> it is proposed</w:t>
      </w:r>
      <w:r>
        <w:rPr>
          <w:szCs w:val="22"/>
        </w:rPr>
        <w:t xml:space="preserve"> </w:t>
      </w:r>
      <w:r w:rsidR="008252AE">
        <w:rPr>
          <w:szCs w:val="22"/>
        </w:rPr>
        <w:t xml:space="preserve">that </w:t>
      </w:r>
      <w:r>
        <w:rPr>
          <w:szCs w:val="22"/>
        </w:rPr>
        <w:t>estimat</w:t>
      </w:r>
      <w:r w:rsidR="008252AE">
        <w:rPr>
          <w:szCs w:val="22"/>
        </w:rPr>
        <w:t>ing</w:t>
      </w:r>
      <w:r>
        <w:rPr>
          <w:szCs w:val="22"/>
        </w:rPr>
        <w:t xml:space="preserve"> waste for 2012-13 would involve applying the conversion factor</w:t>
      </w:r>
      <w:r w:rsidR="008252AE">
        <w:rPr>
          <w:szCs w:val="22"/>
        </w:rPr>
        <w:t>s</w:t>
      </w:r>
      <w:r>
        <w:rPr>
          <w:szCs w:val="22"/>
        </w:rPr>
        <w:t xml:space="preserve"> to HTISCs over the period 2009-10, 2010-11 and 2011-12.</w:t>
      </w:r>
      <w:r w:rsidR="004363DD">
        <w:rPr>
          <w:szCs w:val="22"/>
        </w:rPr>
        <w:t xml:space="preserve"> </w:t>
      </w:r>
      <w:r>
        <w:rPr>
          <w:szCs w:val="22"/>
        </w:rPr>
        <w:t>Assuming</w:t>
      </w:r>
      <w:r>
        <w:t xml:space="preserve"> variation in the future will</w:t>
      </w:r>
      <w:r w:rsidR="00A41312">
        <w:t xml:space="preserve"> be similar to variation in the</w:t>
      </w:r>
      <w:r>
        <w:t xml:space="preserve"> past</w:t>
      </w:r>
      <w:r>
        <w:rPr>
          <w:szCs w:val="22"/>
        </w:rPr>
        <w:t>, the import weight estimate calculated would be robust both overall and for each brand.</w:t>
      </w:r>
    </w:p>
    <w:p w:rsidR="00D95FC7" w:rsidRDefault="00D95FC7" w:rsidP="00D95FC7">
      <w:pPr>
        <w:rPr>
          <w:szCs w:val="22"/>
        </w:rPr>
      </w:pPr>
    </w:p>
    <w:p w:rsidR="000B5964" w:rsidRDefault="000B5964">
      <w:pPr>
        <w:rPr>
          <w:szCs w:val="22"/>
        </w:rPr>
      </w:pPr>
      <w:r>
        <w:rPr>
          <w:szCs w:val="22"/>
        </w:rPr>
        <w:br w:type="page"/>
      </w:r>
    </w:p>
    <w:p w:rsidR="000B5964" w:rsidRDefault="000B5964" w:rsidP="000B5964"/>
    <w:p w:rsidR="003A59EB" w:rsidRDefault="00FB66C5" w:rsidP="00655A6F">
      <w:pPr>
        <w:pStyle w:val="Heading1"/>
      </w:pPr>
      <w:bookmarkStart w:id="85" w:name="_Toc304967207"/>
      <w:r>
        <w:t>APPENDIX A - Methodology for deriving the Conversion Factors</w:t>
      </w:r>
      <w:bookmarkEnd w:id="85"/>
    </w:p>
    <w:p w:rsidR="00FB66C5" w:rsidRDefault="00FB66C5" w:rsidP="000B3AB0"/>
    <w:p w:rsidR="00FB66C5" w:rsidRDefault="00FB66C5" w:rsidP="000B3AB0"/>
    <w:p w:rsidR="0000192C" w:rsidRDefault="0000192C" w:rsidP="0000192C">
      <w:pPr>
        <w:rPr>
          <w:szCs w:val="22"/>
        </w:rPr>
      </w:pPr>
      <w:r>
        <w:rPr>
          <w:szCs w:val="22"/>
        </w:rPr>
        <w:t>The basis for the methodology for deriving the conversion factors, as set out in the feasibility study, was to develop a weighted average weight for each 2007 HTISC tariff code a</w:t>
      </w:r>
      <w:r w:rsidR="00D95FC7">
        <w:rPr>
          <w:szCs w:val="22"/>
        </w:rPr>
        <w:t>nd draft 2012 HTISC tariff code</w:t>
      </w:r>
      <w:r>
        <w:rPr>
          <w:szCs w:val="22"/>
        </w:rPr>
        <w:t xml:space="preserve">. The weighted average represents the ‘typical weight’ for each code, calculated as the total weight of all imports divided by the number of units imported.  </w:t>
      </w:r>
    </w:p>
    <w:p w:rsidR="0000192C" w:rsidRDefault="0000192C" w:rsidP="0000192C">
      <w:pPr>
        <w:rPr>
          <w:szCs w:val="22"/>
        </w:rPr>
      </w:pPr>
    </w:p>
    <w:p w:rsidR="0000192C" w:rsidRDefault="0000192C" w:rsidP="0000192C">
      <w:pPr>
        <w:rPr>
          <w:szCs w:val="22"/>
        </w:rPr>
      </w:pPr>
      <w:r>
        <w:rPr>
          <w:szCs w:val="22"/>
        </w:rPr>
        <w:t xml:space="preserve">This approach involved gathering real data for all products, models and items imported within each HTISC (referred to herein as </w:t>
      </w:r>
      <w:r w:rsidRPr="007F7E2C">
        <w:rPr>
          <w:i/>
          <w:szCs w:val="22"/>
        </w:rPr>
        <w:t>models)</w:t>
      </w:r>
      <w:r>
        <w:rPr>
          <w:szCs w:val="22"/>
        </w:rPr>
        <w:t xml:space="preserve"> including model weights and the number of units of each model imported.</w:t>
      </w:r>
    </w:p>
    <w:p w:rsidR="0000192C" w:rsidRDefault="0000192C" w:rsidP="0000192C">
      <w:pPr>
        <w:rPr>
          <w:szCs w:val="22"/>
        </w:rPr>
      </w:pPr>
    </w:p>
    <w:p w:rsidR="0000192C" w:rsidRDefault="0000192C" w:rsidP="0000192C">
      <w:pPr>
        <w:rPr>
          <w:szCs w:val="22"/>
        </w:rPr>
      </w:pPr>
      <w:r>
        <w:rPr>
          <w:szCs w:val="22"/>
        </w:rPr>
        <w:t xml:space="preserve">It was agreed between the Department and Perchards/MS2 to seek this data from industry brand owners. While the industry brand owners do not cover all industry imports, they account for a significant proportion, and with many being members of PSA and AIIA, it was considered that they would be willing participants in the exercise. </w:t>
      </w:r>
    </w:p>
    <w:p w:rsidR="0000192C" w:rsidRDefault="0000192C" w:rsidP="0000192C">
      <w:pPr>
        <w:rPr>
          <w:szCs w:val="22"/>
        </w:rPr>
      </w:pPr>
    </w:p>
    <w:p w:rsidR="0000192C" w:rsidRPr="003126A0" w:rsidRDefault="0000192C" w:rsidP="0000192C">
      <w:pPr>
        <w:rPr>
          <w:szCs w:val="22"/>
        </w:rPr>
      </w:pPr>
      <w:r>
        <w:rPr>
          <w:szCs w:val="22"/>
        </w:rPr>
        <w:t xml:space="preserve">In order to achieve a weighted average as representative as possible of all industry imports the exercise aimed to gather as large a data set as possible.  </w:t>
      </w:r>
    </w:p>
    <w:p w:rsidR="0000192C" w:rsidRDefault="0000192C" w:rsidP="0000192C">
      <w:pPr>
        <w:rPr>
          <w:szCs w:val="22"/>
        </w:rPr>
      </w:pPr>
    </w:p>
    <w:p w:rsidR="0000192C" w:rsidRDefault="0000192C" w:rsidP="0000192C">
      <w:pPr>
        <w:rPr>
          <w:szCs w:val="22"/>
        </w:rPr>
      </w:pPr>
      <w:r>
        <w:rPr>
          <w:szCs w:val="22"/>
        </w:rPr>
        <w:t>The following results section presents an evaluation from which to develop a conversion factor for each HTISC.  The evaluation includes for each HTISC:</w:t>
      </w:r>
    </w:p>
    <w:p w:rsidR="0000192C" w:rsidRPr="00220B07" w:rsidRDefault="0000192C" w:rsidP="0000192C">
      <w:pPr>
        <w:pStyle w:val="ListParagraph"/>
        <w:numPr>
          <w:ilvl w:val="0"/>
          <w:numId w:val="51"/>
        </w:numPr>
        <w:rPr>
          <w:szCs w:val="22"/>
        </w:rPr>
      </w:pPr>
      <w:r w:rsidRPr="00220B07">
        <w:rPr>
          <w:szCs w:val="22"/>
        </w:rPr>
        <w:t xml:space="preserve">A bar chart of the frequency distribution of the data </w:t>
      </w:r>
    </w:p>
    <w:p w:rsidR="0000192C" w:rsidRPr="00220B07" w:rsidRDefault="0000192C" w:rsidP="0000192C">
      <w:pPr>
        <w:pStyle w:val="ListParagraph"/>
        <w:numPr>
          <w:ilvl w:val="0"/>
          <w:numId w:val="51"/>
        </w:numPr>
        <w:rPr>
          <w:szCs w:val="22"/>
        </w:rPr>
      </w:pPr>
      <w:r w:rsidRPr="00220B07">
        <w:rPr>
          <w:szCs w:val="22"/>
        </w:rPr>
        <w:t>Maximum and minimum value of the range</w:t>
      </w:r>
    </w:p>
    <w:p w:rsidR="0000192C" w:rsidRPr="00220B07" w:rsidRDefault="0000192C" w:rsidP="0000192C">
      <w:pPr>
        <w:pStyle w:val="ListParagraph"/>
        <w:numPr>
          <w:ilvl w:val="0"/>
          <w:numId w:val="51"/>
        </w:numPr>
        <w:rPr>
          <w:szCs w:val="22"/>
        </w:rPr>
      </w:pPr>
      <w:r w:rsidRPr="00220B07">
        <w:rPr>
          <w:szCs w:val="22"/>
        </w:rPr>
        <w:t>Standard deviation</w:t>
      </w:r>
    </w:p>
    <w:p w:rsidR="0000192C" w:rsidRPr="00220B07" w:rsidRDefault="0000192C" w:rsidP="0000192C">
      <w:pPr>
        <w:pStyle w:val="ListParagraph"/>
        <w:numPr>
          <w:ilvl w:val="0"/>
          <w:numId w:val="51"/>
        </w:numPr>
        <w:rPr>
          <w:szCs w:val="22"/>
        </w:rPr>
      </w:pPr>
      <w:r w:rsidRPr="00220B07">
        <w:rPr>
          <w:szCs w:val="22"/>
        </w:rPr>
        <w:t>Mean</w:t>
      </w:r>
    </w:p>
    <w:p w:rsidR="0000192C" w:rsidRPr="00220B07" w:rsidRDefault="0000192C" w:rsidP="0000192C">
      <w:pPr>
        <w:pStyle w:val="ListParagraph"/>
        <w:numPr>
          <w:ilvl w:val="0"/>
          <w:numId w:val="51"/>
        </w:numPr>
        <w:rPr>
          <w:szCs w:val="22"/>
        </w:rPr>
      </w:pPr>
      <w:r w:rsidRPr="00220B07">
        <w:rPr>
          <w:szCs w:val="22"/>
        </w:rPr>
        <w:t>Median</w:t>
      </w:r>
    </w:p>
    <w:p w:rsidR="0000192C" w:rsidRPr="00220B07" w:rsidRDefault="0000192C" w:rsidP="0000192C">
      <w:pPr>
        <w:pStyle w:val="ListParagraph"/>
        <w:numPr>
          <w:ilvl w:val="0"/>
          <w:numId w:val="51"/>
        </w:numPr>
        <w:rPr>
          <w:szCs w:val="22"/>
        </w:rPr>
      </w:pPr>
      <w:r w:rsidRPr="00220B07">
        <w:rPr>
          <w:szCs w:val="22"/>
        </w:rPr>
        <w:t>Two measures of confidence (see appendix A for more details)</w:t>
      </w:r>
    </w:p>
    <w:p w:rsidR="0000192C" w:rsidRPr="00220B07" w:rsidRDefault="0000192C" w:rsidP="0000192C">
      <w:pPr>
        <w:pStyle w:val="ListParagraph"/>
        <w:numPr>
          <w:ilvl w:val="0"/>
          <w:numId w:val="51"/>
        </w:numPr>
        <w:rPr>
          <w:szCs w:val="22"/>
        </w:rPr>
      </w:pPr>
      <w:r w:rsidRPr="00220B07">
        <w:rPr>
          <w:szCs w:val="22"/>
        </w:rPr>
        <w:t>A measure of variation of the conversion factor over time</w:t>
      </w:r>
    </w:p>
    <w:p w:rsidR="0000192C" w:rsidRDefault="0000192C" w:rsidP="0000192C">
      <w:pPr>
        <w:tabs>
          <w:tab w:val="left" w:pos="1695"/>
        </w:tabs>
      </w:pPr>
    </w:p>
    <w:p w:rsidR="0000192C" w:rsidRDefault="0000192C" w:rsidP="0000192C">
      <w:pPr>
        <w:tabs>
          <w:tab w:val="left" w:pos="1695"/>
        </w:tabs>
      </w:pPr>
      <w:r>
        <w:t xml:space="preserve">Note that variation over time is expressed in terms of a </w:t>
      </w:r>
      <w:r w:rsidR="00C62346">
        <w:t>variation</w:t>
      </w:r>
      <w:r>
        <w:t xml:space="preserve"> rating: Where this percentage stays at 0% there is not </w:t>
      </w:r>
      <w:r w:rsidR="00C62346">
        <w:t>variation</w:t>
      </w:r>
      <w:r>
        <w:t xml:space="preserve"> over time. </w:t>
      </w:r>
      <w:r w:rsidR="00D95FC7">
        <w:t xml:space="preserve">A </w:t>
      </w:r>
      <w:r w:rsidR="00C62346">
        <w:t>variation</w:t>
      </w:r>
      <w:r w:rsidR="00D95FC7">
        <w:t xml:space="preserve"> of </w:t>
      </w:r>
      <w:r>
        <w:t xml:space="preserve">0-10% is assigned a low </w:t>
      </w:r>
      <w:r w:rsidR="00C62346">
        <w:t>variation</w:t>
      </w:r>
      <w:r>
        <w:t xml:space="preserve"> over</w:t>
      </w:r>
      <w:r w:rsidR="00D95FC7">
        <w:t xml:space="preserve"> time, a </w:t>
      </w:r>
      <w:r w:rsidR="00C62346">
        <w:t>variation</w:t>
      </w:r>
      <w:r w:rsidR="00D95FC7">
        <w:t xml:space="preserve"> of </w:t>
      </w:r>
      <w:r>
        <w:t xml:space="preserve">10-20% is assigned a moderate </w:t>
      </w:r>
      <w:r w:rsidR="00C62346">
        <w:t>variation</w:t>
      </w:r>
      <w:r>
        <w:t xml:space="preserve"> over time, and anything greater is assigned high </w:t>
      </w:r>
      <w:r w:rsidR="00C62346">
        <w:t>variation</w:t>
      </w:r>
      <w:r>
        <w:t xml:space="preserve">. Where data is supplied for only one year then the </w:t>
      </w:r>
      <w:r w:rsidR="00C62346">
        <w:t>variation</w:t>
      </w:r>
      <w:r>
        <w:t xml:space="preserve"> over time is not applicable.</w:t>
      </w:r>
    </w:p>
    <w:p w:rsidR="00FB66C5" w:rsidRDefault="00FB66C5" w:rsidP="00FB66C5">
      <w:pPr>
        <w:jc w:val="both"/>
        <w:rPr>
          <w:szCs w:val="22"/>
        </w:rPr>
      </w:pPr>
    </w:p>
    <w:p w:rsidR="000B3AB0" w:rsidRDefault="000B3AB0" w:rsidP="000B3AB0"/>
    <w:p w:rsidR="000B3AB0" w:rsidRDefault="000B3AB0" w:rsidP="000B3AB0"/>
    <w:p w:rsidR="0000192C" w:rsidRDefault="0000192C" w:rsidP="000B3AB0"/>
    <w:p w:rsidR="0000192C" w:rsidRDefault="0000192C" w:rsidP="000B3AB0"/>
    <w:p w:rsidR="003A59EB" w:rsidRDefault="000B3AB0" w:rsidP="003A59EB">
      <w:pPr>
        <w:pStyle w:val="Heading2"/>
        <w:numPr>
          <w:ilvl w:val="1"/>
          <w:numId w:val="33"/>
        </w:numPr>
        <w:ind w:left="499" w:hanging="499"/>
      </w:pPr>
      <w:bookmarkStart w:id="86" w:name="_Toc304967208"/>
      <w:r>
        <w:t>Data Gathering</w:t>
      </w:r>
      <w:bookmarkEnd w:id="86"/>
    </w:p>
    <w:p w:rsidR="000B3AB0" w:rsidRPr="003126A0" w:rsidRDefault="000B3AB0" w:rsidP="000B3AB0"/>
    <w:p w:rsidR="000B3AB0" w:rsidRPr="002540D7" w:rsidRDefault="000B3AB0" w:rsidP="000B3AB0">
      <w:pPr>
        <w:pStyle w:val="ListParagraph"/>
      </w:pPr>
    </w:p>
    <w:p w:rsidR="000B3AB0" w:rsidRDefault="000B3AB0" w:rsidP="000B3AB0">
      <w:r>
        <w:t>The data collection element was largely directed by the information required to determine the conversion factors and the best method for collecting this information.</w:t>
      </w:r>
    </w:p>
    <w:p w:rsidR="000B3AB0" w:rsidRDefault="000B3AB0" w:rsidP="000B3AB0"/>
    <w:p w:rsidR="000B3AB0" w:rsidRDefault="000B3AB0" w:rsidP="000B3AB0">
      <w:pPr>
        <w:rPr>
          <w:szCs w:val="22"/>
        </w:rPr>
      </w:pPr>
      <w:r>
        <w:t xml:space="preserve">Data on weights and units information was collected from a sample of </w:t>
      </w:r>
      <w:r w:rsidR="00887295">
        <w:t xml:space="preserve">import data held by </w:t>
      </w:r>
      <w:r>
        <w:t xml:space="preserve">the </w:t>
      </w:r>
      <w:r w:rsidRPr="00901064">
        <w:rPr>
          <w:szCs w:val="22"/>
        </w:rPr>
        <w:t>television, computer and computer peripheral industry, referred to</w:t>
      </w:r>
      <w:r>
        <w:rPr>
          <w:szCs w:val="22"/>
        </w:rPr>
        <w:t xml:space="preserve"> as </w:t>
      </w:r>
      <w:r w:rsidRPr="00901064">
        <w:rPr>
          <w:szCs w:val="22"/>
        </w:rPr>
        <w:t>the</w:t>
      </w:r>
      <w:r w:rsidRPr="001A78F2">
        <w:rPr>
          <w:i/>
          <w:szCs w:val="22"/>
        </w:rPr>
        <w:t xml:space="preserve"> industry</w:t>
      </w:r>
      <w:r>
        <w:rPr>
          <w:szCs w:val="22"/>
        </w:rPr>
        <w:t>.</w:t>
      </w:r>
    </w:p>
    <w:p w:rsidR="000B3AB0" w:rsidRDefault="000B3AB0" w:rsidP="000B3AB0">
      <w:pPr>
        <w:rPr>
          <w:szCs w:val="22"/>
        </w:rPr>
      </w:pPr>
    </w:p>
    <w:p w:rsidR="000B3AB0" w:rsidRPr="004A6EAC" w:rsidRDefault="000B3AB0" w:rsidP="000B3AB0">
      <w:pPr>
        <w:rPr>
          <w:rFonts w:ascii="Arial" w:hAnsi="Arial" w:cs="Arial"/>
          <w:b/>
          <w:szCs w:val="22"/>
        </w:rPr>
      </w:pPr>
      <w:r w:rsidRPr="004A6EAC">
        <w:rPr>
          <w:rFonts w:ascii="Arial" w:hAnsi="Arial" w:cs="Arial"/>
          <w:b/>
          <w:szCs w:val="22"/>
        </w:rPr>
        <w:t>Data requirements</w:t>
      </w:r>
    </w:p>
    <w:p w:rsidR="000B3AB0" w:rsidRDefault="000B3AB0" w:rsidP="000B3AB0">
      <w:pPr>
        <w:rPr>
          <w:szCs w:val="22"/>
        </w:rPr>
      </w:pPr>
    </w:p>
    <w:p w:rsidR="000B3AB0" w:rsidRDefault="000B3AB0" w:rsidP="000B3AB0">
      <w:pPr>
        <w:rPr>
          <w:szCs w:val="22"/>
        </w:rPr>
      </w:pPr>
      <w:r>
        <w:rPr>
          <w:szCs w:val="22"/>
        </w:rPr>
        <w:t>The fundamental information required to develop the conversion factors, or weighted averages for a given year, was</w:t>
      </w:r>
      <w:r w:rsidR="00887295">
        <w:rPr>
          <w:szCs w:val="22"/>
        </w:rPr>
        <w:t>,</w:t>
      </w:r>
      <w:r>
        <w:rPr>
          <w:szCs w:val="22"/>
        </w:rPr>
        <w:t xml:space="preserve"> for each HTISC</w:t>
      </w:r>
      <w:r w:rsidR="00887295">
        <w:rPr>
          <w:szCs w:val="22"/>
        </w:rPr>
        <w:t>,</w:t>
      </w:r>
      <w:r>
        <w:rPr>
          <w:szCs w:val="22"/>
        </w:rPr>
        <w:t xml:space="preserve"> the number of units imported and the weight of </w:t>
      </w:r>
      <w:r w:rsidR="00887295">
        <w:rPr>
          <w:szCs w:val="22"/>
        </w:rPr>
        <w:t xml:space="preserve">these </w:t>
      </w:r>
      <w:r>
        <w:rPr>
          <w:szCs w:val="22"/>
        </w:rPr>
        <w:t xml:space="preserve">units.  </w:t>
      </w:r>
    </w:p>
    <w:p w:rsidR="000B3AB0" w:rsidRDefault="000B3AB0" w:rsidP="000B3AB0">
      <w:pPr>
        <w:rPr>
          <w:szCs w:val="22"/>
        </w:rPr>
      </w:pPr>
    </w:p>
    <w:p w:rsidR="000B3AB0" w:rsidRDefault="000B3AB0" w:rsidP="000B3AB0">
      <w:pPr>
        <w:rPr>
          <w:szCs w:val="22"/>
        </w:rPr>
      </w:pPr>
      <w:r>
        <w:rPr>
          <w:szCs w:val="22"/>
        </w:rPr>
        <w:t>While 2010-11 data was required in order for the conversion factors to be based on the most recent year’s import data, the previous three years of data was requested in order to provide an indication of how well the factors may hold their validity over time.</w:t>
      </w:r>
    </w:p>
    <w:p w:rsidR="000B3AB0" w:rsidRDefault="000B3AB0" w:rsidP="000B3AB0">
      <w:pPr>
        <w:rPr>
          <w:szCs w:val="22"/>
        </w:rPr>
      </w:pPr>
    </w:p>
    <w:p w:rsidR="000B3AB0" w:rsidRDefault="000B3AB0" w:rsidP="000B3AB0">
      <w:pPr>
        <w:rPr>
          <w:szCs w:val="22"/>
        </w:rPr>
      </w:pPr>
      <w:r>
        <w:rPr>
          <w:szCs w:val="22"/>
        </w:rPr>
        <w:t>The underlying assumption to this approach was that unit/weight information provided by brand owners is representative of all of Australia’s imports (for the designated HTISCs).</w:t>
      </w:r>
    </w:p>
    <w:p w:rsidR="00DC01D6" w:rsidRDefault="00DC01D6" w:rsidP="000B3AB0">
      <w:pPr>
        <w:rPr>
          <w:szCs w:val="22"/>
        </w:rPr>
      </w:pPr>
    </w:p>
    <w:p w:rsidR="00835836" w:rsidRDefault="00835836" w:rsidP="000B3AB0">
      <w:pPr>
        <w:rPr>
          <w:szCs w:val="22"/>
        </w:rPr>
      </w:pPr>
    </w:p>
    <w:p w:rsidR="000B3AB0" w:rsidRDefault="000B3AB0" w:rsidP="000B3AB0">
      <w:pPr>
        <w:rPr>
          <w:rFonts w:ascii="Arial" w:hAnsi="Arial" w:cs="Arial"/>
          <w:b/>
          <w:szCs w:val="22"/>
        </w:rPr>
      </w:pPr>
      <w:r w:rsidRPr="00717A50">
        <w:rPr>
          <w:rFonts w:ascii="Arial" w:hAnsi="Arial" w:cs="Arial"/>
          <w:b/>
          <w:szCs w:val="22"/>
        </w:rPr>
        <w:t>Brand owner participation</w:t>
      </w:r>
    </w:p>
    <w:p w:rsidR="000B3AB0" w:rsidRDefault="000B3AB0" w:rsidP="000B3AB0">
      <w:pPr>
        <w:rPr>
          <w:szCs w:val="22"/>
        </w:rPr>
      </w:pPr>
    </w:p>
    <w:p w:rsidR="000B3AB0" w:rsidRDefault="000B3AB0" w:rsidP="000B3AB0">
      <w:pPr>
        <w:rPr>
          <w:szCs w:val="22"/>
        </w:rPr>
      </w:pPr>
      <w:r>
        <w:rPr>
          <w:szCs w:val="22"/>
        </w:rPr>
        <w:t xml:space="preserve">While it was agreed to consult with around ten brand owners for this exercise, all members of the two relevant industry associations were invited. The conversion factors incorporate all brand owners that responded and provided data. In addition, the Department assisted with the exercise by inviting several peripherals importers (who are not members of either industry association) to participate, of which one did.  </w:t>
      </w:r>
    </w:p>
    <w:p w:rsidR="000B3AB0" w:rsidRDefault="000B3AB0" w:rsidP="000B3AB0">
      <w:pPr>
        <w:rPr>
          <w:szCs w:val="22"/>
        </w:rPr>
      </w:pPr>
    </w:p>
    <w:p w:rsidR="000B3AB0" w:rsidRDefault="000B3AB0" w:rsidP="000B3AB0">
      <w:pPr>
        <w:rPr>
          <w:szCs w:val="22"/>
        </w:rPr>
      </w:pPr>
      <w:r>
        <w:rPr>
          <w:szCs w:val="22"/>
        </w:rPr>
        <w:t>Twelve brand owners provided data for the exercise:</w:t>
      </w:r>
      <w:r w:rsidRPr="00B368D0">
        <w:rPr>
          <w:szCs w:val="22"/>
        </w:rPr>
        <w:t xml:space="preserve"> </w:t>
      </w:r>
      <w:r w:rsidR="00B10089" w:rsidRPr="006C694A">
        <w:rPr>
          <w:szCs w:val="22"/>
        </w:rPr>
        <w:t>ACCO</w:t>
      </w:r>
      <w:r w:rsidR="00B10089" w:rsidRPr="00B368D0">
        <w:rPr>
          <w:szCs w:val="22"/>
        </w:rPr>
        <w:t>,</w:t>
      </w:r>
      <w:r w:rsidR="00B10089" w:rsidRPr="00B10089">
        <w:rPr>
          <w:szCs w:val="22"/>
        </w:rPr>
        <w:t xml:space="preserve"> </w:t>
      </w:r>
      <w:r w:rsidR="00B10089" w:rsidRPr="006C694A">
        <w:rPr>
          <w:szCs w:val="22"/>
        </w:rPr>
        <w:t>Apple</w:t>
      </w:r>
      <w:r w:rsidR="00B10089" w:rsidRPr="00B368D0">
        <w:rPr>
          <w:szCs w:val="22"/>
        </w:rPr>
        <w:t xml:space="preserve">, </w:t>
      </w:r>
      <w:r w:rsidR="00B10089" w:rsidRPr="006C694A">
        <w:rPr>
          <w:szCs w:val="22"/>
        </w:rPr>
        <w:t>Canon</w:t>
      </w:r>
      <w:r w:rsidR="00B10089" w:rsidRPr="00B368D0">
        <w:rPr>
          <w:szCs w:val="22"/>
        </w:rPr>
        <w:t xml:space="preserve">, </w:t>
      </w:r>
      <w:r w:rsidR="00B10089" w:rsidRPr="006C694A">
        <w:rPr>
          <w:szCs w:val="22"/>
        </w:rPr>
        <w:t>Epson</w:t>
      </w:r>
      <w:r w:rsidR="00B10089" w:rsidRPr="00B368D0">
        <w:rPr>
          <w:szCs w:val="22"/>
        </w:rPr>
        <w:t xml:space="preserve">, </w:t>
      </w:r>
      <w:r w:rsidR="00B10089" w:rsidRPr="006C694A">
        <w:rPr>
          <w:szCs w:val="22"/>
        </w:rPr>
        <w:t>Fuji Xerox</w:t>
      </w:r>
      <w:r w:rsidR="00B10089" w:rsidRPr="00B368D0">
        <w:rPr>
          <w:szCs w:val="22"/>
        </w:rPr>
        <w:t>,</w:t>
      </w:r>
      <w:r w:rsidR="00B10089" w:rsidRPr="00B10089">
        <w:rPr>
          <w:szCs w:val="22"/>
        </w:rPr>
        <w:t xml:space="preserve"> </w:t>
      </w:r>
      <w:r w:rsidR="00B10089" w:rsidRPr="006C694A">
        <w:rPr>
          <w:szCs w:val="22"/>
        </w:rPr>
        <w:t>HP</w:t>
      </w:r>
      <w:r w:rsidR="00B10089" w:rsidRPr="00B368D0">
        <w:rPr>
          <w:szCs w:val="22"/>
        </w:rPr>
        <w:t xml:space="preserve">, </w:t>
      </w:r>
      <w:r w:rsidR="00B10089" w:rsidRPr="006C694A">
        <w:rPr>
          <w:szCs w:val="22"/>
        </w:rPr>
        <w:t>Lenovo</w:t>
      </w:r>
      <w:r w:rsidR="00B10089" w:rsidRPr="00B368D0">
        <w:rPr>
          <w:szCs w:val="22"/>
        </w:rPr>
        <w:t>,</w:t>
      </w:r>
      <w:r w:rsidR="00B10089">
        <w:rPr>
          <w:szCs w:val="22"/>
        </w:rPr>
        <w:t xml:space="preserve"> </w:t>
      </w:r>
      <w:r w:rsidR="00B10089" w:rsidRPr="006C694A">
        <w:rPr>
          <w:szCs w:val="22"/>
        </w:rPr>
        <w:t>LG</w:t>
      </w:r>
      <w:r w:rsidR="00B10089">
        <w:rPr>
          <w:szCs w:val="22"/>
        </w:rPr>
        <w:t>,</w:t>
      </w:r>
      <w:r w:rsidR="00B10089" w:rsidRPr="00B368D0">
        <w:rPr>
          <w:szCs w:val="22"/>
        </w:rPr>
        <w:t xml:space="preserve"> </w:t>
      </w:r>
      <w:r w:rsidR="00B10089" w:rsidRPr="006C694A">
        <w:rPr>
          <w:szCs w:val="22"/>
        </w:rPr>
        <w:t>Panasonic</w:t>
      </w:r>
      <w:r w:rsidR="00B10089">
        <w:rPr>
          <w:szCs w:val="22"/>
        </w:rPr>
        <w:t>,</w:t>
      </w:r>
      <w:r w:rsidR="00B10089" w:rsidRPr="00B10089">
        <w:rPr>
          <w:szCs w:val="22"/>
        </w:rPr>
        <w:t xml:space="preserve"> </w:t>
      </w:r>
      <w:r w:rsidR="00B10089" w:rsidRPr="006C694A">
        <w:rPr>
          <w:szCs w:val="22"/>
        </w:rPr>
        <w:t>Sanyo</w:t>
      </w:r>
      <w:r w:rsidR="00B10089" w:rsidRPr="00B368D0">
        <w:rPr>
          <w:szCs w:val="22"/>
        </w:rPr>
        <w:t xml:space="preserve">, </w:t>
      </w:r>
      <w:r w:rsidRPr="006C694A">
        <w:rPr>
          <w:szCs w:val="22"/>
        </w:rPr>
        <w:t>Sony</w:t>
      </w:r>
      <w:r w:rsidRPr="00B368D0">
        <w:rPr>
          <w:szCs w:val="22"/>
        </w:rPr>
        <w:t xml:space="preserve">, and </w:t>
      </w:r>
      <w:r w:rsidR="00B10089" w:rsidRPr="006C694A">
        <w:rPr>
          <w:szCs w:val="22"/>
        </w:rPr>
        <w:t>Toshiba</w:t>
      </w:r>
      <w:r>
        <w:rPr>
          <w:szCs w:val="22"/>
        </w:rPr>
        <w:t>.</w:t>
      </w:r>
    </w:p>
    <w:p w:rsidR="000B3AB0" w:rsidRDefault="000B3AB0" w:rsidP="000B3AB0">
      <w:pPr>
        <w:rPr>
          <w:szCs w:val="22"/>
        </w:rPr>
      </w:pPr>
    </w:p>
    <w:p w:rsidR="000B3AB0" w:rsidRDefault="000B3AB0" w:rsidP="000B3AB0">
      <w:pPr>
        <w:rPr>
          <w:rFonts w:ascii="Arial" w:hAnsi="Arial" w:cs="Arial"/>
          <w:b/>
          <w:szCs w:val="22"/>
        </w:rPr>
      </w:pPr>
      <w:r w:rsidRPr="00717A50">
        <w:rPr>
          <w:rFonts w:ascii="Arial" w:hAnsi="Arial" w:cs="Arial"/>
          <w:b/>
          <w:szCs w:val="22"/>
        </w:rPr>
        <w:t>Sample size</w:t>
      </w:r>
    </w:p>
    <w:p w:rsidR="000B3AB0" w:rsidRDefault="000B3AB0" w:rsidP="000B3AB0">
      <w:pPr>
        <w:rPr>
          <w:b/>
          <w:szCs w:val="22"/>
        </w:rPr>
      </w:pPr>
    </w:p>
    <w:p w:rsidR="000B3AB0" w:rsidRDefault="000B3AB0" w:rsidP="000B3AB0">
      <w:pPr>
        <w:rPr>
          <w:szCs w:val="22"/>
        </w:rPr>
      </w:pPr>
      <w:r w:rsidRPr="009B257E">
        <w:rPr>
          <w:szCs w:val="22"/>
        </w:rPr>
        <w:t>The s</w:t>
      </w:r>
      <w:r>
        <w:rPr>
          <w:szCs w:val="22"/>
        </w:rPr>
        <w:t>ample size (in terms of number of brand stakeholders consulted) was determined by the number of brand owners who responded. More pertinent to the exercise was the sample size per HTISC (i.e.</w:t>
      </w:r>
      <w:r w:rsidR="007D31A1">
        <w:rPr>
          <w:szCs w:val="22"/>
        </w:rPr>
        <w:t>,</w:t>
      </w:r>
      <w:r>
        <w:rPr>
          <w:szCs w:val="22"/>
        </w:rPr>
        <w:t xml:space="preserve"> the number of units included in the exercise as a percentage of the total).  </w:t>
      </w:r>
    </w:p>
    <w:p w:rsidR="000B3AB0" w:rsidRDefault="000B3AB0" w:rsidP="000B3AB0">
      <w:pPr>
        <w:rPr>
          <w:szCs w:val="22"/>
        </w:rPr>
      </w:pPr>
    </w:p>
    <w:p w:rsidR="000B3AB0" w:rsidRDefault="000B3AB0" w:rsidP="000B3AB0">
      <w:pPr>
        <w:rPr>
          <w:szCs w:val="22"/>
        </w:rPr>
      </w:pPr>
      <w:r>
        <w:rPr>
          <w:szCs w:val="22"/>
        </w:rPr>
        <w:t>An estimate of the number of units imported under each HTISC is available from the Australian Bureau of Statistics and was provided to Perchards/MS2 in an appropriate format by the Department.</w:t>
      </w:r>
    </w:p>
    <w:p w:rsidR="000B3AB0" w:rsidRDefault="000B3AB0" w:rsidP="000B3AB0">
      <w:pPr>
        <w:rPr>
          <w:szCs w:val="22"/>
        </w:rPr>
      </w:pPr>
    </w:p>
    <w:p w:rsidR="000B3AB0" w:rsidRDefault="000B3AB0" w:rsidP="000B3AB0">
      <w:pPr>
        <w:rPr>
          <w:szCs w:val="22"/>
        </w:rPr>
      </w:pPr>
      <w:r>
        <w:rPr>
          <w:szCs w:val="22"/>
        </w:rPr>
        <w:t xml:space="preserve">With every brand owner’s data set, the number of units imported within each HTSIC was summed to determine the percentage of all imports included in the exercise. This helped to determine whether sufficient unit/weight data had been collected and also gives an indication of robustness of the derived conversion factors.  </w:t>
      </w:r>
    </w:p>
    <w:p w:rsidR="000B3AB0" w:rsidRDefault="000B3AB0" w:rsidP="000B3AB0">
      <w:pPr>
        <w:rPr>
          <w:szCs w:val="22"/>
        </w:rPr>
      </w:pPr>
    </w:p>
    <w:p w:rsidR="000B3AB0" w:rsidRDefault="000B3AB0" w:rsidP="000B3AB0">
      <w:pPr>
        <w:rPr>
          <w:szCs w:val="22"/>
        </w:rPr>
      </w:pPr>
      <w:r>
        <w:rPr>
          <w:szCs w:val="22"/>
        </w:rPr>
        <w:t>An aim of 70% representation was set out in the feasibility study. In practice</w:t>
      </w:r>
      <w:r w:rsidR="00ED17F8">
        <w:rPr>
          <w:szCs w:val="22"/>
        </w:rPr>
        <w:t>,</w:t>
      </w:r>
      <w:r>
        <w:rPr>
          <w:szCs w:val="22"/>
        </w:rPr>
        <w:t xml:space="preserve"> this varied from </w:t>
      </w:r>
      <w:r w:rsidR="00887295">
        <w:rPr>
          <w:szCs w:val="22"/>
        </w:rPr>
        <w:t xml:space="preserve">zero representation of total imports </w:t>
      </w:r>
      <w:r>
        <w:rPr>
          <w:szCs w:val="22"/>
        </w:rPr>
        <w:t>to 533%</w:t>
      </w:r>
      <w:r w:rsidR="00887295">
        <w:rPr>
          <w:szCs w:val="22"/>
        </w:rPr>
        <w:t xml:space="preserve"> representation of total imports</w:t>
      </w:r>
      <w:r>
        <w:rPr>
          <w:szCs w:val="22"/>
        </w:rPr>
        <w:t>, demonstrating a discrepancy between how brand</w:t>
      </w:r>
      <w:r w:rsidR="00ED17F8">
        <w:rPr>
          <w:szCs w:val="22"/>
        </w:rPr>
        <w:t xml:space="preserve"> owner</w:t>
      </w:r>
      <w:r>
        <w:rPr>
          <w:szCs w:val="22"/>
        </w:rPr>
        <w:t>s reported data for this exercise and how importers report data to ABS. The feasibility study provides further details around data and reporting issues.</w:t>
      </w:r>
    </w:p>
    <w:p w:rsidR="000B3AB0" w:rsidRDefault="000B3AB0" w:rsidP="000B3AB0">
      <w:pPr>
        <w:rPr>
          <w:b/>
          <w:szCs w:val="22"/>
        </w:rPr>
      </w:pPr>
    </w:p>
    <w:p w:rsidR="00835836" w:rsidRDefault="00835836" w:rsidP="000B3AB0">
      <w:pPr>
        <w:rPr>
          <w:b/>
          <w:szCs w:val="22"/>
        </w:rPr>
      </w:pPr>
    </w:p>
    <w:p w:rsidR="000B3AB0" w:rsidRDefault="000B3AB0" w:rsidP="000B3AB0">
      <w:pPr>
        <w:rPr>
          <w:rFonts w:ascii="Arial" w:hAnsi="Arial" w:cs="Arial"/>
          <w:b/>
          <w:szCs w:val="22"/>
        </w:rPr>
      </w:pPr>
      <w:r w:rsidRPr="00717A50">
        <w:rPr>
          <w:rFonts w:ascii="Arial" w:hAnsi="Arial" w:cs="Arial"/>
          <w:b/>
          <w:szCs w:val="22"/>
        </w:rPr>
        <w:t>Data sought</w:t>
      </w:r>
    </w:p>
    <w:p w:rsidR="000B3AB0" w:rsidRDefault="000B3AB0" w:rsidP="000B3AB0">
      <w:pPr>
        <w:rPr>
          <w:szCs w:val="22"/>
        </w:rPr>
      </w:pPr>
    </w:p>
    <w:p w:rsidR="000B3AB0" w:rsidRPr="002540D7" w:rsidRDefault="000B3AB0" w:rsidP="000B3AB0">
      <w:pPr>
        <w:rPr>
          <w:szCs w:val="22"/>
        </w:rPr>
      </w:pPr>
      <w:r w:rsidRPr="002540D7">
        <w:rPr>
          <w:szCs w:val="22"/>
        </w:rPr>
        <w:t>Participants were provided with a reporting template</w:t>
      </w:r>
      <w:r w:rsidR="001E43AB">
        <w:rPr>
          <w:szCs w:val="22"/>
        </w:rPr>
        <w:t xml:space="preserve"> (Attachment 1)</w:t>
      </w:r>
      <w:r w:rsidRPr="002540D7">
        <w:rPr>
          <w:szCs w:val="22"/>
        </w:rPr>
        <w:t xml:space="preserve"> </w:t>
      </w:r>
      <w:r>
        <w:rPr>
          <w:szCs w:val="22"/>
        </w:rPr>
        <w:t>i</w:t>
      </w:r>
      <w:r w:rsidRPr="002540D7">
        <w:rPr>
          <w:szCs w:val="22"/>
        </w:rPr>
        <w:t>n Excel format in which to record, for each tariff code:</w:t>
      </w:r>
    </w:p>
    <w:p w:rsidR="000B3AB0" w:rsidRDefault="000B3AB0" w:rsidP="000B3AB0">
      <w:pPr>
        <w:rPr>
          <w:szCs w:val="22"/>
        </w:rPr>
      </w:pPr>
    </w:p>
    <w:p w:rsidR="000B3AB0" w:rsidRDefault="000B3AB0" w:rsidP="000B3AB0">
      <w:pPr>
        <w:rPr>
          <w:szCs w:val="22"/>
        </w:rPr>
      </w:pPr>
      <w:r w:rsidRPr="002540D7">
        <w:rPr>
          <w:szCs w:val="22"/>
        </w:rPr>
        <w:t>For each</w:t>
      </w:r>
      <w:r>
        <w:rPr>
          <w:szCs w:val="22"/>
        </w:rPr>
        <w:t xml:space="preserve"> model imported under the identified HTISCs:</w:t>
      </w:r>
    </w:p>
    <w:p w:rsidR="000B3AB0" w:rsidRDefault="000B3AB0" w:rsidP="000B3AB0">
      <w:pPr>
        <w:pStyle w:val="ListParagraph"/>
        <w:numPr>
          <w:ilvl w:val="0"/>
          <w:numId w:val="26"/>
        </w:numPr>
        <w:spacing w:after="200" w:line="276" w:lineRule="auto"/>
        <w:rPr>
          <w:szCs w:val="22"/>
        </w:rPr>
      </w:pPr>
      <w:r w:rsidRPr="002540D7">
        <w:rPr>
          <w:szCs w:val="22"/>
        </w:rPr>
        <w:t>The code the</w:t>
      </w:r>
      <w:r>
        <w:rPr>
          <w:szCs w:val="22"/>
        </w:rPr>
        <w:t xml:space="preserve"> model</w:t>
      </w:r>
      <w:r w:rsidRPr="002540D7">
        <w:rPr>
          <w:szCs w:val="22"/>
        </w:rPr>
        <w:t xml:space="preserve"> is imported under</w:t>
      </w:r>
    </w:p>
    <w:p w:rsidR="000B3AB0" w:rsidRDefault="000B3AB0" w:rsidP="000B3AB0">
      <w:pPr>
        <w:pStyle w:val="ListParagraph"/>
        <w:numPr>
          <w:ilvl w:val="0"/>
          <w:numId w:val="26"/>
        </w:numPr>
        <w:spacing w:after="200" w:line="276" w:lineRule="auto"/>
        <w:rPr>
          <w:szCs w:val="22"/>
        </w:rPr>
      </w:pPr>
      <w:r w:rsidRPr="002540D7">
        <w:rPr>
          <w:szCs w:val="22"/>
        </w:rPr>
        <w:t xml:space="preserve">The </w:t>
      </w:r>
      <w:r>
        <w:rPr>
          <w:szCs w:val="22"/>
        </w:rPr>
        <w:t>model</w:t>
      </w:r>
      <w:r w:rsidRPr="002540D7">
        <w:rPr>
          <w:szCs w:val="22"/>
        </w:rPr>
        <w:t xml:space="preserve"> weight </w:t>
      </w:r>
    </w:p>
    <w:p w:rsidR="000B3AB0" w:rsidRDefault="000B3AB0" w:rsidP="000B3AB0">
      <w:pPr>
        <w:pStyle w:val="ListParagraph"/>
        <w:numPr>
          <w:ilvl w:val="0"/>
          <w:numId w:val="26"/>
        </w:numPr>
        <w:spacing w:after="200" w:line="276" w:lineRule="auto"/>
        <w:rPr>
          <w:szCs w:val="22"/>
        </w:rPr>
      </w:pPr>
      <w:r w:rsidRPr="002540D7">
        <w:rPr>
          <w:szCs w:val="22"/>
        </w:rPr>
        <w:t xml:space="preserve">The number of units imported for three years’ worth of data. </w:t>
      </w:r>
    </w:p>
    <w:p w:rsidR="000B3AB0" w:rsidRDefault="000B3AB0" w:rsidP="000B3AB0">
      <w:pPr>
        <w:rPr>
          <w:szCs w:val="22"/>
        </w:rPr>
      </w:pPr>
    </w:p>
    <w:p w:rsidR="00162EB5" w:rsidRDefault="000B3AB0">
      <w:pPr>
        <w:pStyle w:val="Heading2"/>
        <w:numPr>
          <w:ilvl w:val="1"/>
          <w:numId w:val="33"/>
        </w:numPr>
        <w:ind w:left="499" w:hanging="499"/>
      </w:pPr>
      <w:bookmarkStart w:id="87" w:name="_Toc304967209"/>
      <w:r>
        <w:t>Data Analysis</w:t>
      </w:r>
      <w:bookmarkEnd w:id="87"/>
    </w:p>
    <w:p w:rsidR="000B3AB0" w:rsidRDefault="000B3AB0" w:rsidP="000B3AB0"/>
    <w:p w:rsidR="000B3AB0" w:rsidRDefault="000B3AB0" w:rsidP="000B3AB0">
      <w:pPr>
        <w:rPr>
          <w:rFonts w:ascii="Arial" w:hAnsi="Arial" w:cs="Arial"/>
          <w:b/>
          <w:sz w:val="24"/>
        </w:rPr>
      </w:pPr>
    </w:p>
    <w:p w:rsidR="000B3AB0" w:rsidRDefault="000B3AB0" w:rsidP="000B3AB0">
      <w:r>
        <w:t>Perchards/MS2 undert</w:t>
      </w:r>
      <w:r w:rsidR="005A2B75">
        <w:t>oo</w:t>
      </w:r>
      <w:r>
        <w:t xml:space="preserve">k this analysis for both 2007 and the new 2012 </w:t>
      </w:r>
      <w:r>
        <w:rPr>
          <w:szCs w:val="22"/>
        </w:rPr>
        <w:t>Harmonized Tariff Item Statistical</w:t>
      </w:r>
      <w:r w:rsidRPr="00E206B2">
        <w:rPr>
          <w:szCs w:val="22"/>
        </w:rPr>
        <w:t xml:space="preserve"> </w:t>
      </w:r>
      <w:r>
        <w:rPr>
          <w:szCs w:val="22"/>
        </w:rPr>
        <w:t>C</w:t>
      </w:r>
      <w:r w:rsidRPr="00E206B2">
        <w:rPr>
          <w:szCs w:val="22"/>
        </w:rPr>
        <w:t>odes</w:t>
      </w:r>
      <w:r>
        <w:t>. The report distinguishes between the 2007 and 2012 codes with a prefix of either SC07 or SC12 before the ten digit code.</w:t>
      </w:r>
    </w:p>
    <w:p w:rsidR="000B3AB0" w:rsidRDefault="000B3AB0" w:rsidP="000B3AB0"/>
    <w:p w:rsidR="000B3AB0" w:rsidRDefault="000B3AB0" w:rsidP="000B3AB0">
      <w:r>
        <w:t>The analysis was also carried out for the higher level eight digit Customs Tariff Code Number (denoted by CTCN) to consider whether higher level codes would be appropriate where there is insufficient data to develop conversion factors for the HTISCs.</w:t>
      </w:r>
    </w:p>
    <w:p w:rsidR="000B3AB0" w:rsidRDefault="000B3AB0" w:rsidP="000B3AB0">
      <w:pPr>
        <w:rPr>
          <w:rFonts w:ascii="Arial" w:hAnsi="Arial" w:cs="Arial"/>
          <w:b/>
          <w:sz w:val="24"/>
        </w:rPr>
      </w:pPr>
    </w:p>
    <w:p w:rsidR="000B3AB0" w:rsidRDefault="000B3AB0" w:rsidP="000B3AB0">
      <w:r>
        <w:t>Incoming datasets from participating brands were entered into a purposely designed Excel model to produce a number of statistics, charts and analyses for each HTISC. These include:</w:t>
      </w:r>
    </w:p>
    <w:p w:rsidR="000B3AB0" w:rsidRDefault="000B3AB0" w:rsidP="000B3AB0">
      <w:pPr>
        <w:pStyle w:val="ListParagraph"/>
        <w:numPr>
          <w:ilvl w:val="0"/>
          <w:numId w:val="30"/>
        </w:numPr>
      </w:pPr>
      <w:r>
        <w:t>frequency distribution chart for individual item weights</w:t>
      </w:r>
    </w:p>
    <w:p w:rsidR="000B3AB0" w:rsidRDefault="000B3AB0" w:rsidP="000B3AB0">
      <w:pPr>
        <w:pStyle w:val="ListParagraph"/>
        <w:numPr>
          <w:ilvl w:val="0"/>
          <w:numId w:val="30"/>
        </w:numPr>
      </w:pPr>
      <w:r>
        <w:t>frequency distribution chart for number of items imported</w:t>
      </w:r>
    </w:p>
    <w:p w:rsidR="000B3AB0" w:rsidRDefault="000B3AB0" w:rsidP="000B3AB0">
      <w:pPr>
        <w:pStyle w:val="ListParagraph"/>
        <w:numPr>
          <w:ilvl w:val="0"/>
          <w:numId w:val="30"/>
        </w:numPr>
      </w:pPr>
      <w:r>
        <w:t>chart comparing brand and average weighted mean weights</w:t>
      </w:r>
    </w:p>
    <w:p w:rsidR="000B3AB0" w:rsidRDefault="000B3AB0" w:rsidP="000B3AB0">
      <w:pPr>
        <w:pStyle w:val="ListParagraph"/>
        <w:numPr>
          <w:ilvl w:val="0"/>
          <w:numId w:val="30"/>
        </w:numPr>
      </w:pPr>
      <w:r>
        <w:t>number of ABS imports and % coverage by sample</w:t>
      </w:r>
    </w:p>
    <w:p w:rsidR="000B3AB0" w:rsidRDefault="000B3AB0" w:rsidP="000B3AB0">
      <w:pPr>
        <w:pStyle w:val="ListParagraph"/>
        <w:numPr>
          <w:ilvl w:val="0"/>
          <w:numId w:val="30"/>
        </w:numPr>
      </w:pPr>
      <w:r>
        <w:t>m</w:t>
      </w:r>
      <w:r w:rsidRPr="00A94D2C">
        <w:t xml:space="preserve">aximum </w:t>
      </w:r>
      <w:r>
        <w:t xml:space="preserve"> and minimum i</w:t>
      </w:r>
      <w:r w:rsidRPr="00294F10">
        <w:t>tem weight</w:t>
      </w:r>
      <w:r>
        <w:t>s</w:t>
      </w:r>
    </w:p>
    <w:p w:rsidR="000B3AB0" w:rsidRDefault="000B3AB0" w:rsidP="000B3AB0">
      <w:pPr>
        <w:pStyle w:val="ListParagraph"/>
        <w:numPr>
          <w:ilvl w:val="0"/>
          <w:numId w:val="30"/>
        </w:numPr>
      </w:pPr>
      <w:r>
        <w:t>s</w:t>
      </w:r>
      <w:r w:rsidRPr="00A94D2C">
        <w:t>tandard deviation</w:t>
      </w:r>
    </w:p>
    <w:p w:rsidR="000B3AB0" w:rsidRDefault="000B3AB0" w:rsidP="000B3AB0">
      <w:pPr>
        <w:pStyle w:val="ListParagraph"/>
        <w:numPr>
          <w:ilvl w:val="0"/>
          <w:numId w:val="30"/>
        </w:numPr>
      </w:pPr>
      <w:r>
        <w:t xml:space="preserve">two measures of average: </w:t>
      </w:r>
      <w:r w:rsidRPr="00A94D2C">
        <w:t>weighted mean and weighted median</w:t>
      </w:r>
    </w:p>
    <w:p w:rsidR="000B3AB0" w:rsidRDefault="000B3AB0" w:rsidP="000B3AB0">
      <w:pPr>
        <w:pStyle w:val="ListParagraph"/>
        <w:numPr>
          <w:ilvl w:val="0"/>
          <w:numId w:val="30"/>
        </w:numPr>
      </w:pPr>
      <w:r>
        <w:t>t</w:t>
      </w:r>
      <w:r w:rsidRPr="00A94D2C">
        <w:t>wo measures of confidence: one for each measure of average</w:t>
      </w:r>
    </w:p>
    <w:p w:rsidR="000B3AB0" w:rsidRDefault="000B3AB0" w:rsidP="000B3AB0">
      <w:pPr>
        <w:pStyle w:val="ListParagraph"/>
        <w:numPr>
          <w:ilvl w:val="0"/>
          <w:numId w:val="30"/>
        </w:numPr>
      </w:pPr>
      <w:r>
        <w:t>the proposed conversion factor</w:t>
      </w:r>
    </w:p>
    <w:p w:rsidR="000B3AB0" w:rsidRDefault="000B3AB0" w:rsidP="000B3AB0">
      <w:pPr>
        <w:pStyle w:val="ListParagraph"/>
        <w:numPr>
          <w:ilvl w:val="0"/>
          <w:numId w:val="30"/>
        </w:numPr>
      </w:pPr>
      <w:r>
        <w:t>a</w:t>
      </w:r>
      <w:r w:rsidRPr="00A94D2C">
        <w:t>n indication of the validity over time</w:t>
      </w:r>
    </w:p>
    <w:p w:rsidR="000B3AB0" w:rsidRDefault="000B3AB0" w:rsidP="000B3AB0">
      <w:pPr>
        <w:pStyle w:val="ListParagraph"/>
        <w:numPr>
          <w:ilvl w:val="0"/>
          <w:numId w:val="30"/>
        </w:numPr>
      </w:pPr>
      <w:r>
        <w:t>a sensitivity analysis</w:t>
      </w:r>
    </w:p>
    <w:p w:rsidR="000B3AB0" w:rsidRPr="00F72A0A" w:rsidRDefault="000B3AB0" w:rsidP="000B3AB0">
      <w:pPr>
        <w:pStyle w:val="ListParagraph"/>
        <w:numPr>
          <w:ilvl w:val="0"/>
          <w:numId w:val="30"/>
        </w:numPr>
      </w:pPr>
      <w:r>
        <w:t xml:space="preserve">an </w:t>
      </w:r>
      <w:r w:rsidRPr="00F72A0A">
        <w:t>asses</w:t>
      </w:r>
      <w:r>
        <w:t xml:space="preserve">sment of </w:t>
      </w:r>
      <w:r w:rsidRPr="00F72A0A">
        <w:t xml:space="preserve"> the impact of applying factors for all codes</w:t>
      </w:r>
    </w:p>
    <w:p w:rsidR="000B3AB0" w:rsidRDefault="000B3AB0" w:rsidP="000B3AB0"/>
    <w:p w:rsidR="000B3AB0" w:rsidRDefault="000B3AB0" w:rsidP="000B3AB0">
      <w:r>
        <w:t xml:space="preserve">Note that the analysis refers to the ‘conversion factor year’. This is the year of import data used to develop the factor. For most codes this </w:t>
      </w:r>
      <w:r w:rsidR="00D67466">
        <w:t xml:space="preserve">year was </w:t>
      </w:r>
      <w:r>
        <w:t>2010-11.  In some cases no unit/weight information was available for 2010-11 and so previous years were used</w:t>
      </w:r>
      <w:r w:rsidR="00ED17F8">
        <w:t xml:space="preserve"> as indicated</w:t>
      </w:r>
      <w:r>
        <w:t xml:space="preserve">. </w:t>
      </w:r>
    </w:p>
    <w:p w:rsidR="000B3AB0" w:rsidRDefault="000B3AB0" w:rsidP="000B3AB0">
      <w:pPr>
        <w:ind w:left="360"/>
      </w:pPr>
    </w:p>
    <w:p w:rsidR="000B3AB0" w:rsidRDefault="000B3AB0" w:rsidP="000B3AB0">
      <w:r>
        <w:t xml:space="preserve">The relevance of each of these is described below in the context of SC07 </w:t>
      </w:r>
      <w:r w:rsidRPr="00FD71FA">
        <w:t>8443.31.00 61</w:t>
      </w:r>
      <w:r>
        <w:t xml:space="preserve"> </w:t>
      </w:r>
      <w:r w:rsidRPr="00FD71FA">
        <w:t>Multi-function devices (MFDs)</w:t>
      </w:r>
      <w:r>
        <w:t xml:space="preserve"> – ink-jet. </w:t>
      </w:r>
    </w:p>
    <w:p w:rsidR="000B3AB0" w:rsidRDefault="000B3AB0" w:rsidP="000B3AB0"/>
    <w:p w:rsidR="000B3AB0" w:rsidRDefault="000B3AB0" w:rsidP="000B3AB0">
      <w:pPr>
        <w:rPr>
          <w:b/>
        </w:rPr>
      </w:pPr>
    </w:p>
    <w:p w:rsidR="000B3AB0" w:rsidRPr="00795C97" w:rsidRDefault="000B3AB0" w:rsidP="000B3AB0">
      <w:pPr>
        <w:jc w:val="both"/>
        <w:rPr>
          <w:rFonts w:ascii="Arial" w:hAnsi="Arial" w:cs="Arial"/>
          <w:b/>
          <w:szCs w:val="22"/>
        </w:rPr>
      </w:pPr>
      <w:r w:rsidRPr="00795C97">
        <w:rPr>
          <w:rFonts w:ascii="Arial" w:hAnsi="Arial" w:cs="Arial"/>
          <w:b/>
          <w:szCs w:val="22"/>
        </w:rPr>
        <w:t>Models Available – frequency distribution chart</w:t>
      </w:r>
    </w:p>
    <w:p w:rsidR="000B3AB0" w:rsidRDefault="000B3AB0" w:rsidP="000B3AB0"/>
    <w:p w:rsidR="000B3AB0" w:rsidRDefault="000B3AB0" w:rsidP="000B3AB0">
      <w:r>
        <w:t xml:space="preserve">Frequency distributions help to visualise the distribution of weights within each code.  </w:t>
      </w:r>
    </w:p>
    <w:p w:rsidR="000B3AB0" w:rsidRDefault="000B3AB0" w:rsidP="000B3AB0"/>
    <w:p w:rsidR="000B3AB0" w:rsidRDefault="000B3AB0" w:rsidP="000B3AB0">
      <w:r>
        <w:t>The ‘Distribution of models available’</w:t>
      </w:r>
      <w:r w:rsidRPr="00AB15E1">
        <w:t xml:space="preserve"> </w:t>
      </w:r>
      <w:r>
        <w:t xml:space="preserve">charts assign all models available under the code to one of twenty weight groups; they do not take </w:t>
      </w:r>
      <w:r w:rsidRPr="00AB15E1">
        <w:t>into account the number of units imported</w:t>
      </w:r>
      <w:r>
        <w:t>.</w:t>
      </w:r>
    </w:p>
    <w:p w:rsidR="000B3AB0" w:rsidRDefault="000B3AB0" w:rsidP="000B3AB0"/>
    <w:p w:rsidR="000B3AB0" w:rsidRDefault="000B3AB0" w:rsidP="000B3AB0"/>
    <w:p w:rsidR="0000192C" w:rsidRPr="00AB15E1" w:rsidRDefault="002652C5" w:rsidP="0000192C">
      <w:pPr>
        <w:pStyle w:val="Caption"/>
      </w:pPr>
      <w:r>
        <w:t>Figure</w:t>
      </w:r>
      <w:r w:rsidR="0000192C">
        <w:t xml:space="preserve"> </w:t>
      </w:r>
      <w:fldSimple w:instr=" STYLEREF 1 \s ">
        <w:r w:rsidR="002D292C">
          <w:rPr>
            <w:noProof/>
          </w:rPr>
          <w:t>8</w:t>
        </w:r>
      </w:fldSimple>
      <w:r>
        <w:t>-</w:t>
      </w:r>
      <w:fldSimple w:instr=" SEQ Figure \* ARABIC \s 1 ">
        <w:r w:rsidR="002D292C">
          <w:rPr>
            <w:noProof/>
          </w:rPr>
          <w:t>1</w:t>
        </w:r>
      </w:fldSimple>
      <w:r w:rsidR="0000192C">
        <w:t xml:space="preserve"> Example chart showing the distribution of models available</w:t>
      </w:r>
    </w:p>
    <w:p w:rsidR="000B3AB0" w:rsidRDefault="000B3AB0" w:rsidP="000B3AB0">
      <w:r w:rsidRPr="00F57BCA">
        <w:rPr>
          <w:noProof/>
          <w:lang w:eastAsia="en-AU"/>
        </w:rPr>
        <w:drawing>
          <wp:inline distT="0" distB="0" distL="0" distR="0">
            <wp:extent cx="4876800" cy="2984500"/>
            <wp:effectExtent l="19050" t="0" r="19050" b="6350"/>
            <wp:docPr id="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0B3AB0" w:rsidRDefault="000B3AB0" w:rsidP="000B3AB0"/>
    <w:p w:rsidR="00970A61" w:rsidRDefault="00970A61" w:rsidP="000B3AB0">
      <w:pPr>
        <w:rPr>
          <w:rFonts w:ascii="Arial" w:hAnsi="Arial" w:cs="Arial"/>
          <w:b/>
        </w:rPr>
      </w:pPr>
    </w:p>
    <w:p w:rsidR="00970A61" w:rsidRPr="00AB15E1" w:rsidRDefault="00970A61" w:rsidP="00970A61">
      <w:r>
        <w:t xml:space="preserve">As shown </w:t>
      </w:r>
      <w:r w:rsidR="00ED17F8">
        <w:t>above</w:t>
      </w:r>
      <w:r>
        <w:t xml:space="preserve">, within </w:t>
      </w:r>
      <w:r w:rsidRPr="00AB15E1">
        <w:t xml:space="preserve">MFDs – ink jet, most </w:t>
      </w:r>
      <w:r>
        <w:t>models available under the code</w:t>
      </w:r>
      <w:r w:rsidRPr="00AB15E1">
        <w:t xml:space="preserve"> are between 0 and 30 kg, </w:t>
      </w:r>
      <w:r>
        <w:t>with a very small number of models weighing more than 100 kg.</w:t>
      </w:r>
    </w:p>
    <w:p w:rsidR="00970A61" w:rsidRDefault="00970A61" w:rsidP="000B3AB0">
      <w:pPr>
        <w:rPr>
          <w:rFonts w:ascii="Arial" w:hAnsi="Arial" w:cs="Arial"/>
          <w:b/>
        </w:rPr>
      </w:pPr>
    </w:p>
    <w:p w:rsidR="00970A61" w:rsidRDefault="00970A61" w:rsidP="000B3AB0">
      <w:pPr>
        <w:rPr>
          <w:rFonts w:ascii="Arial" w:hAnsi="Arial" w:cs="Arial"/>
          <w:b/>
        </w:rPr>
      </w:pPr>
    </w:p>
    <w:p w:rsidR="000B3AB0" w:rsidRPr="00795C97" w:rsidRDefault="000B3AB0" w:rsidP="000B3AB0">
      <w:pPr>
        <w:rPr>
          <w:rFonts w:ascii="Arial" w:hAnsi="Arial" w:cs="Arial"/>
          <w:b/>
        </w:rPr>
      </w:pPr>
      <w:r w:rsidRPr="00795C97">
        <w:rPr>
          <w:rFonts w:ascii="Arial" w:hAnsi="Arial" w:cs="Arial"/>
          <w:b/>
        </w:rPr>
        <w:t>Units Imported – frequency distribution chart</w:t>
      </w:r>
    </w:p>
    <w:p w:rsidR="000B3AB0" w:rsidRDefault="000B3AB0" w:rsidP="000B3AB0"/>
    <w:p w:rsidR="000B3AB0" w:rsidRDefault="000B3AB0" w:rsidP="000B3AB0">
      <w:r>
        <w:t>The ‘Distribution of units imported’</w:t>
      </w:r>
      <w:r w:rsidRPr="00AB15E1">
        <w:t xml:space="preserve"> </w:t>
      </w:r>
      <w:r>
        <w:t>charts show the total units imported according to the same weight groups as the</w:t>
      </w:r>
      <w:r w:rsidRPr="00795C97">
        <w:t xml:space="preserve"> </w:t>
      </w:r>
      <w:r>
        <w:t>‘Distribution of models available’. Generally</w:t>
      </w:r>
      <w:r w:rsidR="00ED17F8">
        <w:t>,</w:t>
      </w:r>
      <w:r>
        <w:t xml:space="preserve"> both charts follow a similar pattern. Where a weight group shows that models are available in the ‘Distribution of models available’ chart but does not show any units as being imported, it means that none of those models were imported in the year on which the conversion factor is based.</w:t>
      </w:r>
    </w:p>
    <w:p w:rsidR="0000192C" w:rsidRDefault="0000192C" w:rsidP="000B3AB0"/>
    <w:p w:rsidR="000B3AB0" w:rsidRDefault="0000192C" w:rsidP="000B3AB0">
      <w:r>
        <w:t xml:space="preserve">Note that the ‘Distribution of models available’ chart shows the models available in any year.  The </w:t>
      </w:r>
      <w:r w:rsidR="00970A61">
        <w:t>‘Distribution of units imported’ chart shows the units imported only in the year for wh</w:t>
      </w:r>
      <w:r w:rsidR="005A2B75">
        <w:t>ich the conversion factor is de</w:t>
      </w:r>
      <w:r w:rsidR="00970A61">
        <w:t>rived.</w:t>
      </w:r>
    </w:p>
    <w:p w:rsidR="000B3AB0" w:rsidRDefault="000B3AB0" w:rsidP="000B3AB0"/>
    <w:p w:rsidR="0000192C" w:rsidRDefault="002652C5" w:rsidP="00ED17F8">
      <w:pPr>
        <w:pStyle w:val="Caption"/>
        <w:keepNext/>
        <w:keepLines/>
      </w:pPr>
      <w:r>
        <w:t>Figure</w:t>
      </w:r>
      <w:r w:rsidR="0000192C">
        <w:t xml:space="preserve"> </w:t>
      </w:r>
      <w:fldSimple w:instr=" STYLEREF 1 \s ">
        <w:r w:rsidR="002D292C">
          <w:rPr>
            <w:noProof/>
          </w:rPr>
          <w:t>8</w:t>
        </w:r>
      </w:fldSimple>
      <w:r>
        <w:t>-</w:t>
      </w:r>
      <w:fldSimple w:instr=" SEQ Figure \* ARABIC \s 1 ">
        <w:r w:rsidR="002D292C">
          <w:rPr>
            <w:noProof/>
          </w:rPr>
          <w:t>2</w:t>
        </w:r>
      </w:fldSimple>
      <w:r w:rsidR="0000192C">
        <w:t xml:space="preserve"> Example chart showing the distribution of units imported</w:t>
      </w:r>
    </w:p>
    <w:p w:rsidR="000B3AB0" w:rsidRDefault="000B3AB0" w:rsidP="000B3AB0">
      <w:r w:rsidRPr="00F57BCA">
        <w:rPr>
          <w:noProof/>
          <w:lang w:eastAsia="en-AU"/>
        </w:rPr>
        <w:drawing>
          <wp:inline distT="0" distB="0" distL="0" distR="0">
            <wp:extent cx="4889500" cy="2984500"/>
            <wp:effectExtent l="19050" t="0" r="25400" b="6350"/>
            <wp:docPr id="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0B3AB0" w:rsidRDefault="000B3AB0" w:rsidP="000B3AB0"/>
    <w:p w:rsidR="00970A61" w:rsidRPr="00AB15E1" w:rsidRDefault="00970A61" w:rsidP="00970A61">
      <w:r>
        <w:t>Most units imported under</w:t>
      </w:r>
      <w:r w:rsidRPr="00693497">
        <w:t xml:space="preserve"> </w:t>
      </w:r>
      <w:r>
        <w:t xml:space="preserve">SC07 </w:t>
      </w:r>
      <w:r w:rsidRPr="00FD71FA">
        <w:t>8443.31.00 61</w:t>
      </w:r>
      <w:r>
        <w:t xml:space="preserve"> are between 0 and 2</w:t>
      </w:r>
      <w:r w:rsidRPr="00AB15E1">
        <w:t xml:space="preserve">0 kg, </w:t>
      </w:r>
      <w:r>
        <w:t>with three units imported over 100</w:t>
      </w:r>
      <w:r w:rsidR="005A2B75">
        <w:t xml:space="preserve"> </w:t>
      </w:r>
      <w:r>
        <w:t>kg.</w:t>
      </w:r>
    </w:p>
    <w:p w:rsidR="000B3AB0" w:rsidRDefault="000B3AB0" w:rsidP="000B3AB0"/>
    <w:p w:rsidR="00A14EE0" w:rsidRDefault="00A14EE0" w:rsidP="00A14EE0"/>
    <w:p w:rsidR="000B3AB0" w:rsidRPr="00DB712A" w:rsidRDefault="000B3AB0" w:rsidP="000B3AB0">
      <w:pPr>
        <w:rPr>
          <w:rFonts w:ascii="Arial" w:hAnsi="Arial" w:cs="Arial"/>
          <w:b/>
        </w:rPr>
      </w:pPr>
      <w:r w:rsidRPr="00DB712A">
        <w:rPr>
          <w:rFonts w:ascii="Arial" w:hAnsi="Arial" w:cs="Arial"/>
          <w:b/>
        </w:rPr>
        <w:t>Chart comparing weighted mean weights</w:t>
      </w:r>
    </w:p>
    <w:p w:rsidR="00A14EE0" w:rsidRDefault="00A14EE0" w:rsidP="00A14EE0"/>
    <w:p w:rsidR="000B3AB0" w:rsidRDefault="000B3AB0" w:rsidP="000B3AB0">
      <w:pPr>
        <w:rPr>
          <w:szCs w:val="22"/>
        </w:rPr>
      </w:pPr>
      <w:r w:rsidRPr="003126A0">
        <w:rPr>
          <w:szCs w:val="22"/>
        </w:rPr>
        <w:t xml:space="preserve">This chart shows the </w:t>
      </w:r>
      <w:r w:rsidR="00C62346">
        <w:rPr>
          <w:szCs w:val="22"/>
        </w:rPr>
        <w:t>variation</w:t>
      </w:r>
      <w:r w:rsidRPr="003126A0">
        <w:rPr>
          <w:szCs w:val="22"/>
        </w:rPr>
        <w:t xml:space="preserve"> of weighted mean weights for each brand reporting under the code</w:t>
      </w:r>
      <w:r>
        <w:rPr>
          <w:szCs w:val="22"/>
        </w:rPr>
        <w:t>. They present weighted mean weights for individual brands,</w:t>
      </w:r>
      <w:r w:rsidRPr="003126A0">
        <w:rPr>
          <w:szCs w:val="22"/>
        </w:rPr>
        <w:t xml:space="preserve"> the average weighted mean weight across all brands, the average w</w:t>
      </w:r>
      <w:r>
        <w:rPr>
          <w:szCs w:val="22"/>
        </w:rPr>
        <w:t>eighted mean weight for the conversion factor year which is</w:t>
      </w:r>
      <w:r w:rsidRPr="003126A0">
        <w:rPr>
          <w:szCs w:val="22"/>
        </w:rPr>
        <w:t xml:space="preserve"> as a constant, projected across all years.  </w:t>
      </w:r>
    </w:p>
    <w:p w:rsidR="000B3AB0" w:rsidRDefault="000B3AB0" w:rsidP="000B3AB0">
      <w:pPr>
        <w:rPr>
          <w:szCs w:val="22"/>
        </w:rPr>
      </w:pPr>
    </w:p>
    <w:p w:rsidR="000B3AB0" w:rsidRDefault="000B3AB0" w:rsidP="000B3AB0">
      <w:pPr>
        <w:rPr>
          <w:szCs w:val="22"/>
        </w:rPr>
      </w:pPr>
      <w:r w:rsidRPr="003126A0">
        <w:rPr>
          <w:szCs w:val="22"/>
        </w:rPr>
        <w:t xml:space="preserve">This assists with visualising how representative the average weighted mean weight is </w:t>
      </w:r>
      <w:r>
        <w:rPr>
          <w:szCs w:val="22"/>
        </w:rPr>
        <w:t>across</w:t>
      </w:r>
      <w:r w:rsidRPr="003126A0">
        <w:rPr>
          <w:szCs w:val="22"/>
        </w:rPr>
        <w:t xml:space="preserve"> all brands: where one brand may be over or under</w:t>
      </w:r>
      <w:r w:rsidR="00016ADF">
        <w:rPr>
          <w:szCs w:val="22"/>
        </w:rPr>
        <w:t xml:space="preserve"> </w:t>
      </w:r>
      <w:r w:rsidRPr="003126A0">
        <w:rPr>
          <w:szCs w:val="22"/>
        </w:rPr>
        <w:t>represented. It also provides an indication of validity of the weighted mean over time – the assumption being that an equivalent level of variation of brand weighted means from the conversion factor within the previous three years would be observed in the following three years.</w:t>
      </w:r>
    </w:p>
    <w:p w:rsidR="000B3AB0" w:rsidRDefault="000B3AB0" w:rsidP="000B3AB0"/>
    <w:p w:rsidR="00970A61" w:rsidRDefault="00970A61" w:rsidP="000B3AB0"/>
    <w:p w:rsidR="00970A61" w:rsidRDefault="00970A61" w:rsidP="000B3AB0"/>
    <w:p w:rsidR="00970A61" w:rsidRDefault="00970A61" w:rsidP="000B3AB0"/>
    <w:p w:rsidR="00970A61" w:rsidRDefault="00970A61" w:rsidP="000B3AB0"/>
    <w:p w:rsidR="00970A61" w:rsidRDefault="00970A61" w:rsidP="000B3AB0"/>
    <w:p w:rsidR="00970A61" w:rsidRDefault="00970A61" w:rsidP="000B3AB0"/>
    <w:p w:rsidR="00970A61" w:rsidRDefault="00970A61" w:rsidP="000B3AB0"/>
    <w:p w:rsidR="00970A61" w:rsidRDefault="00970A61" w:rsidP="000B3AB0"/>
    <w:p w:rsidR="00970A61" w:rsidRDefault="00970A61" w:rsidP="000B3AB0"/>
    <w:p w:rsidR="00970A61" w:rsidRDefault="00970A61" w:rsidP="000B3AB0"/>
    <w:p w:rsidR="00970A61" w:rsidRDefault="00970A61" w:rsidP="000B3AB0"/>
    <w:p w:rsidR="00970A61" w:rsidRDefault="00970A61" w:rsidP="000B3AB0"/>
    <w:p w:rsidR="00970A61" w:rsidRDefault="002652C5" w:rsidP="00ED17F8">
      <w:pPr>
        <w:pStyle w:val="Caption"/>
        <w:keepNext/>
        <w:keepLines/>
      </w:pPr>
      <w:r>
        <w:t>Figure</w:t>
      </w:r>
      <w:r w:rsidR="00970A61">
        <w:t xml:space="preserve"> </w:t>
      </w:r>
      <w:fldSimple w:instr=" STYLEREF 1 \s ">
        <w:r w:rsidR="002D292C">
          <w:rPr>
            <w:noProof/>
          </w:rPr>
          <w:t>8</w:t>
        </w:r>
      </w:fldSimple>
      <w:r>
        <w:t>-</w:t>
      </w:r>
      <w:fldSimple w:instr=" SEQ Figure \* ARABIC \s 1 ">
        <w:r w:rsidR="002D292C">
          <w:rPr>
            <w:noProof/>
          </w:rPr>
          <w:t>3</w:t>
        </w:r>
      </w:fldSimple>
      <w:r w:rsidR="00970A61">
        <w:t xml:space="preserve"> Example chart comparing weighted mean weights of participating brands and overall</w:t>
      </w:r>
    </w:p>
    <w:p w:rsidR="000B3AB0" w:rsidRPr="00F11293" w:rsidRDefault="000B3AB0" w:rsidP="000B3AB0">
      <w:r w:rsidRPr="0047145A">
        <w:rPr>
          <w:noProof/>
          <w:lang w:eastAsia="en-AU"/>
        </w:rPr>
        <w:drawing>
          <wp:inline distT="0" distB="0" distL="0" distR="0">
            <wp:extent cx="4889500" cy="2984500"/>
            <wp:effectExtent l="19050" t="0" r="25400" b="6350"/>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A14EE0" w:rsidRDefault="00A14EE0" w:rsidP="00A14EE0"/>
    <w:p w:rsidR="00C5070B" w:rsidRDefault="00C5070B"/>
    <w:p w:rsidR="000B3AB0" w:rsidRPr="00DB712A" w:rsidRDefault="000B3AB0" w:rsidP="000B3AB0">
      <w:pPr>
        <w:rPr>
          <w:rFonts w:ascii="Arial" w:hAnsi="Arial" w:cs="Arial"/>
          <w:b/>
        </w:rPr>
      </w:pPr>
      <w:r w:rsidRPr="00DB712A">
        <w:rPr>
          <w:rFonts w:ascii="Arial" w:hAnsi="Arial" w:cs="Arial"/>
          <w:b/>
        </w:rPr>
        <w:t xml:space="preserve">Number of ABS imports and </w:t>
      </w:r>
      <w:r>
        <w:rPr>
          <w:rFonts w:ascii="Arial" w:hAnsi="Arial" w:cs="Arial"/>
          <w:b/>
        </w:rPr>
        <w:t>percentage</w:t>
      </w:r>
      <w:r w:rsidRPr="00DB712A">
        <w:rPr>
          <w:rFonts w:ascii="Arial" w:hAnsi="Arial" w:cs="Arial"/>
          <w:b/>
        </w:rPr>
        <w:t xml:space="preserve"> coverage by sample</w:t>
      </w:r>
    </w:p>
    <w:p w:rsidR="000B3AB0" w:rsidRDefault="000B3AB0" w:rsidP="000B3AB0"/>
    <w:p w:rsidR="000B3AB0" w:rsidRDefault="000B3AB0" w:rsidP="000B3AB0">
      <w:r>
        <w:t>These statistics provide an indication of robustness. For each code, the total number of units imported is known via ABS data. The number of units imported that are included in the exercise is summed across all brands (who import under that code) and coverage in the exercise is expressed as a percentage of the total number of ABS imports (</w:t>
      </w:r>
      <w:r w:rsidRPr="004444E6">
        <w:t>referred to as</w:t>
      </w:r>
      <w:r w:rsidRPr="004444E6">
        <w:rPr>
          <w:i/>
        </w:rPr>
        <w:t xml:space="preserve"> </w:t>
      </w:r>
      <w:r>
        <w:rPr>
          <w:i/>
        </w:rPr>
        <w:t>%</w:t>
      </w:r>
      <w:r w:rsidRPr="004444E6">
        <w:rPr>
          <w:i/>
        </w:rPr>
        <w:t xml:space="preserve"> of ABS imports captured)</w:t>
      </w:r>
      <w:r>
        <w:t>.</w:t>
      </w:r>
    </w:p>
    <w:p w:rsidR="000B3AB0" w:rsidRDefault="000B3AB0" w:rsidP="000B3AB0"/>
    <w:p w:rsidR="000B3AB0" w:rsidRDefault="000B3AB0" w:rsidP="000B3AB0">
      <w:pPr>
        <w:rPr>
          <w:szCs w:val="22"/>
        </w:rPr>
      </w:pPr>
      <w:r>
        <w:rPr>
          <w:szCs w:val="22"/>
        </w:rPr>
        <w:t xml:space="preserve">Note that in some cases </w:t>
      </w:r>
      <w:r w:rsidRPr="004444E6">
        <w:rPr>
          <w:szCs w:val="22"/>
        </w:rPr>
        <w:t xml:space="preserve">the </w:t>
      </w:r>
      <w:r>
        <w:t>percentage of ABS imports exceeds the</w:t>
      </w:r>
      <w:r w:rsidRPr="004444E6">
        <w:rPr>
          <w:szCs w:val="22"/>
        </w:rPr>
        <w:t xml:space="preserve"> </w:t>
      </w:r>
      <w:r>
        <w:rPr>
          <w:szCs w:val="22"/>
        </w:rPr>
        <w:t xml:space="preserve">number of ABS imports.  This is thought to be due to reporting </w:t>
      </w:r>
      <w:r w:rsidR="00016ADF">
        <w:rPr>
          <w:szCs w:val="22"/>
        </w:rPr>
        <w:t>inconsistencies</w:t>
      </w:r>
      <w:r w:rsidR="001E43AB">
        <w:rPr>
          <w:szCs w:val="22"/>
        </w:rPr>
        <w:t xml:space="preserve"> noted above</w:t>
      </w:r>
      <w:r>
        <w:rPr>
          <w:szCs w:val="22"/>
        </w:rPr>
        <w:t>. This limits the applicability of this method as an indication of robustness</w:t>
      </w:r>
      <w:r w:rsidR="001E43AB">
        <w:rPr>
          <w:szCs w:val="22"/>
        </w:rPr>
        <w:t xml:space="preserve"> as</w:t>
      </w:r>
      <w:r>
        <w:rPr>
          <w:szCs w:val="22"/>
        </w:rPr>
        <w:t xml:space="preserve"> over-reporting against one code invariably means under-reporting against another. I</w:t>
      </w:r>
      <w:r w:rsidR="001E43AB">
        <w:rPr>
          <w:szCs w:val="22"/>
        </w:rPr>
        <w:t>n instances where the percentage of ABS imports exceeds the number of ABS imports i</w:t>
      </w:r>
      <w:r>
        <w:rPr>
          <w:szCs w:val="22"/>
        </w:rPr>
        <w:t xml:space="preserve">t is considered </w:t>
      </w:r>
      <w:r w:rsidR="001E43AB">
        <w:rPr>
          <w:szCs w:val="22"/>
        </w:rPr>
        <w:t xml:space="preserve">more appropriate to apply </w:t>
      </w:r>
      <w:r>
        <w:rPr>
          <w:szCs w:val="22"/>
        </w:rPr>
        <w:t>th</w:t>
      </w:r>
      <w:r w:rsidR="001E43AB">
        <w:rPr>
          <w:szCs w:val="22"/>
        </w:rPr>
        <w:t xml:space="preserve">e conversion factor </w:t>
      </w:r>
      <w:r>
        <w:rPr>
          <w:szCs w:val="22"/>
        </w:rPr>
        <w:t>method</w:t>
      </w:r>
      <w:r w:rsidR="001E43AB">
        <w:rPr>
          <w:szCs w:val="22"/>
        </w:rPr>
        <w:t>ology</w:t>
      </w:r>
      <w:r>
        <w:rPr>
          <w:szCs w:val="22"/>
        </w:rPr>
        <w:t xml:space="preserve"> at the CTCN level </w:t>
      </w:r>
      <w:r w:rsidR="001E43AB">
        <w:rPr>
          <w:szCs w:val="22"/>
        </w:rPr>
        <w:t xml:space="preserve">rather </w:t>
      </w:r>
      <w:r>
        <w:rPr>
          <w:szCs w:val="22"/>
        </w:rPr>
        <w:t>than HTSIC level.</w:t>
      </w:r>
    </w:p>
    <w:p w:rsidR="000B3AB0" w:rsidRDefault="000B3AB0" w:rsidP="000B3AB0"/>
    <w:p w:rsidR="00970A61" w:rsidRDefault="00970A61" w:rsidP="000B3AB0"/>
    <w:p w:rsidR="000B3AB0" w:rsidRPr="00DB712A" w:rsidRDefault="000B3AB0" w:rsidP="000B3AB0">
      <w:pPr>
        <w:rPr>
          <w:rFonts w:ascii="Arial" w:hAnsi="Arial" w:cs="Arial"/>
          <w:b/>
        </w:rPr>
      </w:pPr>
      <w:r w:rsidRPr="00DB712A">
        <w:rPr>
          <w:rFonts w:ascii="Arial" w:hAnsi="Arial" w:cs="Arial"/>
          <w:b/>
        </w:rPr>
        <w:t>Maximum and minimum item weights</w:t>
      </w:r>
    </w:p>
    <w:p w:rsidR="000B3AB0" w:rsidRDefault="000B3AB0" w:rsidP="000B3AB0"/>
    <w:p w:rsidR="000B3AB0" w:rsidRDefault="000B3AB0" w:rsidP="000B3AB0">
      <w:r w:rsidRPr="00A94D2C">
        <w:t xml:space="preserve">Maximum </w:t>
      </w:r>
      <w:r>
        <w:t>and minimum</w:t>
      </w:r>
      <w:r w:rsidRPr="00294F10">
        <w:t xml:space="preserve"> weight</w:t>
      </w:r>
      <w:r>
        <w:t>s help to understand the spread of the data, although the centre point of the maximum and minimum values is not necessarily the m</w:t>
      </w:r>
      <w:r w:rsidR="00ED17F8">
        <w:t xml:space="preserve">ost typical value of the data. </w:t>
      </w:r>
      <w:r>
        <w:t xml:space="preserve">The ‘Distribution of units imported’ chart demonstrates that the maximum value is an outlier, and that most of the items imported under SC07 </w:t>
      </w:r>
      <w:r w:rsidRPr="00FD71FA">
        <w:t>8443.31.00 61</w:t>
      </w:r>
      <w:r>
        <w:t xml:space="preserve"> fall between 0 and 20 kg.</w:t>
      </w:r>
    </w:p>
    <w:p w:rsidR="000B3AB0" w:rsidRDefault="000B3AB0" w:rsidP="000B3AB0"/>
    <w:p w:rsidR="000B3AB0" w:rsidRDefault="000B3AB0" w:rsidP="000B3AB0">
      <w:r>
        <w:t xml:space="preserve">In the case of SC07 </w:t>
      </w:r>
      <w:r w:rsidRPr="00FD71FA">
        <w:t>8443.31.00 61</w:t>
      </w:r>
      <w:r>
        <w:t>, the minimum value is 3.6 kg and the maximum is 250.2 kg.</w:t>
      </w:r>
    </w:p>
    <w:p w:rsidR="00970A61" w:rsidRDefault="00970A61" w:rsidP="000B3AB0"/>
    <w:p w:rsidR="00970A61" w:rsidRDefault="00970A61" w:rsidP="000B3AB0"/>
    <w:p w:rsidR="000B3AB0" w:rsidRPr="00DB712A" w:rsidRDefault="000B3AB0" w:rsidP="000B3AB0">
      <w:pPr>
        <w:rPr>
          <w:rFonts w:ascii="Arial" w:hAnsi="Arial" w:cs="Arial"/>
          <w:b/>
        </w:rPr>
      </w:pPr>
      <w:r w:rsidRPr="00DB712A">
        <w:rPr>
          <w:rFonts w:ascii="Arial" w:hAnsi="Arial" w:cs="Arial"/>
          <w:b/>
        </w:rPr>
        <w:t>Two measures of average</w:t>
      </w:r>
    </w:p>
    <w:p w:rsidR="000B3AB0" w:rsidRDefault="000B3AB0" w:rsidP="000B3AB0"/>
    <w:p w:rsidR="000B3AB0" w:rsidRDefault="000B3AB0" w:rsidP="000B3AB0">
      <w:r>
        <w:t>The average of a data set refers to a typical value of the data. The purpose of this conversion factors exercise is to derive a typical value for each HTISC.</w:t>
      </w:r>
    </w:p>
    <w:p w:rsidR="000B3AB0" w:rsidRDefault="000B3AB0" w:rsidP="000B3AB0"/>
    <w:p w:rsidR="000B3AB0" w:rsidRDefault="000B3AB0" w:rsidP="000B3AB0">
      <w:r>
        <w:t xml:space="preserve">The most common measure of average is the </w:t>
      </w:r>
      <w:r w:rsidRPr="002255EA">
        <w:rPr>
          <w:i/>
        </w:rPr>
        <w:t>mean</w:t>
      </w:r>
      <w:r>
        <w:t xml:space="preserve"> and is the statistic that forms the conversion factors. The mean is calculated as the sum of all weight imported divided by the number of units imported. The mean is influenced by outliers. In the case of SC07 </w:t>
      </w:r>
      <w:r w:rsidRPr="00FD71FA">
        <w:t>8443.31.00 61</w:t>
      </w:r>
      <w:r>
        <w:t xml:space="preserve">, the mean is 8.7 kg and incorporates the three outliers seen in the ‘Distribution of units imported’ charts. </w:t>
      </w:r>
    </w:p>
    <w:p w:rsidR="000B3AB0" w:rsidRDefault="000B3AB0" w:rsidP="000B3AB0"/>
    <w:p w:rsidR="000B3AB0" w:rsidRDefault="000B3AB0" w:rsidP="000B3AB0">
      <w:r w:rsidRPr="009C1643">
        <w:t>Anothe</w:t>
      </w:r>
      <w:r>
        <w:t xml:space="preserve">r form of average is the </w:t>
      </w:r>
      <w:r w:rsidRPr="002255EA">
        <w:rPr>
          <w:i/>
        </w:rPr>
        <w:t>median</w:t>
      </w:r>
      <w:r>
        <w:t>, the middle data point.</w:t>
      </w:r>
      <w:r w:rsidRPr="009C1643">
        <w:t xml:space="preserve"> Median averages are not skewed by outliers at either end of the distribution. Median values have been calculated </w:t>
      </w:r>
      <w:r>
        <w:t>to benchmark against the mean values and to assist with developing confidence intervals.</w:t>
      </w:r>
    </w:p>
    <w:p w:rsidR="000B3AB0" w:rsidRDefault="000B3AB0" w:rsidP="000B3AB0"/>
    <w:p w:rsidR="000B3AB0" w:rsidRDefault="000B3AB0" w:rsidP="000B3AB0"/>
    <w:p w:rsidR="000B3AB0" w:rsidRPr="00DB712A" w:rsidRDefault="000B3AB0" w:rsidP="000B3AB0">
      <w:pPr>
        <w:rPr>
          <w:rFonts w:ascii="Arial" w:hAnsi="Arial" w:cs="Arial"/>
          <w:b/>
        </w:rPr>
      </w:pPr>
      <w:r w:rsidRPr="00DB712A">
        <w:rPr>
          <w:rFonts w:ascii="Arial" w:hAnsi="Arial" w:cs="Arial"/>
          <w:b/>
        </w:rPr>
        <w:t>Standard deviation</w:t>
      </w:r>
    </w:p>
    <w:p w:rsidR="000B3AB0" w:rsidRDefault="000B3AB0" w:rsidP="000B3AB0"/>
    <w:p w:rsidR="000B3AB0" w:rsidRPr="009C1643" w:rsidRDefault="000B3AB0" w:rsidP="000B3AB0">
      <w:r>
        <w:t>Standard deviation, expressed in the same unit as the data, is a measure of variation of the data if the centre point of the data is the mean. A low standard deviation indicates a low degree of variation around the mean, whereas a large standard deviation indicates a large degree of ‘dispersion’. Standard deviation is used to develop confidence intervals.</w:t>
      </w:r>
    </w:p>
    <w:p w:rsidR="000B3AB0" w:rsidRDefault="000B3AB0" w:rsidP="000B3AB0"/>
    <w:p w:rsidR="000B3AB0" w:rsidRDefault="000B3AB0" w:rsidP="000B3AB0"/>
    <w:p w:rsidR="000B3AB0" w:rsidRPr="00DB712A" w:rsidRDefault="000B3AB0" w:rsidP="000B3AB0">
      <w:pPr>
        <w:rPr>
          <w:rFonts w:ascii="Arial" w:hAnsi="Arial" w:cs="Arial"/>
          <w:b/>
        </w:rPr>
      </w:pPr>
      <w:r w:rsidRPr="00DB712A">
        <w:rPr>
          <w:rFonts w:ascii="Arial" w:hAnsi="Arial" w:cs="Arial"/>
          <w:b/>
        </w:rPr>
        <w:t>Two measures of confidence</w:t>
      </w:r>
    </w:p>
    <w:p w:rsidR="000B3AB0" w:rsidRPr="00FF2CF6" w:rsidRDefault="000B3AB0" w:rsidP="000B3AB0">
      <w:pPr>
        <w:rPr>
          <w:rFonts w:ascii="Arial" w:hAnsi="Arial" w:cs="Arial"/>
          <w:i/>
          <w:u w:val="single"/>
        </w:rPr>
      </w:pPr>
    </w:p>
    <w:p w:rsidR="000B3AB0" w:rsidRDefault="000B3AB0" w:rsidP="000B3AB0">
      <w:r w:rsidRPr="00A645B0">
        <w:t>A common way to express confidence is in terms of confidence intervals.</w:t>
      </w:r>
      <w:r>
        <w:t xml:space="preserve"> </w:t>
      </w:r>
      <w:r w:rsidRPr="00A645B0">
        <w:t xml:space="preserve">Confidence intervals are </w:t>
      </w:r>
      <w:r>
        <w:t xml:space="preserve">calculated at a specified level of confidence, based on the number of standard deviations away from the mean in which the specified proportion of the data lie. For normally distributed data sets, 95% of the data lie within two standard deviations from the mean.  </w:t>
      </w:r>
    </w:p>
    <w:p w:rsidR="000B3AB0" w:rsidRDefault="000B3AB0" w:rsidP="000B3AB0"/>
    <w:p w:rsidR="000B3AB0" w:rsidRDefault="000B3AB0" w:rsidP="000B3AB0">
      <w:r>
        <w:t xml:space="preserve">This method of expressing confidence ratings is referred to in the report as </w:t>
      </w:r>
      <w:r w:rsidRPr="00D92CE7">
        <w:rPr>
          <w:i/>
        </w:rPr>
        <w:t>approximation to the normal distribution</w:t>
      </w:r>
      <w:r>
        <w:rPr>
          <w:i/>
        </w:rPr>
        <w:t xml:space="preserve"> (ATN)</w:t>
      </w:r>
      <w:r w:rsidRPr="00D92CE7">
        <w:rPr>
          <w:i/>
        </w:rPr>
        <w:t>.</w:t>
      </w:r>
      <w:r>
        <w:t xml:space="preserve">In the case of SC07 </w:t>
      </w:r>
      <w:r w:rsidRPr="00FD71FA">
        <w:t>8443.31.00 61</w:t>
      </w:r>
      <w:r>
        <w:t>, at the 95% confidence level, the confidence interval is expressed as 8.7 kg ± 0.4kg, where 8.7 kg is the mean and 0.4 kg is the threshold on either side calculated by the standard deviation. Put another way, if a value is selected from the data set at random, one can be 95% sure that it will lie between 8.3 and 9.1 kg.</w:t>
      </w:r>
    </w:p>
    <w:p w:rsidR="000B3AB0" w:rsidRDefault="000B3AB0" w:rsidP="000B3AB0"/>
    <w:p w:rsidR="00ED17F8" w:rsidRDefault="000B3AB0" w:rsidP="000B3AB0">
      <w:r>
        <w:t xml:space="preserve">HOWEVER, referencing back to the ‘Distribution of units imported’ chart, it is obvious that 95% of the data DO NOT lie between 8.2 and 9.1 kg. This is because the data set is not normal; therefore using this approach to calculate confidence intervals </w:t>
      </w:r>
      <w:r w:rsidR="00ED17F8">
        <w:t xml:space="preserve">is not necessarily applicable. </w:t>
      </w:r>
    </w:p>
    <w:p w:rsidR="00ED17F8" w:rsidRDefault="00ED17F8" w:rsidP="000B3AB0"/>
    <w:p w:rsidR="000B3AB0" w:rsidRDefault="000B3AB0" w:rsidP="000B3AB0">
      <w:r>
        <w:t xml:space="preserve">An alternative method to derive confidence intervals is to calculate the two thresholds containing 95% of the data set. The thresholds are calculated at given percentiles: 95% of the population is contained within the 2.5 percentile and the 97.5 percentile. This time, a midpoint is not necessary, although the average calculated by the same method would be the weight at the 50 percentile, i.e. median, as opposed to the mean. </w:t>
      </w:r>
    </w:p>
    <w:p w:rsidR="000B3AB0" w:rsidRDefault="000B3AB0" w:rsidP="000B3AB0"/>
    <w:p w:rsidR="000B3AB0" w:rsidRDefault="000B3AB0" w:rsidP="000B3AB0">
      <w:r>
        <w:t>This method tends to result in a wider confidence interval simply because in most cases the data is spread, or skewed more than a theoretical bell curve. In most cases the confidence intervals will not be symmetrical on either side of the mean, as they are based on a real data set which in turn is not symmetrical. Typically the greatest of the upper threshold minus the median, or the median minus the lower threshold would be used as the confidence interval.  Note that again the applicability of this method can be questioned, as particularly dispersed data sets will yield very wide confidence intervals, and using the greatest interval from the median can result in minus thresholds.</w:t>
      </w:r>
    </w:p>
    <w:p w:rsidR="000B3AB0" w:rsidRDefault="000B3AB0" w:rsidP="000B3AB0"/>
    <w:p w:rsidR="000B3AB0" w:rsidRDefault="000B3AB0" w:rsidP="000B3AB0">
      <w:r>
        <w:t xml:space="preserve">This method of expressing confidence ratings is referred to in the report as </w:t>
      </w:r>
      <w:r>
        <w:rPr>
          <w:i/>
        </w:rPr>
        <w:t>use of percentiles (UOP)</w:t>
      </w:r>
      <w:r w:rsidRPr="00D92CE7">
        <w:rPr>
          <w:i/>
        </w:rPr>
        <w:t>.</w:t>
      </w:r>
      <w:r>
        <w:t xml:space="preserve">In the case of SC07 </w:t>
      </w:r>
      <w:r w:rsidRPr="00FD71FA">
        <w:t>8443.31.00 61</w:t>
      </w:r>
      <w:r>
        <w:t>, the confidence limits at the 95% the confidence level are 3.6</w:t>
      </w:r>
      <w:r w:rsidR="00ED17F8">
        <w:t xml:space="preserve"> </w:t>
      </w:r>
      <w:r>
        <w:t>kg and 16.15 kg. Accordingly, one can be certain 95% of the data set falls between 3.6</w:t>
      </w:r>
      <w:r w:rsidR="00ED17F8">
        <w:t xml:space="preserve"> </w:t>
      </w:r>
      <w:r>
        <w:t>kg and 16.15 kg.</w:t>
      </w:r>
    </w:p>
    <w:p w:rsidR="000B3AB0" w:rsidRDefault="000B3AB0" w:rsidP="000B3AB0"/>
    <w:p w:rsidR="000B3AB0" w:rsidRDefault="000B3AB0" w:rsidP="000B3AB0"/>
    <w:p w:rsidR="000B3AB0" w:rsidRPr="00DB712A" w:rsidRDefault="000B3AB0" w:rsidP="000B3AB0">
      <w:pPr>
        <w:rPr>
          <w:rFonts w:ascii="Arial" w:hAnsi="Arial" w:cs="Arial"/>
          <w:b/>
        </w:rPr>
      </w:pPr>
      <w:r w:rsidRPr="00DB712A">
        <w:rPr>
          <w:rFonts w:ascii="Arial" w:hAnsi="Arial" w:cs="Arial"/>
          <w:b/>
        </w:rPr>
        <w:t>The proposed conversion factor</w:t>
      </w:r>
    </w:p>
    <w:p w:rsidR="000B3AB0" w:rsidRPr="00FF2CF6" w:rsidRDefault="000B3AB0" w:rsidP="000B3AB0">
      <w:pPr>
        <w:rPr>
          <w:rFonts w:ascii="Arial" w:hAnsi="Arial" w:cs="Arial"/>
          <w:i/>
          <w:u w:val="single"/>
        </w:rPr>
      </w:pPr>
    </w:p>
    <w:p w:rsidR="000B3AB0" w:rsidRDefault="000B3AB0" w:rsidP="000B3AB0">
      <w:r>
        <w:t>Following a brief comment about the nature of the distribution of the data set, the most applicable conversion factor (weighted mean or median, and the confidence rating associated with the average) is proposed.</w:t>
      </w:r>
    </w:p>
    <w:p w:rsidR="000B3AB0" w:rsidRDefault="000B3AB0" w:rsidP="000B3AB0"/>
    <w:p w:rsidR="000B3AB0" w:rsidRDefault="000B3AB0" w:rsidP="000B3AB0">
      <w:r>
        <w:t xml:space="preserve">In the case of SC07 </w:t>
      </w:r>
      <w:r w:rsidRPr="00FD71FA">
        <w:t>8443.31.00 61</w:t>
      </w:r>
      <w:r>
        <w:t>, the mea</w:t>
      </w:r>
      <w:r w:rsidR="00ED17F8">
        <w:t xml:space="preserve">n value of 8.2 kg is proposed. </w:t>
      </w:r>
      <w:r>
        <w:t>While the distribution is dispersed due to the outliers, the mean is contained within the majority of the dataset, and given the narrow dispersion of the majority of the dataset, the confidence intervals calculated via the ATN are considered appropriate.</w:t>
      </w:r>
    </w:p>
    <w:p w:rsidR="000B3AB0" w:rsidRDefault="000B3AB0" w:rsidP="000B3AB0"/>
    <w:p w:rsidR="000B3AB0" w:rsidRDefault="000B3AB0" w:rsidP="000B3AB0">
      <w:pPr>
        <w:tabs>
          <w:tab w:val="left" w:pos="1695"/>
        </w:tabs>
      </w:pPr>
      <w:r>
        <w:tab/>
      </w:r>
    </w:p>
    <w:p w:rsidR="000B3AB0" w:rsidRDefault="000B3AB0" w:rsidP="000B3AB0">
      <w:pPr>
        <w:rPr>
          <w:rFonts w:ascii="Arial" w:hAnsi="Arial" w:cs="Arial"/>
          <w:b/>
        </w:rPr>
      </w:pPr>
      <w:r w:rsidRPr="00DB712A">
        <w:rPr>
          <w:rFonts w:ascii="Arial" w:hAnsi="Arial" w:cs="Arial"/>
          <w:b/>
        </w:rPr>
        <w:t xml:space="preserve">An indication of the </w:t>
      </w:r>
      <w:r w:rsidR="003B37F0">
        <w:rPr>
          <w:rFonts w:ascii="Arial" w:hAnsi="Arial" w:cs="Arial"/>
          <w:b/>
        </w:rPr>
        <w:t xml:space="preserve">validity </w:t>
      </w:r>
      <w:r w:rsidRPr="00DB712A">
        <w:rPr>
          <w:rFonts w:ascii="Arial" w:hAnsi="Arial" w:cs="Arial"/>
          <w:b/>
        </w:rPr>
        <w:t>over time</w:t>
      </w:r>
    </w:p>
    <w:p w:rsidR="003B37F0" w:rsidRDefault="003B37F0" w:rsidP="000B3AB0">
      <w:pPr>
        <w:rPr>
          <w:rFonts w:ascii="Arial" w:hAnsi="Arial" w:cs="Arial"/>
          <w:b/>
        </w:rPr>
      </w:pPr>
    </w:p>
    <w:p w:rsidR="003B37F0" w:rsidRPr="003B37F0" w:rsidRDefault="003B37F0" w:rsidP="000B3AB0">
      <w:r w:rsidRPr="003B37F0">
        <w:t xml:space="preserve">An indication of </w:t>
      </w:r>
      <w:r>
        <w:t>validity over time can be determined to the extent to which the conversion factor varies from the weighted mean weight for other</w:t>
      </w:r>
      <w:r w:rsidR="00834D28">
        <w:t xml:space="preserve"> </w:t>
      </w:r>
      <w:r>
        <w:t>years.</w:t>
      </w:r>
    </w:p>
    <w:p w:rsidR="000B3AB0" w:rsidRDefault="000B3AB0" w:rsidP="000B3AB0">
      <w:pPr>
        <w:tabs>
          <w:tab w:val="left" w:pos="1695"/>
        </w:tabs>
      </w:pPr>
    </w:p>
    <w:p w:rsidR="000B3AB0" w:rsidRDefault="003B37F0" w:rsidP="000B3AB0">
      <w:pPr>
        <w:tabs>
          <w:tab w:val="left" w:pos="1695"/>
        </w:tabs>
      </w:pPr>
      <w:r>
        <w:t>This</w:t>
      </w:r>
      <w:r w:rsidR="000B3AB0">
        <w:t xml:space="preserve"> </w:t>
      </w:r>
      <w:r>
        <w:t>variation</w:t>
      </w:r>
      <w:r w:rsidR="000B3AB0" w:rsidRPr="00A94D2C">
        <w:t xml:space="preserve"> </w:t>
      </w:r>
      <w:r w:rsidR="000B3AB0">
        <w:t xml:space="preserve">can be seen from the conversion ‘Weighted mean weights’ chart, </w:t>
      </w:r>
      <w:r w:rsidR="00016ADF">
        <w:t>i.e.</w:t>
      </w:r>
      <w:r w:rsidR="000B3AB0">
        <w:t xml:space="preserve"> the position of the conversion factor line relative to annual average weighted mean weights and annual brands’ average weighted mean weights.  Naturally these weights vary over time.</w:t>
      </w:r>
    </w:p>
    <w:p w:rsidR="003B37F0" w:rsidRDefault="003B37F0" w:rsidP="000B3AB0">
      <w:pPr>
        <w:tabs>
          <w:tab w:val="left" w:pos="1695"/>
        </w:tabs>
      </w:pPr>
    </w:p>
    <w:p w:rsidR="003B37F0" w:rsidRDefault="003B37F0" w:rsidP="003B37F0">
      <w:pPr>
        <w:tabs>
          <w:tab w:val="left" w:pos="1695"/>
        </w:tabs>
      </w:pPr>
      <w:r>
        <w:t>Conversion factors</w:t>
      </w:r>
      <w:r w:rsidR="00ED17F8">
        <w:t xml:space="preserve"> which are more valid over time</w:t>
      </w:r>
      <w:r>
        <w:t xml:space="preserve"> will have a low variation over time.</w:t>
      </w:r>
      <w:r w:rsidRPr="003B37F0">
        <w:t xml:space="preserve"> </w:t>
      </w:r>
      <w:r>
        <w:t xml:space="preserve"> Conversion factors</w:t>
      </w:r>
      <w:r w:rsidR="00ED17F8">
        <w:t xml:space="preserve"> which are less valid over time</w:t>
      </w:r>
      <w:r>
        <w:t xml:space="preserve"> will have a high variation over time.</w:t>
      </w:r>
    </w:p>
    <w:p w:rsidR="003B37F0" w:rsidRDefault="003B37F0" w:rsidP="003B37F0">
      <w:pPr>
        <w:tabs>
          <w:tab w:val="left" w:pos="1695"/>
        </w:tabs>
      </w:pPr>
    </w:p>
    <w:p w:rsidR="003B37F0" w:rsidRDefault="00ED17F8" w:rsidP="003B37F0">
      <w:pPr>
        <w:tabs>
          <w:tab w:val="left" w:pos="1695"/>
        </w:tabs>
      </w:pPr>
      <w:r>
        <w:t>T</w:t>
      </w:r>
      <w:r w:rsidR="003B37F0">
        <w:t xml:space="preserve">he variation can be determined by </w:t>
      </w:r>
      <w:r w:rsidR="003B37F0" w:rsidRPr="003B37F0">
        <w:t>the percentage</w:t>
      </w:r>
      <w:r w:rsidR="003B37F0" w:rsidRPr="00935C20">
        <w:rPr>
          <w:i/>
        </w:rPr>
        <w:t xml:space="preserve"> </w:t>
      </w:r>
      <w:r w:rsidR="003B37F0" w:rsidRPr="003B37F0">
        <w:t xml:space="preserve">of </w:t>
      </w:r>
      <w:r w:rsidR="003B37F0" w:rsidRPr="00935C20">
        <w:rPr>
          <w:i/>
        </w:rPr>
        <w:t xml:space="preserve">actual weight imported </w:t>
      </w:r>
      <w:r w:rsidR="003B37F0" w:rsidRPr="00C40029">
        <w:t xml:space="preserve">that is over or </w:t>
      </w:r>
      <w:r w:rsidR="003B37F0" w:rsidRPr="003B37F0">
        <w:t>understated by</w:t>
      </w:r>
      <w:r w:rsidR="003B37F0">
        <w:rPr>
          <w:i/>
        </w:rPr>
        <w:t xml:space="preserve"> calculated </w:t>
      </w:r>
      <w:r w:rsidR="003B37F0" w:rsidRPr="00935C20">
        <w:rPr>
          <w:i/>
        </w:rPr>
        <w:t xml:space="preserve">weight imported </w:t>
      </w:r>
      <w:r w:rsidR="003B37F0" w:rsidRPr="003B37F0">
        <w:t>(by the conversion factor</w:t>
      </w:r>
      <w:r w:rsidR="003B37F0">
        <w:t>s).</w:t>
      </w:r>
    </w:p>
    <w:p w:rsidR="003B37F0" w:rsidRDefault="003B37F0" w:rsidP="000B3AB0">
      <w:pPr>
        <w:tabs>
          <w:tab w:val="left" w:pos="1695"/>
        </w:tabs>
      </w:pPr>
    </w:p>
    <w:p w:rsidR="000B3AB0" w:rsidRDefault="000B3AB0" w:rsidP="000B3AB0">
      <w:pPr>
        <w:tabs>
          <w:tab w:val="left" w:pos="1695"/>
        </w:tabs>
      </w:pPr>
      <w:r>
        <w:t xml:space="preserve">In the conversion factor year, this percentage is 0%, as the conversion factors are based on that years data. If this percentage is 0% in the previous years it means the weighted average weight of the conversion factor has not changed.  </w:t>
      </w:r>
    </w:p>
    <w:p w:rsidR="003B37F0" w:rsidRDefault="003B37F0" w:rsidP="003B37F0">
      <w:pPr>
        <w:rPr>
          <w:szCs w:val="22"/>
        </w:rPr>
      </w:pPr>
    </w:p>
    <w:p w:rsidR="003B37F0" w:rsidRDefault="003B37F0" w:rsidP="003B37F0">
      <w:pPr>
        <w:tabs>
          <w:tab w:val="left" w:pos="1695"/>
        </w:tabs>
      </w:pPr>
      <w:r>
        <w:t xml:space="preserve">Where </w:t>
      </w:r>
      <w:r w:rsidRPr="00071BCF">
        <w:t xml:space="preserve">the </w:t>
      </w:r>
      <w:r w:rsidRPr="0031522E">
        <w:t>percentage</w:t>
      </w:r>
      <w:r w:rsidRPr="00935C20">
        <w:rPr>
          <w:i/>
        </w:rPr>
        <w:t xml:space="preserve"> </w:t>
      </w:r>
      <w:r>
        <w:t xml:space="preserve">is </w:t>
      </w:r>
      <w:r>
        <w:rPr>
          <w:i/>
        </w:rPr>
        <w:t xml:space="preserve">greater </w:t>
      </w:r>
      <w:r w:rsidRPr="0031522E">
        <w:rPr>
          <w:i/>
        </w:rPr>
        <w:t>than 0%</w:t>
      </w:r>
      <w:r>
        <w:t xml:space="preserve"> it means that the conversion factor calculates more weight than is actually imported and the conversion factor is too heavy, i.e. the conversion factor is accounting for more than actually existed in that year for that brand.</w:t>
      </w:r>
    </w:p>
    <w:p w:rsidR="003B37F0" w:rsidRDefault="003B37F0" w:rsidP="003B37F0">
      <w:pPr>
        <w:tabs>
          <w:tab w:val="left" w:pos="1695"/>
        </w:tabs>
      </w:pPr>
    </w:p>
    <w:p w:rsidR="003B37F0" w:rsidRDefault="003B37F0" w:rsidP="003B37F0">
      <w:pPr>
        <w:tabs>
          <w:tab w:val="left" w:pos="1695"/>
        </w:tabs>
      </w:pPr>
      <w:r w:rsidRPr="00071BCF">
        <w:t xml:space="preserve">Conversely </w:t>
      </w:r>
      <w:r w:rsidRPr="0031522E">
        <w:t>if the percentage of actual weight imported calculated by the conversion factor</w:t>
      </w:r>
      <w:r w:rsidRPr="00071BCF">
        <w:t xml:space="preserve"> is</w:t>
      </w:r>
      <w:r>
        <w:t xml:space="preserve"> </w:t>
      </w:r>
      <w:r>
        <w:rPr>
          <w:i/>
        </w:rPr>
        <w:t xml:space="preserve">less </w:t>
      </w:r>
      <w:r w:rsidRPr="0031522E">
        <w:rPr>
          <w:i/>
        </w:rPr>
        <w:t>than 0%</w:t>
      </w:r>
      <w:r>
        <w:t xml:space="preserve"> it means that the conversion factor is too light, i.e. the factor is accounting for less weight that actually existed in that year.</w:t>
      </w:r>
    </w:p>
    <w:p w:rsidR="000B3AB0" w:rsidRDefault="000B3AB0" w:rsidP="000B3AB0">
      <w:pPr>
        <w:tabs>
          <w:tab w:val="left" w:pos="1695"/>
        </w:tabs>
      </w:pPr>
    </w:p>
    <w:p w:rsidR="000B3AB0" w:rsidRDefault="00C40029" w:rsidP="000B3AB0">
      <w:pPr>
        <w:tabs>
          <w:tab w:val="left" w:pos="1695"/>
        </w:tabs>
      </w:pPr>
      <w:r>
        <w:t>Variation</w:t>
      </w:r>
      <w:r w:rsidR="000B3AB0">
        <w:t xml:space="preserve"> over </w:t>
      </w:r>
      <w:r>
        <w:t>time is expressed in terms of a</w:t>
      </w:r>
      <w:r w:rsidR="000B3AB0">
        <w:t xml:space="preserve"> rating: Where this percentage stays at </w:t>
      </w:r>
      <w:r>
        <w:t>0</w:t>
      </w:r>
      <w:r w:rsidR="000B3AB0">
        <w:t xml:space="preserve">% there is not </w:t>
      </w:r>
      <w:r w:rsidR="00C62346">
        <w:t>variation</w:t>
      </w:r>
      <w:r w:rsidR="000B3AB0">
        <w:t xml:space="preserve"> over time.  A </w:t>
      </w:r>
      <w:r w:rsidR="00834D28">
        <w:t>value</w:t>
      </w:r>
      <w:r w:rsidR="000B3AB0">
        <w:t xml:space="preserve"> of </w:t>
      </w:r>
      <w:r w:rsidR="003B37F0" w:rsidRPr="000650C4">
        <w:rPr>
          <w:szCs w:val="22"/>
        </w:rPr>
        <w:t xml:space="preserve">± </w:t>
      </w:r>
      <w:r w:rsidR="000B3AB0">
        <w:t xml:space="preserve">0-10% is assigned a low </w:t>
      </w:r>
      <w:r>
        <w:t>variation</w:t>
      </w:r>
      <w:r w:rsidR="000B3AB0">
        <w:t xml:space="preserve"> over time, a </w:t>
      </w:r>
      <w:r w:rsidR="00834D28">
        <w:t>value</w:t>
      </w:r>
      <w:r w:rsidR="000B3AB0">
        <w:t xml:space="preserve"> </w:t>
      </w:r>
      <w:r w:rsidR="00ED17F8">
        <w:t>of</w:t>
      </w:r>
      <w:r w:rsidR="003B37F0">
        <w:t xml:space="preserve"> </w:t>
      </w:r>
      <w:r w:rsidR="003B37F0" w:rsidRPr="000650C4">
        <w:rPr>
          <w:szCs w:val="22"/>
        </w:rPr>
        <w:t xml:space="preserve">± </w:t>
      </w:r>
      <w:r w:rsidR="000B3AB0">
        <w:t xml:space="preserve">10-20% is assigned a moderate </w:t>
      </w:r>
      <w:r w:rsidR="00C62346">
        <w:t>variation</w:t>
      </w:r>
      <w:r w:rsidR="000B3AB0">
        <w:t xml:space="preserve"> over time, and anything </w:t>
      </w:r>
      <w:r w:rsidR="003B37F0">
        <w:t xml:space="preserve">beyond </w:t>
      </w:r>
      <w:r w:rsidR="003B37F0" w:rsidRPr="000650C4">
        <w:rPr>
          <w:szCs w:val="22"/>
        </w:rPr>
        <w:t xml:space="preserve">± </w:t>
      </w:r>
      <w:r w:rsidR="003B37F0">
        <w:t>20</w:t>
      </w:r>
      <w:r w:rsidR="00DB1C7F">
        <w:t>% is</w:t>
      </w:r>
      <w:r w:rsidR="00ED17F8">
        <w:t xml:space="preserve"> assigned high </w:t>
      </w:r>
      <w:r w:rsidR="00C62346">
        <w:t>variation</w:t>
      </w:r>
      <w:r w:rsidR="00ED17F8">
        <w:t xml:space="preserve">. </w:t>
      </w:r>
      <w:r w:rsidR="000B3AB0">
        <w:t>Where data is supplied for only one year then the v</w:t>
      </w:r>
      <w:r>
        <w:t>ariation</w:t>
      </w:r>
      <w:r w:rsidR="000B3AB0">
        <w:t xml:space="preserve"> over time is not </w:t>
      </w:r>
      <w:r>
        <w:t>known.</w:t>
      </w:r>
    </w:p>
    <w:p w:rsidR="000B3AB0" w:rsidRDefault="000B3AB0" w:rsidP="000B3AB0">
      <w:pPr>
        <w:tabs>
          <w:tab w:val="left" w:pos="1695"/>
        </w:tabs>
      </w:pPr>
    </w:p>
    <w:p w:rsidR="000B3AB0" w:rsidRPr="00DB712A" w:rsidRDefault="000B3AB0" w:rsidP="000B3AB0">
      <w:pPr>
        <w:rPr>
          <w:rFonts w:ascii="Arial" w:hAnsi="Arial" w:cs="Arial"/>
          <w:b/>
        </w:rPr>
      </w:pPr>
    </w:p>
    <w:p w:rsidR="00835836" w:rsidRDefault="00835836">
      <w:pPr>
        <w:rPr>
          <w:rFonts w:ascii="Arial" w:hAnsi="Arial" w:cs="Arial"/>
          <w:b/>
        </w:rPr>
      </w:pPr>
      <w:r>
        <w:rPr>
          <w:rFonts w:ascii="Arial" w:hAnsi="Arial" w:cs="Arial"/>
          <w:b/>
        </w:rPr>
        <w:br w:type="page"/>
      </w:r>
    </w:p>
    <w:p w:rsidR="000B3AB0" w:rsidRPr="00651ECE" w:rsidRDefault="000B3AB0" w:rsidP="000B3AB0">
      <w:pPr>
        <w:rPr>
          <w:rFonts w:ascii="Arial" w:hAnsi="Arial" w:cs="Arial"/>
          <w:b/>
        </w:rPr>
      </w:pPr>
      <w:r w:rsidRPr="00651ECE">
        <w:rPr>
          <w:rFonts w:ascii="Arial" w:hAnsi="Arial" w:cs="Arial"/>
          <w:b/>
        </w:rPr>
        <w:t>Assessing the impact of applying factors for all codes</w:t>
      </w:r>
    </w:p>
    <w:p w:rsidR="000B3AB0" w:rsidRDefault="000B3AB0" w:rsidP="000B3AB0">
      <w:pPr>
        <w:tabs>
          <w:tab w:val="left" w:pos="1695"/>
        </w:tabs>
      </w:pPr>
    </w:p>
    <w:p w:rsidR="000B3AB0" w:rsidRDefault="000B3AB0" w:rsidP="000B3AB0">
      <w:pPr>
        <w:tabs>
          <w:tab w:val="left" w:pos="1695"/>
        </w:tabs>
      </w:pPr>
      <w:r>
        <w:t xml:space="preserve">The same calculation as used for indication of </w:t>
      </w:r>
      <w:r w:rsidRPr="00A94D2C">
        <w:t>validity over time</w:t>
      </w:r>
      <w:r>
        <w:t xml:space="preserve"> is </w:t>
      </w:r>
      <w:r w:rsidR="00ED17F8">
        <w:t xml:space="preserve">employed. </w:t>
      </w:r>
      <w:r>
        <w:t>This time it is performed for each brand, for the sum of the weight calculated at each code as a percentage of total weight actually imported.</w:t>
      </w:r>
    </w:p>
    <w:p w:rsidR="000B3AB0" w:rsidRDefault="000B3AB0" w:rsidP="000B3AB0">
      <w:pPr>
        <w:tabs>
          <w:tab w:val="left" w:pos="1695"/>
        </w:tabs>
      </w:pPr>
    </w:p>
    <w:p w:rsidR="000B3AB0" w:rsidRDefault="000B3AB0" w:rsidP="000B3AB0">
      <w:pPr>
        <w:tabs>
          <w:tab w:val="left" w:pos="1695"/>
        </w:tabs>
      </w:pPr>
      <w:r>
        <w:t>The closer each brand</w:t>
      </w:r>
      <w:r w:rsidR="00ED17F8">
        <w:t xml:space="preserve"> owner</w:t>
      </w:r>
      <w:r>
        <w:t>s’ figure to 100%, the more applicable the conversion factor to the brand. This analysis is documented at the end of the analysis: it is not considered to be representative at HTISC level, as the conversion factors vary between being over- and under-stating actual weights for different codes, and it is the impact of the factors to the overall imported weight that is relevant to the exercise.</w:t>
      </w:r>
    </w:p>
    <w:p w:rsidR="000B3AB0" w:rsidRDefault="000B3AB0" w:rsidP="000B3AB0"/>
    <w:p w:rsidR="000B3AB0" w:rsidRDefault="000B3AB0" w:rsidP="000B3AB0"/>
    <w:p w:rsidR="00F82C84" w:rsidRDefault="00F82C84" w:rsidP="000B3AB0"/>
    <w:p w:rsidR="00F82C84" w:rsidRDefault="00F82C84" w:rsidP="000B3AB0"/>
    <w:p w:rsidR="00457F7B" w:rsidRDefault="00457F7B" w:rsidP="000B3AB0"/>
    <w:p w:rsidR="00457F7B" w:rsidRDefault="00457F7B" w:rsidP="000B3AB0"/>
    <w:p w:rsidR="00457F7B" w:rsidRDefault="00457F7B" w:rsidP="000B3AB0"/>
    <w:p w:rsidR="00457F7B" w:rsidRDefault="00457F7B" w:rsidP="000B3AB0"/>
    <w:p w:rsidR="00457F7B" w:rsidRDefault="00457F7B" w:rsidP="000B3AB0"/>
    <w:p w:rsidR="00457F7B" w:rsidRDefault="00457F7B" w:rsidP="000B3AB0"/>
    <w:p w:rsidR="00457F7B" w:rsidRDefault="00457F7B" w:rsidP="000B3AB0"/>
    <w:p w:rsidR="00457F7B" w:rsidRDefault="00457F7B" w:rsidP="000B3AB0"/>
    <w:p w:rsidR="000B3AB0" w:rsidRDefault="000B3AB0" w:rsidP="000B3AB0"/>
    <w:p w:rsidR="00F82C84" w:rsidRDefault="00F82C84" w:rsidP="00F82C84">
      <w:pPr>
        <w:autoSpaceDE w:val="0"/>
        <w:autoSpaceDN w:val="0"/>
        <w:adjustRightInd w:val="0"/>
        <w:jc w:val="both"/>
        <w:rPr>
          <w:rFonts w:ascii="Arial" w:hAnsi="Arial" w:cs="Arial"/>
          <w:b/>
        </w:rPr>
      </w:pPr>
      <w:r>
        <w:rPr>
          <w:rFonts w:ascii="Arial" w:hAnsi="Arial" w:cs="Arial"/>
          <w:b/>
        </w:rPr>
        <w:t>CARMEL GRIFFITH</w:t>
      </w:r>
    </w:p>
    <w:p w:rsidR="00F82C84" w:rsidRDefault="00F82C84" w:rsidP="00F82C84">
      <w:pPr>
        <w:autoSpaceDE w:val="0"/>
        <w:autoSpaceDN w:val="0"/>
        <w:adjustRightInd w:val="0"/>
        <w:jc w:val="both"/>
        <w:rPr>
          <w:rFonts w:ascii="Arial" w:hAnsi="Arial" w:cs="Arial"/>
          <w:b/>
        </w:rPr>
      </w:pPr>
      <w:r>
        <w:rPr>
          <w:rFonts w:ascii="Arial" w:hAnsi="Arial" w:cs="Arial"/>
          <w:b/>
        </w:rPr>
        <w:t>RUSS MARTIN</w:t>
      </w:r>
    </w:p>
    <w:p w:rsidR="00F82C84" w:rsidRDefault="00F82C84" w:rsidP="00F82C84">
      <w:pPr>
        <w:autoSpaceDE w:val="0"/>
        <w:autoSpaceDN w:val="0"/>
        <w:adjustRightInd w:val="0"/>
        <w:jc w:val="both"/>
        <w:rPr>
          <w:rFonts w:ascii="Arial" w:hAnsi="Arial" w:cs="Arial"/>
          <w:b/>
        </w:rPr>
      </w:pPr>
      <w:r w:rsidRPr="00B33D2E">
        <w:rPr>
          <w:rFonts w:ascii="Arial" w:hAnsi="Arial" w:cs="Arial"/>
          <w:b/>
        </w:rPr>
        <w:t>DAVID PERCHARD</w:t>
      </w:r>
    </w:p>
    <w:p w:rsidR="00F82C84" w:rsidRPr="00B33D2E" w:rsidRDefault="00F82C84" w:rsidP="00F82C84">
      <w:pPr>
        <w:autoSpaceDE w:val="0"/>
        <w:autoSpaceDN w:val="0"/>
        <w:adjustRightInd w:val="0"/>
        <w:jc w:val="both"/>
        <w:rPr>
          <w:rFonts w:ascii="Arial" w:hAnsi="Arial" w:cs="Arial"/>
          <w:b/>
        </w:rPr>
      </w:pPr>
    </w:p>
    <w:p w:rsidR="00F82C84" w:rsidRPr="00B33D2E" w:rsidRDefault="00966F99" w:rsidP="00F82C84">
      <w:pPr>
        <w:autoSpaceDE w:val="0"/>
        <w:autoSpaceDN w:val="0"/>
        <w:adjustRightInd w:val="0"/>
        <w:jc w:val="both"/>
        <w:rPr>
          <w:rFonts w:ascii="Arial" w:hAnsi="Arial" w:cs="Arial"/>
          <w:b/>
        </w:rPr>
      </w:pPr>
      <w:r>
        <w:rPr>
          <w:rFonts w:ascii="Arial" w:hAnsi="Arial" w:cs="Arial"/>
          <w:b/>
        </w:rPr>
        <w:t>27</w:t>
      </w:r>
      <w:r w:rsidRPr="00B33D2E">
        <w:rPr>
          <w:rFonts w:ascii="Arial" w:hAnsi="Arial" w:cs="Arial"/>
          <w:b/>
        </w:rPr>
        <w:t xml:space="preserve"> </w:t>
      </w:r>
      <w:r w:rsidR="00F82C84">
        <w:rPr>
          <w:rFonts w:ascii="Arial" w:hAnsi="Arial" w:cs="Arial"/>
          <w:b/>
        </w:rPr>
        <w:t>Sep</w:t>
      </w:r>
      <w:r w:rsidR="00F82C84" w:rsidRPr="00B33D2E">
        <w:rPr>
          <w:rFonts w:ascii="Arial" w:hAnsi="Arial" w:cs="Arial"/>
          <w:b/>
        </w:rPr>
        <w:t xml:space="preserve"> 2011</w:t>
      </w:r>
    </w:p>
    <w:p w:rsidR="00FF423F" w:rsidRDefault="00FF423F" w:rsidP="00FF423F"/>
    <w:p w:rsidR="00FF423F" w:rsidRDefault="00FF423F" w:rsidP="00FF423F"/>
    <w:p w:rsidR="00FF423F" w:rsidRDefault="00FF423F" w:rsidP="00FF423F"/>
    <w:p w:rsidR="00FF423F" w:rsidRDefault="00FF423F">
      <w:pPr>
        <w:rPr>
          <w:rFonts w:ascii="Arial" w:hAnsi="Arial" w:cs="Arial"/>
          <w:b/>
          <w:sz w:val="28"/>
          <w:szCs w:val="22"/>
        </w:rPr>
      </w:pPr>
      <w:r>
        <w:br w:type="page"/>
      </w:r>
    </w:p>
    <w:p w:rsidR="00491A63" w:rsidRDefault="0023286B" w:rsidP="00761941">
      <w:pPr>
        <w:pStyle w:val="Heading1"/>
        <w:numPr>
          <w:ilvl w:val="0"/>
          <w:numId w:val="0"/>
        </w:numPr>
      </w:pPr>
      <w:bookmarkStart w:id="88" w:name="_Toc304877645"/>
      <w:bookmarkStart w:id="89" w:name="_Toc304877789"/>
      <w:bookmarkStart w:id="90" w:name="_Toc304878009"/>
      <w:bookmarkStart w:id="91" w:name="_Toc304877646"/>
      <w:bookmarkStart w:id="92" w:name="_Toc304877790"/>
      <w:bookmarkStart w:id="93" w:name="_Toc304878010"/>
      <w:bookmarkStart w:id="94" w:name="_Toc304877647"/>
      <w:bookmarkStart w:id="95" w:name="_Toc304877791"/>
      <w:bookmarkStart w:id="96" w:name="_Toc304878011"/>
      <w:bookmarkStart w:id="97" w:name="_Toc304877648"/>
      <w:bookmarkStart w:id="98" w:name="_Toc304877792"/>
      <w:bookmarkStart w:id="99" w:name="_Toc304878012"/>
      <w:bookmarkStart w:id="100" w:name="_Toc304877649"/>
      <w:bookmarkStart w:id="101" w:name="_Toc304877793"/>
      <w:bookmarkStart w:id="102" w:name="_Toc304878013"/>
      <w:bookmarkStart w:id="103" w:name="_Toc304877650"/>
      <w:bookmarkStart w:id="104" w:name="_Toc304877794"/>
      <w:bookmarkStart w:id="105" w:name="_Toc304878014"/>
      <w:bookmarkStart w:id="106" w:name="_Toc304877651"/>
      <w:bookmarkStart w:id="107" w:name="_Toc304877795"/>
      <w:bookmarkStart w:id="108" w:name="_Toc304878015"/>
      <w:bookmarkStart w:id="109" w:name="_Toc304877652"/>
      <w:bookmarkStart w:id="110" w:name="_Toc304877796"/>
      <w:bookmarkStart w:id="111" w:name="_Toc304878016"/>
      <w:bookmarkStart w:id="112" w:name="_Toc304877653"/>
      <w:bookmarkStart w:id="113" w:name="_Toc304877797"/>
      <w:bookmarkStart w:id="114" w:name="_Toc304878017"/>
      <w:bookmarkStart w:id="115" w:name="_Toc304877654"/>
      <w:bookmarkStart w:id="116" w:name="_Toc304877798"/>
      <w:bookmarkStart w:id="117" w:name="_Toc304878018"/>
      <w:bookmarkStart w:id="118" w:name="_Toc304877655"/>
      <w:bookmarkStart w:id="119" w:name="_Toc304877799"/>
      <w:bookmarkStart w:id="120" w:name="_Toc304878019"/>
      <w:bookmarkStart w:id="121" w:name="_Toc304877656"/>
      <w:bookmarkStart w:id="122" w:name="_Toc304877800"/>
      <w:bookmarkStart w:id="123" w:name="_Toc304878020"/>
      <w:bookmarkStart w:id="124" w:name="_Toc304877657"/>
      <w:bookmarkStart w:id="125" w:name="_Toc304877801"/>
      <w:bookmarkStart w:id="126" w:name="_Toc304878021"/>
      <w:bookmarkStart w:id="127" w:name="_Toc304877658"/>
      <w:bookmarkStart w:id="128" w:name="_Toc304877802"/>
      <w:bookmarkStart w:id="129" w:name="_Toc304878022"/>
      <w:bookmarkStart w:id="130" w:name="_Toc304877659"/>
      <w:bookmarkStart w:id="131" w:name="_Toc304877803"/>
      <w:bookmarkStart w:id="132" w:name="_Toc304878023"/>
      <w:bookmarkStart w:id="133" w:name="_Toc304967210"/>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t>ATTACHMENT</w:t>
      </w:r>
      <w:r w:rsidR="00FF423F">
        <w:t xml:space="preserve"> A – DATA GATHERING TEMPLATE</w:t>
      </w:r>
      <w:bookmarkEnd w:id="133"/>
    </w:p>
    <w:p w:rsidR="0023286B" w:rsidRDefault="00FF423F">
      <w:pPr>
        <w:sectPr w:rsidR="0023286B" w:rsidSect="00E206B2">
          <w:pgSz w:w="11907" w:h="16840" w:code="9"/>
          <w:pgMar w:top="1440" w:right="1797" w:bottom="1440" w:left="1797" w:header="709" w:footer="709" w:gutter="0"/>
          <w:pgNumType w:start="1"/>
          <w:cols w:space="708"/>
          <w:titlePg/>
          <w:docGrid w:linePitch="360"/>
        </w:sectPr>
      </w:pPr>
      <w:r>
        <w:br w:type="page"/>
      </w:r>
    </w:p>
    <w:tbl>
      <w:tblPr>
        <w:tblW w:w="15280" w:type="dxa"/>
        <w:tblInd w:w="-64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620"/>
        <w:gridCol w:w="1880"/>
        <w:gridCol w:w="1920"/>
        <w:gridCol w:w="960"/>
        <w:gridCol w:w="960"/>
        <w:gridCol w:w="1620"/>
        <w:gridCol w:w="1000"/>
        <w:gridCol w:w="1000"/>
        <w:gridCol w:w="1000"/>
        <w:gridCol w:w="1000"/>
        <w:gridCol w:w="2320"/>
      </w:tblGrid>
      <w:tr w:rsidR="0023286B" w:rsidRPr="0023286B" w:rsidTr="0023286B">
        <w:trPr>
          <w:trHeight w:val="300"/>
        </w:trPr>
        <w:tc>
          <w:tcPr>
            <w:tcW w:w="1620" w:type="dxa"/>
            <w:vMerge w:val="restart"/>
            <w:shd w:val="clear" w:color="000000" w:fill="D8D8D8"/>
            <w:noWrap/>
            <w:vAlign w:val="center"/>
            <w:hideMark/>
          </w:tcPr>
          <w:p w:rsidR="0023286B" w:rsidRPr="0023286B" w:rsidRDefault="0023286B" w:rsidP="0023286B">
            <w:pPr>
              <w:rPr>
                <w:rFonts w:ascii="Calibri" w:hAnsi="Calibri" w:cs="Calibri"/>
                <w:b/>
                <w:bCs/>
                <w:color w:val="000000"/>
                <w:sz w:val="20"/>
                <w:szCs w:val="20"/>
                <w:lang w:eastAsia="en-AU"/>
              </w:rPr>
            </w:pPr>
            <w:r>
              <w:br w:type="page"/>
            </w:r>
            <w:r w:rsidRPr="0023286B">
              <w:rPr>
                <w:rFonts w:ascii="Calibri" w:hAnsi="Calibri" w:cs="Calibri"/>
                <w:b/>
                <w:bCs/>
                <w:color w:val="000000"/>
                <w:sz w:val="20"/>
                <w:szCs w:val="20"/>
                <w:lang w:eastAsia="en-AU"/>
              </w:rPr>
              <w:t>Model reference</w:t>
            </w:r>
          </w:p>
        </w:tc>
        <w:tc>
          <w:tcPr>
            <w:tcW w:w="1880" w:type="dxa"/>
            <w:vMerge w:val="restart"/>
            <w:shd w:val="clear" w:color="000000" w:fill="D8D8D8"/>
            <w:vAlign w:val="center"/>
            <w:hideMark/>
          </w:tcPr>
          <w:p w:rsidR="0023286B" w:rsidRPr="0023286B" w:rsidRDefault="0023286B" w:rsidP="0023286B">
            <w:pPr>
              <w:rPr>
                <w:rFonts w:ascii="Calibri" w:hAnsi="Calibri" w:cs="Calibri"/>
                <w:b/>
                <w:bCs/>
                <w:color w:val="000000"/>
                <w:sz w:val="20"/>
                <w:szCs w:val="20"/>
                <w:lang w:eastAsia="en-AU"/>
              </w:rPr>
            </w:pPr>
            <w:r w:rsidRPr="0023286B">
              <w:rPr>
                <w:rFonts w:ascii="Calibri" w:hAnsi="Calibri" w:cs="Calibri"/>
                <w:b/>
                <w:bCs/>
                <w:color w:val="000000"/>
                <w:sz w:val="20"/>
                <w:szCs w:val="20"/>
                <w:lang w:eastAsia="en-AU"/>
              </w:rPr>
              <w:t xml:space="preserve">Product description </w:t>
            </w:r>
            <w:r w:rsidRPr="0023286B">
              <w:rPr>
                <w:rFonts w:ascii="Calibri" w:hAnsi="Calibri" w:cs="Calibri"/>
                <w:b/>
                <w:bCs/>
                <w:color w:val="000000"/>
                <w:sz w:val="20"/>
                <w:szCs w:val="20"/>
                <w:lang w:eastAsia="en-AU"/>
              </w:rPr>
              <w:br/>
              <w:t>(optional)</w:t>
            </w:r>
          </w:p>
        </w:tc>
        <w:tc>
          <w:tcPr>
            <w:tcW w:w="1920" w:type="dxa"/>
            <w:vMerge w:val="restart"/>
            <w:shd w:val="clear" w:color="000000" w:fill="D8D8D8"/>
            <w:vAlign w:val="center"/>
            <w:hideMark/>
          </w:tcPr>
          <w:p w:rsidR="0023286B" w:rsidRPr="0023286B" w:rsidRDefault="0023286B" w:rsidP="0023286B">
            <w:pPr>
              <w:jc w:val="center"/>
              <w:rPr>
                <w:rFonts w:ascii="Arial" w:hAnsi="Arial" w:cs="Arial"/>
                <w:b/>
                <w:bCs/>
                <w:color w:val="000000"/>
                <w:sz w:val="16"/>
                <w:szCs w:val="16"/>
                <w:lang w:eastAsia="en-AU"/>
              </w:rPr>
            </w:pPr>
            <w:r w:rsidRPr="0023286B">
              <w:rPr>
                <w:rFonts w:ascii="Arial" w:hAnsi="Arial" w:cs="Arial"/>
                <w:b/>
                <w:bCs/>
                <w:color w:val="000000"/>
                <w:sz w:val="16"/>
                <w:szCs w:val="16"/>
                <w:lang w:eastAsia="en-AU"/>
              </w:rPr>
              <w:t>Customs Tariff Classification Number</w:t>
            </w:r>
          </w:p>
        </w:tc>
        <w:tc>
          <w:tcPr>
            <w:tcW w:w="960" w:type="dxa"/>
            <w:vMerge w:val="restart"/>
            <w:shd w:val="clear" w:color="000000" w:fill="D8D8D8"/>
            <w:vAlign w:val="center"/>
            <w:hideMark/>
          </w:tcPr>
          <w:p w:rsidR="0023286B" w:rsidRPr="0023286B" w:rsidRDefault="0023286B" w:rsidP="0023286B">
            <w:pPr>
              <w:jc w:val="center"/>
              <w:rPr>
                <w:rFonts w:ascii="Arial" w:hAnsi="Arial" w:cs="Arial"/>
                <w:b/>
                <w:bCs/>
                <w:color w:val="000000"/>
                <w:sz w:val="16"/>
                <w:szCs w:val="16"/>
                <w:lang w:eastAsia="en-AU"/>
              </w:rPr>
            </w:pPr>
            <w:r w:rsidRPr="0023286B">
              <w:rPr>
                <w:rFonts w:ascii="Arial" w:hAnsi="Arial" w:cs="Arial"/>
                <w:b/>
                <w:bCs/>
                <w:color w:val="000000"/>
                <w:sz w:val="16"/>
                <w:szCs w:val="16"/>
                <w:lang w:eastAsia="en-AU"/>
              </w:rPr>
              <w:t>2012 Stat Codes</w:t>
            </w:r>
          </w:p>
        </w:tc>
        <w:tc>
          <w:tcPr>
            <w:tcW w:w="960" w:type="dxa"/>
            <w:vMerge w:val="restart"/>
            <w:shd w:val="clear" w:color="000000" w:fill="D8D8D8"/>
            <w:vAlign w:val="center"/>
            <w:hideMark/>
          </w:tcPr>
          <w:p w:rsidR="0023286B" w:rsidRPr="0023286B" w:rsidRDefault="0023286B" w:rsidP="0023286B">
            <w:pPr>
              <w:jc w:val="center"/>
              <w:rPr>
                <w:rFonts w:ascii="Arial" w:hAnsi="Arial" w:cs="Arial"/>
                <w:b/>
                <w:bCs/>
                <w:color w:val="000000"/>
                <w:sz w:val="16"/>
                <w:szCs w:val="16"/>
                <w:lang w:eastAsia="en-AU"/>
              </w:rPr>
            </w:pPr>
            <w:r w:rsidRPr="0023286B">
              <w:rPr>
                <w:rFonts w:ascii="Arial" w:hAnsi="Arial" w:cs="Arial"/>
                <w:b/>
                <w:bCs/>
                <w:color w:val="000000"/>
                <w:sz w:val="16"/>
                <w:szCs w:val="16"/>
                <w:lang w:eastAsia="en-AU"/>
              </w:rPr>
              <w:t>2007 Stat Codes</w:t>
            </w:r>
          </w:p>
        </w:tc>
        <w:tc>
          <w:tcPr>
            <w:tcW w:w="1620" w:type="dxa"/>
            <w:vMerge w:val="restart"/>
            <w:shd w:val="clear" w:color="000000" w:fill="D8D8D8"/>
            <w:vAlign w:val="center"/>
            <w:hideMark/>
          </w:tcPr>
          <w:p w:rsidR="0023286B" w:rsidRPr="0023286B" w:rsidRDefault="0023286B" w:rsidP="0023286B">
            <w:pPr>
              <w:jc w:val="center"/>
              <w:rPr>
                <w:rFonts w:ascii="Calibri" w:hAnsi="Calibri" w:cs="Calibri"/>
                <w:b/>
                <w:bCs/>
                <w:color w:val="000000"/>
                <w:sz w:val="20"/>
                <w:szCs w:val="20"/>
                <w:lang w:eastAsia="en-AU"/>
              </w:rPr>
            </w:pPr>
            <w:r w:rsidRPr="0023286B">
              <w:rPr>
                <w:rFonts w:ascii="Calibri" w:hAnsi="Calibri" w:cs="Calibri"/>
                <w:b/>
                <w:bCs/>
                <w:color w:val="000000"/>
                <w:sz w:val="20"/>
                <w:szCs w:val="20"/>
                <w:lang w:eastAsia="en-AU"/>
              </w:rPr>
              <w:t>Weight of single unpacked item (kg)</w:t>
            </w:r>
          </w:p>
        </w:tc>
        <w:tc>
          <w:tcPr>
            <w:tcW w:w="4000" w:type="dxa"/>
            <w:gridSpan w:val="4"/>
            <w:shd w:val="clear" w:color="000000" w:fill="D8D8D8"/>
            <w:vAlign w:val="center"/>
            <w:hideMark/>
          </w:tcPr>
          <w:p w:rsidR="0023286B" w:rsidRPr="0023286B" w:rsidRDefault="0023286B" w:rsidP="0023286B">
            <w:pPr>
              <w:jc w:val="center"/>
              <w:rPr>
                <w:rFonts w:ascii="Calibri" w:hAnsi="Calibri" w:cs="Calibri"/>
                <w:b/>
                <w:bCs/>
                <w:color w:val="000000"/>
                <w:sz w:val="20"/>
                <w:szCs w:val="20"/>
                <w:lang w:eastAsia="en-AU"/>
              </w:rPr>
            </w:pPr>
            <w:r w:rsidRPr="0023286B">
              <w:rPr>
                <w:rFonts w:ascii="Calibri" w:hAnsi="Calibri" w:cs="Calibri"/>
                <w:b/>
                <w:bCs/>
                <w:color w:val="000000"/>
                <w:sz w:val="20"/>
                <w:szCs w:val="20"/>
                <w:lang w:eastAsia="en-AU"/>
              </w:rPr>
              <w:t>Number of items imported</w:t>
            </w:r>
          </w:p>
        </w:tc>
        <w:tc>
          <w:tcPr>
            <w:tcW w:w="2320" w:type="dxa"/>
            <w:vMerge w:val="restart"/>
            <w:shd w:val="clear" w:color="000000" w:fill="D8D8D8"/>
            <w:noWrap/>
            <w:vAlign w:val="center"/>
            <w:hideMark/>
          </w:tcPr>
          <w:p w:rsidR="0023286B" w:rsidRPr="0023286B" w:rsidRDefault="0023286B" w:rsidP="0023286B">
            <w:pPr>
              <w:rPr>
                <w:rFonts w:ascii="Calibri" w:hAnsi="Calibri" w:cs="Calibri"/>
                <w:b/>
                <w:bCs/>
                <w:color w:val="000000"/>
                <w:sz w:val="20"/>
                <w:szCs w:val="20"/>
                <w:lang w:eastAsia="en-AU"/>
              </w:rPr>
            </w:pPr>
            <w:r w:rsidRPr="0023286B">
              <w:rPr>
                <w:rFonts w:ascii="Calibri" w:hAnsi="Calibri" w:cs="Calibri"/>
                <w:b/>
                <w:bCs/>
                <w:color w:val="000000"/>
                <w:sz w:val="20"/>
                <w:szCs w:val="20"/>
                <w:lang w:eastAsia="en-AU"/>
              </w:rPr>
              <w:t>Comments</w:t>
            </w:r>
          </w:p>
        </w:tc>
      </w:tr>
      <w:tr w:rsidR="0023286B" w:rsidRPr="0023286B" w:rsidTr="0023286B">
        <w:trPr>
          <w:trHeight w:val="435"/>
        </w:trPr>
        <w:tc>
          <w:tcPr>
            <w:tcW w:w="1620" w:type="dxa"/>
            <w:vMerge/>
            <w:vAlign w:val="center"/>
            <w:hideMark/>
          </w:tcPr>
          <w:p w:rsidR="0023286B" w:rsidRPr="0023286B" w:rsidRDefault="0023286B" w:rsidP="0023286B">
            <w:pPr>
              <w:rPr>
                <w:rFonts w:ascii="Calibri" w:hAnsi="Calibri" w:cs="Calibri"/>
                <w:b/>
                <w:bCs/>
                <w:color w:val="000000"/>
                <w:sz w:val="20"/>
                <w:szCs w:val="20"/>
                <w:lang w:eastAsia="en-AU"/>
              </w:rPr>
            </w:pPr>
          </w:p>
        </w:tc>
        <w:tc>
          <w:tcPr>
            <w:tcW w:w="1880" w:type="dxa"/>
            <w:vMerge/>
            <w:vAlign w:val="center"/>
            <w:hideMark/>
          </w:tcPr>
          <w:p w:rsidR="0023286B" w:rsidRPr="0023286B" w:rsidRDefault="0023286B" w:rsidP="0023286B">
            <w:pPr>
              <w:rPr>
                <w:rFonts w:ascii="Calibri" w:hAnsi="Calibri" w:cs="Calibri"/>
                <w:b/>
                <w:bCs/>
                <w:color w:val="000000"/>
                <w:sz w:val="20"/>
                <w:szCs w:val="20"/>
                <w:lang w:eastAsia="en-AU"/>
              </w:rPr>
            </w:pPr>
          </w:p>
        </w:tc>
        <w:tc>
          <w:tcPr>
            <w:tcW w:w="1920" w:type="dxa"/>
            <w:vMerge/>
            <w:vAlign w:val="center"/>
            <w:hideMark/>
          </w:tcPr>
          <w:p w:rsidR="0023286B" w:rsidRPr="0023286B" w:rsidRDefault="0023286B" w:rsidP="0023286B">
            <w:pPr>
              <w:rPr>
                <w:rFonts w:ascii="Arial" w:hAnsi="Arial" w:cs="Arial"/>
                <w:b/>
                <w:bCs/>
                <w:color w:val="000000"/>
                <w:sz w:val="16"/>
                <w:szCs w:val="16"/>
                <w:lang w:eastAsia="en-AU"/>
              </w:rPr>
            </w:pPr>
          </w:p>
        </w:tc>
        <w:tc>
          <w:tcPr>
            <w:tcW w:w="960" w:type="dxa"/>
            <w:vMerge/>
            <w:vAlign w:val="center"/>
            <w:hideMark/>
          </w:tcPr>
          <w:p w:rsidR="0023286B" w:rsidRPr="0023286B" w:rsidRDefault="0023286B" w:rsidP="0023286B">
            <w:pPr>
              <w:rPr>
                <w:rFonts w:ascii="Arial" w:hAnsi="Arial" w:cs="Arial"/>
                <w:b/>
                <w:bCs/>
                <w:color w:val="000000"/>
                <w:sz w:val="16"/>
                <w:szCs w:val="16"/>
                <w:lang w:eastAsia="en-AU"/>
              </w:rPr>
            </w:pPr>
          </w:p>
        </w:tc>
        <w:tc>
          <w:tcPr>
            <w:tcW w:w="960" w:type="dxa"/>
            <w:vMerge/>
            <w:vAlign w:val="center"/>
            <w:hideMark/>
          </w:tcPr>
          <w:p w:rsidR="0023286B" w:rsidRPr="0023286B" w:rsidRDefault="0023286B" w:rsidP="0023286B">
            <w:pPr>
              <w:rPr>
                <w:rFonts w:ascii="Arial" w:hAnsi="Arial" w:cs="Arial"/>
                <w:b/>
                <w:bCs/>
                <w:color w:val="000000"/>
                <w:sz w:val="16"/>
                <w:szCs w:val="16"/>
                <w:lang w:eastAsia="en-AU"/>
              </w:rPr>
            </w:pPr>
          </w:p>
        </w:tc>
        <w:tc>
          <w:tcPr>
            <w:tcW w:w="1620" w:type="dxa"/>
            <w:vMerge/>
            <w:vAlign w:val="center"/>
            <w:hideMark/>
          </w:tcPr>
          <w:p w:rsidR="0023286B" w:rsidRPr="0023286B" w:rsidRDefault="0023286B" w:rsidP="0023286B">
            <w:pPr>
              <w:rPr>
                <w:rFonts w:ascii="Calibri" w:hAnsi="Calibri" w:cs="Calibri"/>
                <w:b/>
                <w:bCs/>
                <w:color w:val="000000"/>
                <w:sz w:val="20"/>
                <w:szCs w:val="20"/>
                <w:lang w:eastAsia="en-AU"/>
              </w:rPr>
            </w:pPr>
          </w:p>
        </w:tc>
        <w:tc>
          <w:tcPr>
            <w:tcW w:w="1000" w:type="dxa"/>
            <w:shd w:val="clear" w:color="000000" w:fill="D8D8D8"/>
            <w:noWrap/>
            <w:vAlign w:val="center"/>
            <w:hideMark/>
          </w:tcPr>
          <w:p w:rsidR="0023286B" w:rsidRPr="0023286B" w:rsidRDefault="0023286B" w:rsidP="0023286B">
            <w:pPr>
              <w:jc w:val="center"/>
              <w:rPr>
                <w:rFonts w:ascii="Calibri" w:hAnsi="Calibri" w:cs="Calibri"/>
                <w:b/>
                <w:bCs/>
                <w:color w:val="000000"/>
                <w:sz w:val="20"/>
                <w:szCs w:val="20"/>
                <w:lang w:eastAsia="en-AU"/>
              </w:rPr>
            </w:pPr>
            <w:r w:rsidRPr="0023286B">
              <w:rPr>
                <w:rFonts w:ascii="Calibri" w:hAnsi="Calibri" w:cs="Calibri"/>
                <w:b/>
                <w:bCs/>
                <w:color w:val="000000"/>
                <w:sz w:val="20"/>
                <w:szCs w:val="20"/>
                <w:lang w:eastAsia="en-AU"/>
              </w:rPr>
              <w:t>2010-2011</w:t>
            </w:r>
          </w:p>
        </w:tc>
        <w:tc>
          <w:tcPr>
            <w:tcW w:w="1000" w:type="dxa"/>
            <w:shd w:val="clear" w:color="000000" w:fill="D8D8D8"/>
            <w:noWrap/>
            <w:vAlign w:val="center"/>
            <w:hideMark/>
          </w:tcPr>
          <w:p w:rsidR="0023286B" w:rsidRPr="0023286B" w:rsidRDefault="0023286B" w:rsidP="0023286B">
            <w:pPr>
              <w:jc w:val="center"/>
              <w:rPr>
                <w:rFonts w:ascii="Calibri" w:hAnsi="Calibri" w:cs="Calibri"/>
                <w:b/>
                <w:bCs/>
                <w:color w:val="000000"/>
                <w:sz w:val="20"/>
                <w:szCs w:val="20"/>
                <w:lang w:eastAsia="en-AU"/>
              </w:rPr>
            </w:pPr>
            <w:r w:rsidRPr="0023286B">
              <w:rPr>
                <w:rFonts w:ascii="Calibri" w:hAnsi="Calibri" w:cs="Calibri"/>
                <w:b/>
                <w:bCs/>
                <w:color w:val="000000"/>
                <w:sz w:val="20"/>
                <w:szCs w:val="20"/>
                <w:lang w:eastAsia="en-AU"/>
              </w:rPr>
              <w:t>2009-2010</w:t>
            </w:r>
          </w:p>
        </w:tc>
        <w:tc>
          <w:tcPr>
            <w:tcW w:w="1000" w:type="dxa"/>
            <w:shd w:val="clear" w:color="000000" w:fill="D8D8D8"/>
            <w:noWrap/>
            <w:vAlign w:val="center"/>
            <w:hideMark/>
          </w:tcPr>
          <w:p w:rsidR="0023286B" w:rsidRPr="0023286B" w:rsidRDefault="0023286B" w:rsidP="0023286B">
            <w:pPr>
              <w:jc w:val="center"/>
              <w:rPr>
                <w:rFonts w:ascii="Calibri" w:hAnsi="Calibri" w:cs="Calibri"/>
                <w:b/>
                <w:bCs/>
                <w:color w:val="000000"/>
                <w:sz w:val="20"/>
                <w:szCs w:val="20"/>
                <w:lang w:eastAsia="en-AU"/>
              </w:rPr>
            </w:pPr>
            <w:r w:rsidRPr="0023286B">
              <w:rPr>
                <w:rFonts w:ascii="Calibri" w:hAnsi="Calibri" w:cs="Calibri"/>
                <w:b/>
                <w:bCs/>
                <w:color w:val="000000"/>
                <w:sz w:val="20"/>
                <w:szCs w:val="20"/>
                <w:lang w:eastAsia="en-AU"/>
              </w:rPr>
              <w:t>2008-2009</w:t>
            </w:r>
          </w:p>
        </w:tc>
        <w:tc>
          <w:tcPr>
            <w:tcW w:w="1000" w:type="dxa"/>
            <w:shd w:val="clear" w:color="000000" w:fill="D8D8D8"/>
            <w:noWrap/>
            <w:vAlign w:val="center"/>
            <w:hideMark/>
          </w:tcPr>
          <w:p w:rsidR="0023286B" w:rsidRPr="0023286B" w:rsidRDefault="0023286B" w:rsidP="0023286B">
            <w:pPr>
              <w:jc w:val="center"/>
              <w:rPr>
                <w:rFonts w:ascii="Calibri" w:hAnsi="Calibri" w:cs="Calibri"/>
                <w:b/>
                <w:bCs/>
                <w:color w:val="000000"/>
                <w:sz w:val="20"/>
                <w:szCs w:val="20"/>
                <w:lang w:eastAsia="en-AU"/>
              </w:rPr>
            </w:pPr>
            <w:r w:rsidRPr="0023286B">
              <w:rPr>
                <w:rFonts w:ascii="Calibri" w:hAnsi="Calibri" w:cs="Calibri"/>
                <w:b/>
                <w:bCs/>
                <w:color w:val="000000"/>
                <w:sz w:val="20"/>
                <w:szCs w:val="20"/>
                <w:lang w:eastAsia="en-AU"/>
              </w:rPr>
              <w:t>2007-2008</w:t>
            </w:r>
          </w:p>
        </w:tc>
        <w:tc>
          <w:tcPr>
            <w:tcW w:w="2320" w:type="dxa"/>
            <w:vMerge/>
            <w:vAlign w:val="center"/>
            <w:hideMark/>
          </w:tcPr>
          <w:p w:rsidR="0023286B" w:rsidRPr="0023286B" w:rsidRDefault="0023286B" w:rsidP="0023286B">
            <w:pPr>
              <w:rPr>
                <w:rFonts w:ascii="Calibri" w:hAnsi="Calibri" w:cs="Calibri"/>
                <w:b/>
                <w:bCs/>
                <w:color w:val="000000"/>
                <w:sz w:val="20"/>
                <w:szCs w:val="20"/>
                <w:lang w:eastAsia="en-AU"/>
              </w:rPr>
            </w:pPr>
          </w:p>
        </w:tc>
      </w:tr>
      <w:tr w:rsidR="0023286B" w:rsidRPr="0023286B" w:rsidTr="0023286B">
        <w:trPr>
          <w:trHeight w:val="300"/>
        </w:trPr>
        <w:tc>
          <w:tcPr>
            <w:tcW w:w="1620" w:type="dxa"/>
            <w:shd w:val="clear" w:color="auto" w:fill="auto"/>
            <w:noWrap/>
            <w:vAlign w:val="center"/>
            <w:hideMark/>
          </w:tcPr>
          <w:p w:rsidR="0023286B" w:rsidRPr="0023286B" w:rsidRDefault="0023286B" w:rsidP="0023286B">
            <w:pPr>
              <w:rPr>
                <w:rFonts w:ascii="Calibri" w:hAnsi="Calibri" w:cs="Calibri"/>
                <w:color w:val="7F7F7F"/>
                <w:sz w:val="20"/>
                <w:szCs w:val="20"/>
                <w:lang w:eastAsia="en-AU"/>
              </w:rPr>
            </w:pPr>
            <w:r w:rsidRPr="0023286B">
              <w:rPr>
                <w:rFonts w:ascii="Calibri" w:hAnsi="Calibri" w:cs="Calibri"/>
                <w:color w:val="7F7F7F"/>
                <w:sz w:val="20"/>
                <w:szCs w:val="20"/>
                <w:lang w:eastAsia="en-AU"/>
              </w:rPr>
              <w:t> </w:t>
            </w:r>
          </w:p>
        </w:tc>
        <w:tc>
          <w:tcPr>
            <w:tcW w:w="1880" w:type="dxa"/>
            <w:shd w:val="clear" w:color="auto" w:fill="auto"/>
            <w:noWrap/>
            <w:vAlign w:val="center"/>
            <w:hideMark/>
          </w:tcPr>
          <w:p w:rsidR="0023286B" w:rsidRPr="0023286B" w:rsidRDefault="0023286B" w:rsidP="0023286B">
            <w:pPr>
              <w:rPr>
                <w:rFonts w:ascii="Calibri" w:hAnsi="Calibri" w:cs="Calibri"/>
                <w:color w:val="7F7F7F"/>
                <w:sz w:val="20"/>
                <w:szCs w:val="20"/>
                <w:lang w:eastAsia="en-AU"/>
              </w:rPr>
            </w:pPr>
            <w:r w:rsidRPr="0023286B">
              <w:rPr>
                <w:rFonts w:ascii="Calibri" w:hAnsi="Calibri" w:cs="Calibri"/>
                <w:color w:val="7F7F7F"/>
                <w:sz w:val="20"/>
                <w:szCs w:val="20"/>
                <w:lang w:eastAsia="en-AU"/>
              </w:rPr>
              <w:t> </w:t>
            </w:r>
          </w:p>
        </w:tc>
        <w:tc>
          <w:tcPr>
            <w:tcW w:w="1920" w:type="dxa"/>
            <w:shd w:val="clear" w:color="auto" w:fill="auto"/>
            <w:noWrap/>
            <w:vAlign w:val="bottom"/>
            <w:hideMark/>
          </w:tcPr>
          <w:p w:rsidR="0023286B" w:rsidRPr="0023286B" w:rsidRDefault="0023286B" w:rsidP="0023286B">
            <w:pPr>
              <w:jc w:val="center"/>
              <w:rPr>
                <w:rFonts w:ascii="Calibri" w:hAnsi="Calibri" w:cs="Calibri"/>
                <w:color w:val="7F7F7F"/>
                <w:sz w:val="20"/>
                <w:szCs w:val="20"/>
                <w:lang w:eastAsia="en-AU"/>
              </w:rPr>
            </w:pPr>
            <w:r w:rsidRPr="0023286B">
              <w:rPr>
                <w:rFonts w:ascii="Calibri" w:hAnsi="Calibri" w:cs="Calibri"/>
                <w:color w:val="7F7F7F"/>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7F7F7F"/>
                <w:sz w:val="20"/>
                <w:szCs w:val="20"/>
                <w:lang w:eastAsia="en-AU"/>
              </w:rPr>
            </w:pPr>
            <w:r w:rsidRPr="0023286B">
              <w:rPr>
                <w:rFonts w:ascii="Calibri" w:hAnsi="Calibri" w:cs="Calibri"/>
                <w:color w:val="7F7F7F"/>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7F7F7F"/>
                <w:sz w:val="20"/>
                <w:szCs w:val="20"/>
                <w:lang w:eastAsia="en-AU"/>
              </w:rPr>
            </w:pPr>
            <w:r w:rsidRPr="0023286B">
              <w:rPr>
                <w:rFonts w:ascii="Calibri" w:hAnsi="Calibri" w:cs="Calibri"/>
                <w:color w:val="7F7F7F"/>
                <w:sz w:val="20"/>
                <w:szCs w:val="20"/>
                <w:lang w:eastAsia="en-AU"/>
              </w:rPr>
              <w:t> </w:t>
            </w:r>
          </w:p>
        </w:tc>
        <w:tc>
          <w:tcPr>
            <w:tcW w:w="1620" w:type="dxa"/>
            <w:shd w:val="clear" w:color="auto" w:fill="auto"/>
            <w:vAlign w:val="center"/>
            <w:hideMark/>
          </w:tcPr>
          <w:p w:rsidR="0023286B" w:rsidRPr="0023286B" w:rsidRDefault="0023286B" w:rsidP="0023286B">
            <w:pPr>
              <w:jc w:val="center"/>
              <w:rPr>
                <w:rFonts w:ascii="Calibri" w:hAnsi="Calibri" w:cs="Calibri"/>
                <w:color w:val="7F7F7F"/>
                <w:sz w:val="20"/>
                <w:szCs w:val="20"/>
                <w:lang w:eastAsia="en-AU"/>
              </w:rPr>
            </w:pPr>
            <w:r w:rsidRPr="0023286B">
              <w:rPr>
                <w:rFonts w:ascii="Calibri" w:hAnsi="Calibri" w:cs="Calibri"/>
                <w:color w:val="7F7F7F"/>
                <w:sz w:val="20"/>
                <w:szCs w:val="20"/>
                <w:lang w:eastAsia="en-AU"/>
              </w:rPr>
              <w:t> </w:t>
            </w:r>
          </w:p>
        </w:tc>
        <w:tc>
          <w:tcPr>
            <w:tcW w:w="1000" w:type="dxa"/>
            <w:shd w:val="clear" w:color="auto" w:fill="auto"/>
            <w:vAlign w:val="center"/>
            <w:hideMark/>
          </w:tcPr>
          <w:p w:rsidR="0023286B" w:rsidRPr="0023286B" w:rsidRDefault="0023286B" w:rsidP="0023286B">
            <w:pPr>
              <w:jc w:val="center"/>
              <w:rPr>
                <w:rFonts w:ascii="Calibri" w:hAnsi="Calibri" w:cs="Calibri"/>
                <w:color w:val="7F7F7F"/>
                <w:sz w:val="20"/>
                <w:szCs w:val="20"/>
                <w:lang w:eastAsia="en-AU"/>
              </w:rPr>
            </w:pPr>
            <w:r w:rsidRPr="0023286B">
              <w:rPr>
                <w:rFonts w:ascii="Calibri" w:hAnsi="Calibri" w:cs="Calibri"/>
                <w:color w:val="7F7F7F"/>
                <w:sz w:val="20"/>
                <w:szCs w:val="20"/>
                <w:lang w:eastAsia="en-AU"/>
              </w:rPr>
              <w:t> </w:t>
            </w:r>
          </w:p>
        </w:tc>
        <w:tc>
          <w:tcPr>
            <w:tcW w:w="1000" w:type="dxa"/>
            <w:shd w:val="clear" w:color="auto" w:fill="auto"/>
            <w:vAlign w:val="center"/>
            <w:hideMark/>
          </w:tcPr>
          <w:p w:rsidR="0023286B" w:rsidRPr="0023286B" w:rsidRDefault="0023286B" w:rsidP="0023286B">
            <w:pPr>
              <w:jc w:val="center"/>
              <w:rPr>
                <w:rFonts w:ascii="Calibri" w:hAnsi="Calibri" w:cs="Calibri"/>
                <w:color w:val="7F7F7F"/>
                <w:sz w:val="20"/>
                <w:szCs w:val="20"/>
                <w:lang w:eastAsia="en-AU"/>
              </w:rPr>
            </w:pPr>
            <w:r w:rsidRPr="0023286B">
              <w:rPr>
                <w:rFonts w:ascii="Calibri" w:hAnsi="Calibri" w:cs="Calibri"/>
                <w:color w:val="7F7F7F"/>
                <w:sz w:val="20"/>
                <w:szCs w:val="20"/>
                <w:lang w:eastAsia="en-AU"/>
              </w:rPr>
              <w:t> </w:t>
            </w:r>
          </w:p>
        </w:tc>
        <w:tc>
          <w:tcPr>
            <w:tcW w:w="1000" w:type="dxa"/>
            <w:shd w:val="clear" w:color="auto" w:fill="auto"/>
            <w:vAlign w:val="center"/>
            <w:hideMark/>
          </w:tcPr>
          <w:p w:rsidR="0023286B" w:rsidRPr="0023286B" w:rsidRDefault="0023286B" w:rsidP="0023286B">
            <w:pPr>
              <w:jc w:val="center"/>
              <w:rPr>
                <w:rFonts w:ascii="Calibri" w:hAnsi="Calibri" w:cs="Calibri"/>
                <w:color w:val="7F7F7F"/>
                <w:sz w:val="20"/>
                <w:szCs w:val="20"/>
                <w:lang w:eastAsia="en-AU"/>
              </w:rPr>
            </w:pPr>
            <w:r w:rsidRPr="0023286B">
              <w:rPr>
                <w:rFonts w:ascii="Calibri" w:hAnsi="Calibri" w:cs="Calibri"/>
                <w:color w:val="7F7F7F"/>
                <w:sz w:val="20"/>
                <w:szCs w:val="20"/>
                <w:lang w:eastAsia="en-AU"/>
              </w:rPr>
              <w:t> </w:t>
            </w:r>
          </w:p>
        </w:tc>
        <w:tc>
          <w:tcPr>
            <w:tcW w:w="1000" w:type="dxa"/>
            <w:shd w:val="clear" w:color="auto" w:fill="auto"/>
            <w:vAlign w:val="center"/>
            <w:hideMark/>
          </w:tcPr>
          <w:p w:rsidR="0023286B" w:rsidRPr="0023286B" w:rsidRDefault="0023286B" w:rsidP="0023286B">
            <w:pPr>
              <w:jc w:val="center"/>
              <w:rPr>
                <w:rFonts w:ascii="Calibri" w:hAnsi="Calibri" w:cs="Calibri"/>
                <w:color w:val="7F7F7F"/>
                <w:sz w:val="20"/>
                <w:szCs w:val="20"/>
                <w:lang w:eastAsia="en-AU"/>
              </w:rPr>
            </w:pPr>
            <w:r w:rsidRPr="0023286B">
              <w:rPr>
                <w:rFonts w:ascii="Calibri" w:hAnsi="Calibri" w:cs="Calibri"/>
                <w:color w:val="7F7F7F"/>
                <w:sz w:val="20"/>
                <w:szCs w:val="20"/>
                <w:lang w:eastAsia="en-AU"/>
              </w:rPr>
              <w:t> </w:t>
            </w:r>
          </w:p>
        </w:tc>
        <w:tc>
          <w:tcPr>
            <w:tcW w:w="2320" w:type="dxa"/>
            <w:shd w:val="clear" w:color="auto" w:fill="auto"/>
            <w:noWrap/>
            <w:vAlign w:val="bottom"/>
            <w:hideMark/>
          </w:tcPr>
          <w:p w:rsidR="0023286B" w:rsidRPr="0023286B" w:rsidRDefault="0023286B" w:rsidP="0023286B">
            <w:pPr>
              <w:rPr>
                <w:rFonts w:ascii="Calibri" w:hAnsi="Calibri" w:cs="Calibri"/>
                <w:color w:val="7F7F7F"/>
                <w:sz w:val="20"/>
                <w:szCs w:val="20"/>
                <w:lang w:eastAsia="en-AU"/>
              </w:rPr>
            </w:pPr>
            <w:r w:rsidRPr="0023286B">
              <w:rPr>
                <w:rFonts w:ascii="Calibri" w:hAnsi="Calibri" w:cs="Calibri"/>
                <w:color w:val="7F7F7F"/>
                <w:sz w:val="20"/>
                <w:szCs w:val="20"/>
                <w:lang w:eastAsia="en-AU"/>
              </w:rPr>
              <w:t> </w:t>
            </w:r>
          </w:p>
        </w:tc>
      </w:tr>
      <w:tr w:rsidR="0023286B" w:rsidRPr="0023286B" w:rsidTr="0023286B">
        <w:trPr>
          <w:trHeight w:val="270"/>
        </w:trPr>
        <w:tc>
          <w:tcPr>
            <w:tcW w:w="1620" w:type="dxa"/>
            <w:shd w:val="clear" w:color="auto" w:fill="auto"/>
            <w:noWrap/>
            <w:vAlign w:val="center"/>
            <w:hideMark/>
          </w:tcPr>
          <w:p w:rsidR="0023286B" w:rsidRPr="0023286B" w:rsidRDefault="0023286B" w:rsidP="0023286B">
            <w:pPr>
              <w:rPr>
                <w:rFonts w:ascii="Calibri" w:hAnsi="Calibri" w:cs="Calibri"/>
                <w:color w:val="7F7F7F"/>
                <w:sz w:val="20"/>
                <w:szCs w:val="20"/>
                <w:lang w:eastAsia="en-AU"/>
              </w:rPr>
            </w:pPr>
            <w:r w:rsidRPr="0023286B">
              <w:rPr>
                <w:rFonts w:ascii="Calibri" w:hAnsi="Calibri" w:cs="Calibri"/>
                <w:color w:val="7F7F7F"/>
                <w:sz w:val="20"/>
                <w:szCs w:val="20"/>
                <w:lang w:eastAsia="en-AU"/>
              </w:rPr>
              <w:t> </w:t>
            </w:r>
          </w:p>
        </w:tc>
        <w:tc>
          <w:tcPr>
            <w:tcW w:w="1880" w:type="dxa"/>
            <w:shd w:val="clear" w:color="auto" w:fill="auto"/>
            <w:noWrap/>
            <w:vAlign w:val="center"/>
            <w:hideMark/>
          </w:tcPr>
          <w:p w:rsidR="0023286B" w:rsidRPr="0023286B" w:rsidRDefault="0023286B" w:rsidP="0023286B">
            <w:pPr>
              <w:rPr>
                <w:rFonts w:ascii="Calibri" w:hAnsi="Calibri" w:cs="Calibri"/>
                <w:color w:val="7F7F7F"/>
                <w:sz w:val="20"/>
                <w:szCs w:val="20"/>
                <w:lang w:eastAsia="en-AU"/>
              </w:rPr>
            </w:pPr>
            <w:r w:rsidRPr="0023286B">
              <w:rPr>
                <w:rFonts w:ascii="Calibri" w:hAnsi="Calibri" w:cs="Calibri"/>
                <w:color w:val="7F7F7F"/>
                <w:sz w:val="20"/>
                <w:szCs w:val="20"/>
                <w:lang w:eastAsia="en-AU"/>
              </w:rPr>
              <w:t> </w:t>
            </w:r>
          </w:p>
        </w:tc>
        <w:tc>
          <w:tcPr>
            <w:tcW w:w="1920" w:type="dxa"/>
            <w:shd w:val="clear" w:color="auto" w:fill="auto"/>
            <w:noWrap/>
            <w:vAlign w:val="bottom"/>
            <w:hideMark/>
          </w:tcPr>
          <w:p w:rsidR="0023286B" w:rsidRPr="0023286B" w:rsidRDefault="0023286B" w:rsidP="0023286B">
            <w:pPr>
              <w:jc w:val="center"/>
              <w:rPr>
                <w:rFonts w:ascii="Calibri" w:hAnsi="Calibri" w:cs="Calibri"/>
                <w:color w:val="7F7F7F"/>
                <w:sz w:val="20"/>
                <w:szCs w:val="20"/>
                <w:lang w:eastAsia="en-AU"/>
              </w:rPr>
            </w:pPr>
            <w:r w:rsidRPr="0023286B">
              <w:rPr>
                <w:rFonts w:ascii="Calibri" w:hAnsi="Calibri" w:cs="Calibri"/>
                <w:color w:val="7F7F7F"/>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7F7F7F"/>
                <w:sz w:val="20"/>
                <w:szCs w:val="20"/>
                <w:lang w:eastAsia="en-AU"/>
              </w:rPr>
            </w:pPr>
            <w:r w:rsidRPr="0023286B">
              <w:rPr>
                <w:rFonts w:ascii="Calibri" w:hAnsi="Calibri" w:cs="Calibri"/>
                <w:color w:val="7F7F7F"/>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7F7F7F"/>
                <w:sz w:val="20"/>
                <w:szCs w:val="20"/>
                <w:lang w:eastAsia="en-AU"/>
              </w:rPr>
            </w:pPr>
            <w:r w:rsidRPr="0023286B">
              <w:rPr>
                <w:rFonts w:ascii="Calibri" w:hAnsi="Calibri" w:cs="Calibri"/>
                <w:color w:val="7F7F7F"/>
                <w:sz w:val="20"/>
                <w:szCs w:val="20"/>
                <w:lang w:eastAsia="en-AU"/>
              </w:rPr>
              <w:t> </w:t>
            </w:r>
          </w:p>
        </w:tc>
        <w:tc>
          <w:tcPr>
            <w:tcW w:w="1620" w:type="dxa"/>
            <w:shd w:val="clear" w:color="auto" w:fill="auto"/>
            <w:vAlign w:val="center"/>
            <w:hideMark/>
          </w:tcPr>
          <w:p w:rsidR="0023286B" w:rsidRPr="0023286B" w:rsidRDefault="0023286B" w:rsidP="0023286B">
            <w:pPr>
              <w:jc w:val="center"/>
              <w:rPr>
                <w:rFonts w:ascii="Calibri" w:hAnsi="Calibri" w:cs="Calibri"/>
                <w:color w:val="7F7F7F"/>
                <w:sz w:val="20"/>
                <w:szCs w:val="20"/>
                <w:lang w:eastAsia="en-AU"/>
              </w:rPr>
            </w:pPr>
            <w:r w:rsidRPr="0023286B">
              <w:rPr>
                <w:rFonts w:ascii="Calibri" w:hAnsi="Calibri" w:cs="Calibri"/>
                <w:color w:val="7F7F7F"/>
                <w:sz w:val="20"/>
                <w:szCs w:val="20"/>
                <w:lang w:eastAsia="en-AU"/>
              </w:rPr>
              <w:t> </w:t>
            </w:r>
          </w:p>
        </w:tc>
        <w:tc>
          <w:tcPr>
            <w:tcW w:w="1000" w:type="dxa"/>
            <w:shd w:val="clear" w:color="auto" w:fill="auto"/>
            <w:vAlign w:val="center"/>
            <w:hideMark/>
          </w:tcPr>
          <w:p w:rsidR="0023286B" w:rsidRPr="0023286B" w:rsidRDefault="0023286B" w:rsidP="0023286B">
            <w:pPr>
              <w:jc w:val="center"/>
              <w:rPr>
                <w:rFonts w:ascii="Calibri" w:hAnsi="Calibri" w:cs="Calibri"/>
                <w:color w:val="7F7F7F"/>
                <w:sz w:val="20"/>
                <w:szCs w:val="20"/>
                <w:lang w:eastAsia="en-AU"/>
              </w:rPr>
            </w:pPr>
            <w:r w:rsidRPr="0023286B">
              <w:rPr>
                <w:rFonts w:ascii="Calibri" w:hAnsi="Calibri" w:cs="Calibri"/>
                <w:color w:val="7F7F7F"/>
                <w:sz w:val="20"/>
                <w:szCs w:val="20"/>
                <w:lang w:eastAsia="en-AU"/>
              </w:rPr>
              <w:t> </w:t>
            </w:r>
          </w:p>
        </w:tc>
        <w:tc>
          <w:tcPr>
            <w:tcW w:w="1000" w:type="dxa"/>
            <w:shd w:val="clear" w:color="auto" w:fill="auto"/>
            <w:vAlign w:val="center"/>
            <w:hideMark/>
          </w:tcPr>
          <w:p w:rsidR="0023286B" w:rsidRPr="0023286B" w:rsidRDefault="0023286B" w:rsidP="0023286B">
            <w:pPr>
              <w:jc w:val="center"/>
              <w:rPr>
                <w:rFonts w:ascii="Calibri" w:hAnsi="Calibri" w:cs="Calibri"/>
                <w:color w:val="7F7F7F"/>
                <w:sz w:val="20"/>
                <w:szCs w:val="20"/>
                <w:lang w:eastAsia="en-AU"/>
              </w:rPr>
            </w:pPr>
            <w:r w:rsidRPr="0023286B">
              <w:rPr>
                <w:rFonts w:ascii="Calibri" w:hAnsi="Calibri" w:cs="Calibri"/>
                <w:color w:val="7F7F7F"/>
                <w:sz w:val="20"/>
                <w:szCs w:val="20"/>
                <w:lang w:eastAsia="en-AU"/>
              </w:rPr>
              <w:t> </w:t>
            </w:r>
          </w:p>
        </w:tc>
        <w:tc>
          <w:tcPr>
            <w:tcW w:w="1000" w:type="dxa"/>
            <w:shd w:val="clear" w:color="auto" w:fill="auto"/>
            <w:vAlign w:val="center"/>
            <w:hideMark/>
          </w:tcPr>
          <w:p w:rsidR="0023286B" w:rsidRPr="0023286B" w:rsidRDefault="0023286B" w:rsidP="0023286B">
            <w:pPr>
              <w:jc w:val="center"/>
              <w:rPr>
                <w:rFonts w:ascii="Calibri" w:hAnsi="Calibri" w:cs="Calibri"/>
                <w:color w:val="7F7F7F"/>
                <w:sz w:val="20"/>
                <w:szCs w:val="20"/>
                <w:lang w:eastAsia="en-AU"/>
              </w:rPr>
            </w:pPr>
            <w:r w:rsidRPr="0023286B">
              <w:rPr>
                <w:rFonts w:ascii="Calibri" w:hAnsi="Calibri" w:cs="Calibri"/>
                <w:color w:val="7F7F7F"/>
                <w:sz w:val="20"/>
                <w:szCs w:val="20"/>
                <w:lang w:eastAsia="en-AU"/>
              </w:rPr>
              <w:t> </w:t>
            </w:r>
          </w:p>
        </w:tc>
        <w:tc>
          <w:tcPr>
            <w:tcW w:w="1000" w:type="dxa"/>
            <w:shd w:val="clear" w:color="auto" w:fill="auto"/>
            <w:vAlign w:val="center"/>
            <w:hideMark/>
          </w:tcPr>
          <w:p w:rsidR="0023286B" w:rsidRPr="0023286B" w:rsidRDefault="0023286B" w:rsidP="0023286B">
            <w:pPr>
              <w:jc w:val="center"/>
              <w:rPr>
                <w:rFonts w:ascii="Calibri" w:hAnsi="Calibri" w:cs="Calibri"/>
                <w:color w:val="7F7F7F"/>
                <w:sz w:val="20"/>
                <w:szCs w:val="20"/>
                <w:lang w:eastAsia="en-AU"/>
              </w:rPr>
            </w:pPr>
            <w:r w:rsidRPr="0023286B">
              <w:rPr>
                <w:rFonts w:ascii="Calibri" w:hAnsi="Calibri" w:cs="Calibri"/>
                <w:color w:val="7F7F7F"/>
                <w:sz w:val="20"/>
                <w:szCs w:val="20"/>
                <w:lang w:eastAsia="en-AU"/>
              </w:rPr>
              <w:t> </w:t>
            </w:r>
          </w:p>
        </w:tc>
        <w:tc>
          <w:tcPr>
            <w:tcW w:w="2320" w:type="dxa"/>
            <w:shd w:val="clear" w:color="auto" w:fill="auto"/>
            <w:noWrap/>
            <w:vAlign w:val="bottom"/>
            <w:hideMark/>
          </w:tcPr>
          <w:p w:rsidR="0023286B" w:rsidRPr="0023286B" w:rsidRDefault="0023286B" w:rsidP="0023286B">
            <w:pPr>
              <w:rPr>
                <w:rFonts w:ascii="Calibri" w:hAnsi="Calibri" w:cs="Calibri"/>
                <w:color w:val="7F7F7F"/>
                <w:sz w:val="20"/>
                <w:szCs w:val="20"/>
                <w:lang w:eastAsia="en-AU"/>
              </w:rPr>
            </w:pPr>
            <w:r w:rsidRPr="0023286B">
              <w:rPr>
                <w:rFonts w:ascii="Calibri" w:hAnsi="Calibri" w:cs="Calibri"/>
                <w:color w:val="7F7F7F"/>
                <w:sz w:val="20"/>
                <w:szCs w:val="20"/>
                <w:lang w:eastAsia="en-AU"/>
              </w:rPr>
              <w:t> </w:t>
            </w:r>
          </w:p>
        </w:tc>
      </w:tr>
      <w:tr w:rsidR="0023286B" w:rsidRPr="0023286B" w:rsidTr="0023286B">
        <w:trPr>
          <w:trHeight w:val="255"/>
        </w:trPr>
        <w:tc>
          <w:tcPr>
            <w:tcW w:w="162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88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92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62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232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r>
      <w:tr w:rsidR="0023286B" w:rsidRPr="0023286B" w:rsidTr="0023286B">
        <w:trPr>
          <w:trHeight w:val="255"/>
        </w:trPr>
        <w:tc>
          <w:tcPr>
            <w:tcW w:w="162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88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92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62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232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r>
      <w:tr w:rsidR="0023286B" w:rsidRPr="0023286B" w:rsidTr="0023286B">
        <w:trPr>
          <w:trHeight w:val="255"/>
        </w:trPr>
        <w:tc>
          <w:tcPr>
            <w:tcW w:w="162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88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92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62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232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r>
      <w:tr w:rsidR="0023286B" w:rsidRPr="0023286B" w:rsidTr="0023286B">
        <w:trPr>
          <w:trHeight w:val="255"/>
        </w:trPr>
        <w:tc>
          <w:tcPr>
            <w:tcW w:w="162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88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92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62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232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r>
      <w:tr w:rsidR="0023286B" w:rsidRPr="0023286B" w:rsidTr="0023286B">
        <w:trPr>
          <w:trHeight w:val="255"/>
        </w:trPr>
        <w:tc>
          <w:tcPr>
            <w:tcW w:w="162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88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92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62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232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r>
      <w:tr w:rsidR="0023286B" w:rsidRPr="0023286B" w:rsidTr="0023286B">
        <w:trPr>
          <w:trHeight w:val="255"/>
        </w:trPr>
        <w:tc>
          <w:tcPr>
            <w:tcW w:w="162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88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92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62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232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r>
      <w:tr w:rsidR="0023286B" w:rsidRPr="0023286B" w:rsidTr="0023286B">
        <w:trPr>
          <w:trHeight w:val="255"/>
        </w:trPr>
        <w:tc>
          <w:tcPr>
            <w:tcW w:w="162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88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92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62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232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r>
      <w:tr w:rsidR="0023286B" w:rsidRPr="0023286B" w:rsidTr="0023286B">
        <w:trPr>
          <w:trHeight w:val="255"/>
        </w:trPr>
        <w:tc>
          <w:tcPr>
            <w:tcW w:w="162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88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92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62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232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r>
      <w:tr w:rsidR="0023286B" w:rsidRPr="0023286B" w:rsidTr="0023286B">
        <w:trPr>
          <w:trHeight w:val="255"/>
        </w:trPr>
        <w:tc>
          <w:tcPr>
            <w:tcW w:w="162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88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92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62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232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r>
      <w:tr w:rsidR="0023286B" w:rsidRPr="0023286B" w:rsidTr="0023286B">
        <w:trPr>
          <w:trHeight w:val="255"/>
        </w:trPr>
        <w:tc>
          <w:tcPr>
            <w:tcW w:w="162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88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92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62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232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r>
      <w:tr w:rsidR="0023286B" w:rsidRPr="0023286B" w:rsidTr="0023286B">
        <w:trPr>
          <w:trHeight w:val="255"/>
        </w:trPr>
        <w:tc>
          <w:tcPr>
            <w:tcW w:w="162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88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92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62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232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r>
      <w:tr w:rsidR="0023286B" w:rsidRPr="0023286B" w:rsidTr="0023286B">
        <w:trPr>
          <w:trHeight w:val="255"/>
        </w:trPr>
        <w:tc>
          <w:tcPr>
            <w:tcW w:w="162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88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92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62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232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r>
      <w:tr w:rsidR="0023286B" w:rsidRPr="0023286B" w:rsidTr="0023286B">
        <w:trPr>
          <w:trHeight w:val="255"/>
        </w:trPr>
        <w:tc>
          <w:tcPr>
            <w:tcW w:w="162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88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92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62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232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r>
      <w:tr w:rsidR="0023286B" w:rsidRPr="0023286B" w:rsidTr="0023286B">
        <w:trPr>
          <w:trHeight w:val="255"/>
        </w:trPr>
        <w:tc>
          <w:tcPr>
            <w:tcW w:w="162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88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92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62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232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r>
      <w:tr w:rsidR="0023286B" w:rsidRPr="0023286B" w:rsidTr="0023286B">
        <w:trPr>
          <w:trHeight w:val="255"/>
        </w:trPr>
        <w:tc>
          <w:tcPr>
            <w:tcW w:w="162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88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92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62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232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r>
      <w:tr w:rsidR="0023286B" w:rsidRPr="0023286B" w:rsidTr="0023286B">
        <w:trPr>
          <w:trHeight w:val="255"/>
        </w:trPr>
        <w:tc>
          <w:tcPr>
            <w:tcW w:w="162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88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92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62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232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r>
      <w:tr w:rsidR="0023286B" w:rsidRPr="0023286B" w:rsidTr="0023286B">
        <w:trPr>
          <w:trHeight w:val="255"/>
        </w:trPr>
        <w:tc>
          <w:tcPr>
            <w:tcW w:w="162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88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92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62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232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r>
      <w:tr w:rsidR="0023286B" w:rsidRPr="0023286B" w:rsidTr="0023286B">
        <w:trPr>
          <w:trHeight w:val="255"/>
        </w:trPr>
        <w:tc>
          <w:tcPr>
            <w:tcW w:w="162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88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92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62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232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r>
      <w:tr w:rsidR="0023286B" w:rsidRPr="0023286B" w:rsidTr="0023286B">
        <w:trPr>
          <w:trHeight w:val="255"/>
        </w:trPr>
        <w:tc>
          <w:tcPr>
            <w:tcW w:w="162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88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92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62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232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r>
      <w:tr w:rsidR="0023286B" w:rsidRPr="0023286B" w:rsidTr="0023286B">
        <w:trPr>
          <w:trHeight w:val="255"/>
        </w:trPr>
        <w:tc>
          <w:tcPr>
            <w:tcW w:w="162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88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92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62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232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r>
      <w:tr w:rsidR="0023286B" w:rsidRPr="0023286B" w:rsidTr="0023286B">
        <w:trPr>
          <w:trHeight w:val="255"/>
        </w:trPr>
        <w:tc>
          <w:tcPr>
            <w:tcW w:w="162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88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92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62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232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r>
      <w:tr w:rsidR="0023286B" w:rsidRPr="0023286B" w:rsidTr="0023286B">
        <w:trPr>
          <w:trHeight w:val="255"/>
        </w:trPr>
        <w:tc>
          <w:tcPr>
            <w:tcW w:w="162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88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92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62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232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r>
      <w:tr w:rsidR="0023286B" w:rsidRPr="0023286B" w:rsidTr="0023286B">
        <w:trPr>
          <w:trHeight w:val="255"/>
        </w:trPr>
        <w:tc>
          <w:tcPr>
            <w:tcW w:w="162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88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92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62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232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r>
      <w:tr w:rsidR="0023286B" w:rsidRPr="0023286B" w:rsidTr="0023286B">
        <w:trPr>
          <w:trHeight w:val="255"/>
        </w:trPr>
        <w:tc>
          <w:tcPr>
            <w:tcW w:w="162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88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92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62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232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r>
      <w:tr w:rsidR="0023286B" w:rsidRPr="0023286B" w:rsidTr="0023286B">
        <w:trPr>
          <w:trHeight w:val="255"/>
        </w:trPr>
        <w:tc>
          <w:tcPr>
            <w:tcW w:w="162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88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92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96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62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1000" w:type="dxa"/>
            <w:shd w:val="clear" w:color="auto" w:fill="auto"/>
            <w:noWrap/>
            <w:vAlign w:val="bottom"/>
            <w:hideMark/>
          </w:tcPr>
          <w:p w:rsidR="0023286B" w:rsidRPr="0023286B" w:rsidRDefault="0023286B" w:rsidP="0023286B">
            <w:pPr>
              <w:jc w:val="cente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c>
          <w:tcPr>
            <w:tcW w:w="2320" w:type="dxa"/>
            <w:shd w:val="clear" w:color="auto" w:fill="auto"/>
            <w:noWrap/>
            <w:vAlign w:val="bottom"/>
            <w:hideMark/>
          </w:tcPr>
          <w:p w:rsidR="0023286B" w:rsidRPr="0023286B" w:rsidRDefault="0023286B" w:rsidP="0023286B">
            <w:pPr>
              <w:rPr>
                <w:rFonts w:ascii="Calibri" w:hAnsi="Calibri" w:cs="Calibri"/>
                <w:color w:val="000000"/>
                <w:sz w:val="20"/>
                <w:szCs w:val="20"/>
                <w:lang w:eastAsia="en-AU"/>
              </w:rPr>
            </w:pPr>
            <w:r w:rsidRPr="0023286B">
              <w:rPr>
                <w:rFonts w:ascii="Calibri" w:hAnsi="Calibri" w:cs="Calibri"/>
                <w:color w:val="000000"/>
                <w:sz w:val="20"/>
                <w:szCs w:val="20"/>
                <w:lang w:eastAsia="en-AU"/>
              </w:rPr>
              <w:t> </w:t>
            </w:r>
          </w:p>
        </w:tc>
      </w:tr>
    </w:tbl>
    <w:p w:rsidR="00FF423F" w:rsidRDefault="00FF423F"/>
    <w:p w:rsidR="0023286B" w:rsidRDefault="0023286B" w:rsidP="00655A6F">
      <w:pPr>
        <w:pStyle w:val="Heading1"/>
        <w:sectPr w:rsidR="0023286B" w:rsidSect="0023286B">
          <w:pgSz w:w="16840" w:h="11907" w:orient="landscape" w:code="9"/>
          <w:pgMar w:top="1797" w:right="1440" w:bottom="1797" w:left="1440" w:header="709" w:footer="709" w:gutter="0"/>
          <w:pgNumType w:start="1"/>
          <w:cols w:space="708"/>
          <w:titlePg/>
          <w:docGrid w:linePitch="360"/>
        </w:sectPr>
      </w:pPr>
    </w:p>
    <w:p w:rsidR="00491A63" w:rsidRDefault="00C63F58" w:rsidP="00761941">
      <w:pPr>
        <w:pStyle w:val="Heading1"/>
        <w:numPr>
          <w:ilvl w:val="0"/>
          <w:numId w:val="0"/>
        </w:numPr>
        <w:ind w:left="765" w:hanging="360"/>
      </w:pPr>
      <w:bookmarkStart w:id="134" w:name="_Toc304877661"/>
      <w:bookmarkStart w:id="135" w:name="_Toc304877805"/>
      <w:bookmarkStart w:id="136" w:name="_Toc304878025"/>
      <w:bookmarkStart w:id="137" w:name="_Toc304877662"/>
      <w:bookmarkStart w:id="138" w:name="_Toc304877806"/>
      <w:bookmarkStart w:id="139" w:name="_Toc304878026"/>
      <w:bookmarkStart w:id="140" w:name="_Toc304877663"/>
      <w:bookmarkStart w:id="141" w:name="_Toc304877807"/>
      <w:bookmarkStart w:id="142" w:name="_Toc304878027"/>
      <w:bookmarkStart w:id="143" w:name="_Toc304877664"/>
      <w:bookmarkStart w:id="144" w:name="_Toc304877808"/>
      <w:bookmarkStart w:id="145" w:name="_Toc304878028"/>
      <w:bookmarkStart w:id="146" w:name="_Toc304877665"/>
      <w:bookmarkStart w:id="147" w:name="_Toc304877809"/>
      <w:bookmarkStart w:id="148" w:name="_Toc304878029"/>
      <w:bookmarkStart w:id="149" w:name="_Toc304877666"/>
      <w:bookmarkStart w:id="150" w:name="_Toc304877810"/>
      <w:bookmarkStart w:id="151" w:name="_Toc304878030"/>
      <w:bookmarkStart w:id="152" w:name="_Toc304877667"/>
      <w:bookmarkStart w:id="153" w:name="_Toc304877811"/>
      <w:bookmarkStart w:id="154" w:name="_Toc304878031"/>
      <w:bookmarkStart w:id="155" w:name="_Toc304877668"/>
      <w:bookmarkStart w:id="156" w:name="_Toc304877812"/>
      <w:bookmarkStart w:id="157" w:name="_Toc304878032"/>
      <w:bookmarkStart w:id="158" w:name="_Toc304877669"/>
      <w:bookmarkStart w:id="159" w:name="_Toc304877813"/>
      <w:bookmarkStart w:id="160" w:name="_Toc304878033"/>
      <w:bookmarkStart w:id="161" w:name="_Toc304877670"/>
      <w:bookmarkStart w:id="162" w:name="_Toc304877814"/>
      <w:bookmarkStart w:id="163" w:name="_Toc304878034"/>
      <w:bookmarkStart w:id="164" w:name="_Toc304877671"/>
      <w:bookmarkStart w:id="165" w:name="_Toc304877815"/>
      <w:bookmarkStart w:id="166" w:name="_Toc304878035"/>
      <w:bookmarkStart w:id="167" w:name="_Toc304877672"/>
      <w:bookmarkStart w:id="168" w:name="_Toc304877816"/>
      <w:bookmarkStart w:id="169" w:name="_Toc304878036"/>
      <w:bookmarkStart w:id="170" w:name="_Toc304877673"/>
      <w:bookmarkStart w:id="171" w:name="_Toc304877817"/>
      <w:bookmarkStart w:id="172" w:name="_Toc304878037"/>
      <w:bookmarkStart w:id="173" w:name="_Toc304877674"/>
      <w:bookmarkStart w:id="174" w:name="_Toc304877818"/>
      <w:bookmarkStart w:id="175" w:name="_Toc304878038"/>
      <w:bookmarkStart w:id="176" w:name="_Toc304877675"/>
      <w:bookmarkStart w:id="177" w:name="_Toc304877819"/>
      <w:bookmarkStart w:id="178" w:name="_Toc304878039"/>
      <w:bookmarkStart w:id="179" w:name="_Toc304877676"/>
      <w:bookmarkStart w:id="180" w:name="_Toc304877820"/>
      <w:bookmarkStart w:id="181" w:name="_Toc304878040"/>
      <w:bookmarkStart w:id="182" w:name="_Toc304967211"/>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t>ATTACHMENT</w:t>
      </w:r>
      <w:r w:rsidR="00FF423F">
        <w:t xml:space="preserve"> </w:t>
      </w:r>
      <w:r>
        <w:t>B</w:t>
      </w:r>
      <w:r w:rsidR="00FF423F">
        <w:t xml:space="preserve"> – CONVERSION FACTOR CHARTS</w:t>
      </w:r>
      <w:bookmarkEnd w:id="182"/>
    </w:p>
    <w:p w:rsidR="000B3AB0" w:rsidRDefault="000B3AB0" w:rsidP="000B3AB0"/>
    <w:p w:rsidR="000B3AB0" w:rsidRDefault="000B3AB0" w:rsidP="00FF423F">
      <w:pPr>
        <w:pStyle w:val="Heading2"/>
        <w:numPr>
          <w:ilvl w:val="0"/>
          <w:numId w:val="0"/>
        </w:numPr>
        <w:ind w:left="964" w:hanging="964"/>
      </w:pPr>
    </w:p>
    <w:p w:rsidR="000B3AB0" w:rsidRPr="000B3AB0" w:rsidRDefault="000B3AB0" w:rsidP="000B3AB0"/>
    <w:p w:rsidR="00F030B2" w:rsidRDefault="00F030B2">
      <w:pPr>
        <w:rPr>
          <w:szCs w:val="22"/>
        </w:rPr>
      </w:pPr>
    </w:p>
    <w:p w:rsidR="00F030B2" w:rsidRDefault="00F030B2">
      <w:pPr>
        <w:rPr>
          <w:szCs w:val="22"/>
        </w:rPr>
      </w:pPr>
    </w:p>
    <w:p w:rsidR="00F030B2" w:rsidRDefault="00F030B2">
      <w:pPr>
        <w:rPr>
          <w:szCs w:val="22"/>
        </w:rPr>
      </w:pPr>
    </w:p>
    <w:sectPr w:rsidR="00F030B2" w:rsidSect="00761941">
      <w:headerReference w:type="first" r:id="rId77"/>
      <w:pgSz w:w="11907" w:h="16840" w:code="9"/>
      <w:pgMar w:top="1440" w:right="1797" w:bottom="1440" w:left="1797" w:header="709" w:footer="709" w:gutter="0"/>
      <w:pgNumType w:start="8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BE8" w:rsidRDefault="009B7BE8">
      <w:r>
        <w:separator/>
      </w:r>
    </w:p>
  </w:endnote>
  <w:endnote w:type="continuationSeparator" w:id="0">
    <w:p w:rsidR="009B7BE8" w:rsidRDefault="009B7B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3D0" w:rsidRPr="00C603DF" w:rsidRDefault="00246893" w:rsidP="007C6371">
    <w:pPr>
      <w:pStyle w:val="Footer"/>
      <w:rPr>
        <w:rFonts w:ascii="Arial" w:hAnsi="Arial" w:cs="Arial"/>
        <w:sz w:val="16"/>
        <w:szCs w:val="16"/>
      </w:rPr>
    </w:pPr>
    <w:r w:rsidRPr="00246893">
      <w:rPr>
        <w:rFonts w:ascii="Arial" w:hAnsi="Arial" w:cs="Arial"/>
        <w:sz w:val="16"/>
        <w:szCs w:val="16"/>
      </w:rPr>
      <w:pict>
        <v:rect id="_x0000_i1025" style="width:540pt;height:1.5pt" o:hralign="center" o:hrstd="t" o:hrnoshade="t" o:hr="t" fillcolor="#80b3cd" stroked="f"/>
      </w:pict>
    </w:r>
  </w:p>
  <w:p w:rsidR="00CF23D0" w:rsidRPr="00C603DF" w:rsidRDefault="00CF23D0" w:rsidP="007C6371">
    <w:pPr>
      <w:pStyle w:val="Footer"/>
      <w:jc w:val="center"/>
      <w:rPr>
        <w:rFonts w:ascii="Arial" w:hAnsi="Arial" w:cs="Arial"/>
        <w:color w:val="006699"/>
        <w:sz w:val="16"/>
        <w:szCs w:val="16"/>
      </w:rPr>
    </w:pPr>
    <w:r>
      <w:rPr>
        <w:rFonts w:ascii="Arial" w:hAnsi="Arial" w:cs="Arial"/>
        <w:color w:val="006699"/>
        <w:sz w:val="16"/>
        <w:szCs w:val="16"/>
      </w:rPr>
      <w:t>33 High</w:t>
    </w:r>
    <w:r w:rsidRPr="00C603DF">
      <w:rPr>
        <w:rFonts w:ascii="Arial" w:hAnsi="Arial" w:cs="Arial"/>
        <w:color w:val="006699"/>
        <w:sz w:val="16"/>
        <w:szCs w:val="16"/>
      </w:rPr>
      <w:t xml:space="preserve"> Street,  St Albans,  Hertfordshire,  AL3 4</w:t>
    </w:r>
    <w:r>
      <w:rPr>
        <w:rFonts w:ascii="Arial" w:hAnsi="Arial" w:cs="Arial"/>
        <w:color w:val="006699"/>
        <w:sz w:val="16"/>
        <w:szCs w:val="16"/>
      </w:rPr>
      <w:t>EH</w:t>
    </w:r>
    <w:r w:rsidRPr="00C603DF">
      <w:rPr>
        <w:rFonts w:ascii="Arial" w:hAnsi="Arial" w:cs="Arial"/>
        <w:color w:val="006699"/>
        <w:sz w:val="16"/>
        <w:szCs w:val="16"/>
      </w:rPr>
      <w:t>,  United Kingdom</w:t>
    </w:r>
  </w:p>
  <w:p w:rsidR="00CF23D0" w:rsidRPr="00C603DF" w:rsidRDefault="00246893" w:rsidP="007C6371">
    <w:pPr>
      <w:pStyle w:val="Footer"/>
      <w:jc w:val="center"/>
      <w:rPr>
        <w:rFonts w:ascii="Arial" w:hAnsi="Arial" w:cs="Arial"/>
        <w:color w:val="006699"/>
        <w:sz w:val="16"/>
        <w:szCs w:val="16"/>
      </w:rPr>
    </w:pPr>
    <w:r w:rsidRPr="00246893">
      <w:rPr>
        <w:rFonts w:ascii="Arial" w:hAnsi="Arial" w:cs="Arial"/>
        <w:color w:val="006699"/>
        <w:sz w:val="16"/>
        <w:szCs w:val="16"/>
      </w:rPr>
      <w:pict>
        <v:rect id="_x0000_i1026" style="width:540pt;height:1.5pt" o:hralign="center" o:hrstd="t" o:hrnoshade="t" o:hr="t" fillcolor="#80b3cd" stroked="f"/>
      </w:pict>
    </w:r>
  </w:p>
  <w:p w:rsidR="00CF23D0" w:rsidRDefault="00CF23D0" w:rsidP="007C6371">
    <w:pPr>
      <w:pStyle w:val="Footer"/>
      <w:jc w:val="center"/>
    </w:pPr>
    <w:r w:rsidRPr="00C603DF">
      <w:rPr>
        <w:rFonts w:ascii="Arial" w:hAnsi="Arial" w:cs="Arial"/>
        <w:color w:val="006699"/>
        <w:sz w:val="16"/>
        <w:szCs w:val="16"/>
      </w:rPr>
      <w:t>Tel: +44 (0)1727 843227  •  Fax: +44 (0)1727 843193  •  Email: info@perchards.com  •  Web: www.perchards.com</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3D0" w:rsidRPr="00184F32" w:rsidRDefault="00CF23D0" w:rsidP="00184F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BE8" w:rsidRDefault="009B7BE8">
      <w:r>
        <w:separator/>
      </w:r>
    </w:p>
  </w:footnote>
  <w:footnote w:type="continuationSeparator" w:id="0">
    <w:p w:rsidR="009B7BE8" w:rsidRDefault="009B7BE8">
      <w:r>
        <w:continuationSeparator/>
      </w:r>
    </w:p>
  </w:footnote>
  <w:footnote w:id="1">
    <w:p w:rsidR="00CF23D0" w:rsidRPr="005C1111" w:rsidRDefault="00CF23D0">
      <w:pPr>
        <w:pStyle w:val="FootnoteText"/>
        <w:rPr>
          <w:lang w:val="en-AU"/>
        </w:rPr>
      </w:pPr>
      <w:r>
        <w:rPr>
          <w:rStyle w:val="FootnoteReference"/>
        </w:rPr>
        <w:footnoteRef/>
      </w:r>
      <w:r>
        <w:t xml:space="preserve"> This is based on </w:t>
      </w:r>
      <w:r>
        <w:rPr>
          <w:szCs w:val="22"/>
        </w:rPr>
        <w:t>data reported by participating brands</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3D0" w:rsidRDefault="00246893" w:rsidP="00851DDD">
    <w:pPr>
      <w:pStyle w:val="Header"/>
      <w:framePr w:wrap="around" w:vAnchor="text" w:hAnchor="margin" w:xAlign="center" w:y="1"/>
      <w:rPr>
        <w:rStyle w:val="PageNumber"/>
        <w:rFonts w:ascii="Times New Roman" w:hAnsi="Times New Roman"/>
        <w:sz w:val="22"/>
      </w:rPr>
    </w:pPr>
    <w:r>
      <w:rPr>
        <w:rStyle w:val="PageNumber"/>
      </w:rPr>
      <w:fldChar w:fldCharType="begin"/>
    </w:r>
    <w:r w:rsidR="00CF23D0">
      <w:rPr>
        <w:rStyle w:val="PageNumber"/>
      </w:rPr>
      <w:instrText xml:space="preserve">PAGE  </w:instrText>
    </w:r>
    <w:r>
      <w:rPr>
        <w:rStyle w:val="PageNumber"/>
      </w:rPr>
      <w:fldChar w:fldCharType="end"/>
    </w:r>
  </w:p>
  <w:p w:rsidR="00CF23D0" w:rsidRDefault="00CF23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3D0" w:rsidRPr="003A66E3" w:rsidRDefault="00246893" w:rsidP="00851DDD">
    <w:pPr>
      <w:pStyle w:val="Header"/>
      <w:framePr w:wrap="around" w:vAnchor="text" w:hAnchor="margin" w:xAlign="center" w:y="1"/>
      <w:rPr>
        <w:rStyle w:val="PageNumber"/>
        <w:rFonts w:ascii="Times New Roman" w:hAnsi="Times New Roman"/>
        <w:sz w:val="22"/>
      </w:rPr>
    </w:pPr>
    <w:r w:rsidRPr="003A66E3">
      <w:rPr>
        <w:rStyle w:val="PageNumber"/>
        <w:b/>
      </w:rPr>
      <w:fldChar w:fldCharType="begin"/>
    </w:r>
    <w:r w:rsidR="00CF23D0" w:rsidRPr="003A66E3">
      <w:rPr>
        <w:rStyle w:val="PageNumber"/>
        <w:b/>
      </w:rPr>
      <w:instrText xml:space="preserve">PAGE  </w:instrText>
    </w:r>
    <w:r w:rsidRPr="003A66E3">
      <w:rPr>
        <w:rStyle w:val="PageNumber"/>
        <w:b/>
      </w:rPr>
      <w:fldChar w:fldCharType="separate"/>
    </w:r>
    <w:r w:rsidR="00473D37">
      <w:rPr>
        <w:rStyle w:val="PageNumber"/>
        <w:b/>
        <w:noProof/>
      </w:rPr>
      <w:t>32</w:t>
    </w:r>
    <w:r w:rsidRPr="003A66E3">
      <w:rPr>
        <w:rStyle w:val="PageNumber"/>
        <w:b/>
      </w:rPr>
      <w:fldChar w:fldCharType="end"/>
    </w:r>
  </w:p>
  <w:p w:rsidR="00CF23D0" w:rsidRDefault="00CF23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3D0" w:rsidRDefault="00CF23D0">
    <w:pPr>
      <w:pStyle w:val="Header"/>
      <w:jc w:val="center"/>
      <w:rPr>
        <w:rStyle w:val="PageNumber"/>
        <w:rFonts w:ascii="Times New Roman" w:hAnsi="Times New Roman"/>
        <w:sz w:val="22"/>
      </w:rPr>
    </w:pPr>
    <w:r>
      <w:rPr>
        <w:rStyle w:val="PageNumber"/>
        <w:b/>
      </w:rPr>
      <w:t>88</w:t>
    </w:r>
  </w:p>
  <w:p w:rsidR="00CF23D0" w:rsidRDefault="00CF23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1B10"/>
    <w:multiLevelType w:val="hybridMultilevel"/>
    <w:tmpl w:val="B0787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E211C5"/>
    <w:multiLevelType w:val="hybridMultilevel"/>
    <w:tmpl w:val="D9CAC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091DF8"/>
    <w:multiLevelType w:val="hybridMultilevel"/>
    <w:tmpl w:val="23A252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A077173"/>
    <w:multiLevelType w:val="hybridMultilevel"/>
    <w:tmpl w:val="328ECE4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EB15577"/>
    <w:multiLevelType w:val="hybridMultilevel"/>
    <w:tmpl w:val="F5404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FD1DDE"/>
    <w:multiLevelType w:val="hybridMultilevel"/>
    <w:tmpl w:val="2F6A63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3445395"/>
    <w:multiLevelType w:val="hybridMultilevel"/>
    <w:tmpl w:val="B906A5E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5620E2A"/>
    <w:multiLevelType w:val="hybridMultilevel"/>
    <w:tmpl w:val="33106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B787203"/>
    <w:multiLevelType w:val="multilevel"/>
    <w:tmpl w:val="7062C638"/>
    <w:styleLink w:val="Style6"/>
    <w:lvl w:ilvl="0">
      <w:start w:val="6"/>
      <w:numFmt w:val="decimal"/>
      <w:lvlText w:val="%1."/>
      <w:lvlJc w:val="left"/>
      <w:pPr>
        <w:ind w:left="357" w:hanging="357"/>
      </w:pPr>
      <w:rPr>
        <w:rFonts w:hint="default"/>
      </w:rPr>
    </w:lvl>
    <w:lvl w:ilvl="1">
      <w:start w:val="1"/>
      <w:numFmt w:val="decimal"/>
      <w:suff w:val="space"/>
      <w:lvlText w:val="%1.%2."/>
      <w:lvlJc w:val="left"/>
      <w:pPr>
        <w:ind w:left="641"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9">
    <w:nsid w:val="1C7440A9"/>
    <w:multiLevelType w:val="hybridMultilevel"/>
    <w:tmpl w:val="B22AA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14C0D28"/>
    <w:multiLevelType w:val="hybridMultilevel"/>
    <w:tmpl w:val="4BB4B35C"/>
    <w:lvl w:ilvl="0" w:tplc="177674E8">
      <w:start w:val="1"/>
      <w:numFmt w:val="decimal"/>
      <w:lvlText w:val="%1."/>
      <w:lvlJc w:val="left"/>
      <w:pPr>
        <w:ind w:left="454" w:hanging="45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171179A"/>
    <w:multiLevelType w:val="hybridMultilevel"/>
    <w:tmpl w:val="80584568"/>
    <w:lvl w:ilvl="0" w:tplc="129670F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3B74FEF"/>
    <w:multiLevelType w:val="hybridMultilevel"/>
    <w:tmpl w:val="8B8A8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5A90B46"/>
    <w:multiLevelType w:val="multilevel"/>
    <w:tmpl w:val="68561E92"/>
    <w:lvl w:ilvl="0">
      <w:start w:val="1"/>
      <w:numFmt w:val="decimal"/>
      <w:lvlText w:val="%1."/>
      <w:lvlJc w:val="left"/>
      <w:pPr>
        <w:ind w:left="360" w:hanging="360"/>
      </w:pPr>
      <w:rPr>
        <w:rFonts w:hint="default"/>
      </w:rPr>
    </w:lvl>
    <w:lvl w:ilvl="1">
      <w:numFmt w:val="decimal"/>
      <w:suff w:val="space"/>
      <w:lvlText w:val="%1.%2."/>
      <w:lvlJc w:val="left"/>
      <w:pPr>
        <w:ind w:left="72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FBF66CF"/>
    <w:multiLevelType w:val="hybridMultilevel"/>
    <w:tmpl w:val="1B865970"/>
    <w:lvl w:ilvl="0" w:tplc="94FAA96C">
      <w:start w:val="1"/>
      <w:numFmt w:val="decimal"/>
      <w:pStyle w:val="Heading1"/>
      <w:lvlText w:val="%1."/>
      <w:lvlJc w:val="left"/>
      <w:pPr>
        <w:ind w:left="765" w:hanging="360"/>
      </w:pPr>
      <w:rPr>
        <w:rFonts w:hint="default"/>
      </w:rPr>
    </w:lvl>
    <w:lvl w:ilvl="1" w:tplc="0C090019">
      <w:start w:val="1"/>
      <w:numFmt w:val="lowerLetter"/>
      <w:lvlText w:val="%2."/>
      <w:lvlJc w:val="left"/>
      <w:pPr>
        <w:ind w:left="1485" w:hanging="360"/>
      </w:pPr>
    </w:lvl>
    <w:lvl w:ilvl="2" w:tplc="0C09001B">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5">
    <w:nsid w:val="30607DA2"/>
    <w:multiLevelType w:val="hybridMultilevel"/>
    <w:tmpl w:val="E20CA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1AE1160"/>
    <w:multiLevelType w:val="hybridMultilevel"/>
    <w:tmpl w:val="A746B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1E44450"/>
    <w:multiLevelType w:val="multilevel"/>
    <w:tmpl w:val="5CB634E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32692349"/>
    <w:multiLevelType w:val="hybridMultilevel"/>
    <w:tmpl w:val="9CF85DF2"/>
    <w:lvl w:ilvl="0" w:tplc="0409000F">
      <w:start w:val="1"/>
      <w:numFmt w:val="decimal"/>
      <w:lvlText w:val="%1."/>
      <w:lvlJc w:val="left"/>
      <w:pPr>
        <w:tabs>
          <w:tab w:val="num" w:pos="-522"/>
        </w:tabs>
        <w:ind w:left="-522" w:hanging="360"/>
      </w:pPr>
    </w:lvl>
    <w:lvl w:ilvl="1" w:tplc="04090019">
      <w:start w:val="1"/>
      <w:numFmt w:val="lowerLetter"/>
      <w:lvlText w:val="%2."/>
      <w:lvlJc w:val="left"/>
      <w:pPr>
        <w:tabs>
          <w:tab w:val="num" w:pos="198"/>
        </w:tabs>
        <w:ind w:left="198" w:hanging="360"/>
      </w:pPr>
    </w:lvl>
    <w:lvl w:ilvl="2" w:tplc="0409001B">
      <w:start w:val="1"/>
      <w:numFmt w:val="lowerRoman"/>
      <w:lvlText w:val="%3."/>
      <w:lvlJc w:val="right"/>
      <w:pPr>
        <w:tabs>
          <w:tab w:val="num" w:pos="918"/>
        </w:tabs>
        <w:ind w:left="918" w:hanging="180"/>
      </w:pPr>
    </w:lvl>
    <w:lvl w:ilvl="3" w:tplc="0409000F" w:tentative="1">
      <w:start w:val="1"/>
      <w:numFmt w:val="decimal"/>
      <w:lvlText w:val="%4."/>
      <w:lvlJc w:val="left"/>
      <w:pPr>
        <w:tabs>
          <w:tab w:val="num" w:pos="1638"/>
        </w:tabs>
        <w:ind w:left="1638" w:hanging="360"/>
      </w:pPr>
    </w:lvl>
    <w:lvl w:ilvl="4" w:tplc="04090019" w:tentative="1">
      <w:start w:val="1"/>
      <w:numFmt w:val="lowerLetter"/>
      <w:lvlText w:val="%5."/>
      <w:lvlJc w:val="left"/>
      <w:pPr>
        <w:tabs>
          <w:tab w:val="num" w:pos="2358"/>
        </w:tabs>
        <w:ind w:left="2358" w:hanging="360"/>
      </w:pPr>
    </w:lvl>
    <w:lvl w:ilvl="5" w:tplc="0409001B" w:tentative="1">
      <w:start w:val="1"/>
      <w:numFmt w:val="lowerRoman"/>
      <w:lvlText w:val="%6."/>
      <w:lvlJc w:val="right"/>
      <w:pPr>
        <w:tabs>
          <w:tab w:val="num" w:pos="3078"/>
        </w:tabs>
        <w:ind w:left="3078" w:hanging="180"/>
      </w:pPr>
    </w:lvl>
    <w:lvl w:ilvl="6" w:tplc="0409000F" w:tentative="1">
      <w:start w:val="1"/>
      <w:numFmt w:val="decimal"/>
      <w:lvlText w:val="%7."/>
      <w:lvlJc w:val="left"/>
      <w:pPr>
        <w:tabs>
          <w:tab w:val="num" w:pos="3798"/>
        </w:tabs>
        <w:ind w:left="3798" w:hanging="360"/>
      </w:pPr>
    </w:lvl>
    <w:lvl w:ilvl="7" w:tplc="04090019" w:tentative="1">
      <w:start w:val="1"/>
      <w:numFmt w:val="lowerLetter"/>
      <w:lvlText w:val="%8."/>
      <w:lvlJc w:val="left"/>
      <w:pPr>
        <w:tabs>
          <w:tab w:val="num" w:pos="4518"/>
        </w:tabs>
        <w:ind w:left="4518" w:hanging="360"/>
      </w:pPr>
    </w:lvl>
    <w:lvl w:ilvl="8" w:tplc="0409001B" w:tentative="1">
      <w:start w:val="1"/>
      <w:numFmt w:val="lowerRoman"/>
      <w:lvlText w:val="%9."/>
      <w:lvlJc w:val="right"/>
      <w:pPr>
        <w:tabs>
          <w:tab w:val="num" w:pos="5238"/>
        </w:tabs>
        <w:ind w:left="5238" w:hanging="180"/>
      </w:pPr>
    </w:lvl>
  </w:abstractNum>
  <w:abstractNum w:abstractNumId="19">
    <w:nsid w:val="35205683"/>
    <w:multiLevelType w:val="multilevel"/>
    <w:tmpl w:val="E06632FC"/>
    <w:lvl w:ilvl="0">
      <w:start w:val="7"/>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367A28E6"/>
    <w:multiLevelType w:val="hybridMultilevel"/>
    <w:tmpl w:val="86B8A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6F214F4"/>
    <w:multiLevelType w:val="multilevel"/>
    <w:tmpl w:val="7062C638"/>
    <w:numStyleLink w:val="Style6"/>
  </w:abstractNum>
  <w:abstractNum w:abstractNumId="22">
    <w:nsid w:val="394E1AC3"/>
    <w:multiLevelType w:val="hybridMultilevel"/>
    <w:tmpl w:val="A588EE00"/>
    <w:lvl w:ilvl="0" w:tplc="475E74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9CD390B"/>
    <w:multiLevelType w:val="multilevel"/>
    <w:tmpl w:val="350C6A80"/>
    <w:lvl w:ilvl="0">
      <w:start w:val="7"/>
      <w:numFmt w:val="decimal"/>
      <w:lvlText w:val="%1"/>
      <w:lvlJc w:val="left"/>
      <w:pPr>
        <w:ind w:left="405" w:hanging="405"/>
      </w:pPr>
      <w:rPr>
        <w:rFonts w:hint="default"/>
      </w:rPr>
    </w:lvl>
    <w:lvl w:ilvl="1">
      <w:start w:val="1"/>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3060" w:hanging="144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24">
    <w:nsid w:val="40FF2A50"/>
    <w:multiLevelType w:val="hybridMultilevel"/>
    <w:tmpl w:val="1262B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38F109D"/>
    <w:multiLevelType w:val="hybridMultilevel"/>
    <w:tmpl w:val="2198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5EC3B0F"/>
    <w:multiLevelType w:val="hybridMultilevel"/>
    <w:tmpl w:val="F8B25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8F111F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9A62673"/>
    <w:multiLevelType w:val="multilevel"/>
    <w:tmpl w:val="DD162B9C"/>
    <w:lvl w:ilvl="0">
      <w:start w:val="2"/>
      <w:numFmt w:val="decimal"/>
      <w:lvlText w:val="%1"/>
      <w:lvlJc w:val="left"/>
      <w:pPr>
        <w:tabs>
          <w:tab w:val="num" w:pos="720"/>
        </w:tabs>
        <w:ind w:left="720" w:hanging="720"/>
      </w:pPr>
      <w:rPr>
        <w:rFonts w:hint="default"/>
        <w:b/>
        <w:i w:val="0"/>
        <w:sz w:val="24"/>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4A5A34E4"/>
    <w:multiLevelType w:val="multilevel"/>
    <w:tmpl w:val="1AA690E4"/>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0">
    <w:nsid w:val="526E0A5E"/>
    <w:multiLevelType w:val="hybridMultilevel"/>
    <w:tmpl w:val="B22230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AB765DB"/>
    <w:multiLevelType w:val="hybridMultilevel"/>
    <w:tmpl w:val="4A307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D9603DC"/>
    <w:multiLevelType w:val="hybridMultilevel"/>
    <w:tmpl w:val="4D0C4624"/>
    <w:lvl w:ilvl="0" w:tplc="C2023DC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EE675BF"/>
    <w:multiLevelType w:val="hybridMultilevel"/>
    <w:tmpl w:val="E06AD56E"/>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621808BA"/>
    <w:multiLevelType w:val="hybridMultilevel"/>
    <w:tmpl w:val="E9EA79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63DA004C"/>
    <w:multiLevelType w:val="multilevel"/>
    <w:tmpl w:val="7696F85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4753335"/>
    <w:multiLevelType w:val="hybridMultilevel"/>
    <w:tmpl w:val="104C93C8"/>
    <w:lvl w:ilvl="0" w:tplc="0C09000B">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A102320"/>
    <w:multiLevelType w:val="hybridMultilevel"/>
    <w:tmpl w:val="525AAAD4"/>
    <w:lvl w:ilvl="0" w:tplc="1F5E9D80">
      <w:start w:val="1"/>
      <w:numFmt w:val="decimal"/>
      <w:lvlText w:val="%1."/>
      <w:lvlJc w:val="left"/>
      <w:pPr>
        <w:tabs>
          <w:tab w:val="num" w:pos="-522"/>
        </w:tabs>
        <w:ind w:left="-522"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A36588C"/>
    <w:multiLevelType w:val="hybridMultilevel"/>
    <w:tmpl w:val="CEC6201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F027FFA"/>
    <w:multiLevelType w:val="multilevel"/>
    <w:tmpl w:val="F5F8E412"/>
    <w:lvl w:ilvl="0">
      <w:start w:val="1"/>
      <w:numFmt w:val="decimal"/>
      <w:lvlText w:val="%1."/>
      <w:lvlJc w:val="left"/>
      <w:pPr>
        <w:ind w:left="596" w:hanging="454"/>
      </w:pPr>
      <w:rPr>
        <w:rFonts w:hint="default"/>
      </w:rPr>
    </w:lvl>
    <w:lvl w:ilvl="1">
      <w:start w:val="1"/>
      <w:numFmt w:val="decimal"/>
      <w:pStyle w:val="Heading2"/>
      <w:suff w:val="space"/>
      <w:lvlText w:val="%1.%2."/>
      <w:lvlJc w:val="left"/>
      <w:pPr>
        <w:ind w:left="1106" w:hanging="964"/>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0">
    <w:nsid w:val="70D61E57"/>
    <w:multiLevelType w:val="hybridMultilevel"/>
    <w:tmpl w:val="6C5218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70FE1A93"/>
    <w:multiLevelType w:val="hybridMultilevel"/>
    <w:tmpl w:val="6182242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303180E"/>
    <w:multiLevelType w:val="hybridMultilevel"/>
    <w:tmpl w:val="E924C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4984790"/>
    <w:multiLevelType w:val="hybridMultilevel"/>
    <w:tmpl w:val="640A2D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nsid w:val="78826359"/>
    <w:multiLevelType w:val="hybridMultilevel"/>
    <w:tmpl w:val="254C3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B0D658E"/>
    <w:multiLevelType w:val="multilevel"/>
    <w:tmpl w:val="72EC5F48"/>
    <w:lvl w:ilvl="0">
      <w:start w:val="7"/>
      <w:numFmt w:val="decimal"/>
      <w:lvlText w:val="%1"/>
      <w:lvlJc w:val="left"/>
      <w:pPr>
        <w:ind w:left="405" w:hanging="405"/>
      </w:pPr>
      <w:rPr>
        <w:rFonts w:hint="default"/>
      </w:rPr>
    </w:lvl>
    <w:lvl w:ilvl="1">
      <w:start w:val="1"/>
      <w:numFmt w:val="decimal"/>
      <w:lvlText w:val="%1.%2"/>
      <w:lvlJc w:val="left"/>
      <w:pPr>
        <w:ind w:left="2156" w:hanging="720"/>
      </w:pPr>
      <w:rPr>
        <w:rFonts w:hint="default"/>
      </w:rPr>
    </w:lvl>
    <w:lvl w:ilvl="2">
      <w:start w:val="1"/>
      <w:numFmt w:val="decimal"/>
      <w:lvlText w:val="%1.%2.%3"/>
      <w:lvlJc w:val="left"/>
      <w:pPr>
        <w:ind w:left="3592" w:hanging="720"/>
      </w:pPr>
      <w:rPr>
        <w:rFonts w:hint="default"/>
      </w:rPr>
    </w:lvl>
    <w:lvl w:ilvl="3">
      <w:start w:val="1"/>
      <w:numFmt w:val="decimal"/>
      <w:lvlText w:val="%1.%2.%3.%4"/>
      <w:lvlJc w:val="left"/>
      <w:pPr>
        <w:ind w:left="5388" w:hanging="1080"/>
      </w:pPr>
      <w:rPr>
        <w:rFonts w:hint="default"/>
      </w:rPr>
    </w:lvl>
    <w:lvl w:ilvl="4">
      <w:start w:val="1"/>
      <w:numFmt w:val="decimal"/>
      <w:lvlText w:val="%1.%2.%3.%4.%5"/>
      <w:lvlJc w:val="left"/>
      <w:pPr>
        <w:ind w:left="7184" w:hanging="1440"/>
      </w:pPr>
      <w:rPr>
        <w:rFonts w:hint="default"/>
      </w:rPr>
    </w:lvl>
    <w:lvl w:ilvl="5">
      <w:start w:val="1"/>
      <w:numFmt w:val="decimal"/>
      <w:lvlText w:val="%1.%2.%3.%4.%5.%6"/>
      <w:lvlJc w:val="left"/>
      <w:pPr>
        <w:ind w:left="8620" w:hanging="1440"/>
      </w:pPr>
      <w:rPr>
        <w:rFonts w:hint="default"/>
      </w:rPr>
    </w:lvl>
    <w:lvl w:ilvl="6">
      <w:start w:val="1"/>
      <w:numFmt w:val="decimal"/>
      <w:lvlText w:val="%1.%2.%3.%4.%5.%6.%7"/>
      <w:lvlJc w:val="left"/>
      <w:pPr>
        <w:ind w:left="10416" w:hanging="1800"/>
      </w:pPr>
      <w:rPr>
        <w:rFonts w:hint="default"/>
      </w:rPr>
    </w:lvl>
    <w:lvl w:ilvl="7">
      <w:start w:val="1"/>
      <w:numFmt w:val="decimal"/>
      <w:lvlText w:val="%1.%2.%3.%4.%5.%6.%7.%8"/>
      <w:lvlJc w:val="left"/>
      <w:pPr>
        <w:ind w:left="11852" w:hanging="1800"/>
      </w:pPr>
      <w:rPr>
        <w:rFonts w:hint="default"/>
      </w:rPr>
    </w:lvl>
    <w:lvl w:ilvl="8">
      <w:start w:val="1"/>
      <w:numFmt w:val="decimal"/>
      <w:lvlText w:val="%1.%2.%3.%4.%5.%6.%7.%8.%9"/>
      <w:lvlJc w:val="left"/>
      <w:pPr>
        <w:ind w:left="13648" w:hanging="2160"/>
      </w:pPr>
      <w:rPr>
        <w:rFonts w:hint="default"/>
      </w:rPr>
    </w:lvl>
  </w:abstractNum>
  <w:abstractNum w:abstractNumId="46">
    <w:nsid w:val="7D0D35CF"/>
    <w:multiLevelType w:val="hybridMultilevel"/>
    <w:tmpl w:val="1076F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E6955CC"/>
    <w:multiLevelType w:val="hybridMultilevel"/>
    <w:tmpl w:val="5BC02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41"/>
  </w:num>
  <w:num w:numId="4">
    <w:abstractNumId w:val="26"/>
  </w:num>
  <w:num w:numId="5">
    <w:abstractNumId w:val="33"/>
  </w:num>
  <w:num w:numId="6">
    <w:abstractNumId w:val="18"/>
  </w:num>
  <w:num w:numId="7">
    <w:abstractNumId w:val="16"/>
  </w:num>
  <w:num w:numId="8">
    <w:abstractNumId w:val="40"/>
  </w:num>
  <w:num w:numId="9">
    <w:abstractNumId w:val="34"/>
  </w:num>
  <w:num w:numId="10">
    <w:abstractNumId w:val="46"/>
  </w:num>
  <w:num w:numId="11">
    <w:abstractNumId w:val="12"/>
  </w:num>
  <w:num w:numId="12">
    <w:abstractNumId w:val="1"/>
  </w:num>
  <w:num w:numId="13">
    <w:abstractNumId w:val="44"/>
  </w:num>
  <w:num w:numId="14">
    <w:abstractNumId w:val="43"/>
  </w:num>
  <w:num w:numId="15">
    <w:abstractNumId w:val="15"/>
  </w:num>
  <w:num w:numId="16">
    <w:abstractNumId w:val="38"/>
  </w:num>
  <w:num w:numId="17">
    <w:abstractNumId w:val="0"/>
  </w:num>
  <w:num w:numId="18">
    <w:abstractNumId w:val="3"/>
  </w:num>
  <w:num w:numId="19">
    <w:abstractNumId w:val="22"/>
  </w:num>
  <w:num w:numId="20">
    <w:abstractNumId w:val="25"/>
  </w:num>
  <w:num w:numId="21">
    <w:abstractNumId w:val="5"/>
  </w:num>
  <w:num w:numId="22">
    <w:abstractNumId w:val="30"/>
  </w:num>
  <w:num w:numId="23">
    <w:abstractNumId w:val="28"/>
  </w:num>
  <w:num w:numId="24">
    <w:abstractNumId w:val="28"/>
    <w:lvlOverride w:ilvl="0">
      <w:lvl w:ilvl="0">
        <w:start w:val="2"/>
        <w:numFmt w:val="decimal"/>
        <w:lvlText w:val="%1"/>
        <w:lvlJc w:val="left"/>
        <w:pPr>
          <w:tabs>
            <w:tab w:val="num" w:pos="720"/>
          </w:tabs>
          <w:ind w:left="720" w:hanging="720"/>
        </w:pPr>
        <w:rPr>
          <w:rFonts w:hint="default"/>
          <w:b/>
          <w:i w:val="0"/>
          <w:sz w:val="24"/>
        </w:rPr>
      </w:lvl>
    </w:lvlOverride>
    <w:lvlOverride w:ilvl="1">
      <w:lvl w:ilvl="1">
        <w:start w:val="1"/>
        <w:numFmt w:val="decimal"/>
        <w:lvlText w:val="%1.%2"/>
        <w:lvlJc w:val="left"/>
        <w:pPr>
          <w:tabs>
            <w:tab w:val="num" w:pos="720"/>
          </w:tabs>
          <w:ind w:left="720" w:hanging="720"/>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440"/>
          </w:tabs>
          <w:ind w:left="1440" w:hanging="1440"/>
        </w:pPr>
        <w:rPr>
          <w:rFonts w:hint="default"/>
        </w:rPr>
      </w:lvl>
    </w:lvlOverride>
  </w:num>
  <w:num w:numId="25">
    <w:abstractNumId w:val="28"/>
    <w:lvlOverride w:ilvl="0">
      <w:lvl w:ilvl="0">
        <w:start w:val="2"/>
        <w:numFmt w:val="decimal"/>
        <w:lvlText w:val="%1"/>
        <w:lvlJc w:val="left"/>
        <w:pPr>
          <w:tabs>
            <w:tab w:val="num" w:pos="720"/>
          </w:tabs>
          <w:ind w:left="720" w:hanging="720"/>
        </w:pPr>
        <w:rPr>
          <w:rFonts w:hint="default"/>
          <w:b/>
          <w:i w:val="0"/>
          <w:sz w:val="24"/>
        </w:rPr>
      </w:lvl>
    </w:lvlOverride>
    <w:lvlOverride w:ilvl="1">
      <w:lvl w:ilvl="1">
        <w:start w:val="1"/>
        <w:numFmt w:val="decimal"/>
        <w:lvlText w:val="%1.%2"/>
        <w:lvlJc w:val="left"/>
        <w:pPr>
          <w:tabs>
            <w:tab w:val="num" w:pos="720"/>
          </w:tabs>
          <w:ind w:left="720" w:hanging="720"/>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440"/>
          </w:tabs>
          <w:ind w:left="1440" w:hanging="1440"/>
        </w:pPr>
        <w:rPr>
          <w:rFonts w:hint="default"/>
        </w:rPr>
      </w:lvl>
    </w:lvlOverride>
  </w:num>
  <w:num w:numId="26">
    <w:abstractNumId w:val="9"/>
  </w:num>
  <w:num w:numId="27">
    <w:abstractNumId w:val="7"/>
  </w:num>
  <w:num w:numId="28">
    <w:abstractNumId w:val="6"/>
  </w:num>
  <w:num w:numId="29">
    <w:abstractNumId w:val="47"/>
  </w:num>
  <w:num w:numId="30">
    <w:abstractNumId w:val="42"/>
  </w:num>
  <w:num w:numId="31">
    <w:abstractNumId w:val="31"/>
  </w:num>
  <w:num w:numId="32">
    <w:abstractNumId w:val="24"/>
  </w:num>
  <w:num w:numId="33">
    <w:abstractNumId w:val="37"/>
  </w:num>
  <w:num w:numId="34">
    <w:abstractNumId w:val="36"/>
  </w:num>
  <w:num w:numId="35">
    <w:abstractNumId w:val="32"/>
  </w:num>
  <w:num w:numId="36">
    <w:abstractNumId w:val="10"/>
  </w:num>
  <w:num w:numId="37">
    <w:abstractNumId w:val="10"/>
    <w:lvlOverride w:ilvl="0">
      <w:startOverride w:val="1"/>
    </w:lvlOverride>
  </w:num>
  <w:num w:numId="38">
    <w:abstractNumId w:val="10"/>
    <w:lvlOverride w:ilvl="0">
      <w:startOverride w:val="1"/>
    </w:lvlOverride>
  </w:num>
  <w:num w:numId="39">
    <w:abstractNumId w:val="27"/>
  </w:num>
  <w:num w:numId="40">
    <w:abstractNumId w:val="29"/>
  </w:num>
  <w:num w:numId="41">
    <w:abstractNumId w:val="11"/>
  </w:num>
  <w:num w:numId="42">
    <w:abstractNumId w:val="13"/>
  </w:num>
  <w:num w:numId="43">
    <w:abstractNumId w:val="11"/>
  </w:num>
  <w:num w:numId="44">
    <w:abstractNumId w:val="35"/>
  </w:num>
  <w:num w:numId="45">
    <w:abstractNumId w:val="39"/>
  </w:num>
  <w:num w:numId="4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 w:numId="48">
    <w:abstractNumId w:val="21"/>
    <w:lvlOverride w:ilvl="0">
      <w:lvl w:ilvl="0">
        <w:start w:val="6"/>
        <w:numFmt w:val="decimal"/>
        <w:lvlText w:val="%1."/>
        <w:lvlJc w:val="left"/>
        <w:pPr>
          <w:ind w:left="357" w:hanging="357"/>
        </w:pPr>
        <w:rPr>
          <w:rFonts w:hint="default"/>
        </w:rPr>
      </w:lvl>
    </w:lvlOverride>
    <w:lvlOverride w:ilvl="1">
      <w:lvl w:ilvl="1">
        <w:start w:val="1"/>
        <w:numFmt w:val="decimal"/>
        <w:suff w:val="space"/>
        <w:lvlText w:val="%1.%2."/>
        <w:lvlJc w:val="left"/>
        <w:pPr>
          <w:ind w:left="641" w:hanging="357"/>
        </w:pPr>
        <w:rPr>
          <w:rFonts w:hint="default"/>
        </w:rPr>
      </w:lvl>
    </w:lvlOverride>
    <w:lvlOverride w:ilvl="2">
      <w:lvl w:ilvl="2">
        <w:start w:val="1"/>
        <w:numFmt w:val="decimal"/>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49">
    <w:abstractNumId w:val="39"/>
  </w:num>
  <w:num w:numId="50">
    <w:abstractNumId w:val="39"/>
  </w:num>
  <w:num w:numId="51">
    <w:abstractNumId w:val="20"/>
  </w:num>
  <w:num w:numId="52">
    <w:abstractNumId w:val="21"/>
    <w:lvlOverride w:ilvl="0">
      <w:startOverride w:val="2"/>
      <w:lvl w:ilvl="0">
        <w:start w:val="2"/>
        <w:numFmt w:val="decimal"/>
        <w:lvlText w:val="%1."/>
        <w:lvlJc w:val="left"/>
        <w:pPr>
          <w:ind w:left="357" w:hanging="357"/>
        </w:pPr>
        <w:rPr>
          <w:rFonts w:hint="default"/>
        </w:rPr>
      </w:lvl>
    </w:lvlOverride>
    <w:lvlOverride w:ilvl="1">
      <w:startOverride w:val="1"/>
      <w:lvl w:ilvl="1">
        <w:start w:val="1"/>
        <w:numFmt w:val="decimal"/>
        <w:suff w:val="space"/>
        <w:lvlText w:val="%1.%2."/>
        <w:lvlJc w:val="left"/>
        <w:pPr>
          <w:ind w:left="641" w:hanging="357"/>
        </w:pPr>
        <w:rPr>
          <w:rFonts w:hint="default"/>
        </w:rPr>
      </w:lvl>
    </w:lvlOverride>
    <w:lvlOverride w:ilvl="2">
      <w:startOverride w:val="1"/>
      <w:lvl w:ilvl="2">
        <w:start w:val="1"/>
        <w:numFmt w:val="decimal"/>
        <w:lvlText w:val="%1.%2.%3."/>
        <w:lvlJc w:val="left"/>
        <w:pPr>
          <w:ind w:left="357" w:hanging="357"/>
        </w:pPr>
        <w:rPr>
          <w:rFonts w:hint="default"/>
        </w:rPr>
      </w:lvl>
    </w:lvlOverride>
    <w:lvlOverride w:ilvl="3">
      <w:startOverride w:val="1"/>
      <w:lvl w:ilvl="3">
        <w:start w:val="1"/>
        <w:numFmt w:val="decimal"/>
        <w:lvlText w:val="%1.%2.%3.%4."/>
        <w:lvlJc w:val="left"/>
        <w:pPr>
          <w:ind w:left="357" w:hanging="357"/>
        </w:pPr>
        <w:rPr>
          <w:rFonts w:hint="default"/>
        </w:rPr>
      </w:lvl>
    </w:lvlOverride>
    <w:lvlOverride w:ilvl="4">
      <w:startOverride w:val="1"/>
      <w:lvl w:ilvl="4">
        <w:start w:val="1"/>
        <w:numFmt w:val="decimal"/>
        <w:lvlText w:val="%1.%2.%3.%4.%5."/>
        <w:lvlJc w:val="left"/>
        <w:pPr>
          <w:ind w:left="357" w:hanging="357"/>
        </w:pPr>
        <w:rPr>
          <w:rFonts w:hint="default"/>
        </w:rPr>
      </w:lvl>
    </w:lvlOverride>
    <w:lvlOverride w:ilvl="5">
      <w:startOverride w:val="1"/>
      <w:lvl w:ilvl="5">
        <w:start w:val="1"/>
        <w:numFmt w:val="decimal"/>
        <w:lvlText w:val="%1.%2.%3.%4.%5.%6."/>
        <w:lvlJc w:val="left"/>
        <w:pPr>
          <w:ind w:left="357" w:hanging="357"/>
        </w:pPr>
        <w:rPr>
          <w:rFonts w:hint="default"/>
        </w:rPr>
      </w:lvl>
    </w:lvlOverride>
    <w:lvlOverride w:ilvl="6">
      <w:startOverride w:val="1"/>
      <w:lvl w:ilvl="6">
        <w:start w:val="1"/>
        <w:numFmt w:val="decimal"/>
        <w:lvlText w:val="%1.%2.%3.%4.%5.%6.%7."/>
        <w:lvlJc w:val="left"/>
        <w:pPr>
          <w:ind w:left="357" w:hanging="357"/>
        </w:pPr>
        <w:rPr>
          <w:rFonts w:hint="default"/>
        </w:rPr>
      </w:lvl>
    </w:lvlOverride>
    <w:lvlOverride w:ilvl="7">
      <w:startOverride w:val="1"/>
      <w:lvl w:ilvl="7">
        <w:start w:val="1"/>
        <w:numFmt w:val="decimal"/>
        <w:lvlText w:val="%1.%2.%3.%4.%5.%6.%7.%8."/>
        <w:lvlJc w:val="left"/>
        <w:pPr>
          <w:ind w:left="357" w:hanging="357"/>
        </w:pPr>
        <w:rPr>
          <w:rFonts w:hint="default"/>
        </w:rPr>
      </w:lvl>
    </w:lvlOverride>
    <w:lvlOverride w:ilvl="8">
      <w:startOverride w:val="1"/>
      <w:lvl w:ilvl="8">
        <w:start w:val="1"/>
        <w:numFmt w:val="decimal"/>
        <w:lvlText w:val="%1.%2.%3.%4.%5.%6.%7.%8.%9."/>
        <w:lvlJc w:val="left"/>
        <w:pPr>
          <w:ind w:left="357" w:hanging="357"/>
        </w:pPr>
        <w:rPr>
          <w:rFonts w:hint="default"/>
        </w:rPr>
      </w:lvl>
    </w:lvlOverride>
  </w:num>
  <w:num w:numId="53">
    <w:abstractNumId w:val="39"/>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9"/>
  </w:num>
  <w:num w:numId="58">
    <w:abstractNumId w:val="19"/>
  </w:num>
  <w:num w:numId="59">
    <w:abstractNumId w:val="14"/>
  </w:num>
  <w:num w:numId="60">
    <w:abstractNumId w:val="23"/>
  </w:num>
  <w:num w:numId="61">
    <w:abstractNumId w:val="4"/>
  </w:num>
  <w:num w:numId="62">
    <w:abstractNumId w:val="45"/>
  </w:num>
  <w:num w:numId="63">
    <w:abstractNumId w:val="39"/>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3701"/>
  <w:doNotTrackMoves/>
  <w:defaultTabStop w:val="720"/>
  <w:characterSpacingControl w:val="doNotCompress"/>
  <w:hdrShapeDefaults>
    <o:shapedefaults v:ext="edit" spidmax="187395"/>
  </w:hdrShapeDefaults>
  <w:footnotePr>
    <w:footnote w:id="-1"/>
    <w:footnote w:id="0"/>
  </w:footnotePr>
  <w:endnotePr>
    <w:endnote w:id="-1"/>
    <w:endnote w:id="0"/>
  </w:endnotePr>
  <w:compat/>
  <w:rsids>
    <w:rsidRoot w:val="0020434A"/>
    <w:rsid w:val="000007D6"/>
    <w:rsid w:val="000008D8"/>
    <w:rsid w:val="0000192C"/>
    <w:rsid w:val="0000241C"/>
    <w:rsid w:val="00004DBE"/>
    <w:rsid w:val="0000710B"/>
    <w:rsid w:val="0001342E"/>
    <w:rsid w:val="000137F7"/>
    <w:rsid w:val="000149BF"/>
    <w:rsid w:val="00014B83"/>
    <w:rsid w:val="00016ADF"/>
    <w:rsid w:val="00020AA0"/>
    <w:rsid w:val="00022127"/>
    <w:rsid w:val="00022B76"/>
    <w:rsid w:val="00022B78"/>
    <w:rsid w:val="0002307E"/>
    <w:rsid w:val="00023E86"/>
    <w:rsid w:val="000243A7"/>
    <w:rsid w:val="00025701"/>
    <w:rsid w:val="000275B7"/>
    <w:rsid w:val="00027B35"/>
    <w:rsid w:val="00030216"/>
    <w:rsid w:val="000319BF"/>
    <w:rsid w:val="00032048"/>
    <w:rsid w:val="0003254C"/>
    <w:rsid w:val="000325E6"/>
    <w:rsid w:val="00032988"/>
    <w:rsid w:val="00033697"/>
    <w:rsid w:val="00033DE0"/>
    <w:rsid w:val="00035336"/>
    <w:rsid w:val="00036063"/>
    <w:rsid w:val="0003652F"/>
    <w:rsid w:val="00037A49"/>
    <w:rsid w:val="00037D5B"/>
    <w:rsid w:val="00041633"/>
    <w:rsid w:val="00043F2A"/>
    <w:rsid w:val="00050AAF"/>
    <w:rsid w:val="0005552D"/>
    <w:rsid w:val="000562C8"/>
    <w:rsid w:val="000611A2"/>
    <w:rsid w:val="00062AE0"/>
    <w:rsid w:val="00063023"/>
    <w:rsid w:val="00063EC7"/>
    <w:rsid w:val="000641B2"/>
    <w:rsid w:val="00064CD5"/>
    <w:rsid w:val="00065050"/>
    <w:rsid w:val="000650C4"/>
    <w:rsid w:val="00065D13"/>
    <w:rsid w:val="00071BCF"/>
    <w:rsid w:val="0007302D"/>
    <w:rsid w:val="00073463"/>
    <w:rsid w:val="000738B7"/>
    <w:rsid w:val="00073A8E"/>
    <w:rsid w:val="00073FC5"/>
    <w:rsid w:val="0007560B"/>
    <w:rsid w:val="000756A6"/>
    <w:rsid w:val="00077DF0"/>
    <w:rsid w:val="00080A42"/>
    <w:rsid w:val="00082654"/>
    <w:rsid w:val="000835AE"/>
    <w:rsid w:val="00085022"/>
    <w:rsid w:val="00086495"/>
    <w:rsid w:val="00086E7E"/>
    <w:rsid w:val="000941E0"/>
    <w:rsid w:val="0009421A"/>
    <w:rsid w:val="00094F5F"/>
    <w:rsid w:val="00095485"/>
    <w:rsid w:val="00095767"/>
    <w:rsid w:val="000A06BD"/>
    <w:rsid w:val="000A0B09"/>
    <w:rsid w:val="000A0B4F"/>
    <w:rsid w:val="000A11CC"/>
    <w:rsid w:val="000A303E"/>
    <w:rsid w:val="000A3B1D"/>
    <w:rsid w:val="000A3DBA"/>
    <w:rsid w:val="000A3EE0"/>
    <w:rsid w:val="000A4077"/>
    <w:rsid w:val="000A4F9B"/>
    <w:rsid w:val="000A7136"/>
    <w:rsid w:val="000A75D3"/>
    <w:rsid w:val="000B0134"/>
    <w:rsid w:val="000B0237"/>
    <w:rsid w:val="000B14BA"/>
    <w:rsid w:val="000B1A03"/>
    <w:rsid w:val="000B1F56"/>
    <w:rsid w:val="000B2C4C"/>
    <w:rsid w:val="000B38D6"/>
    <w:rsid w:val="000B3AB0"/>
    <w:rsid w:val="000B52C1"/>
    <w:rsid w:val="000B5964"/>
    <w:rsid w:val="000B6508"/>
    <w:rsid w:val="000C24E8"/>
    <w:rsid w:val="000C28BD"/>
    <w:rsid w:val="000C2BC0"/>
    <w:rsid w:val="000C54F5"/>
    <w:rsid w:val="000C6141"/>
    <w:rsid w:val="000C671B"/>
    <w:rsid w:val="000D0721"/>
    <w:rsid w:val="000D0752"/>
    <w:rsid w:val="000D1A8C"/>
    <w:rsid w:val="000D1D02"/>
    <w:rsid w:val="000D2888"/>
    <w:rsid w:val="000D289E"/>
    <w:rsid w:val="000D3018"/>
    <w:rsid w:val="000D49FA"/>
    <w:rsid w:val="000D53FF"/>
    <w:rsid w:val="000E1A58"/>
    <w:rsid w:val="000E2822"/>
    <w:rsid w:val="000E3252"/>
    <w:rsid w:val="000E38B1"/>
    <w:rsid w:val="000E49EC"/>
    <w:rsid w:val="000E586A"/>
    <w:rsid w:val="000E5DE1"/>
    <w:rsid w:val="000E603A"/>
    <w:rsid w:val="000E6E17"/>
    <w:rsid w:val="000E6EC1"/>
    <w:rsid w:val="000E7043"/>
    <w:rsid w:val="000E732D"/>
    <w:rsid w:val="000F2074"/>
    <w:rsid w:val="000F37E1"/>
    <w:rsid w:val="000F4F35"/>
    <w:rsid w:val="000F5046"/>
    <w:rsid w:val="000F565E"/>
    <w:rsid w:val="000F580E"/>
    <w:rsid w:val="000F7169"/>
    <w:rsid w:val="001000FB"/>
    <w:rsid w:val="001017EC"/>
    <w:rsid w:val="00101CFD"/>
    <w:rsid w:val="00104267"/>
    <w:rsid w:val="0010443F"/>
    <w:rsid w:val="001051D4"/>
    <w:rsid w:val="00105D11"/>
    <w:rsid w:val="00106285"/>
    <w:rsid w:val="001063C6"/>
    <w:rsid w:val="00107A8A"/>
    <w:rsid w:val="00107A8F"/>
    <w:rsid w:val="00107C26"/>
    <w:rsid w:val="0011018A"/>
    <w:rsid w:val="00110AEE"/>
    <w:rsid w:val="00110FBC"/>
    <w:rsid w:val="00112A79"/>
    <w:rsid w:val="00112F19"/>
    <w:rsid w:val="00113226"/>
    <w:rsid w:val="00113636"/>
    <w:rsid w:val="00113896"/>
    <w:rsid w:val="00113B43"/>
    <w:rsid w:val="00113DD9"/>
    <w:rsid w:val="001145B9"/>
    <w:rsid w:val="0011554E"/>
    <w:rsid w:val="001165CD"/>
    <w:rsid w:val="00116C4F"/>
    <w:rsid w:val="001175C6"/>
    <w:rsid w:val="00117A74"/>
    <w:rsid w:val="00117B98"/>
    <w:rsid w:val="0012001E"/>
    <w:rsid w:val="00120DFE"/>
    <w:rsid w:val="001221B4"/>
    <w:rsid w:val="00122E61"/>
    <w:rsid w:val="001230C0"/>
    <w:rsid w:val="00123B92"/>
    <w:rsid w:val="00124203"/>
    <w:rsid w:val="00124E9C"/>
    <w:rsid w:val="00126722"/>
    <w:rsid w:val="00127C07"/>
    <w:rsid w:val="00127C97"/>
    <w:rsid w:val="00130114"/>
    <w:rsid w:val="00131392"/>
    <w:rsid w:val="001339E7"/>
    <w:rsid w:val="001373B3"/>
    <w:rsid w:val="001379CC"/>
    <w:rsid w:val="00142238"/>
    <w:rsid w:val="00142D72"/>
    <w:rsid w:val="00143476"/>
    <w:rsid w:val="001438D0"/>
    <w:rsid w:val="001442CB"/>
    <w:rsid w:val="00144DCB"/>
    <w:rsid w:val="00144F17"/>
    <w:rsid w:val="001507D8"/>
    <w:rsid w:val="001513C3"/>
    <w:rsid w:val="001529F0"/>
    <w:rsid w:val="00154BB2"/>
    <w:rsid w:val="00156268"/>
    <w:rsid w:val="001569A8"/>
    <w:rsid w:val="00156FE5"/>
    <w:rsid w:val="00157B30"/>
    <w:rsid w:val="001608BE"/>
    <w:rsid w:val="00161A4E"/>
    <w:rsid w:val="00161C7A"/>
    <w:rsid w:val="00162EB5"/>
    <w:rsid w:val="001637CD"/>
    <w:rsid w:val="00163AA7"/>
    <w:rsid w:val="0016424E"/>
    <w:rsid w:val="001643AC"/>
    <w:rsid w:val="00164E00"/>
    <w:rsid w:val="00165664"/>
    <w:rsid w:val="0016593C"/>
    <w:rsid w:val="0016783D"/>
    <w:rsid w:val="00167D7E"/>
    <w:rsid w:val="00171F86"/>
    <w:rsid w:val="00172725"/>
    <w:rsid w:val="00173D9D"/>
    <w:rsid w:val="00175517"/>
    <w:rsid w:val="00175BE6"/>
    <w:rsid w:val="00175C29"/>
    <w:rsid w:val="00176521"/>
    <w:rsid w:val="00177BC5"/>
    <w:rsid w:val="001803DF"/>
    <w:rsid w:val="00184778"/>
    <w:rsid w:val="00184F32"/>
    <w:rsid w:val="00187242"/>
    <w:rsid w:val="00191AB6"/>
    <w:rsid w:val="0019370F"/>
    <w:rsid w:val="00196B84"/>
    <w:rsid w:val="001A286B"/>
    <w:rsid w:val="001A29DB"/>
    <w:rsid w:val="001A31F7"/>
    <w:rsid w:val="001A5B2D"/>
    <w:rsid w:val="001A78F2"/>
    <w:rsid w:val="001B1B13"/>
    <w:rsid w:val="001B3CCD"/>
    <w:rsid w:val="001B4011"/>
    <w:rsid w:val="001B4686"/>
    <w:rsid w:val="001B4B36"/>
    <w:rsid w:val="001B515C"/>
    <w:rsid w:val="001B52BA"/>
    <w:rsid w:val="001B6612"/>
    <w:rsid w:val="001C12CA"/>
    <w:rsid w:val="001C1341"/>
    <w:rsid w:val="001C40DB"/>
    <w:rsid w:val="001C417D"/>
    <w:rsid w:val="001C59A6"/>
    <w:rsid w:val="001C6D5A"/>
    <w:rsid w:val="001C6F7A"/>
    <w:rsid w:val="001C736F"/>
    <w:rsid w:val="001D0492"/>
    <w:rsid w:val="001D0C87"/>
    <w:rsid w:val="001D1C03"/>
    <w:rsid w:val="001D22E3"/>
    <w:rsid w:val="001D2A26"/>
    <w:rsid w:val="001D36EB"/>
    <w:rsid w:val="001D5196"/>
    <w:rsid w:val="001D65C5"/>
    <w:rsid w:val="001D6A5E"/>
    <w:rsid w:val="001D75D5"/>
    <w:rsid w:val="001D7D10"/>
    <w:rsid w:val="001E0836"/>
    <w:rsid w:val="001E0B4D"/>
    <w:rsid w:val="001E0DB0"/>
    <w:rsid w:val="001E18AC"/>
    <w:rsid w:val="001E1A92"/>
    <w:rsid w:val="001E1E92"/>
    <w:rsid w:val="001E20BC"/>
    <w:rsid w:val="001E288A"/>
    <w:rsid w:val="001E3032"/>
    <w:rsid w:val="001E3C4A"/>
    <w:rsid w:val="001E415A"/>
    <w:rsid w:val="001E43AB"/>
    <w:rsid w:val="001E4F37"/>
    <w:rsid w:val="001E51C2"/>
    <w:rsid w:val="001E6288"/>
    <w:rsid w:val="001E6A0A"/>
    <w:rsid w:val="001E716D"/>
    <w:rsid w:val="001F091D"/>
    <w:rsid w:val="001F0CC7"/>
    <w:rsid w:val="001F1705"/>
    <w:rsid w:val="001F182C"/>
    <w:rsid w:val="001F1E6F"/>
    <w:rsid w:val="001F219B"/>
    <w:rsid w:val="001F256B"/>
    <w:rsid w:val="001F5E2E"/>
    <w:rsid w:val="001F6591"/>
    <w:rsid w:val="001F6631"/>
    <w:rsid w:val="001F7B45"/>
    <w:rsid w:val="001F7C1D"/>
    <w:rsid w:val="00200D55"/>
    <w:rsid w:val="00200E4A"/>
    <w:rsid w:val="0020114E"/>
    <w:rsid w:val="00201F4B"/>
    <w:rsid w:val="0020239B"/>
    <w:rsid w:val="00203851"/>
    <w:rsid w:val="002042FA"/>
    <w:rsid w:val="0020434A"/>
    <w:rsid w:val="0020469C"/>
    <w:rsid w:val="00205805"/>
    <w:rsid w:val="002059CC"/>
    <w:rsid w:val="00205B64"/>
    <w:rsid w:val="00207129"/>
    <w:rsid w:val="00207CAC"/>
    <w:rsid w:val="00207CD5"/>
    <w:rsid w:val="00210364"/>
    <w:rsid w:val="00210D52"/>
    <w:rsid w:val="0021219C"/>
    <w:rsid w:val="002128BC"/>
    <w:rsid w:val="00212A95"/>
    <w:rsid w:val="00213FF3"/>
    <w:rsid w:val="002146B1"/>
    <w:rsid w:val="00214DC2"/>
    <w:rsid w:val="00215C01"/>
    <w:rsid w:val="0022097B"/>
    <w:rsid w:val="00220B07"/>
    <w:rsid w:val="00221C66"/>
    <w:rsid w:val="00222754"/>
    <w:rsid w:val="00223D5B"/>
    <w:rsid w:val="00224363"/>
    <w:rsid w:val="002245AA"/>
    <w:rsid w:val="002255EA"/>
    <w:rsid w:val="002275B1"/>
    <w:rsid w:val="0022778C"/>
    <w:rsid w:val="00227908"/>
    <w:rsid w:val="00227DF6"/>
    <w:rsid w:val="00230645"/>
    <w:rsid w:val="00231616"/>
    <w:rsid w:val="002321D8"/>
    <w:rsid w:val="0023284C"/>
    <w:rsid w:val="0023286B"/>
    <w:rsid w:val="00232C2C"/>
    <w:rsid w:val="002332B1"/>
    <w:rsid w:val="002337B3"/>
    <w:rsid w:val="00235847"/>
    <w:rsid w:val="00237E0B"/>
    <w:rsid w:val="00240F1E"/>
    <w:rsid w:val="00241A4F"/>
    <w:rsid w:val="0024273C"/>
    <w:rsid w:val="00244D5F"/>
    <w:rsid w:val="002458C0"/>
    <w:rsid w:val="00246893"/>
    <w:rsid w:val="002478C0"/>
    <w:rsid w:val="0025107C"/>
    <w:rsid w:val="002511CA"/>
    <w:rsid w:val="00252B4A"/>
    <w:rsid w:val="00253B06"/>
    <w:rsid w:val="00253B8D"/>
    <w:rsid w:val="002540D7"/>
    <w:rsid w:val="002542E5"/>
    <w:rsid w:val="002543A4"/>
    <w:rsid w:val="0025462E"/>
    <w:rsid w:val="002546A9"/>
    <w:rsid w:val="0025486B"/>
    <w:rsid w:val="00254D33"/>
    <w:rsid w:val="00254E67"/>
    <w:rsid w:val="00254EA0"/>
    <w:rsid w:val="002563EF"/>
    <w:rsid w:val="00256E37"/>
    <w:rsid w:val="002570AA"/>
    <w:rsid w:val="002576CF"/>
    <w:rsid w:val="00260D2B"/>
    <w:rsid w:val="002610B5"/>
    <w:rsid w:val="00261212"/>
    <w:rsid w:val="0026222E"/>
    <w:rsid w:val="0026246E"/>
    <w:rsid w:val="00263207"/>
    <w:rsid w:val="002632B1"/>
    <w:rsid w:val="00263CF9"/>
    <w:rsid w:val="002652C5"/>
    <w:rsid w:val="002657BE"/>
    <w:rsid w:val="00266A54"/>
    <w:rsid w:val="00266C49"/>
    <w:rsid w:val="00270F07"/>
    <w:rsid w:val="0027155F"/>
    <w:rsid w:val="00271DFD"/>
    <w:rsid w:val="0027280F"/>
    <w:rsid w:val="002744F1"/>
    <w:rsid w:val="00280783"/>
    <w:rsid w:val="00280F40"/>
    <w:rsid w:val="00281F61"/>
    <w:rsid w:val="0028380B"/>
    <w:rsid w:val="00283E1F"/>
    <w:rsid w:val="0028534E"/>
    <w:rsid w:val="00286C21"/>
    <w:rsid w:val="00287323"/>
    <w:rsid w:val="00287910"/>
    <w:rsid w:val="00287D2E"/>
    <w:rsid w:val="002900C0"/>
    <w:rsid w:val="00292E08"/>
    <w:rsid w:val="00292ECD"/>
    <w:rsid w:val="00293FC1"/>
    <w:rsid w:val="00294D7F"/>
    <w:rsid w:val="00294F10"/>
    <w:rsid w:val="00296244"/>
    <w:rsid w:val="0029786F"/>
    <w:rsid w:val="00297A85"/>
    <w:rsid w:val="00297F4C"/>
    <w:rsid w:val="002A0917"/>
    <w:rsid w:val="002A1C27"/>
    <w:rsid w:val="002A2753"/>
    <w:rsid w:val="002A2918"/>
    <w:rsid w:val="002A6627"/>
    <w:rsid w:val="002A6E37"/>
    <w:rsid w:val="002A7F05"/>
    <w:rsid w:val="002B0887"/>
    <w:rsid w:val="002B0EDB"/>
    <w:rsid w:val="002B0FF4"/>
    <w:rsid w:val="002B13A1"/>
    <w:rsid w:val="002B1B56"/>
    <w:rsid w:val="002B28F1"/>
    <w:rsid w:val="002B433A"/>
    <w:rsid w:val="002B4FB1"/>
    <w:rsid w:val="002B50EE"/>
    <w:rsid w:val="002B59DA"/>
    <w:rsid w:val="002B5D22"/>
    <w:rsid w:val="002B717B"/>
    <w:rsid w:val="002C0999"/>
    <w:rsid w:val="002C19AF"/>
    <w:rsid w:val="002C2C49"/>
    <w:rsid w:val="002C3842"/>
    <w:rsid w:val="002C4222"/>
    <w:rsid w:val="002C4720"/>
    <w:rsid w:val="002C4A8F"/>
    <w:rsid w:val="002C5A99"/>
    <w:rsid w:val="002C5DA7"/>
    <w:rsid w:val="002C6A97"/>
    <w:rsid w:val="002D292C"/>
    <w:rsid w:val="002D444C"/>
    <w:rsid w:val="002D6570"/>
    <w:rsid w:val="002D6E2E"/>
    <w:rsid w:val="002D72E5"/>
    <w:rsid w:val="002E1A14"/>
    <w:rsid w:val="002E40FB"/>
    <w:rsid w:val="002E5463"/>
    <w:rsid w:val="002E64C3"/>
    <w:rsid w:val="002E6D5A"/>
    <w:rsid w:val="002E7411"/>
    <w:rsid w:val="002E7470"/>
    <w:rsid w:val="002E759D"/>
    <w:rsid w:val="002E7A40"/>
    <w:rsid w:val="002E7CBA"/>
    <w:rsid w:val="002E7EFE"/>
    <w:rsid w:val="002F0087"/>
    <w:rsid w:val="002F04B4"/>
    <w:rsid w:val="002F0BCE"/>
    <w:rsid w:val="002F0CAC"/>
    <w:rsid w:val="002F3331"/>
    <w:rsid w:val="002F4560"/>
    <w:rsid w:val="002F4843"/>
    <w:rsid w:val="002F49ED"/>
    <w:rsid w:val="002F5182"/>
    <w:rsid w:val="002F5BFE"/>
    <w:rsid w:val="002F6635"/>
    <w:rsid w:val="002F6F48"/>
    <w:rsid w:val="002F7017"/>
    <w:rsid w:val="002F76AC"/>
    <w:rsid w:val="00300BA4"/>
    <w:rsid w:val="003010DC"/>
    <w:rsid w:val="0030275E"/>
    <w:rsid w:val="003027DD"/>
    <w:rsid w:val="00304B14"/>
    <w:rsid w:val="003052C8"/>
    <w:rsid w:val="0030771B"/>
    <w:rsid w:val="00310ACC"/>
    <w:rsid w:val="00311410"/>
    <w:rsid w:val="00311BCD"/>
    <w:rsid w:val="00311E62"/>
    <w:rsid w:val="0031206B"/>
    <w:rsid w:val="003126A0"/>
    <w:rsid w:val="003128A0"/>
    <w:rsid w:val="003146F0"/>
    <w:rsid w:val="0031522E"/>
    <w:rsid w:val="0031529B"/>
    <w:rsid w:val="00315C84"/>
    <w:rsid w:val="003162BA"/>
    <w:rsid w:val="00316603"/>
    <w:rsid w:val="00317A69"/>
    <w:rsid w:val="00317AA0"/>
    <w:rsid w:val="00317C5B"/>
    <w:rsid w:val="0032086B"/>
    <w:rsid w:val="003211B6"/>
    <w:rsid w:val="003232F7"/>
    <w:rsid w:val="00324736"/>
    <w:rsid w:val="00324C48"/>
    <w:rsid w:val="00324F48"/>
    <w:rsid w:val="003279D2"/>
    <w:rsid w:val="00327D01"/>
    <w:rsid w:val="00330E30"/>
    <w:rsid w:val="00331501"/>
    <w:rsid w:val="00331513"/>
    <w:rsid w:val="00334B04"/>
    <w:rsid w:val="00334D72"/>
    <w:rsid w:val="00335337"/>
    <w:rsid w:val="00337589"/>
    <w:rsid w:val="003407A3"/>
    <w:rsid w:val="00341385"/>
    <w:rsid w:val="00341E94"/>
    <w:rsid w:val="0034276C"/>
    <w:rsid w:val="00342CE6"/>
    <w:rsid w:val="00343632"/>
    <w:rsid w:val="00345C68"/>
    <w:rsid w:val="00346C65"/>
    <w:rsid w:val="00350169"/>
    <w:rsid w:val="003505FE"/>
    <w:rsid w:val="0035459A"/>
    <w:rsid w:val="003557E9"/>
    <w:rsid w:val="00356418"/>
    <w:rsid w:val="00363310"/>
    <w:rsid w:val="00363B3F"/>
    <w:rsid w:val="0036470C"/>
    <w:rsid w:val="00364834"/>
    <w:rsid w:val="00366302"/>
    <w:rsid w:val="00371399"/>
    <w:rsid w:val="00372E9B"/>
    <w:rsid w:val="00373052"/>
    <w:rsid w:val="0037336B"/>
    <w:rsid w:val="00373C63"/>
    <w:rsid w:val="00375675"/>
    <w:rsid w:val="00375B8F"/>
    <w:rsid w:val="00377120"/>
    <w:rsid w:val="00380BB7"/>
    <w:rsid w:val="0038151F"/>
    <w:rsid w:val="003818ED"/>
    <w:rsid w:val="00382C08"/>
    <w:rsid w:val="00383212"/>
    <w:rsid w:val="00383AD5"/>
    <w:rsid w:val="00384343"/>
    <w:rsid w:val="0038556D"/>
    <w:rsid w:val="00385747"/>
    <w:rsid w:val="003857DB"/>
    <w:rsid w:val="00385A48"/>
    <w:rsid w:val="00386B08"/>
    <w:rsid w:val="00386F2B"/>
    <w:rsid w:val="00387101"/>
    <w:rsid w:val="0038765A"/>
    <w:rsid w:val="00387F6C"/>
    <w:rsid w:val="00390C76"/>
    <w:rsid w:val="00391D0F"/>
    <w:rsid w:val="003928DF"/>
    <w:rsid w:val="00392CEE"/>
    <w:rsid w:val="00394AF9"/>
    <w:rsid w:val="00395982"/>
    <w:rsid w:val="003962BE"/>
    <w:rsid w:val="00396E68"/>
    <w:rsid w:val="00396F2C"/>
    <w:rsid w:val="003A00FC"/>
    <w:rsid w:val="003A130F"/>
    <w:rsid w:val="003A3108"/>
    <w:rsid w:val="003A367F"/>
    <w:rsid w:val="003A5344"/>
    <w:rsid w:val="003A59EB"/>
    <w:rsid w:val="003A5AEB"/>
    <w:rsid w:val="003A66E3"/>
    <w:rsid w:val="003A6970"/>
    <w:rsid w:val="003B37F0"/>
    <w:rsid w:val="003B3D7F"/>
    <w:rsid w:val="003B3E6B"/>
    <w:rsid w:val="003B4B54"/>
    <w:rsid w:val="003B5A75"/>
    <w:rsid w:val="003B61FA"/>
    <w:rsid w:val="003B7EA9"/>
    <w:rsid w:val="003C1881"/>
    <w:rsid w:val="003C2A87"/>
    <w:rsid w:val="003C2CBF"/>
    <w:rsid w:val="003C2D52"/>
    <w:rsid w:val="003C310C"/>
    <w:rsid w:val="003C4006"/>
    <w:rsid w:val="003C4EC5"/>
    <w:rsid w:val="003C7096"/>
    <w:rsid w:val="003D0235"/>
    <w:rsid w:val="003D3983"/>
    <w:rsid w:val="003D5CA6"/>
    <w:rsid w:val="003D6311"/>
    <w:rsid w:val="003D674F"/>
    <w:rsid w:val="003D6B8B"/>
    <w:rsid w:val="003D7334"/>
    <w:rsid w:val="003D7EFE"/>
    <w:rsid w:val="003E0F60"/>
    <w:rsid w:val="003E156F"/>
    <w:rsid w:val="003E1726"/>
    <w:rsid w:val="003E1FC5"/>
    <w:rsid w:val="003E37FE"/>
    <w:rsid w:val="003E3C8E"/>
    <w:rsid w:val="003E3C96"/>
    <w:rsid w:val="003E45B9"/>
    <w:rsid w:val="003E45D0"/>
    <w:rsid w:val="003E4638"/>
    <w:rsid w:val="003E570A"/>
    <w:rsid w:val="003E5AE6"/>
    <w:rsid w:val="003E68E3"/>
    <w:rsid w:val="003E73DD"/>
    <w:rsid w:val="003F019A"/>
    <w:rsid w:val="003F0810"/>
    <w:rsid w:val="003F12A6"/>
    <w:rsid w:val="003F238F"/>
    <w:rsid w:val="003F2D51"/>
    <w:rsid w:val="003F390A"/>
    <w:rsid w:val="003F62F7"/>
    <w:rsid w:val="003F68C4"/>
    <w:rsid w:val="003F6A66"/>
    <w:rsid w:val="003F6C53"/>
    <w:rsid w:val="00401FE0"/>
    <w:rsid w:val="004029EF"/>
    <w:rsid w:val="00403E81"/>
    <w:rsid w:val="004043E5"/>
    <w:rsid w:val="00404ACB"/>
    <w:rsid w:val="004051FE"/>
    <w:rsid w:val="0040558C"/>
    <w:rsid w:val="004061BA"/>
    <w:rsid w:val="004064E6"/>
    <w:rsid w:val="00406924"/>
    <w:rsid w:val="00407045"/>
    <w:rsid w:val="00410638"/>
    <w:rsid w:val="00410FAB"/>
    <w:rsid w:val="00414B6A"/>
    <w:rsid w:val="00416719"/>
    <w:rsid w:val="00416A67"/>
    <w:rsid w:val="0041782A"/>
    <w:rsid w:val="00420A86"/>
    <w:rsid w:val="00420B6D"/>
    <w:rsid w:val="00421986"/>
    <w:rsid w:val="00423FDA"/>
    <w:rsid w:val="00424553"/>
    <w:rsid w:val="00424D75"/>
    <w:rsid w:val="00425167"/>
    <w:rsid w:val="00425358"/>
    <w:rsid w:val="004258D3"/>
    <w:rsid w:val="00425B76"/>
    <w:rsid w:val="004260D2"/>
    <w:rsid w:val="00426B2B"/>
    <w:rsid w:val="00427B0A"/>
    <w:rsid w:val="00427E06"/>
    <w:rsid w:val="00430E79"/>
    <w:rsid w:val="00434164"/>
    <w:rsid w:val="004360E0"/>
    <w:rsid w:val="0043631F"/>
    <w:rsid w:val="004363DD"/>
    <w:rsid w:val="0043746B"/>
    <w:rsid w:val="004379F7"/>
    <w:rsid w:val="0044168C"/>
    <w:rsid w:val="004444E6"/>
    <w:rsid w:val="0044492E"/>
    <w:rsid w:val="00444946"/>
    <w:rsid w:val="00445248"/>
    <w:rsid w:val="00447366"/>
    <w:rsid w:val="0044741D"/>
    <w:rsid w:val="00453843"/>
    <w:rsid w:val="00455190"/>
    <w:rsid w:val="004556F6"/>
    <w:rsid w:val="0045720B"/>
    <w:rsid w:val="00457292"/>
    <w:rsid w:val="00457304"/>
    <w:rsid w:val="00457F7B"/>
    <w:rsid w:val="004604C0"/>
    <w:rsid w:val="00463588"/>
    <w:rsid w:val="00463864"/>
    <w:rsid w:val="0046391C"/>
    <w:rsid w:val="00463C4C"/>
    <w:rsid w:val="0046566A"/>
    <w:rsid w:val="00465A43"/>
    <w:rsid w:val="00465F59"/>
    <w:rsid w:val="004672A1"/>
    <w:rsid w:val="004679B2"/>
    <w:rsid w:val="00467A79"/>
    <w:rsid w:val="004707F7"/>
    <w:rsid w:val="00470F0A"/>
    <w:rsid w:val="0047145A"/>
    <w:rsid w:val="00472254"/>
    <w:rsid w:val="00472753"/>
    <w:rsid w:val="004728E9"/>
    <w:rsid w:val="00473D37"/>
    <w:rsid w:val="004755A8"/>
    <w:rsid w:val="00475622"/>
    <w:rsid w:val="004767B8"/>
    <w:rsid w:val="00477202"/>
    <w:rsid w:val="004779C0"/>
    <w:rsid w:val="00480ADC"/>
    <w:rsid w:val="00480D2D"/>
    <w:rsid w:val="00481323"/>
    <w:rsid w:val="004834EE"/>
    <w:rsid w:val="004839F4"/>
    <w:rsid w:val="00483D0A"/>
    <w:rsid w:val="00484EBE"/>
    <w:rsid w:val="00485209"/>
    <w:rsid w:val="0048545E"/>
    <w:rsid w:val="00485841"/>
    <w:rsid w:val="00486474"/>
    <w:rsid w:val="0048720E"/>
    <w:rsid w:val="00487C10"/>
    <w:rsid w:val="00491A63"/>
    <w:rsid w:val="004926FE"/>
    <w:rsid w:val="004956AD"/>
    <w:rsid w:val="004969F5"/>
    <w:rsid w:val="00496D26"/>
    <w:rsid w:val="004971AD"/>
    <w:rsid w:val="004971BC"/>
    <w:rsid w:val="00497952"/>
    <w:rsid w:val="004A006B"/>
    <w:rsid w:val="004A018F"/>
    <w:rsid w:val="004A0249"/>
    <w:rsid w:val="004A059F"/>
    <w:rsid w:val="004A088E"/>
    <w:rsid w:val="004A13E2"/>
    <w:rsid w:val="004A1911"/>
    <w:rsid w:val="004A2657"/>
    <w:rsid w:val="004A3300"/>
    <w:rsid w:val="004A45FC"/>
    <w:rsid w:val="004A4CF4"/>
    <w:rsid w:val="004A6A53"/>
    <w:rsid w:val="004A6EAC"/>
    <w:rsid w:val="004B1107"/>
    <w:rsid w:val="004B116D"/>
    <w:rsid w:val="004B134F"/>
    <w:rsid w:val="004B1AD3"/>
    <w:rsid w:val="004B2699"/>
    <w:rsid w:val="004B27EA"/>
    <w:rsid w:val="004B444D"/>
    <w:rsid w:val="004B526E"/>
    <w:rsid w:val="004B53EC"/>
    <w:rsid w:val="004B577A"/>
    <w:rsid w:val="004B65E5"/>
    <w:rsid w:val="004B65FF"/>
    <w:rsid w:val="004B7104"/>
    <w:rsid w:val="004C146A"/>
    <w:rsid w:val="004C2B23"/>
    <w:rsid w:val="004C3740"/>
    <w:rsid w:val="004C4625"/>
    <w:rsid w:val="004C4DDA"/>
    <w:rsid w:val="004C543B"/>
    <w:rsid w:val="004C563E"/>
    <w:rsid w:val="004C57A2"/>
    <w:rsid w:val="004D0248"/>
    <w:rsid w:val="004D1B0F"/>
    <w:rsid w:val="004D5CD8"/>
    <w:rsid w:val="004D6056"/>
    <w:rsid w:val="004D6180"/>
    <w:rsid w:val="004D7095"/>
    <w:rsid w:val="004E1E99"/>
    <w:rsid w:val="004E5B14"/>
    <w:rsid w:val="004E7629"/>
    <w:rsid w:val="004E7A8A"/>
    <w:rsid w:val="004F024D"/>
    <w:rsid w:val="004F0CAF"/>
    <w:rsid w:val="004F0E0D"/>
    <w:rsid w:val="004F1214"/>
    <w:rsid w:val="004F220B"/>
    <w:rsid w:val="004F277C"/>
    <w:rsid w:val="004F3AF3"/>
    <w:rsid w:val="004F416D"/>
    <w:rsid w:val="004F4805"/>
    <w:rsid w:val="004F56AF"/>
    <w:rsid w:val="004F56EA"/>
    <w:rsid w:val="004F672C"/>
    <w:rsid w:val="004F6A09"/>
    <w:rsid w:val="004F6FC5"/>
    <w:rsid w:val="005004D3"/>
    <w:rsid w:val="00501342"/>
    <w:rsid w:val="00501366"/>
    <w:rsid w:val="00501FC9"/>
    <w:rsid w:val="00503F94"/>
    <w:rsid w:val="00504F99"/>
    <w:rsid w:val="005052B9"/>
    <w:rsid w:val="00505DC6"/>
    <w:rsid w:val="00505F98"/>
    <w:rsid w:val="00506AE8"/>
    <w:rsid w:val="00507194"/>
    <w:rsid w:val="00507E10"/>
    <w:rsid w:val="005106AC"/>
    <w:rsid w:val="00510917"/>
    <w:rsid w:val="00511240"/>
    <w:rsid w:val="005119B6"/>
    <w:rsid w:val="00511D8E"/>
    <w:rsid w:val="00512E96"/>
    <w:rsid w:val="00513008"/>
    <w:rsid w:val="00513B1E"/>
    <w:rsid w:val="00514F8A"/>
    <w:rsid w:val="0051588B"/>
    <w:rsid w:val="0051598C"/>
    <w:rsid w:val="00515AB7"/>
    <w:rsid w:val="00516208"/>
    <w:rsid w:val="00517F4D"/>
    <w:rsid w:val="00521169"/>
    <w:rsid w:val="00522ADF"/>
    <w:rsid w:val="005231ED"/>
    <w:rsid w:val="00523964"/>
    <w:rsid w:val="005262C8"/>
    <w:rsid w:val="005264A6"/>
    <w:rsid w:val="00527B16"/>
    <w:rsid w:val="005300FB"/>
    <w:rsid w:val="005309CA"/>
    <w:rsid w:val="005317ED"/>
    <w:rsid w:val="005321AC"/>
    <w:rsid w:val="005329E8"/>
    <w:rsid w:val="00532E07"/>
    <w:rsid w:val="005337AC"/>
    <w:rsid w:val="00533B5C"/>
    <w:rsid w:val="00534A9A"/>
    <w:rsid w:val="00534AD2"/>
    <w:rsid w:val="0053516C"/>
    <w:rsid w:val="00535671"/>
    <w:rsid w:val="00540802"/>
    <w:rsid w:val="0054081E"/>
    <w:rsid w:val="00541543"/>
    <w:rsid w:val="00542C62"/>
    <w:rsid w:val="0054499D"/>
    <w:rsid w:val="00545FCD"/>
    <w:rsid w:val="00550442"/>
    <w:rsid w:val="00550601"/>
    <w:rsid w:val="00551317"/>
    <w:rsid w:val="00551E80"/>
    <w:rsid w:val="00552AFB"/>
    <w:rsid w:val="00552B70"/>
    <w:rsid w:val="00552FF0"/>
    <w:rsid w:val="005540F6"/>
    <w:rsid w:val="005541B2"/>
    <w:rsid w:val="0055446F"/>
    <w:rsid w:val="00554A0D"/>
    <w:rsid w:val="00556261"/>
    <w:rsid w:val="005567ED"/>
    <w:rsid w:val="00557212"/>
    <w:rsid w:val="00557404"/>
    <w:rsid w:val="00557B47"/>
    <w:rsid w:val="005602E0"/>
    <w:rsid w:val="00560ED1"/>
    <w:rsid w:val="00561C3F"/>
    <w:rsid w:val="00562504"/>
    <w:rsid w:val="00563442"/>
    <w:rsid w:val="005637F8"/>
    <w:rsid w:val="005662C8"/>
    <w:rsid w:val="00566644"/>
    <w:rsid w:val="00566697"/>
    <w:rsid w:val="0057097E"/>
    <w:rsid w:val="00571206"/>
    <w:rsid w:val="00571575"/>
    <w:rsid w:val="0057487B"/>
    <w:rsid w:val="00575853"/>
    <w:rsid w:val="00575F5E"/>
    <w:rsid w:val="0057667C"/>
    <w:rsid w:val="00576B68"/>
    <w:rsid w:val="00576FBC"/>
    <w:rsid w:val="00577194"/>
    <w:rsid w:val="00577336"/>
    <w:rsid w:val="005776D6"/>
    <w:rsid w:val="005778D7"/>
    <w:rsid w:val="00580127"/>
    <w:rsid w:val="005805A4"/>
    <w:rsid w:val="00580E76"/>
    <w:rsid w:val="00581E86"/>
    <w:rsid w:val="00583BDA"/>
    <w:rsid w:val="005841B3"/>
    <w:rsid w:val="005865F2"/>
    <w:rsid w:val="00587594"/>
    <w:rsid w:val="00587D9C"/>
    <w:rsid w:val="005917CD"/>
    <w:rsid w:val="005929C7"/>
    <w:rsid w:val="00592E18"/>
    <w:rsid w:val="00593F01"/>
    <w:rsid w:val="00594232"/>
    <w:rsid w:val="0059454E"/>
    <w:rsid w:val="0059576F"/>
    <w:rsid w:val="005A166D"/>
    <w:rsid w:val="005A1AC7"/>
    <w:rsid w:val="005A1EAB"/>
    <w:rsid w:val="005A2105"/>
    <w:rsid w:val="005A2B6A"/>
    <w:rsid w:val="005A2B75"/>
    <w:rsid w:val="005A3097"/>
    <w:rsid w:val="005A3B5D"/>
    <w:rsid w:val="005A46D4"/>
    <w:rsid w:val="005A5001"/>
    <w:rsid w:val="005A53B0"/>
    <w:rsid w:val="005A640A"/>
    <w:rsid w:val="005A71DD"/>
    <w:rsid w:val="005B017B"/>
    <w:rsid w:val="005B0585"/>
    <w:rsid w:val="005B08ED"/>
    <w:rsid w:val="005B0C02"/>
    <w:rsid w:val="005B1D66"/>
    <w:rsid w:val="005B206E"/>
    <w:rsid w:val="005B2562"/>
    <w:rsid w:val="005B26C4"/>
    <w:rsid w:val="005B3008"/>
    <w:rsid w:val="005B3F7B"/>
    <w:rsid w:val="005B4828"/>
    <w:rsid w:val="005B4C6C"/>
    <w:rsid w:val="005B6629"/>
    <w:rsid w:val="005B72A4"/>
    <w:rsid w:val="005C0345"/>
    <w:rsid w:val="005C1111"/>
    <w:rsid w:val="005C2438"/>
    <w:rsid w:val="005C2486"/>
    <w:rsid w:val="005C29C3"/>
    <w:rsid w:val="005C4081"/>
    <w:rsid w:val="005C4415"/>
    <w:rsid w:val="005C5787"/>
    <w:rsid w:val="005C6E33"/>
    <w:rsid w:val="005C7884"/>
    <w:rsid w:val="005C7D4D"/>
    <w:rsid w:val="005D007C"/>
    <w:rsid w:val="005D029C"/>
    <w:rsid w:val="005D1179"/>
    <w:rsid w:val="005D3E48"/>
    <w:rsid w:val="005D4D43"/>
    <w:rsid w:val="005D624D"/>
    <w:rsid w:val="005D62F3"/>
    <w:rsid w:val="005D645F"/>
    <w:rsid w:val="005D68AE"/>
    <w:rsid w:val="005D6F45"/>
    <w:rsid w:val="005D7D39"/>
    <w:rsid w:val="005E1FE2"/>
    <w:rsid w:val="005E5C6F"/>
    <w:rsid w:val="005E62A9"/>
    <w:rsid w:val="005E7684"/>
    <w:rsid w:val="005F0B1B"/>
    <w:rsid w:val="005F1237"/>
    <w:rsid w:val="005F217E"/>
    <w:rsid w:val="005F2394"/>
    <w:rsid w:val="005F23B2"/>
    <w:rsid w:val="005F27E6"/>
    <w:rsid w:val="005F368B"/>
    <w:rsid w:val="005F477D"/>
    <w:rsid w:val="005F4995"/>
    <w:rsid w:val="005F4A62"/>
    <w:rsid w:val="005F4D72"/>
    <w:rsid w:val="005F6B47"/>
    <w:rsid w:val="005F7171"/>
    <w:rsid w:val="005F7771"/>
    <w:rsid w:val="00601CFD"/>
    <w:rsid w:val="00602001"/>
    <w:rsid w:val="0060230D"/>
    <w:rsid w:val="006026AB"/>
    <w:rsid w:val="006030F5"/>
    <w:rsid w:val="006031E1"/>
    <w:rsid w:val="006041D9"/>
    <w:rsid w:val="00604655"/>
    <w:rsid w:val="00604D2F"/>
    <w:rsid w:val="00606851"/>
    <w:rsid w:val="00606932"/>
    <w:rsid w:val="00607607"/>
    <w:rsid w:val="00610684"/>
    <w:rsid w:val="00612146"/>
    <w:rsid w:val="0061320D"/>
    <w:rsid w:val="00616BCE"/>
    <w:rsid w:val="0061722F"/>
    <w:rsid w:val="006175A5"/>
    <w:rsid w:val="00620511"/>
    <w:rsid w:val="00621419"/>
    <w:rsid w:val="00623DF9"/>
    <w:rsid w:val="006242F2"/>
    <w:rsid w:val="00624C95"/>
    <w:rsid w:val="00624F67"/>
    <w:rsid w:val="00625030"/>
    <w:rsid w:val="00625904"/>
    <w:rsid w:val="00627B01"/>
    <w:rsid w:val="0063042B"/>
    <w:rsid w:val="006304BD"/>
    <w:rsid w:val="00632F42"/>
    <w:rsid w:val="006332ED"/>
    <w:rsid w:val="006358E8"/>
    <w:rsid w:val="00635BF4"/>
    <w:rsid w:val="00635C9A"/>
    <w:rsid w:val="006361E0"/>
    <w:rsid w:val="006402CB"/>
    <w:rsid w:val="00641373"/>
    <w:rsid w:val="0064152F"/>
    <w:rsid w:val="006421D1"/>
    <w:rsid w:val="0064248B"/>
    <w:rsid w:val="00642FD9"/>
    <w:rsid w:val="006436D9"/>
    <w:rsid w:val="00643ACE"/>
    <w:rsid w:val="006441E7"/>
    <w:rsid w:val="006453BD"/>
    <w:rsid w:val="00645F20"/>
    <w:rsid w:val="00647245"/>
    <w:rsid w:val="00647B0F"/>
    <w:rsid w:val="00650076"/>
    <w:rsid w:val="00651389"/>
    <w:rsid w:val="00651ECE"/>
    <w:rsid w:val="00652029"/>
    <w:rsid w:val="0065249C"/>
    <w:rsid w:val="00653E85"/>
    <w:rsid w:val="00654A2F"/>
    <w:rsid w:val="00655A6F"/>
    <w:rsid w:val="00655ECE"/>
    <w:rsid w:val="00656381"/>
    <w:rsid w:val="00656CED"/>
    <w:rsid w:val="006571FA"/>
    <w:rsid w:val="00660C2D"/>
    <w:rsid w:val="00660FAC"/>
    <w:rsid w:val="00661016"/>
    <w:rsid w:val="00664205"/>
    <w:rsid w:val="00665727"/>
    <w:rsid w:val="00665B26"/>
    <w:rsid w:val="00665C1E"/>
    <w:rsid w:val="00667794"/>
    <w:rsid w:val="00670AEB"/>
    <w:rsid w:val="006717BE"/>
    <w:rsid w:val="00671FDC"/>
    <w:rsid w:val="006720A2"/>
    <w:rsid w:val="006720DE"/>
    <w:rsid w:val="0067466C"/>
    <w:rsid w:val="006746DD"/>
    <w:rsid w:val="006753AE"/>
    <w:rsid w:val="00677077"/>
    <w:rsid w:val="00677162"/>
    <w:rsid w:val="006773E5"/>
    <w:rsid w:val="00681427"/>
    <w:rsid w:val="0068246F"/>
    <w:rsid w:val="00682E3B"/>
    <w:rsid w:val="00683B14"/>
    <w:rsid w:val="00683DA7"/>
    <w:rsid w:val="00686C3F"/>
    <w:rsid w:val="00690DB1"/>
    <w:rsid w:val="00691850"/>
    <w:rsid w:val="00692241"/>
    <w:rsid w:val="00693314"/>
    <w:rsid w:val="0069348B"/>
    <w:rsid w:val="00693497"/>
    <w:rsid w:val="00693CF8"/>
    <w:rsid w:val="00694325"/>
    <w:rsid w:val="00695182"/>
    <w:rsid w:val="0069616F"/>
    <w:rsid w:val="00696F58"/>
    <w:rsid w:val="00697A8F"/>
    <w:rsid w:val="00697C45"/>
    <w:rsid w:val="006A07DF"/>
    <w:rsid w:val="006A22E8"/>
    <w:rsid w:val="006A3612"/>
    <w:rsid w:val="006A4051"/>
    <w:rsid w:val="006A6058"/>
    <w:rsid w:val="006A7D95"/>
    <w:rsid w:val="006A7E0E"/>
    <w:rsid w:val="006B0439"/>
    <w:rsid w:val="006B0EF4"/>
    <w:rsid w:val="006B20E1"/>
    <w:rsid w:val="006B27D7"/>
    <w:rsid w:val="006B5387"/>
    <w:rsid w:val="006B6B51"/>
    <w:rsid w:val="006B77EC"/>
    <w:rsid w:val="006C0003"/>
    <w:rsid w:val="006C009C"/>
    <w:rsid w:val="006C1AFC"/>
    <w:rsid w:val="006C2089"/>
    <w:rsid w:val="006C2EC9"/>
    <w:rsid w:val="006C3B5C"/>
    <w:rsid w:val="006C545C"/>
    <w:rsid w:val="006C64B6"/>
    <w:rsid w:val="006C694A"/>
    <w:rsid w:val="006C6DF3"/>
    <w:rsid w:val="006C7799"/>
    <w:rsid w:val="006C7BF2"/>
    <w:rsid w:val="006D0742"/>
    <w:rsid w:val="006D11E4"/>
    <w:rsid w:val="006D1B3F"/>
    <w:rsid w:val="006D1D1B"/>
    <w:rsid w:val="006D1F8B"/>
    <w:rsid w:val="006D232A"/>
    <w:rsid w:val="006D24D8"/>
    <w:rsid w:val="006D2BB3"/>
    <w:rsid w:val="006D3275"/>
    <w:rsid w:val="006D3707"/>
    <w:rsid w:val="006D4147"/>
    <w:rsid w:val="006D5CE9"/>
    <w:rsid w:val="006D668A"/>
    <w:rsid w:val="006E0C6B"/>
    <w:rsid w:val="006E1B92"/>
    <w:rsid w:val="006E2386"/>
    <w:rsid w:val="006E4AFA"/>
    <w:rsid w:val="006E65C8"/>
    <w:rsid w:val="006E786D"/>
    <w:rsid w:val="006E788D"/>
    <w:rsid w:val="006F08F8"/>
    <w:rsid w:val="006F0B33"/>
    <w:rsid w:val="006F0C6D"/>
    <w:rsid w:val="006F2ADB"/>
    <w:rsid w:val="006F38DF"/>
    <w:rsid w:val="006F41A1"/>
    <w:rsid w:val="006F4208"/>
    <w:rsid w:val="006F5C79"/>
    <w:rsid w:val="006F7FF9"/>
    <w:rsid w:val="00700380"/>
    <w:rsid w:val="00702F76"/>
    <w:rsid w:val="00703EFD"/>
    <w:rsid w:val="00704454"/>
    <w:rsid w:val="00707A28"/>
    <w:rsid w:val="00710187"/>
    <w:rsid w:val="00711505"/>
    <w:rsid w:val="007116F7"/>
    <w:rsid w:val="007118B4"/>
    <w:rsid w:val="00711E46"/>
    <w:rsid w:val="0071325D"/>
    <w:rsid w:val="00713B10"/>
    <w:rsid w:val="00714F11"/>
    <w:rsid w:val="007152D2"/>
    <w:rsid w:val="007156E4"/>
    <w:rsid w:val="00715D96"/>
    <w:rsid w:val="00715F2F"/>
    <w:rsid w:val="00717A50"/>
    <w:rsid w:val="00720241"/>
    <w:rsid w:val="00722339"/>
    <w:rsid w:val="00724445"/>
    <w:rsid w:val="0072576D"/>
    <w:rsid w:val="0072638E"/>
    <w:rsid w:val="00726DCC"/>
    <w:rsid w:val="00726DEC"/>
    <w:rsid w:val="0072754D"/>
    <w:rsid w:val="0073067B"/>
    <w:rsid w:val="00730ACE"/>
    <w:rsid w:val="00732B2D"/>
    <w:rsid w:val="00734F9F"/>
    <w:rsid w:val="00735070"/>
    <w:rsid w:val="007354B2"/>
    <w:rsid w:val="007359E6"/>
    <w:rsid w:val="0073632C"/>
    <w:rsid w:val="00737B4D"/>
    <w:rsid w:val="007403CF"/>
    <w:rsid w:val="00740517"/>
    <w:rsid w:val="00740708"/>
    <w:rsid w:val="00741F4C"/>
    <w:rsid w:val="00743C09"/>
    <w:rsid w:val="00744E41"/>
    <w:rsid w:val="00745130"/>
    <w:rsid w:val="007463CF"/>
    <w:rsid w:val="007475CE"/>
    <w:rsid w:val="00750248"/>
    <w:rsid w:val="00750263"/>
    <w:rsid w:val="00751467"/>
    <w:rsid w:val="00751957"/>
    <w:rsid w:val="00751C4B"/>
    <w:rsid w:val="00752295"/>
    <w:rsid w:val="00752B3E"/>
    <w:rsid w:val="00753ED5"/>
    <w:rsid w:val="007541D9"/>
    <w:rsid w:val="00754E89"/>
    <w:rsid w:val="0075578C"/>
    <w:rsid w:val="00755846"/>
    <w:rsid w:val="00756CDC"/>
    <w:rsid w:val="007576E1"/>
    <w:rsid w:val="0076077F"/>
    <w:rsid w:val="00760BB1"/>
    <w:rsid w:val="00760F8F"/>
    <w:rsid w:val="007610B3"/>
    <w:rsid w:val="00761941"/>
    <w:rsid w:val="007643B2"/>
    <w:rsid w:val="00766AA7"/>
    <w:rsid w:val="00766BCD"/>
    <w:rsid w:val="007676A3"/>
    <w:rsid w:val="007678E0"/>
    <w:rsid w:val="0077065E"/>
    <w:rsid w:val="00770969"/>
    <w:rsid w:val="007717FF"/>
    <w:rsid w:val="00771CE7"/>
    <w:rsid w:val="007723AE"/>
    <w:rsid w:val="00772BB9"/>
    <w:rsid w:val="00774DDE"/>
    <w:rsid w:val="00780490"/>
    <w:rsid w:val="0078367D"/>
    <w:rsid w:val="0078402D"/>
    <w:rsid w:val="00784F3A"/>
    <w:rsid w:val="00786F28"/>
    <w:rsid w:val="007902E7"/>
    <w:rsid w:val="00790457"/>
    <w:rsid w:val="00794F21"/>
    <w:rsid w:val="00794F2F"/>
    <w:rsid w:val="00795C97"/>
    <w:rsid w:val="00795D01"/>
    <w:rsid w:val="007A0406"/>
    <w:rsid w:val="007A16A3"/>
    <w:rsid w:val="007A2643"/>
    <w:rsid w:val="007A2942"/>
    <w:rsid w:val="007A2E70"/>
    <w:rsid w:val="007A3254"/>
    <w:rsid w:val="007A3B03"/>
    <w:rsid w:val="007A3CCC"/>
    <w:rsid w:val="007A4178"/>
    <w:rsid w:val="007A4885"/>
    <w:rsid w:val="007A4D7A"/>
    <w:rsid w:val="007A5AF6"/>
    <w:rsid w:val="007A68BA"/>
    <w:rsid w:val="007B08F0"/>
    <w:rsid w:val="007B0FFA"/>
    <w:rsid w:val="007B1548"/>
    <w:rsid w:val="007B1C86"/>
    <w:rsid w:val="007B3B63"/>
    <w:rsid w:val="007B3E8A"/>
    <w:rsid w:val="007B4B34"/>
    <w:rsid w:val="007B520B"/>
    <w:rsid w:val="007B54F6"/>
    <w:rsid w:val="007B5B77"/>
    <w:rsid w:val="007B660B"/>
    <w:rsid w:val="007C1AA4"/>
    <w:rsid w:val="007C231E"/>
    <w:rsid w:val="007C2600"/>
    <w:rsid w:val="007C2E06"/>
    <w:rsid w:val="007C4F55"/>
    <w:rsid w:val="007C4F87"/>
    <w:rsid w:val="007C5683"/>
    <w:rsid w:val="007C59BB"/>
    <w:rsid w:val="007C6371"/>
    <w:rsid w:val="007C7657"/>
    <w:rsid w:val="007C78DA"/>
    <w:rsid w:val="007C7F23"/>
    <w:rsid w:val="007D0B4A"/>
    <w:rsid w:val="007D117E"/>
    <w:rsid w:val="007D31A1"/>
    <w:rsid w:val="007D3290"/>
    <w:rsid w:val="007D3559"/>
    <w:rsid w:val="007D3E39"/>
    <w:rsid w:val="007D468B"/>
    <w:rsid w:val="007D4E8D"/>
    <w:rsid w:val="007D5ACC"/>
    <w:rsid w:val="007D5B56"/>
    <w:rsid w:val="007D5EBA"/>
    <w:rsid w:val="007D642F"/>
    <w:rsid w:val="007D75FA"/>
    <w:rsid w:val="007E297F"/>
    <w:rsid w:val="007E2BF0"/>
    <w:rsid w:val="007E2DAC"/>
    <w:rsid w:val="007E3985"/>
    <w:rsid w:val="007E559F"/>
    <w:rsid w:val="007E59B1"/>
    <w:rsid w:val="007E664D"/>
    <w:rsid w:val="007E69B4"/>
    <w:rsid w:val="007E79B2"/>
    <w:rsid w:val="007E7A8C"/>
    <w:rsid w:val="007F22A4"/>
    <w:rsid w:val="007F28FA"/>
    <w:rsid w:val="007F46E2"/>
    <w:rsid w:val="007F4BD7"/>
    <w:rsid w:val="007F4D51"/>
    <w:rsid w:val="007F70F6"/>
    <w:rsid w:val="007F77C2"/>
    <w:rsid w:val="007F7997"/>
    <w:rsid w:val="007F7E2C"/>
    <w:rsid w:val="0080070B"/>
    <w:rsid w:val="00800A6C"/>
    <w:rsid w:val="00802149"/>
    <w:rsid w:val="00802693"/>
    <w:rsid w:val="0080781C"/>
    <w:rsid w:val="00807BBE"/>
    <w:rsid w:val="00810FF8"/>
    <w:rsid w:val="00811C99"/>
    <w:rsid w:val="00811DE5"/>
    <w:rsid w:val="0081472C"/>
    <w:rsid w:val="00815384"/>
    <w:rsid w:val="008153D2"/>
    <w:rsid w:val="00815BB3"/>
    <w:rsid w:val="008165CE"/>
    <w:rsid w:val="0081671C"/>
    <w:rsid w:val="00816F0D"/>
    <w:rsid w:val="008226C5"/>
    <w:rsid w:val="0082429E"/>
    <w:rsid w:val="00824968"/>
    <w:rsid w:val="00824F08"/>
    <w:rsid w:val="008252AE"/>
    <w:rsid w:val="00825F2F"/>
    <w:rsid w:val="00826ADD"/>
    <w:rsid w:val="0083143E"/>
    <w:rsid w:val="00831600"/>
    <w:rsid w:val="00831ED6"/>
    <w:rsid w:val="00834CE6"/>
    <w:rsid w:val="00834D28"/>
    <w:rsid w:val="00835836"/>
    <w:rsid w:val="00835C58"/>
    <w:rsid w:val="00835C63"/>
    <w:rsid w:val="00836096"/>
    <w:rsid w:val="0083644D"/>
    <w:rsid w:val="008368C7"/>
    <w:rsid w:val="0083697D"/>
    <w:rsid w:val="00836B9C"/>
    <w:rsid w:val="0083715C"/>
    <w:rsid w:val="008400A0"/>
    <w:rsid w:val="00840863"/>
    <w:rsid w:val="00840B16"/>
    <w:rsid w:val="00840F39"/>
    <w:rsid w:val="00842175"/>
    <w:rsid w:val="00842D1F"/>
    <w:rsid w:val="00843CFA"/>
    <w:rsid w:val="0084449A"/>
    <w:rsid w:val="008453D0"/>
    <w:rsid w:val="008459B8"/>
    <w:rsid w:val="008463D1"/>
    <w:rsid w:val="00851CF6"/>
    <w:rsid w:val="00851DDD"/>
    <w:rsid w:val="00852EA8"/>
    <w:rsid w:val="00854D6A"/>
    <w:rsid w:val="00854FED"/>
    <w:rsid w:val="008555D6"/>
    <w:rsid w:val="0085564A"/>
    <w:rsid w:val="00856066"/>
    <w:rsid w:val="00856595"/>
    <w:rsid w:val="008567A4"/>
    <w:rsid w:val="00857633"/>
    <w:rsid w:val="00862690"/>
    <w:rsid w:val="0086387A"/>
    <w:rsid w:val="008645B3"/>
    <w:rsid w:val="0086669B"/>
    <w:rsid w:val="00866CDD"/>
    <w:rsid w:val="00870B18"/>
    <w:rsid w:val="0087211E"/>
    <w:rsid w:val="00873A6C"/>
    <w:rsid w:val="0087498D"/>
    <w:rsid w:val="008750C3"/>
    <w:rsid w:val="00876437"/>
    <w:rsid w:val="00876A52"/>
    <w:rsid w:val="00876D5F"/>
    <w:rsid w:val="0088051A"/>
    <w:rsid w:val="00880868"/>
    <w:rsid w:val="008809C8"/>
    <w:rsid w:val="00882939"/>
    <w:rsid w:val="0088393C"/>
    <w:rsid w:val="00887295"/>
    <w:rsid w:val="008908F8"/>
    <w:rsid w:val="00890EC2"/>
    <w:rsid w:val="00891014"/>
    <w:rsid w:val="00891531"/>
    <w:rsid w:val="00892E57"/>
    <w:rsid w:val="00893712"/>
    <w:rsid w:val="008948D7"/>
    <w:rsid w:val="008958F8"/>
    <w:rsid w:val="00896A14"/>
    <w:rsid w:val="00897544"/>
    <w:rsid w:val="008A09C7"/>
    <w:rsid w:val="008A19C2"/>
    <w:rsid w:val="008A6353"/>
    <w:rsid w:val="008A6498"/>
    <w:rsid w:val="008A6B29"/>
    <w:rsid w:val="008A6B43"/>
    <w:rsid w:val="008A7031"/>
    <w:rsid w:val="008A75BE"/>
    <w:rsid w:val="008B0220"/>
    <w:rsid w:val="008B1055"/>
    <w:rsid w:val="008B15C9"/>
    <w:rsid w:val="008B2575"/>
    <w:rsid w:val="008B278E"/>
    <w:rsid w:val="008B2A5E"/>
    <w:rsid w:val="008B30B8"/>
    <w:rsid w:val="008B3820"/>
    <w:rsid w:val="008B510A"/>
    <w:rsid w:val="008B5F69"/>
    <w:rsid w:val="008B766A"/>
    <w:rsid w:val="008B7D18"/>
    <w:rsid w:val="008C10B7"/>
    <w:rsid w:val="008C1600"/>
    <w:rsid w:val="008C1A05"/>
    <w:rsid w:val="008C1F02"/>
    <w:rsid w:val="008C6478"/>
    <w:rsid w:val="008D1D3D"/>
    <w:rsid w:val="008D336A"/>
    <w:rsid w:val="008D6267"/>
    <w:rsid w:val="008E0142"/>
    <w:rsid w:val="008E18C6"/>
    <w:rsid w:val="008E1F92"/>
    <w:rsid w:val="008E262D"/>
    <w:rsid w:val="008E266F"/>
    <w:rsid w:val="008E7E0B"/>
    <w:rsid w:val="008F0E06"/>
    <w:rsid w:val="008F2400"/>
    <w:rsid w:val="008F2753"/>
    <w:rsid w:val="008F36CD"/>
    <w:rsid w:val="008F5986"/>
    <w:rsid w:val="008F5D75"/>
    <w:rsid w:val="008F5DD2"/>
    <w:rsid w:val="008F5ED4"/>
    <w:rsid w:val="008F67F5"/>
    <w:rsid w:val="008F6A20"/>
    <w:rsid w:val="008F7EBB"/>
    <w:rsid w:val="00900566"/>
    <w:rsid w:val="00900E5F"/>
    <w:rsid w:val="00901064"/>
    <w:rsid w:val="00902095"/>
    <w:rsid w:val="00903866"/>
    <w:rsid w:val="00904631"/>
    <w:rsid w:val="00904A23"/>
    <w:rsid w:val="00904E6E"/>
    <w:rsid w:val="009121A5"/>
    <w:rsid w:val="00913B8D"/>
    <w:rsid w:val="0091454B"/>
    <w:rsid w:val="009152F6"/>
    <w:rsid w:val="00915887"/>
    <w:rsid w:val="00917D96"/>
    <w:rsid w:val="00920A1C"/>
    <w:rsid w:val="00920F3D"/>
    <w:rsid w:val="00922178"/>
    <w:rsid w:val="00922477"/>
    <w:rsid w:val="009224A4"/>
    <w:rsid w:val="00922922"/>
    <w:rsid w:val="00924E59"/>
    <w:rsid w:val="00925A7B"/>
    <w:rsid w:val="0092635F"/>
    <w:rsid w:val="009264F0"/>
    <w:rsid w:val="00926C73"/>
    <w:rsid w:val="00930884"/>
    <w:rsid w:val="009312FC"/>
    <w:rsid w:val="00931B46"/>
    <w:rsid w:val="00931DF7"/>
    <w:rsid w:val="00932D95"/>
    <w:rsid w:val="009334B0"/>
    <w:rsid w:val="00933E77"/>
    <w:rsid w:val="00934D44"/>
    <w:rsid w:val="00935C20"/>
    <w:rsid w:val="00937652"/>
    <w:rsid w:val="00941755"/>
    <w:rsid w:val="009428F2"/>
    <w:rsid w:val="0094355E"/>
    <w:rsid w:val="00945355"/>
    <w:rsid w:val="009457B7"/>
    <w:rsid w:val="00945E32"/>
    <w:rsid w:val="00945F2D"/>
    <w:rsid w:val="0094701F"/>
    <w:rsid w:val="00947D77"/>
    <w:rsid w:val="00950155"/>
    <w:rsid w:val="00951586"/>
    <w:rsid w:val="009522BF"/>
    <w:rsid w:val="009522ED"/>
    <w:rsid w:val="009530B7"/>
    <w:rsid w:val="009534EA"/>
    <w:rsid w:val="0095388E"/>
    <w:rsid w:val="009554C6"/>
    <w:rsid w:val="0095606D"/>
    <w:rsid w:val="009567F7"/>
    <w:rsid w:val="00956D70"/>
    <w:rsid w:val="009604E1"/>
    <w:rsid w:val="00960917"/>
    <w:rsid w:val="00960E15"/>
    <w:rsid w:val="0096184F"/>
    <w:rsid w:val="009618C5"/>
    <w:rsid w:val="00962B1C"/>
    <w:rsid w:val="00963030"/>
    <w:rsid w:val="00964C45"/>
    <w:rsid w:val="00965F0E"/>
    <w:rsid w:val="00966F99"/>
    <w:rsid w:val="00970971"/>
    <w:rsid w:val="00970A61"/>
    <w:rsid w:val="00970F83"/>
    <w:rsid w:val="0097157A"/>
    <w:rsid w:val="009716F0"/>
    <w:rsid w:val="009719DE"/>
    <w:rsid w:val="00971E08"/>
    <w:rsid w:val="00971F40"/>
    <w:rsid w:val="00974B8D"/>
    <w:rsid w:val="00974F2A"/>
    <w:rsid w:val="009757AD"/>
    <w:rsid w:val="0097592C"/>
    <w:rsid w:val="0097628D"/>
    <w:rsid w:val="009763A0"/>
    <w:rsid w:val="00976C01"/>
    <w:rsid w:val="009776E2"/>
    <w:rsid w:val="00980AE8"/>
    <w:rsid w:val="00983CDD"/>
    <w:rsid w:val="00984636"/>
    <w:rsid w:val="009846F9"/>
    <w:rsid w:val="0098501C"/>
    <w:rsid w:val="00985974"/>
    <w:rsid w:val="00987EF6"/>
    <w:rsid w:val="009909E5"/>
    <w:rsid w:val="00990AAF"/>
    <w:rsid w:val="009925F1"/>
    <w:rsid w:val="009942ED"/>
    <w:rsid w:val="00994DCE"/>
    <w:rsid w:val="0099558F"/>
    <w:rsid w:val="009977E2"/>
    <w:rsid w:val="00997A09"/>
    <w:rsid w:val="009A37E9"/>
    <w:rsid w:val="009A3FAE"/>
    <w:rsid w:val="009A4570"/>
    <w:rsid w:val="009A64A3"/>
    <w:rsid w:val="009A663E"/>
    <w:rsid w:val="009A7536"/>
    <w:rsid w:val="009B06E5"/>
    <w:rsid w:val="009B0C0E"/>
    <w:rsid w:val="009B0FE7"/>
    <w:rsid w:val="009B257E"/>
    <w:rsid w:val="009B31A6"/>
    <w:rsid w:val="009B4A71"/>
    <w:rsid w:val="009B505E"/>
    <w:rsid w:val="009B53C7"/>
    <w:rsid w:val="009B5B0B"/>
    <w:rsid w:val="009B5E66"/>
    <w:rsid w:val="009B63BA"/>
    <w:rsid w:val="009B6456"/>
    <w:rsid w:val="009B749B"/>
    <w:rsid w:val="009B7BE8"/>
    <w:rsid w:val="009C13A1"/>
    <w:rsid w:val="009C1547"/>
    <w:rsid w:val="009C1643"/>
    <w:rsid w:val="009C2CA6"/>
    <w:rsid w:val="009C4593"/>
    <w:rsid w:val="009C46CA"/>
    <w:rsid w:val="009C5A91"/>
    <w:rsid w:val="009C6F1D"/>
    <w:rsid w:val="009C77CD"/>
    <w:rsid w:val="009D184C"/>
    <w:rsid w:val="009D208B"/>
    <w:rsid w:val="009D298E"/>
    <w:rsid w:val="009D36CB"/>
    <w:rsid w:val="009D39F8"/>
    <w:rsid w:val="009D3C15"/>
    <w:rsid w:val="009E0D03"/>
    <w:rsid w:val="009E1815"/>
    <w:rsid w:val="009E1D94"/>
    <w:rsid w:val="009E1F26"/>
    <w:rsid w:val="009E211D"/>
    <w:rsid w:val="009E292F"/>
    <w:rsid w:val="009E5204"/>
    <w:rsid w:val="009E56D4"/>
    <w:rsid w:val="009E5C03"/>
    <w:rsid w:val="009E62B4"/>
    <w:rsid w:val="009E763C"/>
    <w:rsid w:val="009F0212"/>
    <w:rsid w:val="009F0794"/>
    <w:rsid w:val="009F1162"/>
    <w:rsid w:val="009F12CD"/>
    <w:rsid w:val="009F14B1"/>
    <w:rsid w:val="009F1AB6"/>
    <w:rsid w:val="009F22E3"/>
    <w:rsid w:val="009F249A"/>
    <w:rsid w:val="009F451A"/>
    <w:rsid w:val="009F5557"/>
    <w:rsid w:val="009F6176"/>
    <w:rsid w:val="009F66CF"/>
    <w:rsid w:val="009F6C28"/>
    <w:rsid w:val="009F7289"/>
    <w:rsid w:val="009F7FAB"/>
    <w:rsid w:val="00A007B3"/>
    <w:rsid w:val="00A01813"/>
    <w:rsid w:val="00A02452"/>
    <w:rsid w:val="00A0271C"/>
    <w:rsid w:val="00A03DEB"/>
    <w:rsid w:val="00A0494A"/>
    <w:rsid w:val="00A05D8C"/>
    <w:rsid w:val="00A07309"/>
    <w:rsid w:val="00A1091C"/>
    <w:rsid w:val="00A10D74"/>
    <w:rsid w:val="00A11031"/>
    <w:rsid w:val="00A121FC"/>
    <w:rsid w:val="00A125C9"/>
    <w:rsid w:val="00A14EE0"/>
    <w:rsid w:val="00A14F5D"/>
    <w:rsid w:val="00A166AC"/>
    <w:rsid w:val="00A16DCE"/>
    <w:rsid w:val="00A17A10"/>
    <w:rsid w:val="00A20611"/>
    <w:rsid w:val="00A217DF"/>
    <w:rsid w:val="00A21B07"/>
    <w:rsid w:val="00A2278F"/>
    <w:rsid w:val="00A22C81"/>
    <w:rsid w:val="00A24795"/>
    <w:rsid w:val="00A249D1"/>
    <w:rsid w:val="00A24B10"/>
    <w:rsid w:val="00A255C5"/>
    <w:rsid w:val="00A263AD"/>
    <w:rsid w:val="00A26CE4"/>
    <w:rsid w:val="00A30837"/>
    <w:rsid w:val="00A30F33"/>
    <w:rsid w:val="00A3165D"/>
    <w:rsid w:val="00A334F3"/>
    <w:rsid w:val="00A34265"/>
    <w:rsid w:val="00A3429C"/>
    <w:rsid w:val="00A344A0"/>
    <w:rsid w:val="00A34642"/>
    <w:rsid w:val="00A34DF7"/>
    <w:rsid w:val="00A34E80"/>
    <w:rsid w:val="00A35775"/>
    <w:rsid w:val="00A35B44"/>
    <w:rsid w:val="00A3727B"/>
    <w:rsid w:val="00A41312"/>
    <w:rsid w:val="00A41857"/>
    <w:rsid w:val="00A421DC"/>
    <w:rsid w:val="00A42428"/>
    <w:rsid w:val="00A42753"/>
    <w:rsid w:val="00A43844"/>
    <w:rsid w:val="00A44377"/>
    <w:rsid w:val="00A44CA1"/>
    <w:rsid w:val="00A44E2D"/>
    <w:rsid w:val="00A45213"/>
    <w:rsid w:val="00A46A83"/>
    <w:rsid w:val="00A46CB0"/>
    <w:rsid w:val="00A47AC3"/>
    <w:rsid w:val="00A47C26"/>
    <w:rsid w:val="00A50294"/>
    <w:rsid w:val="00A518DC"/>
    <w:rsid w:val="00A521B4"/>
    <w:rsid w:val="00A53EBF"/>
    <w:rsid w:val="00A54ACF"/>
    <w:rsid w:val="00A55FA8"/>
    <w:rsid w:val="00A57134"/>
    <w:rsid w:val="00A57F35"/>
    <w:rsid w:val="00A60838"/>
    <w:rsid w:val="00A60D74"/>
    <w:rsid w:val="00A611F8"/>
    <w:rsid w:val="00A612BA"/>
    <w:rsid w:val="00A6140A"/>
    <w:rsid w:val="00A628D7"/>
    <w:rsid w:val="00A64381"/>
    <w:rsid w:val="00A64500"/>
    <w:rsid w:val="00A645B0"/>
    <w:rsid w:val="00A645E1"/>
    <w:rsid w:val="00A6468C"/>
    <w:rsid w:val="00A64A6A"/>
    <w:rsid w:val="00A64F2E"/>
    <w:rsid w:val="00A654AB"/>
    <w:rsid w:val="00A6562C"/>
    <w:rsid w:val="00A6575B"/>
    <w:rsid w:val="00A65B35"/>
    <w:rsid w:val="00A664E8"/>
    <w:rsid w:val="00A66DC9"/>
    <w:rsid w:val="00A67DC1"/>
    <w:rsid w:val="00A7188D"/>
    <w:rsid w:val="00A72BE5"/>
    <w:rsid w:val="00A731E1"/>
    <w:rsid w:val="00A73C8F"/>
    <w:rsid w:val="00A73CDF"/>
    <w:rsid w:val="00A73DC6"/>
    <w:rsid w:val="00A740A7"/>
    <w:rsid w:val="00A74C79"/>
    <w:rsid w:val="00A751C8"/>
    <w:rsid w:val="00A755A5"/>
    <w:rsid w:val="00A75A44"/>
    <w:rsid w:val="00A76303"/>
    <w:rsid w:val="00A76655"/>
    <w:rsid w:val="00A76BB8"/>
    <w:rsid w:val="00A80980"/>
    <w:rsid w:val="00A8147E"/>
    <w:rsid w:val="00A82FAF"/>
    <w:rsid w:val="00A85F94"/>
    <w:rsid w:val="00A86019"/>
    <w:rsid w:val="00A86061"/>
    <w:rsid w:val="00A90A8F"/>
    <w:rsid w:val="00A91304"/>
    <w:rsid w:val="00A91AD3"/>
    <w:rsid w:val="00A91E49"/>
    <w:rsid w:val="00A92241"/>
    <w:rsid w:val="00A92A29"/>
    <w:rsid w:val="00A94D2C"/>
    <w:rsid w:val="00A951A1"/>
    <w:rsid w:val="00A958FA"/>
    <w:rsid w:val="00A968E4"/>
    <w:rsid w:val="00A96CE8"/>
    <w:rsid w:val="00AA0707"/>
    <w:rsid w:val="00AA084E"/>
    <w:rsid w:val="00AA13C6"/>
    <w:rsid w:val="00AA1728"/>
    <w:rsid w:val="00AA1B54"/>
    <w:rsid w:val="00AA2500"/>
    <w:rsid w:val="00AA357B"/>
    <w:rsid w:val="00AA3EDD"/>
    <w:rsid w:val="00AA470C"/>
    <w:rsid w:val="00AA6094"/>
    <w:rsid w:val="00AA637B"/>
    <w:rsid w:val="00AA6FC0"/>
    <w:rsid w:val="00AB0A4B"/>
    <w:rsid w:val="00AB15E1"/>
    <w:rsid w:val="00AB1B22"/>
    <w:rsid w:val="00AB205F"/>
    <w:rsid w:val="00AB3131"/>
    <w:rsid w:val="00AB42F3"/>
    <w:rsid w:val="00AB461F"/>
    <w:rsid w:val="00AB4882"/>
    <w:rsid w:val="00AB4B37"/>
    <w:rsid w:val="00AB5470"/>
    <w:rsid w:val="00AB58BC"/>
    <w:rsid w:val="00AC1355"/>
    <w:rsid w:val="00AC1CD3"/>
    <w:rsid w:val="00AC26A4"/>
    <w:rsid w:val="00AC299B"/>
    <w:rsid w:val="00AC2A22"/>
    <w:rsid w:val="00AC3A9E"/>
    <w:rsid w:val="00AC6110"/>
    <w:rsid w:val="00AC65E9"/>
    <w:rsid w:val="00AC6750"/>
    <w:rsid w:val="00AC695C"/>
    <w:rsid w:val="00AC7CB4"/>
    <w:rsid w:val="00AD0196"/>
    <w:rsid w:val="00AD084A"/>
    <w:rsid w:val="00AD1153"/>
    <w:rsid w:val="00AD48DA"/>
    <w:rsid w:val="00AD4D19"/>
    <w:rsid w:val="00AD540B"/>
    <w:rsid w:val="00AD5E0D"/>
    <w:rsid w:val="00AD7508"/>
    <w:rsid w:val="00AE1AAA"/>
    <w:rsid w:val="00AE216E"/>
    <w:rsid w:val="00AE388D"/>
    <w:rsid w:val="00AE3EC6"/>
    <w:rsid w:val="00AE4FEE"/>
    <w:rsid w:val="00AE69A0"/>
    <w:rsid w:val="00AF06F4"/>
    <w:rsid w:val="00AF164C"/>
    <w:rsid w:val="00AF1CB9"/>
    <w:rsid w:val="00AF2305"/>
    <w:rsid w:val="00AF238E"/>
    <w:rsid w:val="00AF2886"/>
    <w:rsid w:val="00AF28EC"/>
    <w:rsid w:val="00AF2915"/>
    <w:rsid w:val="00AF3690"/>
    <w:rsid w:val="00AF3701"/>
    <w:rsid w:val="00AF4A7C"/>
    <w:rsid w:val="00AF60C8"/>
    <w:rsid w:val="00B00468"/>
    <w:rsid w:val="00B0146E"/>
    <w:rsid w:val="00B01A34"/>
    <w:rsid w:val="00B027E1"/>
    <w:rsid w:val="00B02F83"/>
    <w:rsid w:val="00B04390"/>
    <w:rsid w:val="00B04BC8"/>
    <w:rsid w:val="00B06920"/>
    <w:rsid w:val="00B07292"/>
    <w:rsid w:val="00B078D3"/>
    <w:rsid w:val="00B07D1C"/>
    <w:rsid w:val="00B10089"/>
    <w:rsid w:val="00B1099C"/>
    <w:rsid w:val="00B11237"/>
    <w:rsid w:val="00B11F90"/>
    <w:rsid w:val="00B12052"/>
    <w:rsid w:val="00B124B3"/>
    <w:rsid w:val="00B155ED"/>
    <w:rsid w:val="00B16106"/>
    <w:rsid w:val="00B16720"/>
    <w:rsid w:val="00B17574"/>
    <w:rsid w:val="00B17F82"/>
    <w:rsid w:val="00B20094"/>
    <w:rsid w:val="00B215B2"/>
    <w:rsid w:val="00B21E58"/>
    <w:rsid w:val="00B22BB2"/>
    <w:rsid w:val="00B238D8"/>
    <w:rsid w:val="00B24684"/>
    <w:rsid w:val="00B2482E"/>
    <w:rsid w:val="00B257C5"/>
    <w:rsid w:val="00B25A54"/>
    <w:rsid w:val="00B25C29"/>
    <w:rsid w:val="00B27096"/>
    <w:rsid w:val="00B30791"/>
    <w:rsid w:val="00B312F5"/>
    <w:rsid w:val="00B31AA6"/>
    <w:rsid w:val="00B32642"/>
    <w:rsid w:val="00B32BEA"/>
    <w:rsid w:val="00B330B4"/>
    <w:rsid w:val="00B34AAC"/>
    <w:rsid w:val="00B34B17"/>
    <w:rsid w:val="00B34E6C"/>
    <w:rsid w:val="00B35DD8"/>
    <w:rsid w:val="00B3611E"/>
    <w:rsid w:val="00B368D0"/>
    <w:rsid w:val="00B3717C"/>
    <w:rsid w:val="00B379BE"/>
    <w:rsid w:val="00B37D80"/>
    <w:rsid w:val="00B42A9C"/>
    <w:rsid w:val="00B435C3"/>
    <w:rsid w:val="00B43915"/>
    <w:rsid w:val="00B4419A"/>
    <w:rsid w:val="00B509E3"/>
    <w:rsid w:val="00B50EA0"/>
    <w:rsid w:val="00B51F81"/>
    <w:rsid w:val="00B54682"/>
    <w:rsid w:val="00B5499F"/>
    <w:rsid w:val="00B54E03"/>
    <w:rsid w:val="00B56405"/>
    <w:rsid w:val="00B566F6"/>
    <w:rsid w:val="00B60517"/>
    <w:rsid w:val="00B63576"/>
    <w:rsid w:val="00B63B62"/>
    <w:rsid w:val="00B64631"/>
    <w:rsid w:val="00B6566F"/>
    <w:rsid w:val="00B65B9E"/>
    <w:rsid w:val="00B668BF"/>
    <w:rsid w:val="00B675AD"/>
    <w:rsid w:val="00B706FE"/>
    <w:rsid w:val="00B70C28"/>
    <w:rsid w:val="00B71C7A"/>
    <w:rsid w:val="00B7218D"/>
    <w:rsid w:val="00B72623"/>
    <w:rsid w:val="00B731A2"/>
    <w:rsid w:val="00B73D82"/>
    <w:rsid w:val="00B74216"/>
    <w:rsid w:val="00B745A4"/>
    <w:rsid w:val="00B76C61"/>
    <w:rsid w:val="00B77AE5"/>
    <w:rsid w:val="00B80DA8"/>
    <w:rsid w:val="00B81223"/>
    <w:rsid w:val="00B81562"/>
    <w:rsid w:val="00B82388"/>
    <w:rsid w:val="00B82951"/>
    <w:rsid w:val="00B82EFE"/>
    <w:rsid w:val="00B847F3"/>
    <w:rsid w:val="00B8498B"/>
    <w:rsid w:val="00B86838"/>
    <w:rsid w:val="00B868B0"/>
    <w:rsid w:val="00B86AA4"/>
    <w:rsid w:val="00B877E7"/>
    <w:rsid w:val="00B91123"/>
    <w:rsid w:val="00B914DE"/>
    <w:rsid w:val="00B92D54"/>
    <w:rsid w:val="00B93FAC"/>
    <w:rsid w:val="00B948D5"/>
    <w:rsid w:val="00B97AAE"/>
    <w:rsid w:val="00BA0107"/>
    <w:rsid w:val="00BA0A74"/>
    <w:rsid w:val="00BA0F4E"/>
    <w:rsid w:val="00BA1280"/>
    <w:rsid w:val="00BA1552"/>
    <w:rsid w:val="00BA19CC"/>
    <w:rsid w:val="00BA281A"/>
    <w:rsid w:val="00BA294B"/>
    <w:rsid w:val="00BA31FE"/>
    <w:rsid w:val="00BA4BEB"/>
    <w:rsid w:val="00BA58AD"/>
    <w:rsid w:val="00BA596F"/>
    <w:rsid w:val="00BA5986"/>
    <w:rsid w:val="00BA5CE4"/>
    <w:rsid w:val="00BA6418"/>
    <w:rsid w:val="00BA659D"/>
    <w:rsid w:val="00BA73B5"/>
    <w:rsid w:val="00BA76CA"/>
    <w:rsid w:val="00BB08C6"/>
    <w:rsid w:val="00BB0CFF"/>
    <w:rsid w:val="00BB120B"/>
    <w:rsid w:val="00BB1CD0"/>
    <w:rsid w:val="00BB2B10"/>
    <w:rsid w:val="00BB308A"/>
    <w:rsid w:val="00BB3291"/>
    <w:rsid w:val="00BB39F3"/>
    <w:rsid w:val="00BB4773"/>
    <w:rsid w:val="00BB4A1D"/>
    <w:rsid w:val="00BB5CB1"/>
    <w:rsid w:val="00BB5DDB"/>
    <w:rsid w:val="00BB6C30"/>
    <w:rsid w:val="00BB7EF9"/>
    <w:rsid w:val="00BC0027"/>
    <w:rsid w:val="00BC37B3"/>
    <w:rsid w:val="00BC3A07"/>
    <w:rsid w:val="00BC3A6C"/>
    <w:rsid w:val="00BC418B"/>
    <w:rsid w:val="00BC4FED"/>
    <w:rsid w:val="00BC55C4"/>
    <w:rsid w:val="00BC5654"/>
    <w:rsid w:val="00BC6A79"/>
    <w:rsid w:val="00BC7134"/>
    <w:rsid w:val="00BC7F2E"/>
    <w:rsid w:val="00BD0CDC"/>
    <w:rsid w:val="00BD0D50"/>
    <w:rsid w:val="00BD2858"/>
    <w:rsid w:val="00BD366B"/>
    <w:rsid w:val="00BD472F"/>
    <w:rsid w:val="00BD68B3"/>
    <w:rsid w:val="00BE08B7"/>
    <w:rsid w:val="00BE09AE"/>
    <w:rsid w:val="00BE1E4E"/>
    <w:rsid w:val="00BE1E93"/>
    <w:rsid w:val="00BE251E"/>
    <w:rsid w:val="00BE3DBF"/>
    <w:rsid w:val="00BE4611"/>
    <w:rsid w:val="00BE48F1"/>
    <w:rsid w:val="00BE7128"/>
    <w:rsid w:val="00BE7192"/>
    <w:rsid w:val="00BE7AAF"/>
    <w:rsid w:val="00BF05CA"/>
    <w:rsid w:val="00BF06F7"/>
    <w:rsid w:val="00BF1C99"/>
    <w:rsid w:val="00BF2225"/>
    <w:rsid w:val="00BF2D1F"/>
    <w:rsid w:val="00BF37CF"/>
    <w:rsid w:val="00BF63B7"/>
    <w:rsid w:val="00C00993"/>
    <w:rsid w:val="00C012F4"/>
    <w:rsid w:val="00C01755"/>
    <w:rsid w:val="00C02464"/>
    <w:rsid w:val="00C02CEC"/>
    <w:rsid w:val="00C037F6"/>
    <w:rsid w:val="00C05ED2"/>
    <w:rsid w:val="00C06BA7"/>
    <w:rsid w:val="00C070CC"/>
    <w:rsid w:val="00C10593"/>
    <w:rsid w:val="00C20C16"/>
    <w:rsid w:val="00C20CC1"/>
    <w:rsid w:val="00C215C5"/>
    <w:rsid w:val="00C219C7"/>
    <w:rsid w:val="00C21F9B"/>
    <w:rsid w:val="00C2214B"/>
    <w:rsid w:val="00C22733"/>
    <w:rsid w:val="00C23A6D"/>
    <w:rsid w:val="00C2423E"/>
    <w:rsid w:val="00C24DDF"/>
    <w:rsid w:val="00C26679"/>
    <w:rsid w:val="00C2771F"/>
    <w:rsid w:val="00C27931"/>
    <w:rsid w:val="00C31FAE"/>
    <w:rsid w:val="00C32138"/>
    <w:rsid w:val="00C334D5"/>
    <w:rsid w:val="00C37670"/>
    <w:rsid w:val="00C37D4A"/>
    <w:rsid w:val="00C37F76"/>
    <w:rsid w:val="00C40029"/>
    <w:rsid w:val="00C4069A"/>
    <w:rsid w:val="00C40B50"/>
    <w:rsid w:val="00C40E79"/>
    <w:rsid w:val="00C41EA0"/>
    <w:rsid w:val="00C424AE"/>
    <w:rsid w:val="00C42615"/>
    <w:rsid w:val="00C42888"/>
    <w:rsid w:val="00C429C2"/>
    <w:rsid w:val="00C43176"/>
    <w:rsid w:val="00C4341B"/>
    <w:rsid w:val="00C4456E"/>
    <w:rsid w:val="00C44A6C"/>
    <w:rsid w:val="00C45472"/>
    <w:rsid w:val="00C45BF4"/>
    <w:rsid w:val="00C45E6F"/>
    <w:rsid w:val="00C50648"/>
    <w:rsid w:val="00C5070B"/>
    <w:rsid w:val="00C507A0"/>
    <w:rsid w:val="00C513E0"/>
    <w:rsid w:val="00C5262D"/>
    <w:rsid w:val="00C53DCF"/>
    <w:rsid w:val="00C54ECB"/>
    <w:rsid w:val="00C56418"/>
    <w:rsid w:val="00C564A0"/>
    <w:rsid w:val="00C5672F"/>
    <w:rsid w:val="00C569E8"/>
    <w:rsid w:val="00C56E05"/>
    <w:rsid w:val="00C5736D"/>
    <w:rsid w:val="00C57527"/>
    <w:rsid w:val="00C603DF"/>
    <w:rsid w:val="00C60CB6"/>
    <w:rsid w:val="00C61E41"/>
    <w:rsid w:val="00C62346"/>
    <w:rsid w:val="00C63D30"/>
    <w:rsid w:val="00C63F58"/>
    <w:rsid w:val="00C64106"/>
    <w:rsid w:val="00C642ED"/>
    <w:rsid w:val="00C66586"/>
    <w:rsid w:val="00C67AAE"/>
    <w:rsid w:val="00C706E9"/>
    <w:rsid w:val="00C7132E"/>
    <w:rsid w:val="00C71ADF"/>
    <w:rsid w:val="00C72C66"/>
    <w:rsid w:val="00C73461"/>
    <w:rsid w:val="00C73D0C"/>
    <w:rsid w:val="00C74042"/>
    <w:rsid w:val="00C7459F"/>
    <w:rsid w:val="00C74BE3"/>
    <w:rsid w:val="00C7676E"/>
    <w:rsid w:val="00C76921"/>
    <w:rsid w:val="00C7721E"/>
    <w:rsid w:val="00C77626"/>
    <w:rsid w:val="00C77BD4"/>
    <w:rsid w:val="00C81162"/>
    <w:rsid w:val="00C813D2"/>
    <w:rsid w:val="00C827D1"/>
    <w:rsid w:val="00C831B0"/>
    <w:rsid w:val="00C83E14"/>
    <w:rsid w:val="00C844DA"/>
    <w:rsid w:val="00C85028"/>
    <w:rsid w:val="00C85441"/>
    <w:rsid w:val="00C865D3"/>
    <w:rsid w:val="00C87028"/>
    <w:rsid w:val="00C87E41"/>
    <w:rsid w:val="00C90A35"/>
    <w:rsid w:val="00C91209"/>
    <w:rsid w:val="00C92D48"/>
    <w:rsid w:val="00C92D81"/>
    <w:rsid w:val="00C93E18"/>
    <w:rsid w:val="00C94509"/>
    <w:rsid w:val="00C9586B"/>
    <w:rsid w:val="00C96737"/>
    <w:rsid w:val="00C97688"/>
    <w:rsid w:val="00CA1B75"/>
    <w:rsid w:val="00CA22F7"/>
    <w:rsid w:val="00CA294A"/>
    <w:rsid w:val="00CA3977"/>
    <w:rsid w:val="00CA47CF"/>
    <w:rsid w:val="00CA5E3C"/>
    <w:rsid w:val="00CA5EBC"/>
    <w:rsid w:val="00CA6D82"/>
    <w:rsid w:val="00CA739C"/>
    <w:rsid w:val="00CA79ED"/>
    <w:rsid w:val="00CA7ABC"/>
    <w:rsid w:val="00CB1200"/>
    <w:rsid w:val="00CB1AD7"/>
    <w:rsid w:val="00CB1C4B"/>
    <w:rsid w:val="00CB1E11"/>
    <w:rsid w:val="00CB30C4"/>
    <w:rsid w:val="00CB3982"/>
    <w:rsid w:val="00CB5309"/>
    <w:rsid w:val="00CB58FA"/>
    <w:rsid w:val="00CB5EFA"/>
    <w:rsid w:val="00CB6A7D"/>
    <w:rsid w:val="00CB6A8C"/>
    <w:rsid w:val="00CC06D5"/>
    <w:rsid w:val="00CC30F8"/>
    <w:rsid w:val="00CC33FC"/>
    <w:rsid w:val="00CC35A9"/>
    <w:rsid w:val="00CC3CD1"/>
    <w:rsid w:val="00CC430D"/>
    <w:rsid w:val="00CC4B61"/>
    <w:rsid w:val="00CC616F"/>
    <w:rsid w:val="00CD2F7F"/>
    <w:rsid w:val="00CD3E7C"/>
    <w:rsid w:val="00CD4502"/>
    <w:rsid w:val="00CD4C58"/>
    <w:rsid w:val="00CD54EC"/>
    <w:rsid w:val="00CD55A2"/>
    <w:rsid w:val="00CD569C"/>
    <w:rsid w:val="00CD7253"/>
    <w:rsid w:val="00CE0AB6"/>
    <w:rsid w:val="00CE1081"/>
    <w:rsid w:val="00CE25DE"/>
    <w:rsid w:val="00CE288B"/>
    <w:rsid w:val="00CE3669"/>
    <w:rsid w:val="00CE4361"/>
    <w:rsid w:val="00CE4709"/>
    <w:rsid w:val="00CE5B51"/>
    <w:rsid w:val="00CE5BF1"/>
    <w:rsid w:val="00CE5D15"/>
    <w:rsid w:val="00CE6F15"/>
    <w:rsid w:val="00CE713C"/>
    <w:rsid w:val="00CE71B1"/>
    <w:rsid w:val="00CF08A7"/>
    <w:rsid w:val="00CF0ABF"/>
    <w:rsid w:val="00CF0EB3"/>
    <w:rsid w:val="00CF0F3B"/>
    <w:rsid w:val="00CF14FA"/>
    <w:rsid w:val="00CF1B10"/>
    <w:rsid w:val="00CF23D0"/>
    <w:rsid w:val="00CF37FD"/>
    <w:rsid w:val="00CF3999"/>
    <w:rsid w:val="00CF3B93"/>
    <w:rsid w:val="00CF4004"/>
    <w:rsid w:val="00CF4F61"/>
    <w:rsid w:val="00CF5972"/>
    <w:rsid w:val="00CF690D"/>
    <w:rsid w:val="00CF6EDE"/>
    <w:rsid w:val="00CF744E"/>
    <w:rsid w:val="00CF75DE"/>
    <w:rsid w:val="00CF76C3"/>
    <w:rsid w:val="00CF7FA8"/>
    <w:rsid w:val="00D00E71"/>
    <w:rsid w:val="00D00FB7"/>
    <w:rsid w:val="00D018C6"/>
    <w:rsid w:val="00D0360D"/>
    <w:rsid w:val="00D05B84"/>
    <w:rsid w:val="00D0731F"/>
    <w:rsid w:val="00D07F04"/>
    <w:rsid w:val="00D111AB"/>
    <w:rsid w:val="00D12885"/>
    <w:rsid w:val="00D1292C"/>
    <w:rsid w:val="00D13936"/>
    <w:rsid w:val="00D13A89"/>
    <w:rsid w:val="00D13B35"/>
    <w:rsid w:val="00D1408E"/>
    <w:rsid w:val="00D14B0D"/>
    <w:rsid w:val="00D15984"/>
    <w:rsid w:val="00D16FF7"/>
    <w:rsid w:val="00D2164D"/>
    <w:rsid w:val="00D2284D"/>
    <w:rsid w:val="00D230A8"/>
    <w:rsid w:val="00D23545"/>
    <w:rsid w:val="00D246F0"/>
    <w:rsid w:val="00D269E5"/>
    <w:rsid w:val="00D27500"/>
    <w:rsid w:val="00D30741"/>
    <w:rsid w:val="00D31950"/>
    <w:rsid w:val="00D327B5"/>
    <w:rsid w:val="00D337F7"/>
    <w:rsid w:val="00D3380B"/>
    <w:rsid w:val="00D34248"/>
    <w:rsid w:val="00D34FC2"/>
    <w:rsid w:val="00D36323"/>
    <w:rsid w:val="00D36B25"/>
    <w:rsid w:val="00D3758B"/>
    <w:rsid w:val="00D427F6"/>
    <w:rsid w:val="00D43BA5"/>
    <w:rsid w:val="00D44203"/>
    <w:rsid w:val="00D45165"/>
    <w:rsid w:val="00D4554C"/>
    <w:rsid w:val="00D45A69"/>
    <w:rsid w:val="00D45BC4"/>
    <w:rsid w:val="00D46B4D"/>
    <w:rsid w:val="00D46CD2"/>
    <w:rsid w:val="00D50F91"/>
    <w:rsid w:val="00D52462"/>
    <w:rsid w:val="00D52C74"/>
    <w:rsid w:val="00D52D73"/>
    <w:rsid w:val="00D5344F"/>
    <w:rsid w:val="00D57A36"/>
    <w:rsid w:val="00D57D04"/>
    <w:rsid w:val="00D60804"/>
    <w:rsid w:val="00D618EE"/>
    <w:rsid w:val="00D62594"/>
    <w:rsid w:val="00D62834"/>
    <w:rsid w:val="00D639FA"/>
    <w:rsid w:val="00D64997"/>
    <w:rsid w:val="00D64DF6"/>
    <w:rsid w:val="00D64F8C"/>
    <w:rsid w:val="00D65124"/>
    <w:rsid w:val="00D65E0F"/>
    <w:rsid w:val="00D67466"/>
    <w:rsid w:val="00D70BD4"/>
    <w:rsid w:val="00D71E37"/>
    <w:rsid w:val="00D728F1"/>
    <w:rsid w:val="00D729E1"/>
    <w:rsid w:val="00D73340"/>
    <w:rsid w:val="00D740EC"/>
    <w:rsid w:val="00D76EAA"/>
    <w:rsid w:val="00D778E9"/>
    <w:rsid w:val="00D80399"/>
    <w:rsid w:val="00D812C2"/>
    <w:rsid w:val="00D815D5"/>
    <w:rsid w:val="00D825BC"/>
    <w:rsid w:val="00D82A10"/>
    <w:rsid w:val="00D86611"/>
    <w:rsid w:val="00D86EB3"/>
    <w:rsid w:val="00D87BC1"/>
    <w:rsid w:val="00D90222"/>
    <w:rsid w:val="00D908A3"/>
    <w:rsid w:val="00D910E9"/>
    <w:rsid w:val="00D914FA"/>
    <w:rsid w:val="00D91761"/>
    <w:rsid w:val="00D927F9"/>
    <w:rsid w:val="00D92A62"/>
    <w:rsid w:val="00D92CE7"/>
    <w:rsid w:val="00D93D2B"/>
    <w:rsid w:val="00D94FC3"/>
    <w:rsid w:val="00D951C3"/>
    <w:rsid w:val="00D95FC7"/>
    <w:rsid w:val="00D9656C"/>
    <w:rsid w:val="00D96F2B"/>
    <w:rsid w:val="00D9703A"/>
    <w:rsid w:val="00D97A35"/>
    <w:rsid w:val="00DA3DBF"/>
    <w:rsid w:val="00DA4A1B"/>
    <w:rsid w:val="00DA4F07"/>
    <w:rsid w:val="00DA5122"/>
    <w:rsid w:val="00DA5442"/>
    <w:rsid w:val="00DA555D"/>
    <w:rsid w:val="00DB1214"/>
    <w:rsid w:val="00DB1A51"/>
    <w:rsid w:val="00DB1C49"/>
    <w:rsid w:val="00DB1C7F"/>
    <w:rsid w:val="00DB39C5"/>
    <w:rsid w:val="00DB4783"/>
    <w:rsid w:val="00DB5234"/>
    <w:rsid w:val="00DB6C00"/>
    <w:rsid w:val="00DB712A"/>
    <w:rsid w:val="00DC01D6"/>
    <w:rsid w:val="00DC02A6"/>
    <w:rsid w:val="00DC1183"/>
    <w:rsid w:val="00DC144B"/>
    <w:rsid w:val="00DC1598"/>
    <w:rsid w:val="00DC207F"/>
    <w:rsid w:val="00DC2AE5"/>
    <w:rsid w:val="00DC2E4E"/>
    <w:rsid w:val="00DC31B2"/>
    <w:rsid w:val="00DC3DCB"/>
    <w:rsid w:val="00DC56A1"/>
    <w:rsid w:val="00DC6009"/>
    <w:rsid w:val="00DC7A46"/>
    <w:rsid w:val="00DD0B91"/>
    <w:rsid w:val="00DD23AC"/>
    <w:rsid w:val="00DD2912"/>
    <w:rsid w:val="00DD374B"/>
    <w:rsid w:val="00DD499C"/>
    <w:rsid w:val="00DD4ABA"/>
    <w:rsid w:val="00DD4D73"/>
    <w:rsid w:val="00DD5230"/>
    <w:rsid w:val="00DD6AB8"/>
    <w:rsid w:val="00DD6BD2"/>
    <w:rsid w:val="00DE006E"/>
    <w:rsid w:val="00DE3252"/>
    <w:rsid w:val="00DE6011"/>
    <w:rsid w:val="00DE6256"/>
    <w:rsid w:val="00DE676F"/>
    <w:rsid w:val="00DE6B01"/>
    <w:rsid w:val="00DF2186"/>
    <w:rsid w:val="00DF21AF"/>
    <w:rsid w:val="00DF22E9"/>
    <w:rsid w:val="00DF240A"/>
    <w:rsid w:val="00DF27DB"/>
    <w:rsid w:val="00DF33E8"/>
    <w:rsid w:val="00DF4831"/>
    <w:rsid w:val="00DF695C"/>
    <w:rsid w:val="00DF6D71"/>
    <w:rsid w:val="00DF77AC"/>
    <w:rsid w:val="00E00781"/>
    <w:rsid w:val="00E01346"/>
    <w:rsid w:val="00E0144C"/>
    <w:rsid w:val="00E03779"/>
    <w:rsid w:val="00E0514D"/>
    <w:rsid w:val="00E070A5"/>
    <w:rsid w:val="00E07CD5"/>
    <w:rsid w:val="00E10B17"/>
    <w:rsid w:val="00E10E34"/>
    <w:rsid w:val="00E11C8F"/>
    <w:rsid w:val="00E120E0"/>
    <w:rsid w:val="00E13797"/>
    <w:rsid w:val="00E13AF3"/>
    <w:rsid w:val="00E13D52"/>
    <w:rsid w:val="00E14A0C"/>
    <w:rsid w:val="00E15B3A"/>
    <w:rsid w:val="00E206B2"/>
    <w:rsid w:val="00E25929"/>
    <w:rsid w:val="00E27D48"/>
    <w:rsid w:val="00E30541"/>
    <w:rsid w:val="00E30FA7"/>
    <w:rsid w:val="00E31906"/>
    <w:rsid w:val="00E34017"/>
    <w:rsid w:val="00E3421E"/>
    <w:rsid w:val="00E34820"/>
    <w:rsid w:val="00E34ACD"/>
    <w:rsid w:val="00E34B7E"/>
    <w:rsid w:val="00E372E2"/>
    <w:rsid w:val="00E379A9"/>
    <w:rsid w:val="00E42D68"/>
    <w:rsid w:val="00E441CF"/>
    <w:rsid w:val="00E44869"/>
    <w:rsid w:val="00E448A8"/>
    <w:rsid w:val="00E44E40"/>
    <w:rsid w:val="00E51F2B"/>
    <w:rsid w:val="00E520D2"/>
    <w:rsid w:val="00E54073"/>
    <w:rsid w:val="00E5482B"/>
    <w:rsid w:val="00E54B20"/>
    <w:rsid w:val="00E55318"/>
    <w:rsid w:val="00E56EEC"/>
    <w:rsid w:val="00E5733D"/>
    <w:rsid w:val="00E57F20"/>
    <w:rsid w:val="00E60BED"/>
    <w:rsid w:val="00E60C02"/>
    <w:rsid w:val="00E6197C"/>
    <w:rsid w:val="00E61F79"/>
    <w:rsid w:val="00E63C7B"/>
    <w:rsid w:val="00E641A2"/>
    <w:rsid w:val="00E64DE5"/>
    <w:rsid w:val="00E658D9"/>
    <w:rsid w:val="00E65FA3"/>
    <w:rsid w:val="00E66376"/>
    <w:rsid w:val="00E6721C"/>
    <w:rsid w:val="00E67723"/>
    <w:rsid w:val="00E7015F"/>
    <w:rsid w:val="00E70407"/>
    <w:rsid w:val="00E70F2B"/>
    <w:rsid w:val="00E71254"/>
    <w:rsid w:val="00E72337"/>
    <w:rsid w:val="00E737F8"/>
    <w:rsid w:val="00E73A38"/>
    <w:rsid w:val="00E761C2"/>
    <w:rsid w:val="00E76294"/>
    <w:rsid w:val="00E7684C"/>
    <w:rsid w:val="00E774C0"/>
    <w:rsid w:val="00E77C55"/>
    <w:rsid w:val="00E80338"/>
    <w:rsid w:val="00E80EFE"/>
    <w:rsid w:val="00E811A0"/>
    <w:rsid w:val="00E81742"/>
    <w:rsid w:val="00E81E5E"/>
    <w:rsid w:val="00E8262B"/>
    <w:rsid w:val="00E86EC5"/>
    <w:rsid w:val="00E86F95"/>
    <w:rsid w:val="00E9333B"/>
    <w:rsid w:val="00E94EEA"/>
    <w:rsid w:val="00E955A0"/>
    <w:rsid w:val="00E95ABE"/>
    <w:rsid w:val="00E971B2"/>
    <w:rsid w:val="00E97279"/>
    <w:rsid w:val="00EA0C11"/>
    <w:rsid w:val="00EA16FE"/>
    <w:rsid w:val="00EA2009"/>
    <w:rsid w:val="00EA239B"/>
    <w:rsid w:val="00EA2410"/>
    <w:rsid w:val="00EA28BE"/>
    <w:rsid w:val="00EA3186"/>
    <w:rsid w:val="00EA35F3"/>
    <w:rsid w:val="00EA470E"/>
    <w:rsid w:val="00EA4FE5"/>
    <w:rsid w:val="00EA5103"/>
    <w:rsid w:val="00EA7110"/>
    <w:rsid w:val="00EA7C96"/>
    <w:rsid w:val="00EB0A73"/>
    <w:rsid w:val="00EB1782"/>
    <w:rsid w:val="00EB2B44"/>
    <w:rsid w:val="00EB3EA5"/>
    <w:rsid w:val="00EB5E61"/>
    <w:rsid w:val="00EB6824"/>
    <w:rsid w:val="00EB7C5A"/>
    <w:rsid w:val="00EC039A"/>
    <w:rsid w:val="00EC056F"/>
    <w:rsid w:val="00EC163B"/>
    <w:rsid w:val="00EC1CB8"/>
    <w:rsid w:val="00EC2CA4"/>
    <w:rsid w:val="00EC2D9B"/>
    <w:rsid w:val="00EC2E32"/>
    <w:rsid w:val="00EC44E9"/>
    <w:rsid w:val="00EC59F2"/>
    <w:rsid w:val="00EC5A36"/>
    <w:rsid w:val="00EC5A8A"/>
    <w:rsid w:val="00EC5EAF"/>
    <w:rsid w:val="00EC6130"/>
    <w:rsid w:val="00ED11D0"/>
    <w:rsid w:val="00ED17F8"/>
    <w:rsid w:val="00ED1813"/>
    <w:rsid w:val="00ED18CF"/>
    <w:rsid w:val="00ED195F"/>
    <w:rsid w:val="00ED1D4B"/>
    <w:rsid w:val="00ED2B31"/>
    <w:rsid w:val="00ED315C"/>
    <w:rsid w:val="00ED35F4"/>
    <w:rsid w:val="00ED4C7E"/>
    <w:rsid w:val="00ED566B"/>
    <w:rsid w:val="00ED5926"/>
    <w:rsid w:val="00ED5CF4"/>
    <w:rsid w:val="00ED6B08"/>
    <w:rsid w:val="00ED6E29"/>
    <w:rsid w:val="00EE156A"/>
    <w:rsid w:val="00EE25D2"/>
    <w:rsid w:val="00EE3E8A"/>
    <w:rsid w:val="00EE4B64"/>
    <w:rsid w:val="00EE4D8D"/>
    <w:rsid w:val="00EE5030"/>
    <w:rsid w:val="00EE5828"/>
    <w:rsid w:val="00EE6F85"/>
    <w:rsid w:val="00EE79DA"/>
    <w:rsid w:val="00EE7D12"/>
    <w:rsid w:val="00EF0220"/>
    <w:rsid w:val="00EF2DFC"/>
    <w:rsid w:val="00EF40A3"/>
    <w:rsid w:val="00EF751B"/>
    <w:rsid w:val="00EF7C3A"/>
    <w:rsid w:val="00F03025"/>
    <w:rsid w:val="00F030B2"/>
    <w:rsid w:val="00F0468A"/>
    <w:rsid w:val="00F06B61"/>
    <w:rsid w:val="00F07553"/>
    <w:rsid w:val="00F075C2"/>
    <w:rsid w:val="00F10EEF"/>
    <w:rsid w:val="00F11293"/>
    <w:rsid w:val="00F117A2"/>
    <w:rsid w:val="00F122BE"/>
    <w:rsid w:val="00F13566"/>
    <w:rsid w:val="00F13897"/>
    <w:rsid w:val="00F13AA0"/>
    <w:rsid w:val="00F13E74"/>
    <w:rsid w:val="00F14885"/>
    <w:rsid w:val="00F156D0"/>
    <w:rsid w:val="00F15F90"/>
    <w:rsid w:val="00F208EF"/>
    <w:rsid w:val="00F21114"/>
    <w:rsid w:val="00F22426"/>
    <w:rsid w:val="00F24DF4"/>
    <w:rsid w:val="00F2679E"/>
    <w:rsid w:val="00F32314"/>
    <w:rsid w:val="00F32C6E"/>
    <w:rsid w:val="00F35233"/>
    <w:rsid w:val="00F35870"/>
    <w:rsid w:val="00F35B9F"/>
    <w:rsid w:val="00F369B4"/>
    <w:rsid w:val="00F36CEA"/>
    <w:rsid w:val="00F40432"/>
    <w:rsid w:val="00F40BFB"/>
    <w:rsid w:val="00F412C3"/>
    <w:rsid w:val="00F41710"/>
    <w:rsid w:val="00F420F5"/>
    <w:rsid w:val="00F42F80"/>
    <w:rsid w:val="00F43ED5"/>
    <w:rsid w:val="00F441A1"/>
    <w:rsid w:val="00F4465D"/>
    <w:rsid w:val="00F4474A"/>
    <w:rsid w:val="00F4537F"/>
    <w:rsid w:val="00F45EB1"/>
    <w:rsid w:val="00F461A0"/>
    <w:rsid w:val="00F461F4"/>
    <w:rsid w:val="00F46430"/>
    <w:rsid w:val="00F46A40"/>
    <w:rsid w:val="00F5064B"/>
    <w:rsid w:val="00F51286"/>
    <w:rsid w:val="00F51948"/>
    <w:rsid w:val="00F5199E"/>
    <w:rsid w:val="00F52467"/>
    <w:rsid w:val="00F53863"/>
    <w:rsid w:val="00F54196"/>
    <w:rsid w:val="00F54A4E"/>
    <w:rsid w:val="00F56014"/>
    <w:rsid w:val="00F56846"/>
    <w:rsid w:val="00F57149"/>
    <w:rsid w:val="00F57BCA"/>
    <w:rsid w:val="00F6000F"/>
    <w:rsid w:val="00F60E9B"/>
    <w:rsid w:val="00F62B44"/>
    <w:rsid w:val="00F6408D"/>
    <w:rsid w:val="00F646B6"/>
    <w:rsid w:val="00F64956"/>
    <w:rsid w:val="00F64ECE"/>
    <w:rsid w:val="00F6578A"/>
    <w:rsid w:val="00F67B25"/>
    <w:rsid w:val="00F7227D"/>
    <w:rsid w:val="00F72A0A"/>
    <w:rsid w:val="00F72E73"/>
    <w:rsid w:val="00F73033"/>
    <w:rsid w:val="00F73D4B"/>
    <w:rsid w:val="00F7755B"/>
    <w:rsid w:val="00F80CBC"/>
    <w:rsid w:val="00F80CD3"/>
    <w:rsid w:val="00F819F1"/>
    <w:rsid w:val="00F829ED"/>
    <w:rsid w:val="00F82B1E"/>
    <w:rsid w:val="00F82C84"/>
    <w:rsid w:val="00F83E23"/>
    <w:rsid w:val="00F848A2"/>
    <w:rsid w:val="00F84D17"/>
    <w:rsid w:val="00F85FA7"/>
    <w:rsid w:val="00F86017"/>
    <w:rsid w:val="00F864BF"/>
    <w:rsid w:val="00F86C1E"/>
    <w:rsid w:val="00F87297"/>
    <w:rsid w:val="00F877DA"/>
    <w:rsid w:val="00F90E3D"/>
    <w:rsid w:val="00F9141A"/>
    <w:rsid w:val="00F914EC"/>
    <w:rsid w:val="00F94EB5"/>
    <w:rsid w:val="00F960E9"/>
    <w:rsid w:val="00F96B4D"/>
    <w:rsid w:val="00F96F16"/>
    <w:rsid w:val="00F9785F"/>
    <w:rsid w:val="00F97983"/>
    <w:rsid w:val="00FA0073"/>
    <w:rsid w:val="00FA0D50"/>
    <w:rsid w:val="00FA54C2"/>
    <w:rsid w:val="00FA5DB5"/>
    <w:rsid w:val="00FA623C"/>
    <w:rsid w:val="00FA63E5"/>
    <w:rsid w:val="00FA6AB8"/>
    <w:rsid w:val="00FA6F16"/>
    <w:rsid w:val="00FA73AB"/>
    <w:rsid w:val="00FA7719"/>
    <w:rsid w:val="00FB1D5B"/>
    <w:rsid w:val="00FB317F"/>
    <w:rsid w:val="00FB3EBF"/>
    <w:rsid w:val="00FB5389"/>
    <w:rsid w:val="00FB66C5"/>
    <w:rsid w:val="00FB7712"/>
    <w:rsid w:val="00FC1B3D"/>
    <w:rsid w:val="00FC2B56"/>
    <w:rsid w:val="00FC3A59"/>
    <w:rsid w:val="00FC418A"/>
    <w:rsid w:val="00FC540E"/>
    <w:rsid w:val="00FC56B8"/>
    <w:rsid w:val="00FC6F59"/>
    <w:rsid w:val="00FD079C"/>
    <w:rsid w:val="00FD20F0"/>
    <w:rsid w:val="00FD50DB"/>
    <w:rsid w:val="00FD71FA"/>
    <w:rsid w:val="00FD75F3"/>
    <w:rsid w:val="00FE2312"/>
    <w:rsid w:val="00FE2A90"/>
    <w:rsid w:val="00FE2E0F"/>
    <w:rsid w:val="00FE4109"/>
    <w:rsid w:val="00FE5C31"/>
    <w:rsid w:val="00FE681A"/>
    <w:rsid w:val="00FF004F"/>
    <w:rsid w:val="00FF00E7"/>
    <w:rsid w:val="00FF0E11"/>
    <w:rsid w:val="00FF0FA4"/>
    <w:rsid w:val="00FF234C"/>
    <w:rsid w:val="00FF2C49"/>
    <w:rsid w:val="00FF2EC8"/>
    <w:rsid w:val="00FF3236"/>
    <w:rsid w:val="00FF3270"/>
    <w:rsid w:val="00FF32D9"/>
    <w:rsid w:val="00FF423F"/>
    <w:rsid w:val="00FF51AF"/>
    <w:rsid w:val="00FF6C00"/>
    <w:rsid w:val="00FF737B"/>
    <w:rsid w:val="00FF7AF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73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0C11"/>
    <w:rPr>
      <w:sz w:val="22"/>
      <w:szCs w:val="24"/>
      <w:lang w:val="en-AU" w:eastAsia="en-US"/>
    </w:rPr>
  </w:style>
  <w:style w:type="paragraph" w:styleId="Heading1">
    <w:name w:val="heading 1"/>
    <w:basedOn w:val="Normal"/>
    <w:next w:val="Normal"/>
    <w:autoRedefine/>
    <w:qFormat/>
    <w:rsid w:val="00761941"/>
    <w:pPr>
      <w:numPr>
        <w:numId w:val="59"/>
      </w:numPr>
      <w:outlineLvl w:val="0"/>
    </w:pPr>
    <w:rPr>
      <w:rFonts w:ascii="Arial" w:hAnsi="Arial" w:cs="Arial"/>
      <w:b/>
      <w:sz w:val="28"/>
      <w:szCs w:val="22"/>
    </w:rPr>
  </w:style>
  <w:style w:type="paragraph" w:styleId="Heading2">
    <w:name w:val="heading 2"/>
    <w:basedOn w:val="Normal"/>
    <w:next w:val="Normal"/>
    <w:qFormat/>
    <w:rsid w:val="002E1A14"/>
    <w:pPr>
      <w:keepNext/>
      <w:numPr>
        <w:ilvl w:val="1"/>
        <w:numId w:val="53"/>
      </w:numPr>
      <w:outlineLvl w:val="1"/>
    </w:pPr>
    <w:rPr>
      <w:rFonts w:ascii="Arial" w:hAnsi="Arial" w:cs="Arial"/>
      <w:b/>
      <w:bCs/>
      <w:iCs/>
      <w:sz w:val="28"/>
      <w:szCs w:val="22"/>
    </w:rPr>
  </w:style>
  <w:style w:type="paragraph" w:styleId="Heading3">
    <w:name w:val="heading 3"/>
    <w:basedOn w:val="Normal"/>
    <w:next w:val="Normal"/>
    <w:link w:val="Heading3Char"/>
    <w:autoRedefine/>
    <w:unhideWhenUsed/>
    <w:qFormat/>
    <w:rsid w:val="0000192C"/>
    <w:pPr>
      <w:keepNext/>
      <w:keepLines/>
      <w:outlineLvl w:val="2"/>
    </w:pPr>
    <w:rPr>
      <w:rFonts w:ascii="Arial" w:hAnsi="Arial"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3"/>
    <w:basedOn w:val="Normal"/>
    <w:link w:val="HeaderChar"/>
    <w:uiPriority w:val="99"/>
    <w:rsid w:val="00184F32"/>
    <w:pPr>
      <w:tabs>
        <w:tab w:val="center" w:pos="4320"/>
        <w:tab w:val="right" w:pos="8640"/>
      </w:tabs>
    </w:pPr>
    <w:rPr>
      <w:rFonts w:ascii="Arial" w:hAnsi="Arial"/>
      <w:sz w:val="24"/>
    </w:rPr>
  </w:style>
  <w:style w:type="paragraph" w:styleId="Footer">
    <w:name w:val="footer"/>
    <w:basedOn w:val="Normal"/>
    <w:link w:val="FooterChar"/>
    <w:rsid w:val="00824968"/>
    <w:pPr>
      <w:tabs>
        <w:tab w:val="center" w:pos="4320"/>
        <w:tab w:val="right" w:pos="8640"/>
      </w:tabs>
    </w:pPr>
  </w:style>
  <w:style w:type="paragraph" w:customStyle="1" w:styleId="Style2">
    <w:name w:val="Style2"/>
    <w:basedOn w:val="Heading1"/>
    <w:autoRedefine/>
    <w:rsid w:val="005602E0"/>
    <w:rPr>
      <w:color w:val="993366"/>
    </w:rPr>
  </w:style>
  <w:style w:type="paragraph" w:customStyle="1" w:styleId="Style3">
    <w:name w:val="Style3"/>
    <w:basedOn w:val="Heading1"/>
    <w:autoRedefine/>
    <w:rsid w:val="005602E0"/>
    <w:rPr>
      <w:color w:val="993366"/>
    </w:rPr>
  </w:style>
  <w:style w:type="paragraph" w:customStyle="1" w:styleId="Style1">
    <w:name w:val="Style1"/>
    <w:basedOn w:val="Heading1"/>
    <w:rsid w:val="005602E0"/>
    <w:rPr>
      <w:color w:val="993366"/>
    </w:rPr>
  </w:style>
  <w:style w:type="paragraph" w:customStyle="1" w:styleId="Style4">
    <w:name w:val="Style4"/>
    <w:basedOn w:val="Heading1"/>
    <w:rsid w:val="005602E0"/>
    <w:rPr>
      <w:color w:val="993366"/>
      <w:szCs w:val="28"/>
    </w:rPr>
  </w:style>
  <w:style w:type="paragraph" w:customStyle="1" w:styleId="Style5">
    <w:name w:val="Style5"/>
    <w:basedOn w:val="Heading1"/>
    <w:rsid w:val="005602E0"/>
    <w:rPr>
      <w:color w:val="800080"/>
      <w:szCs w:val="28"/>
    </w:rPr>
  </w:style>
  <w:style w:type="character" w:styleId="PageNumber">
    <w:name w:val="page number"/>
    <w:basedOn w:val="DefaultParagraphFont"/>
    <w:rsid w:val="003A66E3"/>
  </w:style>
  <w:style w:type="paragraph" w:customStyle="1" w:styleId="Body">
    <w:name w:val="Body"/>
    <w:basedOn w:val="Normal"/>
    <w:link w:val="BodyChar"/>
    <w:rsid w:val="00DC1183"/>
    <w:pPr>
      <w:jc w:val="both"/>
    </w:pPr>
    <w:rPr>
      <w:rFonts w:ascii="Arial" w:eastAsia="MS Mincho" w:hAnsi="Arial" w:cs="Arial"/>
      <w:iCs/>
      <w:sz w:val="18"/>
      <w:szCs w:val="18"/>
      <w:lang w:val="en-GB" w:eastAsia="ja-JP" w:bidi="th-TH"/>
    </w:rPr>
  </w:style>
  <w:style w:type="character" w:customStyle="1" w:styleId="BodyChar">
    <w:name w:val="Body Char"/>
    <w:basedOn w:val="DefaultParagraphFont"/>
    <w:link w:val="Body"/>
    <w:semiHidden/>
    <w:rsid w:val="00DC1183"/>
    <w:rPr>
      <w:rFonts w:ascii="Arial" w:eastAsia="MS Mincho" w:hAnsi="Arial" w:cs="Arial"/>
      <w:iCs/>
      <w:sz w:val="18"/>
      <w:szCs w:val="18"/>
      <w:lang w:val="en-GB" w:eastAsia="ja-JP" w:bidi="th-TH"/>
    </w:rPr>
  </w:style>
  <w:style w:type="paragraph" w:customStyle="1" w:styleId="CharChar1Char">
    <w:name w:val="Char Char1 Char"/>
    <w:basedOn w:val="Normal"/>
    <w:rsid w:val="00DC1183"/>
    <w:rPr>
      <w:lang w:val="pl-PL" w:eastAsia="pl-PL"/>
    </w:rPr>
  </w:style>
  <w:style w:type="paragraph" w:customStyle="1" w:styleId="BodyItalics">
    <w:name w:val="Body Italics"/>
    <w:basedOn w:val="Normal"/>
    <w:link w:val="BodyItalicsChar"/>
    <w:rsid w:val="00DC1183"/>
    <w:pPr>
      <w:jc w:val="both"/>
    </w:pPr>
    <w:rPr>
      <w:rFonts w:ascii="Arial" w:hAnsi="Arial" w:cs="Arial"/>
      <w:i/>
      <w:sz w:val="18"/>
      <w:szCs w:val="20"/>
      <w:lang w:val="en-GB"/>
    </w:rPr>
  </w:style>
  <w:style w:type="character" w:customStyle="1" w:styleId="BodyItalicsChar">
    <w:name w:val="Body Italics Char"/>
    <w:basedOn w:val="DefaultParagraphFont"/>
    <w:link w:val="BodyItalics"/>
    <w:semiHidden/>
    <w:rsid w:val="00DC1183"/>
    <w:rPr>
      <w:rFonts w:ascii="Arial" w:hAnsi="Arial" w:cs="Arial"/>
      <w:i/>
      <w:sz w:val="18"/>
      <w:lang w:val="en-GB" w:eastAsia="en-US" w:bidi="ar-SA"/>
    </w:rPr>
  </w:style>
  <w:style w:type="paragraph" w:styleId="BalloonText">
    <w:name w:val="Balloon Text"/>
    <w:basedOn w:val="Normal"/>
    <w:link w:val="BalloonTextChar"/>
    <w:rsid w:val="005C6E33"/>
    <w:rPr>
      <w:rFonts w:ascii="Tahoma" w:hAnsi="Tahoma" w:cs="Tahoma"/>
      <w:sz w:val="16"/>
      <w:szCs w:val="16"/>
    </w:rPr>
  </w:style>
  <w:style w:type="character" w:customStyle="1" w:styleId="BalloonTextChar">
    <w:name w:val="Balloon Text Char"/>
    <w:basedOn w:val="DefaultParagraphFont"/>
    <w:link w:val="BalloonText"/>
    <w:rsid w:val="005C6E33"/>
    <w:rPr>
      <w:rFonts w:ascii="Tahoma" w:hAnsi="Tahoma" w:cs="Tahoma"/>
      <w:sz w:val="16"/>
      <w:szCs w:val="16"/>
      <w:lang w:val="en-US" w:eastAsia="en-US"/>
    </w:rPr>
  </w:style>
  <w:style w:type="paragraph" w:styleId="ListParagraph">
    <w:name w:val="List Paragraph"/>
    <w:basedOn w:val="Normal"/>
    <w:uiPriority w:val="34"/>
    <w:qFormat/>
    <w:rsid w:val="005C6E33"/>
    <w:pPr>
      <w:ind w:left="720"/>
      <w:contextualSpacing/>
    </w:pPr>
  </w:style>
  <w:style w:type="paragraph" w:styleId="FootnoteText">
    <w:name w:val="footnote text"/>
    <w:basedOn w:val="Normal"/>
    <w:link w:val="FootnoteTextChar"/>
    <w:rsid w:val="00184F32"/>
    <w:rPr>
      <w:sz w:val="20"/>
      <w:szCs w:val="20"/>
      <w:lang w:val="en-GB"/>
    </w:rPr>
  </w:style>
  <w:style w:type="character" w:customStyle="1" w:styleId="FootnoteTextChar">
    <w:name w:val="Footnote Text Char"/>
    <w:basedOn w:val="DefaultParagraphFont"/>
    <w:link w:val="FootnoteText"/>
    <w:rsid w:val="00184F32"/>
    <w:rPr>
      <w:lang w:eastAsia="en-US"/>
    </w:rPr>
  </w:style>
  <w:style w:type="character" w:styleId="FootnoteReference">
    <w:name w:val="footnote reference"/>
    <w:basedOn w:val="DefaultParagraphFont"/>
    <w:rsid w:val="00184F32"/>
    <w:rPr>
      <w:vertAlign w:val="superscript"/>
    </w:rPr>
  </w:style>
  <w:style w:type="character" w:styleId="Emphasis">
    <w:name w:val="Emphasis"/>
    <w:basedOn w:val="DefaultParagraphFont"/>
    <w:uiPriority w:val="20"/>
    <w:qFormat/>
    <w:rsid w:val="00184F32"/>
    <w:rPr>
      <w:i/>
      <w:iCs/>
    </w:rPr>
  </w:style>
  <w:style w:type="paragraph" w:styleId="Caption">
    <w:name w:val="caption"/>
    <w:basedOn w:val="Normal"/>
    <w:next w:val="Normal"/>
    <w:unhideWhenUsed/>
    <w:qFormat/>
    <w:rsid w:val="009B505E"/>
    <w:pPr>
      <w:spacing w:after="200"/>
    </w:pPr>
    <w:rPr>
      <w:b/>
      <w:bCs/>
      <w:color w:val="000000" w:themeColor="text1"/>
      <w:sz w:val="18"/>
      <w:szCs w:val="18"/>
      <w:lang w:val="en-GB"/>
    </w:rPr>
  </w:style>
  <w:style w:type="character" w:styleId="CommentReference">
    <w:name w:val="annotation reference"/>
    <w:basedOn w:val="DefaultParagraphFont"/>
    <w:rsid w:val="00184F32"/>
    <w:rPr>
      <w:sz w:val="16"/>
      <w:szCs w:val="16"/>
    </w:rPr>
  </w:style>
  <w:style w:type="paragraph" w:styleId="CommentText">
    <w:name w:val="annotation text"/>
    <w:basedOn w:val="Normal"/>
    <w:link w:val="CommentTextChar"/>
    <w:rsid w:val="00184F32"/>
    <w:rPr>
      <w:sz w:val="20"/>
      <w:szCs w:val="20"/>
    </w:rPr>
  </w:style>
  <w:style w:type="character" w:customStyle="1" w:styleId="CommentTextChar">
    <w:name w:val="Comment Text Char"/>
    <w:basedOn w:val="DefaultParagraphFont"/>
    <w:link w:val="CommentText"/>
    <w:rsid w:val="00184F32"/>
    <w:rPr>
      <w:lang w:val="en-US" w:eastAsia="en-US"/>
    </w:rPr>
  </w:style>
  <w:style w:type="paragraph" w:styleId="CommentSubject">
    <w:name w:val="annotation subject"/>
    <w:basedOn w:val="CommentText"/>
    <w:next w:val="CommentText"/>
    <w:link w:val="CommentSubjectChar"/>
    <w:rsid w:val="00184F32"/>
    <w:rPr>
      <w:b/>
      <w:bCs/>
      <w:lang w:val="en-GB"/>
    </w:rPr>
  </w:style>
  <w:style w:type="character" w:customStyle="1" w:styleId="CommentSubjectChar">
    <w:name w:val="Comment Subject Char"/>
    <w:basedOn w:val="CommentTextChar"/>
    <w:link w:val="CommentSubject"/>
    <w:rsid w:val="00184F32"/>
    <w:rPr>
      <w:b/>
      <w:bCs/>
    </w:rPr>
  </w:style>
  <w:style w:type="character" w:customStyle="1" w:styleId="HeaderChar">
    <w:name w:val="Header Char"/>
    <w:aliases w:val="Header 3 Char"/>
    <w:basedOn w:val="DefaultParagraphFont"/>
    <w:link w:val="Header"/>
    <w:uiPriority w:val="99"/>
    <w:rsid w:val="00184F32"/>
    <w:rPr>
      <w:rFonts w:ascii="Arial" w:hAnsi="Arial"/>
      <w:sz w:val="24"/>
      <w:szCs w:val="24"/>
      <w:lang w:val="en-US" w:eastAsia="en-US"/>
    </w:rPr>
  </w:style>
  <w:style w:type="character" w:styleId="Hyperlink">
    <w:name w:val="Hyperlink"/>
    <w:basedOn w:val="DefaultParagraphFont"/>
    <w:uiPriority w:val="99"/>
    <w:rsid w:val="00184F32"/>
    <w:rPr>
      <w:color w:val="0000FF"/>
      <w:u w:val="single"/>
    </w:rPr>
  </w:style>
  <w:style w:type="paragraph" w:styleId="TOCHeading">
    <w:name w:val="TOC Heading"/>
    <w:basedOn w:val="Heading1"/>
    <w:next w:val="Normal"/>
    <w:uiPriority w:val="39"/>
    <w:unhideWhenUsed/>
    <w:qFormat/>
    <w:rsid w:val="00184F32"/>
    <w:pPr>
      <w:keepLines/>
      <w:spacing w:before="480" w:line="276" w:lineRule="auto"/>
      <w:outlineLvl w:val="9"/>
    </w:pPr>
    <w:rPr>
      <w:rFonts w:asciiTheme="majorHAnsi" w:eastAsiaTheme="majorEastAsia" w:hAnsiTheme="majorHAnsi" w:cstheme="majorBidi"/>
      <w:color w:val="365F91" w:themeColor="accent1" w:themeShade="BF"/>
      <w:szCs w:val="28"/>
      <w:lang w:val="en-US"/>
    </w:rPr>
  </w:style>
  <w:style w:type="paragraph" w:styleId="TOC1">
    <w:name w:val="toc 1"/>
    <w:basedOn w:val="Normal"/>
    <w:next w:val="Normal"/>
    <w:autoRedefine/>
    <w:uiPriority w:val="39"/>
    <w:qFormat/>
    <w:rsid w:val="000F4F35"/>
    <w:pPr>
      <w:spacing w:after="100"/>
    </w:pPr>
    <w:rPr>
      <w:rFonts w:ascii="Arial" w:hAnsi="Arial"/>
      <w:b/>
      <w:lang w:val="en-GB"/>
    </w:rPr>
  </w:style>
  <w:style w:type="paragraph" w:styleId="TOC2">
    <w:name w:val="toc 2"/>
    <w:basedOn w:val="Normal"/>
    <w:next w:val="Normal"/>
    <w:autoRedefine/>
    <w:uiPriority w:val="39"/>
    <w:qFormat/>
    <w:rsid w:val="000F4F35"/>
    <w:pPr>
      <w:spacing w:after="100"/>
      <w:ind w:left="220"/>
    </w:pPr>
    <w:rPr>
      <w:rFonts w:ascii="Arial" w:hAnsi="Arial"/>
      <w:sz w:val="20"/>
      <w:lang w:val="en-GB"/>
    </w:rPr>
  </w:style>
  <w:style w:type="paragraph" w:styleId="TOC3">
    <w:name w:val="toc 3"/>
    <w:basedOn w:val="Normal"/>
    <w:next w:val="Normal"/>
    <w:autoRedefine/>
    <w:uiPriority w:val="39"/>
    <w:qFormat/>
    <w:rsid w:val="000F4F35"/>
    <w:pPr>
      <w:spacing w:after="100"/>
      <w:ind w:left="440"/>
    </w:pPr>
    <w:rPr>
      <w:rFonts w:ascii="Arial" w:hAnsi="Arial"/>
      <w:sz w:val="20"/>
    </w:rPr>
  </w:style>
  <w:style w:type="character" w:customStyle="1" w:styleId="Heading3Char">
    <w:name w:val="Heading 3 Char"/>
    <w:basedOn w:val="DefaultParagraphFont"/>
    <w:link w:val="Heading3"/>
    <w:rsid w:val="0000192C"/>
    <w:rPr>
      <w:rFonts w:ascii="Arial" w:hAnsi="Arial" w:cs="Arial"/>
      <w:b/>
      <w:sz w:val="22"/>
      <w:szCs w:val="22"/>
      <w:lang w:val="en-AU" w:eastAsia="en-US"/>
    </w:rPr>
  </w:style>
  <w:style w:type="paragraph" w:styleId="NormalWeb">
    <w:name w:val="Normal (Web)"/>
    <w:basedOn w:val="Normal"/>
    <w:uiPriority w:val="99"/>
    <w:unhideWhenUsed/>
    <w:rsid w:val="00AB15E1"/>
    <w:pPr>
      <w:spacing w:before="100" w:beforeAutospacing="1" w:after="100" w:afterAutospacing="1"/>
    </w:pPr>
    <w:rPr>
      <w:sz w:val="24"/>
      <w:lang w:eastAsia="en-AU"/>
    </w:rPr>
  </w:style>
  <w:style w:type="paragraph" w:styleId="Revision">
    <w:name w:val="Revision"/>
    <w:hidden/>
    <w:uiPriority w:val="99"/>
    <w:semiHidden/>
    <w:rsid w:val="005C1111"/>
    <w:rPr>
      <w:sz w:val="22"/>
      <w:szCs w:val="24"/>
      <w:lang w:val="en-AU" w:eastAsia="en-US"/>
    </w:rPr>
  </w:style>
  <w:style w:type="numbering" w:customStyle="1" w:styleId="Style6">
    <w:name w:val="Style6"/>
    <w:uiPriority w:val="99"/>
    <w:rsid w:val="00EC2CA4"/>
    <w:pPr>
      <w:numPr>
        <w:numId w:val="47"/>
      </w:numPr>
    </w:pPr>
  </w:style>
  <w:style w:type="character" w:customStyle="1" w:styleId="FooterChar">
    <w:name w:val="Footer Char"/>
    <w:basedOn w:val="DefaultParagraphFont"/>
    <w:link w:val="Footer"/>
    <w:rsid w:val="00BE7192"/>
    <w:rPr>
      <w:sz w:val="22"/>
      <w:szCs w:val="24"/>
      <w:lang w:val="en-AU" w:eastAsia="en-US"/>
    </w:rPr>
  </w:style>
  <w:style w:type="paragraph" w:styleId="DocumentMap">
    <w:name w:val="Document Map"/>
    <w:basedOn w:val="Normal"/>
    <w:link w:val="DocumentMapChar"/>
    <w:rsid w:val="00200E4A"/>
    <w:rPr>
      <w:rFonts w:ascii="Tahoma" w:hAnsi="Tahoma" w:cs="Tahoma"/>
      <w:sz w:val="16"/>
      <w:szCs w:val="16"/>
    </w:rPr>
  </w:style>
  <w:style w:type="character" w:customStyle="1" w:styleId="DocumentMapChar">
    <w:name w:val="Document Map Char"/>
    <w:basedOn w:val="DefaultParagraphFont"/>
    <w:link w:val="DocumentMap"/>
    <w:rsid w:val="00200E4A"/>
    <w:rPr>
      <w:rFonts w:ascii="Tahoma" w:hAnsi="Tahoma" w:cs="Tahoma"/>
      <w:sz w:val="16"/>
      <w:szCs w:val="16"/>
      <w:lang w:val="en-AU" w:eastAsia="en-US"/>
    </w:rPr>
  </w:style>
</w:styles>
</file>

<file path=word/webSettings.xml><?xml version="1.0" encoding="utf-8"?>
<w:webSettings xmlns:r="http://schemas.openxmlformats.org/officeDocument/2006/relationships" xmlns:w="http://schemas.openxmlformats.org/wordprocessingml/2006/main">
  <w:divs>
    <w:div w:id="9645677">
      <w:bodyDiv w:val="1"/>
      <w:marLeft w:val="0"/>
      <w:marRight w:val="0"/>
      <w:marTop w:val="0"/>
      <w:marBottom w:val="0"/>
      <w:divBdr>
        <w:top w:val="none" w:sz="0" w:space="0" w:color="auto"/>
        <w:left w:val="none" w:sz="0" w:space="0" w:color="auto"/>
        <w:bottom w:val="none" w:sz="0" w:space="0" w:color="auto"/>
        <w:right w:val="none" w:sz="0" w:space="0" w:color="auto"/>
      </w:divBdr>
    </w:div>
    <w:div w:id="20590506">
      <w:bodyDiv w:val="1"/>
      <w:marLeft w:val="0"/>
      <w:marRight w:val="0"/>
      <w:marTop w:val="0"/>
      <w:marBottom w:val="0"/>
      <w:divBdr>
        <w:top w:val="none" w:sz="0" w:space="0" w:color="auto"/>
        <w:left w:val="none" w:sz="0" w:space="0" w:color="auto"/>
        <w:bottom w:val="none" w:sz="0" w:space="0" w:color="auto"/>
        <w:right w:val="none" w:sz="0" w:space="0" w:color="auto"/>
      </w:divBdr>
    </w:div>
    <w:div w:id="21516880">
      <w:bodyDiv w:val="1"/>
      <w:marLeft w:val="0"/>
      <w:marRight w:val="0"/>
      <w:marTop w:val="0"/>
      <w:marBottom w:val="0"/>
      <w:divBdr>
        <w:top w:val="none" w:sz="0" w:space="0" w:color="auto"/>
        <w:left w:val="none" w:sz="0" w:space="0" w:color="auto"/>
        <w:bottom w:val="none" w:sz="0" w:space="0" w:color="auto"/>
        <w:right w:val="none" w:sz="0" w:space="0" w:color="auto"/>
      </w:divBdr>
    </w:div>
    <w:div w:id="39020535">
      <w:bodyDiv w:val="1"/>
      <w:marLeft w:val="0"/>
      <w:marRight w:val="0"/>
      <w:marTop w:val="0"/>
      <w:marBottom w:val="0"/>
      <w:divBdr>
        <w:top w:val="none" w:sz="0" w:space="0" w:color="auto"/>
        <w:left w:val="none" w:sz="0" w:space="0" w:color="auto"/>
        <w:bottom w:val="none" w:sz="0" w:space="0" w:color="auto"/>
        <w:right w:val="none" w:sz="0" w:space="0" w:color="auto"/>
      </w:divBdr>
    </w:div>
    <w:div w:id="66418925">
      <w:bodyDiv w:val="1"/>
      <w:marLeft w:val="0"/>
      <w:marRight w:val="0"/>
      <w:marTop w:val="0"/>
      <w:marBottom w:val="0"/>
      <w:divBdr>
        <w:top w:val="none" w:sz="0" w:space="0" w:color="auto"/>
        <w:left w:val="none" w:sz="0" w:space="0" w:color="auto"/>
        <w:bottom w:val="none" w:sz="0" w:space="0" w:color="auto"/>
        <w:right w:val="none" w:sz="0" w:space="0" w:color="auto"/>
      </w:divBdr>
    </w:div>
    <w:div w:id="70397209">
      <w:bodyDiv w:val="1"/>
      <w:marLeft w:val="0"/>
      <w:marRight w:val="0"/>
      <w:marTop w:val="0"/>
      <w:marBottom w:val="0"/>
      <w:divBdr>
        <w:top w:val="none" w:sz="0" w:space="0" w:color="auto"/>
        <w:left w:val="none" w:sz="0" w:space="0" w:color="auto"/>
        <w:bottom w:val="none" w:sz="0" w:space="0" w:color="auto"/>
        <w:right w:val="none" w:sz="0" w:space="0" w:color="auto"/>
      </w:divBdr>
    </w:div>
    <w:div w:id="73745960">
      <w:bodyDiv w:val="1"/>
      <w:marLeft w:val="0"/>
      <w:marRight w:val="0"/>
      <w:marTop w:val="0"/>
      <w:marBottom w:val="0"/>
      <w:divBdr>
        <w:top w:val="none" w:sz="0" w:space="0" w:color="auto"/>
        <w:left w:val="none" w:sz="0" w:space="0" w:color="auto"/>
        <w:bottom w:val="none" w:sz="0" w:space="0" w:color="auto"/>
        <w:right w:val="none" w:sz="0" w:space="0" w:color="auto"/>
      </w:divBdr>
    </w:div>
    <w:div w:id="74399580">
      <w:bodyDiv w:val="1"/>
      <w:marLeft w:val="0"/>
      <w:marRight w:val="0"/>
      <w:marTop w:val="0"/>
      <w:marBottom w:val="0"/>
      <w:divBdr>
        <w:top w:val="none" w:sz="0" w:space="0" w:color="auto"/>
        <w:left w:val="none" w:sz="0" w:space="0" w:color="auto"/>
        <w:bottom w:val="none" w:sz="0" w:space="0" w:color="auto"/>
        <w:right w:val="none" w:sz="0" w:space="0" w:color="auto"/>
      </w:divBdr>
    </w:div>
    <w:div w:id="77798705">
      <w:bodyDiv w:val="1"/>
      <w:marLeft w:val="0"/>
      <w:marRight w:val="0"/>
      <w:marTop w:val="0"/>
      <w:marBottom w:val="0"/>
      <w:divBdr>
        <w:top w:val="none" w:sz="0" w:space="0" w:color="auto"/>
        <w:left w:val="none" w:sz="0" w:space="0" w:color="auto"/>
        <w:bottom w:val="none" w:sz="0" w:space="0" w:color="auto"/>
        <w:right w:val="none" w:sz="0" w:space="0" w:color="auto"/>
      </w:divBdr>
    </w:div>
    <w:div w:id="102581289">
      <w:bodyDiv w:val="1"/>
      <w:marLeft w:val="0"/>
      <w:marRight w:val="0"/>
      <w:marTop w:val="0"/>
      <w:marBottom w:val="0"/>
      <w:divBdr>
        <w:top w:val="none" w:sz="0" w:space="0" w:color="auto"/>
        <w:left w:val="none" w:sz="0" w:space="0" w:color="auto"/>
        <w:bottom w:val="none" w:sz="0" w:space="0" w:color="auto"/>
        <w:right w:val="none" w:sz="0" w:space="0" w:color="auto"/>
      </w:divBdr>
    </w:div>
    <w:div w:id="119232520">
      <w:bodyDiv w:val="1"/>
      <w:marLeft w:val="0"/>
      <w:marRight w:val="0"/>
      <w:marTop w:val="0"/>
      <w:marBottom w:val="0"/>
      <w:divBdr>
        <w:top w:val="none" w:sz="0" w:space="0" w:color="auto"/>
        <w:left w:val="none" w:sz="0" w:space="0" w:color="auto"/>
        <w:bottom w:val="none" w:sz="0" w:space="0" w:color="auto"/>
        <w:right w:val="none" w:sz="0" w:space="0" w:color="auto"/>
      </w:divBdr>
    </w:div>
    <w:div w:id="207424056">
      <w:bodyDiv w:val="1"/>
      <w:marLeft w:val="0"/>
      <w:marRight w:val="0"/>
      <w:marTop w:val="0"/>
      <w:marBottom w:val="0"/>
      <w:divBdr>
        <w:top w:val="none" w:sz="0" w:space="0" w:color="auto"/>
        <w:left w:val="none" w:sz="0" w:space="0" w:color="auto"/>
        <w:bottom w:val="none" w:sz="0" w:space="0" w:color="auto"/>
        <w:right w:val="none" w:sz="0" w:space="0" w:color="auto"/>
      </w:divBdr>
    </w:div>
    <w:div w:id="282998729">
      <w:bodyDiv w:val="1"/>
      <w:marLeft w:val="0"/>
      <w:marRight w:val="0"/>
      <w:marTop w:val="0"/>
      <w:marBottom w:val="0"/>
      <w:divBdr>
        <w:top w:val="none" w:sz="0" w:space="0" w:color="auto"/>
        <w:left w:val="none" w:sz="0" w:space="0" w:color="auto"/>
        <w:bottom w:val="none" w:sz="0" w:space="0" w:color="auto"/>
        <w:right w:val="none" w:sz="0" w:space="0" w:color="auto"/>
      </w:divBdr>
    </w:div>
    <w:div w:id="303894059">
      <w:bodyDiv w:val="1"/>
      <w:marLeft w:val="0"/>
      <w:marRight w:val="0"/>
      <w:marTop w:val="0"/>
      <w:marBottom w:val="0"/>
      <w:divBdr>
        <w:top w:val="none" w:sz="0" w:space="0" w:color="auto"/>
        <w:left w:val="none" w:sz="0" w:space="0" w:color="auto"/>
        <w:bottom w:val="none" w:sz="0" w:space="0" w:color="auto"/>
        <w:right w:val="none" w:sz="0" w:space="0" w:color="auto"/>
      </w:divBdr>
    </w:div>
    <w:div w:id="318316401">
      <w:bodyDiv w:val="1"/>
      <w:marLeft w:val="0"/>
      <w:marRight w:val="0"/>
      <w:marTop w:val="0"/>
      <w:marBottom w:val="0"/>
      <w:divBdr>
        <w:top w:val="none" w:sz="0" w:space="0" w:color="auto"/>
        <w:left w:val="none" w:sz="0" w:space="0" w:color="auto"/>
        <w:bottom w:val="none" w:sz="0" w:space="0" w:color="auto"/>
        <w:right w:val="none" w:sz="0" w:space="0" w:color="auto"/>
      </w:divBdr>
    </w:div>
    <w:div w:id="391320427">
      <w:bodyDiv w:val="1"/>
      <w:marLeft w:val="0"/>
      <w:marRight w:val="0"/>
      <w:marTop w:val="0"/>
      <w:marBottom w:val="0"/>
      <w:divBdr>
        <w:top w:val="none" w:sz="0" w:space="0" w:color="auto"/>
        <w:left w:val="none" w:sz="0" w:space="0" w:color="auto"/>
        <w:bottom w:val="none" w:sz="0" w:space="0" w:color="auto"/>
        <w:right w:val="none" w:sz="0" w:space="0" w:color="auto"/>
      </w:divBdr>
    </w:div>
    <w:div w:id="394864543">
      <w:bodyDiv w:val="1"/>
      <w:marLeft w:val="0"/>
      <w:marRight w:val="0"/>
      <w:marTop w:val="0"/>
      <w:marBottom w:val="0"/>
      <w:divBdr>
        <w:top w:val="none" w:sz="0" w:space="0" w:color="auto"/>
        <w:left w:val="none" w:sz="0" w:space="0" w:color="auto"/>
        <w:bottom w:val="none" w:sz="0" w:space="0" w:color="auto"/>
        <w:right w:val="none" w:sz="0" w:space="0" w:color="auto"/>
      </w:divBdr>
    </w:div>
    <w:div w:id="396167151">
      <w:bodyDiv w:val="1"/>
      <w:marLeft w:val="0"/>
      <w:marRight w:val="0"/>
      <w:marTop w:val="0"/>
      <w:marBottom w:val="0"/>
      <w:divBdr>
        <w:top w:val="none" w:sz="0" w:space="0" w:color="auto"/>
        <w:left w:val="none" w:sz="0" w:space="0" w:color="auto"/>
        <w:bottom w:val="none" w:sz="0" w:space="0" w:color="auto"/>
        <w:right w:val="none" w:sz="0" w:space="0" w:color="auto"/>
      </w:divBdr>
    </w:div>
    <w:div w:id="400372359">
      <w:bodyDiv w:val="1"/>
      <w:marLeft w:val="0"/>
      <w:marRight w:val="0"/>
      <w:marTop w:val="0"/>
      <w:marBottom w:val="0"/>
      <w:divBdr>
        <w:top w:val="none" w:sz="0" w:space="0" w:color="auto"/>
        <w:left w:val="none" w:sz="0" w:space="0" w:color="auto"/>
        <w:bottom w:val="none" w:sz="0" w:space="0" w:color="auto"/>
        <w:right w:val="none" w:sz="0" w:space="0" w:color="auto"/>
      </w:divBdr>
    </w:div>
    <w:div w:id="413861388">
      <w:bodyDiv w:val="1"/>
      <w:marLeft w:val="0"/>
      <w:marRight w:val="0"/>
      <w:marTop w:val="0"/>
      <w:marBottom w:val="0"/>
      <w:divBdr>
        <w:top w:val="none" w:sz="0" w:space="0" w:color="auto"/>
        <w:left w:val="none" w:sz="0" w:space="0" w:color="auto"/>
        <w:bottom w:val="none" w:sz="0" w:space="0" w:color="auto"/>
        <w:right w:val="none" w:sz="0" w:space="0" w:color="auto"/>
      </w:divBdr>
    </w:div>
    <w:div w:id="488138669">
      <w:bodyDiv w:val="1"/>
      <w:marLeft w:val="0"/>
      <w:marRight w:val="0"/>
      <w:marTop w:val="0"/>
      <w:marBottom w:val="0"/>
      <w:divBdr>
        <w:top w:val="none" w:sz="0" w:space="0" w:color="auto"/>
        <w:left w:val="none" w:sz="0" w:space="0" w:color="auto"/>
        <w:bottom w:val="none" w:sz="0" w:space="0" w:color="auto"/>
        <w:right w:val="none" w:sz="0" w:space="0" w:color="auto"/>
      </w:divBdr>
    </w:div>
    <w:div w:id="535198218">
      <w:bodyDiv w:val="1"/>
      <w:marLeft w:val="0"/>
      <w:marRight w:val="0"/>
      <w:marTop w:val="0"/>
      <w:marBottom w:val="0"/>
      <w:divBdr>
        <w:top w:val="none" w:sz="0" w:space="0" w:color="auto"/>
        <w:left w:val="none" w:sz="0" w:space="0" w:color="auto"/>
        <w:bottom w:val="none" w:sz="0" w:space="0" w:color="auto"/>
        <w:right w:val="none" w:sz="0" w:space="0" w:color="auto"/>
      </w:divBdr>
    </w:div>
    <w:div w:id="597833439">
      <w:bodyDiv w:val="1"/>
      <w:marLeft w:val="0"/>
      <w:marRight w:val="0"/>
      <w:marTop w:val="0"/>
      <w:marBottom w:val="0"/>
      <w:divBdr>
        <w:top w:val="none" w:sz="0" w:space="0" w:color="auto"/>
        <w:left w:val="none" w:sz="0" w:space="0" w:color="auto"/>
        <w:bottom w:val="none" w:sz="0" w:space="0" w:color="auto"/>
        <w:right w:val="none" w:sz="0" w:space="0" w:color="auto"/>
      </w:divBdr>
    </w:div>
    <w:div w:id="606692330">
      <w:bodyDiv w:val="1"/>
      <w:marLeft w:val="0"/>
      <w:marRight w:val="0"/>
      <w:marTop w:val="0"/>
      <w:marBottom w:val="0"/>
      <w:divBdr>
        <w:top w:val="none" w:sz="0" w:space="0" w:color="auto"/>
        <w:left w:val="none" w:sz="0" w:space="0" w:color="auto"/>
        <w:bottom w:val="none" w:sz="0" w:space="0" w:color="auto"/>
        <w:right w:val="none" w:sz="0" w:space="0" w:color="auto"/>
      </w:divBdr>
    </w:div>
    <w:div w:id="619187231">
      <w:bodyDiv w:val="1"/>
      <w:marLeft w:val="0"/>
      <w:marRight w:val="0"/>
      <w:marTop w:val="0"/>
      <w:marBottom w:val="0"/>
      <w:divBdr>
        <w:top w:val="none" w:sz="0" w:space="0" w:color="auto"/>
        <w:left w:val="none" w:sz="0" w:space="0" w:color="auto"/>
        <w:bottom w:val="none" w:sz="0" w:space="0" w:color="auto"/>
        <w:right w:val="none" w:sz="0" w:space="0" w:color="auto"/>
      </w:divBdr>
    </w:div>
    <w:div w:id="637687425">
      <w:bodyDiv w:val="1"/>
      <w:marLeft w:val="0"/>
      <w:marRight w:val="0"/>
      <w:marTop w:val="0"/>
      <w:marBottom w:val="0"/>
      <w:divBdr>
        <w:top w:val="none" w:sz="0" w:space="0" w:color="auto"/>
        <w:left w:val="none" w:sz="0" w:space="0" w:color="auto"/>
        <w:bottom w:val="none" w:sz="0" w:space="0" w:color="auto"/>
        <w:right w:val="none" w:sz="0" w:space="0" w:color="auto"/>
      </w:divBdr>
    </w:div>
    <w:div w:id="657269103">
      <w:bodyDiv w:val="1"/>
      <w:marLeft w:val="0"/>
      <w:marRight w:val="0"/>
      <w:marTop w:val="0"/>
      <w:marBottom w:val="0"/>
      <w:divBdr>
        <w:top w:val="none" w:sz="0" w:space="0" w:color="auto"/>
        <w:left w:val="none" w:sz="0" w:space="0" w:color="auto"/>
        <w:bottom w:val="none" w:sz="0" w:space="0" w:color="auto"/>
        <w:right w:val="none" w:sz="0" w:space="0" w:color="auto"/>
      </w:divBdr>
    </w:div>
    <w:div w:id="666636759">
      <w:bodyDiv w:val="1"/>
      <w:marLeft w:val="0"/>
      <w:marRight w:val="0"/>
      <w:marTop w:val="0"/>
      <w:marBottom w:val="0"/>
      <w:divBdr>
        <w:top w:val="none" w:sz="0" w:space="0" w:color="auto"/>
        <w:left w:val="none" w:sz="0" w:space="0" w:color="auto"/>
        <w:bottom w:val="none" w:sz="0" w:space="0" w:color="auto"/>
        <w:right w:val="none" w:sz="0" w:space="0" w:color="auto"/>
      </w:divBdr>
    </w:div>
    <w:div w:id="678703029">
      <w:bodyDiv w:val="1"/>
      <w:marLeft w:val="0"/>
      <w:marRight w:val="0"/>
      <w:marTop w:val="0"/>
      <w:marBottom w:val="0"/>
      <w:divBdr>
        <w:top w:val="none" w:sz="0" w:space="0" w:color="auto"/>
        <w:left w:val="none" w:sz="0" w:space="0" w:color="auto"/>
        <w:bottom w:val="none" w:sz="0" w:space="0" w:color="auto"/>
        <w:right w:val="none" w:sz="0" w:space="0" w:color="auto"/>
      </w:divBdr>
    </w:div>
    <w:div w:id="686299160">
      <w:bodyDiv w:val="1"/>
      <w:marLeft w:val="0"/>
      <w:marRight w:val="0"/>
      <w:marTop w:val="0"/>
      <w:marBottom w:val="0"/>
      <w:divBdr>
        <w:top w:val="none" w:sz="0" w:space="0" w:color="auto"/>
        <w:left w:val="none" w:sz="0" w:space="0" w:color="auto"/>
        <w:bottom w:val="none" w:sz="0" w:space="0" w:color="auto"/>
        <w:right w:val="none" w:sz="0" w:space="0" w:color="auto"/>
      </w:divBdr>
    </w:div>
    <w:div w:id="690649601">
      <w:bodyDiv w:val="1"/>
      <w:marLeft w:val="0"/>
      <w:marRight w:val="0"/>
      <w:marTop w:val="0"/>
      <w:marBottom w:val="0"/>
      <w:divBdr>
        <w:top w:val="none" w:sz="0" w:space="0" w:color="auto"/>
        <w:left w:val="none" w:sz="0" w:space="0" w:color="auto"/>
        <w:bottom w:val="none" w:sz="0" w:space="0" w:color="auto"/>
        <w:right w:val="none" w:sz="0" w:space="0" w:color="auto"/>
      </w:divBdr>
    </w:div>
    <w:div w:id="717321763">
      <w:bodyDiv w:val="1"/>
      <w:marLeft w:val="0"/>
      <w:marRight w:val="0"/>
      <w:marTop w:val="0"/>
      <w:marBottom w:val="0"/>
      <w:divBdr>
        <w:top w:val="none" w:sz="0" w:space="0" w:color="auto"/>
        <w:left w:val="none" w:sz="0" w:space="0" w:color="auto"/>
        <w:bottom w:val="none" w:sz="0" w:space="0" w:color="auto"/>
        <w:right w:val="none" w:sz="0" w:space="0" w:color="auto"/>
      </w:divBdr>
    </w:div>
    <w:div w:id="773860199">
      <w:bodyDiv w:val="1"/>
      <w:marLeft w:val="0"/>
      <w:marRight w:val="0"/>
      <w:marTop w:val="0"/>
      <w:marBottom w:val="0"/>
      <w:divBdr>
        <w:top w:val="none" w:sz="0" w:space="0" w:color="auto"/>
        <w:left w:val="none" w:sz="0" w:space="0" w:color="auto"/>
        <w:bottom w:val="none" w:sz="0" w:space="0" w:color="auto"/>
        <w:right w:val="none" w:sz="0" w:space="0" w:color="auto"/>
      </w:divBdr>
    </w:div>
    <w:div w:id="792674536">
      <w:bodyDiv w:val="1"/>
      <w:marLeft w:val="0"/>
      <w:marRight w:val="0"/>
      <w:marTop w:val="0"/>
      <w:marBottom w:val="0"/>
      <w:divBdr>
        <w:top w:val="none" w:sz="0" w:space="0" w:color="auto"/>
        <w:left w:val="none" w:sz="0" w:space="0" w:color="auto"/>
        <w:bottom w:val="none" w:sz="0" w:space="0" w:color="auto"/>
        <w:right w:val="none" w:sz="0" w:space="0" w:color="auto"/>
      </w:divBdr>
    </w:div>
    <w:div w:id="809981573">
      <w:bodyDiv w:val="1"/>
      <w:marLeft w:val="0"/>
      <w:marRight w:val="0"/>
      <w:marTop w:val="0"/>
      <w:marBottom w:val="0"/>
      <w:divBdr>
        <w:top w:val="none" w:sz="0" w:space="0" w:color="auto"/>
        <w:left w:val="none" w:sz="0" w:space="0" w:color="auto"/>
        <w:bottom w:val="none" w:sz="0" w:space="0" w:color="auto"/>
        <w:right w:val="none" w:sz="0" w:space="0" w:color="auto"/>
      </w:divBdr>
    </w:div>
    <w:div w:id="816189942">
      <w:bodyDiv w:val="1"/>
      <w:marLeft w:val="0"/>
      <w:marRight w:val="0"/>
      <w:marTop w:val="0"/>
      <w:marBottom w:val="0"/>
      <w:divBdr>
        <w:top w:val="none" w:sz="0" w:space="0" w:color="auto"/>
        <w:left w:val="none" w:sz="0" w:space="0" w:color="auto"/>
        <w:bottom w:val="none" w:sz="0" w:space="0" w:color="auto"/>
        <w:right w:val="none" w:sz="0" w:space="0" w:color="auto"/>
      </w:divBdr>
    </w:div>
    <w:div w:id="861624545">
      <w:bodyDiv w:val="1"/>
      <w:marLeft w:val="0"/>
      <w:marRight w:val="0"/>
      <w:marTop w:val="0"/>
      <w:marBottom w:val="0"/>
      <w:divBdr>
        <w:top w:val="none" w:sz="0" w:space="0" w:color="auto"/>
        <w:left w:val="none" w:sz="0" w:space="0" w:color="auto"/>
        <w:bottom w:val="none" w:sz="0" w:space="0" w:color="auto"/>
        <w:right w:val="none" w:sz="0" w:space="0" w:color="auto"/>
      </w:divBdr>
    </w:div>
    <w:div w:id="885526525">
      <w:bodyDiv w:val="1"/>
      <w:marLeft w:val="0"/>
      <w:marRight w:val="0"/>
      <w:marTop w:val="0"/>
      <w:marBottom w:val="0"/>
      <w:divBdr>
        <w:top w:val="none" w:sz="0" w:space="0" w:color="auto"/>
        <w:left w:val="none" w:sz="0" w:space="0" w:color="auto"/>
        <w:bottom w:val="none" w:sz="0" w:space="0" w:color="auto"/>
        <w:right w:val="none" w:sz="0" w:space="0" w:color="auto"/>
      </w:divBdr>
    </w:div>
    <w:div w:id="917522882">
      <w:bodyDiv w:val="1"/>
      <w:marLeft w:val="0"/>
      <w:marRight w:val="0"/>
      <w:marTop w:val="0"/>
      <w:marBottom w:val="0"/>
      <w:divBdr>
        <w:top w:val="none" w:sz="0" w:space="0" w:color="auto"/>
        <w:left w:val="none" w:sz="0" w:space="0" w:color="auto"/>
        <w:bottom w:val="none" w:sz="0" w:space="0" w:color="auto"/>
        <w:right w:val="none" w:sz="0" w:space="0" w:color="auto"/>
      </w:divBdr>
    </w:div>
    <w:div w:id="918098848">
      <w:bodyDiv w:val="1"/>
      <w:marLeft w:val="0"/>
      <w:marRight w:val="0"/>
      <w:marTop w:val="0"/>
      <w:marBottom w:val="0"/>
      <w:divBdr>
        <w:top w:val="none" w:sz="0" w:space="0" w:color="auto"/>
        <w:left w:val="none" w:sz="0" w:space="0" w:color="auto"/>
        <w:bottom w:val="none" w:sz="0" w:space="0" w:color="auto"/>
        <w:right w:val="none" w:sz="0" w:space="0" w:color="auto"/>
      </w:divBdr>
    </w:div>
    <w:div w:id="920142129">
      <w:bodyDiv w:val="1"/>
      <w:marLeft w:val="0"/>
      <w:marRight w:val="0"/>
      <w:marTop w:val="0"/>
      <w:marBottom w:val="0"/>
      <w:divBdr>
        <w:top w:val="none" w:sz="0" w:space="0" w:color="auto"/>
        <w:left w:val="none" w:sz="0" w:space="0" w:color="auto"/>
        <w:bottom w:val="none" w:sz="0" w:space="0" w:color="auto"/>
        <w:right w:val="none" w:sz="0" w:space="0" w:color="auto"/>
      </w:divBdr>
    </w:div>
    <w:div w:id="1005860335">
      <w:bodyDiv w:val="1"/>
      <w:marLeft w:val="0"/>
      <w:marRight w:val="0"/>
      <w:marTop w:val="0"/>
      <w:marBottom w:val="0"/>
      <w:divBdr>
        <w:top w:val="none" w:sz="0" w:space="0" w:color="auto"/>
        <w:left w:val="none" w:sz="0" w:space="0" w:color="auto"/>
        <w:bottom w:val="none" w:sz="0" w:space="0" w:color="auto"/>
        <w:right w:val="none" w:sz="0" w:space="0" w:color="auto"/>
      </w:divBdr>
    </w:div>
    <w:div w:id="1020662449">
      <w:bodyDiv w:val="1"/>
      <w:marLeft w:val="0"/>
      <w:marRight w:val="0"/>
      <w:marTop w:val="0"/>
      <w:marBottom w:val="0"/>
      <w:divBdr>
        <w:top w:val="none" w:sz="0" w:space="0" w:color="auto"/>
        <w:left w:val="none" w:sz="0" w:space="0" w:color="auto"/>
        <w:bottom w:val="none" w:sz="0" w:space="0" w:color="auto"/>
        <w:right w:val="none" w:sz="0" w:space="0" w:color="auto"/>
      </w:divBdr>
    </w:div>
    <w:div w:id="1026518681">
      <w:bodyDiv w:val="1"/>
      <w:marLeft w:val="0"/>
      <w:marRight w:val="0"/>
      <w:marTop w:val="0"/>
      <w:marBottom w:val="0"/>
      <w:divBdr>
        <w:top w:val="none" w:sz="0" w:space="0" w:color="auto"/>
        <w:left w:val="none" w:sz="0" w:space="0" w:color="auto"/>
        <w:bottom w:val="none" w:sz="0" w:space="0" w:color="auto"/>
        <w:right w:val="none" w:sz="0" w:space="0" w:color="auto"/>
      </w:divBdr>
    </w:div>
    <w:div w:id="1056975436">
      <w:bodyDiv w:val="1"/>
      <w:marLeft w:val="0"/>
      <w:marRight w:val="0"/>
      <w:marTop w:val="0"/>
      <w:marBottom w:val="0"/>
      <w:divBdr>
        <w:top w:val="none" w:sz="0" w:space="0" w:color="auto"/>
        <w:left w:val="none" w:sz="0" w:space="0" w:color="auto"/>
        <w:bottom w:val="none" w:sz="0" w:space="0" w:color="auto"/>
        <w:right w:val="none" w:sz="0" w:space="0" w:color="auto"/>
      </w:divBdr>
    </w:div>
    <w:div w:id="1105265937">
      <w:bodyDiv w:val="1"/>
      <w:marLeft w:val="0"/>
      <w:marRight w:val="0"/>
      <w:marTop w:val="0"/>
      <w:marBottom w:val="0"/>
      <w:divBdr>
        <w:top w:val="none" w:sz="0" w:space="0" w:color="auto"/>
        <w:left w:val="none" w:sz="0" w:space="0" w:color="auto"/>
        <w:bottom w:val="none" w:sz="0" w:space="0" w:color="auto"/>
        <w:right w:val="none" w:sz="0" w:space="0" w:color="auto"/>
      </w:divBdr>
    </w:div>
    <w:div w:id="1112093768">
      <w:bodyDiv w:val="1"/>
      <w:marLeft w:val="0"/>
      <w:marRight w:val="0"/>
      <w:marTop w:val="0"/>
      <w:marBottom w:val="0"/>
      <w:divBdr>
        <w:top w:val="none" w:sz="0" w:space="0" w:color="auto"/>
        <w:left w:val="none" w:sz="0" w:space="0" w:color="auto"/>
        <w:bottom w:val="none" w:sz="0" w:space="0" w:color="auto"/>
        <w:right w:val="none" w:sz="0" w:space="0" w:color="auto"/>
      </w:divBdr>
    </w:div>
    <w:div w:id="1121724128">
      <w:bodyDiv w:val="1"/>
      <w:marLeft w:val="0"/>
      <w:marRight w:val="0"/>
      <w:marTop w:val="0"/>
      <w:marBottom w:val="0"/>
      <w:divBdr>
        <w:top w:val="none" w:sz="0" w:space="0" w:color="auto"/>
        <w:left w:val="none" w:sz="0" w:space="0" w:color="auto"/>
        <w:bottom w:val="none" w:sz="0" w:space="0" w:color="auto"/>
        <w:right w:val="none" w:sz="0" w:space="0" w:color="auto"/>
      </w:divBdr>
    </w:div>
    <w:div w:id="1134912961">
      <w:bodyDiv w:val="1"/>
      <w:marLeft w:val="0"/>
      <w:marRight w:val="0"/>
      <w:marTop w:val="0"/>
      <w:marBottom w:val="0"/>
      <w:divBdr>
        <w:top w:val="none" w:sz="0" w:space="0" w:color="auto"/>
        <w:left w:val="none" w:sz="0" w:space="0" w:color="auto"/>
        <w:bottom w:val="none" w:sz="0" w:space="0" w:color="auto"/>
        <w:right w:val="none" w:sz="0" w:space="0" w:color="auto"/>
      </w:divBdr>
    </w:div>
    <w:div w:id="1141389635">
      <w:bodyDiv w:val="1"/>
      <w:marLeft w:val="0"/>
      <w:marRight w:val="0"/>
      <w:marTop w:val="0"/>
      <w:marBottom w:val="0"/>
      <w:divBdr>
        <w:top w:val="none" w:sz="0" w:space="0" w:color="auto"/>
        <w:left w:val="none" w:sz="0" w:space="0" w:color="auto"/>
        <w:bottom w:val="none" w:sz="0" w:space="0" w:color="auto"/>
        <w:right w:val="none" w:sz="0" w:space="0" w:color="auto"/>
      </w:divBdr>
    </w:div>
    <w:div w:id="1153252069">
      <w:bodyDiv w:val="1"/>
      <w:marLeft w:val="0"/>
      <w:marRight w:val="0"/>
      <w:marTop w:val="0"/>
      <w:marBottom w:val="0"/>
      <w:divBdr>
        <w:top w:val="none" w:sz="0" w:space="0" w:color="auto"/>
        <w:left w:val="none" w:sz="0" w:space="0" w:color="auto"/>
        <w:bottom w:val="none" w:sz="0" w:space="0" w:color="auto"/>
        <w:right w:val="none" w:sz="0" w:space="0" w:color="auto"/>
      </w:divBdr>
    </w:div>
    <w:div w:id="1202592025">
      <w:bodyDiv w:val="1"/>
      <w:marLeft w:val="0"/>
      <w:marRight w:val="0"/>
      <w:marTop w:val="0"/>
      <w:marBottom w:val="0"/>
      <w:divBdr>
        <w:top w:val="none" w:sz="0" w:space="0" w:color="auto"/>
        <w:left w:val="none" w:sz="0" w:space="0" w:color="auto"/>
        <w:bottom w:val="none" w:sz="0" w:space="0" w:color="auto"/>
        <w:right w:val="none" w:sz="0" w:space="0" w:color="auto"/>
      </w:divBdr>
    </w:div>
    <w:div w:id="1246915318">
      <w:bodyDiv w:val="1"/>
      <w:marLeft w:val="0"/>
      <w:marRight w:val="0"/>
      <w:marTop w:val="0"/>
      <w:marBottom w:val="0"/>
      <w:divBdr>
        <w:top w:val="none" w:sz="0" w:space="0" w:color="auto"/>
        <w:left w:val="none" w:sz="0" w:space="0" w:color="auto"/>
        <w:bottom w:val="none" w:sz="0" w:space="0" w:color="auto"/>
        <w:right w:val="none" w:sz="0" w:space="0" w:color="auto"/>
      </w:divBdr>
    </w:div>
    <w:div w:id="1274628058">
      <w:bodyDiv w:val="1"/>
      <w:marLeft w:val="0"/>
      <w:marRight w:val="0"/>
      <w:marTop w:val="0"/>
      <w:marBottom w:val="0"/>
      <w:divBdr>
        <w:top w:val="none" w:sz="0" w:space="0" w:color="auto"/>
        <w:left w:val="none" w:sz="0" w:space="0" w:color="auto"/>
        <w:bottom w:val="none" w:sz="0" w:space="0" w:color="auto"/>
        <w:right w:val="none" w:sz="0" w:space="0" w:color="auto"/>
      </w:divBdr>
    </w:div>
    <w:div w:id="1317421130">
      <w:bodyDiv w:val="1"/>
      <w:marLeft w:val="0"/>
      <w:marRight w:val="0"/>
      <w:marTop w:val="0"/>
      <w:marBottom w:val="0"/>
      <w:divBdr>
        <w:top w:val="none" w:sz="0" w:space="0" w:color="auto"/>
        <w:left w:val="none" w:sz="0" w:space="0" w:color="auto"/>
        <w:bottom w:val="none" w:sz="0" w:space="0" w:color="auto"/>
        <w:right w:val="none" w:sz="0" w:space="0" w:color="auto"/>
      </w:divBdr>
    </w:div>
    <w:div w:id="1356038039">
      <w:bodyDiv w:val="1"/>
      <w:marLeft w:val="0"/>
      <w:marRight w:val="0"/>
      <w:marTop w:val="0"/>
      <w:marBottom w:val="0"/>
      <w:divBdr>
        <w:top w:val="none" w:sz="0" w:space="0" w:color="auto"/>
        <w:left w:val="none" w:sz="0" w:space="0" w:color="auto"/>
        <w:bottom w:val="none" w:sz="0" w:space="0" w:color="auto"/>
        <w:right w:val="none" w:sz="0" w:space="0" w:color="auto"/>
      </w:divBdr>
    </w:div>
    <w:div w:id="1362705284">
      <w:bodyDiv w:val="1"/>
      <w:marLeft w:val="0"/>
      <w:marRight w:val="0"/>
      <w:marTop w:val="0"/>
      <w:marBottom w:val="0"/>
      <w:divBdr>
        <w:top w:val="none" w:sz="0" w:space="0" w:color="auto"/>
        <w:left w:val="none" w:sz="0" w:space="0" w:color="auto"/>
        <w:bottom w:val="none" w:sz="0" w:space="0" w:color="auto"/>
        <w:right w:val="none" w:sz="0" w:space="0" w:color="auto"/>
      </w:divBdr>
    </w:div>
    <w:div w:id="1366059762">
      <w:bodyDiv w:val="1"/>
      <w:marLeft w:val="0"/>
      <w:marRight w:val="0"/>
      <w:marTop w:val="0"/>
      <w:marBottom w:val="0"/>
      <w:divBdr>
        <w:top w:val="none" w:sz="0" w:space="0" w:color="auto"/>
        <w:left w:val="none" w:sz="0" w:space="0" w:color="auto"/>
        <w:bottom w:val="none" w:sz="0" w:space="0" w:color="auto"/>
        <w:right w:val="none" w:sz="0" w:space="0" w:color="auto"/>
      </w:divBdr>
    </w:div>
    <w:div w:id="1377973221">
      <w:bodyDiv w:val="1"/>
      <w:marLeft w:val="0"/>
      <w:marRight w:val="0"/>
      <w:marTop w:val="0"/>
      <w:marBottom w:val="0"/>
      <w:divBdr>
        <w:top w:val="none" w:sz="0" w:space="0" w:color="auto"/>
        <w:left w:val="none" w:sz="0" w:space="0" w:color="auto"/>
        <w:bottom w:val="none" w:sz="0" w:space="0" w:color="auto"/>
        <w:right w:val="none" w:sz="0" w:space="0" w:color="auto"/>
      </w:divBdr>
    </w:div>
    <w:div w:id="1386098512">
      <w:bodyDiv w:val="1"/>
      <w:marLeft w:val="0"/>
      <w:marRight w:val="0"/>
      <w:marTop w:val="0"/>
      <w:marBottom w:val="0"/>
      <w:divBdr>
        <w:top w:val="none" w:sz="0" w:space="0" w:color="auto"/>
        <w:left w:val="none" w:sz="0" w:space="0" w:color="auto"/>
        <w:bottom w:val="none" w:sz="0" w:space="0" w:color="auto"/>
        <w:right w:val="none" w:sz="0" w:space="0" w:color="auto"/>
      </w:divBdr>
    </w:div>
    <w:div w:id="1417091186">
      <w:bodyDiv w:val="1"/>
      <w:marLeft w:val="0"/>
      <w:marRight w:val="0"/>
      <w:marTop w:val="0"/>
      <w:marBottom w:val="0"/>
      <w:divBdr>
        <w:top w:val="none" w:sz="0" w:space="0" w:color="auto"/>
        <w:left w:val="none" w:sz="0" w:space="0" w:color="auto"/>
        <w:bottom w:val="none" w:sz="0" w:space="0" w:color="auto"/>
        <w:right w:val="none" w:sz="0" w:space="0" w:color="auto"/>
      </w:divBdr>
    </w:div>
    <w:div w:id="1433739556">
      <w:bodyDiv w:val="1"/>
      <w:marLeft w:val="0"/>
      <w:marRight w:val="0"/>
      <w:marTop w:val="0"/>
      <w:marBottom w:val="0"/>
      <w:divBdr>
        <w:top w:val="none" w:sz="0" w:space="0" w:color="auto"/>
        <w:left w:val="none" w:sz="0" w:space="0" w:color="auto"/>
        <w:bottom w:val="none" w:sz="0" w:space="0" w:color="auto"/>
        <w:right w:val="none" w:sz="0" w:space="0" w:color="auto"/>
      </w:divBdr>
    </w:div>
    <w:div w:id="1452238341">
      <w:bodyDiv w:val="1"/>
      <w:marLeft w:val="0"/>
      <w:marRight w:val="0"/>
      <w:marTop w:val="0"/>
      <w:marBottom w:val="0"/>
      <w:divBdr>
        <w:top w:val="none" w:sz="0" w:space="0" w:color="auto"/>
        <w:left w:val="none" w:sz="0" w:space="0" w:color="auto"/>
        <w:bottom w:val="none" w:sz="0" w:space="0" w:color="auto"/>
        <w:right w:val="none" w:sz="0" w:space="0" w:color="auto"/>
      </w:divBdr>
    </w:div>
    <w:div w:id="1455366020">
      <w:bodyDiv w:val="1"/>
      <w:marLeft w:val="0"/>
      <w:marRight w:val="0"/>
      <w:marTop w:val="0"/>
      <w:marBottom w:val="0"/>
      <w:divBdr>
        <w:top w:val="none" w:sz="0" w:space="0" w:color="auto"/>
        <w:left w:val="none" w:sz="0" w:space="0" w:color="auto"/>
        <w:bottom w:val="none" w:sz="0" w:space="0" w:color="auto"/>
        <w:right w:val="none" w:sz="0" w:space="0" w:color="auto"/>
      </w:divBdr>
    </w:div>
    <w:div w:id="1539784231">
      <w:bodyDiv w:val="1"/>
      <w:marLeft w:val="0"/>
      <w:marRight w:val="0"/>
      <w:marTop w:val="0"/>
      <w:marBottom w:val="0"/>
      <w:divBdr>
        <w:top w:val="none" w:sz="0" w:space="0" w:color="auto"/>
        <w:left w:val="none" w:sz="0" w:space="0" w:color="auto"/>
        <w:bottom w:val="none" w:sz="0" w:space="0" w:color="auto"/>
        <w:right w:val="none" w:sz="0" w:space="0" w:color="auto"/>
      </w:divBdr>
    </w:div>
    <w:div w:id="1575093298">
      <w:bodyDiv w:val="1"/>
      <w:marLeft w:val="0"/>
      <w:marRight w:val="0"/>
      <w:marTop w:val="0"/>
      <w:marBottom w:val="0"/>
      <w:divBdr>
        <w:top w:val="none" w:sz="0" w:space="0" w:color="auto"/>
        <w:left w:val="none" w:sz="0" w:space="0" w:color="auto"/>
        <w:bottom w:val="none" w:sz="0" w:space="0" w:color="auto"/>
        <w:right w:val="none" w:sz="0" w:space="0" w:color="auto"/>
      </w:divBdr>
    </w:div>
    <w:div w:id="1607348262">
      <w:bodyDiv w:val="1"/>
      <w:marLeft w:val="0"/>
      <w:marRight w:val="0"/>
      <w:marTop w:val="0"/>
      <w:marBottom w:val="0"/>
      <w:divBdr>
        <w:top w:val="none" w:sz="0" w:space="0" w:color="auto"/>
        <w:left w:val="none" w:sz="0" w:space="0" w:color="auto"/>
        <w:bottom w:val="none" w:sz="0" w:space="0" w:color="auto"/>
        <w:right w:val="none" w:sz="0" w:space="0" w:color="auto"/>
      </w:divBdr>
    </w:div>
    <w:div w:id="1652322780">
      <w:bodyDiv w:val="1"/>
      <w:marLeft w:val="0"/>
      <w:marRight w:val="0"/>
      <w:marTop w:val="0"/>
      <w:marBottom w:val="0"/>
      <w:divBdr>
        <w:top w:val="none" w:sz="0" w:space="0" w:color="auto"/>
        <w:left w:val="none" w:sz="0" w:space="0" w:color="auto"/>
        <w:bottom w:val="none" w:sz="0" w:space="0" w:color="auto"/>
        <w:right w:val="none" w:sz="0" w:space="0" w:color="auto"/>
      </w:divBdr>
    </w:div>
    <w:div w:id="1652978429">
      <w:bodyDiv w:val="1"/>
      <w:marLeft w:val="0"/>
      <w:marRight w:val="0"/>
      <w:marTop w:val="0"/>
      <w:marBottom w:val="0"/>
      <w:divBdr>
        <w:top w:val="none" w:sz="0" w:space="0" w:color="auto"/>
        <w:left w:val="none" w:sz="0" w:space="0" w:color="auto"/>
        <w:bottom w:val="none" w:sz="0" w:space="0" w:color="auto"/>
        <w:right w:val="none" w:sz="0" w:space="0" w:color="auto"/>
      </w:divBdr>
    </w:div>
    <w:div w:id="1674647479">
      <w:bodyDiv w:val="1"/>
      <w:marLeft w:val="0"/>
      <w:marRight w:val="0"/>
      <w:marTop w:val="0"/>
      <w:marBottom w:val="0"/>
      <w:divBdr>
        <w:top w:val="none" w:sz="0" w:space="0" w:color="auto"/>
        <w:left w:val="none" w:sz="0" w:space="0" w:color="auto"/>
        <w:bottom w:val="none" w:sz="0" w:space="0" w:color="auto"/>
        <w:right w:val="none" w:sz="0" w:space="0" w:color="auto"/>
      </w:divBdr>
    </w:div>
    <w:div w:id="1707752907">
      <w:bodyDiv w:val="1"/>
      <w:marLeft w:val="0"/>
      <w:marRight w:val="0"/>
      <w:marTop w:val="0"/>
      <w:marBottom w:val="0"/>
      <w:divBdr>
        <w:top w:val="none" w:sz="0" w:space="0" w:color="auto"/>
        <w:left w:val="none" w:sz="0" w:space="0" w:color="auto"/>
        <w:bottom w:val="none" w:sz="0" w:space="0" w:color="auto"/>
        <w:right w:val="none" w:sz="0" w:space="0" w:color="auto"/>
      </w:divBdr>
    </w:div>
    <w:div w:id="1709254209">
      <w:bodyDiv w:val="1"/>
      <w:marLeft w:val="0"/>
      <w:marRight w:val="0"/>
      <w:marTop w:val="0"/>
      <w:marBottom w:val="0"/>
      <w:divBdr>
        <w:top w:val="none" w:sz="0" w:space="0" w:color="auto"/>
        <w:left w:val="none" w:sz="0" w:space="0" w:color="auto"/>
        <w:bottom w:val="none" w:sz="0" w:space="0" w:color="auto"/>
        <w:right w:val="none" w:sz="0" w:space="0" w:color="auto"/>
      </w:divBdr>
    </w:div>
    <w:div w:id="1744257245">
      <w:bodyDiv w:val="1"/>
      <w:marLeft w:val="0"/>
      <w:marRight w:val="0"/>
      <w:marTop w:val="0"/>
      <w:marBottom w:val="0"/>
      <w:divBdr>
        <w:top w:val="none" w:sz="0" w:space="0" w:color="auto"/>
        <w:left w:val="none" w:sz="0" w:space="0" w:color="auto"/>
        <w:bottom w:val="none" w:sz="0" w:space="0" w:color="auto"/>
        <w:right w:val="none" w:sz="0" w:space="0" w:color="auto"/>
      </w:divBdr>
    </w:div>
    <w:div w:id="1760564169">
      <w:bodyDiv w:val="1"/>
      <w:marLeft w:val="0"/>
      <w:marRight w:val="0"/>
      <w:marTop w:val="0"/>
      <w:marBottom w:val="0"/>
      <w:divBdr>
        <w:top w:val="none" w:sz="0" w:space="0" w:color="auto"/>
        <w:left w:val="none" w:sz="0" w:space="0" w:color="auto"/>
        <w:bottom w:val="none" w:sz="0" w:space="0" w:color="auto"/>
        <w:right w:val="none" w:sz="0" w:space="0" w:color="auto"/>
      </w:divBdr>
    </w:div>
    <w:div w:id="1761564518">
      <w:bodyDiv w:val="1"/>
      <w:marLeft w:val="0"/>
      <w:marRight w:val="0"/>
      <w:marTop w:val="0"/>
      <w:marBottom w:val="0"/>
      <w:divBdr>
        <w:top w:val="none" w:sz="0" w:space="0" w:color="auto"/>
        <w:left w:val="none" w:sz="0" w:space="0" w:color="auto"/>
        <w:bottom w:val="none" w:sz="0" w:space="0" w:color="auto"/>
        <w:right w:val="none" w:sz="0" w:space="0" w:color="auto"/>
      </w:divBdr>
    </w:div>
    <w:div w:id="1773863694">
      <w:bodyDiv w:val="1"/>
      <w:marLeft w:val="0"/>
      <w:marRight w:val="0"/>
      <w:marTop w:val="0"/>
      <w:marBottom w:val="0"/>
      <w:divBdr>
        <w:top w:val="none" w:sz="0" w:space="0" w:color="auto"/>
        <w:left w:val="none" w:sz="0" w:space="0" w:color="auto"/>
        <w:bottom w:val="none" w:sz="0" w:space="0" w:color="auto"/>
        <w:right w:val="none" w:sz="0" w:space="0" w:color="auto"/>
      </w:divBdr>
    </w:div>
    <w:div w:id="1788354948">
      <w:bodyDiv w:val="1"/>
      <w:marLeft w:val="0"/>
      <w:marRight w:val="0"/>
      <w:marTop w:val="0"/>
      <w:marBottom w:val="0"/>
      <w:divBdr>
        <w:top w:val="none" w:sz="0" w:space="0" w:color="auto"/>
        <w:left w:val="none" w:sz="0" w:space="0" w:color="auto"/>
        <w:bottom w:val="none" w:sz="0" w:space="0" w:color="auto"/>
        <w:right w:val="none" w:sz="0" w:space="0" w:color="auto"/>
      </w:divBdr>
    </w:div>
    <w:div w:id="1804537405">
      <w:bodyDiv w:val="1"/>
      <w:marLeft w:val="0"/>
      <w:marRight w:val="0"/>
      <w:marTop w:val="0"/>
      <w:marBottom w:val="0"/>
      <w:divBdr>
        <w:top w:val="none" w:sz="0" w:space="0" w:color="auto"/>
        <w:left w:val="none" w:sz="0" w:space="0" w:color="auto"/>
        <w:bottom w:val="none" w:sz="0" w:space="0" w:color="auto"/>
        <w:right w:val="none" w:sz="0" w:space="0" w:color="auto"/>
      </w:divBdr>
    </w:div>
    <w:div w:id="1809014410">
      <w:bodyDiv w:val="1"/>
      <w:marLeft w:val="0"/>
      <w:marRight w:val="0"/>
      <w:marTop w:val="0"/>
      <w:marBottom w:val="0"/>
      <w:divBdr>
        <w:top w:val="none" w:sz="0" w:space="0" w:color="auto"/>
        <w:left w:val="none" w:sz="0" w:space="0" w:color="auto"/>
        <w:bottom w:val="none" w:sz="0" w:space="0" w:color="auto"/>
        <w:right w:val="none" w:sz="0" w:space="0" w:color="auto"/>
      </w:divBdr>
    </w:div>
    <w:div w:id="1814177904">
      <w:bodyDiv w:val="1"/>
      <w:marLeft w:val="0"/>
      <w:marRight w:val="0"/>
      <w:marTop w:val="0"/>
      <w:marBottom w:val="0"/>
      <w:divBdr>
        <w:top w:val="none" w:sz="0" w:space="0" w:color="auto"/>
        <w:left w:val="none" w:sz="0" w:space="0" w:color="auto"/>
        <w:bottom w:val="none" w:sz="0" w:space="0" w:color="auto"/>
        <w:right w:val="none" w:sz="0" w:space="0" w:color="auto"/>
      </w:divBdr>
    </w:div>
    <w:div w:id="1819566624">
      <w:bodyDiv w:val="1"/>
      <w:marLeft w:val="0"/>
      <w:marRight w:val="0"/>
      <w:marTop w:val="0"/>
      <w:marBottom w:val="0"/>
      <w:divBdr>
        <w:top w:val="none" w:sz="0" w:space="0" w:color="auto"/>
        <w:left w:val="none" w:sz="0" w:space="0" w:color="auto"/>
        <w:bottom w:val="none" w:sz="0" w:space="0" w:color="auto"/>
        <w:right w:val="none" w:sz="0" w:space="0" w:color="auto"/>
      </w:divBdr>
    </w:div>
    <w:div w:id="1831091764">
      <w:bodyDiv w:val="1"/>
      <w:marLeft w:val="0"/>
      <w:marRight w:val="0"/>
      <w:marTop w:val="0"/>
      <w:marBottom w:val="0"/>
      <w:divBdr>
        <w:top w:val="none" w:sz="0" w:space="0" w:color="auto"/>
        <w:left w:val="none" w:sz="0" w:space="0" w:color="auto"/>
        <w:bottom w:val="none" w:sz="0" w:space="0" w:color="auto"/>
        <w:right w:val="none" w:sz="0" w:space="0" w:color="auto"/>
      </w:divBdr>
    </w:div>
    <w:div w:id="1879196375">
      <w:bodyDiv w:val="1"/>
      <w:marLeft w:val="0"/>
      <w:marRight w:val="0"/>
      <w:marTop w:val="0"/>
      <w:marBottom w:val="0"/>
      <w:divBdr>
        <w:top w:val="none" w:sz="0" w:space="0" w:color="auto"/>
        <w:left w:val="none" w:sz="0" w:space="0" w:color="auto"/>
        <w:bottom w:val="none" w:sz="0" w:space="0" w:color="auto"/>
        <w:right w:val="none" w:sz="0" w:space="0" w:color="auto"/>
      </w:divBdr>
    </w:div>
    <w:div w:id="2092853211">
      <w:bodyDiv w:val="1"/>
      <w:marLeft w:val="0"/>
      <w:marRight w:val="0"/>
      <w:marTop w:val="0"/>
      <w:marBottom w:val="0"/>
      <w:divBdr>
        <w:top w:val="none" w:sz="0" w:space="0" w:color="auto"/>
        <w:left w:val="none" w:sz="0" w:space="0" w:color="auto"/>
        <w:bottom w:val="none" w:sz="0" w:space="0" w:color="auto"/>
        <w:right w:val="none" w:sz="0" w:space="0" w:color="auto"/>
      </w:divBdr>
    </w:div>
    <w:div w:id="2112504349">
      <w:bodyDiv w:val="1"/>
      <w:marLeft w:val="0"/>
      <w:marRight w:val="0"/>
      <w:marTop w:val="0"/>
      <w:marBottom w:val="0"/>
      <w:divBdr>
        <w:top w:val="none" w:sz="0" w:space="0" w:color="auto"/>
        <w:left w:val="none" w:sz="0" w:space="0" w:color="auto"/>
        <w:bottom w:val="none" w:sz="0" w:space="0" w:color="auto"/>
        <w:right w:val="none" w:sz="0" w:space="0" w:color="auto"/>
      </w:divBdr>
    </w:div>
    <w:div w:id="2113165723">
      <w:bodyDiv w:val="1"/>
      <w:marLeft w:val="0"/>
      <w:marRight w:val="0"/>
      <w:marTop w:val="0"/>
      <w:marBottom w:val="0"/>
      <w:divBdr>
        <w:top w:val="none" w:sz="0" w:space="0" w:color="auto"/>
        <w:left w:val="none" w:sz="0" w:space="0" w:color="auto"/>
        <w:bottom w:val="none" w:sz="0" w:space="0" w:color="auto"/>
        <w:right w:val="none" w:sz="0" w:space="0" w:color="auto"/>
      </w:divBdr>
    </w:div>
    <w:div w:id="213602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chart" Target="charts/chart27.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chart" Target="charts/chart30.xml"/><Relationship Id="rId47" Type="http://schemas.openxmlformats.org/officeDocument/2006/relationships/chart" Target="charts/chart35.xml"/><Relationship Id="rId50" Type="http://schemas.openxmlformats.org/officeDocument/2006/relationships/chart" Target="charts/chart38.xml"/><Relationship Id="rId55" Type="http://schemas.openxmlformats.org/officeDocument/2006/relationships/chart" Target="charts/chart43.xml"/><Relationship Id="rId63" Type="http://schemas.openxmlformats.org/officeDocument/2006/relationships/chart" Target="charts/chart51.xml"/><Relationship Id="rId68" Type="http://schemas.openxmlformats.org/officeDocument/2006/relationships/chart" Target="charts/chart56.xml"/><Relationship Id="rId76" Type="http://schemas.openxmlformats.org/officeDocument/2006/relationships/chart" Target="charts/chart64.xml"/><Relationship Id="rId7" Type="http://schemas.openxmlformats.org/officeDocument/2006/relationships/endnotes" Target="endnotes.xml"/><Relationship Id="rId71" Type="http://schemas.openxmlformats.org/officeDocument/2006/relationships/chart" Target="charts/chart59.xml"/><Relationship Id="rId2" Type="http://schemas.openxmlformats.org/officeDocument/2006/relationships/numbering" Target="numbering.xml"/><Relationship Id="rId16" Type="http://schemas.openxmlformats.org/officeDocument/2006/relationships/chart" Target="charts/chart4.xml"/><Relationship Id="rId29" Type="http://schemas.openxmlformats.org/officeDocument/2006/relationships/chart" Target="charts/chart17.xml"/><Relationship Id="rId11" Type="http://schemas.openxmlformats.org/officeDocument/2006/relationships/footer" Target="footer1.xml"/><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chart" Target="charts/chart28.xml"/><Relationship Id="rId45" Type="http://schemas.openxmlformats.org/officeDocument/2006/relationships/chart" Target="charts/chart33.xml"/><Relationship Id="rId53" Type="http://schemas.openxmlformats.org/officeDocument/2006/relationships/chart" Target="charts/chart41.xml"/><Relationship Id="rId58" Type="http://schemas.openxmlformats.org/officeDocument/2006/relationships/chart" Target="charts/chart46.xml"/><Relationship Id="rId66" Type="http://schemas.openxmlformats.org/officeDocument/2006/relationships/chart" Target="charts/chart54.xml"/><Relationship Id="rId74" Type="http://schemas.openxmlformats.org/officeDocument/2006/relationships/chart" Target="charts/chart62.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chart" Target="charts/chart49.xml"/><Relationship Id="rId10" Type="http://schemas.openxmlformats.org/officeDocument/2006/relationships/header" Target="header2.xml"/><Relationship Id="rId19" Type="http://schemas.openxmlformats.org/officeDocument/2006/relationships/chart" Target="charts/chart7.xml"/><Relationship Id="rId31" Type="http://schemas.openxmlformats.org/officeDocument/2006/relationships/chart" Target="charts/chart19.xml"/><Relationship Id="rId44" Type="http://schemas.openxmlformats.org/officeDocument/2006/relationships/chart" Target="charts/chart32.xml"/><Relationship Id="rId52" Type="http://schemas.openxmlformats.org/officeDocument/2006/relationships/chart" Target="charts/chart40.xml"/><Relationship Id="rId60" Type="http://schemas.openxmlformats.org/officeDocument/2006/relationships/chart" Target="charts/chart48.xml"/><Relationship Id="rId65" Type="http://schemas.openxmlformats.org/officeDocument/2006/relationships/chart" Target="charts/chart53.xml"/><Relationship Id="rId73" Type="http://schemas.openxmlformats.org/officeDocument/2006/relationships/chart" Target="charts/chart61.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chart" Target="charts/chart31.xml"/><Relationship Id="rId48" Type="http://schemas.openxmlformats.org/officeDocument/2006/relationships/chart" Target="charts/chart36.xml"/><Relationship Id="rId56" Type="http://schemas.openxmlformats.org/officeDocument/2006/relationships/chart" Target="charts/chart44.xml"/><Relationship Id="rId64" Type="http://schemas.openxmlformats.org/officeDocument/2006/relationships/chart" Target="charts/chart52.xml"/><Relationship Id="rId69" Type="http://schemas.openxmlformats.org/officeDocument/2006/relationships/chart" Target="charts/chart57.xml"/><Relationship Id="rId77"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chart" Target="charts/chart39.xml"/><Relationship Id="rId72" Type="http://schemas.openxmlformats.org/officeDocument/2006/relationships/chart" Target="charts/chart60.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 Id="rId46" Type="http://schemas.openxmlformats.org/officeDocument/2006/relationships/chart" Target="charts/chart34.xml"/><Relationship Id="rId59" Type="http://schemas.openxmlformats.org/officeDocument/2006/relationships/chart" Target="charts/chart47.xml"/><Relationship Id="rId67" Type="http://schemas.openxmlformats.org/officeDocument/2006/relationships/chart" Target="charts/chart55.xml"/><Relationship Id="rId20" Type="http://schemas.openxmlformats.org/officeDocument/2006/relationships/chart" Target="charts/chart8.xml"/><Relationship Id="rId41" Type="http://schemas.openxmlformats.org/officeDocument/2006/relationships/chart" Target="charts/chart29.xml"/><Relationship Id="rId54" Type="http://schemas.openxmlformats.org/officeDocument/2006/relationships/chart" Target="charts/chart42.xml"/><Relationship Id="rId62" Type="http://schemas.openxmlformats.org/officeDocument/2006/relationships/chart" Target="charts/chart50.xml"/><Relationship Id="rId70" Type="http://schemas.openxmlformats.org/officeDocument/2006/relationships/chart" Target="charts/chart58.xml"/><Relationship Id="rId75" Type="http://schemas.openxmlformats.org/officeDocument/2006/relationships/chart" Target="charts/chart6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49" Type="http://schemas.openxmlformats.org/officeDocument/2006/relationships/chart" Target="charts/chart37.xml"/><Relationship Id="rId57" Type="http://schemas.openxmlformats.org/officeDocument/2006/relationships/chart" Target="charts/chart4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tumpy\Documents\Analysis%2034.xlsm"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Stumpy\Documents\Analysis%2025.xlsm"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tumpy\Documents\Analysis%2028.xlsm"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tumpy\Documents\Analysis%2021.xlsm"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tumpy\Documents\Analysis%2021.xlsm"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file:///C:\Users\Stumpy\Documents\Analysis%2036.xlsm"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file:///C:\Users\Stumpy\Documents\Analysis%2024.xlsm"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file:///C:\Users\Stumpy\Documents\Analysis%2024.xlsm"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file:///C:\Users\Stumpy\Documents\Analysis%2025.xlsm"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Stumpy\Documents\Analysis%2035.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chart>
    <c:plotArea>
      <c:layout>
        <c:manualLayout>
          <c:layoutTarget val="inner"/>
          <c:xMode val="edge"/>
          <c:yMode val="edge"/>
          <c:x val="0.27332420403971913"/>
          <c:y val="0.16824074074074308"/>
          <c:w val="0.47984142607174102"/>
          <c:h val="0.799735710119585"/>
        </c:manualLayout>
      </c:layout>
      <c:pieChart>
        <c:varyColors val="1"/>
        <c:ser>
          <c:idx val="0"/>
          <c:order val="0"/>
          <c:dLbls>
            <c:dLbl>
              <c:idx val="0"/>
              <c:layout>
                <c:manualLayout>
                  <c:x val="-2.7322834645669412E-3"/>
                  <c:y val="2.3400143163922856E-2"/>
                </c:manualLayout>
              </c:layout>
              <c:showCatName val="1"/>
              <c:showPercent val="1"/>
            </c:dLbl>
            <c:dLbl>
              <c:idx val="1"/>
              <c:delete val="1"/>
            </c:dLbl>
            <c:dLbl>
              <c:idx val="2"/>
              <c:layout>
                <c:manualLayout>
                  <c:x val="-6.6938101487314078E-2"/>
                  <c:y val="1.4606663750364538E-2"/>
                </c:manualLayout>
              </c:layout>
              <c:showCatName val="1"/>
              <c:showPercent val="1"/>
            </c:dLbl>
            <c:dLbl>
              <c:idx val="3"/>
              <c:layout>
                <c:manualLayout>
                  <c:x val="-7.5944006999125124E-2"/>
                  <c:y val="-3.4382473024205412E-2"/>
                </c:manualLayout>
              </c:layout>
              <c:showCatName val="1"/>
              <c:showPercent val="1"/>
            </c:dLbl>
            <c:dLbl>
              <c:idx val="4"/>
              <c:layout>
                <c:manualLayout>
                  <c:x val="-2.2277340332458692E-2"/>
                  <c:y val="4.2627398847871534E-2"/>
                </c:manualLayout>
              </c:layout>
              <c:showCatName val="1"/>
              <c:showPercent val="1"/>
            </c:dLbl>
            <c:numFmt formatCode="0%" sourceLinked="0"/>
            <c:showCatName val="1"/>
            <c:showPercent val="1"/>
            <c:showLeaderLines val="1"/>
          </c:dLbls>
          <c:cat>
            <c:strRef>
              <c:f>'CTCN Poroportions'!$D$204:$D$208</c:f>
              <c:strCache>
                <c:ptCount val="5"/>
                <c:pt idx="0">
                  <c:v> Ink-jet</c:v>
                </c:pt>
                <c:pt idx="1">
                  <c:v> Dot matrix</c:v>
                </c:pt>
                <c:pt idx="2">
                  <c:v> Laser</c:v>
                </c:pt>
                <c:pt idx="3">
                  <c:v> Other</c:v>
                </c:pt>
                <c:pt idx="4">
                  <c:v> Other MFDs</c:v>
                </c:pt>
              </c:strCache>
            </c:strRef>
          </c:cat>
          <c:val>
            <c:numRef>
              <c:f>'CTCN Poroportions'!$E$204:$E$208</c:f>
              <c:numCache>
                <c:formatCode>General</c:formatCode>
                <c:ptCount val="5"/>
                <c:pt idx="0">
                  <c:v>1454465</c:v>
                </c:pt>
                <c:pt idx="1">
                  <c:v>21</c:v>
                </c:pt>
                <c:pt idx="2">
                  <c:v>142982</c:v>
                </c:pt>
                <c:pt idx="3">
                  <c:v>49326</c:v>
                </c:pt>
                <c:pt idx="4">
                  <c:v>446228</c:v>
                </c:pt>
              </c:numCache>
            </c:numRef>
          </c:val>
        </c:ser>
        <c:firstSliceAng val="0"/>
      </c:pieChart>
    </c:plotArea>
    <c:plotVisOnly val="1"/>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lgn="l">
              <a:defRPr sz="1000"/>
            </a:pPr>
            <a:r>
              <a:rPr lang="en-US"/>
              <a:t>SC07 8443.32.00 72</a:t>
            </a:r>
          </a:p>
          <a:p>
            <a:pPr algn="l">
              <a:defRPr sz="1000"/>
            </a:pPr>
            <a:r>
              <a:rPr lang="en-US"/>
              <a:t>Distribution of units imported</a:t>
            </a:r>
          </a:p>
        </c:rich>
      </c:tx>
      <c:layout>
        <c:manualLayout>
          <c:xMode val="edge"/>
          <c:yMode val="edge"/>
          <c:x val="3.888888888888889E-2"/>
          <c:y val="2.7777777777778869E-2"/>
        </c:manualLayout>
      </c:layout>
    </c:title>
    <c:plotArea>
      <c:layout/>
      <c:barChart>
        <c:barDir val="col"/>
        <c:grouping val="clustered"/>
        <c:ser>
          <c:idx val="0"/>
          <c:order val="0"/>
          <c:cat>
            <c:strRef>
              <c:f>'tc 7'!$Q$74:$Q$94</c:f>
              <c:strCache>
                <c:ptCount val="21"/>
                <c:pt idx="0">
                  <c:v>0 - 2</c:v>
                </c:pt>
                <c:pt idx="1">
                  <c:v>2 - 4</c:v>
                </c:pt>
                <c:pt idx="2">
                  <c:v>4 - 6</c:v>
                </c:pt>
                <c:pt idx="3">
                  <c:v>6 - 8</c:v>
                </c:pt>
                <c:pt idx="4">
                  <c:v>8 - 10</c:v>
                </c:pt>
                <c:pt idx="5">
                  <c:v>10 - 12</c:v>
                </c:pt>
                <c:pt idx="6">
                  <c:v>12 - 14</c:v>
                </c:pt>
                <c:pt idx="7">
                  <c:v>14 - 16</c:v>
                </c:pt>
                <c:pt idx="8">
                  <c:v>16 - 18</c:v>
                </c:pt>
                <c:pt idx="9">
                  <c:v>18 - 20</c:v>
                </c:pt>
                <c:pt idx="10">
                  <c:v>20 - 22</c:v>
                </c:pt>
                <c:pt idx="11">
                  <c:v>22 - 24</c:v>
                </c:pt>
                <c:pt idx="12">
                  <c:v>24 - 26</c:v>
                </c:pt>
                <c:pt idx="13">
                  <c:v>26 - 28</c:v>
                </c:pt>
                <c:pt idx="14">
                  <c:v>28 - 30</c:v>
                </c:pt>
                <c:pt idx="15">
                  <c:v>30 - 32</c:v>
                </c:pt>
                <c:pt idx="16">
                  <c:v>32 - 34</c:v>
                </c:pt>
                <c:pt idx="17">
                  <c:v>34 - 36</c:v>
                </c:pt>
                <c:pt idx="18">
                  <c:v>36 - 38</c:v>
                </c:pt>
                <c:pt idx="19">
                  <c:v>38 - 40</c:v>
                </c:pt>
                <c:pt idx="20">
                  <c:v>&gt;40</c:v>
                </c:pt>
              </c:strCache>
            </c:strRef>
          </c:cat>
          <c:val>
            <c:numRef>
              <c:f>'tc 7'!$AD$74:$AD$94</c:f>
              <c:numCache>
                <c:formatCode>_-* #,##0.0_-;\-* #,##0.0_-;_-* "-"??_-;_-@_-</c:formatCode>
                <c:ptCount val="21"/>
                <c:pt idx="0">
                  <c:v>73</c:v>
                </c:pt>
                <c:pt idx="1">
                  <c:v>0</c:v>
                </c:pt>
                <c:pt idx="2">
                  <c:v>774</c:v>
                </c:pt>
                <c:pt idx="3">
                  <c:v>0</c:v>
                </c:pt>
                <c:pt idx="4">
                  <c:v>323</c:v>
                </c:pt>
                <c:pt idx="5">
                  <c:v>455</c:v>
                </c:pt>
                <c:pt idx="6">
                  <c:v>0</c:v>
                </c:pt>
                <c:pt idx="7">
                  <c:v>9</c:v>
                </c:pt>
                <c:pt idx="8">
                  <c:v>46</c:v>
                </c:pt>
                <c:pt idx="9">
                  <c:v>0</c:v>
                </c:pt>
                <c:pt idx="10">
                  <c:v>0</c:v>
                </c:pt>
                <c:pt idx="11">
                  <c:v>0</c:v>
                </c:pt>
                <c:pt idx="12">
                  <c:v>0</c:v>
                </c:pt>
                <c:pt idx="13">
                  <c:v>0</c:v>
                </c:pt>
                <c:pt idx="14">
                  <c:v>0</c:v>
                </c:pt>
                <c:pt idx="15">
                  <c:v>0</c:v>
                </c:pt>
                <c:pt idx="16">
                  <c:v>0</c:v>
                </c:pt>
                <c:pt idx="17">
                  <c:v>27</c:v>
                </c:pt>
                <c:pt idx="18">
                  <c:v>0</c:v>
                </c:pt>
                <c:pt idx="19">
                  <c:v>0</c:v>
                </c:pt>
                <c:pt idx="20">
                  <c:v>0</c:v>
                </c:pt>
              </c:numCache>
            </c:numRef>
          </c:val>
        </c:ser>
        <c:axId val="171416960"/>
        <c:axId val="171431424"/>
      </c:barChart>
      <c:catAx>
        <c:axId val="171416960"/>
        <c:scaling>
          <c:orientation val="minMax"/>
        </c:scaling>
        <c:axPos val="b"/>
        <c:title>
          <c:tx>
            <c:rich>
              <a:bodyPr/>
              <a:lstStyle/>
              <a:p>
                <a:pPr>
                  <a:defRPr b="0"/>
                </a:pPr>
                <a:r>
                  <a:rPr lang="en-US"/>
                  <a:t>Unit weight (kg)</a:t>
                </a:r>
              </a:p>
            </c:rich>
          </c:tx>
        </c:title>
        <c:tickLblPos val="nextTo"/>
        <c:txPr>
          <a:bodyPr rot="-5400000" vert="horz"/>
          <a:lstStyle/>
          <a:p>
            <a:pPr>
              <a:defRPr/>
            </a:pPr>
            <a:endParaRPr lang="en-US"/>
          </a:p>
        </c:txPr>
        <c:crossAx val="171431424"/>
        <c:crosses val="autoZero"/>
        <c:auto val="1"/>
        <c:lblAlgn val="ctr"/>
        <c:lblOffset val="100"/>
      </c:catAx>
      <c:valAx>
        <c:axId val="171431424"/>
        <c:scaling>
          <c:orientation val="minMax"/>
        </c:scaling>
        <c:axPos val="l"/>
        <c:majorGridlines/>
        <c:title>
          <c:tx>
            <c:rich>
              <a:bodyPr rot="-5400000" vert="horz"/>
              <a:lstStyle/>
              <a:p>
                <a:pPr>
                  <a:defRPr b="0"/>
                </a:pPr>
                <a:r>
                  <a:rPr lang="en-US"/>
                  <a:t>Number of units</a:t>
                </a:r>
              </a:p>
            </c:rich>
          </c:tx>
        </c:title>
        <c:numFmt formatCode="#,##0" sourceLinked="0"/>
        <c:tickLblPos val="nextTo"/>
        <c:crossAx val="171416960"/>
        <c:crosses val="autoZero"/>
        <c:crossBetween val="between"/>
      </c:valAx>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AU"/>
  <c:chart>
    <c:title>
      <c:tx>
        <c:rich>
          <a:bodyPr/>
          <a:lstStyle/>
          <a:p>
            <a:pPr algn="l">
              <a:defRPr sz="1000"/>
            </a:pPr>
            <a:r>
              <a:rPr lang="en-US"/>
              <a:t>SC07 8443.32.00 74</a:t>
            </a:r>
          </a:p>
          <a:p>
            <a:pPr algn="l">
              <a:defRPr sz="1000"/>
            </a:pPr>
            <a:r>
              <a:rPr lang="en-US"/>
              <a:t>Distribution of units imported</a:t>
            </a:r>
          </a:p>
        </c:rich>
      </c:tx>
      <c:layout>
        <c:manualLayout>
          <c:xMode val="edge"/>
          <c:yMode val="edge"/>
          <c:x val="3.888888888888889E-2"/>
          <c:y val="2.7777777777778224E-2"/>
        </c:manualLayout>
      </c:layout>
    </c:title>
    <c:plotArea>
      <c:layout/>
      <c:barChart>
        <c:barDir val="col"/>
        <c:grouping val="clustered"/>
        <c:ser>
          <c:idx val="0"/>
          <c:order val="0"/>
          <c:cat>
            <c:strRef>
              <c:f>'tc 8'!$Q$74:$Q$94</c:f>
              <c:strCache>
                <c:ptCount val="21"/>
                <c:pt idx="0">
                  <c:v>0 - 5</c:v>
                </c:pt>
                <c:pt idx="1">
                  <c:v>5 - 10</c:v>
                </c:pt>
                <c:pt idx="2">
                  <c:v>10 - 15</c:v>
                </c:pt>
                <c:pt idx="3">
                  <c:v>15 - 20</c:v>
                </c:pt>
                <c:pt idx="4">
                  <c:v>20 - 25</c:v>
                </c:pt>
                <c:pt idx="5">
                  <c:v>25 - 30</c:v>
                </c:pt>
                <c:pt idx="6">
                  <c:v>30 - 35</c:v>
                </c:pt>
                <c:pt idx="7">
                  <c:v>35 - 40</c:v>
                </c:pt>
                <c:pt idx="8">
                  <c:v>40 - 45</c:v>
                </c:pt>
                <c:pt idx="9">
                  <c:v>45 - 50</c:v>
                </c:pt>
                <c:pt idx="10">
                  <c:v>50 - 55</c:v>
                </c:pt>
                <c:pt idx="11">
                  <c:v>55 - 60</c:v>
                </c:pt>
                <c:pt idx="12">
                  <c:v>60 - 65</c:v>
                </c:pt>
                <c:pt idx="13">
                  <c:v>65 - 70</c:v>
                </c:pt>
                <c:pt idx="14">
                  <c:v>70 - 75</c:v>
                </c:pt>
                <c:pt idx="15">
                  <c:v>75 - 80</c:v>
                </c:pt>
                <c:pt idx="16">
                  <c:v>80 - 85</c:v>
                </c:pt>
                <c:pt idx="17">
                  <c:v>85 - 90</c:v>
                </c:pt>
                <c:pt idx="18">
                  <c:v>90 - 95</c:v>
                </c:pt>
                <c:pt idx="19">
                  <c:v>95 - 100</c:v>
                </c:pt>
                <c:pt idx="20">
                  <c:v>&gt;100</c:v>
                </c:pt>
              </c:strCache>
            </c:strRef>
          </c:cat>
          <c:val>
            <c:numRef>
              <c:f>'tc 8'!$AD$74:$AD$94</c:f>
              <c:numCache>
                <c:formatCode>_-* #,##0.0_-;\-* #,##0.0_-;_-* "-"??_-;_-@_-</c:formatCode>
                <c:ptCount val="21"/>
                <c:pt idx="0">
                  <c:v>40613</c:v>
                </c:pt>
                <c:pt idx="1">
                  <c:v>27010</c:v>
                </c:pt>
                <c:pt idx="2">
                  <c:v>12330</c:v>
                </c:pt>
                <c:pt idx="3">
                  <c:v>5734</c:v>
                </c:pt>
                <c:pt idx="4">
                  <c:v>5264</c:v>
                </c:pt>
                <c:pt idx="5">
                  <c:v>3010</c:v>
                </c:pt>
                <c:pt idx="6">
                  <c:v>1356</c:v>
                </c:pt>
                <c:pt idx="7">
                  <c:v>385</c:v>
                </c:pt>
                <c:pt idx="8">
                  <c:v>416</c:v>
                </c:pt>
                <c:pt idx="9">
                  <c:v>539</c:v>
                </c:pt>
                <c:pt idx="10">
                  <c:v>0</c:v>
                </c:pt>
                <c:pt idx="11">
                  <c:v>401</c:v>
                </c:pt>
                <c:pt idx="12">
                  <c:v>494</c:v>
                </c:pt>
                <c:pt idx="13">
                  <c:v>409</c:v>
                </c:pt>
                <c:pt idx="14">
                  <c:v>0</c:v>
                </c:pt>
                <c:pt idx="15">
                  <c:v>479</c:v>
                </c:pt>
                <c:pt idx="16">
                  <c:v>0</c:v>
                </c:pt>
                <c:pt idx="17">
                  <c:v>0</c:v>
                </c:pt>
                <c:pt idx="18">
                  <c:v>406</c:v>
                </c:pt>
                <c:pt idx="19">
                  <c:v>420</c:v>
                </c:pt>
                <c:pt idx="20">
                  <c:v>469</c:v>
                </c:pt>
              </c:numCache>
            </c:numRef>
          </c:val>
        </c:ser>
        <c:axId val="171508864"/>
        <c:axId val="171510784"/>
      </c:barChart>
      <c:catAx>
        <c:axId val="171508864"/>
        <c:scaling>
          <c:orientation val="minMax"/>
        </c:scaling>
        <c:axPos val="b"/>
        <c:title>
          <c:tx>
            <c:rich>
              <a:bodyPr/>
              <a:lstStyle/>
              <a:p>
                <a:pPr>
                  <a:defRPr b="0"/>
                </a:pPr>
                <a:r>
                  <a:rPr lang="en-US"/>
                  <a:t>Item weights (kg)</a:t>
                </a:r>
              </a:p>
            </c:rich>
          </c:tx>
          <c:layout/>
        </c:title>
        <c:tickLblPos val="nextTo"/>
        <c:txPr>
          <a:bodyPr rot="-5400000" vert="horz"/>
          <a:lstStyle/>
          <a:p>
            <a:pPr>
              <a:defRPr/>
            </a:pPr>
            <a:endParaRPr lang="en-US"/>
          </a:p>
        </c:txPr>
        <c:crossAx val="171510784"/>
        <c:crosses val="autoZero"/>
        <c:auto val="1"/>
        <c:lblAlgn val="ctr"/>
        <c:lblOffset val="100"/>
      </c:catAx>
      <c:valAx>
        <c:axId val="171510784"/>
        <c:scaling>
          <c:orientation val="minMax"/>
        </c:scaling>
        <c:axPos val="l"/>
        <c:majorGridlines/>
        <c:title>
          <c:tx>
            <c:rich>
              <a:bodyPr rot="-5400000" vert="horz"/>
              <a:lstStyle/>
              <a:p>
                <a:pPr>
                  <a:defRPr b="0"/>
                </a:pPr>
                <a:r>
                  <a:rPr lang="en-US"/>
                  <a:t>Weight Imported, 2011 (kg)</a:t>
                </a:r>
              </a:p>
            </c:rich>
          </c:tx>
          <c:layout/>
        </c:title>
        <c:numFmt formatCode="#,##0" sourceLinked="0"/>
        <c:tickLblPos val="nextTo"/>
        <c:crossAx val="171508864"/>
        <c:crosses val="autoZero"/>
        <c:crossBetween val="between"/>
      </c:valAx>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AU"/>
  <c:chart>
    <c:title>
      <c:tx>
        <c:rich>
          <a:bodyPr/>
          <a:lstStyle/>
          <a:p>
            <a:pPr algn="l">
              <a:defRPr sz="1000"/>
            </a:pPr>
            <a:r>
              <a:rPr lang="en-US"/>
              <a:t>CTCN 8443.32.00</a:t>
            </a:r>
          </a:p>
          <a:p>
            <a:pPr algn="l">
              <a:defRPr sz="1000"/>
            </a:pPr>
            <a:r>
              <a:rPr lang="en-US"/>
              <a:t>Distribution of units imported</a:t>
            </a:r>
          </a:p>
        </c:rich>
      </c:tx>
      <c:layout>
        <c:manualLayout>
          <c:xMode val="edge"/>
          <c:yMode val="edge"/>
          <c:x val="3.8888843440024627E-2"/>
          <c:y val="2.777785223655559E-2"/>
        </c:manualLayout>
      </c:layout>
    </c:title>
    <c:plotArea>
      <c:layout/>
      <c:barChart>
        <c:barDir val="col"/>
        <c:grouping val="clustered"/>
        <c:ser>
          <c:idx val="0"/>
          <c:order val="0"/>
          <c:cat>
            <c:strRef>
              <c:f>'tc 133'!$Q$74:$Q$94</c:f>
              <c:strCache>
                <c:ptCount val="21"/>
                <c:pt idx="0">
                  <c:v>0 - 5</c:v>
                </c:pt>
                <c:pt idx="1">
                  <c:v>5 - 10</c:v>
                </c:pt>
                <c:pt idx="2">
                  <c:v>10 - 15</c:v>
                </c:pt>
                <c:pt idx="3">
                  <c:v>15 - 20</c:v>
                </c:pt>
                <c:pt idx="4">
                  <c:v>20 - 25</c:v>
                </c:pt>
                <c:pt idx="5">
                  <c:v>25 - 30</c:v>
                </c:pt>
                <c:pt idx="6">
                  <c:v>30 - 35</c:v>
                </c:pt>
                <c:pt idx="7">
                  <c:v>35 - 40</c:v>
                </c:pt>
                <c:pt idx="8">
                  <c:v>40 - 45</c:v>
                </c:pt>
                <c:pt idx="9">
                  <c:v>45 - 50</c:v>
                </c:pt>
                <c:pt idx="10">
                  <c:v>50 - 55</c:v>
                </c:pt>
                <c:pt idx="11">
                  <c:v>55 - 60</c:v>
                </c:pt>
                <c:pt idx="12">
                  <c:v>60 - 65</c:v>
                </c:pt>
                <c:pt idx="13">
                  <c:v>65 - 70</c:v>
                </c:pt>
                <c:pt idx="14">
                  <c:v>70 - 75</c:v>
                </c:pt>
                <c:pt idx="15">
                  <c:v>75 - 80</c:v>
                </c:pt>
                <c:pt idx="16">
                  <c:v>80 - 85</c:v>
                </c:pt>
                <c:pt idx="17">
                  <c:v>85 - 90</c:v>
                </c:pt>
                <c:pt idx="18">
                  <c:v>90 - 95</c:v>
                </c:pt>
                <c:pt idx="19">
                  <c:v>95 - 100</c:v>
                </c:pt>
                <c:pt idx="20">
                  <c:v>&gt;100</c:v>
                </c:pt>
              </c:strCache>
            </c:strRef>
          </c:cat>
          <c:val>
            <c:numRef>
              <c:f>'tc 133'!$AD$74:$AD$94</c:f>
              <c:numCache>
                <c:formatCode>_-* #,##0.0_-;\-* #,##0.0_-;_-* "-"??_-;_-@_-</c:formatCode>
                <c:ptCount val="21"/>
                <c:pt idx="0">
                  <c:v>80734</c:v>
                </c:pt>
                <c:pt idx="1">
                  <c:v>71943</c:v>
                </c:pt>
                <c:pt idx="2">
                  <c:v>17515</c:v>
                </c:pt>
                <c:pt idx="3">
                  <c:v>7940</c:v>
                </c:pt>
                <c:pt idx="4">
                  <c:v>6696</c:v>
                </c:pt>
                <c:pt idx="5">
                  <c:v>4170</c:v>
                </c:pt>
                <c:pt idx="6">
                  <c:v>2183</c:v>
                </c:pt>
                <c:pt idx="7">
                  <c:v>1117</c:v>
                </c:pt>
                <c:pt idx="8">
                  <c:v>1116</c:v>
                </c:pt>
                <c:pt idx="9">
                  <c:v>1239</c:v>
                </c:pt>
                <c:pt idx="10">
                  <c:v>1241</c:v>
                </c:pt>
                <c:pt idx="11">
                  <c:v>866</c:v>
                </c:pt>
                <c:pt idx="12">
                  <c:v>1370</c:v>
                </c:pt>
                <c:pt idx="13">
                  <c:v>831</c:v>
                </c:pt>
                <c:pt idx="14">
                  <c:v>936</c:v>
                </c:pt>
                <c:pt idx="15">
                  <c:v>946</c:v>
                </c:pt>
                <c:pt idx="16">
                  <c:v>819</c:v>
                </c:pt>
                <c:pt idx="17">
                  <c:v>801</c:v>
                </c:pt>
                <c:pt idx="18">
                  <c:v>813</c:v>
                </c:pt>
                <c:pt idx="19">
                  <c:v>820</c:v>
                </c:pt>
                <c:pt idx="20">
                  <c:v>961</c:v>
                </c:pt>
              </c:numCache>
            </c:numRef>
          </c:val>
        </c:ser>
        <c:axId val="187083392"/>
        <c:axId val="187085568"/>
      </c:barChart>
      <c:catAx>
        <c:axId val="187083392"/>
        <c:scaling>
          <c:orientation val="minMax"/>
        </c:scaling>
        <c:axPos val="b"/>
        <c:title>
          <c:tx>
            <c:rich>
              <a:bodyPr/>
              <a:lstStyle/>
              <a:p>
                <a:pPr>
                  <a:defRPr b="0"/>
                </a:pPr>
                <a:r>
                  <a:rPr lang="en-US"/>
                  <a:t>Item weights (kg)</a:t>
                </a:r>
              </a:p>
            </c:rich>
          </c:tx>
          <c:layout/>
        </c:title>
        <c:tickLblPos val="nextTo"/>
        <c:txPr>
          <a:bodyPr rot="-5400000" vert="horz"/>
          <a:lstStyle/>
          <a:p>
            <a:pPr>
              <a:defRPr/>
            </a:pPr>
            <a:endParaRPr lang="en-US"/>
          </a:p>
        </c:txPr>
        <c:crossAx val="187085568"/>
        <c:crosses val="autoZero"/>
        <c:auto val="1"/>
        <c:lblAlgn val="ctr"/>
        <c:lblOffset val="100"/>
      </c:catAx>
      <c:valAx>
        <c:axId val="187085568"/>
        <c:scaling>
          <c:orientation val="minMax"/>
        </c:scaling>
        <c:axPos val="l"/>
        <c:majorGridlines/>
        <c:title>
          <c:tx>
            <c:rich>
              <a:bodyPr rot="-5400000" vert="horz"/>
              <a:lstStyle/>
              <a:p>
                <a:pPr>
                  <a:defRPr b="0"/>
                </a:pPr>
                <a:r>
                  <a:rPr lang="en-US"/>
                  <a:t>Weight Imported, 2011 (kg)</a:t>
                </a:r>
              </a:p>
            </c:rich>
          </c:tx>
          <c:layout/>
        </c:title>
        <c:numFmt formatCode="#,##0" sourceLinked="0"/>
        <c:tickLblPos val="nextTo"/>
        <c:crossAx val="187083392"/>
        <c:crosses val="autoZero"/>
        <c:crossBetween val="between"/>
      </c:valAx>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AU"/>
  <c:chart>
    <c:plotArea>
      <c:layout>
        <c:manualLayout>
          <c:layoutTarget val="inner"/>
          <c:xMode val="edge"/>
          <c:yMode val="edge"/>
          <c:x val="0.27332420403971935"/>
          <c:y val="0.16824074074074091"/>
          <c:w val="0.47984142607174102"/>
          <c:h val="0.79973571011958544"/>
        </c:manualLayout>
      </c:layout>
      <c:pieChart>
        <c:varyColors val="1"/>
        <c:ser>
          <c:idx val="0"/>
          <c:order val="0"/>
          <c:dLbls>
            <c:dLbl>
              <c:idx val="0"/>
              <c:layout>
                <c:manualLayout>
                  <c:x val="0.13134120734908136"/>
                  <c:y val="-2.5138888888888888E-2"/>
                </c:manualLayout>
              </c:layout>
              <c:showCatName val="1"/>
              <c:showPercent val="1"/>
            </c:dLbl>
            <c:dLbl>
              <c:idx val="1"/>
              <c:layout>
                <c:manualLayout>
                  <c:x val="-5.7725284339457594E-3"/>
                  <c:y val="2.138779527559061E-2"/>
                </c:manualLayout>
              </c:layout>
              <c:showCatName val="1"/>
              <c:showPercent val="1"/>
            </c:dLbl>
            <c:showCatName val="1"/>
            <c:showPercent val="1"/>
            <c:showLeaderLines val="1"/>
          </c:dLbls>
          <c:cat>
            <c:strRef>
              <c:f>'CTCN Poroportions'!$D$218:$D$219</c:f>
              <c:strCache>
                <c:ptCount val="2"/>
                <c:pt idx="0">
                  <c:v>Laptops, notebooks and palmtops</c:v>
                </c:pt>
                <c:pt idx="1">
                  <c:v>other</c:v>
                </c:pt>
              </c:strCache>
            </c:strRef>
          </c:cat>
          <c:val>
            <c:numRef>
              <c:f>'CTCN Poroportions'!$E$218:$E$219</c:f>
              <c:numCache>
                <c:formatCode>_-* #,##0_-;\-* #,##0_-;_-* "-"??_-;_-@_-</c:formatCode>
                <c:ptCount val="2"/>
                <c:pt idx="0">
                  <c:v>4436026</c:v>
                </c:pt>
                <c:pt idx="1">
                  <c:v>461351</c:v>
                </c:pt>
              </c:numCache>
            </c:numRef>
          </c:val>
        </c:ser>
        <c:firstSliceAng val="0"/>
      </c:pieChart>
    </c:plotArea>
    <c:plotVisOnly val="1"/>
  </c:chart>
  <c:spPr>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lgn="l">
              <a:defRPr sz="1000"/>
            </a:pPr>
            <a:r>
              <a:rPr lang="en-US"/>
              <a:t>SC07 8471.30.00 20</a:t>
            </a:r>
          </a:p>
          <a:p>
            <a:pPr algn="l">
              <a:defRPr sz="1000"/>
            </a:pPr>
            <a:r>
              <a:rPr lang="en-US"/>
              <a:t>Distribution of units imported</a:t>
            </a:r>
          </a:p>
        </c:rich>
      </c:tx>
      <c:layout>
        <c:manualLayout>
          <c:xMode val="edge"/>
          <c:yMode val="edge"/>
          <c:x val="3.888888888888889E-2"/>
          <c:y val="2.7777777777778224E-2"/>
        </c:manualLayout>
      </c:layout>
    </c:title>
    <c:plotArea>
      <c:layout/>
      <c:barChart>
        <c:barDir val="col"/>
        <c:grouping val="clustered"/>
        <c:ser>
          <c:idx val="0"/>
          <c:order val="0"/>
          <c:cat>
            <c:strRef>
              <c:f>'tc 11'!$Q$74:$Q$94</c:f>
              <c:strCache>
                <c:ptCount val="21"/>
                <c:pt idx="0">
                  <c:v>0 - 0.5</c:v>
                </c:pt>
                <c:pt idx="1">
                  <c:v>0.5 - 1</c:v>
                </c:pt>
                <c:pt idx="2">
                  <c:v>1 - 1.5</c:v>
                </c:pt>
                <c:pt idx="3">
                  <c:v>1.5 - 2</c:v>
                </c:pt>
                <c:pt idx="4">
                  <c:v>2 - 2.5</c:v>
                </c:pt>
                <c:pt idx="5">
                  <c:v>2.5 - 3</c:v>
                </c:pt>
                <c:pt idx="6">
                  <c:v>3 - 3.5</c:v>
                </c:pt>
                <c:pt idx="7">
                  <c:v>3.5 - 4</c:v>
                </c:pt>
                <c:pt idx="8">
                  <c:v>4 - 4.5</c:v>
                </c:pt>
                <c:pt idx="9">
                  <c:v>4.5 - 5</c:v>
                </c:pt>
                <c:pt idx="10">
                  <c:v>5 - 5.5</c:v>
                </c:pt>
                <c:pt idx="11">
                  <c:v>5.5 - 6</c:v>
                </c:pt>
                <c:pt idx="12">
                  <c:v>6 - 6.5</c:v>
                </c:pt>
                <c:pt idx="13">
                  <c:v>6.5 - 7</c:v>
                </c:pt>
                <c:pt idx="14">
                  <c:v>7 - 7.5</c:v>
                </c:pt>
                <c:pt idx="15">
                  <c:v>7.5 - 8</c:v>
                </c:pt>
                <c:pt idx="16">
                  <c:v>8 - 8.5</c:v>
                </c:pt>
                <c:pt idx="17">
                  <c:v>8.5 - 9</c:v>
                </c:pt>
                <c:pt idx="18">
                  <c:v>9 - 9.5</c:v>
                </c:pt>
                <c:pt idx="19">
                  <c:v>9.5 - 10</c:v>
                </c:pt>
                <c:pt idx="20">
                  <c:v>&gt;10</c:v>
                </c:pt>
              </c:strCache>
            </c:strRef>
          </c:cat>
          <c:val>
            <c:numRef>
              <c:f>'tc 11'!$AD$74:$AD$94</c:f>
              <c:numCache>
                <c:formatCode>_-* #,##0.0_-;\-* #,##0.0_-;_-* "-"??_-;_-@_-</c:formatCode>
                <c:ptCount val="21"/>
                <c:pt idx="0">
                  <c:v>9524</c:v>
                </c:pt>
                <c:pt idx="1">
                  <c:v>730872</c:v>
                </c:pt>
                <c:pt idx="2">
                  <c:v>44380.094399999994</c:v>
                </c:pt>
                <c:pt idx="3">
                  <c:v>8037</c:v>
                </c:pt>
                <c:pt idx="4">
                  <c:v>404880.58680000016</c:v>
                </c:pt>
                <c:pt idx="5">
                  <c:v>462094</c:v>
                </c:pt>
                <c:pt idx="6">
                  <c:v>32056.592399999958</c:v>
                </c:pt>
                <c:pt idx="7">
                  <c:v>715308.50000000047</c:v>
                </c:pt>
                <c:pt idx="8">
                  <c:v>8025</c:v>
                </c:pt>
                <c:pt idx="9">
                  <c:v>8001</c:v>
                </c:pt>
                <c:pt idx="10">
                  <c:v>0</c:v>
                </c:pt>
                <c:pt idx="11">
                  <c:v>0</c:v>
                </c:pt>
                <c:pt idx="12">
                  <c:v>0</c:v>
                </c:pt>
                <c:pt idx="13">
                  <c:v>0</c:v>
                </c:pt>
                <c:pt idx="14">
                  <c:v>0</c:v>
                </c:pt>
                <c:pt idx="15">
                  <c:v>0</c:v>
                </c:pt>
                <c:pt idx="16">
                  <c:v>0</c:v>
                </c:pt>
                <c:pt idx="17">
                  <c:v>0</c:v>
                </c:pt>
                <c:pt idx="18">
                  <c:v>0</c:v>
                </c:pt>
                <c:pt idx="19">
                  <c:v>0</c:v>
                </c:pt>
                <c:pt idx="20">
                  <c:v>0</c:v>
                </c:pt>
              </c:numCache>
            </c:numRef>
          </c:val>
        </c:ser>
        <c:axId val="187185024"/>
        <c:axId val="187191296"/>
      </c:barChart>
      <c:catAx>
        <c:axId val="187185024"/>
        <c:scaling>
          <c:orientation val="minMax"/>
        </c:scaling>
        <c:axPos val="b"/>
        <c:title>
          <c:tx>
            <c:rich>
              <a:bodyPr/>
              <a:lstStyle/>
              <a:p>
                <a:pPr>
                  <a:defRPr b="0"/>
                </a:pPr>
                <a:r>
                  <a:rPr lang="en-US"/>
                  <a:t>Item weights (kg)</a:t>
                </a:r>
              </a:p>
            </c:rich>
          </c:tx>
        </c:title>
        <c:tickLblPos val="nextTo"/>
        <c:txPr>
          <a:bodyPr rot="-5400000" vert="horz"/>
          <a:lstStyle/>
          <a:p>
            <a:pPr>
              <a:defRPr/>
            </a:pPr>
            <a:endParaRPr lang="en-US"/>
          </a:p>
        </c:txPr>
        <c:crossAx val="187191296"/>
        <c:crosses val="autoZero"/>
        <c:auto val="1"/>
        <c:lblAlgn val="ctr"/>
        <c:lblOffset val="100"/>
      </c:catAx>
      <c:valAx>
        <c:axId val="187191296"/>
        <c:scaling>
          <c:orientation val="minMax"/>
        </c:scaling>
        <c:axPos val="l"/>
        <c:majorGridlines/>
        <c:title>
          <c:tx>
            <c:rich>
              <a:bodyPr rot="-5400000" vert="horz"/>
              <a:lstStyle/>
              <a:p>
                <a:pPr>
                  <a:defRPr b="0"/>
                </a:pPr>
                <a:r>
                  <a:rPr lang="en-US"/>
                  <a:t>Weight Imported, 2011 (kg)</a:t>
                </a:r>
              </a:p>
            </c:rich>
          </c:tx>
        </c:title>
        <c:numFmt formatCode="#,##0" sourceLinked="0"/>
        <c:tickLblPos val="nextTo"/>
        <c:crossAx val="187185024"/>
        <c:crosses val="autoZero"/>
        <c:crossBetween val="between"/>
      </c:valAx>
    </c:plotArea>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lgn="l">
              <a:defRPr sz="1000"/>
            </a:pPr>
            <a:r>
              <a:rPr lang="en-US"/>
              <a:t>SC07 8471.30.00 90</a:t>
            </a:r>
          </a:p>
          <a:p>
            <a:pPr algn="l">
              <a:defRPr sz="1000"/>
            </a:pPr>
            <a:r>
              <a:rPr lang="en-US"/>
              <a:t>Distribution of units imported</a:t>
            </a:r>
          </a:p>
        </c:rich>
      </c:tx>
      <c:layout>
        <c:manualLayout>
          <c:xMode val="edge"/>
          <c:yMode val="edge"/>
          <c:x val="3.888888888888889E-2"/>
          <c:y val="2.7777777777778869E-2"/>
        </c:manualLayout>
      </c:layout>
    </c:title>
    <c:plotArea>
      <c:layout/>
      <c:barChart>
        <c:barDir val="col"/>
        <c:grouping val="clustered"/>
        <c:ser>
          <c:idx val="0"/>
          <c:order val="0"/>
          <c:cat>
            <c:strRef>
              <c:f>'tc 12'!$Q$74:$Q$94</c:f>
              <c:strCache>
                <c:ptCount val="21"/>
                <c:pt idx="0">
                  <c:v>0 - 0.5</c:v>
                </c:pt>
                <c:pt idx="1">
                  <c:v>0.5 - 1</c:v>
                </c:pt>
                <c:pt idx="2">
                  <c:v>1 - 1.5</c:v>
                </c:pt>
                <c:pt idx="3">
                  <c:v>1.5 - 2</c:v>
                </c:pt>
                <c:pt idx="4">
                  <c:v>2 - 2.5</c:v>
                </c:pt>
                <c:pt idx="5">
                  <c:v>2.5 - 3</c:v>
                </c:pt>
                <c:pt idx="6">
                  <c:v>3 - 3.5</c:v>
                </c:pt>
                <c:pt idx="7">
                  <c:v>3.5 - 4</c:v>
                </c:pt>
                <c:pt idx="8">
                  <c:v>4 - 4.5</c:v>
                </c:pt>
                <c:pt idx="9">
                  <c:v>4.5 - 5</c:v>
                </c:pt>
                <c:pt idx="10">
                  <c:v>5 - 5.5</c:v>
                </c:pt>
                <c:pt idx="11">
                  <c:v>5.5 - 6</c:v>
                </c:pt>
                <c:pt idx="12">
                  <c:v>6 - 6.5</c:v>
                </c:pt>
                <c:pt idx="13">
                  <c:v>6.5 - 7</c:v>
                </c:pt>
                <c:pt idx="14">
                  <c:v>7 - 7.5</c:v>
                </c:pt>
                <c:pt idx="15">
                  <c:v>7.5 - 8</c:v>
                </c:pt>
                <c:pt idx="16">
                  <c:v>8 - 8.5</c:v>
                </c:pt>
                <c:pt idx="17">
                  <c:v>8.5 - 9</c:v>
                </c:pt>
                <c:pt idx="18">
                  <c:v>9 - 9.5</c:v>
                </c:pt>
                <c:pt idx="19">
                  <c:v>9.5 - 10</c:v>
                </c:pt>
                <c:pt idx="20">
                  <c:v>&gt;10</c:v>
                </c:pt>
              </c:strCache>
            </c:strRef>
          </c:cat>
          <c:val>
            <c:numRef>
              <c:f>'tc 12'!$AD$74:$AD$94</c:f>
              <c:numCache>
                <c:formatCode>_-* #,##0.0_-;\-* #,##0.0_-;_-* "-"??_-;_-@_-</c:formatCode>
                <c:ptCount val="21"/>
                <c:pt idx="0">
                  <c:v>0</c:v>
                </c:pt>
                <c:pt idx="1">
                  <c:v>0</c:v>
                </c:pt>
                <c:pt idx="2">
                  <c:v>0</c:v>
                </c:pt>
                <c:pt idx="3">
                  <c:v>0</c:v>
                </c:pt>
                <c:pt idx="4">
                  <c:v>0</c:v>
                </c:pt>
                <c:pt idx="5">
                  <c:v>113</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numCache>
            </c:numRef>
          </c:val>
        </c:ser>
        <c:axId val="187235712"/>
        <c:axId val="187893248"/>
      </c:barChart>
      <c:catAx>
        <c:axId val="187235712"/>
        <c:scaling>
          <c:orientation val="minMax"/>
        </c:scaling>
        <c:axPos val="b"/>
        <c:title>
          <c:tx>
            <c:rich>
              <a:bodyPr/>
              <a:lstStyle/>
              <a:p>
                <a:pPr>
                  <a:defRPr b="0"/>
                </a:pPr>
                <a:r>
                  <a:rPr lang="en-US"/>
                  <a:t>Unit weight (kg)</a:t>
                </a:r>
              </a:p>
            </c:rich>
          </c:tx>
        </c:title>
        <c:tickLblPos val="nextTo"/>
        <c:txPr>
          <a:bodyPr rot="-5400000" vert="horz"/>
          <a:lstStyle/>
          <a:p>
            <a:pPr>
              <a:defRPr/>
            </a:pPr>
            <a:endParaRPr lang="en-US"/>
          </a:p>
        </c:txPr>
        <c:crossAx val="187893248"/>
        <c:crosses val="autoZero"/>
        <c:auto val="1"/>
        <c:lblAlgn val="ctr"/>
        <c:lblOffset val="100"/>
      </c:catAx>
      <c:valAx>
        <c:axId val="187893248"/>
        <c:scaling>
          <c:orientation val="minMax"/>
        </c:scaling>
        <c:axPos val="l"/>
        <c:majorGridlines/>
        <c:title>
          <c:tx>
            <c:rich>
              <a:bodyPr rot="-5400000" vert="horz"/>
              <a:lstStyle/>
              <a:p>
                <a:pPr>
                  <a:defRPr b="0"/>
                </a:pPr>
                <a:r>
                  <a:rPr lang="en-US"/>
                  <a:t>Number of units</a:t>
                </a:r>
              </a:p>
            </c:rich>
          </c:tx>
        </c:title>
        <c:numFmt formatCode="#,##0" sourceLinked="0"/>
        <c:tickLblPos val="nextTo"/>
        <c:crossAx val="187235712"/>
        <c:crosses val="autoZero"/>
        <c:crossBetween val="between"/>
      </c:valAx>
    </c:plotArea>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AU"/>
  <c:chart>
    <c:plotArea>
      <c:layout/>
      <c:pieChart>
        <c:varyColors val="1"/>
        <c:ser>
          <c:idx val="0"/>
          <c:order val="0"/>
          <c:dLbls>
            <c:dLbl>
              <c:idx val="0"/>
              <c:layout>
                <c:manualLayout>
                  <c:x val="2.925404636920385E-2"/>
                  <c:y val="-6.0494677748615576E-2"/>
                </c:manualLayout>
              </c:layout>
              <c:showCatName val="1"/>
              <c:showPercent val="1"/>
            </c:dLbl>
            <c:dLbl>
              <c:idx val="1"/>
              <c:layout>
                <c:manualLayout>
                  <c:x val="1.7005468066491707E-2"/>
                  <c:y val="3.8151793525809406E-2"/>
                </c:manualLayout>
              </c:layout>
              <c:showCatName val="1"/>
              <c:showPercent val="1"/>
            </c:dLbl>
            <c:dLbl>
              <c:idx val="2"/>
              <c:layout>
                <c:manualLayout>
                  <c:x val="0.12761679790026201"/>
                  <c:y val="0.21209827938174441"/>
                </c:manualLayout>
              </c:layout>
              <c:showCatName val="1"/>
              <c:showPercent val="1"/>
            </c:dLbl>
            <c:txPr>
              <a:bodyPr/>
              <a:lstStyle/>
              <a:p>
                <a:pPr>
                  <a:defRPr lang="en-AU"/>
                </a:pPr>
                <a:endParaRPr lang="en-US"/>
              </a:p>
            </c:txPr>
            <c:showCatName val="1"/>
            <c:showPercent val="1"/>
            <c:showLeaderLines val="1"/>
          </c:dLbls>
          <c:cat>
            <c:strRef>
              <c:f>'CTCN Poroportions'!$A$52:$A$53</c:f>
              <c:strCache>
                <c:ptCount val="2"/>
                <c:pt idx="0">
                  <c:v>Computer desktops and similar: Personal computers</c:v>
                </c:pt>
                <c:pt idx="1">
                  <c:v>Computer desktops and similar: Other</c:v>
                </c:pt>
              </c:strCache>
            </c:strRef>
          </c:cat>
          <c:val>
            <c:numRef>
              <c:f>'CTCN Poroportions'!$B$52:$B$53</c:f>
              <c:numCache>
                <c:formatCode>#,###</c:formatCode>
                <c:ptCount val="2"/>
                <c:pt idx="0">
                  <c:v>108371</c:v>
                </c:pt>
                <c:pt idx="1">
                  <c:v>147832</c:v>
                </c:pt>
              </c:numCache>
            </c:numRef>
          </c:val>
        </c:ser>
        <c:firstSliceAng val="45"/>
      </c:pieChart>
    </c:plotArea>
    <c:plotVisOnly val="1"/>
  </c:chart>
  <c:spPr>
    <a:ln>
      <a:noFill/>
    </a:ln>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lgn="l">
              <a:defRPr sz="1000"/>
            </a:pPr>
            <a:r>
              <a:rPr lang="en-US"/>
              <a:t>SC07 8471.41.00 21</a:t>
            </a:r>
          </a:p>
          <a:p>
            <a:pPr algn="l">
              <a:defRPr sz="1000"/>
            </a:pPr>
            <a:r>
              <a:rPr lang="en-US"/>
              <a:t>Distribution of units imported</a:t>
            </a:r>
          </a:p>
        </c:rich>
      </c:tx>
      <c:layout>
        <c:manualLayout>
          <c:xMode val="edge"/>
          <c:yMode val="edge"/>
          <c:x val="3.888888888888889E-2"/>
          <c:y val="2.7777777777778869E-2"/>
        </c:manualLayout>
      </c:layout>
    </c:title>
    <c:plotArea>
      <c:layout/>
      <c:barChart>
        <c:barDir val="col"/>
        <c:grouping val="clustered"/>
        <c:ser>
          <c:idx val="0"/>
          <c:order val="0"/>
          <c:cat>
            <c:strRef>
              <c:f>'tc 13'!$Q$74:$Q$94</c:f>
              <c:strCache>
                <c:ptCount val="21"/>
                <c:pt idx="0">
                  <c:v>0 - 1</c:v>
                </c:pt>
                <c:pt idx="1">
                  <c:v>1 - 2</c:v>
                </c:pt>
                <c:pt idx="2">
                  <c:v>2 - 3</c:v>
                </c:pt>
                <c:pt idx="3">
                  <c:v>3 - 4</c:v>
                </c:pt>
                <c:pt idx="4">
                  <c:v>4 - 5</c:v>
                </c:pt>
                <c:pt idx="5">
                  <c:v>5 - 6</c:v>
                </c:pt>
                <c:pt idx="6">
                  <c:v>6 - 7</c:v>
                </c:pt>
                <c:pt idx="7">
                  <c:v>7 - 8</c:v>
                </c:pt>
                <c:pt idx="8">
                  <c:v>8 - 9</c:v>
                </c:pt>
                <c:pt idx="9">
                  <c:v>9 - 10</c:v>
                </c:pt>
                <c:pt idx="10">
                  <c:v>10 - 11</c:v>
                </c:pt>
                <c:pt idx="11">
                  <c:v>11 - 12</c:v>
                </c:pt>
                <c:pt idx="12">
                  <c:v>12 - 13</c:v>
                </c:pt>
                <c:pt idx="13">
                  <c:v>13 - 14</c:v>
                </c:pt>
                <c:pt idx="14">
                  <c:v>14 - 15</c:v>
                </c:pt>
                <c:pt idx="15">
                  <c:v>15 - 16</c:v>
                </c:pt>
                <c:pt idx="16">
                  <c:v>16 - 17</c:v>
                </c:pt>
                <c:pt idx="17">
                  <c:v>17 - 18</c:v>
                </c:pt>
                <c:pt idx="18">
                  <c:v>18 - 19</c:v>
                </c:pt>
                <c:pt idx="19">
                  <c:v>19 - 20</c:v>
                </c:pt>
                <c:pt idx="20">
                  <c:v>&gt;20</c:v>
                </c:pt>
              </c:strCache>
            </c:strRef>
          </c:cat>
          <c:val>
            <c:numRef>
              <c:f>'tc 13'!$AD$74:$AD$94</c:f>
              <c:numCache>
                <c:formatCode>_-* #,##0.0_-;\-* #,##0.0_-;_-* "-"??_-;_-@_-</c:formatCode>
                <c:ptCount val="21"/>
                <c:pt idx="0">
                  <c:v>0</c:v>
                </c:pt>
                <c:pt idx="1">
                  <c:v>13612.996999999792</c:v>
                </c:pt>
                <c:pt idx="2">
                  <c:v>0</c:v>
                </c:pt>
                <c:pt idx="3">
                  <c:v>4.5</c:v>
                </c:pt>
                <c:pt idx="4">
                  <c:v>0</c:v>
                </c:pt>
                <c:pt idx="5">
                  <c:v>0</c:v>
                </c:pt>
                <c:pt idx="6">
                  <c:v>0</c:v>
                </c:pt>
                <c:pt idx="7">
                  <c:v>0</c:v>
                </c:pt>
                <c:pt idx="8">
                  <c:v>0</c:v>
                </c:pt>
                <c:pt idx="9">
                  <c:v>94531.573800000013</c:v>
                </c:pt>
                <c:pt idx="10">
                  <c:v>0</c:v>
                </c:pt>
                <c:pt idx="11">
                  <c:v>0</c:v>
                </c:pt>
                <c:pt idx="12">
                  <c:v>0</c:v>
                </c:pt>
                <c:pt idx="13">
                  <c:v>66027.933799999999</c:v>
                </c:pt>
                <c:pt idx="14">
                  <c:v>0</c:v>
                </c:pt>
                <c:pt idx="15">
                  <c:v>12</c:v>
                </c:pt>
                <c:pt idx="16">
                  <c:v>0</c:v>
                </c:pt>
                <c:pt idx="17">
                  <c:v>0</c:v>
                </c:pt>
                <c:pt idx="18">
                  <c:v>0</c:v>
                </c:pt>
                <c:pt idx="19">
                  <c:v>5519.4624000000003</c:v>
                </c:pt>
                <c:pt idx="20">
                  <c:v>0</c:v>
                </c:pt>
              </c:numCache>
            </c:numRef>
          </c:val>
        </c:ser>
        <c:axId val="187922688"/>
        <c:axId val="187941248"/>
      </c:barChart>
      <c:catAx>
        <c:axId val="187922688"/>
        <c:scaling>
          <c:orientation val="minMax"/>
        </c:scaling>
        <c:axPos val="b"/>
        <c:title>
          <c:tx>
            <c:rich>
              <a:bodyPr/>
              <a:lstStyle/>
              <a:p>
                <a:pPr>
                  <a:defRPr b="0"/>
                </a:pPr>
                <a:r>
                  <a:rPr lang="en-US"/>
                  <a:t>Unit weight (kg)</a:t>
                </a:r>
              </a:p>
            </c:rich>
          </c:tx>
        </c:title>
        <c:tickLblPos val="nextTo"/>
        <c:txPr>
          <a:bodyPr rot="-5400000" vert="horz"/>
          <a:lstStyle/>
          <a:p>
            <a:pPr>
              <a:defRPr/>
            </a:pPr>
            <a:endParaRPr lang="en-US"/>
          </a:p>
        </c:txPr>
        <c:crossAx val="187941248"/>
        <c:crosses val="autoZero"/>
        <c:auto val="1"/>
        <c:lblAlgn val="ctr"/>
        <c:lblOffset val="100"/>
      </c:catAx>
      <c:valAx>
        <c:axId val="187941248"/>
        <c:scaling>
          <c:orientation val="minMax"/>
        </c:scaling>
        <c:axPos val="l"/>
        <c:majorGridlines/>
        <c:title>
          <c:tx>
            <c:rich>
              <a:bodyPr rot="-5400000" vert="horz"/>
              <a:lstStyle/>
              <a:p>
                <a:pPr>
                  <a:defRPr b="0"/>
                </a:pPr>
                <a:r>
                  <a:rPr lang="en-US"/>
                  <a:t>Number of units</a:t>
                </a:r>
              </a:p>
            </c:rich>
          </c:tx>
        </c:title>
        <c:numFmt formatCode="#,##0" sourceLinked="0"/>
        <c:tickLblPos val="nextTo"/>
        <c:crossAx val="187922688"/>
        <c:crosses val="autoZero"/>
        <c:crossBetween val="between"/>
      </c:valAx>
    </c:plotArea>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lgn="l">
              <a:defRPr sz="1000"/>
            </a:pPr>
            <a:r>
              <a:rPr lang="en-US"/>
              <a:t>SC07 8471.41.00 91</a:t>
            </a:r>
          </a:p>
          <a:p>
            <a:pPr algn="l">
              <a:defRPr sz="1000"/>
            </a:pPr>
            <a:r>
              <a:rPr lang="en-US"/>
              <a:t>Distribution of units imported</a:t>
            </a:r>
          </a:p>
        </c:rich>
      </c:tx>
      <c:layout>
        <c:manualLayout>
          <c:xMode val="edge"/>
          <c:yMode val="edge"/>
          <c:x val="3.888888888888889E-2"/>
          <c:y val="2.7777777777778869E-2"/>
        </c:manualLayout>
      </c:layout>
    </c:title>
    <c:plotArea>
      <c:layout/>
      <c:barChart>
        <c:barDir val="col"/>
        <c:grouping val="clustered"/>
        <c:ser>
          <c:idx val="0"/>
          <c:order val="0"/>
          <c:cat>
            <c:strRef>
              <c:f>'tc 14'!$Q$74:$Q$94</c:f>
              <c:strCache>
                <c:ptCount val="21"/>
                <c:pt idx="0">
                  <c:v>0 - 0.5</c:v>
                </c:pt>
                <c:pt idx="1">
                  <c:v>0.5 - 1</c:v>
                </c:pt>
                <c:pt idx="2">
                  <c:v>1 - 1.5</c:v>
                </c:pt>
                <c:pt idx="3">
                  <c:v>1.5 - 2</c:v>
                </c:pt>
                <c:pt idx="4">
                  <c:v>2 - 2.5</c:v>
                </c:pt>
                <c:pt idx="5">
                  <c:v>2.5 - 3</c:v>
                </c:pt>
                <c:pt idx="6">
                  <c:v>3 - 3.5</c:v>
                </c:pt>
                <c:pt idx="7">
                  <c:v>3.5 - 4</c:v>
                </c:pt>
                <c:pt idx="8">
                  <c:v>4 - 4.5</c:v>
                </c:pt>
                <c:pt idx="9">
                  <c:v>4.5 - 5</c:v>
                </c:pt>
                <c:pt idx="10">
                  <c:v>5 - 5.5</c:v>
                </c:pt>
                <c:pt idx="11">
                  <c:v>5.5 - 6</c:v>
                </c:pt>
                <c:pt idx="12">
                  <c:v>6 - 6.5</c:v>
                </c:pt>
                <c:pt idx="13">
                  <c:v>6.5 - 7</c:v>
                </c:pt>
                <c:pt idx="14">
                  <c:v>7 - 7.5</c:v>
                </c:pt>
                <c:pt idx="15">
                  <c:v>7.5 - 8</c:v>
                </c:pt>
                <c:pt idx="16">
                  <c:v>8 - 8.5</c:v>
                </c:pt>
                <c:pt idx="17">
                  <c:v>8.5 - 9</c:v>
                </c:pt>
                <c:pt idx="18">
                  <c:v>9 - 9.5</c:v>
                </c:pt>
                <c:pt idx="19">
                  <c:v>9.5 - 10</c:v>
                </c:pt>
                <c:pt idx="20">
                  <c:v>&gt;10</c:v>
                </c:pt>
              </c:strCache>
            </c:strRef>
          </c:cat>
          <c:val>
            <c:numRef>
              <c:f>'tc 14'!$AD$74:$AD$94</c:f>
              <c:numCache>
                <c:formatCode>_-* #,##0.0_-;\-* #,##0.0_-;_-* "-"??_-;_-@_-</c:formatCode>
                <c:ptCount val="2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421</c:v>
                </c:pt>
                <c:pt idx="20">
                  <c:v>0</c:v>
                </c:pt>
              </c:numCache>
            </c:numRef>
          </c:val>
        </c:ser>
        <c:axId val="189464576"/>
        <c:axId val="189466496"/>
      </c:barChart>
      <c:catAx>
        <c:axId val="189464576"/>
        <c:scaling>
          <c:orientation val="minMax"/>
        </c:scaling>
        <c:axPos val="b"/>
        <c:title>
          <c:tx>
            <c:rich>
              <a:bodyPr/>
              <a:lstStyle/>
              <a:p>
                <a:pPr>
                  <a:defRPr b="0"/>
                </a:pPr>
                <a:r>
                  <a:rPr lang="en-US"/>
                  <a:t>Unit weight (kg)</a:t>
                </a:r>
              </a:p>
            </c:rich>
          </c:tx>
        </c:title>
        <c:tickLblPos val="nextTo"/>
        <c:txPr>
          <a:bodyPr rot="-5400000" vert="horz"/>
          <a:lstStyle/>
          <a:p>
            <a:pPr>
              <a:defRPr/>
            </a:pPr>
            <a:endParaRPr lang="en-US"/>
          </a:p>
        </c:txPr>
        <c:crossAx val="189466496"/>
        <c:crosses val="autoZero"/>
        <c:auto val="1"/>
        <c:lblAlgn val="ctr"/>
        <c:lblOffset val="100"/>
      </c:catAx>
      <c:valAx>
        <c:axId val="189466496"/>
        <c:scaling>
          <c:orientation val="minMax"/>
        </c:scaling>
        <c:axPos val="l"/>
        <c:majorGridlines/>
        <c:title>
          <c:tx>
            <c:rich>
              <a:bodyPr rot="-5400000" vert="horz"/>
              <a:lstStyle/>
              <a:p>
                <a:pPr>
                  <a:defRPr b="0"/>
                </a:pPr>
                <a:r>
                  <a:rPr lang="en-US"/>
                  <a:t>Number of units</a:t>
                </a:r>
              </a:p>
            </c:rich>
          </c:tx>
        </c:title>
        <c:numFmt formatCode="#,##0" sourceLinked="0"/>
        <c:tickLblPos val="nextTo"/>
        <c:crossAx val="189464576"/>
        <c:crosses val="autoZero"/>
        <c:crossBetween val="between"/>
      </c:valAx>
    </c:plotArea>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AU"/>
  <c:chart>
    <c:plotArea>
      <c:layout>
        <c:manualLayout>
          <c:layoutTarget val="inner"/>
          <c:xMode val="edge"/>
          <c:yMode val="edge"/>
          <c:x val="0.27332414698162738"/>
          <c:y val="0.10805555555555572"/>
          <c:w val="0.47984142607174102"/>
          <c:h val="0.79973571011958677"/>
        </c:manualLayout>
      </c:layout>
      <c:pieChart>
        <c:varyColors val="1"/>
        <c:ser>
          <c:idx val="0"/>
          <c:order val="0"/>
          <c:dLbls>
            <c:dLbl>
              <c:idx val="0"/>
              <c:layout>
                <c:manualLayout>
                  <c:x val="4.6529090113735794E-2"/>
                  <c:y val="-9.0902595508894748E-2"/>
                </c:manualLayout>
              </c:layout>
              <c:showCatName val="1"/>
              <c:showPercent val="1"/>
            </c:dLbl>
            <c:dLbl>
              <c:idx val="1"/>
              <c:layout>
                <c:manualLayout>
                  <c:x val="-2.0160323709536309E-2"/>
                  <c:y val="5.3797754447360922E-2"/>
                </c:manualLayout>
              </c:layout>
              <c:showCatName val="1"/>
              <c:showPercent val="1"/>
            </c:dLbl>
            <c:showCatName val="1"/>
            <c:showPercent val="1"/>
            <c:showLeaderLines val="1"/>
          </c:dLbls>
          <c:cat>
            <c:strRef>
              <c:f>'CTCN Poroportions'!$D$226:$D$227</c:f>
              <c:strCache>
                <c:ptCount val="2"/>
                <c:pt idx="0">
                  <c:v>Personal computers</c:v>
                </c:pt>
                <c:pt idx="1">
                  <c:v>Other</c:v>
                </c:pt>
              </c:strCache>
            </c:strRef>
          </c:cat>
          <c:val>
            <c:numRef>
              <c:f>'CTCN Poroportions'!$E$226:$E$227</c:f>
              <c:numCache>
                <c:formatCode>_-* #,##0_-;\-* #,##0_-;_-* "-"??_-;_-@_-</c:formatCode>
                <c:ptCount val="2"/>
                <c:pt idx="0">
                  <c:v>791883</c:v>
                </c:pt>
                <c:pt idx="1">
                  <c:v>196098</c:v>
                </c:pt>
              </c:numCache>
            </c:numRef>
          </c:val>
        </c:ser>
        <c:firstSliceAng val="0"/>
      </c:pieChart>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lgn="l">
              <a:defRPr sz="1000"/>
            </a:pPr>
            <a:r>
              <a:rPr lang="en-US"/>
              <a:t>SC07 8443.31.00 61</a:t>
            </a:r>
          </a:p>
          <a:p>
            <a:pPr algn="l">
              <a:defRPr sz="1000"/>
            </a:pPr>
            <a:r>
              <a:rPr lang="en-US"/>
              <a:t>Distribution of units</a:t>
            </a:r>
            <a:r>
              <a:rPr lang="en-US" baseline="0"/>
              <a:t> imported</a:t>
            </a:r>
            <a:endParaRPr lang="en-US"/>
          </a:p>
        </c:rich>
      </c:tx>
      <c:layout>
        <c:manualLayout>
          <c:xMode val="edge"/>
          <c:yMode val="edge"/>
          <c:x val="3.3694038245219354E-2"/>
          <c:y val="2.7777852236555576E-2"/>
        </c:manualLayout>
      </c:layout>
    </c:title>
    <c:plotArea>
      <c:layout/>
      <c:barChart>
        <c:barDir val="col"/>
        <c:grouping val="clustered"/>
        <c:ser>
          <c:idx val="0"/>
          <c:order val="0"/>
          <c:cat>
            <c:strRef>
              <c:f>'tc 1'!$Q$74:$Q$94</c:f>
              <c:strCache>
                <c:ptCount val="21"/>
                <c:pt idx="0">
                  <c:v>0 - 5</c:v>
                </c:pt>
                <c:pt idx="1">
                  <c:v>5 - 10</c:v>
                </c:pt>
                <c:pt idx="2">
                  <c:v>10 - 15</c:v>
                </c:pt>
                <c:pt idx="3">
                  <c:v>15 - 20</c:v>
                </c:pt>
                <c:pt idx="4">
                  <c:v>20 - 25</c:v>
                </c:pt>
                <c:pt idx="5">
                  <c:v>25 - 30</c:v>
                </c:pt>
                <c:pt idx="6">
                  <c:v>30 - 35</c:v>
                </c:pt>
                <c:pt idx="7">
                  <c:v>35 - 40</c:v>
                </c:pt>
                <c:pt idx="8">
                  <c:v>40 - 45</c:v>
                </c:pt>
                <c:pt idx="9">
                  <c:v>45 - 50</c:v>
                </c:pt>
                <c:pt idx="10">
                  <c:v>50 - 55</c:v>
                </c:pt>
                <c:pt idx="11">
                  <c:v>55 - 60</c:v>
                </c:pt>
                <c:pt idx="12">
                  <c:v>60 - 65</c:v>
                </c:pt>
                <c:pt idx="13">
                  <c:v>65 - 70</c:v>
                </c:pt>
                <c:pt idx="14">
                  <c:v>70 - 75</c:v>
                </c:pt>
                <c:pt idx="15">
                  <c:v>75 - 80</c:v>
                </c:pt>
                <c:pt idx="16">
                  <c:v>80 - 85</c:v>
                </c:pt>
                <c:pt idx="17">
                  <c:v>85 - 90</c:v>
                </c:pt>
                <c:pt idx="18">
                  <c:v>90 - 95</c:v>
                </c:pt>
                <c:pt idx="19">
                  <c:v>95 - 100</c:v>
                </c:pt>
                <c:pt idx="20">
                  <c:v>&gt;100</c:v>
                </c:pt>
              </c:strCache>
            </c:strRef>
          </c:cat>
          <c:val>
            <c:numRef>
              <c:f>'tc 1'!$AD$74:$AD$94</c:f>
              <c:numCache>
                <c:formatCode>_-* #,##0.0_-;\-* #,##0.0_-;_-* "-"??_-;_-@_-</c:formatCode>
                <c:ptCount val="21"/>
                <c:pt idx="0">
                  <c:v>361838</c:v>
                </c:pt>
                <c:pt idx="1">
                  <c:v>323545</c:v>
                </c:pt>
                <c:pt idx="2">
                  <c:v>417642</c:v>
                </c:pt>
                <c:pt idx="3">
                  <c:v>113654</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4121</c:v>
                </c:pt>
              </c:numCache>
            </c:numRef>
          </c:val>
        </c:ser>
        <c:axId val="157001984"/>
        <c:axId val="157008256"/>
      </c:barChart>
      <c:catAx>
        <c:axId val="157001984"/>
        <c:scaling>
          <c:orientation val="minMax"/>
        </c:scaling>
        <c:axPos val="b"/>
        <c:title>
          <c:tx>
            <c:rich>
              <a:bodyPr/>
              <a:lstStyle/>
              <a:p>
                <a:pPr>
                  <a:defRPr b="0"/>
                </a:pPr>
                <a:r>
                  <a:rPr lang="en-US"/>
                  <a:t>Item weights (kg)</a:t>
                </a:r>
              </a:p>
            </c:rich>
          </c:tx>
          <c:layout/>
        </c:title>
        <c:tickLblPos val="nextTo"/>
        <c:txPr>
          <a:bodyPr rot="-5400000" vert="horz"/>
          <a:lstStyle/>
          <a:p>
            <a:pPr>
              <a:defRPr/>
            </a:pPr>
            <a:endParaRPr lang="en-US"/>
          </a:p>
        </c:txPr>
        <c:crossAx val="157008256"/>
        <c:crosses val="autoZero"/>
        <c:auto val="1"/>
        <c:lblAlgn val="ctr"/>
        <c:lblOffset val="100"/>
      </c:catAx>
      <c:valAx>
        <c:axId val="157008256"/>
        <c:scaling>
          <c:orientation val="minMax"/>
        </c:scaling>
        <c:axPos val="l"/>
        <c:majorGridlines/>
        <c:title>
          <c:tx>
            <c:rich>
              <a:bodyPr rot="-5400000" vert="horz"/>
              <a:lstStyle/>
              <a:p>
                <a:pPr>
                  <a:defRPr b="0"/>
                </a:pPr>
                <a:r>
                  <a:rPr lang="en-US"/>
                  <a:t>Weight Imported, 2011 (kg)</a:t>
                </a:r>
              </a:p>
            </c:rich>
          </c:tx>
          <c:layout/>
        </c:title>
        <c:numFmt formatCode="#,##0" sourceLinked="0"/>
        <c:tickLblPos val="nextTo"/>
        <c:crossAx val="157001984"/>
        <c:crosses val="autoZero"/>
        <c:crossBetween val="between"/>
      </c:valAx>
    </c:plotArea>
    <c:plotVisOnly val="1"/>
  </c:chart>
  <c:spPr>
    <a:ln>
      <a:solidFill>
        <a:schemeClr val="bg1">
          <a:lumMod val="65000"/>
        </a:schemeClr>
      </a:solidFill>
    </a:ln>
  </c:sp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lgn="l">
              <a:defRPr sz="1000"/>
            </a:pPr>
            <a:r>
              <a:rPr lang="en-US"/>
              <a:t>SC07 8471.49.00 22</a:t>
            </a:r>
          </a:p>
          <a:p>
            <a:pPr algn="l">
              <a:defRPr sz="1000"/>
            </a:pPr>
            <a:r>
              <a:rPr lang="en-US"/>
              <a:t>Distribution of units imported</a:t>
            </a:r>
          </a:p>
        </c:rich>
      </c:tx>
      <c:layout>
        <c:manualLayout>
          <c:xMode val="edge"/>
          <c:yMode val="edge"/>
          <c:x val="3.888888888888889E-2"/>
          <c:y val="2.7777777777778224E-2"/>
        </c:manualLayout>
      </c:layout>
    </c:title>
    <c:plotArea>
      <c:layout/>
      <c:barChart>
        <c:barDir val="col"/>
        <c:grouping val="clustered"/>
        <c:ser>
          <c:idx val="0"/>
          <c:order val="0"/>
          <c:cat>
            <c:strRef>
              <c:f>'tc 15'!$Q$74:$Q$94</c:f>
              <c:strCache>
                <c:ptCount val="21"/>
                <c:pt idx="0">
                  <c:v>0 - 2</c:v>
                </c:pt>
                <c:pt idx="1">
                  <c:v>2 - 4</c:v>
                </c:pt>
                <c:pt idx="2">
                  <c:v>4 - 6</c:v>
                </c:pt>
                <c:pt idx="3">
                  <c:v>6 - 8</c:v>
                </c:pt>
                <c:pt idx="4">
                  <c:v>8 - 10</c:v>
                </c:pt>
                <c:pt idx="5">
                  <c:v>10 - 12</c:v>
                </c:pt>
                <c:pt idx="6">
                  <c:v>12 - 14</c:v>
                </c:pt>
                <c:pt idx="7">
                  <c:v>14 - 16</c:v>
                </c:pt>
                <c:pt idx="8">
                  <c:v>16 - 18</c:v>
                </c:pt>
                <c:pt idx="9">
                  <c:v>18 - 20</c:v>
                </c:pt>
                <c:pt idx="10">
                  <c:v>20 - 22</c:v>
                </c:pt>
                <c:pt idx="11">
                  <c:v>22 - 24</c:v>
                </c:pt>
                <c:pt idx="12">
                  <c:v>24 - 26</c:v>
                </c:pt>
                <c:pt idx="13">
                  <c:v>26 - 28</c:v>
                </c:pt>
                <c:pt idx="14">
                  <c:v>28 - 30</c:v>
                </c:pt>
                <c:pt idx="15">
                  <c:v>30 - 32</c:v>
                </c:pt>
                <c:pt idx="16">
                  <c:v>32 - 34</c:v>
                </c:pt>
                <c:pt idx="17">
                  <c:v>34 - 36</c:v>
                </c:pt>
                <c:pt idx="18">
                  <c:v>36 - 38</c:v>
                </c:pt>
                <c:pt idx="19">
                  <c:v>38 - 40</c:v>
                </c:pt>
                <c:pt idx="20">
                  <c:v>&gt;40</c:v>
                </c:pt>
              </c:strCache>
            </c:strRef>
          </c:cat>
          <c:val>
            <c:numRef>
              <c:f>'tc 15'!$AD$74:$AD$94</c:f>
              <c:numCache>
                <c:formatCode>_-* #,##0.0_-;\-* #,##0.0_-;_-* "-"??_-;_-@_-</c:formatCode>
                <c:ptCount val="21"/>
                <c:pt idx="0">
                  <c:v>0</c:v>
                </c:pt>
                <c:pt idx="1">
                  <c:v>0</c:v>
                </c:pt>
                <c:pt idx="2">
                  <c:v>0</c:v>
                </c:pt>
                <c:pt idx="3">
                  <c:v>0</c:v>
                </c:pt>
                <c:pt idx="4">
                  <c:v>3600</c:v>
                </c:pt>
                <c:pt idx="5">
                  <c:v>2980</c:v>
                </c:pt>
                <c:pt idx="6">
                  <c:v>0</c:v>
                </c:pt>
                <c:pt idx="7">
                  <c:v>11985</c:v>
                </c:pt>
                <c:pt idx="8">
                  <c:v>0</c:v>
                </c:pt>
                <c:pt idx="9">
                  <c:v>0</c:v>
                </c:pt>
                <c:pt idx="10">
                  <c:v>0</c:v>
                </c:pt>
                <c:pt idx="11">
                  <c:v>0</c:v>
                </c:pt>
                <c:pt idx="12">
                  <c:v>157</c:v>
                </c:pt>
                <c:pt idx="13">
                  <c:v>0</c:v>
                </c:pt>
                <c:pt idx="14">
                  <c:v>0</c:v>
                </c:pt>
                <c:pt idx="15">
                  <c:v>0</c:v>
                </c:pt>
                <c:pt idx="16">
                  <c:v>0</c:v>
                </c:pt>
                <c:pt idx="17">
                  <c:v>0</c:v>
                </c:pt>
                <c:pt idx="18">
                  <c:v>0</c:v>
                </c:pt>
                <c:pt idx="19">
                  <c:v>0</c:v>
                </c:pt>
                <c:pt idx="20">
                  <c:v>0</c:v>
                </c:pt>
              </c:numCache>
            </c:numRef>
          </c:val>
        </c:ser>
        <c:axId val="189512704"/>
        <c:axId val="189727872"/>
      </c:barChart>
      <c:catAx>
        <c:axId val="189512704"/>
        <c:scaling>
          <c:orientation val="minMax"/>
        </c:scaling>
        <c:axPos val="b"/>
        <c:title>
          <c:tx>
            <c:rich>
              <a:bodyPr/>
              <a:lstStyle/>
              <a:p>
                <a:pPr>
                  <a:defRPr b="0"/>
                </a:pPr>
                <a:r>
                  <a:rPr lang="en-US"/>
                  <a:t>Item weights (kg)</a:t>
                </a:r>
              </a:p>
            </c:rich>
          </c:tx>
        </c:title>
        <c:tickLblPos val="nextTo"/>
        <c:txPr>
          <a:bodyPr rot="-5400000" vert="horz"/>
          <a:lstStyle/>
          <a:p>
            <a:pPr>
              <a:defRPr/>
            </a:pPr>
            <a:endParaRPr lang="en-US"/>
          </a:p>
        </c:txPr>
        <c:crossAx val="189727872"/>
        <c:crosses val="autoZero"/>
        <c:auto val="1"/>
        <c:lblAlgn val="ctr"/>
        <c:lblOffset val="100"/>
      </c:catAx>
      <c:valAx>
        <c:axId val="189727872"/>
        <c:scaling>
          <c:orientation val="minMax"/>
        </c:scaling>
        <c:axPos val="l"/>
        <c:majorGridlines/>
        <c:title>
          <c:tx>
            <c:rich>
              <a:bodyPr rot="-5400000" vert="horz"/>
              <a:lstStyle/>
              <a:p>
                <a:pPr>
                  <a:defRPr b="0"/>
                </a:pPr>
                <a:r>
                  <a:rPr lang="en-US"/>
                  <a:t>Weight Imported, 2011 (kg)</a:t>
                </a:r>
              </a:p>
            </c:rich>
          </c:tx>
        </c:title>
        <c:numFmt formatCode="#,##0" sourceLinked="0"/>
        <c:tickLblPos val="nextTo"/>
        <c:crossAx val="189512704"/>
        <c:crosses val="autoZero"/>
        <c:crossBetween val="between"/>
      </c:valAx>
    </c:plotArea>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n-AU"/>
  <c:chart>
    <c:plotArea>
      <c:layout>
        <c:manualLayout>
          <c:layoutTarget val="inner"/>
          <c:xMode val="edge"/>
          <c:yMode val="edge"/>
          <c:x val="0.27332414698162738"/>
          <c:y val="0.10805555555555572"/>
          <c:w val="0.47984142607174102"/>
          <c:h val="0.79973571011958633"/>
        </c:manualLayout>
      </c:layout>
      <c:pieChart>
        <c:varyColors val="1"/>
        <c:ser>
          <c:idx val="0"/>
          <c:order val="0"/>
          <c:dLbls>
            <c:dLbl>
              <c:idx val="0"/>
              <c:layout>
                <c:manualLayout>
                  <c:x val="6.8750984251968933E-2"/>
                  <c:y val="-2.4189632545931757E-2"/>
                </c:manualLayout>
              </c:layout>
              <c:showCatName val="1"/>
              <c:showPercent val="1"/>
            </c:dLbl>
            <c:dLbl>
              <c:idx val="1"/>
              <c:layout>
                <c:manualLayout>
                  <c:x val="-8.8169291338582728E-3"/>
                  <c:y val="5.2890055409740504E-2"/>
                </c:manualLayout>
              </c:layout>
              <c:showCatName val="1"/>
              <c:showPercent val="1"/>
            </c:dLbl>
            <c:showCatName val="1"/>
            <c:showPercent val="1"/>
            <c:showLeaderLines val="1"/>
          </c:dLbls>
          <c:cat>
            <c:strRef>
              <c:f>'CTCN Poroportions'!$D$230:$D$231</c:f>
              <c:strCache>
                <c:ptCount val="2"/>
                <c:pt idx="0">
                  <c:v>Central processing units for personal computers</c:v>
                </c:pt>
                <c:pt idx="1">
                  <c:v>Other</c:v>
                </c:pt>
              </c:strCache>
            </c:strRef>
          </c:cat>
          <c:val>
            <c:numRef>
              <c:f>'CTCN Poroportions'!$E$230:$E$231</c:f>
              <c:numCache>
                <c:formatCode>_-* #,##0_-;\-* #,##0_-;_-* "-"??_-;_-@_-</c:formatCode>
                <c:ptCount val="2"/>
                <c:pt idx="0">
                  <c:v>285333</c:v>
                </c:pt>
                <c:pt idx="1">
                  <c:v>83690</c:v>
                </c:pt>
              </c:numCache>
            </c:numRef>
          </c:val>
        </c:ser>
        <c:firstSliceAng val="0"/>
      </c:pieChart>
    </c:plotArea>
    <c:plotVisOnly val="1"/>
  </c:chart>
  <c:spPr>
    <a:ln>
      <a:noFill/>
    </a:ln>
  </c:sp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lgn="l">
              <a:defRPr sz="1000"/>
            </a:pPr>
            <a:r>
              <a:rPr lang="en-US"/>
              <a:t>SC07 8471.50.00 23</a:t>
            </a:r>
          </a:p>
          <a:p>
            <a:pPr algn="l">
              <a:defRPr sz="1000"/>
            </a:pPr>
            <a:r>
              <a:rPr lang="en-US"/>
              <a:t>Distribution of units imported</a:t>
            </a:r>
          </a:p>
        </c:rich>
      </c:tx>
      <c:layout>
        <c:manualLayout>
          <c:xMode val="edge"/>
          <c:yMode val="edge"/>
          <c:x val="3.888888888888889E-2"/>
          <c:y val="2.7777777777778869E-2"/>
        </c:manualLayout>
      </c:layout>
    </c:title>
    <c:plotArea>
      <c:layout/>
      <c:barChart>
        <c:barDir val="col"/>
        <c:grouping val="clustered"/>
        <c:ser>
          <c:idx val="0"/>
          <c:order val="0"/>
          <c:cat>
            <c:strRef>
              <c:f>'tc 17'!$Q$74:$Q$94</c:f>
              <c:strCache>
                <c:ptCount val="21"/>
                <c:pt idx="0">
                  <c:v>0 - 1</c:v>
                </c:pt>
                <c:pt idx="1">
                  <c:v>1 - 2</c:v>
                </c:pt>
                <c:pt idx="2">
                  <c:v>2 - 3</c:v>
                </c:pt>
                <c:pt idx="3">
                  <c:v>3 - 4</c:v>
                </c:pt>
                <c:pt idx="4">
                  <c:v>4 - 5</c:v>
                </c:pt>
                <c:pt idx="5">
                  <c:v>5 - 6</c:v>
                </c:pt>
                <c:pt idx="6">
                  <c:v>6 - 7</c:v>
                </c:pt>
                <c:pt idx="7">
                  <c:v>7 - 8</c:v>
                </c:pt>
                <c:pt idx="8">
                  <c:v>8 - 9</c:v>
                </c:pt>
                <c:pt idx="9">
                  <c:v>9 - 10</c:v>
                </c:pt>
                <c:pt idx="10">
                  <c:v>10 - 11</c:v>
                </c:pt>
                <c:pt idx="11">
                  <c:v>11 - 12</c:v>
                </c:pt>
                <c:pt idx="12">
                  <c:v>12 - 13</c:v>
                </c:pt>
                <c:pt idx="13">
                  <c:v>13 - 14</c:v>
                </c:pt>
                <c:pt idx="14">
                  <c:v>14 - 15</c:v>
                </c:pt>
                <c:pt idx="15">
                  <c:v>15 - 16</c:v>
                </c:pt>
                <c:pt idx="16">
                  <c:v>16 - 17</c:v>
                </c:pt>
                <c:pt idx="17">
                  <c:v>17 - 18</c:v>
                </c:pt>
                <c:pt idx="18">
                  <c:v>18 - 19</c:v>
                </c:pt>
                <c:pt idx="19">
                  <c:v>19 - 20</c:v>
                </c:pt>
                <c:pt idx="20">
                  <c:v>&gt;20</c:v>
                </c:pt>
              </c:strCache>
            </c:strRef>
          </c:cat>
          <c:val>
            <c:numRef>
              <c:f>'tc 17'!$AD$74:$AD$94</c:f>
              <c:numCache>
                <c:formatCode>_-* #,##0.0_-;\-* #,##0.0_-;_-* "-"??_-;_-@_-</c:formatCode>
                <c:ptCount val="21"/>
                <c:pt idx="0">
                  <c:v>14.5</c:v>
                </c:pt>
                <c:pt idx="1">
                  <c:v>0</c:v>
                </c:pt>
                <c:pt idx="2">
                  <c:v>0</c:v>
                </c:pt>
                <c:pt idx="3">
                  <c:v>5</c:v>
                </c:pt>
                <c:pt idx="4">
                  <c:v>64</c:v>
                </c:pt>
                <c:pt idx="5">
                  <c:v>0</c:v>
                </c:pt>
                <c:pt idx="6">
                  <c:v>0</c:v>
                </c:pt>
                <c:pt idx="7">
                  <c:v>2232</c:v>
                </c:pt>
                <c:pt idx="8">
                  <c:v>6</c:v>
                </c:pt>
                <c:pt idx="9">
                  <c:v>178132</c:v>
                </c:pt>
                <c:pt idx="10">
                  <c:v>0</c:v>
                </c:pt>
                <c:pt idx="11">
                  <c:v>7371</c:v>
                </c:pt>
                <c:pt idx="12">
                  <c:v>1</c:v>
                </c:pt>
                <c:pt idx="13">
                  <c:v>0</c:v>
                </c:pt>
                <c:pt idx="14">
                  <c:v>0</c:v>
                </c:pt>
                <c:pt idx="15">
                  <c:v>12818</c:v>
                </c:pt>
                <c:pt idx="16">
                  <c:v>0</c:v>
                </c:pt>
                <c:pt idx="17">
                  <c:v>0</c:v>
                </c:pt>
                <c:pt idx="18">
                  <c:v>0</c:v>
                </c:pt>
                <c:pt idx="19">
                  <c:v>0</c:v>
                </c:pt>
                <c:pt idx="20">
                  <c:v>0</c:v>
                </c:pt>
              </c:numCache>
            </c:numRef>
          </c:val>
        </c:ser>
        <c:axId val="189765888"/>
        <c:axId val="189768064"/>
      </c:barChart>
      <c:catAx>
        <c:axId val="189765888"/>
        <c:scaling>
          <c:orientation val="minMax"/>
        </c:scaling>
        <c:axPos val="b"/>
        <c:title>
          <c:tx>
            <c:rich>
              <a:bodyPr/>
              <a:lstStyle/>
              <a:p>
                <a:pPr>
                  <a:defRPr b="0"/>
                </a:pPr>
                <a:r>
                  <a:rPr lang="en-US"/>
                  <a:t>Unit weight (kg)</a:t>
                </a:r>
              </a:p>
            </c:rich>
          </c:tx>
        </c:title>
        <c:tickLblPos val="nextTo"/>
        <c:txPr>
          <a:bodyPr rot="-5400000" vert="horz"/>
          <a:lstStyle/>
          <a:p>
            <a:pPr>
              <a:defRPr/>
            </a:pPr>
            <a:endParaRPr lang="en-US"/>
          </a:p>
        </c:txPr>
        <c:crossAx val="189768064"/>
        <c:crosses val="autoZero"/>
        <c:auto val="1"/>
        <c:lblAlgn val="ctr"/>
        <c:lblOffset val="100"/>
      </c:catAx>
      <c:valAx>
        <c:axId val="189768064"/>
        <c:scaling>
          <c:orientation val="minMax"/>
        </c:scaling>
        <c:axPos val="l"/>
        <c:majorGridlines/>
        <c:title>
          <c:tx>
            <c:rich>
              <a:bodyPr rot="-5400000" vert="horz"/>
              <a:lstStyle/>
              <a:p>
                <a:pPr>
                  <a:defRPr b="0"/>
                </a:pPr>
                <a:r>
                  <a:rPr lang="en-US"/>
                  <a:t>Number of units</a:t>
                </a:r>
              </a:p>
            </c:rich>
          </c:tx>
        </c:title>
        <c:numFmt formatCode="#,##0" sourceLinked="0"/>
        <c:tickLblPos val="nextTo"/>
        <c:crossAx val="189765888"/>
        <c:crosses val="autoZero"/>
        <c:crossBetween val="between"/>
      </c:valAx>
    </c:plotArea>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lgn="l">
              <a:defRPr sz="1000"/>
            </a:pPr>
            <a:r>
              <a:rPr lang="en-US"/>
              <a:t>SC07 8471.50.00 93</a:t>
            </a:r>
          </a:p>
          <a:p>
            <a:pPr algn="l">
              <a:defRPr sz="1000"/>
            </a:pPr>
            <a:r>
              <a:rPr lang="en-US" sz="1000" b="1" i="0" baseline="0"/>
              <a:t>Distribution of units imported</a:t>
            </a:r>
            <a:endParaRPr lang="en-AU" sz="1000"/>
          </a:p>
        </c:rich>
      </c:tx>
      <c:layout>
        <c:manualLayout>
          <c:xMode val="edge"/>
          <c:yMode val="edge"/>
          <c:x val="3.888888888888889E-2"/>
          <c:y val="2.7777777777778238E-2"/>
        </c:manualLayout>
      </c:layout>
    </c:title>
    <c:plotArea>
      <c:layout/>
      <c:barChart>
        <c:barDir val="col"/>
        <c:grouping val="clustered"/>
        <c:ser>
          <c:idx val="0"/>
          <c:order val="0"/>
          <c:cat>
            <c:strRef>
              <c:f>'tc 18'!$Q$74:$Q$94</c:f>
              <c:strCache>
                <c:ptCount val="21"/>
                <c:pt idx="0">
                  <c:v>0 - 10</c:v>
                </c:pt>
                <c:pt idx="1">
                  <c:v>10 - 20</c:v>
                </c:pt>
                <c:pt idx="2">
                  <c:v>20 - 30</c:v>
                </c:pt>
                <c:pt idx="3">
                  <c:v>30 - 40</c:v>
                </c:pt>
                <c:pt idx="4">
                  <c:v>40 - 50</c:v>
                </c:pt>
                <c:pt idx="5">
                  <c:v>50 - 60</c:v>
                </c:pt>
                <c:pt idx="6">
                  <c:v>60 - 70</c:v>
                </c:pt>
                <c:pt idx="7">
                  <c:v>70 - 80</c:v>
                </c:pt>
                <c:pt idx="8">
                  <c:v>80 - 90</c:v>
                </c:pt>
                <c:pt idx="9">
                  <c:v>90 - 100</c:v>
                </c:pt>
                <c:pt idx="10">
                  <c:v>100 - 110</c:v>
                </c:pt>
                <c:pt idx="11">
                  <c:v>110 - 120</c:v>
                </c:pt>
                <c:pt idx="12">
                  <c:v>120 - 130</c:v>
                </c:pt>
                <c:pt idx="13">
                  <c:v>130 - 140</c:v>
                </c:pt>
                <c:pt idx="14">
                  <c:v>140 - 150</c:v>
                </c:pt>
                <c:pt idx="15">
                  <c:v>150 - 160</c:v>
                </c:pt>
                <c:pt idx="16">
                  <c:v>160 - 170</c:v>
                </c:pt>
                <c:pt idx="17">
                  <c:v>170 - 180</c:v>
                </c:pt>
                <c:pt idx="18">
                  <c:v>180 - 190</c:v>
                </c:pt>
                <c:pt idx="19">
                  <c:v>190 - 200</c:v>
                </c:pt>
                <c:pt idx="20">
                  <c:v>&gt;200</c:v>
                </c:pt>
              </c:strCache>
            </c:strRef>
          </c:cat>
          <c:val>
            <c:numRef>
              <c:f>'tc 18'!$AD$74:$AD$94</c:f>
              <c:numCache>
                <c:formatCode>_-* #,##0.0_-;\-* #,##0.0_-;_-* "-"??_-;_-@_-</c:formatCode>
                <c:ptCount val="21"/>
                <c:pt idx="0">
                  <c:v>1181</c:v>
                </c:pt>
                <c:pt idx="1">
                  <c:v>2162</c:v>
                </c:pt>
                <c:pt idx="2">
                  <c:v>656</c:v>
                </c:pt>
                <c:pt idx="3">
                  <c:v>83</c:v>
                </c:pt>
                <c:pt idx="4">
                  <c:v>9</c:v>
                </c:pt>
                <c:pt idx="5">
                  <c:v>22</c:v>
                </c:pt>
                <c:pt idx="6">
                  <c:v>0</c:v>
                </c:pt>
                <c:pt idx="7">
                  <c:v>21</c:v>
                </c:pt>
                <c:pt idx="8">
                  <c:v>0</c:v>
                </c:pt>
                <c:pt idx="9">
                  <c:v>24</c:v>
                </c:pt>
                <c:pt idx="10">
                  <c:v>1</c:v>
                </c:pt>
                <c:pt idx="11">
                  <c:v>0</c:v>
                </c:pt>
                <c:pt idx="12">
                  <c:v>0</c:v>
                </c:pt>
                <c:pt idx="13">
                  <c:v>26</c:v>
                </c:pt>
                <c:pt idx="14">
                  <c:v>0</c:v>
                </c:pt>
                <c:pt idx="15">
                  <c:v>0</c:v>
                </c:pt>
                <c:pt idx="16">
                  <c:v>0</c:v>
                </c:pt>
                <c:pt idx="17">
                  <c:v>0</c:v>
                </c:pt>
                <c:pt idx="18">
                  <c:v>0</c:v>
                </c:pt>
                <c:pt idx="19">
                  <c:v>0</c:v>
                </c:pt>
                <c:pt idx="20">
                  <c:v>0</c:v>
                </c:pt>
              </c:numCache>
            </c:numRef>
          </c:val>
        </c:ser>
        <c:axId val="189931520"/>
        <c:axId val="189933440"/>
      </c:barChart>
      <c:catAx>
        <c:axId val="189931520"/>
        <c:scaling>
          <c:orientation val="minMax"/>
        </c:scaling>
        <c:axPos val="b"/>
        <c:title>
          <c:tx>
            <c:rich>
              <a:bodyPr/>
              <a:lstStyle/>
              <a:p>
                <a:pPr>
                  <a:defRPr b="0"/>
                </a:pPr>
                <a:r>
                  <a:rPr lang="en-US"/>
                  <a:t>Item weights (kg)</a:t>
                </a:r>
              </a:p>
            </c:rich>
          </c:tx>
        </c:title>
        <c:tickLblPos val="nextTo"/>
        <c:txPr>
          <a:bodyPr rot="-5400000" vert="horz"/>
          <a:lstStyle/>
          <a:p>
            <a:pPr>
              <a:defRPr/>
            </a:pPr>
            <a:endParaRPr lang="en-US"/>
          </a:p>
        </c:txPr>
        <c:crossAx val="189933440"/>
        <c:crosses val="autoZero"/>
        <c:auto val="1"/>
        <c:lblAlgn val="ctr"/>
        <c:lblOffset val="100"/>
      </c:catAx>
      <c:valAx>
        <c:axId val="189933440"/>
        <c:scaling>
          <c:orientation val="minMax"/>
        </c:scaling>
        <c:axPos val="l"/>
        <c:majorGridlines/>
        <c:title>
          <c:tx>
            <c:rich>
              <a:bodyPr rot="-5400000" vert="horz"/>
              <a:lstStyle/>
              <a:p>
                <a:pPr>
                  <a:defRPr b="0"/>
                </a:pPr>
                <a:r>
                  <a:rPr lang="en-US"/>
                  <a:t>Weight Imported, 2011 (kg)</a:t>
                </a:r>
              </a:p>
            </c:rich>
          </c:tx>
        </c:title>
        <c:numFmt formatCode="#,##0" sourceLinked="0"/>
        <c:tickLblPos val="nextTo"/>
        <c:crossAx val="189931520"/>
        <c:crosses val="autoZero"/>
        <c:crossBetween val="between"/>
      </c:valAx>
    </c:plotArea>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en-AU"/>
  <c:chart>
    <c:plotArea>
      <c:layout>
        <c:manualLayout>
          <c:layoutTarget val="inner"/>
          <c:xMode val="edge"/>
          <c:yMode val="edge"/>
          <c:x val="0.27332420403971946"/>
          <c:y val="0.16824074074074091"/>
          <c:w val="0.47984142607174102"/>
          <c:h val="0.79973571011958589"/>
        </c:manualLayout>
      </c:layout>
      <c:pieChart>
        <c:varyColors val="1"/>
        <c:ser>
          <c:idx val="0"/>
          <c:order val="0"/>
          <c:dLbls>
            <c:dLbl>
              <c:idx val="0"/>
              <c:layout>
                <c:manualLayout>
                  <c:x val="7.0769903762029794E-3"/>
                  <c:y val="6.8837853601633123E-2"/>
                </c:manualLayout>
              </c:layout>
              <c:showCatName val="1"/>
              <c:showPercent val="1"/>
            </c:dLbl>
            <c:dLbl>
              <c:idx val="1"/>
              <c:tx>
                <c:rich>
                  <a:bodyPr/>
                  <a:lstStyle/>
                  <a:p>
                    <a:r>
                      <a:rPr lang="en-US"/>
                      <a:t>Joystick/ gamepads
2%</a:t>
                    </a:r>
                  </a:p>
                </c:rich>
              </c:tx>
              <c:showCatName val="1"/>
              <c:showPercent val="1"/>
            </c:dLbl>
            <c:dLbl>
              <c:idx val="2"/>
              <c:layout>
                <c:manualLayout>
                  <c:x val="-5.2334645669291364E-2"/>
                  <c:y val="-2.9396325459317692E-3"/>
                </c:manualLayout>
              </c:layout>
              <c:tx>
                <c:rich>
                  <a:bodyPr/>
                  <a:lstStyle/>
                  <a:p>
                    <a:r>
                      <a:rPr lang="en-US"/>
                      <a:t>Mouse/ trackball
56%</a:t>
                    </a:r>
                  </a:p>
                </c:rich>
              </c:tx>
              <c:showCatName val="1"/>
              <c:showPercent val="1"/>
            </c:dLbl>
            <c:dLbl>
              <c:idx val="4"/>
              <c:layout>
                <c:manualLayout>
                  <c:x val="3.0009186351706036E-2"/>
                  <c:y val="-5.9820647419072904E-3"/>
                </c:manualLayout>
              </c:layout>
              <c:showCatName val="1"/>
              <c:showPercent val="1"/>
            </c:dLbl>
            <c:showCatName val="1"/>
            <c:showPercent val="1"/>
            <c:showLeaderLines val="1"/>
          </c:dLbls>
          <c:cat>
            <c:strRef>
              <c:f>'CTCN Poroportions'!$D$234:$D$238</c:f>
              <c:strCache>
                <c:ptCount val="5"/>
                <c:pt idx="0">
                  <c:v>Keyboards</c:v>
                </c:pt>
                <c:pt idx="1">
                  <c:v>Joystick/gamepads</c:v>
                </c:pt>
                <c:pt idx="2">
                  <c:v>Mouse/trackball</c:v>
                </c:pt>
                <c:pt idx="3">
                  <c:v>Scanners</c:v>
                </c:pt>
                <c:pt idx="4">
                  <c:v>Other</c:v>
                </c:pt>
              </c:strCache>
            </c:strRef>
          </c:cat>
          <c:val>
            <c:numRef>
              <c:f>'CTCN Poroportions'!$E$234:$E$238</c:f>
              <c:numCache>
                <c:formatCode>_-* #,##0_-;\-* #,##0_-;_-* "-"??_-;_-@_-</c:formatCode>
                <c:ptCount val="5"/>
                <c:pt idx="0">
                  <c:v>1816342</c:v>
                </c:pt>
                <c:pt idx="1">
                  <c:v>100482</c:v>
                </c:pt>
                <c:pt idx="2">
                  <c:v>3470082</c:v>
                </c:pt>
                <c:pt idx="3">
                  <c:v>266499</c:v>
                </c:pt>
                <c:pt idx="4">
                  <c:v>514526</c:v>
                </c:pt>
              </c:numCache>
            </c:numRef>
          </c:val>
        </c:ser>
        <c:firstSliceAng val="0"/>
      </c:pieChart>
    </c:plotArea>
    <c:plotVisOnly val="1"/>
  </c:chart>
  <c:spPr>
    <a:ln>
      <a:noFill/>
    </a:ln>
  </c:sp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lgn="l">
              <a:defRPr sz="1000"/>
            </a:pPr>
            <a:r>
              <a:rPr lang="en-US"/>
              <a:t>SC07 8471.60.00 55</a:t>
            </a:r>
          </a:p>
          <a:p>
            <a:pPr algn="l">
              <a:defRPr sz="1000"/>
            </a:pPr>
            <a:r>
              <a:rPr lang="en-US"/>
              <a:t>Distribution of unit imports</a:t>
            </a:r>
          </a:p>
        </c:rich>
      </c:tx>
      <c:layout>
        <c:manualLayout>
          <c:xMode val="edge"/>
          <c:yMode val="edge"/>
          <c:x val="3.888888888888889E-2"/>
          <c:y val="2.7777777777778238E-2"/>
        </c:manualLayout>
      </c:layout>
    </c:title>
    <c:plotArea>
      <c:layout/>
      <c:barChart>
        <c:barDir val="col"/>
        <c:grouping val="clustered"/>
        <c:ser>
          <c:idx val="0"/>
          <c:order val="0"/>
          <c:cat>
            <c:strRef>
              <c:f>'tc 19'!$Q$74:$Q$94</c:f>
              <c:strCache>
                <c:ptCount val="21"/>
                <c:pt idx="0">
                  <c:v>0 - 0.5</c:v>
                </c:pt>
                <c:pt idx="1">
                  <c:v>0.5 - 1</c:v>
                </c:pt>
                <c:pt idx="2">
                  <c:v>1 - 1.5</c:v>
                </c:pt>
                <c:pt idx="3">
                  <c:v>1.5 - 2</c:v>
                </c:pt>
                <c:pt idx="4">
                  <c:v>2 - 2.5</c:v>
                </c:pt>
                <c:pt idx="5">
                  <c:v>2.5 - 3</c:v>
                </c:pt>
                <c:pt idx="6">
                  <c:v>3 - 3.5</c:v>
                </c:pt>
                <c:pt idx="7">
                  <c:v>3.5 - 4</c:v>
                </c:pt>
                <c:pt idx="8">
                  <c:v>4 - 4.5</c:v>
                </c:pt>
                <c:pt idx="9">
                  <c:v>4.5 - 5</c:v>
                </c:pt>
                <c:pt idx="10">
                  <c:v>5 - 5.5</c:v>
                </c:pt>
                <c:pt idx="11">
                  <c:v>5.5 - 6</c:v>
                </c:pt>
                <c:pt idx="12">
                  <c:v>6 - 6.5</c:v>
                </c:pt>
                <c:pt idx="13">
                  <c:v>6.5 - 7</c:v>
                </c:pt>
                <c:pt idx="14">
                  <c:v>7 - 7.5</c:v>
                </c:pt>
                <c:pt idx="15">
                  <c:v>7.5 - 8</c:v>
                </c:pt>
                <c:pt idx="16">
                  <c:v>8 - 8.5</c:v>
                </c:pt>
                <c:pt idx="17">
                  <c:v>8.5 - 9</c:v>
                </c:pt>
                <c:pt idx="18">
                  <c:v>9 - 9.5</c:v>
                </c:pt>
                <c:pt idx="19">
                  <c:v>9.5 - 10</c:v>
                </c:pt>
                <c:pt idx="20">
                  <c:v>&gt;10</c:v>
                </c:pt>
              </c:strCache>
            </c:strRef>
          </c:cat>
          <c:val>
            <c:numRef>
              <c:f>'tc 19'!$AD$74:$AD$94</c:f>
              <c:numCache>
                <c:formatCode>_-* #,##0.0_-;\-* #,##0.0_-;_-* "-"??_-;_-@_-</c:formatCode>
                <c:ptCount val="21"/>
                <c:pt idx="0">
                  <c:v>20979.5</c:v>
                </c:pt>
                <c:pt idx="1">
                  <c:v>125743.76120000001</c:v>
                </c:pt>
                <c:pt idx="2">
                  <c:v>7256</c:v>
                </c:pt>
                <c:pt idx="3">
                  <c:v>0</c:v>
                </c:pt>
                <c:pt idx="4">
                  <c:v>0</c:v>
                </c:pt>
                <c:pt idx="5">
                  <c:v>1501</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numCache>
            </c:numRef>
          </c:val>
        </c:ser>
        <c:axId val="189996032"/>
        <c:axId val="190002304"/>
      </c:barChart>
      <c:catAx>
        <c:axId val="189996032"/>
        <c:scaling>
          <c:orientation val="minMax"/>
        </c:scaling>
        <c:axPos val="b"/>
        <c:title>
          <c:tx>
            <c:rich>
              <a:bodyPr/>
              <a:lstStyle/>
              <a:p>
                <a:pPr>
                  <a:defRPr b="0"/>
                </a:pPr>
                <a:r>
                  <a:rPr lang="en-US"/>
                  <a:t>Item weights (kg)</a:t>
                </a:r>
              </a:p>
            </c:rich>
          </c:tx>
        </c:title>
        <c:tickLblPos val="nextTo"/>
        <c:txPr>
          <a:bodyPr rot="-5400000" vert="horz"/>
          <a:lstStyle/>
          <a:p>
            <a:pPr>
              <a:defRPr/>
            </a:pPr>
            <a:endParaRPr lang="en-US"/>
          </a:p>
        </c:txPr>
        <c:crossAx val="190002304"/>
        <c:crosses val="autoZero"/>
        <c:auto val="1"/>
        <c:lblAlgn val="ctr"/>
        <c:lblOffset val="100"/>
      </c:catAx>
      <c:valAx>
        <c:axId val="190002304"/>
        <c:scaling>
          <c:orientation val="minMax"/>
        </c:scaling>
        <c:axPos val="l"/>
        <c:majorGridlines/>
        <c:title>
          <c:tx>
            <c:rich>
              <a:bodyPr rot="-5400000" vert="horz"/>
              <a:lstStyle/>
              <a:p>
                <a:pPr>
                  <a:defRPr b="0"/>
                </a:pPr>
                <a:r>
                  <a:rPr lang="en-US"/>
                  <a:t>Weight Imported, 2011 (kg)</a:t>
                </a:r>
              </a:p>
            </c:rich>
          </c:tx>
        </c:title>
        <c:numFmt formatCode="#,##0" sourceLinked="0"/>
        <c:tickLblPos val="nextTo"/>
        <c:crossAx val="189996032"/>
        <c:crosses val="autoZero"/>
        <c:crossBetween val="between"/>
      </c:valAx>
    </c:plotArea>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AU"/>
  <c:chart>
    <c:title>
      <c:tx>
        <c:rich>
          <a:bodyPr/>
          <a:lstStyle/>
          <a:p>
            <a:pPr algn="l">
              <a:defRPr sz="1000"/>
            </a:pPr>
            <a:r>
              <a:rPr lang="en-US"/>
              <a:t>SC07 8471.60.00 92</a:t>
            </a:r>
          </a:p>
          <a:p>
            <a:pPr algn="l">
              <a:defRPr sz="1000"/>
            </a:pPr>
            <a:r>
              <a:rPr lang="en-US"/>
              <a:t>Distribution of units imported</a:t>
            </a:r>
          </a:p>
        </c:rich>
      </c:tx>
      <c:layout>
        <c:manualLayout>
          <c:xMode val="edge"/>
          <c:yMode val="edge"/>
          <c:x val="3.888888888888889E-2"/>
          <c:y val="2.7777777777778238E-2"/>
        </c:manualLayout>
      </c:layout>
    </c:title>
    <c:plotArea>
      <c:layout/>
      <c:barChart>
        <c:barDir val="col"/>
        <c:grouping val="clustered"/>
        <c:ser>
          <c:idx val="0"/>
          <c:order val="0"/>
          <c:cat>
            <c:strRef>
              <c:f>'tc 21'!$Q$74:$Q$94</c:f>
              <c:strCache>
                <c:ptCount val="21"/>
                <c:pt idx="0">
                  <c:v>0 - 0.5</c:v>
                </c:pt>
                <c:pt idx="1">
                  <c:v>0.5 - 1</c:v>
                </c:pt>
                <c:pt idx="2">
                  <c:v>1 - 1.5</c:v>
                </c:pt>
                <c:pt idx="3">
                  <c:v>1.5 - 2</c:v>
                </c:pt>
                <c:pt idx="4">
                  <c:v>2 - 2.5</c:v>
                </c:pt>
                <c:pt idx="5">
                  <c:v>2.5 - 3</c:v>
                </c:pt>
                <c:pt idx="6">
                  <c:v>3 - 3.5</c:v>
                </c:pt>
                <c:pt idx="7">
                  <c:v>3.5 - 4</c:v>
                </c:pt>
                <c:pt idx="8">
                  <c:v>4 - 4.5</c:v>
                </c:pt>
                <c:pt idx="9">
                  <c:v>4.5 - 5</c:v>
                </c:pt>
                <c:pt idx="10">
                  <c:v>5 - 5.5</c:v>
                </c:pt>
                <c:pt idx="11">
                  <c:v>5.5 - 6</c:v>
                </c:pt>
                <c:pt idx="12">
                  <c:v>6 - 6.5</c:v>
                </c:pt>
                <c:pt idx="13">
                  <c:v>6.5 - 7</c:v>
                </c:pt>
                <c:pt idx="14">
                  <c:v>7 - 7.5</c:v>
                </c:pt>
                <c:pt idx="15">
                  <c:v>7.5 - 8</c:v>
                </c:pt>
                <c:pt idx="16">
                  <c:v>8 - 8.5</c:v>
                </c:pt>
                <c:pt idx="17">
                  <c:v>8.5 - 9</c:v>
                </c:pt>
                <c:pt idx="18">
                  <c:v>9 - 9.5</c:v>
                </c:pt>
                <c:pt idx="19">
                  <c:v>9.5 - 10</c:v>
                </c:pt>
                <c:pt idx="20">
                  <c:v>&gt;10</c:v>
                </c:pt>
              </c:strCache>
            </c:strRef>
          </c:cat>
          <c:val>
            <c:numRef>
              <c:f>'tc 21'!$AD$74:$AD$94</c:f>
              <c:numCache>
                <c:formatCode>_-* #,##0.0_-;\-* #,##0.0_-;_-* "-"??_-;_-@_-</c:formatCode>
                <c:ptCount val="21"/>
                <c:pt idx="0">
                  <c:v>147345.21200000017</c:v>
                </c:pt>
                <c:pt idx="1">
                  <c:v>9390</c:v>
                </c:pt>
                <c:pt idx="2">
                  <c:v>14186</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1521</c:v>
                </c:pt>
                <c:pt idx="18">
                  <c:v>0</c:v>
                </c:pt>
                <c:pt idx="19">
                  <c:v>0</c:v>
                </c:pt>
                <c:pt idx="20">
                  <c:v>0</c:v>
                </c:pt>
              </c:numCache>
            </c:numRef>
          </c:val>
        </c:ser>
        <c:axId val="190026496"/>
        <c:axId val="190028416"/>
      </c:barChart>
      <c:catAx>
        <c:axId val="190026496"/>
        <c:scaling>
          <c:orientation val="minMax"/>
        </c:scaling>
        <c:axPos val="b"/>
        <c:title>
          <c:tx>
            <c:rich>
              <a:bodyPr/>
              <a:lstStyle/>
              <a:p>
                <a:pPr>
                  <a:defRPr b="0"/>
                </a:pPr>
                <a:r>
                  <a:rPr lang="en-US"/>
                  <a:t>Item weights (kg)</a:t>
                </a:r>
              </a:p>
            </c:rich>
          </c:tx>
        </c:title>
        <c:tickLblPos val="nextTo"/>
        <c:txPr>
          <a:bodyPr rot="-5400000" vert="horz"/>
          <a:lstStyle/>
          <a:p>
            <a:pPr>
              <a:defRPr/>
            </a:pPr>
            <a:endParaRPr lang="en-US"/>
          </a:p>
        </c:txPr>
        <c:crossAx val="190028416"/>
        <c:crosses val="autoZero"/>
        <c:auto val="1"/>
        <c:lblAlgn val="ctr"/>
        <c:lblOffset val="100"/>
      </c:catAx>
      <c:valAx>
        <c:axId val="190028416"/>
        <c:scaling>
          <c:orientation val="minMax"/>
        </c:scaling>
        <c:axPos val="l"/>
        <c:majorGridlines/>
        <c:title>
          <c:tx>
            <c:rich>
              <a:bodyPr rot="-5400000" vert="horz"/>
              <a:lstStyle/>
              <a:p>
                <a:pPr>
                  <a:defRPr b="0"/>
                </a:pPr>
                <a:r>
                  <a:rPr lang="en-US"/>
                  <a:t>Weight Imported, 2011 (kg)</a:t>
                </a:r>
              </a:p>
            </c:rich>
          </c:tx>
        </c:title>
        <c:numFmt formatCode="#,##0" sourceLinked="0"/>
        <c:tickLblPos val="nextTo"/>
        <c:crossAx val="190026496"/>
        <c:crosses val="autoZero"/>
        <c:crossBetween val="between"/>
      </c:valAx>
    </c:plotArea>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lgn="l">
              <a:defRPr sz="1000"/>
            </a:pPr>
            <a:r>
              <a:rPr lang="en-US"/>
              <a:t>SC07 8471.60.00 95</a:t>
            </a:r>
          </a:p>
          <a:p>
            <a:pPr algn="l">
              <a:defRPr sz="1000"/>
            </a:pPr>
            <a:r>
              <a:rPr lang="en-US"/>
              <a:t>Distribution units imported</a:t>
            </a:r>
          </a:p>
        </c:rich>
      </c:tx>
      <c:layout>
        <c:manualLayout>
          <c:xMode val="edge"/>
          <c:yMode val="edge"/>
          <c:x val="3.888888888888889E-2"/>
          <c:y val="2.7777777777778238E-2"/>
        </c:manualLayout>
      </c:layout>
    </c:title>
    <c:plotArea>
      <c:layout/>
      <c:barChart>
        <c:barDir val="col"/>
        <c:grouping val="clustered"/>
        <c:ser>
          <c:idx val="0"/>
          <c:order val="0"/>
          <c:cat>
            <c:strRef>
              <c:f>'tc 22'!$Q$74:$Q$94</c:f>
              <c:strCache>
                <c:ptCount val="21"/>
                <c:pt idx="0">
                  <c:v>0 - 10</c:v>
                </c:pt>
                <c:pt idx="1">
                  <c:v>10 - 20</c:v>
                </c:pt>
                <c:pt idx="2">
                  <c:v>20 - 30</c:v>
                </c:pt>
                <c:pt idx="3">
                  <c:v>30 - 40</c:v>
                </c:pt>
                <c:pt idx="4">
                  <c:v>40 - 50</c:v>
                </c:pt>
                <c:pt idx="5">
                  <c:v>50 - 60</c:v>
                </c:pt>
                <c:pt idx="6">
                  <c:v>60 - 70</c:v>
                </c:pt>
                <c:pt idx="7">
                  <c:v>70 - 80</c:v>
                </c:pt>
                <c:pt idx="8">
                  <c:v>80 - 90</c:v>
                </c:pt>
                <c:pt idx="9">
                  <c:v>90 - 100</c:v>
                </c:pt>
                <c:pt idx="10">
                  <c:v>100 - 110</c:v>
                </c:pt>
                <c:pt idx="11">
                  <c:v>110 - 120</c:v>
                </c:pt>
                <c:pt idx="12">
                  <c:v>120 - 130</c:v>
                </c:pt>
                <c:pt idx="13">
                  <c:v>130 - 140</c:v>
                </c:pt>
                <c:pt idx="14">
                  <c:v>140 - 150</c:v>
                </c:pt>
                <c:pt idx="15">
                  <c:v>150 - 160</c:v>
                </c:pt>
                <c:pt idx="16">
                  <c:v>160 - 170</c:v>
                </c:pt>
                <c:pt idx="17">
                  <c:v>170 - 180</c:v>
                </c:pt>
                <c:pt idx="18">
                  <c:v>180 - 190</c:v>
                </c:pt>
                <c:pt idx="19">
                  <c:v>190 - 200</c:v>
                </c:pt>
                <c:pt idx="20">
                  <c:v>&gt;200</c:v>
                </c:pt>
              </c:strCache>
            </c:strRef>
          </c:cat>
          <c:val>
            <c:numRef>
              <c:f>'tc 22'!$AD$74:$AD$94</c:f>
              <c:numCache>
                <c:formatCode>_-* #,##0.0_-;\-* #,##0.0_-;_-* "-"??_-;_-@_-</c:formatCode>
                <c:ptCount val="21"/>
                <c:pt idx="0">
                  <c:v>53260</c:v>
                </c:pt>
                <c:pt idx="1">
                  <c:v>705</c:v>
                </c:pt>
                <c:pt idx="2">
                  <c:v>711</c:v>
                </c:pt>
                <c:pt idx="3">
                  <c:v>0</c:v>
                </c:pt>
                <c:pt idx="4">
                  <c:v>525</c:v>
                </c:pt>
                <c:pt idx="5">
                  <c:v>511</c:v>
                </c:pt>
                <c:pt idx="6">
                  <c:v>0</c:v>
                </c:pt>
                <c:pt idx="7">
                  <c:v>0</c:v>
                </c:pt>
                <c:pt idx="8">
                  <c:v>0</c:v>
                </c:pt>
                <c:pt idx="9">
                  <c:v>0</c:v>
                </c:pt>
                <c:pt idx="10">
                  <c:v>0</c:v>
                </c:pt>
                <c:pt idx="11">
                  <c:v>0</c:v>
                </c:pt>
                <c:pt idx="12">
                  <c:v>0</c:v>
                </c:pt>
                <c:pt idx="13">
                  <c:v>0</c:v>
                </c:pt>
                <c:pt idx="14">
                  <c:v>0</c:v>
                </c:pt>
                <c:pt idx="15">
                  <c:v>508</c:v>
                </c:pt>
                <c:pt idx="16">
                  <c:v>0</c:v>
                </c:pt>
                <c:pt idx="17">
                  <c:v>0</c:v>
                </c:pt>
                <c:pt idx="18">
                  <c:v>0</c:v>
                </c:pt>
                <c:pt idx="19">
                  <c:v>0</c:v>
                </c:pt>
                <c:pt idx="20">
                  <c:v>0</c:v>
                </c:pt>
              </c:numCache>
            </c:numRef>
          </c:val>
        </c:ser>
        <c:axId val="190044800"/>
        <c:axId val="190067456"/>
      </c:barChart>
      <c:catAx>
        <c:axId val="190044800"/>
        <c:scaling>
          <c:orientation val="minMax"/>
        </c:scaling>
        <c:axPos val="b"/>
        <c:title>
          <c:tx>
            <c:rich>
              <a:bodyPr/>
              <a:lstStyle/>
              <a:p>
                <a:pPr>
                  <a:defRPr b="0"/>
                </a:pPr>
                <a:r>
                  <a:rPr lang="en-US"/>
                  <a:t>Item weights (kg)</a:t>
                </a:r>
              </a:p>
            </c:rich>
          </c:tx>
        </c:title>
        <c:tickLblPos val="nextTo"/>
        <c:txPr>
          <a:bodyPr rot="-5400000" vert="horz"/>
          <a:lstStyle/>
          <a:p>
            <a:pPr>
              <a:defRPr/>
            </a:pPr>
            <a:endParaRPr lang="en-US"/>
          </a:p>
        </c:txPr>
        <c:crossAx val="190067456"/>
        <c:crosses val="autoZero"/>
        <c:auto val="1"/>
        <c:lblAlgn val="ctr"/>
        <c:lblOffset val="100"/>
      </c:catAx>
      <c:valAx>
        <c:axId val="190067456"/>
        <c:scaling>
          <c:orientation val="minMax"/>
        </c:scaling>
        <c:axPos val="l"/>
        <c:majorGridlines/>
        <c:title>
          <c:tx>
            <c:rich>
              <a:bodyPr rot="-5400000" vert="horz"/>
              <a:lstStyle/>
              <a:p>
                <a:pPr>
                  <a:defRPr b="0"/>
                </a:pPr>
                <a:r>
                  <a:rPr lang="en-US"/>
                  <a:t>Weight Imported, 2011 (kg)</a:t>
                </a:r>
              </a:p>
            </c:rich>
          </c:tx>
        </c:title>
        <c:numFmt formatCode="#,##0" sourceLinked="0"/>
        <c:tickLblPos val="nextTo"/>
        <c:crossAx val="190044800"/>
        <c:crosses val="autoZero"/>
        <c:crossBetween val="between"/>
      </c:valAx>
    </c:plotArea>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lgn="l">
              <a:defRPr sz="1000"/>
            </a:pPr>
            <a:r>
              <a:rPr lang="en-US"/>
              <a:t>SC07 8471.60.00 98</a:t>
            </a:r>
          </a:p>
          <a:p>
            <a:pPr algn="l">
              <a:defRPr sz="1000"/>
            </a:pPr>
            <a:r>
              <a:rPr lang="en-US"/>
              <a:t>Distribution of units imported</a:t>
            </a:r>
          </a:p>
        </c:rich>
      </c:tx>
      <c:layout>
        <c:manualLayout>
          <c:xMode val="edge"/>
          <c:yMode val="edge"/>
          <c:x val="3.888888888888889E-2"/>
          <c:y val="2.7777777777778869E-2"/>
        </c:manualLayout>
      </c:layout>
    </c:title>
    <c:plotArea>
      <c:layout/>
      <c:barChart>
        <c:barDir val="col"/>
        <c:grouping val="clustered"/>
        <c:ser>
          <c:idx val="0"/>
          <c:order val="0"/>
          <c:cat>
            <c:strRef>
              <c:f>'tc 23'!$Q$74:$Q$94</c:f>
              <c:strCache>
                <c:ptCount val="21"/>
                <c:pt idx="0">
                  <c:v>0 - 0.5</c:v>
                </c:pt>
                <c:pt idx="1">
                  <c:v>0.5 - 1</c:v>
                </c:pt>
                <c:pt idx="2">
                  <c:v>1 - 1.5</c:v>
                </c:pt>
                <c:pt idx="3">
                  <c:v>1.5 - 2</c:v>
                </c:pt>
                <c:pt idx="4">
                  <c:v>2 - 2.5</c:v>
                </c:pt>
                <c:pt idx="5">
                  <c:v>2.5 - 3</c:v>
                </c:pt>
                <c:pt idx="6">
                  <c:v>3 - 3.5</c:v>
                </c:pt>
                <c:pt idx="7">
                  <c:v>3.5 - 4</c:v>
                </c:pt>
                <c:pt idx="8">
                  <c:v>4 - 4.5</c:v>
                </c:pt>
                <c:pt idx="9">
                  <c:v>4.5 - 5</c:v>
                </c:pt>
                <c:pt idx="10">
                  <c:v>5 - 5.5</c:v>
                </c:pt>
                <c:pt idx="11">
                  <c:v>5.5 - 6</c:v>
                </c:pt>
                <c:pt idx="12">
                  <c:v>6 - 6.5</c:v>
                </c:pt>
                <c:pt idx="13">
                  <c:v>6.5 - 7</c:v>
                </c:pt>
                <c:pt idx="14">
                  <c:v>7 - 7.5</c:v>
                </c:pt>
                <c:pt idx="15">
                  <c:v>7.5 - 8</c:v>
                </c:pt>
                <c:pt idx="16">
                  <c:v>8 - 8.5</c:v>
                </c:pt>
                <c:pt idx="17">
                  <c:v>8.5 - 9</c:v>
                </c:pt>
                <c:pt idx="18">
                  <c:v>9 - 9.5</c:v>
                </c:pt>
                <c:pt idx="19">
                  <c:v>9.5 - 10</c:v>
                </c:pt>
                <c:pt idx="20">
                  <c:v>&gt;10</c:v>
                </c:pt>
              </c:strCache>
            </c:strRef>
          </c:cat>
          <c:val>
            <c:numRef>
              <c:f>'tc 23'!$AD$74:$AD$94</c:f>
              <c:numCache>
                <c:formatCode>_-* #,##0.0_-;\-* #,##0.0_-;_-* "-"??_-;_-@_-</c:formatCode>
                <c:ptCount val="21"/>
                <c:pt idx="0">
                  <c:v>616</c:v>
                </c:pt>
                <c:pt idx="1">
                  <c:v>1538</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207</c:v>
                </c:pt>
                <c:pt idx="19">
                  <c:v>0</c:v>
                </c:pt>
                <c:pt idx="20">
                  <c:v>0</c:v>
                </c:pt>
              </c:numCache>
            </c:numRef>
          </c:val>
        </c:ser>
        <c:axId val="190087552"/>
        <c:axId val="190089472"/>
      </c:barChart>
      <c:catAx>
        <c:axId val="190087552"/>
        <c:scaling>
          <c:orientation val="minMax"/>
        </c:scaling>
        <c:axPos val="b"/>
        <c:title>
          <c:tx>
            <c:rich>
              <a:bodyPr/>
              <a:lstStyle/>
              <a:p>
                <a:pPr>
                  <a:defRPr b="0"/>
                </a:pPr>
                <a:r>
                  <a:rPr lang="en-US"/>
                  <a:t>Unit weight (kg)</a:t>
                </a:r>
              </a:p>
            </c:rich>
          </c:tx>
        </c:title>
        <c:tickLblPos val="nextTo"/>
        <c:txPr>
          <a:bodyPr rot="-5400000" vert="horz"/>
          <a:lstStyle/>
          <a:p>
            <a:pPr>
              <a:defRPr/>
            </a:pPr>
            <a:endParaRPr lang="en-US"/>
          </a:p>
        </c:txPr>
        <c:crossAx val="190089472"/>
        <c:crosses val="autoZero"/>
        <c:auto val="1"/>
        <c:lblAlgn val="ctr"/>
        <c:lblOffset val="100"/>
      </c:catAx>
      <c:valAx>
        <c:axId val="190089472"/>
        <c:scaling>
          <c:orientation val="minMax"/>
        </c:scaling>
        <c:axPos val="l"/>
        <c:majorGridlines/>
        <c:title>
          <c:tx>
            <c:rich>
              <a:bodyPr rot="-5400000" vert="horz"/>
              <a:lstStyle/>
              <a:p>
                <a:pPr>
                  <a:defRPr b="0"/>
                </a:pPr>
                <a:r>
                  <a:rPr lang="en-US"/>
                  <a:t>Number of units</a:t>
                </a:r>
              </a:p>
            </c:rich>
          </c:tx>
        </c:title>
        <c:numFmt formatCode="#,##0" sourceLinked="0"/>
        <c:tickLblPos val="nextTo"/>
        <c:crossAx val="190087552"/>
        <c:crosses val="autoZero"/>
        <c:crossBetween val="between"/>
      </c:valAx>
    </c:plotArea>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en-AU"/>
  <c:chart>
    <c:plotArea>
      <c:layout/>
      <c:pieChart>
        <c:varyColors val="1"/>
        <c:ser>
          <c:idx val="0"/>
          <c:order val="0"/>
          <c:dLbls>
            <c:dLbl>
              <c:idx val="2"/>
              <c:layout>
                <c:manualLayout>
                  <c:x val="3.9709864391951004E-2"/>
                  <c:y val="-0.12507655293088188"/>
                </c:manualLayout>
              </c:layout>
              <c:showCatName val="1"/>
              <c:showPercent val="1"/>
            </c:dLbl>
            <c:dLbl>
              <c:idx val="3"/>
              <c:delete val="1"/>
            </c:dLbl>
            <c:dLbl>
              <c:idx val="4"/>
              <c:layout>
                <c:manualLayout>
                  <c:x val="-2.479877515310587E-2"/>
                  <c:y val="0.11027960046660959"/>
                </c:manualLayout>
              </c:layout>
              <c:showCatName val="1"/>
              <c:showPercent val="1"/>
            </c:dLbl>
            <c:showCatName val="1"/>
            <c:showPercent val="1"/>
            <c:showLeaderLines val="1"/>
          </c:dLbls>
          <c:cat>
            <c:strRef>
              <c:f>'CTCN Poroportions'!$D$241:$D$245</c:f>
              <c:strCache>
                <c:ptCount val="5"/>
                <c:pt idx="0">
                  <c:v>CD Drives (incl burners)</c:v>
                </c:pt>
                <c:pt idx="1">
                  <c:v>DVD drives (incl burners)</c:v>
                </c:pt>
                <c:pt idx="2">
                  <c:v>Hard drives</c:v>
                </c:pt>
                <c:pt idx="3">
                  <c:v>Floppy drives</c:v>
                </c:pt>
                <c:pt idx="4">
                  <c:v>Other</c:v>
                </c:pt>
              </c:strCache>
            </c:strRef>
          </c:cat>
          <c:val>
            <c:numRef>
              <c:f>'CTCN Poroportions'!$E$241:$E$245</c:f>
              <c:numCache>
                <c:formatCode>_-* #,##0_-;\-* #,##0_-;_-* "-"??_-;_-@_-</c:formatCode>
                <c:ptCount val="5"/>
                <c:pt idx="0">
                  <c:v>66961</c:v>
                </c:pt>
                <c:pt idx="1">
                  <c:v>1191409</c:v>
                </c:pt>
                <c:pt idx="2">
                  <c:v>6324542</c:v>
                </c:pt>
                <c:pt idx="3">
                  <c:v>13001</c:v>
                </c:pt>
                <c:pt idx="4">
                  <c:v>3168546</c:v>
                </c:pt>
              </c:numCache>
            </c:numRef>
          </c:val>
        </c:ser>
        <c:firstSliceAng val="0"/>
      </c:pieChart>
    </c:plotArea>
    <c:plotVisOnly val="1"/>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lgn="l">
              <a:defRPr sz="1000"/>
            </a:pPr>
            <a:r>
              <a:rPr lang="en-US"/>
              <a:t>SC07 8443.31.00 64</a:t>
            </a:r>
          </a:p>
          <a:p>
            <a:pPr algn="l">
              <a:defRPr sz="1000"/>
            </a:pPr>
            <a:r>
              <a:rPr lang="en-US" sz="1000" b="1" i="0" baseline="0"/>
              <a:t>Distribution of units imported</a:t>
            </a:r>
            <a:endParaRPr lang="en-AU" sz="1000"/>
          </a:p>
        </c:rich>
      </c:tx>
      <c:layout>
        <c:manualLayout>
          <c:xMode val="edge"/>
          <c:yMode val="edge"/>
          <c:x val="3.888888888888889E-2"/>
          <c:y val="2.7777777777778449E-2"/>
        </c:manualLayout>
      </c:layout>
    </c:title>
    <c:plotArea>
      <c:layout/>
      <c:barChart>
        <c:barDir val="col"/>
        <c:grouping val="clustered"/>
        <c:ser>
          <c:idx val="0"/>
          <c:order val="0"/>
          <c:cat>
            <c:strRef>
              <c:f>'tc 3'!$Q$74:$Q$94</c:f>
              <c:strCache>
                <c:ptCount val="21"/>
                <c:pt idx="0">
                  <c:v>0 - 10</c:v>
                </c:pt>
                <c:pt idx="1">
                  <c:v>10 - 20</c:v>
                </c:pt>
                <c:pt idx="2">
                  <c:v>20 - 30</c:v>
                </c:pt>
                <c:pt idx="3">
                  <c:v>30 - 40</c:v>
                </c:pt>
                <c:pt idx="4">
                  <c:v>40 - 50</c:v>
                </c:pt>
                <c:pt idx="5">
                  <c:v>50 - 60</c:v>
                </c:pt>
                <c:pt idx="6">
                  <c:v>60 - 70</c:v>
                </c:pt>
                <c:pt idx="7">
                  <c:v>70 - 80</c:v>
                </c:pt>
                <c:pt idx="8">
                  <c:v>80 - 90</c:v>
                </c:pt>
                <c:pt idx="9">
                  <c:v>90 - 100</c:v>
                </c:pt>
                <c:pt idx="10">
                  <c:v>100 - 110</c:v>
                </c:pt>
                <c:pt idx="11">
                  <c:v>110 - 120</c:v>
                </c:pt>
                <c:pt idx="12">
                  <c:v>120 - 130</c:v>
                </c:pt>
                <c:pt idx="13">
                  <c:v>130 - 140</c:v>
                </c:pt>
                <c:pt idx="14">
                  <c:v>140 - 150</c:v>
                </c:pt>
                <c:pt idx="15">
                  <c:v>150 - 160</c:v>
                </c:pt>
                <c:pt idx="16">
                  <c:v>160 - 170</c:v>
                </c:pt>
                <c:pt idx="17">
                  <c:v>170 - 180</c:v>
                </c:pt>
                <c:pt idx="18">
                  <c:v>180 - 190</c:v>
                </c:pt>
                <c:pt idx="19">
                  <c:v>190 - 200</c:v>
                </c:pt>
                <c:pt idx="20">
                  <c:v>&gt;200</c:v>
                </c:pt>
              </c:strCache>
            </c:strRef>
          </c:cat>
          <c:val>
            <c:numRef>
              <c:f>'tc 3'!$AC$74:$AC$94</c:f>
              <c:numCache>
                <c:formatCode>_-* #,##0.0_-;\-* #,##0.0_-;_-* "-"??_-;_-@_-</c:formatCode>
                <c:ptCount val="21"/>
                <c:pt idx="0">
                  <c:v>18224</c:v>
                </c:pt>
                <c:pt idx="1">
                  <c:v>11831</c:v>
                </c:pt>
                <c:pt idx="2">
                  <c:v>3218</c:v>
                </c:pt>
                <c:pt idx="3">
                  <c:v>3173</c:v>
                </c:pt>
                <c:pt idx="4">
                  <c:v>487</c:v>
                </c:pt>
                <c:pt idx="5">
                  <c:v>455</c:v>
                </c:pt>
                <c:pt idx="6">
                  <c:v>0</c:v>
                </c:pt>
                <c:pt idx="7">
                  <c:v>408</c:v>
                </c:pt>
                <c:pt idx="8">
                  <c:v>2892</c:v>
                </c:pt>
                <c:pt idx="9">
                  <c:v>1895</c:v>
                </c:pt>
                <c:pt idx="10">
                  <c:v>2917</c:v>
                </c:pt>
                <c:pt idx="11">
                  <c:v>42</c:v>
                </c:pt>
                <c:pt idx="12">
                  <c:v>211</c:v>
                </c:pt>
                <c:pt idx="13">
                  <c:v>1448</c:v>
                </c:pt>
                <c:pt idx="14">
                  <c:v>645</c:v>
                </c:pt>
                <c:pt idx="15">
                  <c:v>8703</c:v>
                </c:pt>
                <c:pt idx="16">
                  <c:v>0</c:v>
                </c:pt>
                <c:pt idx="17">
                  <c:v>841</c:v>
                </c:pt>
                <c:pt idx="18">
                  <c:v>0</c:v>
                </c:pt>
                <c:pt idx="19">
                  <c:v>0</c:v>
                </c:pt>
                <c:pt idx="20">
                  <c:v>1276</c:v>
                </c:pt>
              </c:numCache>
            </c:numRef>
          </c:val>
        </c:ser>
        <c:axId val="157016064"/>
        <c:axId val="157017984"/>
      </c:barChart>
      <c:catAx>
        <c:axId val="157016064"/>
        <c:scaling>
          <c:orientation val="minMax"/>
        </c:scaling>
        <c:axPos val="b"/>
        <c:title>
          <c:tx>
            <c:rich>
              <a:bodyPr/>
              <a:lstStyle/>
              <a:p>
                <a:pPr>
                  <a:defRPr b="0"/>
                </a:pPr>
                <a:r>
                  <a:rPr lang="en-US"/>
                  <a:t>Unit weight (kg)</a:t>
                </a:r>
              </a:p>
            </c:rich>
          </c:tx>
        </c:title>
        <c:tickLblPos val="nextTo"/>
        <c:txPr>
          <a:bodyPr rot="-5400000" vert="horz"/>
          <a:lstStyle/>
          <a:p>
            <a:pPr>
              <a:defRPr/>
            </a:pPr>
            <a:endParaRPr lang="en-US"/>
          </a:p>
        </c:txPr>
        <c:crossAx val="157017984"/>
        <c:crosses val="autoZero"/>
        <c:auto val="1"/>
        <c:lblAlgn val="ctr"/>
        <c:lblOffset val="100"/>
      </c:catAx>
      <c:valAx>
        <c:axId val="157017984"/>
        <c:scaling>
          <c:orientation val="minMax"/>
        </c:scaling>
        <c:axPos val="l"/>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solidFill>
                    <a:latin typeface="+mn-lt"/>
                    <a:ea typeface="+mn-ea"/>
                    <a:cs typeface="+mn-cs"/>
                  </a:defRPr>
                </a:pPr>
                <a:r>
                  <a:rPr lang="en-US" sz="1000" b="0" i="0" baseline="0"/>
                  <a:t>Number of units</a:t>
                </a:r>
                <a:endParaRPr lang="en-AU" sz="1000"/>
              </a:p>
            </c:rich>
          </c:tx>
        </c:title>
        <c:numFmt formatCode="#,##0" sourceLinked="0"/>
        <c:tickLblPos val="nextTo"/>
        <c:crossAx val="157016064"/>
        <c:crosses val="autoZero"/>
        <c:crossBetween val="between"/>
      </c:valAx>
    </c:plotArea>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lgn="l">
              <a:defRPr sz="1000"/>
            </a:pPr>
            <a:r>
              <a:rPr lang="en-US"/>
              <a:t>SC07 8471.70.00 20</a:t>
            </a:r>
          </a:p>
          <a:p>
            <a:pPr algn="l">
              <a:defRPr sz="1000"/>
            </a:pPr>
            <a:r>
              <a:rPr lang="en-US"/>
              <a:t>Distribution of units imported</a:t>
            </a:r>
          </a:p>
        </c:rich>
      </c:tx>
      <c:layout>
        <c:manualLayout>
          <c:xMode val="edge"/>
          <c:yMode val="edge"/>
          <c:x val="3.888888888888889E-2"/>
          <c:y val="2.7777777777778869E-2"/>
        </c:manualLayout>
      </c:layout>
    </c:title>
    <c:plotArea>
      <c:layout/>
      <c:barChart>
        <c:barDir val="col"/>
        <c:grouping val="clustered"/>
        <c:ser>
          <c:idx val="0"/>
          <c:order val="0"/>
          <c:cat>
            <c:strRef>
              <c:f>'tc 24'!$Q$74:$Q$94</c:f>
              <c:strCache>
                <c:ptCount val="21"/>
                <c:pt idx="0">
                  <c:v>0 - 0.5</c:v>
                </c:pt>
                <c:pt idx="1">
                  <c:v>0.5 - 1</c:v>
                </c:pt>
                <c:pt idx="2">
                  <c:v>1 - 1.5</c:v>
                </c:pt>
                <c:pt idx="3">
                  <c:v>1.5 - 2</c:v>
                </c:pt>
                <c:pt idx="4">
                  <c:v>2 - 2.5</c:v>
                </c:pt>
                <c:pt idx="5">
                  <c:v>2.5 - 3</c:v>
                </c:pt>
                <c:pt idx="6">
                  <c:v>3 - 3.5</c:v>
                </c:pt>
                <c:pt idx="7">
                  <c:v>3.5 - 4</c:v>
                </c:pt>
                <c:pt idx="8">
                  <c:v>4 - 4.5</c:v>
                </c:pt>
                <c:pt idx="9">
                  <c:v>4.5 - 5</c:v>
                </c:pt>
                <c:pt idx="10">
                  <c:v>5 - 5.5</c:v>
                </c:pt>
                <c:pt idx="11">
                  <c:v>5.5 - 6</c:v>
                </c:pt>
                <c:pt idx="12">
                  <c:v>6 - 6.5</c:v>
                </c:pt>
                <c:pt idx="13">
                  <c:v>6.5 - 7</c:v>
                </c:pt>
                <c:pt idx="14">
                  <c:v>7 - 7.5</c:v>
                </c:pt>
                <c:pt idx="15">
                  <c:v>7.5 - 8</c:v>
                </c:pt>
                <c:pt idx="16">
                  <c:v>8 - 8.5</c:v>
                </c:pt>
                <c:pt idx="17">
                  <c:v>8.5 - 9</c:v>
                </c:pt>
                <c:pt idx="18">
                  <c:v>9 - 9.5</c:v>
                </c:pt>
                <c:pt idx="19">
                  <c:v>9.5 - 10</c:v>
                </c:pt>
                <c:pt idx="20">
                  <c:v>&gt;10</c:v>
                </c:pt>
              </c:strCache>
            </c:strRef>
          </c:cat>
          <c:val>
            <c:numRef>
              <c:f>'tc 24'!$AD$74:$AD$94</c:f>
              <c:numCache>
                <c:formatCode>_-* #,##0.0_-;\-* #,##0.0_-;_-* "-"??_-;_-@_-</c:formatCode>
                <c:ptCount val="21"/>
                <c:pt idx="0">
                  <c:v>0.5</c:v>
                </c:pt>
                <c:pt idx="1">
                  <c:v>4546</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numCache>
            </c:numRef>
          </c:val>
        </c:ser>
        <c:axId val="195124608"/>
        <c:axId val="195126784"/>
      </c:barChart>
      <c:catAx>
        <c:axId val="195124608"/>
        <c:scaling>
          <c:orientation val="minMax"/>
        </c:scaling>
        <c:axPos val="b"/>
        <c:title>
          <c:tx>
            <c:rich>
              <a:bodyPr/>
              <a:lstStyle/>
              <a:p>
                <a:pPr>
                  <a:defRPr b="0"/>
                </a:pPr>
                <a:r>
                  <a:rPr lang="en-US"/>
                  <a:t>Unit weight (kg)</a:t>
                </a:r>
              </a:p>
            </c:rich>
          </c:tx>
        </c:title>
        <c:tickLblPos val="nextTo"/>
        <c:txPr>
          <a:bodyPr rot="-5400000" vert="horz"/>
          <a:lstStyle/>
          <a:p>
            <a:pPr>
              <a:defRPr/>
            </a:pPr>
            <a:endParaRPr lang="en-US"/>
          </a:p>
        </c:txPr>
        <c:crossAx val="195126784"/>
        <c:crosses val="autoZero"/>
        <c:auto val="1"/>
        <c:lblAlgn val="ctr"/>
        <c:lblOffset val="100"/>
      </c:catAx>
      <c:valAx>
        <c:axId val="195126784"/>
        <c:scaling>
          <c:orientation val="minMax"/>
        </c:scaling>
        <c:axPos val="l"/>
        <c:majorGridlines/>
        <c:title>
          <c:tx>
            <c:rich>
              <a:bodyPr rot="-5400000" vert="horz"/>
              <a:lstStyle/>
              <a:p>
                <a:pPr>
                  <a:defRPr b="0"/>
                </a:pPr>
                <a:r>
                  <a:rPr lang="en-US"/>
                  <a:t>Number of units</a:t>
                </a:r>
              </a:p>
            </c:rich>
          </c:tx>
        </c:title>
        <c:numFmt formatCode="#,##0" sourceLinked="0"/>
        <c:tickLblPos val="nextTo"/>
        <c:crossAx val="195124608"/>
        <c:crosses val="autoZero"/>
        <c:crossBetween val="between"/>
      </c:valAx>
    </c:plotArea>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lgn="l">
              <a:defRPr sz="1000"/>
            </a:pPr>
            <a:r>
              <a:rPr lang="en-US"/>
              <a:t>SC07 8471.70.00 25</a:t>
            </a:r>
          </a:p>
          <a:p>
            <a:pPr algn="l">
              <a:defRPr sz="1000"/>
            </a:pPr>
            <a:r>
              <a:rPr lang="en-US"/>
              <a:t>Distribution of units imported</a:t>
            </a:r>
          </a:p>
        </c:rich>
      </c:tx>
      <c:layout>
        <c:manualLayout>
          <c:xMode val="edge"/>
          <c:yMode val="edge"/>
          <c:x val="3.888888888888889E-2"/>
          <c:y val="2.7777777777778869E-2"/>
        </c:manualLayout>
      </c:layout>
    </c:title>
    <c:plotArea>
      <c:layout/>
      <c:barChart>
        <c:barDir val="col"/>
        <c:grouping val="clustered"/>
        <c:ser>
          <c:idx val="0"/>
          <c:order val="0"/>
          <c:cat>
            <c:strRef>
              <c:f>'tc 25'!$Q$74:$Q$94</c:f>
              <c:strCache>
                <c:ptCount val="21"/>
                <c:pt idx="0">
                  <c:v>0 - 0.5</c:v>
                </c:pt>
                <c:pt idx="1">
                  <c:v>0.5 - 1</c:v>
                </c:pt>
                <c:pt idx="2">
                  <c:v>1 - 1.5</c:v>
                </c:pt>
                <c:pt idx="3">
                  <c:v>1.5 - 2</c:v>
                </c:pt>
                <c:pt idx="4">
                  <c:v>2 - 2.5</c:v>
                </c:pt>
                <c:pt idx="5">
                  <c:v>2.5 - 3</c:v>
                </c:pt>
                <c:pt idx="6">
                  <c:v>3 - 3.5</c:v>
                </c:pt>
                <c:pt idx="7">
                  <c:v>3.5 - 4</c:v>
                </c:pt>
                <c:pt idx="8">
                  <c:v>4 - 4.5</c:v>
                </c:pt>
                <c:pt idx="9">
                  <c:v>4.5 - 5</c:v>
                </c:pt>
                <c:pt idx="10">
                  <c:v>5 - 5.5</c:v>
                </c:pt>
                <c:pt idx="11">
                  <c:v>5.5 - 6</c:v>
                </c:pt>
                <c:pt idx="12">
                  <c:v>6 - 6.5</c:v>
                </c:pt>
                <c:pt idx="13">
                  <c:v>6.5 - 7</c:v>
                </c:pt>
                <c:pt idx="14">
                  <c:v>7 - 7.5</c:v>
                </c:pt>
                <c:pt idx="15">
                  <c:v>7.5 - 8</c:v>
                </c:pt>
                <c:pt idx="16">
                  <c:v>8 - 8.5</c:v>
                </c:pt>
                <c:pt idx="17">
                  <c:v>8.5 - 9</c:v>
                </c:pt>
                <c:pt idx="18">
                  <c:v>9 - 9.5</c:v>
                </c:pt>
                <c:pt idx="19">
                  <c:v>9.5 - 10</c:v>
                </c:pt>
                <c:pt idx="20">
                  <c:v>&gt;10</c:v>
                </c:pt>
              </c:strCache>
            </c:strRef>
          </c:cat>
          <c:val>
            <c:numRef>
              <c:f>'tc 25'!$AD$74:$AD$94</c:f>
              <c:numCache>
                <c:formatCode>_-* #,##0.0_-;\-* #,##0.0_-;_-* "-"??_-;_-@_-</c:formatCode>
                <c:ptCount val="21"/>
                <c:pt idx="0">
                  <c:v>7886.5</c:v>
                </c:pt>
                <c:pt idx="1">
                  <c:v>6254</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numCache>
            </c:numRef>
          </c:val>
        </c:ser>
        <c:axId val="195167360"/>
        <c:axId val="195169280"/>
      </c:barChart>
      <c:catAx>
        <c:axId val="195167360"/>
        <c:scaling>
          <c:orientation val="minMax"/>
        </c:scaling>
        <c:axPos val="b"/>
        <c:title>
          <c:tx>
            <c:rich>
              <a:bodyPr/>
              <a:lstStyle/>
              <a:p>
                <a:pPr>
                  <a:defRPr b="0"/>
                </a:pPr>
                <a:r>
                  <a:rPr lang="en-US"/>
                  <a:t>Unit weight (kg)</a:t>
                </a:r>
              </a:p>
            </c:rich>
          </c:tx>
        </c:title>
        <c:tickLblPos val="nextTo"/>
        <c:txPr>
          <a:bodyPr rot="-5400000" vert="horz"/>
          <a:lstStyle/>
          <a:p>
            <a:pPr>
              <a:defRPr/>
            </a:pPr>
            <a:endParaRPr lang="en-US"/>
          </a:p>
        </c:txPr>
        <c:crossAx val="195169280"/>
        <c:crosses val="autoZero"/>
        <c:auto val="1"/>
        <c:lblAlgn val="ctr"/>
        <c:lblOffset val="100"/>
      </c:catAx>
      <c:valAx>
        <c:axId val="195169280"/>
        <c:scaling>
          <c:orientation val="minMax"/>
        </c:scaling>
        <c:axPos val="l"/>
        <c:majorGridlines/>
        <c:title>
          <c:tx>
            <c:rich>
              <a:bodyPr rot="-5400000" vert="horz"/>
              <a:lstStyle/>
              <a:p>
                <a:pPr>
                  <a:defRPr b="0"/>
                </a:pPr>
                <a:r>
                  <a:rPr lang="en-US"/>
                  <a:t>Number of units</a:t>
                </a:r>
              </a:p>
            </c:rich>
          </c:tx>
        </c:title>
        <c:numFmt formatCode="#,##0" sourceLinked="0"/>
        <c:tickLblPos val="nextTo"/>
        <c:crossAx val="195167360"/>
        <c:crosses val="autoZero"/>
        <c:crossBetween val="between"/>
      </c:valAx>
    </c:plotArea>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AU"/>
  <c:chart>
    <c:title>
      <c:tx>
        <c:rich>
          <a:bodyPr/>
          <a:lstStyle/>
          <a:p>
            <a:pPr algn="l">
              <a:defRPr sz="1000"/>
            </a:pPr>
            <a:r>
              <a:rPr lang="en-US"/>
              <a:t>SC07 8471.70.00 74</a:t>
            </a:r>
          </a:p>
          <a:p>
            <a:pPr algn="l">
              <a:defRPr sz="1000"/>
            </a:pPr>
            <a:r>
              <a:rPr lang="en-US"/>
              <a:t>Distribution of units imported</a:t>
            </a:r>
          </a:p>
        </c:rich>
      </c:tx>
      <c:layout>
        <c:manualLayout>
          <c:xMode val="edge"/>
          <c:yMode val="edge"/>
          <c:x val="3.3694038245219354E-2"/>
          <c:y val="4.0543809683363866E-2"/>
        </c:manualLayout>
      </c:layout>
    </c:title>
    <c:plotArea>
      <c:layout/>
      <c:barChart>
        <c:barDir val="col"/>
        <c:grouping val="clustered"/>
        <c:ser>
          <c:idx val="0"/>
          <c:order val="0"/>
          <c:cat>
            <c:strRef>
              <c:f>'tc 26'!$Q$74:$Q$94</c:f>
              <c:strCache>
                <c:ptCount val="21"/>
                <c:pt idx="0">
                  <c:v>0 - 10</c:v>
                </c:pt>
                <c:pt idx="1">
                  <c:v>10 - 20</c:v>
                </c:pt>
                <c:pt idx="2">
                  <c:v>20 - 30</c:v>
                </c:pt>
                <c:pt idx="3">
                  <c:v>30 - 40</c:v>
                </c:pt>
                <c:pt idx="4">
                  <c:v>40 - 50</c:v>
                </c:pt>
                <c:pt idx="5">
                  <c:v>50 - 60</c:v>
                </c:pt>
                <c:pt idx="6">
                  <c:v>60 - 70</c:v>
                </c:pt>
                <c:pt idx="7">
                  <c:v>70 - 80</c:v>
                </c:pt>
                <c:pt idx="8">
                  <c:v>80 - 90</c:v>
                </c:pt>
                <c:pt idx="9">
                  <c:v>90 - 100</c:v>
                </c:pt>
                <c:pt idx="10">
                  <c:v>100 - 110</c:v>
                </c:pt>
                <c:pt idx="11">
                  <c:v>110 - 120</c:v>
                </c:pt>
                <c:pt idx="12">
                  <c:v>120 - 130</c:v>
                </c:pt>
                <c:pt idx="13">
                  <c:v>130 - 140</c:v>
                </c:pt>
                <c:pt idx="14">
                  <c:v>140 - 150</c:v>
                </c:pt>
                <c:pt idx="15">
                  <c:v>150 - 160</c:v>
                </c:pt>
                <c:pt idx="16">
                  <c:v>160 - 170</c:v>
                </c:pt>
                <c:pt idx="17">
                  <c:v>170 - 180</c:v>
                </c:pt>
                <c:pt idx="18">
                  <c:v>180 - 190</c:v>
                </c:pt>
                <c:pt idx="19">
                  <c:v>190 - 200</c:v>
                </c:pt>
                <c:pt idx="20">
                  <c:v>&gt;200</c:v>
                </c:pt>
              </c:strCache>
            </c:strRef>
          </c:cat>
          <c:val>
            <c:numRef>
              <c:f>'tc 26'!$AD$74:$AD$94</c:f>
              <c:numCache>
                <c:formatCode>_-* #,##0.0_-;\-* #,##0.0_-;_-* "-"??_-;_-@_-</c:formatCode>
                <c:ptCount val="21"/>
                <c:pt idx="0">
                  <c:v>102747</c:v>
                </c:pt>
                <c:pt idx="1">
                  <c:v>1045</c:v>
                </c:pt>
                <c:pt idx="2">
                  <c:v>1050</c:v>
                </c:pt>
                <c:pt idx="3">
                  <c:v>0</c:v>
                </c:pt>
                <c:pt idx="4">
                  <c:v>1034</c:v>
                </c:pt>
                <c:pt idx="5">
                  <c:v>0</c:v>
                </c:pt>
                <c:pt idx="6">
                  <c:v>1014</c:v>
                </c:pt>
                <c:pt idx="7">
                  <c:v>0</c:v>
                </c:pt>
                <c:pt idx="8">
                  <c:v>0</c:v>
                </c:pt>
                <c:pt idx="9">
                  <c:v>0</c:v>
                </c:pt>
                <c:pt idx="10">
                  <c:v>0</c:v>
                </c:pt>
                <c:pt idx="11">
                  <c:v>0</c:v>
                </c:pt>
                <c:pt idx="12">
                  <c:v>0</c:v>
                </c:pt>
                <c:pt idx="13">
                  <c:v>0</c:v>
                </c:pt>
                <c:pt idx="14">
                  <c:v>0</c:v>
                </c:pt>
                <c:pt idx="15">
                  <c:v>1002</c:v>
                </c:pt>
                <c:pt idx="16">
                  <c:v>1001</c:v>
                </c:pt>
                <c:pt idx="17">
                  <c:v>0</c:v>
                </c:pt>
                <c:pt idx="18">
                  <c:v>0</c:v>
                </c:pt>
                <c:pt idx="19">
                  <c:v>0</c:v>
                </c:pt>
                <c:pt idx="20">
                  <c:v>1001</c:v>
                </c:pt>
              </c:numCache>
            </c:numRef>
          </c:val>
        </c:ser>
        <c:axId val="195193472"/>
        <c:axId val="195195648"/>
      </c:barChart>
      <c:catAx>
        <c:axId val="195193472"/>
        <c:scaling>
          <c:orientation val="minMax"/>
        </c:scaling>
        <c:axPos val="b"/>
        <c:title>
          <c:tx>
            <c:rich>
              <a:bodyPr/>
              <a:lstStyle/>
              <a:p>
                <a:pPr>
                  <a:defRPr b="0"/>
                </a:pPr>
                <a:r>
                  <a:rPr lang="en-US"/>
                  <a:t>Item weights (kg)</a:t>
                </a:r>
              </a:p>
            </c:rich>
          </c:tx>
        </c:title>
        <c:tickLblPos val="nextTo"/>
        <c:txPr>
          <a:bodyPr rot="-5400000" vert="horz"/>
          <a:lstStyle/>
          <a:p>
            <a:pPr>
              <a:defRPr/>
            </a:pPr>
            <a:endParaRPr lang="en-US"/>
          </a:p>
        </c:txPr>
        <c:crossAx val="195195648"/>
        <c:crosses val="autoZero"/>
        <c:auto val="1"/>
        <c:lblAlgn val="ctr"/>
        <c:lblOffset val="100"/>
      </c:catAx>
      <c:valAx>
        <c:axId val="195195648"/>
        <c:scaling>
          <c:orientation val="minMax"/>
        </c:scaling>
        <c:axPos val="l"/>
        <c:majorGridlines/>
        <c:title>
          <c:tx>
            <c:rich>
              <a:bodyPr rot="-5400000" vert="horz"/>
              <a:lstStyle/>
              <a:p>
                <a:pPr>
                  <a:defRPr b="0"/>
                </a:pPr>
                <a:r>
                  <a:rPr lang="en-US"/>
                  <a:t>Weight Imported, 2011 (kg)</a:t>
                </a:r>
              </a:p>
            </c:rich>
          </c:tx>
        </c:title>
        <c:numFmt formatCode="#,##0" sourceLinked="0"/>
        <c:tickLblPos val="nextTo"/>
        <c:crossAx val="195193472"/>
        <c:crosses val="autoZero"/>
        <c:crossBetween val="between"/>
      </c:valAx>
    </c:plotArea>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lgn="l">
              <a:defRPr sz="1000"/>
            </a:pPr>
            <a:r>
              <a:rPr lang="en-US"/>
              <a:t>SC07 8471.70.00 43</a:t>
            </a:r>
          </a:p>
          <a:p>
            <a:pPr algn="l">
              <a:defRPr sz="1000"/>
            </a:pPr>
            <a:r>
              <a:rPr lang="en-US"/>
              <a:t>Distribution of units imported</a:t>
            </a:r>
          </a:p>
        </c:rich>
      </c:tx>
      <c:layout>
        <c:manualLayout>
          <c:xMode val="edge"/>
          <c:yMode val="edge"/>
          <c:x val="3.888888888888889E-2"/>
          <c:y val="2.7777777777778224E-2"/>
        </c:manualLayout>
      </c:layout>
    </c:title>
    <c:plotArea>
      <c:layout/>
      <c:barChart>
        <c:barDir val="col"/>
        <c:grouping val="clustered"/>
        <c:ser>
          <c:idx val="0"/>
          <c:order val="0"/>
          <c:cat>
            <c:strRef>
              <c:f>'tc 28'!$Q$74:$Q$94</c:f>
              <c:strCache>
                <c:ptCount val="21"/>
                <c:pt idx="0">
                  <c:v>0 - 10</c:v>
                </c:pt>
                <c:pt idx="1">
                  <c:v>10 - 20</c:v>
                </c:pt>
                <c:pt idx="2">
                  <c:v>20 - 30</c:v>
                </c:pt>
                <c:pt idx="3">
                  <c:v>30 - 40</c:v>
                </c:pt>
                <c:pt idx="4">
                  <c:v>40 - 50</c:v>
                </c:pt>
                <c:pt idx="5">
                  <c:v>50 - 60</c:v>
                </c:pt>
                <c:pt idx="6">
                  <c:v>60 - 70</c:v>
                </c:pt>
                <c:pt idx="7">
                  <c:v>70 - 80</c:v>
                </c:pt>
                <c:pt idx="8">
                  <c:v>80 - 90</c:v>
                </c:pt>
                <c:pt idx="9">
                  <c:v>90 - 100</c:v>
                </c:pt>
                <c:pt idx="10">
                  <c:v>100 - 110</c:v>
                </c:pt>
                <c:pt idx="11">
                  <c:v>110 - 120</c:v>
                </c:pt>
                <c:pt idx="12">
                  <c:v>120 - 130</c:v>
                </c:pt>
                <c:pt idx="13">
                  <c:v>130 - 140</c:v>
                </c:pt>
                <c:pt idx="14">
                  <c:v>140 - 150</c:v>
                </c:pt>
                <c:pt idx="15">
                  <c:v>150 - 160</c:v>
                </c:pt>
                <c:pt idx="16">
                  <c:v>160 - 170</c:v>
                </c:pt>
                <c:pt idx="17">
                  <c:v>170 - 180</c:v>
                </c:pt>
                <c:pt idx="18">
                  <c:v>180 - 190</c:v>
                </c:pt>
                <c:pt idx="19">
                  <c:v>190 - 200</c:v>
                </c:pt>
                <c:pt idx="20">
                  <c:v>&gt;200</c:v>
                </c:pt>
              </c:strCache>
            </c:strRef>
          </c:cat>
          <c:val>
            <c:numRef>
              <c:f>'tc 28'!$AD$74:$AD$94</c:f>
              <c:numCache>
                <c:formatCode>_-* #,##0.0_-;\-* #,##0.0_-;_-* "-"??_-;_-@_-</c:formatCode>
                <c:ptCount val="21"/>
                <c:pt idx="0">
                  <c:v>493651</c:v>
                </c:pt>
                <c:pt idx="1">
                  <c:v>5013</c:v>
                </c:pt>
                <c:pt idx="2">
                  <c:v>5042</c:v>
                </c:pt>
                <c:pt idx="3">
                  <c:v>0</c:v>
                </c:pt>
                <c:pt idx="4">
                  <c:v>0</c:v>
                </c:pt>
                <c:pt idx="5">
                  <c:v>0</c:v>
                </c:pt>
                <c:pt idx="6">
                  <c:v>0</c:v>
                </c:pt>
                <c:pt idx="7">
                  <c:v>0</c:v>
                </c:pt>
                <c:pt idx="8">
                  <c:v>0</c:v>
                </c:pt>
                <c:pt idx="9">
                  <c:v>0</c:v>
                </c:pt>
                <c:pt idx="10">
                  <c:v>0</c:v>
                </c:pt>
                <c:pt idx="11">
                  <c:v>5002</c:v>
                </c:pt>
                <c:pt idx="12">
                  <c:v>0</c:v>
                </c:pt>
                <c:pt idx="13">
                  <c:v>0</c:v>
                </c:pt>
                <c:pt idx="14">
                  <c:v>0</c:v>
                </c:pt>
                <c:pt idx="15">
                  <c:v>0</c:v>
                </c:pt>
                <c:pt idx="16">
                  <c:v>0</c:v>
                </c:pt>
                <c:pt idx="17">
                  <c:v>0</c:v>
                </c:pt>
                <c:pt idx="18">
                  <c:v>0</c:v>
                </c:pt>
                <c:pt idx="19">
                  <c:v>0</c:v>
                </c:pt>
                <c:pt idx="20">
                  <c:v>0</c:v>
                </c:pt>
              </c:numCache>
            </c:numRef>
          </c:val>
        </c:ser>
        <c:axId val="195244416"/>
        <c:axId val="195246336"/>
      </c:barChart>
      <c:catAx>
        <c:axId val="195244416"/>
        <c:scaling>
          <c:orientation val="minMax"/>
        </c:scaling>
        <c:axPos val="b"/>
        <c:title>
          <c:tx>
            <c:rich>
              <a:bodyPr/>
              <a:lstStyle/>
              <a:p>
                <a:pPr>
                  <a:defRPr b="0"/>
                </a:pPr>
                <a:r>
                  <a:rPr lang="en-US"/>
                  <a:t>Item weights (kg)</a:t>
                </a:r>
              </a:p>
            </c:rich>
          </c:tx>
        </c:title>
        <c:tickLblPos val="nextTo"/>
        <c:txPr>
          <a:bodyPr rot="-5400000" vert="horz"/>
          <a:lstStyle/>
          <a:p>
            <a:pPr>
              <a:defRPr/>
            </a:pPr>
            <a:endParaRPr lang="en-US"/>
          </a:p>
        </c:txPr>
        <c:crossAx val="195246336"/>
        <c:crosses val="autoZero"/>
        <c:auto val="1"/>
        <c:lblAlgn val="ctr"/>
        <c:lblOffset val="100"/>
      </c:catAx>
      <c:valAx>
        <c:axId val="195246336"/>
        <c:scaling>
          <c:orientation val="minMax"/>
        </c:scaling>
        <c:axPos val="l"/>
        <c:majorGridlines/>
        <c:title>
          <c:tx>
            <c:rich>
              <a:bodyPr rot="-5400000" vert="horz"/>
              <a:lstStyle/>
              <a:p>
                <a:pPr>
                  <a:defRPr b="0"/>
                </a:pPr>
                <a:r>
                  <a:rPr lang="en-US"/>
                  <a:t>Weight Imported, 2011 (kg)</a:t>
                </a:r>
              </a:p>
            </c:rich>
          </c:tx>
        </c:title>
        <c:numFmt formatCode="#,##0" sourceLinked="0"/>
        <c:tickLblPos val="nextTo"/>
        <c:crossAx val="195244416"/>
        <c:crosses val="autoZero"/>
        <c:crossBetween val="between"/>
      </c:valAx>
    </c:plotArea>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lgn="l">
              <a:defRPr sz="1000"/>
            </a:pPr>
            <a:r>
              <a:rPr lang="en-US"/>
              <a:t>SC07 8471.70.00 75</a:t>
            </a:r>
          </a:p>
          <a:p>
            <a:pPr algn="l">
              <a:defRPr sz="1000"/>
            </a:pPr>
            <a:r>
              <a:rPr lang="en-US"/>
              <a:t>Distribution of units imported</a:t>
            </a:r>
          </a:p>
        </c:rich>
      </c:tx>
      <c:layout>
        <c:manualLayout>
          <c:xMode val="edge"/>
          <c:yMode val="edge"/>
          <c:x val="3.888888888888889E-2"/>
          <c:y val="2.7777777777778869E-2"/>
        </c:manualLayout>
      </c:layout>
    </c:title>
    <c:plotArea>
      <c:layout/>
      <c:barChart>
        <c:barDir val="col"/>
        <c:grouping val="clustered"/>
        <c:ser>
          <c:idx val="0"/>
          <c:order val="0"/>
          <c:cat>
            <c:strRef>
              <c:f>'tc 27'!$Q$74:$Q$94</c:f>
              <c:strCache>
                <c:ptCount val="21"/>
                <c:pt idx="0">
                  <c:v>0 - 0.5</c:v>
                </c:pt>
                <c:pt idx="1">
                  <c:v>0.5 - 1</c:v>
                </c:pt>
                <c:pt idx="2">
                  <c:v>1 - 1.5</c:v>
                </c:pt>
                <c:pt idx="3">
                  <c:v>1.5 - 2</c:v>
                </c:pt>
                <c:pt idx="4">
                  <c:v>2 - 2.5</c:v>
                </c:pt>
                <c:pt idx="5">
                  <c:v>2.5 - 3</c:v>
                </c:pt>
                <c:pt idx="6">
                  <c:v>3 - 3.5</c:v>
                </c:pt>
                <c:pt idx="7">
                  <c:v>3.5 - 4</c:v>
                </c:pt>
                <c:pt idx="8">
                  <c:v>4 - 4.5</c:v>
                </c:pt>
                <c:pt idx="9">
                  <c:v>4.5 - 5</c:v>
                </c:pt>
                <c:pt idx="10">
                  <c:v>5 - 5.5</c:v>
                </c:pt>
                <c:pt idx="11">
                  <c:v>5.5 - 6</c:v>
                </c:pt>
                <c:pt idx="12">
                  <c:v>6 - 6.5</c:v>
                </c:pt>
                <c:pt idx="13">
                  <c:v>6.5 - 7</c:v>
                </c:pt>
                <c:pt idx="14">
                  <c:v>7 - 7.5</c:v>
                </c:pt>
                <c:pt idx="15">
                  <c:v>7.5 - 8</c:v>
                </c:pt>
                <c:pt idx="16">
                  <c:v>8 - 8.5</c:v>
                </c:pt>
                <c:pt idx="17">
                  <c:v>8.5 - 9</c:v>
                </c:pt>
                <c:pt idx="18">
                  <c:v>9 - 9.5</c:v>
                </c:pt>
                <c:pt idx="19">
                  <c:v>9.5 - 10</c:v>
                </c:pt>
                <c:pt idx="20">
                  <c:v>&gt;10</c:v>
                </c:pt>
              </c:strCache>
            </c:strRef>
          </c:cat>
          <c:val>
            <c:numRef>
              <c:f>'tc 27'!$AD$74:$AD$94</c:f>
              <c:numCache>
                <c:formatCode>_-* #,##0.0_-;\-* #,##0.0_-;_-* "-"??_-;_-@_-</c:formatCode>
                <c:ptCount val="21"/>
                <c:pt idx="0">
                  <c:v>0</c:v>
                </c:pt>
                <c:pt idx="1">
                  <c:v>6</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numCache>
            </c:numRef>
          </c:val>
        </c:ser>
        <c:axId val="195262720"/>
        <c:axId val="195277184"/>
      </c:barChart>
      <c:catAx>
        <c:axId val="195262720"/>
        <c:scaling>
          <c:orientation val="minMax"/>
        </c:scaling>
        <c:axPos val="b"/>
        <c:title>
          <c:tx>
            <c:rich>
              <a:bodyPr/>
              <a:lstStyle/>
              <a:p>
                <a:pPr>
                  <a:defRPr b="0"/>
                </a:pPr>
                <a:r>
                  <a:rPr lang="en-US"/>
                  <a:t>Unit weight (kg)</a:t>
                </a:r>
              </a:p>
            </c:rich>
          </c:tx>
        </c:title>
        <c:tickLblPos val="nextTo"/>
        <c:txPr>
          <a:bodyPr rot="-5400000" vert="horz"/>
          <a:lstStyle/>
          <a:p>
            <a:pPr>
              <a:defRPr/>
            </a:pPr>
            <a:endParaRPr lang="en-US"/>
          </a:p>
        </c:txPr>
        <c:crossAx val="195277184"/>
        <c:crosses val="autoZero"/>
        <c:auto val="1"/>
        <c:lblAlgn val="ctr"/>
        <c:lblOffset val="100"/>
      </c:catAx>
      <c:valAx>
        <c:axId val="195277184"/>
        <c:scaling>
          <c:orientation val="minMax"/>
        </c:scaling>
        <c:axPos val="l"/>
        <c:majorGridlines/>
        <c:title>
          <c:tx>
            <c:rich>
              <a:bodyPr rot="-5400000" vert="horz"/>
              <a:lstStyle/>
              <a:p>
                <a:pPr>
                  <a:defRPr b="0"/>
                </a:pPr>
                <a:r>
                  <a:rPr lang="en-US"/>
                  <a:t>Number of units</a:t>
                </a:r>
              </a:p>
            </c:rich>
          </c:tx>
        </c:title>
        <c:numFmt formatCode="#,##0" sourceLinked="0"/>
        <c:tickLblPos val="nextTo"/>
        <c:crossAx val="195262720"/>
        <c:crosses val="autoZero"/>
        <c:crossBetween val="between"/>
      </c:valAx>
    </c:plotArea>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en-AU"/>
  <c:chart>
    <c:plotArea>
      <c:layout/>
      <c:pieChart>
        <c:varyColors val="1"/>
        <c:ser>
          <c:idx val="0"/>
          <c:order val="0"/>
          <c:dLbls>
            <c:dLbl>
              <c:idx val="0"/>
              <c:layout>
                <c:manualLayout>
                  <c:x val="-1.552427821522329E-2"/>
                  <c:y val="0"/>
                </c:manualLayout>
              </c:layout>
              <c:showCatName val="1"/>
              <c:showPercent val="1"/>
            </c:dLbl>
            <c:dLbl>
              <c:idx val="1"/>
              <c:layout>
                <c:manualLayout>
                  <c:x val="1.8049759405074365E-2"/>
                  <c:y val="-2.2098643919510212E-2"/>
                </c:manualLayout>
              </c:layout>
              <c:showCatName val="1"/>
              <c:showPercent val="1"/>
            </c:dLbl>
            <c:dLbl>
              <c:idx val="2"/>
              <c:layout>
                <c:manualLayout>
                  <c:x val="4.2431102362204667E-2"/>
                  <c:y val="-7.6438466025080198E-2"/>
                </c:manualLayout>
              </c:layout>
              <c:showCatName val="1"/>
              <c:showPercent val="1"/>
            </c:dLbl>
            <c:dLbl>
              <c:idx val="3"/>
              <c:layout>
                <c:manualLayout>
                  <c:x val="-1.0865813648293981E-2"/>
                  <c:y val="0.13832640711577721"/>
                </c:manualLayout>
              </c:layout>
              <c:showCatName val="1"/>
              <c:showPercent val="1"/>
            </c:dLbl>
            <c:showCatName val="1"/>
            <c:showPercent val="1"/>
            <c:showLeaderLines val="1"/>
          </c:dLbls>
          <c:cat>
            <c:strRef>
              <c:f>'CTCN Poroportions'!$D$248:$D$251</c:f>
              <c:strCache>
                <c:ptCount val="4"/>
                <c:pt idx="0">
                  <c:v>Cards</c:v>
                </c:pt>
                <c:pt idx="1">
                  <c:v>Motherboards</c:v>
                </c:pt>
                <c:pt idx="2">
                  <c:v>Other</c:v>
                </c:pt>
                <c:pt idx="3">
                  <c:v>Accessories</c:v>
                </c:pt>
              </c:strCache>
            </c:strRef>
          </c:cat>
          <c:val>
            <c:numRef>
              <c:f>'CTCN Poroportions'!$E$248:$E$251</c:f>
              <c:numCache>
                <c:formatCode>_-* #,##0_-;\-* #,##0_-;_-* "-"??_-;_-@_-</c:formatCode>
                <c:ptCount val="4"/>
                <c:pt idx="0">
                  <c:v>1232057</c:v>
                </c:pt>
                <c:pt idx="1">
                  <c:v>1052081</c:v>
                </c:pt>
                <c:pt idx="2">
                  <c:v>6952663</c:v>
                </c:pt>
                <c:pt idx="3">
                  <c:v>4611974</c:v>
                </c:pt>
              </c:numCache>
            </c:numRef>
          </c:val>
        </c:ser>
        <c:firstSliceAng val="0"/>
      </c:pieChart>
      <c:spPr>
        <a:ln>
          <a:noFill/>
        </a:ln>
      </c:spPr>
    </c:plotArea>
    <c:plotVisOnly val="1"/>
  </c:chart>
  <c:spPr>
    <a:ln>
      <a:noFill/>
    </a:ln>
  </c:spPr>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lgn="l">
              <a:defRPr sz="1000"/>
            </a:pPr>
            <a:r>
              <a:rPr lang="en-US"/>
              <a:t>SC07 8473.30.00 62</a:t>
            </a:r>
          </a:p>
          <a:p>
            <a:pPr algn="l">
              <a:defRPr sz="1000"/>
            </a:pPr>
            <a:r>
              <a:rPr lang="en-US"/>
              <a:t>Distribution of units imported</a:t>
            </a:r>
          </a:p>
        </c:rich>
      </c:tx>
      <c:layout>
        <c:manualLayout>
          <c:xMode val="edge"/>
          <c:yMode val="edge"/>
          <c:x val="3.888888888888889E-2"/>
          <c:y val="2.7777777777778682E-2"/>
        </c:manualLayout>
      </c:layout>
    </c:title>
    <c:plotArea>
      <c:layout/>
      <c:barChart>
        <c:barDir val="col"/>
        <c:grouping val="clustered"/>
        <c:ser>
          <c:idx val="0"/>
          <c:order val="0"/>
          <c:cat>
            <c:strRef>
              <c:f>'tc 29 all'!$Q$74:$Q$94</c:f>
              <c:strCache>
                <c:ptCount val="21"/>
                <c:pt idx="0">
                  <c:v>0 - 1</c:v>
                </c:pt>
                <c:pt idx="1">
                  <c:v>1 - 2</c:v>
                </c:pt>
                <c:pt idx="2">
                  <c:v>2 - 3</c:v>
                </c:pt>
                <c:pt idx="3">
                  <c:v>3 - 4</c:v>
                </c:pt>
                <c:pt idx="4">
                  <c:v>4 - 5</c:v>
                </c:pt>
                <c:pt idx="5">
                  <c:v>5 - 6</c:v>
                </c:pt>
                <c:pt idx="6">
                  <c:v>6 - 7</c:v>
                </c:pt>
                <c:pt idx="7">
                  <c:v>7 - 8</c:v>
                </c:pt>
                <c:pt idx="8">
                  <c:v>8 - 9</c:v>
                </c:pt>
                <c:pt idx="9">
                  <c:v>9 - 10</c:v>
                </c:pt>
                <c:pt idx="10">
                  <c:v>10 - 11</c:v>
                </c:pt>
                <c:pt idx="11">
                  <c:v>11 - 12</c:v>
                </c:pt>
                <c:pt idx="12">
                  <c:v>12 - 13</c:v>
                </c:pt>
                <c:pt idx="13">
                  <c:v>13 - 14</c:v>
                </c:pt>
                <c:pt idx="14">
                  <c:v>14 - 15</c:v>
                </c:pt>
                <c:pt idx="15">
                  <c:v>15 - 16</c:v>
                </c:pt>
                <c:pt idx="16">
                  <c:v>16 - 17</c:v>
                </c:pt>
                <c:pt idx="17">
                  <c:v>17 - 18</c:v>
                </c:pt>
                <c:pt idx="18">
                  <c:v>18 - 19</c:v>
                </c:pt>
                <c:pt idx="19">
                  <c:v>19 - 20</c:v>
                </c:pt>
                <c:pt idx="20">
                  <c:v>&gt;20</c:v>
                </c:pt>
              </c:strCache>
            </c:strRef>
          </c:cat>
          <c:val>
            <c:numRef>
              <c:f>'tc 29 all'!$AD$74:$AD$94</c:f>
              <c:numCache>
                <c:formatCode>_-* #,##0.0_-;\-* #,##0.0_-;_-* "-"??_-;_-@_-</c:formatCode>
                <c:ptCount val="21"/>
                <c:pt idx="0">
                  <c:v>33319</c:v>
                </c:pt>
                <c:pt idx="1">
                  <c:v>0</c:v>
                </c:pt>
                <c:pt idx="2">
                  <c:v>0</c:v>
                </c:pt>
                <c:pt idx="3">
                  <c:v>0</c:v>
                </c:pt>
                <c:pt idx="4">
                  <c:v>4</c:v>
                </c:pt>
                <c:pt idx="5">
                  <c:v>0</c:v>
                </c:pt>
                <c:pt idx="6">
                  <c:v>0</c:v>
                </c:pt>
                <c:pt idx="7">
                  <c:v>0</c:v>
                </c:pt>
                <c:pt idx="8">
                  <c:v>0</c:v>
                </c:pt>
                <c:pt idx="9">
                  <c:v>0</c:v>
                </c:pt>
                <c:pt idx="10">
                  <c:v>7405.5</c:v>
                </c:pt>
                <c:pt idx="11">
                  <c:v>0</c:v>
                </c:pt>
                <c:pt idx="12">
                  <c:v>0</c:v>
                </c:pt>
                <c:pt idx="13">
                  <c:v>0</c:v>
                </c:pt>
                <c:pt idx="14">
                  <c:v>0</c:v>
                </c:pt>
                <c:pt idx="15">
                  <c:v>0</c:v>
                </c:pt>
                <c:pt idx="16">
                  <c:v>0</c:v>
                </c:pt>
                <c:pt idx="17">
                  <c:v>0</c:v>
                </c:pt>
                <c:pt idx="18">
                  <c:v>0</c:v>
                </c:pt>
                <c:pt idx="19">
                  <c:v>0</c:v>
                </c:pt>
                <c:pt idx="20">
                  <c:v>0</c:v>
                </c:pt>
              </c:numCache>
            </c:numRef>
          </c:val>
        </c:ser>
        <c:axId val="195327488"/>
        <c:axId val="195329408"/>
      </c:barChart>
      <c:catAx>
        <c:axId val="195327488"/>
        <c:scaling>
          <c:orientation val="minMax"/>
        </c:scaling>
        <c:axPos val="b"/>
        <c:title>
          <c:tx>
            <c:rich>
              <a:bodyPr/>
              <a:lstStyle/>
              <a:p>
                <a:pPr>
                  <a:defRPr b="0"/>
                </a:pPr>
                <a:r>
                  <a:rPr lang="en-US"/>
                  <a:t>Item weights (kg)</a:t>
                </a:r>
              </a:p>
            </c:rich>
          </c:tx>
        </c:title>
        <c:tickLblPos val="nextTo"/>
        <c:txPr>
          <a:bodyPr rot="-5400000" vert="horz"/>
          <a:lstStyle/>
          <a:p>
            <a:pPr>
              <a:defRPr/>
            </a:pPr>
            <a:endParaRPr lang="en-US"/>
          </a:p>
        </c:txPr>
        <c:crossAx val="195329408"/>
        <c:crosses val="autoZero"/>
        <c:auto val="1"/>
        <c:lblAlgn val="ctr"/>
        <c:lblOffset val="100"/>
      </c:catAx>
      <c:valAx>
        <c:axId val="195329408"/>
        <c:scaling>
          <c:orientation val="minMax"/>
        </c:scaling>
        <c:axPos val="l"/>
        <c:majorGridlines/>
        <c:title>
          <c:tx>
            <c:rich>
              <a:bodyPr rot="-5400000" vert="horz"/>
              <a:lstStyle/>
              <a:p>
                <a:pPr>
                  <a:defRPr b="0"/>
                </a:pPr>
                <a:r>
                  <a:rPr lang="en-US"/>
                  <a:t>Weight Imported, 2011 (kg)</a:t>
                </a:r>
              </a:p>
            </c:rich>
          </c:tx>
        </c:title>
        <c:numFmt formatCode="#,##0" sourceLinked="0"/>
        <c:tickLblPos val="nextTo"/>
        <c:crossAx val="195327488"/>
        <c:crosses val="autoZero"/>
        <c:crossBetween val="between"/>
      </c:valAx>
    </c:plotArea>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AU"/>
  <c:chart>
    <c:title>
      <c:tx>
        <c:rich>
          <a:bodyPr/>
          <a:lstStyle/>
          <a:p>
            <a:pPr algn="l">
              <a:defRPr sz="1000"/>
            </a:pPr>
            <a:r>
              <a:rPr lang="en-US"/>
              <a:t>SCO7 8473.30.00 62</a:t>
            </a:r>
          </a:p>
          <a:p>
            <a:pPr algn="l">
              <a:defRPr sz="1000"/>
            </a:pPr>
            <a:r>
              <a:rPr lang="en-US"/>
              <a:t>Distribution of units imported</a:t>
            </a:r>
          </a:p>
        </c:rich>
      </c:tx>
      <c:layout>
        <c:manualLayout>
          <c:xMode val="edge"/>
          <c:yMode val="edge"/>
          <c:x val="3.888888888888889E-2"/>
          <c:y val="2.7777777777778123E-2"/>
        </c:manualLayout>
      </c:layout>
    </c:title>
    <c:plotArea>
      <c:layout/>
      <c:barChart>
        <c:barDir val="col"/>
        <c:grouping val="clustered"/>
        <c:ser>
          <c:idx val="0"/>
          <c:order val="0"/>
          <c:cat>
            <c:strRef>
              <c:f>'tc 29'!$Q$74:$Q$94</c:f>
              <c:strCache>
                <c:ptCount val="21"/>
                <c:pt idx="0">
                  <c:v>0 - 0.5</c:v>
                </c:pt>
                <c:pt idx="1">
                  <c:v>0.5 - 1</c:v>
                </c:pt>
                <c:pt idx="2">
                  <c:v>1 - 1.5</c:v>
                </c:pt>
                <c:pt idx="3">
                  <c:v>1.5 - 2</c:v>
                </c:pt>
                <c:pt idx="4">
                  <c:v>2 - 2.5</c:v>
                </c:pt>
                <c:pt idx="5">
                  <c:v>2.5 - 3</c:v>
                </c:pt>
                <c:pt idx="6">
                  <c:v>3 - 3.5</c:v>
                </c:pt>
                <c:pt idx="7">
                  <c:v>3.5 - 4</c:v>
                </c:pt>
                <c:pt idx="8">
                  <c:v>4 - 4.5</c:v>
                </c:pt>
                <c:pt idx="9">
                  <c:v>4.5 - 5</c:v>
                </c:pt>
                <c:pt idx="10">
                  <c:v>5 - 5.5</c:v>
                </c:pt>
                <c:pt idx="11">
                  <c:v>5.5 - 6</c:v>
                </c:pt>
                <c:pt idx="12">
                  <c:v>6 - 6.5</c:v>
                </c:pt>
                <c:pt idx="13">
                  <c:v>6.5 - 7</c:v>
                </c:pt>
                <c:pt idx="14">
                  <c:v>7 - 7.5</c:v>
                </c:pt>
                <c:pt idx="15">
                  <c:v>7.5 - 8</c:v>
                </c:pt>
                <c:pt idx="16">
                  <c:v>8 - 8.5</c:v>
                </c:pt>
                <c:pt idx="17">
                  <c:v>8.5 - 9</c:v>
                </c:pt>
                <c:pt idx="18">
                  <c:v>9 - 9.5</c:v>
                </c:pt>
                <c:pt idx="19">
                  <c:v>9.5 - 10</c:v>
                </c:pt>
                <c:pt idx="20">
                  <c:v>&gt;10</c:v>
                </c:pt>
              </c:strCache>
            </c:strRef>
          </c:cat>
          <c:val>
            <c:numRef>
              <c:f>'tc 29'!$AD$74:$AD$94</c:f>
              <c:numCache>
                <c:formatCode>_-* #,##0.0_-;\-* #,##0.0_-;_-* "-"??_-;_-@_-</c:formatCode>
                <c:ptCount val="21"/>
                <c:pt idx="0">
                  <c:v>33317</c:v>
                </c:pt>
                <c:pt idx="1">
                  <c:v>302</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numCache>
            </c:numRef>
          </c:val>
        </c:ser>
        <c:axId val="195443712"/>
        <c:axId val="195449984"/>
      </c:barChart>
      <c:catAx>
        <c:axId val="195443712"/>
        <c:scaling>
          <c:orientation val="minMax"/>
        </c:scaling>
        <c:axPos val="b"/>
        <c:title>
          <c:tx>
            <c:rich>
              <a:bodyPr/>
              <a:lstStyle/>
              <a:p>
                <a:pPr>
                  <a:defRPr b="0"/>
                </a:pPr>
                <a:r>
                  <a:rPr lang="en-US"/>
                  <a:t>Item weights (kg)</a:t>
                </a:r>
              </a:p>
            </c:rich>
          </c:tx>
        </c:title>
        <c:tickLblPos val="nextTo"/>
        <c:txPr>
          <a:bodyPr rot="-5400000" vert="horz"/>
          <a:lstStyle/>
          <a:p>
            <a:pPr>
              <a:defRPr/>
            </a:pPr>
            <a:endParaRPr lang="en-US"/>
          </a:p>
        </c:txPr>
        <c:crossAx val="195449984"/>
        <c:crosses val="autoZero"/>
        <c:auto val="1"/>
        <c:lblAlgn val="ctr"/>
        <c:lblOffset val="100"/>
      </c:catAx>
      <c:valAx>
        <c:axId val="195449984"/>
        <c:scaling>
          <c:orientation val="minMax"/>
        </c:scaling>
        <c:axPos val="l"/>
        <c:majorGridlines/>
        <c:title>
          <c:tx>
            <c:rich>
              <a:bodyPr rot="-5400000" vert="horz"/>
              <a:lstStyle/>
              <a:p>
                <a:pPr>
                  <a:defRPr b="0"/>
                </a:pPr>
                <a:r>
                  <a:rPr lang="en-US"/>
                  <a:t>Weight Imported, 2011 (kg)</a:t>
                </a:r>
              </a:p>
            </c:rich>
          </c:tx>
        </c:title>
        <c:numFmt formatCode="#,##0" sourceLinked="0"/>
        <c:tickLblPos val="nextTo"/>
        <c:crossAx val="195443712"/>
        <c:crosses val="autoZero"/>
        <c:crossBetween val="between"/>
      </c:valAx>
    </c:plotArea>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lgn="l">
              <a:defRPr sz="1000"/>
            </a:pPr>
            <a:r>
              <a:rPr lang="en-US"/>
              <a:t>SC07 8473.30.00 68</a:t>
            </a:r>
          </a:p>
          <a:p>
            <a:pPr algn="l">
              <a:defRPr sz="1000"/>
            </a:pPr>
            <a:r>
              <a:rPr lang="en-US"/>
              <a:t>Distribution of units imported</a:t>
            </a:r>
          </a:p>
        </c:rich>
      </c:tx>
      <c:layout>
        <c:manualLayout>
          <c:xMode val="edge"/>
          <c:yMode val="edge"/>
          <c:x val="3.888888888888889E-2"/>
          <c:y val="2.7777777777778224E-2"/>
        </c:manualLayout>
      </c:layout>
    </c:title>
    <c:plotArea>
      <c:layout/>
      <c:barChart>
        <c:barDir val="col"/>
        <c:grouping val="clustered"/>
        <c:ser>
          <c:idx val="0"/>
          <c:order val="0"/>
          <c:cat>
            <c:strRef>
              <c:f>'tc 30'!$Q$74:$Q$94</c:f>
              <c:strCache>
                <c:ptCount val="21"/>
                <c:pt idx="0">
                  <c:v>0 - 0.5</c:v>
                </c:pt>
                <c:pt idx="1">
                  <c:v>0.5 - 1</c:v>
                </c:pt>
                <c:pt idx="2">
                  <c:v>1 - 1.5</c:v>
                </c:pt>
                <c:pt idx="3">
                  <c:v>1.5 - 2</c:v>
                </c:pt>
                <c:pt idx="4">
                  <c:v>2 - 2.5</c:v>
                </c:pt>
                <c:pt idx="5">
                  <c:v>2.5 - 3</c:v>
                </c:pt>
                <c:pt idx="6">
                  <c:v>3 - 3.5</c:v>
                </c:pt>
                <c:pt idx="7">
                  <c:v>3.5 - 4</c:v>
                </c:pt>
                <c:pt idx="8">
                  <c:v>4 - 4.5</c:v>
                </c:pt>
                <c:pt idx="9">
                  <c:v>4.5 - 5</c:v>
                </c:pt>
                <c:pt idx="10">
                  <c:v>5 - 5.5</c:v>
                </c:pt>
                <c:pt idx="11">
                  <c:v>5.5 - 6</c:v>
                </c:pt>
                <c:pt idx="12">
                  <c:v>6 - 6.5</c:v>
                </c:pt>
                <c:pt idx="13">
                  <c:v>6.5 - 7</c:v>
                </c:pt>
                <c:pt idx="14">
                  <c:v>7 - 7.5</c:v>
                </c:pt>
                <c:pt idx="15">
                  <c:v>7.5 - 8</c:v>
                </c:pt>
                <c:pt idx="16">
                  <c:v>8 - 8.5</c:v>
                </c:pt>
                <c:pt idx="17">
                  <c:v>8.5 - 9</c:v>
                </c:pt>
                <c:pt idx="18">
                  <c:v>9 - 9.5</c:v>
                </c:pt>
                <c:pt idx="19">
                  <c:v>9.5 - 10</c:v>
                </c:pt>
                <c:pt idx="20">
                  <c:v>&gt;10</c:v>
                </c:pt>
              </c:strCache>
            </c:strRef>
          </c:cat>
          <c:val>
            <c:numRef>
              <c:f>'tc 30'!$AD$74:$AD$94</c:f>
              <c:numCache>
                <c:formatCode>_-* #,##0.0_-;\-* #,##0.0_-;_-* "-"??_-;_-@_-</c:formatCode>
                <c:ptCount val="21"/>
                <c:pt idx="0">
                  <c:v>309</c:v>
                </c:pt>
                <c:pt idx="1">
                  <c:v>21730</c:v>
                </c:pt>
                <c:pt idx="2">
                  <c:v>325</c:v>
                </c:pt>
                <c:pt idx="3">
                  <c:v>303</c:v>
                </c:pt>
                <c:pt idx="4">
                  <c:v>306</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302</c:v>
                </c:pt>
              </c:numCache>
            </c:numRef>
          </c:val>
        </c:ser>
        <c:axId val="195506944"/>
        <c:axId val="195508864"/>
      </c:barChart>
      <c:catAx>
        <c:axId val="195506944"/>
        <c:scaling>
          <c:orientation val="minMax"/>
        </c:scaling>
        <c:axPos val="b"/>
        <c:title>
          <c:tx>
            <c:rich>
              <a:bodyPr/>
              <a:lstStyle/>
              <a:p>
                <a:pPr>
                  <a:defRPr b="0"/>
                </a:pPr>
                <a:r>
                  <a:rPr lang="en-US"/>
                  <a:t>Item weights (kg)</a:t>
                </a:r>
              </a:p>
            </c:rich>
          </c:tx>
        </c:title>
        <c:tickLblPos val="nextTo"/>
        <c:txPr>
          <a:bodyPr rot="-5400000" vert="horz"/>
          <a:lstStyle/>
          <a:p>
            <a:pPr>
              <a:defRPr/>
            </a:pPr>
            <a:endParaRPr lang="en-US"/>
          </a:p>
        </c:txPr>
        <c:crossAx val="195508864"/>
        <c:crosses val="autoZero"/>
        <c:auto val="1"/>
        <c:lblAlgn val="ctr"/>
        <c:lblOffset val="100"/>
      </c:catAx>
      <c:valAx>
        <c:axId val="195508864"/>
        <c:scaling>
          <c:orientation val="minMax"/>
        </c:scaling>
        <c:axPos val="l"/>
        <c:majorGridlines/>
        <c:title>
          <c:tx>
            <c:rich>
              <a:bodyPr rot="-5400000" vert="horz"/>
              <a:lstStyle/>
              <a:p>
                <a:pPr>
                  <a:defRPr b="0"/>
                </a:pPr>
                <a:r>
                  <a:rPr lang="en-US"/>
                  <a:t>Weight Imported, 2011 (kg)</a:t>
                </a:r>
              </a:p>
            </c:rich>
          </c:tx>
        </c:title>
        <c:numFmt formatCode="#,##0" sourceLinked="0"/>
        <c:tickLblPos val="nextTo"/>
        <c:crossAx val="195506944"/>
        <c:crosses val="autoZero"/>
        <c:crossBetween val="between"/>
      </c:valAx>
    </c:plotArea>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lgn="l">
              <a:defRPr sz="1000"/>
            </a:pPr>
            <a:r>
              <a:rPr lang="en-US"/>
              <a:t>SC07 8473.30.00 70</a:t>
            </a:r>
          </a:p>
          <a:p>
            <a:pPr algn="l">
              <a:defRPr sz="1000"/>
            </a:pPr>
            <a:r>
              <a:rPr lang="en-US"/>
              <a:t>Distribution of units imported</a:t>
            </a:r>
          </a:p>
        </c:rich>
      </c:tx>
      <c:layout>
        <c:manualLayout>
          <c:xMode val="edge"/>
          <c:yMode val="edge"/>
          <c:x val="3.888888888888889E-2"/>
          <c:y val="2.7777777777778224E-2"/>
        </c:manualLayout>
      </c:layout>
    </c:title>
    <c:plotArea>
      <c:layout/>
      <c:barChart>
        <c:barDir val="col"/>
        <c:grouping val="clustered"/>
        <c:ser>
          <c:idx val="0"/>
          <c:order val="0"/>
          <c:cat>
            <c:strRef>
              <c:f>'tc 31'!$Q$74:$Q$94</c:f>
              <c:strCache>
                <c:ptCount val="21"/>
                <c:pt idx="0">
                  <c:v>0 - 3</c:v>
                </c:pt>
                <c:pt idx="1">
                  <c:v>3 - 6</c:v>
                </c:pt>
                <c:pt idx="2">
                  <c:v>6 - 9</c:v>
                </c:pt>
                <c:pt idx="3">
                  <c:v>9 - 12</c:v>
                </c:pt>
                <c:pt idx="4">
                  <c:v>12 - 15</c:v>
                </c:pt>
                <c:pt idx="5">
                  <c:v>15 - 18</c:v>
                </c:pt>
                <c:pt idx="6">
                  <c:v>18 - 21</c:v>
                </c:pt>
                <c:pt idx="7">
                  <c:v>21 - 24</c:v>
                </c:pt>
                <c:pt idx="8">
                  <c:v>24 - 27</c:v>
                </c:pt>
                <c:pt idx="9">
                  <c:v>27 - 30</c:v>
                </c:pt>
                <c:pt idx="10">
                  <c:v>30 - 33</c:v>
                </c:pt>
                <c:pt idx="11">
                  <c:v>33 - 36</c:v>
                </c:pt>
                <c:pt idx="12">
                  <c:v>36 - 39</c:v>
                </c:pt>
                <c:pt idx="13">
                  <c:v>39 - 42</c:v>
                </c:pt>
                <c:pt idx="14">
                  <c:v>42 - 45</c:v>
                </c:pt>
                <c:pt idx="15">
                  <c:v>45 - 48</c:v>
                </c:pt>
                <c:pt idx="16">
                  <c:v>48 - 51</c:v>
                </c:pt>
                <c:pt idx="17">
                  <c:v>51 - 54</c:v>
                </c:pt>
                <c:pt idx="18">
                  <c:v>54 - 57</c:v>
                </c:pt>
                <c:pt idx="19">
                  <c:v>57 - 60</c:v>
                </c:pt>
                <c:pt idx="20">
                  <c:v>&gt;60</c:v>
                </c:pt>
              </c:strCache>
            </c:strRef>
          </c:cat>
          <c:val>
            <c:numRef>
              <c:f>'tc 31'!$AD$74:$AD$94</c:f>
              <c:numCache>
                <c:formatCode>_-* #,##0.0_-;\-* #,##0.0_-;_-* "-"??_-;_-@_-</c:formatCode>
                <c:ptCount val="21"/>
                <c:pt idx="0">
                  <c:v>333893</c:v>
                </c:pt>
                <c:pt idx="1">
                  <c:v>6631</c:v>
                </c:pt>
                <c:pt idx="2">
                  <c:v>4421</c:v>
                </c:pt>
                <c:pt idx="3">
                  <c:v>3730</c:v>
                </c:pt>
                <c:pt idx="4">
                  <c:v>5682</c:v>
                </c:pt>
                <c:pt idx="5">
                  <c:v>3519</c:v>
                </c:pt>
                <c:pt idx="6">
                  <c:v>7646</c:v>
                </c:pt>
                <c:pt idx="7">
                  <c:v>3526</c:v>
                </c:pt>
                <c:pt idx="8">
                  <c:v>3839</c:v>
                </c:pt>
                <c:pt idx="9">
                  <c:v>3550</c:v>
                </c:pt>
                <c:pt idx="10">
                  <c:v>4448</c:v>
                </c:pt>
                <c:pt idx="11">
                  <c:v>3500</c:v>
                </c:pt>
                <c:pt idx="12">
                  <c:v>3548</c:v>
                </c:pt>
                <c:pt idx="13">
                  <c:v>3502</c:v>
                </c:pt>
                <c:pt idx="14">
                  <c:v>3735</c:v>
                </c:pt>
                <c:pt idx="15">
                  <c:v>3500</c:v>
                </c:pt>
                <c:pt idx="16">
                  <c:v>3500</c:v>
                </c:pt>
                <c:pt idx="17">
                  <c:v>3500</c:v>
                </c:pt>
                <c:pt idx="18">
                  <c:v>3810</c:v>
                </c:pt>
                <c:pt idx="19">
                  <c:v>3503</c:v>
                </c:pt>
                <c:pt idx="20">
                  <c:v>3500</c:v>
                </c:pt>
              </c:numCache>
            </c:numRef>
          </c:val>
        </c:ser>
        <c:axId val="195537152"/>
        <c:axId val="195543424"/>
      </c:barChart>
      <c:catAx>
        <c:axId val="195537152"/>
        <c:scaling>
          <c:orientation val="minMax"/>
        </c:scaling>
        <c:axPos val="b"/>
        <c:title>
          <c:tx>
            <c:rich>
              <a:bodyPr/>
              <a:lstStyle/>
              <a:p>
                <a:pPr>
                  <a:defRPr b="0"/>
                </a:pPr>
                <a:r>
                  <a:rPr lang="en-US"/>
                  <a:t>Item weights (kg)</a:t>
                </a:r>
              </a:p>
            </c:rich>
          </c:tx>
        </c:title>
        <c:tickLblPos val="nextTo"/>
        <c:txPr>
          <a:bodyPr rot="-5400000" vert="horz"/>
          <a:lstStyle/>
          <a:p>
            <a:pPr>
              <a:defRPr/>
            </a:pPr>
            <a:endParaRPr lang="en-US"/>
          </a:p>
        </c:txPr>
        <c:crossAx val="195543424"/>
        <c:crosses val="autoZero"/>
        <c:auto val="1"/>
        <c:lblAlgn val="ctr"/>
        <c:lblOffset val="100"/>
      </c:catAx>
      <c:valAx>
        <c:axId val="195543424"/>
        <c:scaling>
          <c:orientation val="minMax"/>
        </c:scaling>
        <c:axPos val="l"/>
        <c:majorGridlines/>
        <c:title>
          <c:tx>
            <c:rich>
              <a:bodyPr rot="-5400000" vert="horz"/>
              <a:lstStyle/>
              <a:p>
                <a:pPr>
                  <a:defRPr b="0"/>
                </a:pPr>
                <a:r>
                  <a:rPr lang="en-US"/>
                  <a:t>Weight Imported, 2011 (kg)</a:t>
                </a:r>
              </a:p>
            </c:rich>
          </c:tx>
        </c:title>
        <c:numFmt formatCode="#,##0" sourceLinked="0"/>
        <c:tickLblPos val="nextTo"/>
        <c:crossAx val="195537152"/>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lgn="l">
              <a:defRPr sz="1000"/>
            </a:pPr>
            <a:r>
              <a:rPr lang="en-US"/>
              <a:t>SCO7 8443.31.00 64</a:t>
            </a:r>
          </a:p>
          <a:p>
            <a:pPr algn="l">
              <a:defRPr sz="1000"/>
            </a:pPr>
            <a:r>
              <a:rPr lang="en-US"/>
              <a:t>Distribution of units imported</a:t>
            </a:r>
          </a:p>
        </c:rich>
      </c:tx>
      <c:layout>
        <c:manualLayout>
          <c:xMode val="edge"/>
          <c:yMode val="edge"/>
          <c:x val="3.888888888888889E-2"/>
          <c:y val="2.7777777777778522E-2"/>
        </c:manualLayout>
      </c:layout>
    </c:title>
    <c:plotArea>
      <c:layout/>
      <c:barChart>
        <c:barDir val="col"/>
        <c:grouping val="clustered"/>
        <c:ser>
          <c:idx val="0"/>
          <c:order val="0"/>
          <c:cat>
            <c:strRef>
              <c:f>'tc 3'!$Q$74:$Q$94</c:f>
              <c:strCache>
                <c:ptCount val="21"/>
                <c:pt idx="0">
                  <c:v>0 - 2</c:v>
                </c:pt>
                <c:pt idx="1">
                  <c:v>2 - 4</c:v>
                </c:pt>
                <c:pt idx="2">
                  <c:v>4 - 6</c:v>
                </c:pt>
                <c:pt idx="3">
                  <c:v>6 - 8</c:v>
                </c:pt>
                <c:pt idx="4">
                  <c:v>8 - 10</c:v>
                </c:pt>
                <c:pt idx="5">
                  <c:v>10 - 12</c:v>
                </c:pt>
                <c:pt idx="6">
                  <c:v>12 - 14</c:v>
                </c:pt>
                <c:pt idx="7">
                  <c:v>14 - 16</c:v>
                </c:pt>
                <c:pt idx="8">
                  <c:v>16 - 18</c:v>
                </c:pt>
                <c:pt idx="9">
                  <c:v>18 - 20</c:v>
                </c:pt>
                <c:pt idx="10">
                  <c:v>20 - 22</c:v>
                </c:pt>
                <c:pt idx="11">
                  <c:v>22 - 24</c:v>
                </c:pt>
                <c:pt idx="12">
                  <c:v>24 - 26</c:v>
                </c:pt>
                <c:pt idx="13">
                  <c:v>26 - 28</c:v>
                </c:pt>
                <c:pt idx="14">
                  <c:v>28 - 30</c:v>
                </c:pt>
                <c:pt idx="15">
                  <c:v>30 - 32</c:v>
                </c:pt>
                <c:pt idx="16">
                  <c:v>32 - 34</c:v>
                </c:pt>
                <c:pt idx="17">
                  <c:v>34 - 36</c:v>
                </c:pt>
                <c:pt idx="18">
                  <c:v>36 - 38</c:v>
                </c:pt>
                <c:pt idx="19">
                  <c:v>38 - 40</c:v>
                </c:pt>
                <c:pt idx="20">
                  <c:v>&gt;40</c:v>
                </c:pt>
              </c:strCache>
            </c:strRef>
          </c:cat>
          <c:val>
            <c:numRef>
              <c:f>'tc 3'!$AD$74:$AD$94</c:f>
              <c:numCache>
                <c:formatCode>_-* #,##0.0_-;\-* #,##0.0_-;_-* "-"??_-;_-@_-</c:formatCode>
                <c:ptCount val="21"/>
                <c:pt idx="0">
                  <c:v>0</c:v>
                </c:pt>
                <c:pt idx="1">
                  <c:v>0</c:v>
                </c:pt>
                <c:pt idx="2">
                  <c:v>0</c:v>
                </c:pt>
                <c:pt idx="3">
                  <c:v>13833</c:v>
                </c:pt>
                <c:pt idx="4">
                  <c:v>4391</c:v>
                </c:pt>
                <c:pt idx="5">
                  <c:v>2435</c:v>
                </c:pt>
                <c:pt idx="6">
                  <c:v>0</c:v>
                </c:pt>
                <c:pt idx="7">
                  <c:v>6115</c:v>
                </c:pt>
                <c:pt idx="8">
                  <c:v>2391</c:v>
                </c:pt>
                <c:pt idx="9">
                  <c:v>890</c:v>
                </c:pt>
                <c:pt idx="10">
                  <c:v>259</c:v>
                </c:pt>
                <c:pt idx="11">
                  <c:v>1000</c:v>
                </c:pt>
                <c:pt idx="12">
                  <c:v>250</c:v>
                </c:pt>
                <c:pt idx="13">
                  <c:v>1660</c:v>
                </c:pt>
                <c:pt idx="14">
                  <c:v>49</c:v>
                </c:pt>
                <c:pt idx="15">
                  <c:v>1060</c:v>
                </c:pt>
                <c:pt idx="16">
                  <c:v>669</c:v>
                </c:pt>
                <c:pt idx="17">
                  <c:v>0</c:v>
                </c:pt>
                <c:pt idx="18">
                  <c:v>667</c:v>
                </c:pt>
                <c:pt idx="19">
                  <c:v>777</c:v>
                </c:pt>
                <c:pt idx="20">
                  <c:v>0</c:v>
                </c:pt>
              </c:numCache>
            </c:numRef>
          </c:val>
        </c:ser>
        <c:axId val="157083520"/>
        <c:axId val="160182272"/>
      </c:barChart>
      <c:catAx>
        <c:axId val="157083520"/>
        <c:scaling>
          <c:orientation val="minMax"/>
        </c:scaling>
        <c:axPos val="b"/>
        <c:title>
          <c:tx>
            <c:rich>
              <a:bodyPr/>
              <a:lstStyle/>
              <a:p>
                <a:pPr>
                  <a:defRPr b="0"/>
                </a:pPr>
                <a:r>
                  <a:rPr lang="en-US"/>
                  <a:t>Unit weight (kg)</a:t>
                </a:r>
              </a:p>
            </c:rich>
          </c:tx>
          <c:layout/>
        </c:title>
        <c:tickLblPos val="nextTo"/>
        <c:txPr>
          <a:bodyPr rot="-5400000" vert="horz"/>
          <a:lstStyle/>
          <a:p>
            <a:pPr>
              <a:defRPr/>
            </a:pPr>
            <a:endParaRPr lang="en-US"/>
          </a:p>
        </c:txPr>
        <c:crossAx val="160182272"/>
        <c:crosses val="autoZero"/>
        <c:auto val="1"/>
        <c:lblAlgn val="ctr"/>
        <c:lblOffset val="100"/>
      </c:catAx>
      <c:valAx>
        <c:axId val="160182272"/>
        <c:scaling>
          <c:orientation val="minMax"/>
        </c:scaling>
        <c:axPos val="l"/>
        <c:majorGridlines/>
        <c:title>
          <c:tx>
            <c:rich>
              <a:bodyPr rot="-5400000" vert="horz"/>
              <a:lstStyle/>
              <a:p>
                <a:pPr>
                  <a:defRPr b="0"/>
                </a:pPr>
                <a:r>
                  <a:rPr lang="en-US"/>
                  <a:t>Number of units</a:t>
                </a:r>
              </a:p>
            </c:rich>
          </c:tx>
          <c:layout/>
        </c:title>
        <c:numFmt formatCode="#,##0" sourceLinked="0"/>
        <c:tickLblPos val="nextTo"/>
        <c:crossAx val="157083520"/>
        <c:crosses val="autoZero"/>
        <c:crossBetween val="between"/>
      </c:valAx>
    </c:plotArea>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lgn="l">
              <a:defRPr sz="1000"/>
            </a:pPr>
            <a:r>
              <a:rPr lang="en-US"/>
              <a:t>SC07 8473.30.00 85</a:t>
            </a:r>
          </a:p>
          <a:p>
            <a:pPr algn="l">
              <a:defRPr sz="1000"/>
            </a:pPr>
            <a:r>
              <a:rPr lang="en-US"/>
              <a:t>Distribution of units imported</a:t>
            </a:r>
          </a:p>
        </c:rich>
      </c:tx>
      <c:layout>
        <c:manualLayout>
          <c:xMode val="edge"/>
          <c:yMode val="edge"/>
          <c:x val="3.888888888888889E-2"/>
          <c:y val="2.7777777777778869E-2"/>
        </c:manualLayout>
      </c:layout>
    </c:title>
    <c:plotArea>
      <c:layout/>
      <c:barChart>
        <c:barDir val="col"/>
        <c:grouping val="clustered"/>
        <c:ser>
          <c:idx val="0"/>
          <c:order val="0"/>
          <c:cat>
            <c:strRef>
              <c:f>'tc 32'!$Q$74:$Q$94</c:f>
              <c:strCache>
                <c:ptCount val="21"/>
                <c:pt idx="0">
                  <c:v>0 - 0.5</c:v>
                </c:pt>
                <c:pt idx="1">
                  <c:v>0.5 - 1</c:v>
                </c:pt>
                <c:pt idx="2">
                  <c:v>1 - 1.5</c:v>
                </c:pt>
                <c:pt idx="3">
                  <c:v>1.5 - 2</c:v>
                </c:pt>
                <c:pt idx="4">
                  <c:v>2 - 2.5</c:v>
                </c:pt>
                <c:pt idx="5">
                  <c:v>2.5 - 3</c:v>
                </c:pt>
                <c:pt idx="6">
                  <c:v>3 - 3.5</c:v>
                </c:pt>
                <c:pt idx="7">
                  <c:v>3.5 - 4</c:v>
                </c:pt>
                <c:pt idx="8">
                  <c:v>4 - 4.5</c:v>
                </c:pt>
                <c:pt idx="9">
                  <c:v>4.5 - 5</c:v>
                </c:pt>
                <c:pt idx="10">
                  <c:v>5 - 5.5</c:v>
                </c:pt>
                <c:pt idx="11">
                  <c:v>5.5 - 6</c:v>
                </c:pt>
                <c:pt idx="12">
                  <c:v>6 - 6.5</c:v>
                </c:pt>
                <c:pt idx="13">
                  <c:v>6.5 - 7</c:v>
                </c:pt>
                <c:pt idx="14">
                  <c:v>7 - 7.5</c:v>
                </c:pt>
                <c:pt idx="15">
                  <c:v>7.5 - 8</c:v>
                </c:pt>
                <c:pt idx="16">
                  <c:v>8 - 8.5</c:v>
                </c:pt>
                <c:pt idx="17">
                  <c:v>8.5 - 9</c:v>
                </c:pt>
                <c:pt idx="18">
                  <c:v>9 - 9.5</c:v>
                </c:pt>
                <c:pt idx="19">
                  <c:v>9.5 - 10</c:v>
                </c:pt>
                <c:pt idx="20">
                  <c:v>&gt;10</c:v>
                </c:pt>
              </c:strCache>
            </c:strRef>
          </c:cat>
          <c:val>
            <c:numRef>
              <c:f>'tc 32'!$AD$74:$AD$94</c:f>
              <c:numCache>
                <c:formatCode>_-* #,##0.0_-;\-* #,##0.0_-;_-* "-"??_-;_-@_-</c:formatCode>
                <c:ptCount val="21"/>
                <c:pt idx="0">
                  <c:v>1063</c:v>
                </c:pt>
                <c:pt idx="1">
                  <c:v>12279</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numCache>
            </c:numRef>
          </c:val>
        </c:ser>
        <c:axId val="195641344"/>
        <c:axId val="195643264"/>
      </c:barChart>
      <c:catAx>
        <c:axId val="195641344"/>
        <c:scaling>
          <c:orientation val="minMax"/>
        </c:scaling>
        <c:axPos val="b"/>
        <c:title>
          <c:tx>
            <c:rich>
              <a:bodyPr/>
              <a:lstStyle/>
              <a:p>
                <a:pPr>
                  <a:defRPr b="0"/>
                </a:pPr>
                <a:r>
                  <a:rPr lang="en-US"/>
                  <a:t>Unit weight (kg)</a:t>
                </a:r>
              </a:p>
            </c:rich>
          </c:tx>
        </c:title>
        <c:tickLblPos val="nextTo"/>
        <c:txPr>
          <a:bodyPr rot="-5400000" vert="horz"/>
          <a:lstStyle/>
          <a:p>
            <a:pPr>
              <a:defRPr/>
            </a:pPr>
            <a:endParaRPr lang="en-US"/>
          </a:p>
        </c:txPr>
        <c:crossAx val="195643264"/>
        <c:crosses val="autoZero"/>
        <c:auto val="1"/>
        <c:lblAlgn val="ctr"/>
        <c:lblOffset val="100"/>
      </c:catAx>
      <c:valAx>
        <c:axId val="195643264"/>
        <c:scaling>
          <c:orientation val="minMax"/>
        </c:scaling>
        <c:axPos val="l"/>
        <c:majorGridlines/>
        <c:title>
          <c:tx>
            <c:rich>
              <a:bodyPr rot="-5400000" vert="horz"/>
              <a:lstStyle/>
              <a:p>
                <a:pPr>
                  <a:defRPr b="0"/>
                </a:pPr>
                <a:r>
                  <a:rPr lang="en-US"/>
                  <a:t>Number of units</a:t>
                </a:r>
              </a:p>
            </c:rich>
          </c:tx>
        </c:title>
        <c:numFmt formatCode="#,##0" sourceLinked="0"/>
        <c:tickLblPos val="nextTo"/>
        <c:crossAx val="195641344"/>
        <c:crosses val="autoZero"/>
        <c:crossBetween val="between"/>
      </c:valAx>
    </c:plotArea>
    <c:plotVisOnly val="1"/>
  </c:chart>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AU"/>
  <c:chart>
    <c:title>
      <c:tx>
        <c:rich>
          <a:bodyPr/>
          <a:lstStyle/>
          <a:p>
            <a:pPr algn="l">
              <a:defRPr sz="1000"/>
            </a:pPr>
            <a:r>
              <a:rPr lang="en-US"/>
              <a:t>SC07 8504.40.30 59</a:t>
            </a:r>
          </a:p>
          <a:p>
            <a:pPr algn="l">
              <a:defRPr sz="1000"/>
            </a:pPr>
            <a:r>
              <a:rPr lang="en-US"/>
              <a:t>Distribution of units imported</a:t>
            </a:r>
          </a:p>
        </c:rich>
      </c:tx>
      <c:layout>
        <c:manualLayout>
          <c:xMode val="edge"/>
          <c:yMode val="edge"/>
          <c:x val="3.888888888888889E-2"/>
          <c:y val="2.7777777777778224E-2"/>
        </c:manualLayout>
      </c:layout>
    </c:title>
    <c:plotArea>
      <c:layout/>
      <c:barChart>
        <c:barDir val="col"/>
        <c:grouping val="clustered"/>
        <c:ser>
          <c:idx val="0"/>
          <c:order val="0"/>
          <c:cat>
            <c:strRef>
              <c:f>'tc 33'!$Q$74:$Q$94</c:f>
              <c:strCache>
                <c:ptCount val="21"/>
                <c:pt idx="0">
                  <c:v>0 - 5</c:v>
                </c:pt>
                <c:pt idx="1">
                  <c:v>5 - 10</c:v>
                </c:pt>
                <c:pt idx="2">
                  <c:v>10 - 15</c:v>
                </c:pt>
                <c:pt idx="3">
                  <c:v>15 - 20</c:v>
                </c:pt>
                <c:pt idx="4">
                  <c:v>20 - 25</c:v>
                </c:pt>
                <c:pt idx="5">
                  <c:v>25 - 30</c:v>
                </c:pt>
                <c:pt idx="6">
                  <c:v>30 - 35</c:v>
                </c:pt>
                <c:pt idx="7">
                  <c:v>35 - 40</c:v>
                </c:pt>
                <c:pt idx="8">
                  <c:v>40 - 45</c:v>
                </c:pt>
                <c:pt idx="9">
                  <c:v>45 - 50</c:v>
                </c:pt>
                <c:pt idx="10">
                  <c:v>50 - 55</c:v>
                </c:pt>
                <c:pt idx="11">
                  <c:v>55 - 60</c:v>
                </c:pt>
                <c:pt idx="12">
                  <c:v>60 - 65</c:v>
                </c:pt>
                <c:pt idx="13">
                  <c:v>65 - 70</c:v>
                </c:pt>
                <c:pt idx="14">
                  <c:v>70 - 75</c:v>
                </c:pt>
                <c:pt idx="15">
                  <c:v>75 - 80</c:v>
                </c:pt>
                <c:pt idx="16">
                  <c:v>80 - 85</c:v>
                </c:pt>
                <c:pt idx="17">
                  <c:v>85 - 90</c:v>
                </c:pt>
                <c:pt idx="18">
                  <c:v>90 - 95</c:v>
                </c:pt>
                <c:pt idx="19">
                  <c:v>95 - 100</c:v>
                </c:pt>
                <c:pt idx="20">
                  <c:v>&gt;100</c:v>
                </c:pt>
              </c:strCache>
            </c:strRef>
          </c:cat>
          <c:val>
            <c:numRef>
              <c:f>'tc 33'!$AD$74:$AD$94</c:f>
              <c:numCache>
                <c:formatCode>_-* #,##0.0_-;\-* #,##0.0_-;_-* "-"??_-;_-@_-</c:formatCode>
                <c:ptCount val="21"/>
                <c:pt idx="0">
                  <c:v>10909.5</c:v>
                </c:pt>
                <c:pt idx="1">
                  <c:v>0</c:v>
                </c:pt>
                <c:pt idx="2">
                  <c:v>359</c:v>
                </c:pt>
                <c:pt idx="3">
                  <c:v>510</c:v>
                </c:pt>
                <c:pt idx="4">
                  <c:v>0</c:v>
                </c:pt>
                <c:pt idx="5">
                  <c:v>0</c:v>
                </c:pt>
                <c:pt idx="6">
                  <c:v>141</c:v>
                </c:pt>
                <c:pt idx="7">
                  <c:v>0</c:v>
                </c:pt>
                <c:pt idx="8">
                  <c:v>0</c:v>
                </c:pt>
                <c:pt idx="9">
                  <c:v>228</c:v>
                </c:pt>
                <c:pt idx="10">
                  <c:v>0</c:v>
                </c:pt>
                <c:pt idx="11">
                  <c:v>0</c:v>
                </c:pt>
                <c:pt idx="12">
                  <c:v>156</c:v>
                </c:pt>
                <c:pt idx="13">
                  <c:v>0</c:v>
                </c:pt>
                <c:pt idx="14">
                  <c:v>143</c:v>
                </c:pt>
                <c:pt idx="15">
                  <c:v>0</c:v>
                </c:pt>
                <c:pt idx="16">
                  <c:v>0</c:v>
                </c:pt>
                <c:pt idx="17">
                  <c:v>0</c:v>
                </c:pt>
                <c:pt idx="18">
                  <c:v>0</c:v>
                </c:pt>
                <c:pt idx="19">
                  <c:v>0</c:v>
                </c:pt>
                <c:pt idx="20">
                  <c:v>0</c:v>
                </c:pt>
              </c:numCache>
            </c:numRef>
          </c:val>
        </c:ser>
        <c:axId val="195675264"/>
        <c:axId val="195677184"/>
      </c:barChart>
      <c:catAx>
        <c:axId val="195675264"/>
        <c:scaling>
          <c:orientation val="minMax"/>
        </c:scaling>
        <c:axPos val="b"/>
        <c:title>
          <c:tx>
            <c:rich>
              <a:bodyPr/>
              <a:lstStyle/>
              <a:p>
                <a:pPr>
                  <a:defRPr b="0"/>
                </a:pPr>
                <a:r>
                  <a:rPr lang="en-US"/>
                  <a:t>Item weights (kg)</a:t>
                </a:r>
              </a:p>
            </c:rich>
          </c:tx>
        </c:title>
        <c:tickLblPos val="nextTo"/>
        <c:txPr>
          <a:bodyPr rot="-5400000" vert="horz"/>
          <a:lstStyle/>
          <a:p>
            <a:pPr>
              <a:defRPr/>
            </a:pPr>
            <a:endParaRPr lang="en-US"/>
          </a:p>
        </c:txPr>
        <c:crossAx val="195677184"/>
        <c:crosses val="autoZero"/>
        <c:auto val="1"/>
        <c:lblAlgn val="ctr"/>
        <c:lblOffset val="100"/>
      </c:catAx>
      <c:valAx>
        <c:axId val="195677184"/>
        <c:scaling>
          <c:orientation val="minMax"/>
        </c:scaling>
        <c:axPos val="l"/>
        <c:majorGridlines/>
        <c:title>
          <c:tx>
            <c:rich>
              <a:bodyPr rot="-5400000" vert="horz"/>
              <a:lstStyle/>
              <a:p>
                <a:pPr>
                  <a:defRPr b="0"/>
                </a:pPr>
                <a:r>
                  <a:rPr lang="en-US"/>
                  <a:t>Weight Imported, 2011 (kg)</a:t>
                </a:r>
              </a:p>
            </c:rich>
          </c:tx>
        </c:title>
        <c:numFmt formatCode="#,##0" sourceLinked="0"/>
        <c:tickLblPos val="nextTo"/>
        <c:crossAx val="195675264"/>
        <c:crosses val="autoZero"/>
        <c:crossBetween val="between"/>
      </c:valAx>
    </c:plotArea>
    <c:plotVisOnly val="1"/>
  </c:chart>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lgn="l">
              <a:defRPr sz="1000"/>
            </a:pPr>
            <a:r>
              <a:rPr lang="en-US"/>
              <a:t>SC07 8518.29.90 23</a:t>
            </a:r>
          </a:p>
          <a:p>
            <a:pPr algn="l">
              <a:defRPr sz="1000"/>
            </a:pPr>
            <a:r>
              <a:rPr lang="en-US"/>
              <a:t>Distribution of units imported</a:t>
            </a:r>
          </a:p>
        </c:rich>
      </c:tx>
      <c:layout>
        <c:manualLayout>
          <c:xMode val="edge"/>
          <c:yMode val="edge"/>
          <c:x val="3.888888888888889E-2"/>
          <c:y val="2.7777777777778859E-2"/>
        </c:manualLayout>
      </c:layout>
    </c:title>
    <c:plotArea>
      <c:layout/>
      <c:barChart>
        <c:barDir val="col"/>
        <c:grouping val="clustered"/>
        <c:ser>
          <c:idx val="0"/>
          <c:order val="0"/>
          <c:cat>
            <c:strRef>
              <c:f>'tc 34'!$Q$74:$Q$94</c:f>
              <c:strCache>
                <c:ptCount val="21"/>
                <c:pt idx="0">
                  <c:v>0 - 0.5</c:v>
                </c:pt>
                <c:pt idx="1">
                  <c:v>0.5 - 1</c:v>
                </c:pt>
                <c:pt idx="2">
                  <c:v>1 - 1.5</c:v>
                </c:pt>
                <c:pt idx="3">
                  <c:v>1.5 - 2</c:v>
                </c:pt>
                <c:pt idx="4">
                  <c:v>2 - 2.5</c:v>
                </c:pt>
                <c:pt idx="5">
                  <c:v>2.5 - 3</c:v>
                </c:pt>
                <c:pt idx="6">
                  <c:v>3 - 3.5</c:v>
                </c:pt>
                <c:pt idx="7">
                  <c:v>3.5 - 4</c:v>
                </c:pt>
                <c:pt idx="8">
                  <c:v>4 - 4.5</c:v>
                </c:pt>
                <c:pt idx="9">
                  <c:v>4.5 - 5</c:v>
                </c:pt>
                <c:pt idx="10">
                  <c:v>5 - 5.5</c:v>
                </c:pt>
                <c:pt idx="11">
                  <c:v>5.5 - 6</c:v>
                </c:pt>
                <c:pt idx="12">
                  <c:v>6 - 6.5</c:v>
                </c:pt>
                <c:pt idx="13">
                  <c:v>6.5 - 7</c:v>
                </c:pt>
                <c:pt idx="14">
                  <c:v>7 - 7.5</c:v>
                </c:pt>
                <c:pt idx="15">
                  <c:v>7.5 - 8</c:v>
                </c:pt>
                <c:pt idx="16">
                  <c:v>8 - 8.5</c:v>
                </c:pt>
                <c:pt idx="17">
                  <c:v>8.5 - 9</c:v>
                </c:pt>
                <c:pt idx="18">
                  <c:v>9 - 9.5</c:v>
                </c:pt>
                <c:pt idx="19">
                  <c:v>9.5 - 10</c:v>
                </c:pt>
                <c:pt idx="20">
                  <c:v>&gt;10</c:v>
                </c:pt>
              </c:strCache>
            </c:strRef>
          </c:cat>
          <c:val>
            <c:numRef>
              <c:f>'tc 34'!$AD$74:$AD$94</c:f>
              <c:numCache>
                <c:formatCode>_-* #,##0.0_-;\-* #,##0.0_-;_-* "-"??_-;_-@_-</c:formatCode>
                <c:ptCount val="21"/>
                <c:pt idx="0">
                  <c:v>1594.5</c:v>
                </c:pt>
                <c:pt idx="1">
                  <c:v>622</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numCache>
            </c:numRef>
          </c:val>
        </c:ser>
        <c:axId val="196311296"/>
        <c:axId val="196342144"/>
      </c:barChart>
      <c:catAx>
        <c:axId val="196311296"/>
        <c:scaling>
          <c:orientation val="minMax"/>
        </c:scaling>
        <c:axPos val="b"/>
        <c:title>
          <c:tx>
            <c:rich>
              <a:bodyPr/>
              <a:lstStyle/>
              <a:p>
                <a:pPr>
                  <a:defRPr b="0"/>
                </a:pPr>
                <a:r>
                  <a:rPr lang="en-US"/>
                  <a:t>Unit weight (kg)</a:t>
                </a:r>
              </a:p>
            </c:rich>
          </c:tx>
        </c:title>
        <c:tickLblPos val="nextTo"/>
        <c:txPr>
          <a:bodyPr rot="-5400000" vert="horz"/>
          <a:lstStyle/>
          <a:p>
            <a:pPr>
              <a:defRPr/>
            </a:pPr>
            <a:endParaRPr lang="en-US"/>
          </a:p>
        </c:txPr>
        <c:crossAx val="196342144"/>
        <c:crosses val="autoZero"/>
        <c:auto val="1"/>
        <c:lblAlgn val="ctr"/>
        <c:lblOffset val="100"/>
      </c:catAx>
      <c:valAx>
        <c:axId val="196342144"/>
        <c:scaling>
          <c:orientation val="minMax"/>
        </c:scaling>
        <c:axPos val="l"/>
        <c:majorGridlines/>
        <c:title>
          <c:tx>
            <c:rich>
              <a:bodyPr rot="-5400000" vert="horz"/>
              <a:lstStyle/>
              <a:p>
                <a:pPr>
                  <a:defRPr b="0"/>
                </a:pPr>
                <a:r>
                  <a:rPr lang="en-US"/>
                  <a:t>Number of units</a:t>
                </a:r>
              </a:p>
            </c:rich>
          </c:tx>
        </c:title>
        <c:numFmt formatCode="#,##0" sourceLinked="0"/>
        <c:tickLblPos val="nextTo"/>
        <c:crossAx val="196311296"/>
        <c:crosses val="autoZero"/>
        <c:crossBetween val="between"/>
      </c:valAx>
    </c:plotArea>
    <c:plotVisOnly val="1"/>
  </c:chart>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AU"/>
  <c:chart>
    <c:title>
      <c:tx>
        <c:rich>
          <a:bodyPr/>
          <a:lstStyle/>
          <a:p>
            <a:pPr algn="l">
              <a:defRPr sz="1000"/>
            </a:pPr>
            <a:r>
              <a:rPr lang="en-US"/>
              <a:t>SC07 8528.41.00 10</a:t>
            </a:r>
          </a:p>
          <a:p>
            <a:pPr algn="l">
              <a:defRPr sz="1000"/>
            </a:pPr>
            <a:r>
              <a:rPr lang="en-US"/>
              <a:t>Distribution of units imported</a:t>
            </a:r>
          </a:p>
        </c:rich>
      </c:tx>
      <c:layout>
        <c:manualLayout>
          <c:xMode val="edge"/>
          <c:yMode val="edge"/>
          <c:x val="3.888888888888889E-2"/>
          <c:y val="2.7777777777778224E-2"/>
        </c:manualLayout>
      </c:layout>
    </c:title>
    <c:plotArea>
      <c:layout/>
      <c:barChart>
        <c:barDir val="col"/>
        <c:grouping val="clustered"/>
        <c:ser>
          <c:idx val="0"/>
          <c:order val="0"/>
          <c:cat>
            <c:strRef>
              <c:f>'tc 36'!$Q$74:$Q$94</c:f>
              <c:strCache>
                <c:ptCount val="21"/>
                <c:pt idx="0">
                  <c:v>0 - 2</c:v>
                </c:pt>
                <c:pt idx="1">
                  <c:v>2 - 4</c:v>
                </c:pt>
                <c:pt idx="2">
                  <c:v>4 - 6</c:v>
                </c:pt>
                <c:pt idx="3">
                  <c:v>6 - 8</c:v>
                </c:pt>
                <c:pt idx="4">
                  <c:v>8 - 10</c:v>
                </c:pt>
                <c:pt idx="5">
                  <c:v>10 - 12</c:v>
                </c:pt>
                <c:pt idx="6">
                  <c:v>12 - 14</c:v>
                </c:pt>
                <c:pt idx="7">
                  <c:v>14 - 16</c:v>
                </c:pt>
                <c:pt idx="8">
                  <c:v>16 - 18</c:v>
                </c:pt>
                <c:pt idx="9">
                  <c:v>18 - 20</c:v>
                </c:pt>
                <c:pt idx="10">
                  <c:v>20 - 22</c:v>
                </c:pt>
                <c:pt idx="11">
                  <c:v>22 - 24</c:v>
                </c:pt>
                <c:pt idx="12">
                  <c:v>24 - 26</c:v>
                </c:pt>
                <c:pt idx="13">
                  <c:v>26 - 28</c:v>
                </c:pt>
                <c:pt idx="14">
                  <c:v>28 - 30</c:v>
                </c:pt>
                <c:pt idx="15">
                  <c:v>30 - 32</c:v>
                </c:pt>
                <c:pt idx="16">
                  <c:v>32 - 34</c:v>
                </c:pt>
                <c:pt idx="17">
                  <c:v>34 - 36</c:v>
                </c:pt>
                <c:pt idx="18">
                  <c:v>36 - 38</c:v>
                </c:pt>
                <c:pt idx="19">
                  <c:v>38 - 40</c:v>
                </c:pt>
                <c:pt idx="20">
                  <c:v>&gt;40</c:v>
                </c:pt>
              </c:strCache>
            </c:strRef>
          </c:cat>
          <c:val>
            <c:numRef>
              <c:f>'tc 36'!$AD$74:$AD$94</c:f>
              <c:numCache>
                <c:formatCode>_-* #,##0.0_-;\-* #,##0.0_-;_-* "-"??_-;_-@_-</c:formatCode>
                <c:ptCount val="21"/>
                <c:pt idx="0">
                  <c:v>2786</c:v>
                </c:pt>
                <c:pt idx="1">
                  <c:v>8079</c:v>
                </c:pt>
                <c:pt idx="2">
                  <c:v>5748</c:v>
                </c:pt>
                <c:pt idx="3">
                  <c:v>4084</c:v>
                </c:pt>
                <c:pt idx="4">
                  <c:v>2077</c:v>
                </c:pt>
                <c:pt idx="5">
                  <c:v>994</c:v>
                </c:pt>
                <c:pt idx="6">
                  <c:v>0</c:v>
                </c:pt>
                <c:pt idx="7">
                  <c:v>0</c:v>
                </c:pt>
                <c:pt idx="8">
                  <c:v>0</c:v>
                </c:pt>
                <c:pt idx="9">
                  <c:v>22</c:v>
                </c:pt>
                <c:pt idx="10">
                  <c:v>9288</c:v>
                </c:pt>
                <c:pt idx="11">
                  <c:v>3828</c:v>
                </c:pt>
                <c:pt idx="12">
                  <c:v>0</c:v>
                </c:pt>
                <c:pt idx="13">
                  <c:v>103</c:v>
                </c:pt>
                <c:pt idx="14">
                  <c:v>0</c:v>
                </c:pt>
                <c:pt idx="15">
                  <c:v>0</c:v>
                </c:pt>
                <c:pt idx="16">
                  <c:v>0</c:v>
                </c:pt>
                <c:pt idx="17">
                  <c:v>0</c:v>
                </c:pt>
                <c:pt idx="18">
                  <c:v>0</c:v>
                </c:pt>
                <c:pt idx="19">
                  <c:v>0</c:v>
                </c:pt>
                <c:pt idx="20">
                  <c:v>0</c:v>
                </c:pt>
              </c:numCache>
            </c:numRef>
          </c:val>
        </c:ser>
        <c:axId val="196497408"/>
        <c:axId val="196499328"/>
      </c:barChart>
      <c:catAx>
        <c:axId val="196497408"/>
        <c:scaling>
          <c:orientation val="minMax"/>
        </c:scaling>
        <c:axPos val="b"/>
        <c:title>
          <c:tx>
            <c:rich>
              <a:bodyPr/>
              <a:lstStyle/>
              <a:p>
                <a:pPr>
                  <a:defRPr b="0"/>
                </a:pPr>
                <a:r>
                  <a:rPr lang="en-US"/>
                  <a:t>Item weights (kg)</a:t>
                </a:r>
              </a:p>
            </c:rich>
          </c:tx>
        </c:title>
        <c:tickLblPos val="nextTo"/>
        <c:txPr>
          <a:bodyPr rot="-5400000" vert="horz"/>
          <a:lstStyle/>
          <a:p>
            <a:pPr>
              <a:defRPr/>
            </a:pPr>
            <a:endParaRPr lang="en-US"/>
          </a:p>
        </c:txPr>
        <c:crossAx val="196499328"/>
        <c:crosses val="autoZero"/>
        <c:auto val="1"/>
        <c:lblAlgn val="ctr"/>
        <c:lblOffset val="100"/>
      </c:catAx>
      <c:valAx>
        <c:axId val="196499328"/>
        <c:scaling>
          <c:orientation val="minMax"/>
        </c:scaling>
        <c:axPos val="l"/>
        <c:majorGridlines/>
        <c:title>
          <c:tx>
            <c:rich>
              <a:bodyPr rot="-5400000" vert="horz"/>
              <a:lstStyle/>
              <a:p>
                <a:pPr>
                  <a:defRPr b="0"/>
                </a:pPr>
                <a:r>
                  <a:rPr lang="en-US"/>
                  <a:t>Weight Imported, 2011 (kg)</a:t>
                </a:r>
              </a:p>
            </c:rich>
          </c:tx>
        </c:title>
        <c:numFmt formatCode="#,##0" sourceLinked="0"/>
        <c:tickLblPos val="nextTo"/>
        <c:crossAx val="196497408"/>
        <c:crosses val="autoZero"/>
        <c:crossBetween val="between"/>
      </c:valAx>
    </c:plotArea>
    <c:plotVisOnly val="1"/>
  </c:chart>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date1904 val="1"/>
  <c:lang val="en-AU"/>
  <c:chart>
    <c:plotArea>
      <c:layout>
        <c:manualLayout>
          <c:layoutTarget val="inner"/>
          <c:xMode val="edge"/>
          <c:yMode val="edge"/>
          <c:x val="0.26324365704286962"/>
          <c:y val="0.14814814814814894"/>
          <c:w val="0.48333333333333334"/>
          <c:h val="0.80555555555555569"/>
        </c:manualLayout>
      </c:layout>
      <c:pieChart>
        <c:varyColors val="1"/>
        <c:ser>
          <c:idx val="0"/>
          <c:order val="0"/>
          <c:dLbls>
            <c:dLbl>
              <c:idx val="0"/>
              <c:delete val="1"/>
            </c:dLbl>
            <c:dLbl>
              <c:idx val="2"/>
              <c:layout>
                <c:manualLayout>
                  <c:x val="-2.0933398950131236E-2"/>
                  <c:y val="-6.3124817731116944E-2"/>
                </c:manualLayout>
              </c:layout>
              <c:showCatName val="1"/>
              <c:showPercent val="1"/>
            </c:dLbl>
            <c:showCatName val="1"/>
            <c:showPercent val="1"/>
            <c:showLeaderLines val="1"/>
          </c:dLbls>
          <c:cat>
            <c:strRef>
              <c:f>'CTCN Poroportions'!$D$258:$D$261</c:f>
              <c:strCache>
                <c:ptCount val="4"/>
                <c:pt idx="0">
                  <c:v>Computer displays for data processing</c:v>
                </c:pt>
                <c:pt idx="2">
                  <c:v>Flat screen monitors</c:v>
                </c:pt>
                <c:pt idx="3">
                  <c:v>Other</c:v>
                </c:pt>
              </c:strCache>
            </c:strRef>
          </c:cat>
          <c:val>
            <c:numRef>
              <c:f>'CTCN Poroportions'!$E$258:$E$261</c:f>
              <c:numCache>
                <c:formatCode>General</c:formatCode>
                <c:ptCount val="4"/>
                <c:pt idx="0" formatCode="_-* #,##0_-;\-* #,##0_-;_-* &quot;-&quot;??_-;_-@_-">
                  <c:v>6969</c:v>
                </c:pt>
                <c:pt idx="2" formatCode="_-* #,##0_-;\-* #,##0_-;_-* &quot;-&quot;??_-;_-@_-">
                  <c:v>2348796</c:v>
                </c:pt>
                <c:pt idx="3" formatCode="_-* #,##0_-;\-* #,##0_-;_-* &quot;-&quot;??_-;_-@_-">
                  <c:v>54171</c:v>
                </c:pt>
              </c:numCache>
            </c:numRef>
          </c:val>
        </c:ser>
        <c:firstSliceAng val="45"/>
      </c:pieChart>
    </c:plotArea>
    <c:plotVisOnly val="1"/>
  </c:chart>
  <c:spPr>
    <a:ln>
      <a:noFill/>
    </a:ln>
  </c:spPr>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lgn="l">
              <a:defRPr sz="1000"/>
            </a:pPr>
            <a:r>
              <a:rPr lang="en-US"/>
              <a:t>SC07 8528.51.00 32</a:t>
            </a:r>
          </a:p>
          <a:p>
            <a:pPr algn="l">
              <a:defRPr sz="1000"/>
            </a:pPr>
            <a:r>
              <a:rPr lang="en-US"/>
              <a:t>Distribution of units imported</a:t>
            </a:r>
          </a:p>
        </c:rich>
      </c:tx>
      <c:layout>
        <c:manualLayout>
          <c:xMode val="edge"/>
          <c:yMode val="edge"/>
          <c:x val="3.888888888888889E-2"/>
          <c:y val="2.7777777777778859E-2"/>
        </c:manualLayout>
      </c:layout>
    </c:title>
    <c:plotArea>
      <c:layout/>
      <c:barChart>
        <c:barDir val="col"/>
        <c:grouping val="clustered"/>
        <c:ser>
          <c:idx val="0"/>
          <c:order val="0"/>
          <c:cat>
            <c:strRef>
              <c:f>'tc 37'!$Q$74:$Q$94</c:f>
              <c:strCache>
                <c:ptCount val="21"/>
                <c:pt idx="0">
                  <c:v>0 - 1</c:v>
                </c:pt>
                <c:pt idx="1">
                  <c:v>1 - 2</c:v>
                </c:pt>
                <c:pt idx="2">
                  <c:v>2 - 3</c:v>
                </c:pt>
                <c:pt idx="3">
                  <c:v>3 - 4</c:v>
                </c:pt>
                <c:pt idx="4">
                  <c:v>4 - 5</c:v>
                </c:pt>
                <c:pt idx="5">
                  <c:v>5 - 6</c:v>
                </c:pt>
                <c:pt idx="6">
                  <c:v>6 - 7</c:v>
                </c:pt>
                <c:pt idx="7">
                  <c:v>7 - 8</c:v>
                </c:pt>
                <c:pt idx="8">
                  <c:v>8 - 9</c:v>
                </c:pt>
                <c:pt idx="9">
                  <c:v>9 - 10</c:v>
                </c:pt>
                <c:pt idx="10">
                  <c:v>10 - 11</c:v>
                </c:pt>
                <c:pt idx="11">
                  <c:v>11 - 12</c:v>
                </c:pt>
                <c:pt idx="12">
                  <c:v>12 - 13</c:v>
                </c:pt>
                <c:pt idx="13">
                  <c:v>13 - 14</c:v>
                </c:pt>
                <c:pt idx="14">
                  <c:v>14 - 15</c:v>
                </c:pt>
                <c:pt idx="15">
                  <c:v>15 - 16</c:v>
                </c:pt>
                <c:pt idx="16">
                  <c:v>16 - 17</c:v>
                </c:pt>
                <c:pt idx="17">
                  <c:v>17 - 18</c:v>
                </c:pt>
                <c:pt idx="18">
                  <c:v>18 - 19</c:v>
                </c:pt>
                <c:pt idx="19">
                  <c:v>19 - 20</c:v>
                </c:pt>
                <c:pt idx="20">
                  <c:v>&gt;20</c:v>
                </c:pt>
              </c:strCache>
            </c:strRef>
          </c:cat>
          <c:val>
            <c:numRef>
              <c:f>'tc 37'!$AD$74:$AD$94</c:f>
              <c:numCache>
                <c:formatCode>_-* #,##0.0_-;\-* #,##0.0_-;_-* "-"??_-;_-@_-</c:formatCode>
                <c:ptCount val="21"/>
                <c:pt idx="0">
                  <c:v>0</c:v>
                </c:pt>
                <c:pt idx="1">
                  <c:v>0</c:v>
                </c:pt>
                <c:pt idx="2">
                  <c:v>1920</c:v>
                </c:pt>
                <c:pt idx="3">
                  <c:v>4200</c:v>
                </c:pt>
                <c:pt idx="4">
                  <c:v>467</c:v>
                </c:pt>
                <c:pt idx="5">
                  <c:v>37472</c:v>
                </c:pt>
                <c:pt idx="6">
                  <c:v>17859</c:v>
                </c:pt>
                <c:pt idx="7">
                  <c:v>193</c:v>
                </c:pt>
                <c:pt idx="8">
                  <c:v>225.18639999999868</c:v>
                </c:pt>
                <c:pt idx="9">
                  <c:v>837.26219999999739</c:v>
                </c:pt>
                <c:pt idx="10">
                  <c:v>6865.591800000002</c:v>
                </c:pt>
                <c:pt idx="11">
                  <c:v>1</c:v>
                </c:pt>
                <c:pt idx="12">
                  <c:v>0</c:v>
                </c:pt>
                <c:pt idx="13">
                  <c:v>442</c:v>
                </c:pt>
                <c:pt idx="14">
                  <c:v>0</c:v>
                </c:pt>
                <c:pt idx="15">
                  <c:v>0</c:v>
                </c:pt>
                <c:pt idx="16">
                  <c:v>0</c:v>
                </c:pt>
                <c:pt idx="17">
                  <c:v>0</c:v>
                </c:pt>
                <c:pt idx="18">
                  <c:v>0</c:v>
                </c:pt>
                <c:pt idx="19">
                  <c:v>0</c:v>
                </c:pt>
                <c:pt idx="20">
                  <c:v>0</c:v>
                </c:pt>
              </c:numCache>
            </c:numRef>
          </c:val>
        </c:ser>
        <c:axId val="196623360"/>
        <c:axId val="196641920"/>
      </c:barChart>
      <c:catAx>
        <c:axId val="196623360"/>
        <c:scaling>
          <c:orientation val="minMax"/>
        </c:scaling>
        <c:axPos val="b"/>
        <c:title>
          <c:tx>
            <c:rich>
              <a:bodyPr/>
              <a:lstStyle/>
              <a:p>
                <a:pPr>
                  <a:defRPr b="0"/>
                </a:pPr>
                <a:r>
                  <a:rPr lang="en-US"/>
                  <a:t>Unit weight (kg)</a:t>
                </a:r>
              </a:p>
            </c:rich>
          </c:tx>
        </c:title>
        <c:tickLblPos val="nextTo"/>
        <c:txPr>
          <a:bodyPr rot="-5400000" vert="horz"/>
          <a:lstStyle/>
          <a:p>
            <a:pPr>
              <a:defRPr/>
            </a:pPr>
            <a:endParaRPr lang="en-US"/>
          </a:p>
        </c:txPr>
        <c:crossAx val="196641920"/>
        <c:crosses val="autoZero"/>
        <c:auto val="1"/>
        <c:lblAlgn val="ctr"/>
        <c:lblOffset val="100"/>
      </c:catAx>
      <c:valAx>
        <c:axId val="196641920"/>
        <c:scaling>
          <c:orientation val="minMax"/>
        </c:scaling>
        <c:axPos val="l"/>
        <c:majorGridlines/>
        <c:title>
          <c:tx>
            <c:rich>
              <a:bodyPr rot="-5400000" vert="horz"/>
              <a:lstStyle/>
              <a:p>
                <a:pPr>
                  <a:defRPr b="0"/>
                </a:pPr>
                <a:r>
                  <a:rPr lang="en-US"/>
                  <a:t>Number of units</a:t>
                </a:r>
              </a:p>
            </c:rich>
          </c:tx>
        </c:title>
        <c:numFmt formatCode="#,##0" sourceLinked="0"/>
        <c:tickLblPos val="nextTo"/>
        <c:crossAx val="196623360"/>
        <c:crosses val="autoZero"/>
        <c:crossBetween val="between"/>
      </c:valAx>
    </c:plotArea>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lgn="l">
              <a:defRPr sz="1000"/>
            </a:pPr>
            <a:r>
              <a:rPr lang="en-US"/>
              <a:t>SC07 8528.51.00 33</a:t>
            </a:r>
          </a:p>
          <a:p>
            <a:pPr algn="l">
              <a:defRPr sz="1000"/>
            </a:pPr>
            <a:r>
              <a:rPr lang="en-US"/>
              <a:t>Distribution of units imported</a:t>
            </a:r>
          </a:p>
        </c:rich>
      </c:tx>
      <c:layout>
        <c:manualLayout>
          <c:xMode val="edge"/>
          <c:yMode val="edge"/>
          <c:x val="3.888888888888889E-2"/>
          <c:y val="2.7777777777778859E-2"/>
        </c:manualLayout>
      </c:layout>
    </c:title>
    <c:plotArea>
      <c:layout/>
      <c:barChart>
        <c:barDir val="col"/>
        <c:grouping val="clustered"/>
        <c:ser>
          <c:idx val="0"/>
          <c:order val="0"/>
          <c:cat>
            <c:strRef>
              <c:f>'tc 38'!$Q$74:$Q$94</c:f>
              <c:strCache>
                <c:ptCount val="21"/>
                <c:pt idx="0">
                  <c:v>0 - 0.5</c:v>
                </c:pt>
                <c:pt idx="1">
                  <c:v>0.5 - 1</c:v>
                </c:pt>
                <c:pt idx="2">
                  <c:v>1 - 1.5</c:v>
                </c:pt>
                <c:pt idx="3">
                  <c:v>1.5 - 2</c:v>
                </c:pt>
                <c:pt idx="4">
                  <c:v>2 - 2.5</c:v>
                </c:pt>
                <c:pt idx="5">
                  <c:v>2.5 - 3</c:v>
                </c:pt>
                <c:pt idx="6">
                  <c:v>3 - 3.5</c:v>
                </c:pt>
                <c:pt idx="7">
                  <c:v>3.5 - 4</c:v>
                </c:pt>
                <c:pt idx="8">
                  <c:v>4 - 4.5</c:v>
                </c:pt>
                <c:pt idx="9">
                  <c:v>4.5 - 5</c:v>
                </c:pt>
                <c:pt idx="10">
                  <c:v>5 - 5.5</c:v>
                </c:pt>
                <c:pt idx="11">
                  <c:v>5.5 - 6</c:v>
                </c:pt>
                <c:pt idx="12">
                  <c:v>6 - 6.5</c:v>
                </c:pt>
                <c:pt idx="13">
                  <c:v>6.5 - 7</c:v>
                </c:pt>
                <c:pt idx="14">
                  <c:v>7 - 7.5</c:v>
                </c:pt>
                <c:pt idx="15">
                  <c:v>7.5 - 8</c:v>
                </c:pt>
                <c:pt idx="16">
                  <c:v>8 - 8.5</c:v>
                </c:pt>
                <c:pt idx="17">
                  <c:v>8.5 - 9</c:v>
                </c:pt>
                <c:pt idx="18">
                  <c:v>9 - 9.5</c:v>
                </c:pt>
                <c:pt idx="19">
                  <c:v>9.5 - 10</c:v>
                </c:pt>
                <c:pt idx="20">
                  <c:v>&gt;10</c:v>
                </c:pt>
              </c:strCache>
            </c:strRef>
          </c:cat>
          <c:val>
            <c:numRef>
              <c:f>'tc 38'!$AD$74:$AD$94</c:f>
              <c:numCache>
                <c:formatCode>_-* #,##0.0_-;\-* #,##0.0_-;_-* "-"??_-;_-@_-</c:formatCode>
                <c:ptCount val="21"/>
                <c:pt idx="0">
                  <c:v>0</c:v>
                </c:pt>
                <c:pt idx="1">
                  <c:v>0</c:v>
                </c:pt>
                <c:pt idx="2">
                  <c:v>0</c:v>
                </c:pt>
                <c:pt idx="3">
                  <c:v>0</c:v>
                </c:pt>
                <c:pt idx="4">
                  <c:v>0</c:v>
                </c:pt>
                <c:pt idx="5">
                  <c:v>0</c:v>
                </c:pt>
                <c:pt idx="6">
                  <c:v>0</c:v>
                </c:pt>
                <c:pt idx="7">
                  <c:v>0</c:v>
                </c:pt>
                <c:pt idx="8">
                  <c:v>0</c:v>
                </c:pt>
                <c:pt idx="9">
                  <c:v>0</c:v>
                </c:pt>
                <c:pt idx="10">
                  <c:v>0</c:v>
                </c:pt>
                <c:pt idx="11">
                  <c:v>0</c:v>
                </c:pt>
                <c:pt idx="12">
                  <c:v>81</c:v>
                </c:pt>
                <c:pt idx="13">
                  <c:v>0</c:v>
                </c:pt>
                <c:pt idx="14">
                  <c:v>0</c:v>
                </c:pt>
                <c:pt idx="15">
                  <c:v>0</c:v>
                </c:pt>
                <c:pt idx="16">
                  <c:v>0</c:v>
                </c:pt>
                <c:pt idx="17">
                  <c:v>0</c:v>
                </c:pt>
                <c:pt idx="18">
                  <c:v>0</c:v>
                </c:pt>
                <c:pt idx="19">
                  <c:v>0</c:v>
                </c:pt>
                <c:pt idx="20">
                  <c:v>0</c:v>
                </c:pt>
              </c:numCache>
            </c:numRef>
          </c:val>
        </c:ser>
        <c:axId val="196895488"/>
        <c:axId val="196897408"/>
      </c:barChart>
      <c:catAx>
        <c:axId val="196895488"/>
        <c:scaling>
          <c:orientation val="minMax"/>
        </c:scaling>
        <c:axPos val="b"/>
        <c:title>
          <c:tx>
            <c:rich>
              <a:bodyPr/>
              <a:lstStyle/>
              <a:p>
                <a:pPr>
                  <a:defRPr b="0"/>
                </a:pPr>
                <a:r>
                  <a:rPr lang="en-US"/>
                  <a:t>Unit weight (kg)</a:t>
                </a:r>
              </a:p>
            </c:rich>
          </c:tx>
        </c:title>
        <c:tickLblPos val="nextTo"/>
        <c:txPr>
          <a:bodyPr rot="-5400000" vert="horz"/>
          <a:lstStyle/>
          <a:p>
            <a:pPr>
              <a:defRPr/>
            </a:pPr>
            <a:endParaRPr lang="en-US"/>
          </a:p>
        </c:txPr>
        <c:crossAx val="196897408"/>
        <c:crosses val="autoZero"/>
        <c:auto val="1"/>
        <c:lblAlgn val="ctr"/>
        <c:lblOffset val="100"/>
      </c:catAx>
      <c:valAx>
        <c:axId val="196897408"/>
        <c:scaling>
          <c:orientation val="minMax"/>
        </c:scaling>
        <c:axPos val="l"/>
        <c:majorGridlines/>
        <c:title>
          <c:tx>
            <c:rich>
              <a:bodyPr rot="-5400000" vert="horz"/>
              <a:lstStyle/>
              <a:p>
                <a:pPr>
                  <a:defRPr b="0"/>
                </a:pPr>
                <a:r>
                  <a:rPr lang="en-US"/>
                  <a:t>Number of units</a:t>
                </a:r>
              </a:p>
            </c:rich>
          </c:tx>
        </c:title>
        <c:numFmt formatCode="#,##0" sourceLinked="0"/>
        <c:tickLblPos val="nextTo"/>
        <c:crossAx val="196895488"/>
        <c:crosses val="autoZero"/>
        <c:crossBetween val="between"/>
      </c:valAx>
    </c:plotArea>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lgn="l">
              <a:defRPr sz="1000"/>
            </a:pPr>
            <a:r>
              <a:rPr lang="en-US"/>
              <a:t>SC07 8528.73.00 35</a:t>
            </a:r>
          </a:p>
          <a:p>
            <a:pPr algn="l">
              <a:defRPr sz="1000"/>
            </a:pPr>
            <a:r>
              <a:rPr lang="en-US"/>
              <a:t>Distribution of units imported</a:t>
            </a:r>
          </a:p>
        </c:rich>
      </c:tx>
      <c:layout>
        <c:manualLayout>
          <c:xMode val="edge"/>
          <c:yMode val="edge"/>
          <c:x val="3.888888888888889E-2"/>
          <c:y val="2.7777777777778859E-2"/>
        </c:manualLayout>
      </c:layout>
    </c:title>
    <c:plotArea>
      <c:layout/>
      <c:barChart>
        <c:barDir val="col"/>
        <c:grouping val="clustered"/>
        <c:ser>
          <c:idx val="0"/>
          <c:order val="0"/>
          <c:cat>
            <c:strRef>
              <c:f>'tc 39'!$Q$74:$Q$94</c:f>
              <c:strCache>
                <c:ptCount val="21"/>
                <c:pt idx="0">
                  <c:v>0 - 0.5</c:v>
                </c:pt>
                <c:pt idx="1">
                  <c:v>0.5 - 1</c:v>
                </c:pt>
                <c:pt idx="2">
                  <c:v>1 - 1.5</c:v>
                </c:pt>
                <c:pt idx="3">
                  <c:v>1.5 - 2</c:v>
                </c:pt>
                <c:pt idx="4">
                  <c:v>2 - 2.5</c:v>
                </c:pt>
                <c:pt idx="5">
                  <c:v>2.5 - 3</c:v>
                </c:pt>
                <c:pt idx="6">
                  <c:v>3 - 3.5</c:v>
                </c:pt>
                <c:pt idx="7">
                  <c:v>3.5 - 4</c:v>
                </c:pt>
                <c:pt idx="8">
                  <c:v>4 - 4.5</c:v>
                </c:pt>
                <c:pt idx="9">
                  <c:v>4.5 - 5</c:v>
                </c:pt>
                <c:pt idx="10">
                  <c:v>5 - 5.5</c:v>
                </c:pt>
                <c:pt idx="11">
                  <c:v>5.5 - 6</c:v>
                </c:pt>
                <c:pt idx="12">
                  <c:v>6 - 6.5</c:v>
                </c:pt>
                <c:pt idx="13">
                  <c:v>6.5 - 7</c:v>
                </c:pt>
                <c:pt idx="14">
                  <c:v>7 - 7.5</c:v>
                </c:pt>
                <c:pt idx="15">
                  <c:v>7.5 - 8</c:v>
                </c:pt>
                <c:pt idx="16">
                  <c:v>8 - 8.5</c:v>
                </c:pt>
                <c:pt idx="17">
                  <c:v>8.5 - 9</c:v>
                </c:pt>
                <c:pt idx="18">
                  <c:v>9 - 9.5</c:v>
                </c:pt>
                <c:pt idx="19">
                  <c:v>9.5 - 10</c:v>
                </c:pt>
                <c:pt idx="20">
                  <c:v>&gt;10</c:v>
                </c:pt>
              </c:strCache>
            </c:strRef>
          </c:cat>
          <c:val>
            <c:numRef>
              <c:f>'tc 39'!$AD$74:$AD$94</c:f>
              <c:numCache>
                <c:formatCode>_-* #,##0.0_-;\-* #,##0.0_-;_-* "-"??_-;_-@_-</c:formatCode>
                <c:ptCount val="21"/>
                <c:pt idx="0">
                  <c:v>0</c:v>
                </c:pt>
                <c:pt idx="1">
                  <c:v>154</c:v>
                </c:pt>
                <c:pt idx="2">
                  <c:v>160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numCache>
            </c:numRef>
          </c:val>
        </c:ser>
        <c:axId val="197015808"/>
        <c:axId val="197030272"/>
      </c:barChart>
      <c:catAx>
        <c:axId val="197015808"/>
        <c:scaling>
          <c:orientation val="minMax"/>
        </c:scaling>
        <c:axPos val="b"/>
        <c:title>
          <c:tx>
            <c:rich>
              <a:bodyPr/>
              <a:lstStyle/>
              <a:p>
                <a:pPr>
                  <a:defRPr b="0"/>
                </a:pPr>
                <a:r>
                  <a:rPr lang="en-US"/>
                  <a:t>Unit weight (kg)</a:t>
                </a:r>
              </a:p>
            </c:rich>
          </c:tx>
        </c:title>
        <c:tickLblPos val="nextTo"/>
        <c:txPr>
          <a:bodyPr rot="-5400000" vert="horz"/>
          <a:lstStyle/>
          <a:p>
            <a:pPr>
              <a:defRPr/>
            </a:pPr>
            <a:endParaRPr lang="en-US"/>
          </a:p>
        </c:txPr>
        <c:crossAx val="197030272"/>
        <c:crosses val="autoZero"/>
        <c:auto val="1"/>
        <c:lblAlgn val="ctr"/>
        <c:lblOffset val="100"/>
      </c:catAx>
      <c:valAx>
        <c:axId val="197030272"/>
        <c:scaling>
          <c:orientation val="minMax"/>
        </c:scaling>
        <c:axPos val="l"/>
        <c:majorGridlines/>
        <c:title>
          <c:tx>
            <c:rich>
              <a:bodyPr rot="-5400000" vert="horz"/>
              <a:lstStyle/>
              <a:p>
                <a:pPr>
                  <a:defRPr b="0"/>
                </a:pPr>
                <a:r>
                  <a:rPr lang="en-US"/>
                  <a:t>Number of units</a:t>
                </a:r>
              </a:p>
            </c:rich>
          </c:tx>
        </c:title>
        <c:numFmt formatCode="#,##0" sourceLinked="0"/>
        <c:tickLblPos val="nextTo"/>
        <c:crossAx val="197015808"/>
        <c:crosses val="autoZero"/>
        <c:crossBetween val="between"/>
      </c:valAx>
    </c:plotArea>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date1904 val="1"/>
  <c:lang val="en-AU"/>
  <c:chart>
    <c:plotArea>
      <c:layout>
        <c:manualLayout>
          <c:layoutTarget val="inner"/>
          <c:xMode val="edge"/>
          <c:yMode val="edge"/>
          <c:x val="0.40113476513951607"/>
          <c:y val="0.2335688995364387"/>
          <c:w val="0.42608867643977028"/>
          <c:h val="0.71818712710163757"/>
        </c:manualLayout>
      </c:layout>
      <c:pieChart>
        <c:varyColors val="1"/>
        <c:ser>
          <c:idx val="0"/>
          <c:order val="0"/>
          <c:dLbls>
            <c:dLbl>
              <c:idx val="0"/>
              <c:layout>
                <c:manualLayout>
                  <c:x val="-8.9623405518916377E-4"/>
                  <c:y val="-1.7610752930575277E-2"/>
                </c:manualLayout>
              </c:layout>
              <c:tx>
                <c:rich>
                  <a:bodyPr/>
                  <a:lstStyle/>
                  <a:p>
                    <a:r>
                      <a:rPr lang="en-US"/>
                      <a:t>Digital LCD..Wide screen,  &gt; 80 cm
36%</a:t>
                    </a:r>
                  </a:p>
                </c:rich>
              </c:tx>
              <c:showCatName val="1"/>
              <c:showPercent val="1"/>
            </c:dLbl>
            <c:dLbl>
              <c:idx val="1"/>
              <c:layout>
                <c:manualLayout>
                  <c:x val="0.20313198214844091"/>
                  <c:y val="-3.1321525615343707E-3"/>
                </c:manualLayout>
              </c:layout>
              <c:tx>
                <c:rich>
                  <a:bodyPr/>
                  <a:lstStyle/>
                  <a:p>
                    <a:r>
                      <a:rPr lang="en-US"/>
                      <a:t>Digital LCD..Wide screen, &lt;  80cm</a:t>
                    </a:r>
                    <a:r>
                      <a:rPr lang="en-US" baseline="0"/>
                      <a:t> </a:t>
                    </a:r>
                    <a:r>
                      <a:rPr lang="en-US"/>
                      <a:t>24%</a:t>
                    </a:r>
                  </a:p>
                </c:rich>
              </c:tx>
              <c:showCatName val="1"/>
              <c:showPercent val="1"/>
            </c:dLbl>
            <c:dLbl>
              <c:idx val="2"/>
              <c:layout>
                <c:manualLayout>
                  <c:x val="-4.5235098048687632E-2"/>
                  <c:y val="8.7028769785833765E-2"/>
                </c:manualLayout>
              </c:layout>
              <c:tx>
                <c:rich>
                  <a:bodyPr/>
                  <a:lstStyle/>
                  <a:p>
                    <a:r>
                      <a:rPr lang="en-US"/>
                      <a:t>Digital Plasma &gt; 80cm</a:t>
                    </a:r>
                    <a:r>
                      <a:rPr lang="en-US" baseline="0"/>
                      <a:t> </a:t>
                    </a:r>
                    <a:r>
                      <a:rPr lang="en-US"/>
                      <a:t>16%</a:t>
                    </a:r>
                  </a:p>
                </c:rich>
              </c:tx>
              <c:showCatName val="1"/>
              <c:showPercent val="1"/>
            </c:dLbl>
            <c:dLbl>
              <c:idx val="3"/>
              <c:layout>
                <c:manualLayout>
                  <c:x val="-0.11117828073042002"/>
                  <c:y val="0.23620958329673541"/>
                </c:manualLayout>
              </c:layout>
              <c:showCatName val="1"/>
              <c:showPercent val="1"/>
            </c:dLbl>
            <c:dLbl>
              <c:idx val="4"/>
              <c:tx>
                <c:rich>
                  <a:bodyPr/>
                  <a:lstStyle/>
                  <a:p>
                    <a:r>
                      <a:rPr lang="en-US"/>
                      <a:t>Analogue LCD..Wide screen, &gt; 80</a:t>
                    </a:r>
                    <a:r>
                      <a:rPr lang="en-US" baseline="0"/>
                      <a:t> cm </a:t>
                    </a:r>
                    <a:r>
                      <a:rPr lang="en-US"/>
                      <a:t>5%</a:t>
                    </a:r>
                  </a:p>
                </c:rich>
              </c:tx>
              <c:showCatName val="1"/>
              <c:showPercent val="1"/>
            </c:dLbl>
            <c:dLbl>
              <c:idx val="6"/>
              <c:tx>
                <c:rich>
                  <a:bodyPr/>
                  <a:lstStyle/>
                  <a:p>
                    <a:r>
                      <a:rPr lang="en-US"/>
                      <a:t>Analogue LCD..Wide screen, &lt; 80cm</a:t>
                    </a:r>
                    <a:r>
                      <a:rPr lang="en-US" baseline="0"/>
                      <a:t> </a:t>
                    </a:r>
                    <a:r>
                      <a:rPr lang="en-US"/>
                      <a:t>3%</a:t>
                    </a:r>
                  </a:p>
                </c:rich>
              </c:tx>
              <c:showCatName val="1"/>
              <c:showPercent val="1"/>
            </c:dLbl>
            <c:dLbl>
              <c:idx val="8"/>
              <c:tx>
                <c:rich>
                  <a:bodyPr/>
                  <a:lstStyle/>
                  <a:p>
                    <a:r>
                      <a:rPr lang="en-US"/>
                      <a:t>CRT  &gt; 79cm
1%</a:t>
                    </a:r>
                  </a:p>
                </c:rich>
              </c:tx>
              <c:showCatName val="1"/>
              <c:showPercent val="1"/>
            </c:dLbl>
            <c:dLbl>
              <c:idx val="9"/>
              <c:tx>
                <c:rich>
                  <a:bodyPr/>
                  <a:lstStyle/>
                  <a:p>
                    <a:r>
                      <a:rPr lang="en-US"/>
                      <a:t>All other HTISCs 4%</a:t>
                    </a:r>
                  </a:p>
                </c:rich>
              </c:tx>
              <c:showCatName val="1"/>
              <c:showPercent val="1"/>
            </c:dLbl>
            <c:showCatName val="1"/>
            <c:showPercent val="1"/>
            <c:showLeaderLines val="1"/>
          </c:dLbls>
          <c:cat>
            <c:strRef>
              <c:f>'Imports (2)'!$F$87:$F$96</c:f>
              <c:strCache>
                <c:ptCount val="10"/>
                <c:pt idx="0">
                  <c:v>Digital LCD..Wide screen, screen size 80 cm and over</c:v>
                </c:pt>
                <c:pt idx="1">
                  <c:v>Digital LCD..Wide screen, screen size less than 80cm</c:v>
                </c:pt>
                <c:pt idx="2">
                  <c:v>Plasma 80cm+</c:v>
                </c:pt>
                <c:pt idx="3">
                  <c:v>Digital, other</c:v>
                </c:pt>
                <c:pt idx="4">
                  <c:v>Analogue LCD..Wide screen, screen size 80 cm and over</c:v>
                </c:pt>
                <c:pt idx="5">
                  <c:v>Digital LCD..Other</c:v>
                </c:pt>
                <c:pt idx="6">
                  <c:v>Analogue LCD..Wide screen, screen size less than 80cm</c:v>
                </c:pt>
                <c:pt idx="7">
                  <c:v>CRT 51-67cm</c:v>
                </c:pt>
                <c:pt idx="8">
                  <c:v>CRT 79cm +</c:v>
                </c:pt>
                <c:pt idx="9">
                  <c:v>Clr TVs &lt; 1 %</c:v>
                </c:pt>
              </c:strCache>
            </c:strRef>
          </c:cat>
          <c:val>
            <c:numRef>
              <c:f>'Imports (2)'!$G$87:$G$96</c:f>
              <c:numCache>
                <c:formatCode>#,##0</c:formatCode>
                <c:ptCount val="10"/>
                <c:pt idx="0">
                  <c:v>1404784</c:v>
                </c:pt>
                <c:pt idx="1">
                  <c:v>946800</c:v>
                </c:pt>
                <c:pt idx="2">
                  <c:v>612171</c:v>
                </c:pt>
                <c:pt idx="3">
                  <c:v>186835</c:v>
                </c:pt>
                <c:pt idx="4">
                  <c:v>183745</c:v>
                </c:pt>
                <c:pt idx="5">
                  <c:v>152974</c:v>
                </c:pt>
                <c:pt idx="6">
                  <c:v>136131</c:v>
                </c:pt>
                <c:pt idx="7">
                  <c:v>66565</c:v>
                </c:pt>
                <c:pt idx="8" formatCode="General">
                  <c:v>61162</c:v>
                </c:pt>
                <c:pt idx="9">
                  <c:v>165780</c:v>
                </c:pt>
              </c:numCache>
            </c:numRef>
          </c:val>
        </c:ser>
        <c:firstSliceAng val="0"/>
      </c:pieChart>
    </c:plotArea>
    <c:plotVisOnly val="1"/>
  </c:chart>
  <c:spPr>
    <a:ln>
      <a:noFill/>
    </a:ln>
  </c:spPr>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lgn="l">
              <a:defRPr sz="1000"/>
            </a:pPr>
            <a:r>
              <a:rPr lang="en-US"/>
              <a:t>SC07 8528.72.00 40</a:t>
            </a:r>
          </a:p>
          <a:p>
            <a:pPr algn="l">
              <a:defRPr sz="1000"/>
            </a:pPr>
            <a:r>
              <a:rPr lang="en-US"/>
              <a:t>Distribution of units imported</a:t>
            </a:r>
          </a:p>
        </c:rich>
      </c:tx>
      <c:layout>
        <c:manualLayout>
          <c:xMode val="edge"/>
          <c:yMode val="edge"/>
          <c:x val="3.888888888888889E-2"/>
          <c:y val="2.7777777777778852E-2"/>
        </c:manualLayout>
      </c:layout>
    </c:title>
    <c:plotArea>
      <c:layout/>
      <c:barChart>
        <c:barDir val="col"/>
        <c:grouping val="clustered"/>
        <c:ser>
          <c:idx val="0"/>
          <c:order val="0"/>
          <c:cat>
            <c:strRef>
              <c:f>'tc 44'!$Q$74:$Q$94</c:f>
              <c:strCache>
                <c:ptCount val="21"/>
                <c:pt idx="0">
                  <c:v>0 - 1</c:v>
                </c:pt>
                <c:pt idx="1">
                  <c:v>1 - 2</c:v>
                </c:pt>
                <c:pt idx="2">
                  <c:v>2 - 3</c:v>
                </c:pt>
                <c:pt idx="3">
                  <c:v>3 - 4</c:v>
                </c:pt>
                <c:pt idx="4">
                  <c:v>4 - 5</c:v>
                </c:pt>
                <c:pt idx="5">
                  <c:v>5 - 6</c:v>
                </c:pt>
                <c:pt idx="6">
                  <c:v>6 - 7</c:v>
                </c:pt>
                <c:pt idx="7">
                  <c:v>7 - 8</c:v>
                </c:pt>
                <c:pt idx="8">
                  <c:v>8 - 9</c:v>
                </c:pt>
                <c:pt idx="9">
                  <c:v>9 - 10</c:v>
                </c:pt>
                <c:pt idx="10">
                  <c:v>10 - 11</c:v>
                </c:pt>
                <c:pt idx="11">
                  <c:v>11 - 12</c:v>
                </c:pt>
                <c:pt idx="12">
                  <c:v>12 - 13</c:v>
                </c:pt>
                <c:pt idx="13">
                  <c:v>13 - 14</c:v>
                </c:pt>
                <c:pt idx="14">
                  <c:v>14 - 15</c:v>
                </c:pt>
                <c:pt idx="15">
                  <c:v>15 - 16</c:v>
                </c:pt>
                <c:pt idx="16">
                  <c:v>16 - 17</c:v>
                </c:pt>
                <c:pt idx="17">
                  <c:v>17 - 18</c:v>
                </c:pt>
                <c:pt idx="18">
                  <c:v>18 - 19</c:v>
                </c:pt>
                <c:pt idx="19">
                  <c:v>19 - 20</c:v>
                </c:pt>
                <c:pt idx="20">
                  <c:v>&gt;20</c:v>
                </c:pt>
              </c:strCache>
            </c:strRef>
          </c:cat>
          <c:val>
            <c:numRef>
              <c:f>'tc 44'!$AD$74:$AD$94</c:f>
              <c:numCache>
                <c:formatCode>_-* #,##0.0_-;\-* #,##0.0_-;_-* "-"??_-;_-@_-</c:formatCode>
                <c:ptCount val="2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574</c:v>
                </c:pt>
                <c:pt idx="19">
                  <c:v>0</c:v>
                </c:pt>
                <c:pt idx="20">
                  <c:v>0</c:v>
                </c:pt>
              </c:numCache>
            </c:numRef>
          </c:val>
        </c:ser>
        <c:axId val="206689792"/>
        <c:axId val="206691712"/>
      </c:barChart>
      <c:catAx>
        <c:axId val="206689792"/>
        <c:scaling>
          <c:orientation val="minMax"/>
        </c:scaling>
        <c:axPos val="b"/>
        <c:title>
          <c:tx>
            <c:rich>
              <a:bodyPr/>
              <a:lstStyle/>
              <a:p>
                <a:pPr>
                  <a:defRPr b="0"/>
                </a:pPr>
                <a:r>
                  <a:rPr lang="en-US"/>
                  <a:t>Unit weight (kg)</a:t>
                </a:r>
              </a:p>
            </c:rich>
          </c:tx>
        </c:title>
        <c:tickLblPos val="nextTo"/>
        <c:txPr>
          <a:bodyPr rot="-5400000" vert="horz"/>
          <a:lstStyle/>
          <a:p>
            <a:pPr>
              <a:defRPr/>
            </a:pPr>
            <a:endParaRPr lang="en-US"/>
          </a:p>
        </c:txPr>
        <c:crossAx val="206691712"/>
        <c:crosses val="autoZero"/>
        <c:auto val="1"/>
        <c:lblAlgn val="ctr"/>
        <c:lblOffset val="100"/>
      </c:catAx>
      <c:valAx>
        <c:axId val="206691712"/>
        <c:scaling>
          <c:orientation val="minMax"/>
        </c:scaling>
        <c:axPos val="l"/>
        <c:majorGridlines/>
        <c:title>
          <c:tx>
            <c:rich>
              <a:bodyPr rot="-5400000" vert="horz"/>
              <a:lstStyle/>
              <a:p>
                <a:pPr>
                  <a:defRPr b="0"/>
                </a:pPr>
                <a:r>
                  <a:rPr lang="en-US"/>
                  <a:t>Number of units</a:t>
                </a:r>
              </a:p>
            </c:rich>
          </c:tx>
        </c:title>
        <c:numFmt formatCode="#,##0" sourceLinked="0"/>
        <c:tickLblPos val="nextTo"/>
        <c:crossAx val="206689792"/>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lgn="l">
              <a:defRPr sz="1000"/>
            </a:pPr>
            <a:r>
              <a:rPr lang="en-US" sz="1000"/>
              <a:t>SC07 8443.31.00 90</a:t>
            </a:r>
          </a:p>
          <a:p>
            <a:pPr algn="l">
              <a:defRPr sz="1000"/>
            </a:pPr>
            <a:r>
              <a:rPr lang="en-US" sz="1000" b="1" i="0" baseline="0"/>
              <a:t>Distribution of units imported</a:t>
            </a:r>
            <a:endParaRPr lang="en-AU" sz="1000" b="1" i="0" baseline="0"/>
          </a:p>
        </c:rich>
      </c:tx>
      <c:layout>
        <c:manualLayout>
          <c:xMode val="edge"/>
          <c:yMode val="edge"/>
          <c:x val="3.888888888888889E-2"/>
          <c:y val="2.7777777777778449E-2"/>
        </c:manualLayout>
      </c:layout>
    </c:title>
    <c:plotArea>
      <c:layout/>
      <c:barChart>
        <c:barDir val="col"/>
        <c:grouping val="clustered"/>
        <c:ser>
          <c:idx val="0"/>
          <c:order val="0"/>
          <c:cat>
            <c:strRef>
              <c:f>'tc 5'!$Q$74:$Q$94</c:f>
              <c:strCache>
                <c:ptCount val="21"/>
                <c:pt idx="0">
                  <c:v>0 - 10</c:v>
                </c:pt>
                <c:pt idx="1">
                  <c:v>10 - 20</c:v>
                </c:pt>
                <c:pt idx="2">
                  <c:v>20 - 30</c:v>
                </c:pt>
                <c:pt idx="3">
                  <c:v>30 - 40</c:v>
                </c:pt>
                <c:pt idx="4">
                  <c:v>40 - 50</c:v>
                </c:pt>
                <c:pt idx="5">
                  <c:v>50 - 60</c:v>
                </c:pt>
                <c:pt idx="6">
                  <c:v>60 - 70</c:v>
                </c:pt>
                <c:pt idx="7">
                  <c:v>70 - 80</c:v>
                </c:pt>
                <c:pt idx="8">
                  <c:v>80 - 90</c:v>
                </c:pt>
                <c:pt idx="9">
                  <c:v>90 - 100</c:v>
                </c:pt>
                <c:pt idx="10">
                  <c:v>100 - 110</c:v>
                </c:pt>
                <c:pt idx="11">
                  <c:v>110 - 120</c:v>
                </c:pt>
                <c:pt idx="12">
                  <c:v>120 - 130</c:v>
                </c:pt>
                <c:pt idx="13">
                  <c:v>130 - 140</c:v>
                </c:pt>
                <c:pt idx="14">
                  <c:v>140 - 150</c:v>
                </c:pt>
                <c:pt idx="15">
                  <c:v>150 - 160</c:v>
                </c:pt>
                <c:pt idx="16">
                  <c:v>160 - 170</c:v>
                </c:pt>
                <c:pt idx="17">
                  <c:v>170 - 180</c:v>
                </c:pt>
                <c:pt idx="18">
                  <c:v>180 - 190</c:v>
                </c:pt>
                <c:pt idx="19">
                  <c:v>190 - 200</c:v>
                </c:pt>
                <c:pt idx="20">
                  <c:v>&gt;200</c:v>
                </c:pt>
              </c:strCache>
            </c:strRef>
          </c:cat>
          <c:val>
            <c:numRef>
              <c:f>'tc 5'!$AC$74:$AC$94</c:f>
              <c:numCache>
                <c:formatCode>_-* #,##0.0_-;\-* #,##0.0_-;_-* "-"??_-;_-@_-</c:formatCode>
                <c:ptCount val="21"/>
                <c:pt idx="0">
                  <c:v>259</c:v>
                </c:pt>
                <c:pt idx="1">
                  <c:v>14273</c:v>
                </c:pt>
                <c:pt idx="2">
                  <c:v>36</c:v>
                </c:pt>
                <c:pt idx="3">
                  <c:v>0</c:v>
                </c:pt>
                <c:pt idx="4">
                  <c:v>0</c:v>
                </c:pt>
                <c:pt idx="5">
                  <c:v>0</c:v>
                </c:pt>
                <c:pt idx="6">
                  <c:v>9</c:v>
                </c:pt>
                <c:pt idx="7">
                  <c:v>739</c:v>
                </c:pt>
                <c:pt idx="8">
                  <c:v>670</c:v>
                </c:pt>
                <c:pt idx="9">
                  <c:v>0</c:v>
                </c:pt>
                <c:pt idx="10">
                  <c:v>9</c:v>
                </c:pt>
                <c:pt idx="11">
                  <c:v>4</c:v>
                </c:pt>
                <c:pt idx="12">
                  <c:v>6834.5</c:v>
                </c:pt>
                <c:pt idx="13">
                  <c:v>9978</c:v>
                </c:pt>
                <c:pt idx="14">
                  <c:v>0</c:v>
                </c:pt>
                <c:pt idx="15">
                  <c:v>0</c:v>
                </c:pt>
                <c:pt idx="16">
                  <c:v>0</c:v>
                </c:pt>
                <c:pt idx="17">
                  <c:v>0</c:v>
                </c:pt>
                <c:pt idx="18">
                  <c:v>0</c:v>
                </c:pt>
                <c:pt idx="19">
                  <c:v>0</c:v>
                </c:pt>
                <c:pt idx="20">
                  <c:v>3025</c:v>
                </c:pt>
              </c:numCache>
            </c:numRef>
          </c:val>
        </c:ser>
        <c:axId val="169914368"/>
        <c:axId val="169916288"/>
      </c:barChart>
      <c:catAx>
        <c:axId val="169914368"/>
        <c:scaling>
          <c:orientation val="minMax"/>
        </c:scaling>
        <c:axPos val="b"/>
        <c:title>
          <c:tx>
            <c:rich>
              <a:bodyPr/>
              <a:lstStyle/>
              <a:p>
                <a:pPr>
                  <a:defRPr b="0"/>
                </a:pPr>
                <a:r>
                  <a:rPr lang="en-US"/>
                  <a:t>Unit weights (kg)</a:t>
                </a:r>
              </a:p>
            </c:rich>
          </c:tx>
          <c:layout/>
        </c:title>
        <c:tickLblPos val="nextTo"/>
        <c:txPr>
          <a:bodyPr rot="-5400000" vert="horz"/>
          <a:lstStyle/>
          <a:p>
            <a:pPr>
              <a:defRPr/>
            </a:pPr>
            <a:endParaRPr lang="en-US"/>
          </a:p>
        </c:txPr>
        <c:crossAx val="169916288"/>
        <c:crosses val="autoZero"/>
        <c:auto val="1"/>
        <c:lblAlgn val="ctr"/>
        <c:lblOffset val="100"/>
      </c:catAx>
      <c:valAx>
        <c:axId val="169916288"/>
        <c:scaling>
          <c:orientation val="minMax"/>
        </c:scaling>
        <c:axPos val="l"/>
        <c:majorGridlines/>
        <c:title>
          <c:tx>
            <c:rich>
              <a:bodyPr rot="-5400000" vert="horz"/>
              <a:lstStyle/>
              <a:p>
                <a:pPr>
                  <a:defRPr b="0"/>
                </a:pPr>
                <a:r>
                  <a:rPr lang="en-US"/>
                  <a:t>Number of units</a:t>
                </a:r>
              </a:p>
            </c:rich>
          </c:tx>
          <c:layout/>
        </c:title>
        <c:numFmt formatCode="#,##0" sourceLinked="0"/>
        <c:tickLblPos val="nextTo"/>
        <c:crossAx val="169914368"/>
        <c:crosses val="autoZero"/>
        <c:crossBetween val="between"/>
      </c:valAx>
    </c:plotArea>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lgn="l">
              <a:defRPr sz="1000"/>
            </a:pPr>
            <a:r>
              <a:rPr lang="en-US"/>
              <a:t>SC07 8528.72.00 60</a:t>
            </a:r>
          </a:p>
          <a:p>
            <a:pPr algn="l">
              <a:defRPr sz="1000"/>
            </a:pPr>
            <a:r>
              <a:rPr lang="en-US"/>
              <a:t>Distribution of units imported</a:t>
            </a:r>
          </a:p>
        </c:rich>
      </c:tx>
      <c:layout>
        <c:manualLayout>
          <c:xMode val="edge"/>
          <c:yMode val="edge"/>
          <c:x val="3.888888888888889E-2"/>
          <c:y val="2.7777777777778224E-2"/>
        </c:manualLayout>
      </c:layout>
    </c:title>
    <c:plotArea>
      <c:layout/>
      <c:barChart>
        <c:barDir val="col"/>
        <c:grouping val="clustered"/>
        <c:ser>
          <c:idx val="0"/>
          <c:order val="0"/>
          <c:cat>
            <c:strRef>
              <c:f>'tc 45'!$Q$74:$Q$94</c:f>
              <c:strCache>
                <c:ptCount val="21"/>
                <c:pt idx="0">
                  <c:v>0 - 1</c:v>
                </c:pt>
                <c:pt idx="1">
                  <c:v>1 - 2</c:v>
                </c:pt>
                <c:pt idx="2">
                  <c:v>2 - 3</c:v>
                </c:pt>
                <c:pt idx="3">
                  <c:v>3 - 4</c:v>
                </c:pt>
                <c:pt idx="4">
                  <c:v>4 - 5</c:v>
                </c:pt>
                <c:pt idx="5">
                  <c:v>5 - 6</c:v>
                </c:pt>
                <c:pt idx="6">
                  <c:v>6 - 7</c:v>
                </c:pt>
                <c:pt idx="7">
                  <c:v>7 - 8</c:v>
                </c:pt>
                <c:pt idx="8">
                  <c:v>8 - 9</c:v>
                </c:pt>
                <c:pt idx="9">
                  <c:v>9 - 10</c:v>
                </c:pt>
                <c:pt idx="10">
                  <c:v>10 - 11</c:v>
                </c:pt>
                <c:pt idx="11">
                  <c:v>11 - 12</c:v>
                </c:pt>
                <c:pt idx="12">
                  <c:v>12 - 13</c:v>
                </c:pt>
                <c:pt idx="13">
                  <c:v>13 - 14</c:v>
                </c:pt>
                <c:pt idx="14">
                  <c:v>14 - 15</c:v>
                </c:pt>
                <c:pt idx="15">
                  <c:v>15 - 16</c:v>
                </c:pt>
                <c:pt idx="16">
                  <c:v>16 - 17</c:v>
                </c:pt>
                <c:pt idx="17">
                  <c:v>17 - 18</c:v>
                </c:pt>
                <c:pt idx="18">
                  <c:v>18 - 19</c:v>
                </c:pt>
                <c:pt idx="19">
                  <c:v>19 - 20</c:v>
                </c:pt>
                <c:pt idx="20">
                  <c:v>&gt;20</c:v>
                </c:pt>
              </c:strCache>
            </c:strRef>
          </c:cat>
          <c:val>
            <c:numRef>
              <c:f>'tc 45'!$AD$74:$AD$94</c:f>
              <c:numCache>
                <c:formatCode>_-* #,##0.0_-;\-* #,##0.0_-;_-* "-"??_-;_-@_-</c:formatCode>
                <c:ptCount val="21"/>
                <c:pt idx="0">
                  <c:v>0</c:v>
                </c:pt>
                <c:pt idx="1">
                  <c:v>0</c:v>
                </c:pt>
                <c:pt idx="2">
                  <c:v>0</c:v>
                </c:pt>
                <c:pt idx="3">
                  <c:v>19539</c:v>
                </c:pt>
                <c:pt idx="4">
                  <c:v>76877.5</c:v>
                </c:pt>
                <c:pt idx="5">
                  <c:v>18527</c:v>
                </c:pt>
                <c:pt idx="6">
                  <c:v>5858</c:v>
                </c:pt>
                <c:pt idx="7">
                  <c:v>12832.5</c:v>
                </c:pt>
                <c:pt idx="8">
                  <c:v>0</c:v>
                </c:pt>
                <c:pt idx="9">
                  <c:v>13920.5</c:v>
                </c:pt>
                <c:pt idx="10">
                  <c:v>1621</c:v>
                </c:pt>
                <c:pt idx="11">
                  <c:v>0</c:v>
                </c:pt>
                <c:pt idx="12">
                  <c:v>0</c:v>
                </c:pt>
                <c:pt idx="13">
                  <c:v>0</c:v>
                </c:pt>
                <c:pt idx="14">
                  <c:v>0</c:v>
                </c:pt>
                <c:pt idx="15">
                  <c:v>0</c:v>
                </c:pt>
                <c:pt idx="16">
                  <c:v>0</c:v>
                </c:pt>
                <c:pt idx="17">
                  <c:v>0</c:v>
                </c:pt>
                <c:pt idx="18">
                  <c:v>1001</c:v>
                </c:pt>
                <c:pt idx="19">
                  <c:v>0</c:v>
                </c:pt>
                <c:pt idx="20">
                  <c:v>0</c:v>
                </c:pt>
              </c:numCache>
            </c:numRef>
          </c:val>
        </c:ser>
        <c:axId val="206715904"/>
        <c:axId val="206750848"/>
      </c:barChart>
      <c:catAx>
        <c:axId val="206715904"/>
        <c:scaling>
          <c:orientation val="minMax"/>
        </c:scaling>
        <c:axPos val="b"/>
        <c:title>
          <c:tx>
            <c:rich>
              <a:bodyPr/>
              <a:lstStyle/>
              <a:p>
                <a:pPr>
                  <a:defRPr b="0"/>
                </a:pPr>
                <a:r>
                  <a:rPr lang="en-US"/>
                  <a:t>Item weights (kg)</a:t>
                </a:r>
              </a:p>
            </c:rich>
          </c:tx>
        </c:title>
        <c:tickLblPos val="nextTo"/>
        <c:txPr>
          <a:bodyPr rot="-5400000" vert="horz"/>
          <a:lstStyle/>
          <a:p>
            <a:pPr>
              <a:defRPr/>
            </a:pPr>
            <a:endParaRPr lang="en-US"/>
          </a:p>
        </c:txPr>
        <c:crossAx val="206750848"/>
        <c:crosses val="autoZero"/>
        <c:auto val="1"/>
        <c:lblAlgn val="ctr"/>
        <c:lblOffset val="100"/>
      </c:catAx>
      <c:valAx>
        <c:axId val="206750848"/>
        <c:scaling>
          <c:orientation val="minMax"/>
        </c:scaling>
        <c:axPos val="l"/>
        <c:majorGridlines/>
        <c:title>
          <c:tx>
            <c:rich>
              <a:bodyPr rot="-5400000" vert="horz"/>
              <a:lstStyle/>
              <a:p>
                <a:pPr>
                  <a:defRPr b="0"/>
                </a:pPr>
                <a:r>
                  <a:rPr lang="en-US"/>
                  <a:t>Weight Imported, 2011 (kg)</a:t>
                </a:r>
              </a:p>
            </c:rich>
          </c:tx>
        </c:title>
        <c:numFmt formatCode="#,##0" sourceLinked="0"/>
        <c:tickLblPos val="nextTo"/>
        <c:crossAx val="206715904"/>
        <c:crosses val="autoZero"/>
        <c:crossBetween val="between"/>
      </c:valAx>
    </c:plotArea>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AU"/>
  <c:chart>
    <c:title>
      <c:tx>
        <c:rich>
          <a:bodyPr/>
          <a:lstStyle/>
          <a:p>
            <a:pPr algn="l">
              <a:defRPr sz="1000"/>
            </a:pPr>
            <a:r>
              <a:rPr lang="en-US"/>
              <a:t>SC07 8528.72.00 61</a:t>
            </a:r>
          </a:p>
          <a:p>
            <a:pPr algn="l">
              <a:defRPr sz="1000"/>
            </a:pPr>
            <a:r>
              <a:rPr lang="en-US"/>
              <a:t>Distribution of units imported</a:t>
            </a:r>
          </a:p>
        </c:rich>
      </c:tx>
      <c:layout>
        <c:manualLayout>
          <c:xMode val="edge"/>
          <c:yMode val="edge"/>
          <c:x val="3.888888888888889E-2"/>
          <c:y val="2.7777777777778224E-2"/>
        </c:manualLayout>
      </c:layout>
    </c:title>
    <c:plotArea>
      <c:layout/>
      <c:barChart>
        <c:barDir val="col"/>
        <c:grouping val="clustered"/>
        <c:ser>
          <c:idx val="0"/>
          <c:order val="0"/>
          <c:cat>
            <c:strRef>
              <c:f>'tc 46'!$Q$74:$Q$94</c:f>
              <c:strCache>
                <c:ptCount val="21"/>
                <c:pt idx="0">
                  <c:v>0 - 5</c:v>
                </c:pt>
                <c:pt idx="1">
                  <c:v>5 - 10</c:v>
                </c:pt>
                <c:pt idx="2">
                  <c:v>10 - 15</c:v>
                </c:pt>
                <c:pt idx="3">
                  <c:v>15 - 20</c:v>
                </c:pt>
                <c:pt idx="4">
                  <c:v>20 - 25</c:v>
                </c:pt>
                <c:pt idx="5">
                  <c:v>25 - 30</c:v>
                </c:pt>
                <c:pt idx="6">
                  <c:v>30 - 35</c:v>
                </c:pt>
                <c:pt idx="7">
                  <c:v>35 - 40</c:v>
                </c:pt>
                <c:pt idx="8">
                  <c:v>40 - 45</c:v>
                </c:pt>
                <c:pt idx="9">
                  <c:v>45 - 50</c:v>
                </c:pt>
                <c:pt idx="10">
                  <c:v>50 - 55</c:v>
                </c:pt>
                <c:pt idx="11">
                  <c:v>55 - 60</c:v>
                </c:pt>
                <c:pt idx="12">
                  <c:v>60 - 65</c:v>
                </c:pt>
                <c:pt idx="13">
                  <c:v>65 - 70</c:v>
                </c:pt>
                <c:pt idx="14">
                  <c:v>70 - 75</c:v>
                </c:pt>
                <c:pt idx="15">
                  <c:v>75 - 80</c:v>
                </c:pt>
                <c:pt idx="16">
                  <c:v>80 - 85</c:v>
                </c:pt>
                <c:pt idx="17">
                  <c:v>85 - 90</c:v>
                </c:pt>
                <c:pt idx="18">
                  <c:v>90 - 95</c:v>
                </c:pt>
                <c:pt idx="19">
                  <c:v>95 - 100</c:v>
                </c:pt>
                <c:pt idx="20">
                  <c:v>&gt;100</c:v>
                </c:pt>
              </c:strCache>
            </c:strRef>
          </c:cat>
          <c:val>
            <c:numRef>
              <c:f>'tc 46'!$AD$74:$AD$94</c:f>
              <c:numCache>
                <c:formatCode>_-* #,##0.0_-;\-* #,##0.0_-;_-* "-"??_-;_-@_-</c:formatCode>
                <c:ptCount val="21"/>
                <c:pt idx="0">
                  <c:v>0</c:v>
                </c:pt>
                <c:pt idx="1">
                  <c:v>90802</c:v>
                </c:pt>
                <c:pt idx="2">
                  <c:v>248654.83333333328</c:v>
                </c:pt>
                <c:pt idx="3">
                  <c:v>370315.66666666663</c:v>
                </c:pt>
                <c:pt idx="4">
                  <c:v>61345</c:v>
                </c:pt>
                <c:pt idx="5">
                  <c:v>51735</c:v>
                </c:pt>
                <c:pt idx="6">
                  <c:v>31940.5</c:v>
                </c:pt>
                <c:pt idx="7">
                  <c:v>46305.5</c:v>
                </c:pt>
                <c:pt idx="8">
                  <c:v>13159</c:v>
                </c:pt>
                <c:pt idx="9">
                  <c:v>3729</c:v>
                </c:pt>
                <c:pt idx="10">
                  <c:v>3342</c:v>
                </c:pt>
                <c:pt idx="11">
                  <c:v>3390</c:v>
                </c:pt>
                <c:pt idx="12">
                  <c:v>0</c:v>
                </c:pt>
                <c:pt idx="13">
                  <c:v>0</c:v>
                </c:pt>
                <c:pt idx="14">
                  <c:v>0</c:v>
                </c:pt>
                <c:pt idx="15">
                  <c:v>0</c:v>
                </c:pt>
                <c:pt idx="16">
                  <c:v>0</c:v>
                </c:pt>
                <c:pt idx="17">
                  <c:v>0</c:v>
                </c:pt>
                <c:pt idx="18">
                  <c:v>0</c:v>
                </c:pt>
                <c:pt idx="19">
                  <c:v>0</c:v>
                </c:pt>
                <c:pt idx="20">
                  <c:v>0</c:v>
                </c:pt>
              </c:numCache>
            </c:numRef>
          </c:val>
        </c:ser>
        <c:axId val="207110912"/>
        <c:axId val="207112832"/>
      </c:barChart>
      <c:catAx>
        <c:axId val="207110912"/>
        <c:scaling>
          <c:orientation val="minMax"/>
        </c:scaling>
        <c:axPos val="b"/>
        <c:title>
          <c:tx>
            <c:rich>
              <a:bodyPr/>
              <a:lstStyle/>
              <a:p>
                <a:pPr>
                  <a:defRPr b="0"/>
                </a:pPr>
                <a:r>
                  <a:rPr lang="en-US"/>
                  <a:t>Item weights (kg)</a:t>
                </a:r>
              </a:p>
            </c:rich>
          </c:tx>
        </c:title>
        <c:tickLblPos val="nextTo"/>
        <c:txPr>
          <a:bodyPr rot="-5400000" vert="horz"/>
          <a:lstStyle/>
          <a:p>
            <a:pPr>
              <a:defRPr/>
            </a:pPr>
            <a:endParaRPr lang="en-US"/>
          </a:p>
        </c:txPr>
        <c:crossAx val="207112832"/>
        <c:crosses val="autoZero"/>
        <c:auto val="1"/>
        <c:lblAlgn val="ctr"/>
        <c:lblOffset val="100"/>
      </c:catAx>
      <c:valAx>
        <c:axId val="207112832"/>
        <c:scaling>
          <c:orientation val="minMax"/>
        </c:scaling>
        <c:axPos val="l"/>
        <c:majorGridlines/>
        <c:title>
          <c:tx>
            <c:rich>
              <a:bodyPr rot="-5400000" vert="horz"/>
              <a:lstStyle/>
              <a:p>
                <a:pPr>
                  <a:defRPr b="0"/>
                </a:pPr>
                <a:r>
                  <a:rPr lang="en-US"/>
                  <a:t>Weight Imported, 2011 (kg)</a:t>
                </a:r>
              </a:p>
            </c:rich>
          </c:tx>
        </c:title>
        <c:numFmt formatCode="#,##0" sourceLinked="0"/>
        <c:tickLblPos val="nextTo"/>
        <c:crossAx val="207110912"/>
        <c:crosses val="autoZero"/>
        <c:crossBetween val="between"/>
      </c:valAx>
    </c:plotArea>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lgn="l">
              <a:defRPr sz="1000"/>
            </a:pPr>
            <a:r>
              <a:rPr lang="en-US"/>
              <a:t>SC07 8528.72.00 62</a:t>
            </a:r>
          </a:p>
          <a:p>
            <a:pPr algn="l">
              <a:defRPr sz="1000"/>
            </a:pPr>
            <a:r>
              <a:rPr lang="en-US"/>
              <a:t>Distribution of units imported</a:t>
            </a:r>
          </a:p>
        </c:rich>
      </c:tx>
      <c:layout>
        <c:manualLayout>
          <c:xMode val="edge"/>
          <c:yMode val="edge"/>
          <c:x val="3.888888888888889E-2"/>
          <c:y val="2.7777777777778852E-2"/>
        </c:manualLayout>
      </c:layout>
    </c:title>
    <c:plotArea>
      <c:layout/>
      <c:barChart>
        <c:barDir val="col"/>
        <c:grouping val="clustered"/>
        <c:ser>
          <c:idx val="0"/>
          <c:order val="0"/>
          <c:cat>
            <c:strRef>
              <c:f>'tc 47'!$Q$74:$Q$94</c:f>
              <c:strCache>
                <c:ptCount val="21"/>
                <c:pt idx="0">
                  <c:v>0 - 1</c:v>
                </c:pt>
                <c:pt idx="1">
                  <c:v>1 - 2</c:v>
                </c:pt>
                <c:pt idx="2">
                  <c:v>2 - 3</c:v>
                </c:pt>
                <c:pt idx="3">
                  <c:v>3 - 4</c:v>
                </c:pt>
                <c:pt idx="4">
                  <c:v>4 - 5</c:v>
                </c:pt>
                <c:pt idx="5">
                  <c:v>5 - 6</c:v>
                </c:pt>
                <c:pt idx="6">
                  <c:v>6 - 7</c:v>
                </c:pt>
                <c:pt idx="7">
                  <c:v>7 - 8</c:v>
                </c:pt>
                <c:pt idx="8">
                  <c:v>8 - 9</c:v>
                </c:pt>
                <c:pt idx="9">
                  <c:v>9 - 10</c:v>
                </c:pt>
                <c:pt idx="10">
                  <c:v>10 - 11</c:v>
                </c:pt>
                <c:pt idx="11">
                  <c:v>11 - 12</c:v>
                </c:pt>
                <c:pt idx="12">
                  <c:v>12 - 13</c:v>
                </c:pt>
                <c:pt idx="13">
                  <c:v>13 - 14</c:v>
                </c:pt>
                <c:pt idx="14">
                  <c:v>14 - 15</c:v>
                </c:pt>
                <c:pt idx="15">
                  <c:v>15 - 16</c:v>
                </c:pt>
                <c:pt idx="16">
                  <c:v>16 - 17</c:v>
                </c:pt>
                <c:pt idx="17">
                  <c:v>17 - 18</c:v>
                </c:pt>
                <c:pt idx="18">
                  <c:v>18 - 19</c:v>
                </c:pt>
                <c:pt idx="19">
                  <c:v>19 - 20</c:v>
                </c:pt>
                <c:pt idx="20">
                  <c:v>&gt;20</c:v>
                </c:pt>
              </c:strCache>
            </c:strRef>
          </c:cat>
          <c:val>
            <c:numRef>
              <c:f>'tc 47'!$AD$74:$AD$94</c:f>
              <c:numCache>
                <c:formatCode>_-* #,##0.0_-;\-* #,##0.0_-;_-* "-"??_-;_-@_-</c:formatCode>
                <c:ptCount val="2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2</c:v>
                </c:pt>
                <c:pt idx="19">
                  <c:v>0</c:v>
                </c:pt>
                <c:pt idx="20">
                  <c:v>0</c:v>
                </c:pt>
              </c:numCache>
            </c:numRef>
          </c:val>
        </c:ser>
        <c:axId val="207132928"/>
        <c:axId val="207151488"/>
      </c:barChart>
      <c:catAx>
        <c:axId val="207132928"/>
        <c:scaling>
          <c:orientation val="minMax"/>
        </c:scaling>
        <c:axPos val="b"/>
        <c:title>
          <c:tx>
            <c:rich>
              <a:bodyPr/>
              <a:lstStyle/>
              <a:p>
                <a:pPr>
                  <a:defRPr b="0"/>
                </a:pPr>
                <a:r>
                  <a:rPr lang="en-US"/>
                  <a:t>Unit weight (kg)</a:t>
                </a:r>
              </a:p>
            </c:rich>
          </c:tx>
        </c:title>
        <c:tickLblPos val="nextTo"/>
        <c:txPr>
          <a:bodyPr rot="-5400000" vert="horz"/>
          <a:lstStyle/>
          <a:p>
            <a:pPr>
              <a:defRPr/>
            </a:pPr>
            <a:endParaRPr lang="en-US"/>
          </a:p>
        </c:txPr>
        <c:crossAx val="207151488"/>
        <c:crosses val="autoZero"/>
        <c:auto val="1"/>
        <c:lblAlgn val="ctr"/>
        <c:lblOffset val="100"/>
      </c:catAx>
      <c:valAx>
        <c:axId val="207151488"/>
        <c:scaling>
          <c:orientation val="minMax"/>
        </c:scaling>
        <c:axPos val="l"/>
        <c:majorGridlines/>
        <c:title>
          <c:tx>
            <c:rich>
              <a:bodyPr rot="-5400000" vert="horz"/>
              <a:lstStyle/>
              <a:p>
                <a:pPr>
                  <a:defRPr b="0"/>
                </a:pPr>
                <a:r>
                  <a:rPr lang="en-US"/>
                  <a:t>Number of units</a:t>
                </a:r>
              </a:p>
            </c:rich>
          </c:tx>
        </c:title>
        <c:numFmt formatCode="#,##0" sourceLinked="0"/>
        <c:tickLblPos val="nextTo"/>
        <c:crossAx val="207132928"/>
        <c:crosses val="autoZero"/>
        <c:crossBetween val="between"/>
      </c:valAx>
    </c:plotArea>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lgn="l">
              <a:defRPr sz="1000"/>
            </a:pPr>
            <a:r>
              <a:rPr lang="en-US"/>
              <a:t>SC07 8528.72.00 11</a:t>
            </a:r>
          </a:p>
          <a:p>
            <a:pPr algn="l">
              <a:defRPr sz="1000"/>
            </a:pPr>
            <a:r>
              <a:rPr lang="en-US"/>
              <a:t>Distribution of units imported</a:t>
            </a:r>
          </a:p>
        </c:rich>
      </c:tx>
      <c:layout>
        <c:manualLayout>
          <c:xMode val="edge"/>
          <c:yMode val="edge"/>
          <c:x val="3.888888888888889E-2"/>
          <c:y val="2.7777777777778852E-2"/>
        </c:manualLayout>
      </c:layout>
    </c:title>
    <c:plotArea>
      <c:layout/>
      <c:barChart>
        <c:barDir val="col"/>
        <c:grouping val="clustered"/>
        <c:ser>
          <c:idx val="0"/>
          <c:order val="0"/>
          <c:cat>
            <c:strRef>
              <c:f>'tc 51'!$Q$74:$Q$94</c:f>
              <c:strCache>
                <c:ptCount val="21"/>
                <c:pt idx="0">
                  <c:v>0 - 5</c:v>
                </c:pt>
                <c:pt idx="1">
                  <c:v>5 - 10</c:v>
                </c:pt>
                <c:pt idx="2">
                  <c:v>10 - 15</c:v>
                </c:pt>
                <c:pt idx="3">
                  <c:v>15 - 20</c:v>
                </c:pt>
                <c:pt idx="4">
                  <c:v>20 - 25</c:v>
                </c:pt>
                <c:pt idx="5">
                  <c:v>25 - 30</c:v>
                </c:pt>
                <c:pt idx="6">
                  <c:v>30 - 35</c:v>
                </c:pt>
                <c:pt idx="7">
                  <c:v>35 - 40</c:v>
                </c:pt>
                <c:pt idx="8">
                  <c:v>40 - 45</c:v>
                </c:pt>
                <c:pt idx="9">
                  <c:v>45 - 50</c:v>
                </c:pt>
                <c:pt idx="10">
                  <c:v>50 - 55</c:v>
                </c:pt>
                <c:pt idx="11">
                  <c:v>55 - 60</c:v>
                </c:pt>
                <c:pt idx="12">
                  <c:v>60 - 65</c:v>
                </c:pt>
                <c:pt idx="13">
                  <c:v>65 - 70</c:v>
                </c:pt>
                <c:pt idx="14">
                  <c:v>70 - 75</c:v>
                </c:pt>
                <c:pt idx="15">
                  <c:v>75 - 80</c:v>
                </c:pt>
                <c:pt idx="16">
                  <c:v>80 - 85</c:v>
                </c:pt>
                <c:pt idx="17">
                  <c:v>85 - 90</c:v>
                </c:pt>
                <c:pt idx="18">
                  <c:v>90 - 95</c:v>
                </c:pt>
                <c:pt idx="19">
                  <c:v>95 - 100</c:v>
                </c:pt>
                <c:pt idx="20">
                  <c:v>&gt;100</c:v>
                </c:pt>
              </c:strCache>
            </c:strRef>
          </c:cat>
          <c:val>
            <c:numRef>
              <c:f>'tc 51'!$AD$74:$AD$94</c:f>
              <c:numCache>
                <c:formatCode>_-* #,##0.0_-;\-* #,##0.0_-;_-* "-"??_-;_-@_-</c:formatCode>
                <c:ptCount val="21"/>
                <c:pt idx="0">
                  <c:v>0</c:v>
                </c:pt>
                <c:pt idx="1">
                  <c:v>0</c:v>
                </c:pt>
                <c:pt idx="2">
                  <c:v>0</c:v>
                </c:pt>
                <c:pt idx="3">
                  <c:v>0</c:v>
                </c:pt>
                <c:pt idx="4">
                  <c:v>53975</c:v>
                </c:pt>
                <c:pt idx="5">
                  <c:v>73189</c:v>
                </c:pt>
                <c:pt idx="6">
                  <c:v>23165.5</c:v>
                </c:pt>
                <c:pt idx="7">
                  <c:v>218</c:v>
                </c:pt>
                <c:pt idx="8">
                  <c:v>11791</c:v>
                </c:pt>
                <c:pt idx="9">
                  <c:v>8284</c:v>
                </c:pt>
                <c:pt idx="10">
                  <c:v>3189.5</c:v>
                </c:pt>
                <c:pt idx="11">
                  <c:v>0</c:v>
                </c:pt>
                <c:pt idx="12">
                  <c:v>0</c:v>
                </c:pt>
                <c:pt idx="13">
                  <c:v>0</c:v>
                </c:pt>
                <c:pt idx="14">
                  <c:v>0</c:v>
                </c:pt>
                <c:pt idx="15">
                  <c:v>0</c:v>
                </c:pt>
                <c:pt idx="16">
                  <c:v>0</c:v>
                </c:pt>
                <c:pt idx="17">
                  <c:v>0</c:v>
                </c:pt>
                <c:pt idx="18">
                  <c:v>0</c:v>
                </c:pt>
                <c:pt idx="19">
                  <c:v>0</c:v>
                </c:pt>
                <c:pt idx="20">
                  <c:v>0</c:v>
                </c:pt>
              </c:numCache>
            </c:numRef>
          </c:val>
        </c:ser>
        <c:axId val="208674816"/>
        <c:axId val="208676736"/>
      </c:barChart>
      <c:catAx>
        <c:axId val="208674816"/>
        <c:scaling>
          <c:orientation val="minMax"/>
        </c:scaling>
        <c:axPos val="b"/>
        <c:title>
          <c:tx>
            <c:rich>
              <a:bodyPr/>
              <a:lstStyle/>
              <a:p>
                <a:pPr>
                  <a:defRPr b="0"/>
                </a:pPr>
                <a:r>
                  <a:rPr lang="en-US"/>
                  <a:t>Unit weight (kg)</a:t>
                </a:r>
              </a:p>
            </c:rich>
          </c:tx>
        </c:title>
        <c:tickLblPos val="nextTo"/>
        <c:txPr>
          <a:bodyPr rot="-5400000" vert="horz"/>
          <a:lstStyle/>
          <a:p>
            <a:pPr>
              <a:defRPr/>
            </a:pPr>
            <a:endParaRPr lang="en-US"/>
          </a:p>
        </c:txPr>
        <c:crossAx val="208676736"/>
        <c:crosses val="autoZero"/>
        <c:auto val="1"/>
        <c:lblAlgn val="ctr"/>
        <c:lblOffset val="100"/>
      </c:catAx>
      <c:valAx>
        <c:axId val="208676736"/>
        <c:scaling>
          <c:orientation val="minMax"/>
        </c:scaling>
        <c:axPos val="l"/>
        <c:majorGridlines/>
        <c:title>
          <c:tx>
            <c:rich>
              <a:bodyPr rot="-5400000" vert="horz"/>
              <a:lstStyle/>
              <a:p>
                <a:pPr>
                  <a:defRPr b="0"/>
                </a:pPr>
                <a:r>
                  <a:rPr lang="en-US"/>
                  <a:t>Number of units</a:t>
                </a:r>
              </a:p>
            </c:rich>
          </c:tx>
        </c:title>
        <c:numFmt formatCode="#,##0" sourceLinked="0"/>
        <c:tickLblPos val="nextTo"/>
        <c:crossAx val="208674816"/>
        <c:crosses val="autoZero"/>
        <c:crossBetween val="between"/>
      </c:valAx>
    </c:plotArea>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lgn="l">
              <a:defRPr sz="1000"/>
            </a:pPr>
            <a:r>
              <a:rPr lang="en-US"/>
              <a:t>SC07 8528.72.00 51</a:t>
            </a:r>
          </a:p>
          <a:p>
            <a:pPr algn="l">
              <a:defRPr sz="1000"/>
            </a:pPr>
            <a:r>
              <a:rPr lang="en-US"/>
              <a:t>Distribution of units imported</a:t>
            </a:r>
          </a:p>
        </c:rich>
      </c:tx>
      <c:layout>
        <c:manualLayout>
          <c:xMode val="edge"/>
          <c:yMode val="edge"/>
          <c:x val="3.888888888888889E-2"/>
          <c:y val="2.7777777777778852E-2"/>
        </c:manualLayout>
      </c:layout>
    </c:title>
    <c:plotArea>
      <c:layout/>
      <c:barChart>
        <c:barDir val="col"/>
        <c:grouping val="clustered"/>
        <c:ser>
          <c:idx val="0"/>
          <c:order val="0"/>
          <c:cat>
            <c:strRef>
              <c:f>'tc 52'!$Q$74:$Q$94</c:f>
              <c:strCache>
                <c:ptCount val="21"/>
                <c:pt idx="0">
                  <c:v>0 - 5</c:v>
                </c:pt>
                <c:pt idx="1">
                  <c:v>5 - 10</c:v>
                </c:pt>
                <c:pt idx="2">
                  <c:v>10 - 15</c:v>
                </c:pt>
                <c:pt idx="3">
                  <c:v>15 - 20</c:v>
                </c:pt>
                <c:pt idx="4">
                  <c:v>20 - 25</c:v>
                </c:pt>
                <c:pt idx="5">
                  <c:v>25 - 30</c:v>
                </c:pt>
                <c:pt idx="6">
                  <c:v>30 - 35</c:v>
                </c:pt>
                <c:pt idx="7">
                  <c:v>35 - 40</c:v>
                </c:pt>
                <c:pt idx="8">
                  <c:v>40 - 45</c:v>
                </c:pt>
                <c:pt idx="9">
                  <c:v>45 - 50</c:v>
                </c:pt>
                <c:pt idx="10">
                  <c:v>50 - 55</c:v>
                </c:pt>
                <c:pt idx="11">
                  <c:v>55 - 60</c:v>
                </c:pt>
                <c:pt idx="12">
                  <c:v>60 - 65</c:v>
                </c:pt>
                <c:pt idx="13">
                  <c:v>65 - 70</c:v>
                </c:pt>
                <c:pt idx="14">
                  <c:v>70 - 75</c:v>
                </c:pt>
                <c:pt idx="15">
                  <c:v>75 - 80</c:v>
                </c:pt>
                <c:pt idx="16">
                  <c:v>80 - 85</c:v>
                </c:pt>
                <c:pt idx="17">
                  <c:v>85 - 90</c:v>
                </c:pt>
                <c:pt idx="18">
                  <c:v>90 - 95</c:v>
                </c:pt>
                <c:pt idx="19">
                  <c:v>95 - 100</c:v>
                </c:pt>
                <c:pt idx="20">
                  <c:v>&gt;100</c:v>
                </c:pt>
              </c:strCache>
            </c:strRef>
          </c:cat>
          <c:val>
            <c:numRef>
              <c:f>'tc 52'!$AD$74:$AD$94</c:f>
              <c:numCache>
                <c:formatCode>_-* #,##0.0_-;\-* #,##0.0_-;_-* "-"??_-;_-@_-</c:formatCode>
                <c:ptCount val="21"/>
                <c:pt idx="0">
                  <c:v>0</c:v>
                </c:pt>
                <c:pt idx="1">
                  <c:v>0</c:v>
                </c:pt>
                <c:pt idx="2">
                  <c:v>0</c:v>
                </c:pt>
                <c:pt idx="3">
                  <c:v>0</c:v>
                </c:pt>
                <c:pt idx="4">
                  <c:v>106497.33333333333</c:v>
                </c:pt>
                <c:pt idx="5">
                  <c:v>7890.6666666668416</c:v>
                </c:pt>
                <c:pt idx="6">
                  <c:v>143828</c:v>
                </c:pt>
                <c:pt idx="7">
                  <c:v>0</c:v>
                </c:pt>
                <c:pt idx="8">
                  <c:v>0</c:v>
                </c:pt>
                <c:pt idx="9">
                  <c:v>8993.333333333303</c:v>
                </c:pt>
                <c:pt idx="10">
                  <c:v>0</c:v>
                </c:pt>
                <c:pt idx="11">
                  <c:v>9278.6666666665496</c:v>
                </c:pt>
                <c:pt idx="12">
                  <c:v>0</c:v>
                </c:pt>
                <c:pt idx="13">
                  <c:v>0</c:v>
                </c:pt>
                <c:pt idx="14">
                  <c:v>0</c:v>
                </c:pt>
                <c:pt idx="15">
                  <c:v>0</c:v>
                </c:pt>
                <c:pt idx="16">
                  <c:v>0</c:v>
                </c:pt>
                <c:pt idx="17">
                  <c:v>0</c:v>
                </c:pt>
                <c:pt idx="18">
                  <c:v>0</c:v>
                </c:pt>
                <c:pt idx="19">
                  <c:v>0</c:v>
                </c:pt>
                <c:pt idx="20">
                  <c:v>0</c:v>
                </c:pt>
              </c:numCache>
            </c:numRef>
          </c:val>
        </c:ser>
        <c:axId val="208717312"/>
        <c:axId val="208719232"/>
      </c:barChart>
      <c:catAx>
        <c:axId val="208717312"/>
        <c:scaling>
          <c:orientation val="minMax"/>
        </c:scaling>
        <c:axPos val="b"/>
        <c:title>
          <c:tx>
            <c:rich>
              <a:bodyPr/>
              <a:lstStyle/>
              <a:p>
                <a:pPr>
                  <a:defRPr b="0"/>
                </a:pPr>
                <a:r>
                  <a:rPr lang="en-US"/>
                  <a:t>Unit weight (kg)</a:t>
                </a:r>
              </a:p>
            </c:rich>
          </c:tx>
        </c:title>
        <c:tickLblPos val="nextTo"/>
        <c:txPr>
          <a:bodyPr rot="-5400000" vert="horz"/>
          <a:lstStyle/>
          <a:p>
            <a:pPr>
              <a:defRPr/>
            </a:pPr>
            <a:endParaRPr lang="en-US"/>
          </a:p>
        </c:txPr>
        <c:crossAx val="208719232"/>
        <c:crosses val="autoZero"/>
        <c:auto val="1"/>
        <c:lblAlgn val="ctr"/>
        <c:lblOffset val="100"/>
      </c:catAx>
      <c:valAx>
        <c:axId val="208719232"/>
        <c:scaling>
          <c:orientation val="minMax"/>
        </c:scaling>
        <c:axPos val="l"/>
        <c:majorGridlines/>
        <c:title>
          <c:tx>
            <c:rich>
              <a:bodyPr rot="-5400000" vert="horz"/>
              <a:lstStyle/>
              <a:p>
                <a:pPr>
                  <a:defRPr b="0"/>
                </a:pPr>
                <a:r>
                  <a:rPr lang="en-US"/>
                  <a:t>Number of units</a:t>
                </a:r>
              </a:p>
            </c:rich>
          </c:tx>
        </c:title>
        <c:numFmt formatCode="#,##0" sourceLinked="0"/>
        <c:tickLblPos val="nextTo"/>
        <c:crossAx val="208717312"/>
        <c:crosses val="autoZero"/>
        <c:crossBetween val="between"/>
      </c:valAx>
    </c:plotArea>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lgn="l">
              <a:defRPr sz="1000"/>
            </a:pPr>
            <a:r>
              <a:rPr lang="en-US"/>
              <a:t>SC07 8528.72.00 31</a:t>
            </a:r>
          </a:p>
          <a:p>
            <a:pPr algn="l">
              <a:defRPr sz="1000"/>
            </a:pPr>
            <a:r>
              <a:rPr lang="en-US"/>
              <a:t>Distribution of units imported</a:t>
            </a:r>
          </a:p>
        </c:rich>
      </c:tx>
      <c:layout>
        <c:manualLayout>
          <c:xMode val="edge"/>
          <c:yMode val="edge"/>
          <c:x val="3.888888888888889E-2"/>
          <c:y val="2.7777777777778852E-2"/>
        </c:manualLayout>
      </c:layout>
    </c:title>
    <c:plotArea>
      <c:layout/>
      <c:barChart>
        <c:barDir val="col"/>
        <c:grouping val="clustered"/>
        <c:ser>
          <c:idx val="0"/>
          <c:order val="0"/>
          <c:cat>
            <c:strRef>
              <c:f>'tc 63'!$Q$74:$Q$94</c:f>
              <c:strCache>
                <c:ptCount val="21"/>
                <c:pt idx="0">
                  <c:v>0 - 0.5</c:v>
                </c:pt>
                <c:pt idx="1">
                  <c:v>0.5 - 1</c:v>
                </c:pt>
                <c:pt idx="2">
                  <c:v>1 - 1.5</c:v>
                </c:pt>
                <c:pt idx="3">
                  <c:v>1.5 - 2</c:v>
                </c:pt>
                <c:pt idx="4">
                  <c:v>2 - 2.5</c:v>
                </c:pt>
                <c:pt idx="5">
                  <c:v>2.5 - 3</c:v>
                </c:pt>
                <c:pt idx="6">
                  <c:v>3 - 3.5</c:v>
                </c:pt>
                <c:pt idx="7">
                  <c:v>3.5 - 4</c:v>
                </c:pt>
                <c:pt idx="8">
                  <c:v>4 - 4.5</c:v>
                </c:pt>
                <c:pt idx="9">
                  <c:v>4.5 - 5</c:v>
                </c:pt>
                <c:pt idx="10">
                  <c:v>5 - 5.5</c:v>
                </c:pt>
                <c:pt idx="11">
                  <c:v>5.5 - 6</c:v>
                </c:pt>
                <c:pt idx="12">
                  <c:v>6 - 6.5</c:v>
                </c:pt>
                <c:pt idx="13">
                  <c:v>6.5 - 7</c:v>
                </c:pt>
                <c:pt idx="14">
                  <c:v>7 - 7.5</c:v>
                </c:pt>
                <c:pt idx="15">
                  <c:v>7.5 - 8</c:v>
                </c:pt>
                <c:pt idx="16">
                  <c:v>8 - 8.5</c:v>
                </c:pt>
                <c:pt idx="17">
                  <c:v>8.5 - 9</c:v>
                </c:pt>
                <c:pt idx="18">
                  <c:v>9 - 9.5</c:v>
                </c:pt>
                <c:pt idx="19">
                  <c:v>9.5 - 10</c:v>
                </c:pt>
                <c:pt idx="20">
                  <c:v>&gt;10</c:v>
                </c:pt>
              </c:strCache>
            </c:strRef>
          </c:cat>
          <c:val>
            <c:numRef>
              <c:f>'tc 63'!$AD$74:$AD$94</c:f>
              <c:numCache>
                <c:formatCode>_-* #,##0.0_-;\-* #,##0.0_-;_-* "-"??_-;_-@_-</c:formatCode>
                <c:ptCount val="2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6946</c:v>
                </c:pt>
                <c:pt idx="18">
                  <c:v>0</c:v>
                </c:pt>
                <c:pt idx="19">
                  <c:v>0</c:v>
                </c:pt>
                <c:pt idx="20">
                  <c:v>0</c:v>
                </c:pt>
              </c:numCache>
            </c:numRef>
          </c:val>
        </c:ser>
        <c:axId val="209062912"/>
        <c:axId val="209069184"/>
      </c:barChart>
      <c:catAx>
        <c:axId val="209062912"/>
        <c:scaling>
          <c:orientation val="minMax"/>
        </c:scaling>
        <c:axPos val="b"/>
        <c:title>
          <c:tx>
            <c:rich>
              <a:bodyPr/>
              <a:lstStyle/>
              <a:p>
                <a:pPr>
                  <a:defRPr b="0"/>
                </a:pPr>
                <a:r>
                  <a:rPr lang="en-US"/>
                  <a:t>Unit weight (kg)</a:t>
                </a:r>
              </a:p>
            </c:rich>
          </c:tx>
        </c:title>
        <c:tickLblPos val="nextTo"/>
        <c:txPr>
          <a:bodyPr rot="-5400000" vert="horz"/>
          <a:lstStyle/>
          <a:p>
            <a:pPr>
              <a:defRPr/>
            </a:pPr>
            <a:endParaRPr lang="en-US"/>
          </a:p>
        </c:txPr>
        <c:crossAx val="209069184"/>
        <c:crosses val="autoZero"/>
        <c:auto val="1"/>
        <c:lblAlgn val="ctr"/>
        <c:lblOffset val="100"/>
      </c:catAx>
      <c:valAx>
        <c:axId val="209069184"/>
        <c:scaling>
          <c:orientation val="minMax"/>
        </c:scaling>
        <c:axPos val="l"/>
        <c:majorGridlines/>
        <c:title>
          <c:tx>
            <c:rich>
              <a:bodyPr rot="-5400000" vert="horz"/>
              <a:lstStyle/>
              <a:p>
                <a:pPr>
                  <a:defRPr b="0"/>
                </a:pPr>
                <a:r>
                  <a:rPr lang="en-US"/>
                  <a:t>Number of units</a:t>
                </a:r>
              </a:p>
            </c:rich>
          </c:tx>
        </c:title>
        <c:numFmt formatCode="#,##0" sourceLinked="0"/>
        <c:tickLblPos val="nextTo"/>
        <c:crossAx val="209062912"/>
        <c:crosses val="autoZero"/>
        <c:crossBetween val="between"/>
      </c:valAx>
    </c:plotArea>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lgn="l">
              <a:defRPr sz="1000"/>
            </a:pPr>
            <a:r>
              <a:rPr lang="en-US"/>
              <a:t>SC07 8528.72.00 71</a:t>
            </a:r>
          </a:p>
          <a:p>
            <a:pPr algn="l">
              <a:defRPr sz="1000"/>
            </a:pPr>
            <a:r>
              <a:rPr lang="en-US"/>
              <a:t>Distribution of units imported</a:t>
            </a:r>
          </a:p>
        </c:rich>
      </c:tx>
      <c:layout>
        <c:manualLayout>
          <c:xMode val="edge"/>
          <c:yMode val="edge"/>
          <c:x val="3.888888888888889E-2"/>
          <c:y val="2.7777777777778852E-2"/>
        </c:manualLayout>
      </c:layout>
    </c:title>
    <c:plotArea>
      <c:layout/>
      <c:barChart>
        <c:barDir val="col"/>
        <c:grouping val="clustered"/>
        <c:ser>
          <c:idx val="0"/>
          <c:order val="0"/>
          <c:cat>
            <c:strRef>
              <c:f>'tc 65'!$Q$74:$Q$94</c:f>
              <c:strCache>
                <c:ptCount val="21"/>
                <c:pt idx="0">
                  <c:v>0 - 0.5</c:v>
                </c:pt>
                <c:pt idx="1">
                  <c:v>0.5 - 1</c:v>
                </c:pt>
                <c:pt idx="2">
                  <c:v>1 - 1.5</c:v>
                </c:pt>
                <c:pt idx="3">
                  <c:v>1.5 - 2</c:v>
                </c:pt>
                <c:pt idx="4">
                  <c:v>2 - 2.5</c:v>
                </c:pt>
                <c:pt idx="5">
                  <c:v>2.5 - 3</c:v>
                </c:pt>
                <c:pt idx="6">
                  <c:v>3 - 3.5</c:v>
                </c:pt>
                <c:pt idx="7">
                  <c:v>3.5 - 4</c:v>
                </c:pt>
                <c:pt idx="8">
                  <c:v>4 - 4.5</c:v>
                </c:pt>
                <c:pt idx="9">
                  <c:v>4.5 - 5</c:v>
                </c:pt>
                <c:pt idx="10">
                  <c:v>5 - 5.5</c:v>
                </c:pt>
                <c:pt idx="11">
                  <c:v>5.5 - 6</c:v>
                </c:pt>
                <c:pt idx="12">
                  <c:v>6 - 6.5</c:v>
                </c:pt>
                <c:pt idx="13">
                  <c:v>6.5 - 7</c:v>
                </c:pt>
                <c:pt idx="14">
                  <c:v>7 - 7.5</c:v>
                </c:pt>
                <c:pt idx="15">
                  <c:v>7.5 - 8</c:v>
                </c:pt>
                <c:pt idx="16">
                  <c:v>8 - 8.5</c:v>
                </c:pt>
                <c:pt idx="17">
                  <c:v>8.5 - 9</c:v>
                </c:pt>
                <c:pt idx="18">
                  <c:v>9 - 9.5</c:v>
                </c:pt>
                <c:pt idx="19">
                  <c:v>9.5 - 10</c:v>
                </c:pt>
                <c:pt idx="20">
                  <c:v>&gt;10</c:v>
                </c:pt>
              </c:strCache>
            </c:strRef>
          </c:cat>
          <c:val>
            <c:numRef>
              <c:f>'tc 65'!$AD$74:$AD$94</c:f>
              <c:numCache>
                <c:formatCode>_-* #,##0.0_-;\-* #,##0.0_-;_-* "-"??_-;_-@_-</c:formatCode>
                <c:ptCount val="21"/>
                <c:pt idx="0">
                  <c:v>0</c:v>
                </c:pt>
                <c:pt idx="1">
                  <c:v>0</c:v>
                </c:pt>
                <c:pt idx="2">
                  <c:v>0</c:v>
                </c:pt>
                <c:pt idx="3">
                  <c:v>0</c:v>
                </c:pt>
                <c:pt idx="4">
                  <c:v>0</c:v>
                </c:pt>
                <c:pt idx="5">
                  <c:v>0</c:v>
                </c:pt>
                <c:pt idx="6">
                  <c:v>0</c:v>
                </c:pt>
                <c:pt idx="7">
                  <c:v>40</c:v>
                </c:pt>
                <c:pt idx="8">
                  <c:v>0</c:v>
                </c:pt>
                <c:pt idx="9">
                  <c:v>0</c:v>
                </c:pt>
                <c:pt idx="10">
                  <c:v>0</c:v>
                </c:pt>
                <c:pt idx="11">
                  <c:v>0</c:v>
                </c:pt>
                <c:pt idx="12">
                  <c:v>0</c:v>
                </c:pt>
                <c:pt idx="13">
                  <c:v>0</c:v>
                </c:pt>
                <c:pt idx="14">
                  <c:v>0</c:v>
                </c:pt>
                <c:pt idx="15">
                  <c:v>0</c:v>
                </c:pt>
                <c:pt idx="16">
                  <c:v>0</c:v>
                </c:pt>
                <c:pt idx="17">
                  <c:v>0</c:v>
                </c:pt>
                <c:pt idx="18">
                  <c:v>0</c:v>
                </c:pt>
                <c:pt idx="19">
                  <c:v>0</c:v>
                </c:pt>
                <c:pt idx="20">
                  <c:v>0</c:v>
                </c:pt>
              </c:numCache>
            </c:numRef>
          </c:val>
        </c:ser>
        <c:axId val="209097472"/>
        <c:axId val="209099392"/>
      </c:barChart>
      <c:catAx>
        <c:axId val="209097472"/>
        <c:scaling>
          <c:orientation val="minMax"/>
        </c:scaling>
        <c:axPos val="b"/>
        <c:title>
          <c:tx>
            <c:rich>
              <a:bodyPr/>
              <a:lstStyle/>
              <a:p>
                <a:pPr>
                  <a:defRPr b="0"/>
                </a:pPr>
                <a:r>
                  <a:rPr lang="en-US"/>
                  <a:t>Unit weight (kg)</a:t>
                </a:r>
              </a:p>
            </c:rich>
          </c:tx>
        </c:title>
        <c:tickLblPos val="nextTo"/>
        <c:txPr>
          <a:bodyPr rot="-5400000" vert="horz"/>
          <a:lstStyle/>
          <a:p>
            <a:pPr>
              <a:defRPr/>
            </a:pPr>
            <a:endParaRPr lang="en-US"/>
          </a:p>
        </c:txPr>
        <c:crossAx val="209099392"/>
        <c:crosses val="autoZero"/>
        <c:auto val="1"/>
        <c:lblAlgn val="ctr"/>
        <c:lblOffset val="100"/>
      </c:catAx>
      <c:valAx>
        <c:axId val="209099392"/>
        <c:scaling>
          <c:orientation val="minMax"/>
        </c:scaling>
        <c:axPos val="l"/>
        <c:majorGridlines/>
        <c:title>
          <c:tx>
            <c:rich>
              <a:bodyPr rot="-5400000" vert="horz"/>
              <a:lstStyle/>
              <a:p>
                <a:pPr>
                  <a:defRPr b="0"/>
                </a:pPr>
                <a:r>
                  <a:rPr lang="en-US"/>
                  <a:t>Number of units</a:t>
                </a:r>
              </a:p>
            </c:rich>
          </c:tx>
        </c:title>
        <c:numFmt formatCode="#,##0" sourceLinked="0"/>
        <c:tickLblPos val="nextTo"/>
        <c:crossAx val="209097472"/>
        <c:crosses val="autoZero"/>
        <c:crossBetween val="between"/>
      </c:valAx>
    </c:plotArea>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lgn="l">
              <a:defRPr sz="1000"/>
            </a:pPr>
            <a:r>
              <a:rPr lang="en-US"/>
              <a:t>SC07 8528.72.00 76</a:t>
            </a:r>
          </a:p>
          <a:p>
            <a:pPr algn="l">
              <a:defRPr sz="1000"/>
            </a:pPr>
            <a:r>
              <a:rPr lang="en-US"/>
              <a:t>Distribution of units imported</a:t>
            </a:r>
          </a:p>
        </c:rich>
      </c:tx>
      <c:layout>
        <c:manualLayout>
          <c:xMode val="edge"/>
          <c:yMode val="edge"/>
          <c:x val="3.888888888888889E-2"/>
          <c:y val="2.7777777777778852E-2"/>
        </c:manualLayout>
      </c:layout>
    </c:title>
    <c:plotArea>
      <c:layout/>
      <c:barChart>
        <c:barDir val="col"/>
        <c:grouping val="clustered"/>
        <c:ser>
          <c:idx val="0"/>
          <c:order val="0"/>
          <c:cat>
            <c:strRef>
              <c:f>'tc 66'!$Q$74:$Q$94</c:f>
              <c:strCache>
                <c:ptCount val="21"/>
                <c:pt idx="0">
                  <c:v>0 - 0.5</c:v>
                </c:pt>
                <c:pt idx="1">
                  <c:v>0.5 - 1</c:v>
                </c:pt>
                <c:pt idx="2">
                  <c:v>1 - 1.5</c:v>
                </c:pt>
                <c:pt idx="3">
                  <c:v>1.5 - 2</c:v>
                </c:pt>
                <c:pt idx="4">
                  <c:v>2 - 2.5</c:v>
                </c:pt>
                <c:pt idx="5">
                  <c:v>2.5 - 3</c:v>
                </c:pt>
                <c:pt idx="6">
                  <c:v>3 - 3.5</c:v>
                </c:pt>
                <c:pt idx="7">
                  <c:v>3.5 - 4</c:v>
                </c:pt>
                <c:pt idx="8">
                  <c:v>4 - 4.5</c:v>
                </c:pt>
                <c:pt idx="9">
                  <c:v>4.5 - 5</c:v>
                </c:pt>
                <c:pt idx="10">
                  <c:v>5 - 5.5</c:v>
                </c:pt>
                <c:pt idx="11">
                  <c:v>5.5 - 6</c:v>
                </c:pt>
                <c:pt idx="12">
                  <c:v>6 - 6.5</c:v>
                </c:pt>
                <c:pt idx="13">
                  <c:v>6.5 - 7</c:v>
                </c:pt>
                <c:pt idx="14">
                  <c:v>7 - 7.5</c:v>
                </c:pt>
                <c:pt idx="15">
                  <c:v>7.5 - 8</c:v>
                </c:pt>
                <c:pt idx="16">
                  <c:v>8 - 8.5</c:v>
                </c:pt>
                <c:pt idx="17">
                  <c:v>8.5 - 9</c:v>
                </c:pt>
                <c:pt idx="18">
                  <c:v>9 - 9.5</c:v>
                </c:pt>
                <c:pt idx="19">
                  <c:v>9.5 - 10</c:v>
                </c:pt>
                <c:pt idx="20">
                  <c:v>&gt;10</c:v>
                </c:pt>
              </c:strCache>
            </c:strRef>
          </c:cat>
          <c:val>
            <c:numRef>
              <c:f>'tc 66'!$AD$74:$AD$94</c:f>
              <c:numCache>
                <c:formatCode>_-* #,##0.0_-;\-* #,##0.0_-;_-* "-"??_-;_-@_-</c:formatCode>
                <c:ptCount val="21"/>
                <c:pt idx="0">
                  <c:v>0</c:v>
                </c:pt>
                <c:pt idx="1">
                  <c:v>0</c:v>
                </c:pt>
                <c:pt idx="2">
                  <c:v>0</c:v>
                </c:pt>
                <c:pt idx="3">
                  <c:v>0</c:v>
                </c:pt>
                <c:pt idx="4">
                  <c:v>0</c:v>
                </c:pt>
                <c:pt idx="5">
                  <c:v>0</c:v>
                </c:pt>
                <c:pt idx="6">
                  <c:v>0</c:v>
                </c:pt>
                <c:pt idx="7">
                  <c:v>0</c:v>
                </c:pt>
                <c:pt idx="8">
                  <c:v>0</c:v>
                </c:pt>
                <c:pt idx="9">
                  <c:v>395</c:v>
                </c:pt>
                <c:pt idx="10">
                  <c:v>0</c:v>
                </c:pt>
                <c:pt idx="11">
                  <c:v>0</c:v>
                </c:pt>
                <c:pt idx="12">
                  <c:v>0</c:v>
                </c:pt>
                <c:pt idx="13">
                  <c:v>0</c:v>
                </c:pt>
                <c:pt idx="14">
                  <c:v>0</c:v>
                </c:pt>
                <c:pt idx="15">
                  <c:v>0</c:v>
                </c:pt>
                <c:pt idx="16">
                  <c:v>0</c:v>
                </c:pt>
                <c:pt idx="17">
                  <c:v>0</c:v>
                </c:pt>
                <c:pt idx="18">
                  <c:v>0</c:v>
                </c:pt>
                <c:pt idx="19">
                  <c:v>0</c:v>
                </c:pt>
                <c:pt idx="20">
                  <c:v>0</c:v>
                </c:pt>
              </c:numCache>
            </c:numRef>
          </c:val>
        </c:ser>
        <c:axId val="209106048"/>
        <c:axId val="174240128"/>
      </c:barChart>
      <c:catAx>
        <c:axId val="209106048"/>
        <c:scaling>
          <c:orientation val="minMax"/>
        </c:scaling>
        <c:axPos val="b"/>
        <c:title>
          <c:tx>
            <c:rich>
              <a:bodyPr/>
              <a:lstStyle/>
              <a:p>
                <a:pPr>
                  <a:defRPr b="0"/>
                </a:pPr>
                <a:r>
                  <a:rPr lang="en-US"/>
                  <a:t>Unit weight (kg)</a:t>
                </a:r>
              </a:p>
            </c:rich>
          </c:tx>
        </c:title>
        <c:tickLblPos val="nextTo"/>
        <c:txPr>
          <a:bodyPr rot="-5400000" vert="horz"/>
          <a:lstStyle/>
          <a:p>
            <a:pPr>
              <a:defRPr/>
            </a:pPr>
            <a:endParaRPr lang="en-US"/>
          </a:p>
        </c:txPr>
        <c:crossAx val="174240128"/>
        <c:crosses val="autoZero"/>
        <c:auto val="1"/>
        <c:lblAlgn val="ctr"/>
        <c:lblOffset val="100"/>
      </c:catAx>
      <c:valAx>
        <c:axId val="174240128"/>
        <c:scaling>
          <c:orientation val="minMax"/>
        </c:scaling>
        <c:axPos val="l"/>
        <c:majorGridlines/>
        <c:title>
          <c:tx>
            <c:rich>
              <a:bodyPr rot="-5400000" vert="horz"/>
              <a:lstStyle/>
              <a:p>
                <a:pPr>
                  <a:defRPr b="0"/>
                </a:pPr>
                <a:r>
                  <a:rPr lang="en-US"/>
                  <a:t>Number of units</a:t>
                </a:r>
              </a:p>
            </c:rich>
          </c:tx>
        </c:title>
        <c:numFmt formatCode="#,##0" sourceLinked="0"/>
        <c:tickLblPos val="nextTo"/>
        <c:crossAx val="209106048"/>
        <c:crosses val="autoZero"/>
        <c:crossBetween val="between"/>
      </c:valAx>
    </c:plotArea>
    <c:plotVisOnly val="1"/>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lgn="l">
              <a:defRPr sz="1000"/>
            </a:pPr>
            <a:r>
              <a:rPr lang="en-US"/>
              <a:t>SC07 8528.72.00 32</a:t>
            </a:r>
          </a:p>
          <a:p>
            <a:pPr algn="l">
              <a:defRPr sz="1000"/>
            </a:pPr>
            <a:r>
              <a:rPr lang="en-US"/>
              <a:t>Distribution of units imported</a:t>
            </a:r>
          </a:p>
        </c:rich>
      </c:tx>
      <c:layout>
        <c:manualLayout>
          <c:xMode val="edge"/>
          <c:yMode val="edge"/>
          <c:x val="3.888888888888889E-2"/>
          <c:y val="2.7777777777778852E-2"/>
        </c:manualLayout>
      </c:layout>
    </c:title>
    <c:plotArea>
      <c:layout/>
      <c:barChart>
        <c:barDir val="col"/>
        <c:grouping val="clustered"/>
        <c:ser>
          <c:idx val="0"/>
          <c:order val="0"/>
          <c:cat>
            <c:strRef>
              <c:f>'tc 67'!$Q$74:$Q$94</c:f>
              <c:strCache>
                <c:ptCount val="21"/>
                <c:pt idx="0">
                  <c:v>0 - 2</c:v>
                </c:pt>
                <c:pt idx="1">
                  <c:v>2 - 4</c:v>
                </c:pt>
                <c:pt idx="2">
                  <c:v>4 - 6</c:v>
                </c:pt>
                <c:pt idx="3">
                  <c:v>6 - 8</c:v>
                </c:pt>
                <c:pt idx="4">
                  <c:v>8 - 10</c:v>
                </c:pt>
                <c:pt idx="5">
                  <c:v>10 - 12</c:v>
                </c:pt>
                <c:pt idx="6">
                  <c:v>12 - 14</c:v>
                </c:pt>
                <c:pt idx="7">
                  <c:v>14 - 16</c:v>
                </c:pt>
                <c:pt idx="8">
                  <c:v>16 - 18</c:v>
                </c:pt>
                <c:pt idx="9">
                  <c:v>18 - 20</c:v>
                </c:pt>
                <c:pt idx="10">
                  <c:v>20 - 22</c:v>
                </c:pt>
                <c:pt idx="11">
                  <c:v>22 - 24</c:v>
                </c:pt>
                <c:pt idx="12">
                  <c:v>24 - 26</c:v>
                </c:pt>
                <c:pt idx="13">
                  <c:v>26 - 28</c:v>
                </c:pt>
                <c:pt idx="14">
                  <c:v>28 - 30</c:v>
                </c:pt>
                <c:pt idx="15">
                  <c:v>30 - 32</c:v>
                </c:pt>
                <c:pt idx="16">
                  <c:v>32 - 34</c:v>
                </c:pt>
                <c:pt idx="17">
                  <c:v>34 - 36</c:v>
                </c:pt>
                <c:pt idx="18">
                  <c:v>36 - 38</c:v>
                </c:pt>
                <c:pt idx="19">
                  <c:v>38 - 40</c:v>
                </c:pt>
                <c:pt idx="20">
                  <c:v>&gt;40</c:v>
                </c:pt>
              </c:strCache>
            </c:strRef>
          </c:cat>
          <c:val>
            <c:numRef>
              <c:f>'tc 67'!$AD$74:$AD$94</c:f>
              <c:numCache>
                <c:formatCode>_-* #,##0.0_-;\-* #,##0.0_-;_-* "-"??_-;_-@_-</c:formatCode>
                <c:ptCount val="21"/>
                <c:pt idx="0">
                  <c:v>0</c:v>
                </c:pt>
                <c:pt idx="1">
                  <c:v>0</c:v>
                </c:pt>
                <c:pt idx="2">
                  <c:v>0</c:v>
                </c:pt>
                <c:pt idx="3">
                  <c:v>0</c:v>
                </c:pt>
                <c:pt idx="4">
                  <c:v>0</c:v>
                </c:pt>
                <c:pt idx="5">
                  <c:v>0</c:v>
                </c:pt>
                <c:pt idx="6">
                  <c:v>0</c:v>
                </c:pt>
                <c:pt idx="7">
                  <c:v>0</c:v>
                </c:pt>
                <c:pt idx="8">
                  <c:v>0</c:v>
                </c:pt>
                <c:pt idx="9">
                  <c:v>10561</c:v>
                </c:pt>
                <c:pt idx="10">
                  <c:v>0</c:v>
                </c:pt>
                <c:pt idx="11">
                  <c:v>7721</c:v>
                </c:pt>
                <c:pt idx="12">
                  <c:v>0</c:v>
                </c:pt>
                <c:pt idx="13">
                  <c:v>0</c:v>
                </c:pt>
                <c:pt idx="14">
                  <c:v>0</c:v>
                </c:pt>
                <c:pt idx="15">
                  <c:v>0</c:v>
                </c:pt>
                <c:pt idx="16">
                  <c:v>0</c:v>
                </c:pt>
                <c:pt idx="17">
                  <c:v>0</c:v>
                </c:pt>
                <c:pt idx="18">
                  <c:v>0</c:v>
                </c:pt>
                <c:pt idx="19">
                  <c:v>0</c:v>
                </c:pt>
                <c:pt idx="20">
                  <c:v>0</c:v>
                </c:pt>
              </c:numCache>
            </c:numRef>
          </c:val>
        </c:ser>
        <c:axId val="189071360"/>
        <c:axId val="189073280"/>
      </c:barChart>
      <c:catAx>
        <c:axId val="189071360"/>
        <c:scaling>
          <c:orientation val="minMax"/>
        </c:scaling>
        <c:axPos val="b"/>
        <c:title>
          <c:tx>
            <c:rich>
              <a:bodyPr/>
              <a:lstStyle/>
              <a:p>
                <a:pPr>
                  <a:defRPr b="0"/>
                </a:pPr>
                <a:r>
                  <a:rPr lang="en-US"/>
                  <a:t>Unit weight (kg)</a:t>
                </a:r>
              </a:p>
            </c:rich>
          </c:tx>
        </c:title>
        <c:tickLblPos val="nextTo"/>
        <c:txPr>
          <a:bodyPr rot="-5400000" vert="horz"/>
          <a:lstStyle/>
          <a:p>
            <a:pPr>
              <a:defRPr/>
            </a:pPr>
            <a:endParaRPr lang="en-US"/>
          </a:p>
        </c:txPr>
        <c:crossAx val="189073280"/>
        <c:crosses val="autoZero"/>
        <c:auto val="1"/>
        <c:lblAlgn val="ctr"/>
        <c:lblOffset val="100"/>
      </c:catAx>
      <c:valAx>
        <c:axId val="189073280"/>
        <c:scaling>
          <c:orientation val="minMax"/>
        </c:scaling>
        <c:axPos val="l"/>
        <c:majorGridlines/>
        <c:title>
          <c:tx>
            <c:rich>
              <a:bodyPr rot="-5400000" vert="horz"/>
              <a:lstStyle/>
              <a:p>
                <a:pPr>
                  <a:defRPr b="0"/>
                </a:pPr>
                <a:r>
                  <a:rPr lang="en-US"/>
                  <a:t>Number of units</a:t>
                </a:r>
              </a:p>
            </c:rich>
          </c:tx>
        </c:title>
        <c:numFmt formatCode="#,##0" sourceLinked="0"/>
        <c:tickLblPos val="nextTo"/>
        <c:crossAx val="189071360"/>
        <c:crosses val="autoZero"/>
        <c:crossBetween val="between"/>
      </c:valAx>
    </c:plotArea>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lgn="l">
              <a:defRPr sz="1000"/>
            </a:pPr>
            <a:r>
              <a:rPr lang="en-US"/>
              <a:t>SC07 8528.72.00 73</a:t>
            </a:r>
          </a:p>
          <a:p>
            <a:pPr algn="l">
              <a:defRPr sz="1000"/>
            </a:pPr>
            <a:r>
              <a:rPr lang="en-US"/>
              <a:t>Distribution of units imported</a:t>
            </a:r>
          </a:p>
        </c:rich>
      </c:tx>
      <c:layout>
        <c:manualLayout>
          <c:xMode val="edge"/>
          <c:yMode val="edge"/>
          <c:x val="3.888888888888889E-2"/>
          <c:y val="2.7777777777778748E-2"/>
        </c:manualLayout>
      </c:layout>
    </c:title>
    <c:plotArea>
      <c:layout/>
      <c:barChart>
        <c:barDir val="col"/>
        <c:grouping val="clustered"/>
        <c:ser>
          <c:idx val="0"/>
          <c:order val="0"/>
          <c:cat>
            <c:strRef>
              <c:f>'tc 73'!$Q$74:$Q$94</c:f>
              <c:strCache>
                <c:ptCount val="21"/>
                <c:pt idx="0">
                  <c:v>0 - 2</c:v>
                </c:pt>
                <c:pt idx="1">
                  <c:v>2 - 4</c:v>
                </c:pt>
                <c:pt idx="2">
                  <c:v>4 - 6</c:v>
                </c:pt>
                <c:pt idx="3">
                  <c:v>6 - 8</c:v>
                </c:pt>
                <c:pt idx="4">
                  <c:v>8 - 10</c:v>
                </c:pt>
                <c:pt idx="5">
                  <c:v>10 - 12</c:v>
                </c:pt>
                <c:pt idx="6">
                  <c:v>12 - 14</c:v>
                </c:pt>
                <c:pt idx="7">
                  <c:v>14 - 16</c:v>
                </c:pt>
                <c:pt idx="8">
                  <c:v>16 - 18</c:v>
                </c:pt>
                <c:pt idx="9">
                  <c:v>18 - 20</c:v>
                </c:pt>
                <c:pt idx="10">
                  <c:v>20 - 22</c:v>
                </c:pt>
                <c:pt idx="11">
                  <c:v>22 - 24</c:v>
                </c:pt>
                <c:pt idx="12">
                  <c:v>24 - 26</c:v>
                </c:pt>
                <c:pt idx="13">
                  <c:v>26 - 28</c:v>
                </c:pt>
                <c:pt idx="14">
                  <c:v>28 - 30</c:v>
                </c:pt>
                <c:pt idx="15">
                  <c:v>30 - 32</c:v>
                </c:pt>
                <c:pt idx="16">
                  <c:v>32 - 34</c:v>
                </c:pt>
                <c:pt idx="17">
                  <c:v>34 - 36</c:v>
                </c:pt>
                <c:pt idx="18">
                  <c:v>36 - 38</c:v>
                </c:pt>
                <c:pt idx="19">
                  <c:v>38 - 40</c:v>
                </c:pt>
                <c:pt idx="20">
                  <c:v>&gt;40</c:v>
                </c:pt>
              </c:strCache>
            </c:strRef>
          </c:cat>
          <c:val>
            <c:numRef>
              <c:f>'tc 73'!$AD$74:$AD$94</c:f>
              <c:numCache>
                <c:formatCode>_-* #,##0.0_-;\-* #,##0.0_-;_-* "-"??_-;_-@_-</c:formatCode>
                <c:ptCount val="2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2555</c:v>
                </c:pt>
                <c:pt idx="20">
                  <c:v>0</c:v>
                </c:pt>
              </c:numCache>
            </c:numRef>
          </c:val>
        </c:ser>
        <c:axId val="189109760"/>
        <c:axId val="189111680"/>
      </c:barChart>
      <c:catAx>
        <c:axId val="189109760"/>
        <c:scaling>
          <c:orientation val="minMax"/>
        </c:scaling>
        <c:axPos val="b"/>
        <c:title>
          <c:tx>
            <c:rich>
              <a:bodyPr/>
              <a:lstStyle/>
              <a:p>
                <a:pPr>
                  <a:defRPr b="0"/>
                </a:pPr>
                <a:r>
                  <a:rPr lang="en-US"/>
                  <a:t>Unit weight (kg)</a:t>
                </a:r>
              </a:p>
            </c:rich>
          </c:tx>
        </c:title>
        <c:tickLblPos val="nextTo"/>
        <c:txPr>
          <a:bodyPr rot="-5400000" vert="horz"/>
          <a:lstStyle/>
          <a:p>
            <a:pPr>
              <a:defRPr/>
            </a:pPr>
            <a:endParaRPr lang="en-US"/>
          </a:p>
        </c:txPr>
        <c:crossAx val="189111680"/>
        <c:crosses val="autoZero"/>
        <c:auto val="1"/>
        <c:lblAlgn val="ctr"/>
        <c:lblOffset val="100"/>
      </c:catAx>
      <c:valAx>
        <c:axId val="189111680"/>
        <c:scaling>
          <c:orientation val="minMax"/>
        </c:scaling>
        <c:axPos val="l"/>
        <c:majorGridlines/>
        <c:title>
          <c:tx>
            <c:rich>
              <a:bodyPr rot="-5400000" vert="horz"/>
              <a:lstStyle/>
              <a:p>
                <a:pPr>
                  <a:defRPr b="0"/>
                </a:pPr>
                <a:r>
                  <a:rPr lang="en-US"/>
                  <a:t>Number of units</a:t>
                </a:r>
              </a:p>
            </c:rich>
          </c:tx>
        </c:title>
        <c:numFmt formatCode="#,##0" sourceLinked="0"/>
        <c:tickLblPos val="nextTo"/>
        <c:crossAx val="189109760"/>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lgn="l">
              <a:defRPr sz="1000"/>
            </a:pPr>
            <a:r>
              <a:rPr lang="en-US"/>
              <a:t>SCO7 8443.31.00 90</a:t>
            </a:r>
          </a:p>
          <a:p>
            <a:pPr algn="l">
              <a:defRPr sz="1000"/>
            </a:pPr>
            <a:r>
              <a:rPr lang="en-US"/>
              <a:t>Distribution of units imported</a:t>
            </a:r>
          </a:p>
        </c:rich>
      </c:tx>
      <c:layout>
        <c:manualLayout>
          <c:xMode val="edge"/>
          <c:yMode val="edge"/>
          <c:x val="3.888888888888889E-2"/>
          <c:y val="2.7777777777778123E-2"/>
        </c:manualLayout>
      </c:layout>
    </c:title>
    <c:plotArea>
      <c:layout/>
      <c:barChart>
        <c:barDir val="col"/>
        <c:grouping val="clustered"/>
        <c:ser>
          <c:idx val="0"/>
          <c:order val="0"/>
          <c:cat>
            <c:strRef>
              <c:f>'tc 5'!$Q$74:$Q$94</c:f>
              <c:strCache>
                <c:ptCount val="21"/>
                <c:pt idx="0">
                  <c:v>0 - 2</c:v>
                </c:pt>
                <c:pt idx="1">
                  <c:v>2 - 4</c:v>
                </c:pt>
                <c:pt idx="2">
                  <c:v>4 - 6</c:v>
                </c:pt>
                <c:pt idx="3">
                  <c:v>6 - 8</c:v>
                </c:pt>
                <c:pt idx="4">
                  <c:v>8 - 10</c:v>
                </c:pt>
                <c:pt idx="5">
                  <c:v>10 - 12</c:v>
                </c:pt>
                <c:pt idx="6">
                  <c:v>12 - 14</c:v>
                </c:pt>
                <c:pt idx="7">
                  <c:v>14 - 16</c:v>
                </c:pt>
                <c:pt idx="8">
                  <c:v>16 - 18</c:v>
                </c:pt>
                <c:pt idx="9">
                  <c:v>18 - 20</c:v>
                </c:pt>
                <c:pt idx="10">
                  <c:v>20 - 22</c:v>
                </c:pt>
                <c:pt idx="11">
                  <c:v>22 - 24</c:v>
                </c:pt>
                <c:pt idx="12">
                  <c:v>24 - 26</c:v>
                </c:pt>
                <c:pt idx="13">
                  <c:v>26 - 28</c:v>
                </c:pt>
                <c:pt idx="14">
                  <c:v>28 - 30</c:v>
                </c:pt>
                <c:pt idx="15">
                  <c:v>30 - 32</c:v>
                </c:pt>
                <c:pt idx="16">
                  <c:v>32 - 34</c:v>
                </c:pt>
                <c:pt idx="17">
                  <c:v>34 - 36</c:v>
                </c:pt>
                <c:pt idx="18">
                  <c:v>36 - 38</c:v>
                </c:pt>
                <c:pt idx="19">
                  <c:v>38 - 40</c:v>
                </c:pt>
                <c:pt idx="20">
                  <c:v>&gt;40</c:v>
                </c:pt>
              </c:strCache>
            </c:strRef>
          </c:cat>
          <c:val>
            <c:numRef>
              <c:f>'tc 5'!$AD$74:$AD$94</c:f>
              <c:numCache>
                <c:formatCode>_-* #,##0.0_-;\-* #,##0.0_-;_-* "-"??_-;_-@_-</c:formatCode>
                <c:ptCount val="21"/>
                <c:pt idx="0">
                  <c:v>0</c:v>
                </c:pt>
                <c:pt idx="1">
                  <c:v>259</c:v>
                </c:pt>
                <c:pt idx="2">
                  <c:v>0</c:v>
                </c:pt>
                <c:pt idx="3">
                  <c:v>0</c:v>
                </c:pt>
                <c:pt idx="4">
                  <c:v>0</c:v>
                </c:pt>
                <c:pt idx="5">
                  <c:v>14236</c:v>
                </c:pt>
                <c:pt idx="6">
                  <c:v>0</c:v>
                </c:pt>
                <c:pt idx="7">
                  <c:v>0</c:v>
                </c:pt>
                <c:pt idx="8">
                  <c:v>0</c:v>
                </c:pt>
                <c:pt idx="9">
                  <c:v>37</c:v>
                </c:pt>
                <c:pt idx="10">
                  <c:v>0</c:v>
                </c:pt>
                <c:pt idx="11">
                  <c:v>0</c:v>
                </c:pt>
                <c:pt idx="12">
                  <c:v>0</c:v>
                </c:pt>
                <c:pt idx="13">
                  <c:v>27</c:v>
                </c:pt>
                <c:pt idx="14">
                  <c:v>209</c:v>
                </c:pt>
                <c:pt idx="15">
                  <c:v>0</c:v>
                </c:pt>
                <c:pt idx="16">
                  <c:v>0</c:v>
                </c:pt>
                <c:pt idx="17">
                  <c:v>0</c:v>
                </c:pt>
                <c:pt idx="18">
                  <c:v>0</c:v>
                </c:pt>
                <c:pt idx="19">
                  <c:v>0</c:v>
                </c:pt>
                <c:pt idx="20">
                  <c:v>0</c:v>
                </c:pt>
              </c:numCache>
            </c:numRef>
          </c:val>
        </c:ser>
        <c:axId val="170894464"/>
        <c:axId val="170896384"/>
      </c:barChart>
      <c:catAx>
        <c:axId val="170894464"/>
        <c:scaling>
          <c:orientation val="minMax"/>
        </c:scaling>
        <c:axPos val="b"/>
        <c:title>
          <c:tx>
            <c:rich>
              <a:bodyPr/>
              <a:lstStyle/>
              <a:p>
                <a:pPr>
                  <a:defRPr b="0"/>
                </a:pPr>
                <a:r>
                  <a:rPr lang="en-US"/>
                  <a:t>Item weights (kg)</a:t>
                </a:r>
              </a:p>
            </c:rich>
          </c:tx>
        </c:title>
        <c:tickLblPos val="nextTo"/>
        <c:txPr>
          <a:bodyPr rot="-5400000" vert="horz"/>
          <a:lstStyle/>
          <a:p>
            <a:pPr>
              <a:defRPr/>
            </a:pPr>
            <a:endParaRPr lang="en-US"/>
          </a:p>
        </c:txPr>
        <c:crossAx val="170896384"/>
        <c:crosses val="autoZero"/>
        <c:auto val="1"/>
        <c:lblAlgn val="ctr"/>
        <c:lblOffset val="100"/>
      </c:catAx>
      <c:valAx>
        <c:axId val="170896384"/>
        <c:scaling>
          <c:orientation val="minMax"/>
        </c:scaling>
        <c:axPos val="l"/>
        <c:majorGridlines/>
        <c:title>
          <c:tx>
            <c:rich>
              <a:bodyPr rot="-5400000" vert="horz"/>
              <a:lstStyle/>
              <a:p>
                <a:pPr>
                  <a:defRPr b="0"/>
                </a:pPr>
                <a:r>
                  <a:rPr lang="en-US"/>
                  <a:t>Weight Imported, 2011 (kg)</a:t>
                </a:r>
              </a:p>
            </c:rich>
          </c:tx>
        </c:title>
        <c:numFmt formatCode="#,##0" sourceLinked="0"/>
        <c:tickLblPos val="nextTo"/>
        <c:crossAx val="170894464"/>
        <c:crosses val="autoZero"/>
        <c:crossBetween val="between"/>
      </c:valAx>
    </c:plotArea>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lgn="l">
              <a:defRPr sz="1000"/>
            </a:pPr>
            <a:r>
              <a:rPr lang="en-US"/>
              <a:t>CTCN 8528.72.00</a:t>
            </a:r>
          </a:p>
          <a:p>
            <a:pPr algn="l">
              <a:defRPr sz="1000"/>
            </a:pPr>
            <a:r>
              <a:rPr lang="en-US"/>
              <a:t>Distribution of units imported</a:t>
            </a:r>
          </a:p>
        </c:rich>
      </c:tx>
      <c:layout>
        <c:manualLayout>
          <c:xMode val="edge"/>
          <c:yMode val="edge"/>
          <c:x val="3.888888888888889E-2"/>
          <c:y val="2.7777777777778775E-2"/>
        </c:manualLayout>
      </c:layout>
    </c:title>
    <c:plotArea>
      <c:layout/>
      <c:barChart>
        <c:barDir val="col"/>
        <c:grouping val="clustered"/>
        <c:ser>
          <c:idx val="0"/>
          <c:order val="0"/>
          <c:cat>
            <c:strRef>
              <c:f>'tc 147'!$Q$74:$Q$94</c:f>
              <c:strCache>
                <c:ptCount val="21"/>
                <c:pt idx="0">
                  <c:v>0 - 5</c:v>
                </c:pt>
                <c:pt idx="1">
                  <c:v>5 - 10</c:v>
                </c:pt>
                <c:pt idx="2">
                  <c:v>10 - 15</c:v>
                </c:pt>
                <c:pt idx="3">
                  <c:v>15 - 20</c:v>
                </c:pt>
                <c:pt idx="4">
                  <c:v>20 - 25</c:v>
                </c:pt>
                <c:pt idx="5">
                  <c:v>25 - 30</c:v>
                </c:pt>
                <c:pt idx="6">
                  <c:v>30 - 35</c:v>
                </c:pt>
                <c:pt idx="7">
                  <c:v>35 - 40</c:v>
                </c:pt>
                <c:pt idx="8">
                  <c:v>40 - 45</c:v>
                </c:pt>
                <c:pt idx="9">
                  <c:v>45 - 50</c:v>
                </c:pt>
                <c:pt idx="10">
                  <c:v>50 - 55</c:v>
                </c:pt>
                <c:pt idx="11">
                  <c:v>55 - 60</c:v>
                </c:pt>
                <c:pt idx="12">
                  <c:v>60 - 65</c:v>
                </c:pt>
                <c:pt idx="13">
                  <c:v>65 - 70</c:v>
                </c:pt>
                <c:pt idx="14">
                  <c:v>70 - 75</c:v>
                </c:pt>
                <c:pt idx="15">
                  <c:v>75 - 80</c:v>
                </c:pt>
                <c:pt idx="16">
                  <c:v>80 - 85</c:v>
                </c:pt>
                <c:pt idx="17">
                  <c:v>85 - 90</c:v>
                </c:pt>
                <c:pt idx="18">
                  <c:v>90 - 95</c:v>
                </c:pt>
                <c:pt idx="19">
                  <c:v>95 - 100</c:v>
                </c:pt>
                <c:pt idx="20">
                  <c:v>&gt;100</c:v>
                </c:pt>
              </c:strCache>
            </c:strRef>
          </c:cat>
          <c:val>
            <c:numRef>
              <c:f>'tc 147'!$AD$74:$AD$94</c:f>
              <c:numCache>
                <c:formatCode>_-* #,##0.0_-;\-* #,##0.0_-;_-* "-"??_-;_-@_-</c:formatCode>
                <c:ptCount val="21"/>
                <c:pt idx="0">
                  <c:v>96811.5</c:v>
                </c:pt>
                <c:pt idx="1">
                  <c:v>141940</c:v>
                </c:pt>
                <c:pt idx="2">
                  <c:v>250275.83333333328</c:v>
                </c:pt>
                <c:pt idx="3">
                  <c:v>370318.66666666663</c:v>
                </c:pt>
                <c:pt idx="4">
                  <c:v>221817.33333333349</c:v>
                </c:pt>
                <c:pt idx="5">
                  <c:v>132814.66666666648</c:v>
                </c:pt>
                <c:pt idx="6">
                  <c:v>198934</c:v>
                </c:pt>
                <c:pt idx="7">
                  <c:v>46523.5</c:v>
                </c:pt>
                <c:pt idx="8">
                  <c:v>24950</c:v>
                </c:pt>
                <c:pt idx="9">
                  <c:v>21006.333333333456</c:v>
                </c:pt>
                <c:pt idx="10">
                  <c:v>3531.5</c:v>
                </c:pt>
                <c:pt idx="11">
                  <c:v>10168.666666666501</c:v>
                </c:pt>
                <c:pt idx="12">
                  <c:v>0</c:v>
                </c:pt>
                <c:pt idx="13">
                  <c:v>0</c:v>
                </c:pt>
                <c:pt idx="14">
                  <c:v>0</c:v>
                </c:pt>
                <c:pt idx="15">
                  <c:v>0</c:v>
                </c:pt>
                <c:pt idx="16">
                  <c:v>0</c:v>
                </c:pt>
                <c:pt idx="17">
                  <c:v>0</c:v>
                </c:pt>
                <c:pt idx="18">
                  <c:v>0</c:v>
                </c:pt>
                <c:pt idx="19">
                  <c:v>0</c:v>
                </c:pt>
                <c:pt idx="20">
                  <c:v>0</c:v>
                </c:pt>
              </c:numCache>
            </c:numRef>
          </c:val>
        </c:ser>
        <c:axId val="189131776"/>
        <c:axId val="189142144"/>
      </c:barChart>
      <c:catAx>
        <c:axId val="189131776"/>
        <c:scaling>
          <c:orientation val="minMax"/>
        </c:scaling>
        <c:axPos val="b"/>
        <c:title>
          <c:tx>
            <c:rich>
              <a:bodyPr/>
              <a:lstStyle/>
              <a:p>
                <a:pPr>
                  <a:defRPr b="0"/>
                </a:pPr>
                <a:r>
                  <a:rPr lang="en-US"/>
                  <a:t>Unit weight (kg)</a:t>
                </a:r>
              </a:p>
            </c:rich>
          </c:tx>
        </c:title>
        <c:tickLblPos val="nextTo"/>
        <c:txPr>
          <a:bodyPr rot="-5400000" vert="horz"/>
          <a:lstStyle/>
          <a:p>
            <a:pPr>
              <a:defRPr/>
            </a:pPr>
            <a:endParaRPr lang="en-US"/>
          </a:p>
        </c:txPr>
        <c:crossAx val="189142144"/>
        <c:crosses val="autoZero"/>
        <c:auto val="1"/>
        <c:lblAlgn val="ctr"/>
        <c:lblOffset val="100"/>
      </c:catAx>
      <c:valAx>
        <c:axId val="189142144"/>
        <c:scaling>
          <c:orientation val="minMax"/>
        </c:scaling>
        <c:axPos val="l"/>
        <c:majorGridlines/>
        <c:title>
          <c:tx>
            <c:rich>
              <a:bodyPr rot="-5400000" vert="horz"/>
              <a:lstStyle/>
              <a:p>
                <a:pPr>
                  <a:defRPr b="0"/>
                </a:pPr>
                <a:r>
                  <a:rPr lang="en-US"/>
                  <a:t>Number of units</a:t>
                </a:r>
              </a:p>
            </c:rich>
          </c:tx>
        </c:title>
        <c:numFmt formatCode="#,##0" sourceLinked="0"/>
        <c:tickLblPos val="nextTo"/>
        <c:crossAx val="189131776"/>
        <c:crosses val="autoZero"/>
        <c:crossBetween val="between"/>
      </c:valAx>
    </c:plotArea>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date1904 val="1"/>
  <c:lang val="en-AU"/>
  <c:chart>
    <c:plotArea>
      <c:layout>
        <c:manualLayout>
          <c:layoutTarget val="inner"/>
          <c:xMode val="edge"/>
          <c:yMode val="edge"/>
          <c:x val="0.15327049385385794"/>
          <c:y val="7.4972672533580434E-2"/>
          <c:w val="0.6567007153185116"/>
          <c:h val="0.54672410066389643"/>
        </c:manualLayout>
      </c:layout>
      <c:lineChart>
        <c:grouping val="standard"/>
        <c:ser>
          <c:idx val="0"/>
          <c:order val="0"/>
          <c:tx>
            <c:strRef>
              <c:f>SA!$B$28</c:f>
              <c:strCache>
                <c:ptCount val="1"/>
                <c:pt idx="0">
                  <c:v>weight imported (x 1000 tonnes)</c:v>
                </c:pt>
              </c:strCache>
            </c:strRef>
          </c:tx>
          <c:marker>
            <c:symbol val="none"/>
          </c:marker>
          <c:cat>
            <c:strRef>
              <c:f>SA!$C$27:$E$27</c:f>
              <c:strCache>
                <c:ptCount val="3"/>
                <c:pt idx="0">
                  <c:v>2008-09</c:v>
                </c:pt>
                <c:pt idx="1">
                  <c:v>2009-10</c:v>
                </c:pt>
                <c:pt idx="2">
                  <c:v>2010-11</c:v>
                </c:pt>
              </c:strCache>
            </c:strRef>
          </c:cat>
          <c:val>
            <c:numRef>
              <c:f>SA!$C$28:$E$28</c:f>
              <c:numCache>
                <c:formatCode>#,##0_ ;\-#,##0\ </c:formatCode>
                <c:ptCount val="3"/>
                <c:pt idx="0">
                  <c:v>35.273018160885421</c:v>
                </c:pt>
                <c:pt idx="1">
                  <c:v>46.684454687526845</c:v>
                </c:pt>
                <c:pt idx="2">
                  <c:v>62.081699296675325</c:v>
                </c:pt>
              </c:numCache>
            </c:numRef>
          </c:val>
        </c:ser>
        <c:ser>
          <c:idx val="2"/>
          <c:order val="1"/>
          <c:tx>
            <c:strRef>
              <c:f>SA!$B$30</c:f>
              <c:strCache>
                <c:ptCount val="1"/>
                <c:pt idx="0">
                  <c:v>average unit weight (kg/unit)</c:v>
                </c:pt>
              </c:strCache>
            </c:strRef>
          </c:tx>
          <c:marker>
            <c:symbol val="none"/>
          </c:marker>
          <c:cat>
            <c:strRef>
              <c:f>SA!$C$27:$E$27</c:f>
              <c:strCache>
                <c:ptCount val="3"/>
                <c:pt idx="0">
                  <c:v>2008-09</c:v>
                </c:pt>
                <c:pt idx="1">
                  <c:v>2009-10</c:v>
                </c:pt>
                <c:pt idx="2">
                  <c:v>2010-11</c:v>
                </c:pt>
              </c:strCache>
            </c:strRef>
          </c:cat>
          <c:val>
            <c:numRef>
              <c:f>SA!$C$30:$E$30</c:f>
              <c:numCache>
                <c:formatCode>#,##0.00_ ;\-#,##0.00\ </c:formatCode>
                <c:ptCount val="3"/>
                <c:pt idx="0">
                  <c:v>10.671578088064848</c:v>
                </c:pt>
                <c:pt idx="1">
                  <c:v>10.979469530599303</c:v>
                </c:pt>
                <c:pt idx="2">
                  <c:v>8.4933739864505391</c:v>
                </c:pt>
              </c:numCache>
            </c:numRef>
          </c:val>
        </c:ser>
        <c:marker val="1"/>
        <c:axId val="189167488"/>
        <c:axId val="189169024"/>
      </c:lineChart>
      <c:lineChart>
        <c:grouping val="standard"/>
        <c:ser>
          <c:idx val="1"/>
          <c:order val="2"/>
          <c:tx>
            <c:strRef>
              <c:f>SA!$B$29</c:f>
              <c:strCache>
                <c:ptCount val="1"/>
                <c:pt idx="0">
                  <c:v>units imported (x 10 units)</c:v>
                </c:pt>
              </c:strCache>
            </c:strRef>
          </c:tx>
          <c:marker>
            <c:symbol val="none"/>
          </c:marker>
          <c:val>
            <c:numRef>
              <c:f>SA!$C$29:$E$29</c:f>
              <c:numCache>
                <c:formatCode>#,##0_ ;\-#,##0\ </c:formatCode>
                <c:ptCount val="3"/>
                <c:pt idx="0">
                  <c:v>3305323.5303909555</c:v>
                </c:pt>
                <c:pt idx="1">
                  <c:v>4251977.2524000024</c:v>
                </c:pt>
                <c:pt idx="2">
                  <c:v>7309427.2541999994</c:v>
                </c:pt>
              </c:numCache>
            </c:numRef>
          </c:val>
        </c:ser>
        <c:marker val="1"/>
        <c:axId val="189181312"/>
        <c:axId val="189179392"/>
      </c:lineChart>
      <c:catAx>
        <c:axId val="189167488"/>
        <c:scaling>
          <c:orientation val="minMax"/>
        </c:scaling>
        <c:axPos val="b"/>
        <c:tickLblPos val="nextTo"/>
        <c:crossAx val="189169024"/>
        <c:crosses val="autoZero"/>
        <c:auto val="1"/>
        <c:lblAlgn val="ctr"/>
        <c:lblOffset val="100"/>
      </c:catAx>
      <c:valAx>
        <c:axId val="189169024"/>
        <c:scaling>
          <c:orientation val="minMax"/>
        </c:scaling>
        <c:axPos val="l"/>
        <c:majorGridlines/>
        <c:title>
          <c:tx>
            <c:rich>
              <a:bodyPr rot="-5400000" vert="horz"/>
              <a:lstStyle/>
              <a:p>
                <a:pPr>
                  <a:defRPr b="0"/>
                </a:pPr>
                <a:r>
                  <a:rPr lang="en-AU" b="0"/>
                  <a:t>Total</a:t>
                </a:r>
                <a:r>
                  <a:rPr lang="en-AU" b="0" baseline="0"/>
                  <a:t> and average import weight</a:t>
                </a:r>
              </a:p>
              <a:p>
                <a:pPr>
                  <a:defRPr b="0"/>
                </a:pPr>
                <a:endParaRPr lang="en-AU" b="0"/>
              </a:p>
            </c:rich>
          </c:tx>
          <c:layout/>
        </c:title>
        <c:numFmt formatCode="#,##0_ ;\-#,##0\ " sourceLinked="1"/>
        <c:tickLblPos val="nextTo"/>
        <c:crossAx val="189167488"/>
        <c:crosses val="autoZero"/>
        <c:crossBetween val="between"/>
      </c:valAx>
      <c:valAx>
        <c:axId val="189179392"/>
        <c:scaling>
          <c:orientation val="minMax"/>
        </c:scaling>
        <c:axPos val="r"/>
        <c:title>
          <c:tx>
            <c:rich>
              <a:bodyPr rot="-5400000" vert="horz"/>
              <a:lstStyle/>
              <a:p>
                <a:pPr>
                  <a:defRPr/>
                </a:pPr>
                <a:r>
                  <a:rPr lang="en-AU" b="0"/>
                  <a:t>Units impoted</a:t>
                </a:r>
              </a:p>
            </c:rich>
          </c:tx>
          <c:layout/>
        </c:title>
        <c:numFmt formatCode="#,##0_ ;\-#,##0\ " sourceLinked="1"/>
        <c:tickLblPos val="nextTo"/>
        <c:crossAx val="189181312"/>
        <c:crosses val="max"/>
        <c:crossBetween val="between"/>
      </c:valAx>
      <c:catAx>
        <c:axId val="189181312"/>
        <c:scaling>
          <c:orientation val="minMax"/>
        </c:scaling>
        <c:delete val="1"/>
        <c:axPos val="b"/>
        <c:tickLblPos val="none"/>
        <c:crossAx val="189179392"/>
        <c:crosses val="autoZero"/>
        <c:auto val="1"/>
        <c:lblAlgn val="ctr"/>
        <c:lblOffset val="100"/>
      </c:catAx>
    </c:plotArea>
    <c:legend>
      <c:legendPos val="b"/>
      <c:layout>
        <c:manualLayout>
          <c:xMode val="edge"/>
          <c:yMode val="edge"/>
          <c:x val="4.9079075131763621E-2"/>
          <c:y val="0.76195529354620684"/>
          <c:w val="0.51196553581044657"/>
          <c:h val="0.19014313095347654"/>
        </c:manualLayout>
      </c:layout>
    </c:legend>
    <c:plotVisOnly val="1"/>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lgn="l">
              <a:defRPr lang="en-AU" sz="1000"/>
            </a:pPr>
            <a:r>
              <a:rPr lang="en-US"/>
              <a:t>SC07 8443.31.00 61</a:t>
            </a:r>
          </a:p>
          <a:p>
            <a:pPr algn="l">
              <a:defRPr lang="en-AU" sz="1000"/>
            </a:pPr>
            <a:r>
              <a:rPr lang="en-US"/>
              <a:t>Distribution of models available</a:t>
            </a:r>
          </a:p>
        </c:rich>
      </c:tx>
      <c:layout>
        <c:manualLayout>
          <c:xMode val="edge"/>
          <c:yMode val="edge"/>
          <c:x val="3.888888888888891E-2"/>
          <c:y val="2.7777777777779161E-2"/>
        </c:manualLayout>
      </c:layout>
    </c:title>
    <c:plotArea>
      <c:layout/>
      <c:barChart>
        <c:barDir val="col"/>
        <c:grouping val="clustered"/>
        <c:ser>
          <c:idx val="0"/>
          <c:order val="0"/>
          <c:spPr>
            <a:solidFill>
              <a:srgbClr val="D99795"/>
            </a:solidFill>
          </c:spPr>
          <c:cat>
            <c:strRef>
              <c:f>'tc 1'!$Q$49:$Q$69</c:f>
              <c:strCache>
                <c:ptCount val="21"/>
                <c:pt idx="0">
                  <c:v>0 - 10</c:v>
                </c:pt>
                <c:pt idx="1">
                  <c:v>10 - 20</c:v>
                </c:pt>
                <c:pt idx="2">
                  <c:v>20 - 30</c:v>
                </c:pt>
                <c:pt idx="3">
                  <c:v>30 - 40</c:v>
                </c:pt>
                <c:pt idx="4">
                  <c:v>40 - 50</c:v>
                </c:pt>
                <c:pt idx="5">
                  <c:v>50 - 60</c:v>
                </c:pt>
                <c:pt idx="6">
                  <c:v>60 - 70</c:v>
                </c:pt>
                <c:pt idx="7">
                  <c:v>70 - 80</c:v>
                </c:pt>
                <c:pt idx="8">
                  <c:v>80 - 90</c:v>
                </c:pt>
                <c:pt idx="9">
                  <c:v>90 - 100</c:v>
                </c:pt>
                <c:pt idx="10">
                  <c:v>100 - 110</c:v>
                </c:pt>
                <c:pt idx="11">
                  <c:v>110 - 120</c:v>
                </c:pt>
                <c:pt idx="12">
                  <c:v>120 - 130</c:v>
                </c:pt>
                <c:pt idx="13">
                  <c:v>130 - 140</c:v>
                </c:pt>
                <c:pt idx="14">
                  <c:v>140 - 150</c:v>
                </c:pt>
                <c:pt idx="15">
                  <c:v>150 - 160</c:v>
                </c:pt>
                <c:pt idx="16">
                  <c:v>160 - 170</c:v>
                </c:pt>
                <c:pt idx="17">
                  <c:v>170 - 180</c:v>
                </c:pt>
                <c:pt idx="18">
                  <c:v>180 - 190</c:v>
                </c:pt>
                <c:pt idx="19">
                  <c:v>190 - 200</c:v>
                </c:pt>
                <c:pt idx="20">
                  <c:v>&gt;200</c:v>
                </c:pt>
              </c:strCache>
            </c:strRef>
          </c:cat>
          <c:val>
            <c:numRef>
              <c:f>'tc 1'!$AD$49:$AD$69</c:f>
              <c:numCache>
                <c:formatCode>_-* #,##0.0_-;\-* #,##0.0_-;_-* "-"??_-;_-@_-</c:formatCode>
                <c:ptCount val="21"/>
                <c:pt idx="0">
                  <c:v>36</c:v>
                </c:pt>
                <c:pt idx="1">
                  <c:v>32</c:v>
                </c:pt>
                <c:pt idx="2">
                  <c:v>9</c:v>
                </c:pt>
                <c:pt idx="3">
                  <c:v>0</c:v>
                </c:pt>
                <c:pt idx="4">
                  <c:v>0</c:v>
                </c:pt>
                <c:pt idx="5">
                  <c:v>0</c:v>
                </c:pt>
                <c:pt idx="6">
                  <c:v>0</c:v>
                </c:pt>
                <c:pt idx="7">
                  <c:v>0</c:v>
                </c:pt>
                <c:pt idx="8">
                  <c:v>0</c:v>
                </c:pt>
                <c:pt idx="9">
                  <c:v>0</c:v>
                </c:pt>
                <c:pt idx="10">
                  <c:v>0</c:v>
                </c:pt>
                <c:pt idx="11">
                  <c:v>0</c:v>
                </c:pt>
                <c:pt idx="12">
                  <c:v>1</c:v>
                </c:pt>
                <c:pt idx="13">
                  <c:v>0</c:v>
                </c:pt>
                <c:pt idx="14">
                  <c:v>0</c:v>
                </c:pt>
                <c:pt idx="15">
                  <c:v>1</c:v>
                </c:pt>
                <c:pt idx="16">
                  <c:v>0</c:v>
                </c:pt>
                <c:pt idx="17">
                  <c:v>0</c:v>
                </c:pt>
                <c:pt idx="18">
                  <c:v>0</c:v>
                </c:pt>
                <c:pt idx="19">
                  <c:v>0</c:v>
                </c:pt>
                <c:pt idx="20">
                  <c:v>1</c:v>
                </c:pt>
              </c:numCache>
            </c:numRef>
          </c:val>
        </c:ser>
        <c:axId val="189235584"/>
        <c:axId val="189237504"/>
      </c:barChart>
      <c:catAx>
        <c:axId val="189235584"/>
        <c:scaling>
          <c:orientation val="minMax"/>
        </c:scaling>
        <c:axPos val="b"/>
        <c:title>
          <c:tx>
            <c:rich>
              <a:bodyPr/>
              <a:lstStyle/>
              <a:p>
                <a:pPr>
                  <a:defRPr lang="en-AU" b="0"/>
                </a:pPr>
                <a:r>
                  <a:rPr lang="en-US"/>
                  <a:t>Model weight (kg)</a:t>
                </a:r>
              </a:p>
            </c:rich>
          </c:tx>
        </c:title>
        <c:tickLblPos val="nextTo"/>
        <c:txPr>
          <a:bodyPr rot="-5400000" vert="horz"/>
          <a:lstStyle/>
          <a:p>
            <a:pPr>
              <a:defRPr lang="en-AU"/>
            </a:pPr>
            <a:endParaRPr lang="en-US"/>
          </a:p>
        </c:txPr>
        <c:crossAx val="189237504"/>
        <c:crosses val="autoZero"/>
        <c:auto val="1"/>
        <c:lblAlgn val="ctr"/>
        <c:lblOffset val="100"/>
      </c:catAx>
      <c:valAx>
        <c:axId val="189237504"/>
        <c:scaling>
          <c:orientation val="minMax"/>
        </c:scaling>
        <c:axPos val="l"/>
        <c:majorGridlines/>
        <c:title>
          <c:tx>
            <c:rich>
              <a:bodyPr rot="-5400000" vert="horz"/>
              <a:lstStyle/>
              <a:p>
                <a:pPr>
                  <a:defRPr lang="en-AU" b="0"/>
                </a:pPr>
                <a:r>
                  <a:rPr lang="en-US"/>
                  <a:t>No. of models</a:t>
                </a:r>
              </a:p>
            </c:rich>
          </c:tx>
        </c:title>
        <c:numFmt formatCode="#,##0" sourceLinked="0"/>
        <c:tickLblPos val="nextTo"/>
        <c:txPr>
          <a:bodyPr/>
          <a:lstStyle/>
          <a:p>
            <a:pPr>
              <a:defRPr lang="en-AU"/>
            </a:pPr>
            <a:endParaRPr lang="en-US"/>
          </a:p>
        </c:txPr>
        <c:crossAx val="189235584"/>
        <c:crosses val="autoZero"/>
        <c:crossBetween val="between"/>
      </c:valAx>
    </c:plotArea>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lgn="l">
              <a:defRPr lang="en-AU" sz="1000"/>
            </a:pPr>
            <a:r>
              <a:rPr lang="en-US"/>
              <a:t>SC07 8443.31.00 61</a:t>
            </a:r>
          </a:p>
          <a:p>
            <a:pPr algn="l">
              <a:defRPr lang="en-AU" sz="1000"/>
            </a:pPr>
            <a:r>
              <a:rPr lang="en-US"/>
              <a:t>Distribution of units imported</a:t>
            </a:r>
          </a:p>
        </c:rich>
      </c:tx>
      <c:layout>
        <c:manualLayout>
          <c:xMode val="edge"/>
          <c:yMode val="edge"/>
          <c:x val="3.888888888888891E-2"/>
          <c:y val="2.7777777777779161E-2"/>
        </c:manualLayout>
      </c:layout>
    </c:title>
    <c:plotArea>
      <c:layout/>
      <c:barChart>
        <c:barDir val="col"/>
        <c:grouping val="clustered"/>
        <c:ser>
          <c:idx val="0"/>
          <c:order val="0"/>
          <c:cat>
            <c:strRef>
              <c:f>'tc 1'!$Q$74:$Q$94</c:f>
              <c:strCache>
                <c:ptCount val="21"/>
                <c:pt idx="0">
                  <c:v>0 - 10</c:v>
                </c:pt>
                <c:pt idx="1">
                  <c:v>10 - 20</c:v>
                </c:pt>
                <c:pt idx="2">
                  <c:v>20 - 30</c:v>
                </c:pt>
                <c:pt idx="3">
                  <c:v>30 - 40</c:v>
                </c:pt>
                <c:pt idx="4">
                  <c:v>40 - 50</c:v>
                </c:pt>
                <c:pt idx="5">
                  <c:v>50 - 60</c:v>
                </c:pt>
                <c:pt idx="6">
                  <c:v>60 - 70</c:v>
                </c:pt>
                <c:pt idx="7">
                  <c:v>70 - 80</c:v>
                </c:pt>
                <c:pt idx="8">
                  <c:v>80 - 90</c:v>
                </c:pt>
                <c:pt idx="9">
                  <c:v>90 - 100</c:v>
                </c:pt>
                <c:pt idx="10">
                  <c:v>100 - 110</c:v>
                </c:pt>
                <c:pt idx="11">
                  <c:v>110 - 120</c:v>
                </c:pt>
                <c:pt idx="12">
                  <c:v>120 - 130</c:v>
                </c:pt>
                <c:pt idx="13">
                  <c:v>130 - 140</c:v>
                </c:pt>
                <c:pt idx="14">
                  <c:v>140 - 150</c:v>
                </c:pt>
                <c:pt idx="15">
                  <c:v>150 - 160</c:v>
                </c:pt>
                <c:pt idx="16">
                  <c:v>160 - 170</c:v>
                </c:pt>
                <c:pt idx="17">
                  <c:v>170 - 180</c:v>
                </c:pt>
                <c:pt idx="18">
                  <c:v>180 - 190</c:v>
                </c:pt>
                <c:pt idx="19">
                  <c:v>190 - 200</c:v>
                </c:pt>
                <c:pt idx="20">
                  <c:v>&gt;200</c:v>
                </c:pt>
              </c:strCache>
            </c:strRef>
          </c:cat>
          <c:val>
            <c:numRef>
              <c:f>'tc 1'!$AD$74:$AD$94</c:f>
              <c:numCache>
                <c:formatCode>_-* #,##0.0_-;\-* #,##0.0_-;_-* "-"??_-;_-@_-</c:formatCode>
                <c:ptCount val="21"/>
                <c:pt idx="0">
                  <c:v>685383</c:v>
                </c:pt>
                <c:pt idx="1">
                  <c:v>531296</c:v>
                </c:pt>
                <c:pt idx="2">
                  <c:v>0</c:v>
                </c:pt>
                <c:pt idx="3">
                  <c:v>0</c:v>
                </c:pt>
                <c:pt idx="4">
                  <c:v>0</c:v>
                </c:pt>
                <c:pt idx="5">
                  <c:v>0</c:v>
                </c:pt>
                <c:pt idx="6">
                  <c:v>0</c:v>
                </c:pt>
                <c:pt idx="7">
                  <c:v>0</c:v>
                </c:pt>
                <c:pt idx="8">
                  <c:v>0</c:v>
                </c:pt>
                <c:pt idx="9">
                  <c:v>0</c:v>
                </c:pt>
                <c:pt idx="10">
                  <c:v>0</c:v>
                </c:pt>
                <c:pt idx="11">
                  <c:v>0</c:v>
                </c:pt>
                <c:pt idx="12">
                  <c:v>119</c:v>
                </c:pt>
                <c:pt idx="13">
                  <c:v>0</c:v>
                </c:pt>
                <c:pt idx="14">
                  <c:v>0</c:v>
                </c:pt>
                <c:pt idx="15">
                  <c:v>1</c:v>
                </c:pt>
                <c:pt idx="16">
                  <c:v>0</c:v>
                </c:pt>
                <c:pt idx="17">
                  <c:v>0</c:v>
                </c:pt>
                <c:pt idx="18">
                  <c:v>0</c:v>
                </c:pt>
                <c:pt idx="19">
                  <c:v>0</c:v>
                </c:pt>
                <c:pt idx="20">
                  <c:v>1</c:v>
                </c:pt>
              </c:numCache>
            </c:numRef>
          </c:val>
        </c:ser>
        <c:axId val="189249408"/>
        <c:axId val="189267968"/>
      </c:barChart>
      <c:catAx>
        <c:axId val="189249408"/>
        <c:scaling>
          <c:orientation val="minMax"/>
        </c:scaling>
        <c:axPos val="b"/>
        <c:title>
          <c:tx>
            <c:rich>
              <a:bodyPr/>
              <a:lstStyle/>
              <a:p>
                <a:pPr>
                  <a:defRPr lang="en-AU" b="0"/>
                </a:pPr>
                <a:r>
                  <a:rPr lang="en-US"/>
                  <a:t>Unit weight (kg)</a:t>
                </a:r>
              </a:p>
            </c:rich>
          </c:tx>
          <c:layout/>
        </c:title>
        <c:tickLblPos val="nextTo"/>
        <c:txPr>
          <a:bodyPr rot="-5400000" vert="horz"/>
          <a:lstStyle/>
          <a:p>
            <a:pPr>
              <a:defRPr lang="en-AU"/>
            </a:pPr>
            <a:endParaRPr lang="en-US"/>
          </a:p>
        </c:txPr>
        <c:crossAx val="189267968"/>
        <c:crosses val="autoZero"/>
        <c:auto val="1"/>
        <c:lblAlgn val="ctr"/>
        <c:lblOffset val="100"/>
      </c:catAx>
      <c:valAx>
        <c:axId val="189267968"/>
        <c:scaling>
          <c:orientation val="minMax"/>
        </c:scaling>
        <c:axPos val="l"/>
        <c:majorGridlines/>
        <c:title>
          <c:tx>
            <c:rich>
              <a:bodyPr rot="-5400000" vert="horz"/>
              <a:lstStyle/>
              <a:p>
                <a:pPr>
                  <a:defRPr lang="en-AU" b="0"/>
                </a:pPr>
                <a:r>
                  <a:rPr lang="en-US"/>
                  <a:t>No. of units</a:t>
                </a:r>
              </a:p>
            </c:rich>
          </c:tx>
          <c:layout/>
        </c:title>
        <c:numFmt formatCode="#,##0" sourceLinked="0"/>
        <c:tickLblPos val="nextTo"/>
        <c:txPr>
          <a:bodyPr/>
          <a:lstStyle/>
          <a:p>
            <a:pPr>
              <a:defRPr lang="en-AU"/>
            </a:pPr>
            <a:endParaRPr lang="en-US"/>
          </a:p>
        </c:txPr>
        <c:crossAx val="189249408"/>
        <c:crosses val="autoZero"/>
        <c:crossBetween val="between"/>
      </c:valAx>
    </c:plotArea>
    <c:plotVisOnly val="1"/>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lgn="l">
              <a:defRPr lang="en-AU" sz="1000"/>
            </a:pPr>
            <a:r>
              <a:rPr lang="en-US"/>
              <a:t>SC07 8443.31.00 61</a:t>
            </a:r>
          </a:p>
          <a:p>
            <a:pPr algn="l">
              <a:defRPr lang="en-AU" sz="1000"/>
            </a:pPr>
            <a:r>
              <a:rPr lang="en-US"/>
              <a:t>Weighted mean weights</a:t>
            </a:r>
          </a:p>
        </c:rich>
      </c:tx>
      <c:layout>
        <c:manualLayout>
          <c:xMode val="edge"/>
          <c:yMode val="edge"/>
          <c:x val="3.888888888888891E-2"/>
          <c:y val="2.7777777777779029E-2"/>
        </c:manualLayout>
      </c:layout>
    </c:title>
    <c:plotArea>
      <c:layout/>
      <c:lineChart>
        <c:grouping val="standard"/>
        <c:ser>
          <c:idx val="0"/>
          <c:order val="0"/>
          <c:tx>
            <c:v>Brand 1</c:v>
          </c:tx>
          <c:marker>
            <c:symbol val="none"/>
          </c:marker>
          <c:cat>
            <c:strRef>
              <c:f>'tc 1'!$AF$3:$AF$6</c:f>
              <c:strCache>
                <c:ptCount val="4"/>
                <c:pt idx="0">
                  <c:v>2007-2008</c:v>
                </c:pt>
                <c:pt idx="1">
                  <c:v>2008-2009</c:v>
                </c:pt>
                <c:pt idx="2">
                  <c:v>2009-2010</c:v>
                </c:pt>
                <c:pt idx="3">
                  <c:v>2010-2011</c:v>
                </c:pt>
              </c:strCache>
            </c:strRef>
          </c:cat>
          <c:val>
            <c:numRef>
              <c:f>'tc 1'!$AG$3:$AG$6</c:f>
              <c:numCache>
                <c:formatCode>General</c:formatCode>
                <c:ptCount val="4"/>
                <c:pt idx="3">
                  <c:v>4.6596100470340867</c:v>
                </c:pt>
              </c:numCache>
            </c:numRef>
          </c:val>
        </c:ser>
        <c:ser>
          <c:idx val="1"/>
          <c:order val="1"/>
          <c:tx>
            <c:v>Brand 2</c:v>
          </c:tx>
          <c:marker>
            <c:symbol val="none"/>
          </c:marker>
          <c:cat>
            <c:strRef>
              <c:f>'tc 1'!$AF$3:$AF$6</c:f>
              <c:strCache>
                <c:ptCount val="4"/>
                <c:pt idx="0">
                  <c:v>2007-2008</c:v>
                </c:pt>
                <c:pt idx="1">
                  <c:v>2008-2009</c:v>
                </c:pt>
                <c:pt idx="2">
                  <c:v>2009-2010</c:v>
                </c:pt>
                <c:pt idx="3">
                  <c:v>2010-2011</c:v>
                </c:pt>
              </c:strCache>
            </c:strRef>
          </c:cat>
          <c:val>
            <c:numRef>
              <c:f>'tc 1'!$AH$3:$AH$6</c:f>
              <c:numCache>
                <c:formatCode>General</c:formatCode>
                <c:ptCount val="4"/>
                <c:pt idx="0">
                  <c:v>11.4</c:v>
                </c:pt>
                <c:pt idx="2">
                  <c:v>21.383349891007093</c:v>
                </c:pt>
                <c:pt idx="3">
                  <c:v>11.091384420583619</c:v>
                </c:pt>
              </c:numCache>
            </c:numRef>
          </c:val>
        </c:ser>
        <c:ser>
          <c:idx val="2"/>
          <c:order val="2"/>
          <c:tx>
            <c:v>Brand 3</c:v>
          </c:tx>
          <c:marker>
            <c:symbol val="none"/>
          </c:marker>
          <c:cat>
            <c:strRef>
              <c:f>'tc 1'!$AF$3:$AF$6</c:f>
              <c:strCache>
                <c:ptCount val="4"/>
                <c:pt idx="0">
                  <c:v>2007-2008</c:v>
                </c:pt>
                <c:pt idx="1">
                  <c:v>2008-2009</c:v>
                </c:pt>
                <c:pt idx="2">
                  <c:v>2009-2010</c:v>
                </c:pt>
                <c:pt idx="3">
                  <c:v>2010-2011</c:v>
                </c:pt>
              </c:strCache>
            </c:strRef>
          </c:cat>
          <c:val>
            <c:numRef>
              <c:f>'tc 1'!$AI$3:$AI$6</c:f>
              <c:numCache>
                <c:formatCode>General</c:formatCode>
                <c:ptCount val="4"/>
                <c:pt idx="1">
                  <c:v>7.8672686141523904</c:v>
                </c:pt>
                <c:pt idx="2">
                  <c:v>7.8656353082568247</c:v>
                </c:pt>
                <c:pt idx="3">
                  <c:v>7.1463360039003883</c:v>
                </c:pt>
              </c:numCache>
            </c:numRef>
          </c:val>
        </c:ser>
        <c:ser>
          <c:idx val="3"/>
          <c:order val="3"/>
          <c:tx>
            <c:v>Brand Mean</c:v>
          </c:tx>
          <c:spPr>
            <a:ln>
              <a:solidFill>
                <a:srgbClr val="46AAC5"/>
              </a:solidFill>
              <a:prstDash val="solid"/>
            </a:ln>
          </c:spPr>
          <c:marker>
            <c:symbol val="none"/>
          </c:marker>
          <c:cat>
            <c:strRef>
              <c:f>'tc 1'!$AF$3:$AF$6</c:f>
              <c:strCache>
                <c:ptCount val="4"/>
                <c:pt idx="0">
                  <c:v>2007-2008</c:v>
                </c:pt>
                <c:pt idx="1">
                  <c:v>2008-2009</c:v>
                </c:pt>
                <c:pt idx="2">
                  <c:v>2009-2010</c:v>
                </c:pt>
                <c:pt idx="3">
                  <c:v>2010-2011</c:v>
                </c:pt>
              </c:strCache>
            </c:strRef>
          </c:cat>
          <c:val>
            <c:numRef>
              <c:f>'tc 1'!$AJ$3:$AJ$6</c:f>
              <c:numCache>
                <c:formatCode>General</c:formatCode>
                <c:ptCount val="4"/>
                <c:pt idx="0">
                  <c:v>11.4</c:v>
                </c:pt>
                <c:pt idx="1">
                  <c:v>7.8672686141523904</c:v>
                </c:pt>
                <c:pt idx="2">
                  <c:v>13.133189703298758</c:v>
                </c:pt>
                <c:pt idx="3">
                  <c:v>8.6601841485864668</c:v>
                </c:pt>
              </c:numCache>
            </c:numRef>
          </c:val>
        </c:ser>
        <c:ser>
          <c:idx val="4"/>
          <c:order val="4"/>
          <c:tx>
            <c:strRef>
              <c:f>'tc 1'!$AK$2</c:f>
              <c:strCache>
                <c:ptCount val="1"/>
                <c:pt idx="0">
                  <c:v>2010-11 CF</c:v>
                </c:pt>
              </c:strCache>
            </c:strRef>
          </c:tx>
          <c:spPr>
            <a:ln>
              <a:solidFill>
                <a:srgbClr val="DA8137"/>
              </a:solidFill>
              <a:prstDash val="sysDash"/>
            </a:ln>
          </c:spPr>
          <c:marker>
            <c:symbol val="none"/>
          </c:marker>
          <c:cat>
            <c:strRef>
              <c:f>'tc 1'!$AF$3:$AF$6</c:f>
              <c:strCache>
                <c:ptCount val="4"/>
                <c:pt idx="0">
                  <c:v>2007-2008</c:v>
                </c:pt>
                <c:pt idx="1">
                  <c:v>2008-2009</c:v>
                </c:pt>
                <c:pt idx="2">
                  <c:v>2009-2010</c:v>
                </c:pt>
                <c:pt idx="3">
                  <c:v>2010-2011</c:v>
                </c:pt>
              </c:strCache>
            </c:strRef>
          </c:cat>
          <c:val>
            <c:numRef>
              <c:f>'tc 1'!$AK$3:$AK$6</c:f>
              <c:numCache>
                <c:formatCode>General</c:formatCode>
                <c:ptCount val="4"/>
                <c:pt idx="0">
                  <c:v>8.6601841485864668</c:v>
                </c:pt>
                <c:pt idx="1">
                  <c:v>8.6601841485864668</c:v>
                </c:pt>
                <c:pt idx="2">
                  <c:v>8.6601841485864668</c:v>
                </c:pt>
                <c:pt idx="3">
                  <c:v>8.6601841485864668</c:v>
                </c:pt>
              </c:numCache>
            </c:numRef>
          </c:val>
        </c:ser>
        <c:marker val="1"/>
        <c:axId val="189298944"/>
        <c:axId val="189317504"/>
      </c:lineChart>
      <c:catAx>
        <c:axId val="189298944"/>
        <c:scaling>
          <c:orientation val="minMax"/>
        </c:scaling>
        <c:axPos val="b"/>
        <c:title>
          <c:tx>
            <c:rich>
              <a:bodyPr/>
              <a:lstStyle/>
              <a:p>
                <a:pPr>
                  <a:defRPr lang="en-AU" b="0"/>
                </a:pPr>
                <a:r>
                  <a:rPr lang="en-US"/>
                  <a:t>Reporting Year</a:t>
                </a:r>
              </a:p>
            </c:rich>
          </c:tx>
          <c:layout/>
        </c:title>
        <c:tickLblPos val="nextTo"/>
        <c:txPr>
          <a:bodyPr/>
          <a:lstStyle/>
          <a:p>
            <a:pPr>
              <a:defRPr lang="en-AU"/>
            </a:pPr>
            <a:endParaRPr lang="en-US"/>
          </a:p>
        </c:txPr>
        <c:crossAx val="189317504"/>
        <c:crosses val="autoZero"/>
        <c:auto val="1"/>
        <c:lblAlgn val="ctr"/>
        <c:lblOffset val="100"/>
      </c:catAx>
      <c:valAx>
        <c:axId val="189317504"/>
        <c:scaling>
          <c:orientation val="minMax"/>
        </c:scaling>
        <c:axPos val="l"/>
        <c:majorGridlines/>
        <c:title>
          <c:tx>
            <c:rich>
              <a:bodyPr rot="-5400000" vert="horz"/>
              <a:lstStyle/>
              <a:p>
                <a:pPr>
                  <a:defRPr lang="en-AU" b="0"/>
                </a:pPr>
                <a:r>
                  <a:rPr lang="en-US"/>
                  <a:t>Weighted mean weight (kg)</a:t>
                </a:r>
              </a:p>
            </c:rich>
          </c:tx>
          <c:layout/>
        </c:title>
        <c:numFmt formatCode="General" sourceLinked="1"/>
        <c:tickLblPos val="nextTo"/>
        <c:txPr>
          <a:bodyPr/>
          <a:lstStyle/>
          <a:p>
            <a:pPr>
              <a:defRPr lang="en-AU"/>
            </a:pPr>
            <a:endParaRPr lang="en-US"/>
          </a:p>
        </c:txPr>
        <c:crossAx val="189298944"/>
        <c:crosses val="autoZero"/>
        <c:crossBetween val="between"/>
      </c:valAx>
    </c:plotArea>
    <c:legend>
      <c:legendPos val="r"/>
      <c:layout/>
      <c:txPr>
        <a:bodyPr/>
        <a:lstStyle/>
        <a:p>
          <a:pPr>
            <a:defRPr lang="en-AU"/>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AU"/>
  <c:chart>
    <c:title>
      <c:tx>
        <c:rich>
          <a:bodyPr/>
          <a:lstStyle/>
          <a:p>
            <a:pPr algn="l">
              <a:defRPr sz="1000"/>
            </a:pPr>
            <a:r>
              <a:rPr lang="en-US"/>
              <a:t>CTCN 8443.31.00</a:t>
            </a:r>
          </a:p>
          <a:p>
            <a:pPr algn="l">
              <a:defRPr sz="1000"/>
            </a:pPr>
            <a:r>
              <a:rPr lang="en-US"/>
              <a:t>Distribution of units imported</a:t>
            </a:r>
          </a:p>
        </c:rich>
      </c:tx>
      <c:layout>
        <c:manualLayout>
          <c:xMode val="edge"/>
          <c:yMode val="edge"/>
          <c:x val="3.8888843440024627E-2"/>
          <c:y val="2.777785223655559E-2"/>
        </c:manualLayout>
      </c:layout>
    </c:title>
    <c:plotArea>
      <c:layout/>
      <c:barChart>
        <c:barDir val="col"/>
        <c:grouping val="clustered"/>
        <c:ser>
          <c:idx val="0"/>
          <c:order val="0"/>
          <c:cat>
            <c:strRef>
              <c:f>'tc 132'!$Q$74:$Q$94</c:f>
              <c:strCache>
                <c:ptCount val="21"/>
                <c:pt idx="0">
                  <c:v>0 - 5</c:v>
                </c:pt>
                <c:pt idx="1">
                  <c:v>5 - 10</c:v>
                </c:pt>
                <c:pt idx="2">
                  <c:v>10 - 15</c:v>
                </c:pt>
                <c:pt idx="3">
                  <c:v>15 - 20</c:v>
                </c:pt>
                <c:pt idx="4">
                  <c:v>20 - 25</c:v>
                </c:pt>
                <c:pt idx="5">
                  <c:v>25 - 30</c:v>
                </c:pt>
                <c:pt idx="6">
                  <c:v>30 - 35</c:v>
                </c:pt>
                <c:pt idx="7">
                  <c:v>35 - 40</c:v>
                </c:pt>
                <c:pt idx="8">
                  <c:v>40 - 45</c:v>
                </c:pt>
                <c:pt idx="9">
                  <c:v>45 - 50</c:v>
                </c:pt>
                <c:pt idx="10">
                  <c:v>50 - 55</c:v>
                </c:pt>
                <c:pt idx="11">
                  <c:v>55 - 60</c:v>
                </c:pt>
                <c:pt idx="12">
                  <c:v>60 - 65</c:v>
                </c:pt>
                <c:pt idx="13">
                  <c:v>65 - 70</c:v>
                </c:pt>
                <c:pt idx="14">
                  <c:v>70 - 75</c:v>
                </c:pt>
                <c:pt idx="15">
                  <c:v>75 - 80</c:v>
                </c:pt>
                <c:pt idx="16">
                  <c:v>80 - 85</c:v>
                </c:pt>
                <c:pt idx="17">
                  <c:v>85 - 90</c:v>
                </c:pt>
                <c:pt idx="18">
                  <c:v>90 - 95</c:v>
                </c:pt>
                <c:pt idx="19">
                  <c:v>95 - 100</c:v>
                </c:pt>
                <c:pt idx="20">
                  <c:v>&gt;100</c:v>
                </c:pt>
              </c:strCache>
            </c:strRef>
          </c:cat>
          <c:val>
            <c:numRef>
              <c:f>'tc 132'!$AD$74:$AD$94</c:f>
              <c:numCache>
                <c:formatCode>_-* #,##0.0_-;\-* #,##0.0_-;_-* "-"??_-;_-@_-</c:formatCode>
                <c:ptCount val="21"/>
                <c:pt idx="0">
                  <c:v>362097</c:v>
                </c:pt>
                <c:pt idx="1">
                  <c:v>341769</c:v>
                </c:pt>
                <c:pt idx="2">
                  <c:v>436830</c:v>
                </c:pt>
                <c:pt idx="3">
                  <c:v>120570</c:v>
                </c:pt>
                <c:pt idx="4">
                  <c:v>4487</c:v>
                </c:pt>
                <c:pt idx="5">
                  <c:v>4767</c:v>
                </c:pt>
                <c:pt idx="6">
                  <c:v>4729</c:v>
                </c:pt>
                <c:pt idx="7">
                  <c:v>4444</c:v>
                </c:pt>
                <c:pt idx="8">
                  <c:v>0</c:v>
                </c:pt>
                <c:pt idx="9">
                  <c:v>0</c:v>
                </c:pt>
                <c:pt idx="10">
                  <c:v>0</c:v>
                </c:pt>
                <c:pt idx="11">
                  <c:v>0</c:v>
                </c:pt>
                <c:pt idx="12">
                  <c:v>0</c:v>
                </c:pt>
                <c:pt idx="13">
                  <c:v>0</c:v>
                </c:pt>
                <c:pt idx="14">
                  <c:v>0</c:v>
                </c:pt>
                <c:pt idx="15">
                  <c:v>0</c:v>
                </c:pt>
                <c:pt idx="16">
                  <c:v>0</c:v>
                </c:pt>
                <c:pt idx="17">
                  <c:v>0</c:v>
                </c:pt>
                <c:pt idx="18">
                  <c:v>0</c:v>
                </c:pt>
                <c:pt idx="19">
                  <c:v>0</c:v>
                </c:pt>
                <c:pt idx="20">
                  <c:v>4121</c:v>
                </c:pt>
              </c:numCache>
            </c:numRef>
          </c:val>
        </c:ser>
        <c:axId val="171288832"/>
        <c:axId val="171377024"/>
      </c:barChart>
      <c:catAx>
        <c:axId val="171288832"/>
        <c:scaling>
          <c:orientation val="minMax"/>
        </c:scaling>
        <c:axPos val="b"/>
        <c:title>
          <c:tx>
            <c:rich>
              <a:bodyPr/>
              <a:lstStyle/>
              <a:p>
                <a:pPr>
                  <a:defRPr b="0"/>
                </a:pPr>
                <a:r>
                  <a:rPr lang="en-US"/>
                  <a:t>Item weights (kg)</a:t>
                </a:r>
              </a:p>
            </c:rich>
          </c:tx>
        </c:title>
        <c:tickLblPos val="nextTo"/>
        <c:txPr>
          <a:bodyPr rot="-5400000" vert="horz"/>
          <a:lstStyle/>
          <a:p>
            <a:pPr>
              <a:defRPr/>
            </a:pPr>
            <a:endParaRPr lang="en-US"/>
          </a:p>
        </c:txPr>
        <c:crossAx val="171377024"/>
        <c:crosses val="autoZero"/>
        <c:auto val="1"/>
        <c:lblAlgn val="ctr"/>
        <c:lblOffset val="100"/>
      </c:catAx>
      <c:valAx>
        <c:axId val="171377024"/>
        <c:scaling>
          <c:orientation val="minMax"/>
        </c:scaling>
        <c:axPos val="l"/>
        <c:majorGridlines/>
        <c:title>
          <c:tx>
            <c:rich>
              <a:bodyPr rot="-5400000" vert="horz"/>
              <a:lstStyle/>
              <a:p>
                <a:pPr>
                  <a:defRPr b="0"/>
                </a:pPr>
                <a:r>
                  <a:rPr lang="en-US"/>
                  <a:t>Weight Imported, 2011 (kg)</a:t>
                </a:r>
              </a:p>
            </c:rich>
          </c:tx>
        </c:title>
        <c:numFmt formatCode="#,##0" sourceLinked="0"/>
        <c:tickLblPos val="nextTo"/>
        <c:crossAx val="171288832"/>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AU"/>
  <c:chart>
    <c:plotArea>
      <c:layout>
        <c:manualLayout>
          <c:layoutTarget val="inner"/>
          <c:xMode val="edge"/>
          <c:yMode val="edge"/>
          <c:x val="0.27332420403971935"/>
          <c:y val="0.16824074074074091"/>
          <c:w val="0.42155367191123383"/>
          <c:h val="0.65376544033690764"/>
        </c:manualLayout>
      </c:layout>
      <c:pieChart>
        <c:varyColors val="1"/>
        <c:ser>
          <c:idx val="0"/>
          <c:order val="0"/>
          <c:dLbls>
            <c:dLbl>
              <c:idx val="0"/>
              <c:layout>
                <c:manualLayout>
                  <c:x val="6.5497851019988923E-2"/>
                  <c:y val="-8.2917092990495225E-2"/>
                </c:manualLayout>
              </c:layout>
              <c:showCatName val="1"/>
              <c:showPercent val="1"/>
            </c:dLbl>
            <c:dLbl>
              <c:idx val="1"/>
              <c:layout>
                <c:manualLayout>
                  <c:x val="1.7164971864855723E-2"/>
                  <c:y val="-6.1494431840089705E-3"/>
                </c:manualLayout>
              </c:layout>
              <c:showCatName val="1"/>
              <c:showPercent val="1"/>
            </c:dLbl>
            <c:dLbl>
              <c:idx val="2"/>
              <c:layout>
                <c:manualLayout>
                  <c:x val="-1.3642556975459589E-3"/>
                  <c:y val="1.084004329967244E-2"/>
                </c:manualLayout>
              </c:layout>
              <c:showCatName val="1"/>
              <c:showPercent val="1"/>
            </c:dLbl>
            <c:dLbl>
              <c:idx val="3"/>
              <c:layout>
                <c:manualLayout>
                  <c:x val="-7.594400699912511E-2"/>
                  <c:y val="-3.4382473024205315E-2"/>
                </c:manualLayout>
              </c:layout>
              <c:showCatName val="1"/>
              <c:showPercent val="1"/>
            </c:dLbl>
            <c:dLbl>
              <c:idx val="4"/>
              <c:numFmt formatCode="0.0%" sourceLinked="0"/>
              <c:spPr/>
              <c:txPr>
                <a:bodyPr/>
                <a:lstStyle/>
                <a:p>
                  <a:pPr>
                    <a:defRPr/>
                  </a:pPr>
                  <a:endParaRPr lang="en-US"/>
                </a:p>
              </c:txPr>
            </c:dLbl>
            <c:numFmt formatCode="0%" sourceLinked="0"/>
            <c:showCatName val="1"/>
            <c:showPercent val="1"/>
            <c:showLeaderLines val="1"/>
          </c:dLbls>
          <c:cat>
            <c:strRef>
              <c:f>'CTCN Poroportions'!$D$211:$D$215</c:f>
              <c:strCache>
                <c:ptCount val="5"/>
                <c:pt idx="0">
                  <c:v> Ink-jet</c:v>
                </c:pt>
                <c:pt idx="1">
                  <c:v> Dot matrix</c:v>
                </c:pt>
                <c:pt idx="2">
                  <c:v> Laser</c:v>
                </c:pt>
                <c:pt idx="3">
                  <c:v> Other printers</c:v>
                </c:pt>
                <c:pt idx="4">
                  <c:v> Other</c:v>
                </c:pt>
              </c:strCache>
            </c:strRef>
          </c:cat>
          <c:val>
            <c:numRef>
              <c:f>'CTCN Poroportions'!$E$211:$E$215</c:f>
              <c:numCache>
                <c:formatCode>_-* #,##0_-;\-* #,##0_-;_-* "-"??_-;_-@_-</c:formatCode>
                <c:ptCount val="5"/>
                <c:pt idx="0">
                  <c:v>159856</c:v>
                </c:pt>
                <c:pt idx="1">
                  <c:v>9922</c:v>
                </c:pt>
                <c:pt idx="2">
                  <c:v>460659</c:v>
                </c:pt>
                <c:pt idx="3">
                  <c:v>28568</c:v>
                </c:pt>
                <c:pt idx="4">
                  <c:v>1750</c:v>
                </c:pt>
              </c:numCache>
            </c:numRef>
          </c:val>
        </c:ser>
        <c:firstSliceAng val="0"/>
      </c:pieChart>
    </c:plotArea>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AU"/>
  <c:chart>
    <c:title>
      <c:tx>
        <c:rich>
          <a:bodyPr/>
          <a:lstStyle/>
          <a:p>
            <a:pPr algn="l">
              <a:defRPr sz="1000"/>
            </a:pPr>
            <a:r>
              <a:rPr lang="en-US"/>
              <a:t>SC07 8443.32.00 71</a:t>
            </a:r>
          </a:p>
          <a:p>
            <a:pPr algn="l">
              <a:defRPr sz="1000"/>
            </a:pPr>
            <a:r>
              <a:rPr lang="en-US"/>
              <a:t>Distribution of units</a:t>
            </a:r>
            <a:r>
              <a:rPr lang="en-US" baseline="0"/>
              <a:t> imported</a:t>
            </a:r>
            <a:endParaRPr lang="en-US"/>
          </a:p>
        </c:rich>
      </c:tx>
      <c:layout>
        <c:manualLayout>
          <c:xMode val="edge"/>
          <c:yMode val="edge"/>
          <c:x val="3.8888843440024627E-2"/>
          <c:y val="3.2033171385491804E-2"/>
        </c:manualLayout>
      </c:layout>
    </c:title>
    <c:plotArea>
      <c:layout/>
      <c:barChart>
        <c:barDir val="col"/>
        <c:grouping val="clustered"/>
        <c:ser>
          <c:idx val="0"/>
          <c:order val="0"/>
          <c:cat>
            <c:strRef>
              <c:f>'tc 6'!$Q$74:$Q$94</c:f>
              <c:strCache>
                <c:ptCount val="21"/>
                <c:pt idx="0">
                  <c:v>0 - 10</c:v>
                </c:pt>
                <c:pt idx="1">
                  <c:v>10 - 20</c:v>
                </c:pt>
                <c:pt idx="2">
                  <c:v>20 - 30</c:v>
                </c:pt>
                <c:pt idx="3">
                  <c:v>30 - 40</c:v>
                </c:pt>
                <c:pt idx="4">
                  <c:v>40 - 50</c:v>
                </c:pt>
                <c:pt idx="5">
                  <c:v>50 - 60</c:v>
                </c:pt>
                <c:pt idx="6">
                  <c:v>60 - 70</c:v>
                </c:pt>
                <c:pt idx="7">
                  <c:v>70 - 80</c:v>
                </c:pt>
                <c:pt idx="8">
                  <c:v>80 - 90</c:v>
                </c:pt>
                <c:pt idx="9">
                  <c:v>90 - 100</c:v>
                </c:pt>
                <c:pt idx="10">
                  <c:v>100 - 110</c:v>
                </c:pt>
                <c:pt idx="11">
                  <c:v>110 - 120</c:v>
                </c:pt>
                <c:pt idx="12">
                  <c:v>120 - 130</c:v>
                </c:pt>
                <c:pt idx="13">
                  <c:v>130 - 140</c:v>
                </c:pt>
                <c:pt idx="14">
                  <c:v>140 - 150</c:v>
                </c:pt>
                <c:pt idx="15">
                  <c:v>150 - 160</c:v>
                </c:pt>
                <c:pt idx="16">
                  <c:v>160 - 170</c:v>
                </c:pt>
                <c:pt idx="17">
                  <c:v>170 - 180</c:v>
                </c:pt>
                <c:pt idx="18">
                  <c:v>180 - 190</c:v>
                </c:pt>
                <c:pt idx="19">
                  <c:v>190 - 200</c:v>
                </c:pt>
                <c:pt idx="20">
                  <c:v>&gt;200</c:v>
                </c:pt>
              </c:strCache>
            </c:strRef>
          </c:cat>
          <c:val>
            <c:numRef>
              <c:f>'tc 6'!$AD$74:$AD$94</c:f>
              <c:numCache>
                <c:formatCode>_-* #,##0.0_-;\-* #,##0.0_-;_-* "-"??_-;_-@_-</c:formatCode>
                <c:ptCount val="21"/>
                <c:pt idx="0">
                  <c:v>82249</c:v>
                </c:pt>
                <c:pt idx="1">
                  <c:v>5281</c:v>
                </c:pt>
                <c:pt idx="2">
                  <c:v>1592</c:v>
                </c:pt>
                <c:pt idx="3">
                  <c:v>632</c:v>
                </c:pt>
                <c:pt idx="4">
                  <c:v>0</c:v>
                </c:pt>
                <c:pt idx="5">
                  <c:v>1106</c:v>
                </c:pt>
                <c:pt idx="6">
                  <c:v>1098</c:v>
                </c:pt>
                <c:pt idx="7">
                  <c:v>1003</c:v>
                </c:pt>
                <c:pt idx="8">
                  <c:v>820</c:v>
                </c:pt>
                <c:pt idx="9">
                  <c:v>807</c:v>
                </c:pt>
                <c:pt idx="10">
                  <c:v>0</c:v>
                </c:pt>
                <c:pt idx="11">
                  <c:v>892</c:v>
                </c:pt>
                <c:pt idx="12">
                  <c:v>933</c:v>
                </c:pt>
                <c:pt idx="13">
                  <c:v>876</c:v>
                </c:pt>
                <c:pt idx="14">
                  <c:v>866</c:v>
                </c:pt>
                <c:pt idx="15">
                  <c:v>910</c:v>
                </c:pt>
                <c:pt idx="16">
                  <c:v>861</c:v>
                </c:pt>
                <c:pt idx="17">
                  <c:v>0</c:v>
                </c:pt>
                <c:pt idx="18">
                  <c:v>1068</c:v>
                </c:pt>
                <c:pt idx="19">
                  <c:v>0</c:v>
                </c:pt>
                <c:pt idx="20">
                  <c:v>886</c:v>
                </c:pt>
              </c:numCache>
            </c:numRef>
          </c:val>
        </c:ser>
        <c:axId val="171403136"/>
        <c:axId val="171409408"/>
      </c:barChart>
      <c:catAx>
        <c:axId val="171403136"/>
        <c:scaling>
          <c:orientation val="minMax"/>
        </c:scaling>
        <c:axPos val="b"/>
        <c:title>
          <c:tx>
            <c:rich>
              <a:bodyPr/>
              <a:lstStyle/>
              <a:p>
                <a:pPr>
                  <a:defRPr b="0"/>
                </a:pPr>
                <a:r>
                  <a:rPr lang="en-US"/>
                  <a:t>Item weights (kg)</a:t>
                </a:r>
              </a:p>
            </c:rich>
          </c:tx>
        </c:title>
        <c:tickLblPos val="nextTo"/>
        <c:txPr>
          <a:bodyPr rot="-5400000" vert="horz"/>
          <a:lstStyle/>
          <a:p>
            <a:pPr>
              <a:defRPr/>
            </a:pPr>
            <a:endParaRPr lang="en-US"/>
          </a:p>
        </c:txPr>
        <c:crossAx val="171409408"/>
        <c:crosses val="autoZero"/>
        <c:auto val="1"/>
        <c:lblAlgn val="ctr"/>
        <c:lblOffset val="100"/>
      </c:catAx>
      <c:valAx>
        <c:axId val="171409408"/>
        <c:scaling>
          <c:orientation val="minMax"/>
        </c:scaling>
        <c:axPos val="l"/>
        <c:majorGridlines/>
        <c:title>
          <c:tx>
            <c:rich>
              <a:bodyPr rot="-5400000" vert="horz"/>
              <a:lstStyle/>
              <a:p>
                <a:pPr>
                  <a:defRPr b="0"/>
                </a:pPr>
                <a:r>
                  <a:rPr lang="en-US"/>
                  <a:t>Weight Imported, 2011 (kg)</a:t>
                </a:r>
              </a:p>
            </c:rich>
          </c:tx>
        </c:title>
        <c:numFmt formatCode="#,##0" sourceLinked="0"/>
        <c:tickLblPos val="nextTo"/>
        <c:crossAx val="171403136"/>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0679C-AE85-4485-A5F3-32BB50188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16481</Words>
  <Characters>93945</Characters>
  <Application>Microsoft Office Word</Application>
  <DocSecurity>4</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Perchards</Company>
  <LinksUpToDate>false</LinksUpToDate>
  <CharactersWithSpaces>110206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Perchard</dc:creator>
  <cp:lastModifiedBy>Ryan Black</cp:lastModifiedBy>
  <cp:revision>2</cp:revision>
  <cp:lastPrinted>2011-09-27T23:57:00Z</cp:lastPrinted>
  <dcterms:created xsi:type="dcterms:W3CDTF">2011-10-06T03:24:00Z</dcterms:created>
  <dcterms:modified xsi:type="dcterms:W3CDTF">2011-10-06T03:24:00Z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