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93" w:type="dxa"/>
        <w:tblInd w:w="-856" w:type="dxa"/>
        <w:tblLook w:val="04A0" w:firstRow="1" w:lastRow="0" w:firstColumn="1" w:lastColumn="0" w:noHBand="0" w:noVBand="1"/>
      </w:tblPr>
      <w:tblGrid>
        <w:gridCol w:w="2127"/>
        <w:gridCol w:w="4105"/>
        <w:gridCol w:w="9361"/>
      </w:tblGrid>
      <w:tr w:rsidR="00920A47" w:rsidRPr="00E34735" w14:paraId="416111AC" w14:textId="77777777" w:rsidTr="00920A47">
        <w:tc>
          <w:tcPr>
            <w:tcW w:w="2127" w:type="dxa"/>
            <w:tcBorders>
              <w:top w:val="nil"/>
              <w:left w:val="nil"/>
              <w:bottom w:val="nil"/>
              <w:right w:val="nil"/>
            </w:tcBorders>
          </w:tcPr>
          <w:p w14:paraId="37765A48" w14:textId="77777777" w:rsidR="00920A47" w:rsidRPr="00E34735" w:rsidRDefault="00920A47">
            <w:pPr>
              <w:rPr>
                <w:b/>
                <w:bCs/>
                <w:sz w:val="20"/>
                <w:szCs w:val="20"/>
                <w:u w:val="single"/>
              </w:rPr>
            </w:pPr>
          </w:p>
        </w:tc>
        <w:tc>
          <w:tcPr>
            <w:tcW w:w="4105" w:type="dxa"/>
            <w:tcBorders>
              <w:top w:val="nil"/>
              <w:left w:val="nil"/>
              <w:bottom w:val="nil"/>
              <w:right w:val="nil"/>
            </w:tcBorders>
          </w:tcPr>
          <w:p w14:paraId="52723FAA" w14:textId="77777777" w:rsidR="00920A47" w:rsidRPr="00E34735" w:rsidRDefault="00920A47">
            <w:pPr>
              <w:rPr>
                <w:b/>
                <w:bCs/>
                <w:sz w:val="20"/>
                <w:szCs w:val="20"/>
                <w:u w:val="single"/>
              </w:rPr>
            </w:pPr>
          </w:p>
        </w:tc>
        <w:tc>
          <w:tcPr>
            <w:tcW w:w="9361" w:type="dxa"/>
            <w:tcBorders>
              <w:top w:val="nil"/>
              <w:left w:val="nil"/>
              <w:bottom w:val="nil"/>
              <w:right w:val="nil"/>
            </w:tcBorders>
          </w:tcPr>
          <w:p w14:paraId="04014FDA" w14:textId="77777777" w:rsidR="00920A47" w:rsidRPr="00E34735" w:rsidRDefault="00920A47">
            <w:pPr>
              <w:rPr>
                <w:b/>
                <w:bCs/>
                <w:sz w:val="20"/>
                <w:szCs w:val="20"/>
                <w:u w:val="single"/>
              </w:rPr>
            </w:pPr>
          </w:p>
        </w:tc>
      </w:tr>
      <w:tr w:rsidR="00920A47" w:rsidRPr="00E34735" w14:paraId="0EAAB235" w14:textId="77777777" w:rsidTr="00920A47">
        <w:tc>
          <w:tcPr>
            <w:tcW w:w="2127" w:type="dxa"/>
            <w:tcBorders>
              <w:top w:val="nil"/>
              <w:left w:val="nil"/>
              <w:bottom w:val="nil"/>
              <w:right w:val="nil"/>
            </w:tcBorders>
          </w:tcPr>
          <w:p w14:paraId="207691D7" w14:textId="77777777" w:rsidR="00920A47" w:rsidRPr="00E34735" w:rsidRDefault="00920A47">
            <w:pPr>
              <w:rPr>
                <w:b/>
                <w:bCs/>
                <w:sz w:val="20"/>
                <w:szCs w:val="20"/>
                <w:u w:val="single"/>
              </w:rPr>
            </w:pPr>
          </w:p>
        </w:tc>
        <w:tc>
          <w:tcPr>
            <w:tcW w:w="4105" w:type="dxa"/>
            <w:tcBorders>
              <w:top w:val="nil"/>
              <w:left w:val="nil"/>
              <w:bottom w:val="nil"/>
              <w:right w:val="nil"/>
            </w:tcBorders>
          </w:tcPr>
          <w:p w14:paraId="7FC59A73" w14:textId="77777777" w:rsidR="00920A47" w:rsidRPr="00E34735" w:rsidRDefault="00920A47">
            <w:pPr>
              <w:rPr>
                <w:b/>
                <w:bCs/>
                <w:sz w:val="20"/>
                <w:szCs w:val="20"/>
                <w:u w:val="single"/>
              </w:rPr>
            </w:pPr>
          </w:p>
        </w:tc>
        <w:tc>
          <w:tcPr>
            <w:tcW w:w="9361" w:type="dxa"/>
            <w:tcBorders>
              <w:top w:val="nil"/>
              <w:left w:val="nil"/>
              <w:bottom w:val="nil"/>
              <w:right w:val="nil"/>
            </w:tcBorders>
          </w:tcPr>
          <w:p w14:paraId="5AC33A91" w14:textId="77777777" w:rsidR="00920A47" w:rsidRPr="00E34735" w:rsidRDefault="00920A47">
            <w:pPr>
              <w:rPr>
                <w:b/>
                <w:bCs/>
                <w:sz w:val="20"/>
                <w:szCs w:val="20"/>
                <w:u w:val="single"/>
              </w:rPr>
            </w:pPr>
          </w:p>
        </w:tc>
      </w:tr>
      <w:tr w:rsidR="00920A47" w:rsidRPr="00E34735" w14:paraId="4BA04900" w14:textId="77777777" w:rsidTr="00920A47">
        <w:tc>
          <w:tcPr>
            <w:tcW w:w="2127" w:type="dxa"/>
            <w:tcBorders>
              <w:top w:val="nil"/>
              <w:left w:val="nil"/>
              <w:bottom w:val="nil"/>
              <w:right w:val="nil"/>
            </w:tcBorders>
          </w:tcPr>
          <w:p w14:paraId="6BBAE65E" w14:textId="77777777" w:rsidR="00920A47" w:rsidRPr="00E34735" w:rsidRDefault="00920A47">
            <w:pPr>
              <w:rPr>
                <w:b/>
                <w:bCs/>
                <w:sz w:val="20"/>
                <w:szCs w:val="20"/>
                <w:u w:val="single"/>
              </w:rPr>
            </w:pPr>
          </w:p>
        </w:tc>
        <w:tc>
          <w:tcPr>
            <w:tcW w:w="4105" w:type="dxa"/>
            <w:tcBorders>
              <w:top w:val="nil"/>
              <w:left w:val="nil"/>
              <w:bottom w:val="nil"/>
              <w:right w:val="nil"/>
            </w:tcBorders>
          </w:tcPr>
          <w:p w14:paraId="7C248687" w14:textId="77777777" w:rsidR="00920A47" w:rsidRPr="00E34735" w:rsidRDefault="00920A47">
            <w:pPr>
              <w:rPr>
                <w:b/>
                <w:bCs/>
                <w:sz w:val="20"/>
                <w:szCs w:val="20"/>
                <w:u w:val="single"/>
              </w:rPr>
            </w:pPr>
          </w:p>
        </w:tc>
        <w:tc>
          <w:tcPr>
            <w:tcW w:w="9361" w:type="dxa"/>
            <w:tcBorders>
              <w:top w:val="nil"/>
              <w:left w:val="nil"/>
              <w:bottom w:val="nil"/>
              <w:right w:val="nil"/>
            </w:tcBorders>
          </w:tcPr>
          <w:p w14:paraId="2049D5EB" w14:textId="77777777" w:rsidR="00920A47" w:rsidRPr="00E34735" w:rsidRDefault="00920A47">
            <w:pPr>
              <w:rPr>
                <w:b/>
                <w:bCs/>
                <w:sz w:val="20"/>
                <w:szCs w:val="20"/>
                <w:u w:val="single"/>
              </w:rPr>
            </w:pPr>
          </w:p>
        </w:tc>
      </w:tr>
      <w:tr w:rsidR="00920A47" w:rsidRPr="00E34735" w14:paraId="7855052E" w14:textId="77777777" w:rsidTr="00920A47">
        <w:tc>
          <w:tcPr>
            <w:tcW w:w="2127" w:type="dxa"/>
            <w:tcBorders>
              <w:top w:val="nil"/>
              <w:left w:val="nil"/>
              <w:bottom w:val="nil"/>
              <w:right w:val="nil"/>
            </w:tcBorders>
          </w:tcPr>
          <w:p w14:paraId="67D7AF59" w14:textId="77777777" w:rsidR="00920A47" w:rsidRPr="00E34735" w:rsidRDefault="00920A47">
            <w:pPr>
              <w:rPr>
                <w:b/>
                <w:bCs/>
                <w:sz w:val="20"/>
                <w:szCs w:val="20"/>
                <w:u w:val="single"/>
              </w:rPr>
            </w:pPr>
          </w:p>
        </w:tc>
        <w:tc>
          <w:tcPr>
            <w:tcW w:w="4105" w:type="dxa"/>
            <w:tcBorders>
              <w:top w:val="nil"/>
              <w:left w:val="nil"/>
              <w:bottom w:val="nil"/>
              <w:right w:val="nil"/>
            </w:tcBorders>
          </w:tcPr>
          <w:p w14:paraId="586ED9F3" w14:textId="77777777" w:rsidR="00920A47" w:rsidRPr="00E34735" w:rsidRDefault="00920A47">
            <w:pPr>
              <w:rPr>
                <w:b/>
                <w:bCs/>
                <w:sz w:val="20"/>
                <w:szCs w:val="20"/>
                <w:u w:val="single"/>
              </w:rPr>
            </w:pPr>
          </w:p>
        </w:tc>
        <w:tc>
          <w:tcPr>
            <w:tcW w:w="9361" w:type="dxa"/>
            <w:tcBorders>
              <w:top w:val="nil"/>
              <w:left w:val="nil"/>
              <w:bottom w:val="nil"/>
              <w:right w:val="nil"/>
            </w:tcBorders>
          </w:tcPr>
          <w:p w14:paraId="2FAC1958" w14:textId="77777777" w:rsidR="00920A47" w:rsidRPr="00E34735" w:rsidRDefault="00920A47">
            <w:pPr>
              <w:rPr>
                <w:b/>
                <w:bCs/>
                <w:sz w:val="20"/>
                <w:szCs w:val="20"/>
                <w:u w:val="single"/>
              </w:rPr>
            </w:pPr>
          </w:p>
        </w:tc>
      </w:tr>
      <w:tr w:rsidR="00920A47" w:rsidRPr="00E34735" w14:paraId="0D5AB485" w14:textId="77777777" w:rsidTr="00920A47">
        <w:tc>
          <w:tcPr>
            <w:tcW w:w="2127" w:type="dxa"/>
            <w:tcBorders>
              <w:top w:val="nil"/>
              <w:left w:val="nil"/>
              <w:bottom w:val="single" w:sz="4" w:space="0" w:color="auto"/>
              <w:right w:val="nil"/>
            </w:tcBorders>
          </w:tcPr>
          <w:p w14:paraId="3A2FF01F" w14:textId="77777777" w:rsidR="00920A47" w:rsidRPr="00E34735" w:rsidRDefault="00920A47">
            <w:pPr>
              <w:rPr>
                <w:b/>
                <w:bCs/>
                <w:sz w:val="20"/>
                <w:szCs w:val="20"/>
                <w:u w:val="single"/>
              </w:rPr>
            </w:pPr>
          </w:p>
        </w:tc>
        <w:tc>
          <w:tcPr>
            <w:tcW w:w="4105" w:type="dxa"/>
            <w:tcBorders>
              <w:top w:val="nil"/>
              <w:left w:val="nil"/>
              <w:bottom w:val="single" w:sz="4" w:space="0" w:color="auto"/>
              <w:right w:val="nil"/>
            </w:tcBorders>
          </w:tcPr>
          <w:p w14:paraId="5C1BA13D" w14:textId="77777777" w:rsidR="00920A47" w:rsidRPr="00E34735" w:rsidRDefault="00920A47">
            <w:pPr>
              <w:rPr>
                <w:b/>
                <w:bCs/>
                <w:sz w:val="20"/>
                <w:szCs w:val="20"/>
                <w:u w:val="single"/>
              </w:rPr>
            </w:pPr>
          </w:p>
        </w:tc>
        <w:tc>
          <w:tcPr>
            <w:tcW w:w="9361" w:type="dxa"/>
            <w:tcBorders>
              <w:top w:val="nil"/>
              <w:left w:val="nil"/>
              <w:bottom w:val="single" w:sz="4" w:space="0" w:color="auto"/>
              <w:right w:val="nil"/>
            </w:tcBorders>
          </w:tcPr>
          <w:p w14:paraId="2B05820B" w14:textId="77777777" w:rsidR="00920A47" w:rsidRPr="00E34735" w:rsidRDefault="00920A47">
            <w:pPr>
              <w:rPr>
                <w:b/>
                <w:bCs/>
                <w:sz w:val="20"/>
                <w:szCs w:val="20"/>
                <w:u w:val="single"/>
              </w:rPr>
            </w:pPr>
          </w:p>
        </w:tc>
      </w:tr>
      <w:tr w:rsidR="00C468C0" w:rsidRPr="00E34735" w14:paraId="2DB86297" w14:textId="77777777" w:rsidTr="00920A47">
        <w:tc>
          <w:tcPr>
            <w:tcW w:w="2127" w:type="dxa"/>
            <w:tcBorders>
              <w:top w:val="single" w:sz="4" w:space="0" w:color="auto"/>
            </w:tcBorders>
          </w:tcPr>
          <w:p w14:paraId="7C1857A3" w14:textId="4D396A0A" w:rsidR="00C468C0" w:rsidRPr="00E34735" w:rsidRDefault="00C468C0">
            <w:pPr>
              <w:rPr>
                <w:b/>
                <w:bCs/>
                <w:sz w:val="20"/>
                <w:szCs w:val="20"/>
                <w:u w:val="single"/>
              </w:rPr>
            </w:pPr>
            <w:r w:rsidRPr="00E34735">
              <w:rPr>
                <w:b/>
                <w:bCs/>
                <w:sz w:val="20"/>
                <w:szCs w:val="20"/>
                <w:u w:val="single"/>
              </w:rPr>
              <w:t>MEETING DATE</w:t>
            </w:r>
          </w:p>
        </w:tc>
        <w:tc>
          <w:tcPr>
            <w:tcW w:w="4105" w:type="dxa"/>
            <w:tcBorders>
              <w:top w:val="single" w:sz="4" w:space="0" w:color="auto"/>
            </w:tcBorders>
          </w:tcPr>
          <w:p w14:paraId="4CE6F349" w14:textId="4CCA04C6" w:rsidR="00C468C0" w:rsidRPr="00E34735" w:rsidRDefault="00C468C0">
            <w:pPr>
              <w:rPr>
                <w:b/>
                <w:bCs/>
                <w:sz w:val="20"/>
                <w:szCs w:val="20"/>
                <w:u w:val="single"/>
              </w:rPr>
            </w:pPr>
            <w:r w:rsidRPr="00E34735">
              <w:rPr>
                <w:b/>
                <w:bCs/>
                <w:sz w:val="20"/>
                <w:szCs w:val="20"/>
                <w:u w:val="single"/>
              </w:rPr>
              <w:t>AGENDA ITEM</w:t>
            </w:r>
          </w:p>
        </w:tc>
        <w:tc>
          <w:tcPr>
            <w:tcW w:w="9361" w:type="dxa"/>
            <w:tcBorders>
              <w:top w:val="single" w:sz="4" w:space="0" w:color="auto"/>
            </w:tcBorders>
          </w:tcPr>
          <w:p w14:paraId="53102716" w14:textId="3B728E23" w:rsidR="00C468C0" w:rsidRPr="00E34735" w:rsidRDefault="00C468C0">
            <w:pPr>
              <w:rPr>
                <w:b/>
                <w:bCs/>
                <w:sz w:val="20"/>
                <w:szCs w:val="20"/>
                <w:u w:val="single"/>
              </w:rPr>
            </w:pPr>
            <w:r w:rsidRPr="00E34735">
              <w:rPr>
                <w:b/>
                <w:bCs/>
                <w:sz w:val="20"/>
                <w:szCs w:val="20"/>
                <w:u w:val="single"/>
              </w:rPr>
              <w:t>OUTCOME</w:t>
            </w:r>
          </w:p>
        </w:tc>
      </w:tr>
      <w:tr w:rsidR="00C468C0" w14:paraId="3C5B620B" w14:textId="77777777" w:rsidTr="00C45335">
        <w:tc>
          <w:tcPr>
            <w:tcW w:w="2127" w:type="dxa"/>
          </w:tcPr>
          <w:p w14:paraId="15AB0E67" w14:textId="4428394A" w:rsidR="00C468C0" w:rsidRPr="00FB2882" w:rsidRDefault="00C468C0">
            <w:pPr>
              <w:rPr>
                <w:sz w:val="20"/>
                <w:szCs w:val="20"/>
              </w:rPr>
            </w:pPr>
            <w:r w:rsidRPr="00FB2882">
              <w:rPr>
                <w:sz w:val="20"/>
                <w:szCs w:val="20"/>
              </w:rPr>
              <w:t>8 March 2023</w:t>
            </w:r>
          </w:p>
        </w:tc>
        <w:tc>
          <w:tcPr>
            <w:tcW w:w="4105" w:type="dxa"/>
          </w:tcPr>
          <w:p w14:paraId="5E544D33" w14:textId="41A42689" w:rsidR="00C468C0" w:rsidRPr="00FB2882" w:rsidRDefault="00C468C0" w:rsidP="00E34735">
            <w:pPr>
              <w:spacing w:line="259" w:lineRule="auto"/>
              <w:rPr>
                <w:sz w:val="20"/>
                <w:szCs w:val="20"/>
              </w:rPr>
            </w:pPr>
            <w:r w:rsidRPr="00FB2882">
              <w:rPr>
                <w:b/>
                <w:bCs/>
                <w:sz w:val="20"/>
                <w:szCs w:val="20"/>
              </w:rPr>
              <w:t>Remote Sensing Surveillance Update</w:t>
            </w:r>
          </w:p>
        </w:tc>
        <w:tc>
          <w:tcPr>
            <w:tcW w:w="9361" w:type="dxa"/>
          </w:tcPr>
          <w:p w14:paraId="632277D0" w14:textId="59B27969" w:rsidR="00C468C0" w:rsidRPr="00FB2882" w:rsidRDefault="00C468C0" w:rsidP="00E34735">
            <w:pPr>
              <w:pStyle w:val="ListParagraph"/>
              <w:numPr>
                <w:ilvl w:val="0"/>
                <w:numId w:val="2"/>
              </w:numPr>
              <w:rPr>
                <w:sz w:val="20"/>
                <w:szCs w:val="20"/>
              </w:rPr>
            </w:pPr>
            <w:r w:rsidRPr="00FB2882">
              <w:rPr>
                <w:sz w:val="20"/>
                <w:szCs w:val="20"/>
              </w:rPr>
              <w:t xml:space="preserve">item was </w:t>
            </w:r>
            <w:r w:rsidRPr="00FB2882">
              <w:rPr>
                <w:b/>
                <w:bCs/>
                <w:sz w:val="20"/>
                <w:szCs w:val="20"/>
              </w:rPr>
              <w:t>noted</w:t>
            </w:r>
            <w:r w:rsidRPr="00FB2882">
              <w:rPr>
                <w:sz w:val="20"/>
                <w:szCs w:val="20"/>
              </w:rPr>
              <w:t xml:space="preserve"> and the Program’s request for an independent review of the RSS Review was endorsed.</w:t>
            </w:r>
          </w:p>
        </w:tc>
      </w:tr>
      <w:tr w:rsidR="00C468C0" w14:paraId="26371078" w14:textId="77777777" w:rsidTr="00C45335">
        <w:tc>
          <w:tcPr>
            <w:tcW w:w="2127" w:type="dxa"/>
          </w:tcPr>
          <w:p w14:paraId="08C9D056" w14:textId="77777777" w:rsidR="00C468C0" w:rsidRDefault="00C468C0">
            <w:pPr>
              <w:rPr>
                <w:sz w:val="20"/>
                <w:szCs w:val="20"/>
              </w:rPr>
            </w:pPr>
          </w:p>
          <w:p w14:paraId="537A4100" w14:textId="77777777" w:rsidR="00920A47" w:rsidRDefault="00920A47" w:rsidP="00920A47">
            <w:pPr>
              <w:rPr>
                <w:sz w:val="20"/>
                <w:szCs w:val="20"/>
              </w:rPr>
            </w:pPr>
          </w:p>
          <w:p w14:paraId="2324A67C" w14:textId="77777777" w:rsidR="00920A47" w:rsidRDefault="00920A47" w:rsidP="00920A47">
            <w:pPr>
              <w:rPr>
                <w:sz w:val="20"/>
                <w:szCs w:val="20"/>
              </w:rPr>
            </w:pPr>
          </w:p>
          <w:p w14:paraId="18CD2706" w14:textId="77777777" w:rsidR="00920A47" w:rsidRPr="00920A47" w:rsidRDefault="00920A47" w:rsidP="00920A47">
            <w:pPr>
              <w:rPr>
                <w:sz w:val="20"/>
                <w:szCs w:val="20"/>
              </w:rPr>
            </w:pPr>
          </w:p>
        </w:tc>
        <w:tc>
          <w:tcPr>
            <w:tcW w:w="4105" w:type="dxa"/>
          </w:tcPr>
          <w:p w14:paraId="115EE1A8" w14:textId="09690609" w:rsidR="00C468C0" w:rsidRPr="00FB2882" w:rsidRDefault="00C468C0" w:rsidP="00C468C0">
            <w:pPr>
              <w:spacing w:after="160" w:line="259" w:lineRule="auto"/>
              <w:rPr>
                <w:b/>
                <w:bCs/>
                <w:sz w:val="20"/>
                <w:szCs w:val="20"/>
              </w:rPr>
            </w:pPr>
            <w:r w:rsidRPr="00FB2882">
              <w:rPr>
                <w:b/>
                <w:bCs/>
                <w:sz w:val="20"/>
                <w:szCs w:val="20"/>
              </w:rPr>
              <w:t>Legislative Responsibility (General Biosecurity Obligation)</w:t>
            </w:r>
          </w:p>
        </w:tc>
        <w:tc>
          <w:tcPr>
            <w:tcW w:w="9361" w:type="dxa"/>
          </w:tcPr>
          <w:p w14:paraId="1B216A7A" w14:textId="5977B497" w:rsidR="00C468C0" w:rsidRPr="00FB2882" w:rsidRDefault="00C468C0" w:rsidP="00C468C0">
            <w:pPr>
              <w:pStyle w:val="ListParagraph"/>
              <w:numPr>
                <w:ilvl w:val="0"/>
                <w:numId w:val="1"/>
              </w:numPr>
              <w:rPr>
                <w:sz w:val="20"/>
                <w:szCs w:val="20"/>
              </w:rPr>
            </w:pPr>
            <w:r w:rsidRPr="00FB2882">
              <w:rPr>
                <w:b/>
                <w:bCs/>
                <w:sz w:val="20"/>
                <w:szCs w:val="20"/>
              </w:rPr>
              <w:t>noted</w:t>
            </w:r>
            <w:r w:rsidRPr="00FB2882">
              <w:rPr>
                <w:sz w:val="20"/>
                <w:szCs w:val="20"/>
              </w:rPr>
              <w:t xml:space="preserve"> that the Program is developing a guideline under the Biosecurity Act 2014 to provide advice on how individuals and businesses can discharge their GBO in relation to preventing fire ant infestation on property they control</w:t>
            </w:r>
            <w:r w:rsidR="00332F07">
              <w:rPr>
                <w:sz w:val="20"/>
                <w:szCs w:val="20"/>
              </w:rPr>
              <w:t>.</w:t>
            </w:r>
          </w:p>
          <w:p w14:paraId="6BFE94CC" w14:textId="77777777" w:rsidR="00C468C0" w:rsidRPr="00FB2882" w:rsidRDefault="00C468C0" w:rsidP="00C468C0">
            <w:pPr>
              <w:pStyle w:val="ListParagraph"/>
              <w:numPr>
                <w:ilvl w:val="0"/>
                <w:numId w:val="1"/>
              </w:numPr>
              <w:rPr>
                <w:sz w:val="20"/>
                <w:szCs w:val="20"/>
              </w:rPr>
            </w:pPr>
            <w:r w:rsidRPr="00FB2882">
              <w:rPr>
                <w:b/>
                <w:bCs/>
                <w:sz w:val="20"/>
                <w:szCs w:val="20"/>
              </w:rPr>
              <w:t>noted</w:t>
            </w:r>
            <w:r w:rsidRPr="00FB2882">
              <w:rPr>
                <w:sz w:val="20"/>
                <w:szCs w:val="20"/>
              </w:rPr>
              <w:t xml:space="preserve"> that the Program continues to explore potential enhancements to the biosecurity regulatory framework.</w:t>
            </w:r>
          </w:p>
          <w:p w14:paraId="0003A0A9" w14:textId="3785DF31" w:rsidR="00C468C0" w:rsidRPr="00FB2882" w:rsidRDefault="00C468C0" w:rsidP="00E34735">
            <w:pPr>
              <w:pStyle w:val="ListParagraph"/>
              <w:numPr>
                <w:ilvl w:val="0"/>
                <w:numId w:val="1"/>
              </w:numPr>
              <w:spacing w:line="259" w:lineRule="auto"/>
              <w:rPr>
                <w:sz w:val="20"/>
                <w:szCs w:val="20"/>
              </w:rPr>
            </w:pPr>
            <w:r w:rsidRPr="00FB2882">
              <w:rPr>
                <w:b/>
                <w:bCs/>
                <w:sz w:val="20"/>
                <w:szCs w:val="20"/>
              </w:rPr>
              <w:t>agreed</w:t>
            </w:r>
            <w:r w:rsidRPr="00FB2882">
              <w:rPr>
                <w:sz w:val="20"/>
                <w:szCs w:val="20"/>
              </w:rPr>
              <w:t xml:space="preserve"> the Program would commission an independent consultant to complete a</w:t>
            </w:r>
            <w:r w:rsidR="004F3335">
              <w:rPr>
                <w:sz w:val="20"/>
                <w:szCs w:val="20"/>
              </w:rPr>
              <w:t>n</w:t>
            </w:r>
            <w:r w:rsidRPr="00FB2882">
              <w:rPr>
                <w:sz w:val="20"/>
                <w:szCs w:val="20"/>
              </w:rPr>
              <w:t xml:space="preserve"> assessment on </w:t>
            </w:r>
            <w:r w:rsidR="004F3335">
              <w:rPr>
                <w:sz w:val="20"/>
                <w:szCs w:val="20"/>
              </w:rPr>
              <w:t xml:space="preserve">the risk of fire ant movement in </w:t>
            </w:r>
            <w:r w:rsidRPr="00FB2882">
              <w:rPr>
                <w:sz w:val="20"/>
                <w:szCs w:val="20"/>
              </w:rPr>
              <w:t xml:space="preserve">the interstate movement of </w:t>
            </w:r>
            <w:r w:rsidR="004F3335">
              <w:rPr>
                <w:sz w:val="20"/>
                <w:szCs w:val="20"/>
              </w:rPr>
              <w:t>commodities</w:t>
            </w:r>
            <w:r w:rsidRPr="00FB2882">
              <w:rPr>
                <w:sz w:val="20"/>
                <w:szCs w:val="20"/>
              </w:rPr>
              <w:t>.</w:t>
            </w:r>
          </w:p>
        </w:tc>
      </w:tr>
      <w:tr w:rsidR="00C468C0" w14:paraId="73428940" w14:textId="77777777" w:rsidTr="00C45335">
        <w:tc>
          <w:tcPr>
            <w:tcW w:w="2127" w:type="dxa"/>
          </w:tcPr>
          <w:p w14:paraId="297F915B" w14:textId="77777777" w:rsidR="00C468C0" w:rsidRPr="00FB2882" w:rsidRDefault="00C468C0">
            <w:pPr>
              <w:rPr>
                <w:sz w:val="20"/>
                <w:szCs w:val="20"/>
              </w:rPr>
            </w:pPr>
          </w:p>
        </w:tc>
        <w:tc>
          <w:tcPr>
            <w:tcW w:w="4105" w:type="dxa"/>
          </w:tcPr>
          <w:p w14:paraId="30ADCBE0" w14:textId="77777777" w:rsidR="00C468C0" w:rsidRPr="00FB2882" w:rsidRDefault="00C468C0" w:rsidP="00C468C0">
            <w:pPr>
              <w:pStyle w:val="NoSpacing"/>
              <w:spacing w:before="120" w:after="120"/>
              <w:jc w:val="both"/>
              <w:rPr>
                <w:rFonts w:asciiTheme="minorHAnsi" w:eastAsiaTheme="minorHAnsi" w:hAnsiTheme="minorHAnsi" w:cstheme="minorBidi"/>
                <w:b/>
                <w:bCs/>
                <w:sz w:val="20"/>
                <w:szCs w:val="20"/>
                <w:lang w:eastAsia="en-US"/>
              </w:rPr>
            </w:pPr>
            <w:r w:rsidRPr="00FB2882">
              <w:rPr>
                <w:rFonts w:asciiTheme="minorHAnsi" w:eastAsiaTheme="minorHAnsi" w:hAnsiTheme="minorHAnsi" w:cstheme="minorBidi"/>
                <w:b/>
                <w:bCs/>
                <w:sz w:val="20"/>
                <w:szCs w:val="20"/>
                <w:lang w:eastAsia="en-US"/>
              </w:rPr>
              <w:t xml:space="preserve">Governance Arrangement for the National Fire Ant Eradication Program 2023-27 </w:t>
            </w:r>
          </w:p>
          <w:p w14:paraId="1DF8157B" w14:textId="77777777" w:rsidR="00C468C0" w:rsidRPr="00FB2882" w:rsidRDefault="00C468C0">
            <w:pPr>
              <w:rPr>
                <w:sz w:val="20"/>
                <w:szCs w:val="20"/>
              </w:rPr>
            </w:pPr>
          </w:p>
        </w:tc>
        <w:tc>
          <w:tcPr>
            <w:tcW w:w="9361" w:type="dxa"/>
          </w:tcPr>
          <w:p w14:paraId="32FDC88F" w14:textId="2F513B8D" w:rsidR="00C468C0" w:rsidRPr="00FB2882" w:rsidRDefault="00C468C0" w:rsidP="00E34735">
            <w:pPr>
              <w:pStyle w:val="NoSpacing"/>
              <w:numPr>
                <w:ilvl w:val="0"/>
                <w:numId w:val="1"/>
              </w:numPr>
              <w:jc w:val="both"/>
              <w:rPr>
                <w:rFonts w:asciiTheme="minorHAnsi" w:eastAsiaTheme="minorHAnsi" w:hAnsiTheme="minorHAnsi" w:cstheme="minorBidi"/>
                <w:sz w:val="20"/>
                <w:szCs w:val="20"/>
                <w:lang w:eastAsia="en-US"/>
              </w:rPr>
            </w:pPr>
            <w:r w:rsidRPr="00FB2882">
              <w:rPr>
                <w:rFonts w:asciiTheme="minorHAnsi" w:eastAsiaTheme="minorHAnsi" w:hAnsiTheme="minorHAnsi" w:cstheme="minorBidi"/>
                <w:sz w:val="20"/>
                <w:szCs w:val="20"/>
                <w:lang w:eastAsia="en-US"/>
              </w:rPr>
              <w:t xml:space="preserve">noted that the Governance Plan endorsed at the December </w:t>
            </w:r>
            <w:r w:rsidR="004F3335" w:rsidRPr="00FB2882">
              <w:rPr>
                <w:rFonts w:asciiTheme="minorHAnsi" w:eastAsiaTheme="minorHAnsi" w:hAnsiTheme="minorHAnsi" w:cstheme="minorBidi"/>
                <w:sz w:val="20"/>
                <w:szCs w:val="20"/>
                <w:lang w:eastAsia="en-US"/>
              </w:rPr>
              <w:t>202</w:t>
            </w:r>
            <w:r w:rsidR="004F3335">
              <w:rPr>
                <w:rFonts w:asciiTheme="minorHAnsi" w:eastAsiaTheme="minorHAnsi" w:hAnsiTheme="minorHAnsi" w:cstheme="minorBidi"/>
                <w:sz w:val="20"/>
                <w:szCs w:val="20"/>
                <w:lang w:eastAsia="en-US"/>
              </w:rPr>
              <w:t>2</w:t>
            </w:r>
            <w:r w:rsidR="004F3335" w:rsidRPr="00FB2882">
              <w:rPr>
                <w:rFonts w:asciiTheme="minorHAnsi" w:eastAsiaTheme="minorHAnsi" w:hAnsiTheme="minorHAnsi" w:cstheme="minorBidi"/>
                <w:sz w:val="20"/>
                <w:szCs w:val="20"/>
                <w:lang w:eastAsia="en-US"/>
              </w:rPr>
              <w:t xml:space="preserve"> </w:t>
            </w:r>
            <w:r w:rsidRPr="00FB2882">
              <w:rPr>
                <w:rFonts w:asciiTheme="minorHAnsi" w:eastAsiaTheme="minorHAnsi" w:hAnsiTheme="minorHAnsi" w:cstheme="minorBidi"/>
                <w:sz w:val="20"/>
                <w:szCs w:val="20"/>
                <w:lang w:eastAsia="en-US"/>
              </w:rPr>
              <w:t>meeting has been amended in response to members requests for minor edits.</w:t>
            </w:r>
          </w:p>
          <w:p w14:paraId="515CE178" w14:textId="21835AF4" w:rsidR="00C468C0" w:rsidRPr="00FB2882" w:rsidRDefault="00C468C0" w:rsidP="00E34735">
            <w:pPr>
              <w:pStyle w:val="NoSpacing"/>
              <w:numPr>
                <w:ilvl w:val="0"/>
                <w:numId w:val="1"/>
              </w:numPr>
              <w:jc w:val="both"/>
              <w:rPr>
                <w:rFonts w:asciiTheme="minorHAnsi" w:eastAsiaTheme="minorHAnsi" w:hAnsiTheme="minorHAnsi" w:cstheme="minorBidi"/>
                <w:sz w:val="20"/>
                <w:szCs w:val="20"/>
                <w:lang w:eastAsia="en-US"/>
              </w:rPr>
            </w:pPr>
            <w:r w:rsidRPr="00FB2882">
              <w:rPr>
                <w:rFonts w:asciiTheme="minorHAnsi" w:eastAsiaTheme="minorHAnsi" w:hAnsiTheme="minorHAnsi" w:cstheme="minorBidi"/>
                <w:sz w:val="20"/>
                <w:szCs w:val="20"/>
                <w:lang w:eastAsia="en-US"/>
              </w:rPr>
              <w:t xml:space="preserve">members </w:t>
            </w:r>
            <w:r w:rsidRPr="00FB2882">
              <w:rPr>
                <w:rFonts w:asciiTheme="minorHAnsi" w:eastAsiaTheme="minorHAnsi" w:hAnsiTheme="minorHAnsi" w:cstheme="minorBidi"/>
                <w:b/>
                <w:bCs/>
                <w:sz w:val="20"/>
                <w:szCs w:val="20"/>
                <w:lang w:eastAsia="en-US"/>
              </w:rPr>
              <w:t>endorsed</w:t>
            </w:r>
            <w:r w:rsidRPr="00FB2882">
              <w:rPr>
                <w:rFonts w:asciiTheme="minorHAnsi" w:eastAsiaTheme="minorHAnsi" w:hAnsiTheme="minorHAnsi" w:cstheme="minorBidi"/>
                <w:sz w:val="20"/>
                <w:szCs w:val="20"/>
                <w:lang w:eastAsia="en-US"/>
              </w:rPr>
              <w:t xml:space="preserve"> the updated Governance Plan, after the Chair’s edits and reporting diagram have been updated, to be forwarded as part of the package of accompanying documents to the Tactical Response Plan 2023-27.</w:t>
            </w:r>
          </w:p>
        </w:tc>
      </w:tr>
      <w:tr w:rsidR="00C468C0" w14:paraId="6234717F" w14:textId="77777777" w:rsidTr="00C45335">
        <w:tc>
          <w:tcPr>
            <w:tcW w:w="2127" w:type="dxa"/>
          </w:tcPr>
          <w:p w14:paraId="5A985DE0" w14:textId="77777777" w:rsidR="00C468C0" w:rsidRPr="00FB2882" w:rsidRDefault="00C468C0">
            <w:pPr>
              <w:rPr>
                <w:sz w:val="20"/>
                <w:szCs w:val="20"/>
              </w:rPr>
            </w:pPr>
          </w:p>
        </w:tc>
        <w:tc>
          <w:tcPr>
            <w:tcW w:w="4105" w:type="dxa"/>
          </w:tcPr>
          <w:p w14:paraId="22563D82" w14:textId="66C42FED" w:rsidR="00C468C0" w:rsidRPr="00FB2882" w:rsidRDefault="00C468C0" w:rsidP="00C468C0">
            <w:pPr>
              <w:pStyle w:val="NoSpacing"/>
              <w:spacing w:before="120" w:after="120"/>
              <w:jc w:val="both"/>
              <w:rPr>
                <w:rFonts w:asciiTheme="minorHAnsi" w:eastAsiaTheme="minorHAnsi" w:hAnsiTheme="minorHAnsi" w:cstheme="minorBidi"/>
                <w:b/>
                <w:bCs/>
                <w:sz w:val="20"/>
                <w:szCs w:val="20"/>
                <w:lang w:eastAsia="en-US"/>
              </w:rPr>
            </w:pPr>
            <w:r w:rsidRPr="00FB2882">
              <w:rPr>
                <w:rFonts w:asciiTheme="minorHAnsi" w:eastAsiaTheme="minorHAnsi" w:hAnsiTheme="minorHAnsi" w:cstheme="minorBidi"/>
                <w:b/>
                <w:bCs/>
                <w:sz w:val="20"/>
                <w:szCs w:val="20"/>
                <w:lang w:eastAsia="en-US"/>
              </w:rPr>
              <w:t>Proof of Freedom Strategy (PoF)</w:t>
            </w:r>
          </w:p>
        </w:tc>
        <w:tc>
          <w:tcPr>
            <w:tcW w:w="9361" w:type="dxa"/>
          </w:tcPr>
          <w:p w14:paraId="234A0C24" w14:textId="1D2CB157" w:rsidR="00C468C0" w:rsidRPr="00FB2882" w:rsidRDefault="00C468C0" w:rsidP="00E34735">
            <w:pPr>
              <w:pStyle w:val="NoSpacing"/>
              <w:numPr>
                <w:ilvl w:val="0"/>
                <w:numId w:val="3"/>
              </w:numPr>
              <w:ind w:left="709" w:hanging="357"/>
              <w:jc w:val="both"/>
              <w:rPr>
                <w:rFonts w:asciiTheme="minorHAnsi" w:eastAsiaTheme="minorHAnsi" w:hAnsiTheme="minorHAnsi" w:cstheme="minorBidi"/>
                <w:sz w:val="20"/>
                <w:szCs w:val="20"/>
                <w:lang w:eastAsia="en-US"/>
              </w:rPr>
            </w:pPr>
            <w:r w:rsidRPr="00FB2882">
              <w:rPr>
                <w:rFonts w:asciiTheme="minorHAnsi" w:eastAsiaTheme="minorHAnsi" w:hAnsiTheme="minorHAnsi" w:cstheme="minorBidi"/>
                <w:sz w:val="20"/>
                <w:szCs w:val="20"/>
                <w:lang w:eastAsia="en-US"/>
              </w:rPr>
              <w:t xml:space="preserve">Members </w:t>
            </w:r>
            <w:r w:rsidRPr="00FB2882">
              <w:rPr>
                <w:rFonts w:asciiTheme="minorHAnsi" w:eastAsiaTheme="minorHAnsi" w:hAnsiTheme="minorHAnsi" w:cstheme="minorBidi"/>
                <w:b/>
                <w:bCs/>
                <w:sz w:val="20"/>
                <w:szCs w:val="20"/>
                <w:lang w:eastAsia="en-US"/>
              </w:rPr>
              <w:t>noted</w:t>
            </w:r>
            <w:r w:rsidRPr="00FB2882">
              <w:rPr>
                <w:rFonts w:asciiTheme="minorHAnsi" w:eastAsiaTheme="minorHAnsi" w:hAnsiTheme="minorHAnsi" w:cstheme="minorBidi"/>
                <w:sz w:val="20"/>
                <w:szCs w:val="20"/>
                <w:lang w:eastAsia="en-US"/>
              </w:rPr>
              <w:t xml:space="preserve"> the P</w:t>
            </w:r>
            <w:r w:rsidR="00B347EA">
              <w:rPr>
                <w:rFonts w:asciiTheme="minorHAnsi" w:eastAsiaTheme="minorHAnsi" w:hAnsiTheme="minorHAnsi" w:cstheme="minorBidi"/>
                <w:sz w:val="20"/>
                <w:szCs w:val="20"/>
                <w:lang w:eastAsia="en-US"/>
              </w:rPr>
              <w:t>ro</w:t>
            </w:r>
            <w:r w:rsidRPr="00FB2882">
              <w:rPr>
                <w:rFonts w:asciiTheme="minorHAnsi" w:eastAsiaTheme="minorHAnsi" w:hAnsiTheme="minorHAnsi" w:cstheme="minorBidi"/>
                <w:sz w:val="20"/>
                <w:szCs w:val="20"/>
                <w:lang w:eastAsia="en-US"/>
              </w:rPr>
              <w:t>o</w:t>
            </w:r>
            <w:r w:rsidR="00B347EA">
              <w:rPr>
                <w:rFonts w:asciiTheme="minorHAnsi" w:eastAsiaTheme="minorHAnsi" w:hAnsiTheme="minorHAnsi" w:cstheme="minorBidi"/>
                <w:sz w:val="20"/>
                <w:szCs w:val="20"/>
                <w:lang w:eastAsia="en-US"/>
              </w:rPr>
              <w:t xml:space="preserve">f of </w:t>
            </w:r>
            <w:r w:rsidRPr="00FB2882">
              <w:rPr>
                <w:rFonts w:asciiTheme="minorHAnsi" w:eastAsiaTheme="minorHAnsi" w:hAnsiTheme="minorHAnsi" w:cstheme="minorBidi"/>
                <w:sz w:val="20"/>
                <w:szCs w:val="20"/>
                <w:lang w:eastAsia="en-US"/>
              </w:rPr>
              <w:t>F</w:t>
            </w:r>
            <w:r w:rsidR="00B347EA">
              <w:rPr>
                <w:rFonts w:asciiTheme="minorHAnsi" w:eastAsiaTheme="minorHAnsi" w:hAnsiTheme="minorHAnsi" w:cstheme="minorBidi"/>
                <w:sz w:val="20"/>
                <w:szCs w:val="20"/>
                <w:lang w:eastAsia="en-US"/>
              </w:rPr>
              <w:t>reedom</w:t>
            </w:r>
            <w:r w:rsidRPr="00FB2882">
              <w:rPr>
                <w:rFonts w:asciiTheme="minorHAnsi" w:eastAsiaTheme="minorHAnsi" w:hAnsiTheme="minorHAnsi" w:cstheme="minorBidi"/>
                <w:sz w:val="20"/>
                <w:szCs w:val="20"/>
                <w:lang w:eastAsia="en-US"/>
              </w:rPr>
              <w:t xml:space="preserve"> Strategy had been independently reviewed by the Centre for International Economics and the report presented to the NRIFAEP on 3 March 2023.</w:t>
            </w:r>
          </w:p>
          <w:p w14:paraId="6182639D" w14:textId="42120028" w:rsidR="00C468C0" w:rsidRPr="00FB2882" w:rsidRDefault="00C468C0" w:rsidP="00E34735">
            <w:pPr>
              <w:pStyle w:val="NoSpacing"/>
              <w:numPr>
                <w:ilvl w:val="0"/>
                <w:numId w:val="4"/>
              </w:numPr>
              <w:jc w:val="both"/>
              <w:rPr>
                <w:sz w:val="20"/>
                <w:szCs w:val="20"/>
              </w:rPr>
            </w:pPr>
            <w:r w:rsidRPr="00FB2882">
              <w:rPr>
                <w:rFonts w:asciiTheme="minorHAnsi" w:eastAsiaTheme="minorHAnsi" w:hAnsiTheme="minorHAnsi" w:cstheme="minorBidi"/>
                <w:sz w:val="20"/>
                <w:szCs w:val="20"/>
                <w:lang w:eastAsia="en-US"/>
              </w:rPr>
              <w:t xml:space="preserve">Recommendations within the report were discussed and the Proof of Freedom Strategy noting the comments made by the Steering Committee was </w:t>
            </w:r>
            <w:r w:rsidRPr="00FB2882">
              <w:rPr>
                <w:rFonts w:asciiTheme="minorHAnsi" w:eastAsiaTheme="minorHAnsi" w:hAnsiTheme="minorHAnsi" w:cstheme="minorBidi"/>
                <w:b/>
                <w:bCs/>
                <w:sz w:val="20"/>
                <w:szCs w:val="20"/>
                <w:lang w:eastAsia="en-US"/>
              </w:rPr>
              <w:t>endorsed</w:t>
            </w:r>
            <w:r w:rsidRPr="00FB2882">
              <w:rPr>
                <w:rFonts w:asciiTheme="minorHAnsi" w:eastAsiaTheme="minorHAnsi" w:hAnsiTheme="minorHAnsi" w:cstheme="minorBidi"/>
                <w:sz w:val="20"/>
                <w:szCs w:val="20"/>
                <w:lang w:eastAsia="en-US"/>
              </w:rPr>
              <w:t>.</w:t>
            </w:r>
          </w:p>
        </w:tc>
      </w:tr>
      <w:tr w:rsidR="00C468C0" w14:paraId="234AE4C5" w14:textId="77777777" w:rsidTr="00C45335">
        <w:tc>
          <w:tcPr>
            <w:tcW w:w="2127" w:type="dxa"/>
          </w:tcPr>
          <w:p w14:paraId="10F311D2" w14:textId="77777777" w:rsidR="00C468C0" w:rsidRPr="00FB2882" w:rsidRDefault="00C468C0">
            <w:pPr>
              <w:rPr>
                <w:sz w:val="20"/>
                <w:szCs w:val="20"/>
              </w:rPr>
            </w:pPr>
          </w:p>
        </w:tc>
        <w:tc>
          <w:tcPr>
            <w:tcW w:w="4105" w:type="dxa"/>
          </w:tcPr>
          <w:p w14:paraId="57FF625B" w14:textId="1B9CF72E" w:rsidR="00C468C0" w:rsidRPr="00FB2882" w:rsidRDefault="00C468C0" w:rsidP="00C468C0">
            <w:pPr>
              <w:pStyle w:val="NoSpacing"/>
              <w:spacing w:before="120" w:after="120"/>
              <w:jc w:val="both"/>
              <w:rPr>
                <w:rFonts w:asciiTheme="minorHAnsi" w:eastAsiaTheme="minorHAnsi" w:hAnsiTheme="minorHAnsi" w:cstheme="minorBidi"/>
                <w:b/>
                <w:bCs/>
                <w:sz w:val="20"/>
                <w:szCs w:val="20"/>
                <w:lang w:eastAsia="en-US"/>
              </w:rPr>
            </w:pPr>
            <w:r w:rsidRPr="00FB2882">
              <w:rPr>
                <w:rFonts w:asciiTheme="minorHAnsi" w:eastAsiaTheme="minorHAnsi" w:hAnsiTheme="minorHAnsi" w:cstheme="minorBidi"/>
                <w:b/>
                <w:bCs/>
                <w:sz w:val="20"/>
                <w:szCs w:val="20"/>
                <w:lang w:eastAsia="en-US"/>
              </w:rPr>
              <w:t>NFAEP Tactical Operational Response Plan 2023-27</w:t>
            </w:r>
          </w:p>
        </w:tc>
        <w:tc>
          <w:tcPr>
            <w:tcW w:w="9361" w:type="dxa"/>
          </w:tcPr>
          <w:p w14:paraId="51D87BB0" w14:textId="76B48BC9" w:rsidR="00773F1F" w:rsidRPr="00E34735" w:rsidRDefault="00B347EA" w:rsidP="00E34735">
            <w:pPr>
              <w:pStyle w:val="NoSpacing"/>
              <w:numPr>
                <w:ilvl w:val="0"/>
                <w:numId w:val="3"/>
              </w:numPr>
              <w:ind w:left="709" w:hanging="357"/>
              <w:jc w:val="both"/>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I</w:t>
            </w:r>
            <w:r w:rsidR="00773F1F" w:rsidRPr="00E34735">
              <w:rPr>
                <w:rFonts w:asciiTheme="minorHAnsi" w:eastAsiaTheme="minorHAnsi" w:hAnsiTheme="minorHAnsi" w:cstheme="minorBidi"/>
                <w:sz w:val="20"/>
                <w:szCs w:val="20"/>
                <w:lang w:eastAsia="en-US"/>
              </w:rPr>
              <w:t xml:space="preserve">t was </w:t>
            </w:r>
            <w:r w:rsidR="00773F1F" w:rsidRPr="00E34735">
              <w:rPr>
                <w:rFonts w:asciiTheme="minorHAnsi" w:eastAsiaTheme="minorHAnsi" w:hAnsiTheme="minorHAnsi" w:cstheme="minorBidi"/>
                <w:b/>
                <w:bCs/>
                <w:sz w:val="20"/>
                <w:szCs w:val="20"/>
                <w:lang w:eastAsia="en-US"/>
              </w:rPr>
              <w:t>noted</w:t>
            </w:r>
            <w:r w:rsidR="00773F1F" w:rsidRPr="00E34735">
              <w:rPr>
                <w:rFonts w:asciiTheme="minorHAnsi" w:eastAsiaTheme="minorHAnsi" w:hAnsiTheme="minorHAnsi" w:cstheme="minorBidi"/>
                <w:sz w:val="20"/>
                <w:szCs w:val="20"/>
                <w:lang w:eastAsia="en-US"/>
              </w:rPr>
              <w:t xml:space="preserve"> the draft Response Plan has been updated to incorporate feedback from Steering Committee members following the December </w:t>
            </w:r>
            <w:r w:rsidR="004F3335">
              <w:rPr>
                <w:rFonts w:asciiTheme="minorHAnsi" w:eastAsiaTheme="minorHAnsi" w:hAnsiTheme="minorHAnsi" w:cstheme="minorBidi"/>
                <w:sz w:val="20"/>
                <w:szCs w:val="20"/>
                <w:lang w:eastAsia="en-US"/>
              </w:rPr>
              <w:t xml:space="preserve">2022 </w:t>
            </w:r>
            <w:r w:rsidR="00773F1F" w:rsidRPr="00E34735">
              <w:rPr>
                <w:rFonts w:asciiTheme="minorHAnsi" w:eastAsiaTheme="minorHAnsi" w:hAnsiTheme="minorHAnsi" w:cstheme="minorBidi"/>
                <w:sz w:val="20"/>
                <w:szCs w:val="20"/>
                <w:lang w:eastAsia="en-US"/>
              </w:rPr>
              <w:t>extraordinary meeting.</w:t>
            </w:r>
          </w:p>
          <w:p w14:paraId="790DF297" w14:textId="77777777" w:rsidR="00773F1F" w:rsidRPr="00FB2882" w:rsidRDefault="00773F1F" w:rsidP="00E34735">
            <w:pPr>
              <w:pStyle w:val="NoSpacing"/>
              <w:numPr>
                <w:ilvl w:val="0"/>
                <w:numId w:val="3"/>
              </w:numPr>
              <w:ind w:left="709" w:hanging="357"/>
              <w:jc w:val="both"/>
              <w:rPr>
                <w:rFonts w:asciiTheme="minorHAnsi" w:eastAsiaTheme="minorHAnsi" w:hAnsiTheme="minorHAnsi" w:cstheme="minorBidi"/>
                <w:sz w:val="20"/>
                <w:szCs w:val="20"/>
                <w:lang w:eastAsia="en-US"/>
              </w:rPr>
            </w:pPr>
            <w:r w:rsidRPr="00FB2882">
              <w:rPr>
                <w:rFonts w:asciiTheme="minorHAnsi" w:eastAsiaTheme="minorHAnsi" w:hAnsiTheme="minorHAnsi" w:cstheme="minorBidi"/>
                <w:sz w:val="20"/>
                <w:szCs w:val="20"/>
                <w:lang w:eastAsia="en-US"/>
              </w:rPr>
              <w:t xml:space="preserve">the Program’s draft Response, noting the qualifying comments of the Steering Committee, to be forwarded to the AgSOC related to their endorsement to AgMIN, was </w:t>
            </w:r>
            <w:r w:rsidRPr="00E34735">
              <w:rPr>
                <w:rFonts w:asciiTheme="minorHAnsi" w:eastAsiaTheme="minorHAnsi" w:hAnsiTheme="minorHAnsi" w:cstheme="minorBidi"/>
                <w:b/>
                <w:bCs/>
                <w:sz w:val="20"/>
                <w:szCs w:val="20"/>
                <w:lang w:eastAsia="en-US"/>
              </w:rPr>
              <w:t>endorsed</w:t>
            </w:r>
            <w:r w:rsidRPr="00FB2882">
              <w:rPr>
                <w:rFonts w:asciiTheme="minorHAnsi" w:eastAsiaTheme="minorHAnsi" w:hAnsiTheme="minorHAnsi" w:cstheme="minorBidi"/>
                <w:sz w:val="20"/>
                <w:szCs w:val="20"/>
                <w:lang w:eastAsia="en-US"/>
              </w:rPr>
              <w:t>.</w:t>
            </w:r>
          </w:p>
          <w:p w14:paraId="7B6D1851" w14:textId="6D0AFC23" w:rsidR="00C468C0" w:rsidRPr="00FB2882" w:rsidRDefault="00773F1F" w:rsidP="00E34735">
            <w:pPr>
              <w:pStyle w:val="NoSpacing"/>
              <w:numPr>
                <w:ilvl w:val="0"/>
                <w:numId w:val="3"/>
              </w:numPr>
              <w:ind w:left="709" w:hanging="357"/>
              <w:jc w:val="both"/>
              <w:rPr>
                <w:rFonts w:asciiTheme="minorHAnsi" w:eastAsiaTheme="minorHAnsi" w:hAnsiTheme="minorHAnsi" w:cstheme="minorBidi"/>
                <w:sz w:val="20"/>
                <w:szCs w:val="20"/>
                <w:lang w:eastAsia="en-US"/>
              </w:rPr>
            </w:pPr>
            <w:r w:rsidRPr="00E34735">
              <w:rPr>
                <w:rFonts w:asciiTheme="minorHAnsi" w:eastAsiaTheme="minorHAnsi" w:hAnsiTheme="minorHAnsi" w:cstheme="minorBidi"/>
                <w:b/>
                <w:bCs/>
                <w:sz w:val="20"/>
                <w:szCs w:val="20"/>
                <w:lang w:eastAsia="en-US"/>
              </w:rPr>
              <w:t>agreed</w:t>
            </w:r>
            <w:r w:rsidRPr="00FB2882">
              <w:rPr>
                <w:rFonts w:asciiTheme="minorHAnsi" w:eastAsiaTheme="minorHAnsi" w:hAnsiTheme="minorHAnsi" w:cstheme="minorBidi"/>
                <w:sz w:val="20"/>
                <w:szCs w:val="20"/>
                <w:lang w:eastAsia="en-US"/>
              </w:rPr>
              <w:t xml:space="preserve"> the Response Plan to be amended to include bi-annual review of CPI figures and to include NBC in the reporting diagram, and the Eradication Strategy, Governance Plan, Proof of Freedom Strategy, review of the Remote Sensing Surveillance and current risk matrix would accompany the Response Plan when forwarded to AgSOC</w:t>
            </w:r>
            <w:r w:rsidR="00332F07">
              <w:rPr>
                <w:rFonts w:asciiTheme="minorHAnsi" w:eastAsiaTheme="minorHAnsi" w:hAnsiTheme="minorHAnsi" w:cstheme="minorBidi"/>
                <w:sz w:val="20"/>
                <w:szCs w:val="20"/>
                <w:lang w:eastAsia="en-US"/>
              </w:rPr>
              <w:t>.</w:t>
            </w:r>
          </w:p>
        </w:tc>
      </w:tr>
      <w:tr w:rsidR="00C468C0" w14:paraId="1762575D" w14:textId="77777777" w:rsidTr="00C45335">
        <w:tc>
          <w:tcPr>
            <w:tcW w:w="2127" w:type="dxa"/>
          </w:tcPr>
          <w:p w14:paraId="0B373176" w14:textId="14A9FF69" w:rsidR="00057FDA" w:rsidRPr="00FB2882" w:rsidRDefault="00057FDA">
            <w:pPr>
              <w:rPr>
                <w:sz w:val="20"/>
                <w:szCs w:val="20"/>
              </w:rPr>
            </w:pPr>
          </w:p>
        </w:tc>
        <w:tc>
          <w:tcPr>
            <w:tcW w:w="4105" w:type="dxa"/>
          </w:tcPr>
          <w:p w14:paraId="5F7131D0" w14:textId="3E18E809" w:rsidR="00C468C0" w:rsidRPr="00FB2882" w:rsidRDefault="00773F1F" w:rsidP="00773F1F">
            <w:pPr>
              <w:spacing w:after="160" w:line="259" w:lineRule="auto"/>
              <w:rPr>
                <w:b/>
                <w:bCs/>
                <w:sz w:val="20"/>
                <w:szCs w:val="20"/>
              </w:rPr>
            </w:pPr>
            <w:r w:rsidRPr="00FB2882">
              <w:rPr>
                <w:b/>
                <w:bCs/>
                <w:sz w:val="20"/>
                <w:szCs w:val="20"/>
              </w:rPr>
              <w:t>FAST Plan</w:t>
            </w:r>
          </w:p>
        </w:tc>
        <w:tc>
          <w:tcPr>
            <w:tcW w:w="9361" w:type="dxa"/>
          </w:tcPr>
          <w:p w14:paraId="0C30F2E4" w14:textId="77777777" w:rsidR="00773F1F" w:rsidRPr="00E34735" w:rsidRDefault="00773F1F" w:rsidP="00E34735">
            <w:pPr>
              <w:pStyle w:val="ListParagraph"/>
              <w:numPr>
                <w:ilvl w:val="0"/>
                <w:numId w:val="5"/>
              </w:numPr>
              <w:rPr>
                <w:sz w:val="20"/>
                <w:szCs w:val="20"/>
              </w:rPr>
            </w:pPr>
            <w:r w:rsidRPr="00E34735">
              <w:rPr>
                <w:b/>
                <w:bCs/>
                <w:sz w:val="20"/>
                <w:szCs w:val="20"/>
              </w:rPr>
              <w:t>noted</w:t>
            </w:r>
            <w:r w:rsidRPr="00E34735">
              <w:rPr>
                <w:sz w:val="20"/>
                <w:szCs w:val="20"/>
              </w:rPr>
              <w:t xml:space="preserve"> the draft Fire Ant Suppression Taskforce Plan 2022-23 to 2025-26.</w:t>
            </w:r>
          </w:p>
          <w:p w14:paraId="4CE2DABC" w14:textId="77777777" w:rsidR="00773F1F" w:rsidRPr="00E34735" w:rsidRDefault="00773F1F" w:rsidP="00E34735">
            <w:pPr>
              <w:pStyle w:val="ListParagraph"/>
              <w:numPr>
                <w:ilvl w:val="0"/>
                <w:numId w:val="5"/>
              </w:numPr>
              <w:rPr>
                <w:sz w:val="20"/>
                <w:szCs w:val="20"/>
              </w:rPr>
            </w:pPr>
            <w:r w:rsidRPr="00E34735">
              <w:rPr>
                <w:b/>
                <w:bCs/>
                <w:sz w:val="20"/>
                <w:szCs w:val="20"/>
              </w:rPr>
              <w:t>endorsed</w:t>
            </w:r>
            <w:r w:rsidRPr="00E34735">
              <w:rPr>
                <w:sz w:val="20"/>
                <w:szCs w:val="20"/>
              </w:rPr>
              <w:t xml:space="preserve"> the draft FAST Plan, noting the Steering Committee’s comments to be sent via email by 15 March 2023.</w:t>
            </w:r>
          </w:p>
          <w:p w14:paraId="1490F060" w14:textId="5EEE3510" w:rsidR="00C468C0" w:rsidRPr="00E34735" w:rsidRDefault="00773F1F" w:rsidP="00E34735">
            <w:pPr>
              <w:pStyle w:val="ListParagraph"/>
              <w:numPr>
                <w:ilvl w:val="0"/>
                <w:numId w:val="5"/>
              </w:numPr>
              <w:rPr>
                <w:sz w:val="20"/>
                <w:szCs w:val="20"/>
              </w:rPr>
            </w:pPr>
            <w:r w:rsidRPr="00E34735">
              <w:rPr>
                <w:b/>
                <w:bCs/>
                <w:sz w:val="20"/>
                <w:szCs w:val="20"/>
              </w:rPr>
              <w:t>agreed</w:t>
            </w:r>
            <w:r w:rsidRPr="00E34735">
              <w:rPr>
                <w:sz w:val="20"/>
                <w:szCs w:val="20"/>
              </w:rPr>
              <w:t xml:space="preserve"> to include the FAST Plan in the suite of documents being provided to AgSOC.</w:t>
            </w:r>
          </w:p>
        </w:tc>
      </w:tr>
      <w:tr w:rsidR="00773F1F" w14:paraId="1C6EBEE4" w14:textId="77777777" w:rsidTr="00C45335">
        <w:tc>
          <w:tcPr>
            <w:tcW w:w="2127" w:type="dxa"/>
          </w:tcPr>
          <w:p w14:paraId="730AEC74" w14:textId="77777777" w:rsidR="00773F1F" w:rsidRPr="00FB2882" w:rsidRDefault="00773F1F">
            <w:pPr>
              <w:rPr>
                <w:sz w:val="20"/>
                <w:szCs w:val="20"/>
              </w:rPr>
            </w:pPr>
          </w:p>
        </w:tc>
        <w:tc>
          <w:tcPr>
            <w:tcW w:w="4105" w:type="dxa"/>
          </w:tcPr>
          <w:p w14:paraId="051E0911" w14:textId="006A32E3" w:rsidR="00773F1F" w:rsidRPr="00FB2882" w:rsidRDefault="00773F1F">
            <w:pPr>
              <w:rPr>
                <w:b/>
                <w:bCs/>
                <w:sz w:val="20"/>
                <w:szCs w:val="20"/>
              </w:rPr>
            </w:pPr>
            <w:r w:rsidRPr="00FB2882">
              <w:rPr>
                <w:b/>
                <w:bCs/>
                <w:sz w:val="20"/>
                <w:szCs w:val="20"/>
              </w:rPr>
              <w:t>AgSOC / AgMIN Update</w:t>
            </w:r>
          </w:p>
        </w:tc>
        <w:tc>
          <w:tcPr>
            <w:tcW w:w="9361" w:type="dxa"/>
          </w:tcPr>
          <w:p w14:paraId="6C4E8C71" w14:textId="02896C43" w:rsidR="00773F1F" w:rsidRPr="00E34735" w:rsidRDefault="00773F1F" w:rsidP="00E34735">
            <w:pPr>
              <w:pStyle w:val="ListParagraph"/>
              <w:numPr>
                <w:ilvl w:val="0"/>
                <w:numId w:val="6"/>
              </w:numPr>
              <w:rPr>
                <w:sz w:val="20"/>
                <w:szCs w:val="20"/>
              </w:rPr>
            </w:pPr>
            <w:r w:rsidRPr="00E34735">
              <w:rPr>
                <w:sz w:val="20"/>
                <w:szCs w:val="20"/>
              </w:rPr>
              <w:t xml:space="preserve">the proposed process for obtaining Agriculture Minister’s approval for the Response Plan 2024-27 and associated budget was </w:t>
            </w:r>
            <w:r w:rsidRPr="00E34735">
              <w:rPr>
                <w:b/>
                <w:bCs/>
                <w:sz w:val="20"/>
                <w:szCs w:val="20"/>
              </w:rPr>
              <w:t>noted</w:t>
            </w:r>
            <w:r w:rsidR="00332F07">
              <w:rPr>
                <w:b/>
                <w:bCs/>
                <w:sz w:val="20"/>
                <w:szCs w:val="20"/>
              </w:rPr>
              <w:t>.</w:t>
            </w:r>
          </w:p>
        </w:tc>
      </w:tr>
      <w:tr w:rsidR="00773F1F" w14:paraId="030FCB25" w14:textId="77777777" w:rsidTr="00C45335">
        <w:tc>
          <w:tcPr>
            <w:tcW w:w="2127" w:type="dxa"/>
          </w:tcPr>
          <w:p w14:paraId="58F3D564" w14:textId="77777777" w:rsidR="00773F1F" w:rsidRPr="00FB2882" w:rsidRDefault="00773F1F">
            <w:pPr>
              <w:rPr>
                <w:sz w:val="20"/>
                <w:szCs w:val="20"/>
              </w:rPr>
            </w:pPr>
          </w:p>
        </w:tc>
        <w:tc>
          <w:tcPr>
            <w:tcW w:w="4105" w:type="dxa"/>
          </w:tcPr>
          <w:p w14:paraId="1D4E4328" w14:textId="5E11C37B" w:rsidR="00773F1F" w:rsidRPr="00FB2882" w:rsidRDefault="00773F1F">
            <w:pPr>
              <w:rPr>
                <w:b/>
                <w:bCs/>
                <w:sz w:val="20"/>
                <w:szCs w:val="20"/>
              </w:rPr>
            </w:pPr>
            <w:r w:rsidRPr="00FB2882">
              <w:rPr>
                <w:b/>
                <w:bCs/>
                <w:sz w:val="20"/>
                <w:szCs w:val="20"/>
              </w:rPr>
              <w:t>Financial Update</w:t>
            </w:r>
          </w:p>
        </w:tc>
        <w:tc>
          <w:tcPr>
            <w:tcW w:w="9361" w:type="dxa"/>
          </w:tcPr>
          <w:p w14:paraId="5E732999" w14:textId="30994218" w:rsidR="00773F1F" w:rsidRPr="00E34735" w:rsidRDefault="00773F1F" w:rsidP="00E34735">
            <w:pPr>
              <w:pStyle w:val="ListParagraph"/>
              <w:numPr>
                <w:ilvl w:val="0"/>
                <w:numId w:val="6"/>
              </w:numPr>
              <w:rPr>
                <w:sz w:val="20"/>
                <w:szCs w:val="20"/>
              </w:rPr>
            </w:pPr>
            <w:r w:rsidRPr="00E34735">
              <w:rPr>
                <w:sz w:val="20"/>
                <w:szCs w:val="20"/>
              </w:rPr>
              <w:t xml:space="preserve">the January 2023 Financial Performance Report, the remaining funding under the 10 Year Eradication Plan and the reconciliation of prior year cost sharing apportionment payments were </w:t>
            </w:r>
            <w:r w:rsidRPr="00E34735">
              <w:rPr>
                <w:b/>
                <w:bCs/>
                <w:sz w:val="20"/>
                <w:szCs w:val="20"/>
              </w:rPr>
              <w:t>noted</w:t>
            </w:r>
            <w:r w:rsidR="00332F07">
              <w:rPr>
                <w:b/>
                <w:bCs/>
                <w:sz w:val="20"/>
                <w:szCs w:val="20"/>
              </w:rPr>
              <w:t>.</w:t>
            </w:r>
          </w:p>
        </w:tc>
      </w:tr>
      <w:tr w:rsidR="00773F1F" w14:paraId="4E688516" w14:textId="77777777" w:rsidTr="00CF6FEE">
        <w:tc>
          <w:tcPr>
            <w:tcW w:w="2127" w:type="dxa"/>
            <w:tcBorders>
              <w:bottom w:val="single" w:sz="4" w:space="0" w:color="auto"/>
            </w:tcBorders>
          </w:tcPr>
          <w:p w14:paraId="1C34F886" w14:textId="77777777" w:rsidR="00773F1F" w:rsidRPr="00FB2882" w:rsidRDefault="00773F1F">
            <w:pPr>
              <w:rPr>
                <w:sz w:val="20"/>
                <w:szCs w:val="20"/>
              </w:rPr>
            </w:pPr>
          </w:p>
        </w:tc>
        <w:tc>
          <w:tcPr>
            <w:tcW w:w="4105" w:type="dxa"/>
            <w:tcBorders>
              <w:bottom w:val="single" w:sz="4" w:space="0" w:color="auto"/>
            </w:tcBorders>
          </w:tcPr>
          <w:p w14:paraId="372EF42A" w14:textId="795A898D" w:rsidR="00773F1F" w:rsidRPr="00FB2882" w:rsidRDefault="00773F1F">
            <w:pPr>
              <w:rPr>
                <w:b/>
                <w:bCs/>
                <w:sz w:val="20"/>
                <w:szCs w:val="20"/>
              </w:rPr>
            </w:pPr>
            <w:r w:rsidRPr="00FB2882">
              <w:rPr>
                <w:b/>
                <w:bCs/>
                <w:sz w:val="20"/>
                <w:szCs w:val="20"/>
              </w:rPr>
              <w:t>Transition to Management Plan</w:t>
            </w:r>
          </w:p>
        </w:tc>
        <w:tc>
          <w:tcPr>
            <w:tcW w:w="9361" w:type="dxa"/>
          </w:tcPr>
          <w:p w14:paraId="1F59ADAD" w14:textId="74A2DAC2" w:rsidR="00773F1F" w:rsidRPr="00E34735" w:rsidRDefault="00773F1F" w:rsidP="00E34735">
            <w:pPr>
              <w:pStyle w:val="NoSpacing"/>
              <w:numPr>
                <w:ilvl w:val="0"/>
                <w:numId w:val="3"/>
              </w:numPr>
              <w:ind w:left="720"/>
              <w:rPr>
                <w:rFonts w:asciiTheme="minorHAnsi" w:eastAsiaTheme="minorHAnsi" w:hAnsiTheme="minorHAnsi" w:cstheme="minorBidi"/>
                <w:sz w:val="20"/>
                <w:szCs w:val="20"/>
                <w:lang w:eastAsia="en-US"/>
              </w:rPr>
            </w:pPr>
            <w:r w:rsidRPr="00E34735">
              <w:rPr>
                <w:rFonts w:asciiTheme="minorHAnsi" w:eastAsiaTheme="minorHAnsi" w:hAnsiTheme="minorHAnsi" w:cstheme="minorBidi"/>
                <w:sz w:val="20"/>
                <w:szCs w:val="20"/>
                <w:lang w:eastAsia="en-US"/>
              </w:rPr>
              <w:t xml:space="preserve">available options to progress the transition to management plan once a decision has been made by the agriculture ministers regarding the Tactical Operational Response Plan 2023-2027 were </w:t>
            </w:r>
            <w:r w:rsidRPr="00E34735">
              <w:rPr>
                <w:rFonts w:asciiTheme="minorHAnsi" w:eastAsiaTheme="minorHAnsi" w:hAnsiTheme="minorHAnsi" w:cstheme="minorBidi"/>
                <w:b/>
                <w:bCs/>
                <w:sz w:val="20"/>
                <w:szCs w:val="20"/>
                <w:lang w:eastAsia="en-US"/>
              </w:rPr>
              <w:t>discussed</w:t>
            </w:r>
            <w:r w:rsidRPr="00E34735">
              <w:rPr>
                <w:rFonts w:asciiTheme="minorHAnsi" w:eastAsiaTheme="minorHAnsi" w:hAnsiTheme="minorHAnsi" w:cstheme="minorBidi"/>
                <w:sz w:val="20"/>
                <w:szCs w:val="20"/>
                <w:lang w:eastAsia="en-US"/>
              </w:rPr>
              <w:t>.</w:t>
            </w:r>
          </w:p>
        </w:tc>
      </w:tr>
      <w:tr w:rsidR="00773F1F" w14:paraId="2E16E0DF" w14:textId="77777777" w:rsidTr="00CF6FEE">
        <w:tc>
          <w:tcPr>
            <w:tcW w:w="2127" w:type="dxa"/>
            <w:tcBorders>
              <w:right w:val="nil"/>
            </w:tcBorders>
          </w:tcPr>
          <w:p w14:paraId="566C46DB" w14:textId="1D9FF1C2" w:rsidR="00773F1F" w:rsidRPr="00FB2882" w:rsidRDefault="00773F1F">
            <w:pPr>
              <w:rPr>
                <w:sz w:val="20"/>
                <w:szCs w:val="20"/>
              </w:rPr>
            </w:pPr>
          </w:p>
        </w:tc>
        <w:tc>
          <w:tcPr>
            <w:tcW w:w="4105" w:type="dxa"/>
            <w:tcBorders>
              <w:left w:val="nil"/>
              <w:right w:val="nil"/>
            </w:tcBorders>
          </w:tcPr>
          <w:p w14:paraId="12E723BE" w14:textId="77777777" w:rsidR="00773F1F" w:rsidRPr="00FB2882" w:rsidRDefault="00773F1F">
            <w:pPr>
              <w:rPr>
                <w:b/>
                <w:bCs/>
                <w:sz w:val="20"/>
                <w:szCs w:val="20"/>
              </w:rPr>
            </w:pPr>
          </w:p>
        </w:tc>
        <w:tc>
          <w:tcPr>
            <w:tcW w:w="9361" w:type="dxa"/>
            <w:tcBorders>
              <w:left w:val="nil"/>
            </w:tcBorders>
          </w:tcPr>
          <w:p w14:paraId="4852DDE1" w14:textId="77777777" w:rsidR="00773F1F" w:rsidRPr="00E34735" w:rsidRDefault="00773F1F" w:rsidP="00E34735">
            <w:pPr>
              <w:ind w:left="720"/>
              <w:rPr>
                <w:sz w:val="20"/>
                <w:szCs w:val="20"/>
              </w:rPr>
            </w:pPr>
          </w:p>
        </w:tc>
      </w:tr>
      <w:tr w:rsidR="00773F1F" w14:paraId="66B6BF60" w14:textId="77777777" w:rsidTr="00CF6FEE">
        <w:tc>
          <w:tcPr>
            <w:tcW w:w="2127" w:type="dxa"/>
            <w:tcBorders>
              <w:bottom w:val="single" w:sz="4" w:space="0" w:color="auto"/>
            </w:tcBorders>
          </w:tcPr>
          <w:p w14:paraId="20BD6F70" w14:textId="1C0A5102" w:rsidR="00773F1F" w:rsidRPr="00FB2882" w:rsidRDefault="00773F1F">
            <w:pPr>
              <w:rPr>
                <w:sz w:val="20"/>
                <w:szCs w:val="20"/>
              </w:rPr>
            </w:pPr>
            <w:r w:rsidRPr="00FB2882">
              <w:rPr>
                <w:sz w:val="20"/>
                <w:szCs w:val="20"/>
              </w:rPr>
              <w:t>24 May 2023</w:t>
            </w:r>
          </w:p>
        </w:tc>
        <w:tc>
          <w:tcPr>
            <w:tcW w:w="4105" w:type="dxa"/>
            <w:tcBorders>
              <w:bottom w:val="single" w:sz="4" w:space="0" w:color="auto"/>
            </w:tcBorders>
          </w:tcPr>
          <w:p w14:paraId="1E68E233" w14:textId="77777777" w:rsidR="00773F1F" w:rsidRPr="00FB2882" w:rsidRDefault="00773F1F">
            <w:pPr>
              <w:rPr>
                <w:b/>
                <w:bCs/>
                <w:sz w:val="20"/>
                <w:szCs w:val="20"/>
              </w:rPr>
            </w:pPr>
          </w:p>
        </w:tc>
        <w:tc>
          <w:tcPr>
            <w:tcW w:w="9361" w:type="dxa"/>
          </w:tcPr>
          <w:p w14:paraId="38BA8616" w14:textId="78A5C44A" w:rsidR="00773F1F" w:rsidRPr="00E34735" w:rsidRDefault="00FB2882" w:rsidP="00E34735">
            <w:pPr>
              <w:ind w:left="720"/>
              <w:rPr>
                <w:b/>
                <w:bCs/>
                <w:sz w:val="20"/>
                <w:szCs w:val="20"/>
              </w:rPr>
            </w:pPr>
            <w:r w:rsidRPr="00E34735">
              <w:rPr>
                <w:b/>
                <w:bCs/>
                <w:sz w:val="20"/>
                <w:szCs w:val="20"/>
              </w:rPr>
              <w:t>CANCELLED</w:t>
            </w:r>
          </w:p>
        </w:tc>
      </w:tr>
      <w:tr w:rsidR="00773F1F" w14:paraId="5D3972DE" w14:textId="77777777" w:rsidTr="00CF6FEE">
        <w:tc>
          <w:tcPr>
            <w:tcW w:w="2127" w:type="dxa"/>
            <w:tcBorders>
              <w:right w:val="nil"/>
            </w:tcBorders>
          </w:tcPr>
          <w:p w14:paraId="5815DDA7" w14:textId="77777777" w:rsidR="00773F1F" w:rsidRPr="00FB2882" w:rsidRDefault="00773F1F">
            <w:pPr>
              <w:rPr>
                <w:sz w:val="20"/>
                <w:szCs w:val="20"/>
              </w:rPr>
            </w:pPr>
          </w:p>
        </w:tc>
        <w:tc>
          <w:tcPr>
            <w:tcW w:w="4105" w:type="dxa"/>
            <w:tcBorders>
              <w:left w:val="nil"/>
              <w:right w:val="nil"/>
            </w:tcBorders>
          </w:tcPr>
          <w:p w14:paraId="59E52FBA" w14:textId="77777777" w:rsidR="00773F1F" w:rsidRPr="00FB2882" w:rsidRDefault="00773F1F">
            <w:pPr>
              <w:rPr>
                <w:b/>
                <w:bCs/>
                <w:sz w:val="20"/>
                <w:szCs w:val="20"/>
              </w:rPr>
            </w:pPr>
          </w:p>
        </w:tc>
        <w:tc>
          <w:tcPr>
            <w:tcW w:w="9361" w:type="dxa"/>
            <w:tcBorders>
              <w:left w:val="nil"/>
            </w:tcBorders>
          </w:tcPr>
          <w:p w14:paraId="4864C72A" w14:textId="77777777" w:rsidR="00773F1F" w:rsidRPr="00E34735" w:rsidRDefault="00773F1F" w:rsidP="00E34735">
            <w:pPr>
              <w:ind w:left="720"/>
              <w:rPr>
                <w:sz w:val="20"/>
                <w:szCs w:val="20"/>
              </w:rPr>
            </w:pPr>
          </w:p>
        </w:tc>
      </w:tr>
      <w:tr w:rsidR="00773F1F" w14:paraId="7E815C44" w14:textId="77777777" w:rsidTr="00CF6FEE">
        <w:tc>
          <w:tcPr>
            <w:tcW w:w="2127" w:type="dxa"/>
            <w:tcBorders>
              <w:bottom w:val="single" w:sz="4" w:space="0" w:color="auto"/>
            </w:tcBorders>
          </w:tcPr>
          <w:p w14:paraId="73D644A4" w14:textId="77777777" w:rsidR="00773F1F" w:rsidRPr="00FB2882" w:rsidRDefault="00773F1F" w:rsidP="00773F1F">
            <w:pPr>
              <w:rPr>
                <w:sz w:val="20"/>
                <w:szCs w:val="20"/>
              </w:rPr>
            </w:pPr>
            <w:r w:rsidRPr="00FB2882">
              <w:rPr>
                <w:sz w:val="20"/>
                <w:szCs w:val="20"/>
              </w:rPr>
              <w:t>15 June 2023</w:t>
            </w:r>
          </w:p>
          <w:p w14:paraId="2E148557" w14:textId="087AF629" w:rsidR="00773F1F" w:rsidRPr="00FB2882" w:rsidRDefault="00C45F5B">
            <w:pPr>
              <w:rPr>
                <w:sz w:val="20"/>
                <w:szCs w:val="20"/>
              </w:rPr>
            </w:pPr>
            <w:r w:rsidRPr="00FB2882">
              <w:rPr>
                <w:sz w:val="20"/>
                <w:szCs w:val="20"/>
              </w:rPr>
              <w:t>(Extraordinary meeting)</w:t>
            </w:r>
          </w:p>
        </w:tc>
        <w:tc>
          <w:tcPr>
            <w:tcW w:w="4105" w:type="dxa"/>
            <w:tcBorders>
              <w:bottom w:val="single" w:sz="4" w:space="0" w:color="auto"/>
            </w:tcBorders>
          </w:tcPr>
          <w:p w14:paraId="644C2AED" w14:textId="77777777" w:rsidR="00773F1F" w:rsidRPr="00FB2882" w:rsidRDefault="00773F1F">
            <w:pPr>
              <w:rPr>
                <w:b/>
                <w:bCs/>
                <w:sz w:val="20"/>
                <w:szCs w:val="20"/>
              </w:rPr>
            </w:pPr>
          </w:p>
        </w:tc>
        <w:tc>
          <w:tcPr>
            <w:tcW w:w="9361" w:type="dxa"/>
          </w:tcPr>
          <w:p w14:paraId="05126402" w14:textId="15EF203D" w:rsidR="00C45F5B" w:rsidRPr="00E34735" w:rsidRDefault="00C45F5B" w:rsidP="00E34735">
            <w:pPr>
              <w:pStyle w:val="ListParagraph"/>
              <w:numPr>
                <w:ilvl w:val="0"/>
                <w:numId w:val="3"/>
              </w:numPr>
              <w:ind w:left="720"/>
              <w:rPr>
                <w:sz w:val="20"/>
                <w:szCs w:val="20"/>
              </w:rPr>
            </w:pPr>
            <w:r w:rsidRPr="00E34735">
              <w:rPr>
                <w:sz w:val="20"/>
                <w:szCs w:val="20"/>
              </w:rPr>
              <w:t xml:space="preserve">members </w:t>
            </w:r>
            <w:r w:rsidRPr="00E34735">
              <w:rPr>
                <w:b/>
                <w:bCs/>
                <w:sz w:val="20"/>
                <w:szCs w:val="20"/>
              </w:rPr>
              <w:t>noted</w:t>
            </w:r>
            <w:r w:rsidRPr="00E34735">
              <w:rPr>
                <w:sz w:val="20"/>
                <w:szCs w:val="20"/>
              </w:rPr>
              <w:t xml:space="preserve"> that at the request of the National Biosecurity Committee, the Response Plan 2023-27 has been restructured to consolidate documents, to align with National Environmental Biosecurity Response Agreement (NEBRA) requirements and to include a detailed Work Plan 2023-24.</w:t>
            </w:r>
          </w:p>
          <w:p w14:paraId="2D934152" w14:textId="0C95C37D" w:rsidR="00C45F5B" w:rsidRPr="00E34735" w:rsidRDefault="00C45F5B" w:rsidP="00E34735">
            <w:pPr>
              <w:pStyle w:val="ListParagraph"/>
              <w:numPr>
                <w:ilvl w:val="0"/>
                <w:numId w:val="3"/>
              </w:numPr>
              <w:ind w:left="720"/>
              <w:rPr>
                <w:sz w:val="20"/>
                <w:szCs w:val="20"/>
              </w:rPr>
            </w:pPr>
            <w:r w:rsidRPr="00E34735">
              <w:rPr>
                <w:sz w:val="20"/>
                <w:szCs w:val="20"/>
              </w:rPr>
              <w:t xml:space="preserve">the Work Plan 2023-24 was </w:t>
            </w:r>
            <w:r w:rsidRPr="00E34735">
              <w:rPr>
                <w:b/>
                <w:bCs/>
                <w:sz w:val="20"/>
                <w:szCs w:val="20"/>
              </w:rPr>
              <w:t>discussed</w:t>
            </w:r>
            <w:r w:rsidRPr="00E34735">
              <w:rPr>
                <w:sz w:val="20"/>
                <w:szCs w:val="20"/>
              </w:rPr>
              <w:t xml:space="preserve"> and </w:t>
            </w:r>
            <w:r w:rsidRPr="00E34735">
              <w:rPr>
                <w:b/>
                <w:bCs/>
                <w:sz w:val="20"/>
                <w:szCs w:val="20"/>
              </w:rPr>
              <w:t>endorsed</w:t>
            </w:r>
            <w:r w:rsidRPr="00E34735">
              <w:rPr>
                <w:sz w:val="20"/>
                <w:szCs w:val="20"/>
              </w:rPr>
              <w:t xml:space="preserve"> with no material changes</w:t>
            </w:r>
            <w:r w:rsidR="00391093">
              <w:rPr>
                <w:sz w:val="20"/>
                <w:szCs w:val="20"/>
              </w:rPr>
              <w:t>.</w:t>
            </w:r>
          </w:p>
          <w:p w14:paraId="053DC128" w14:textId="439CB60C" w:rsidR="00C45F5B" w:rsidRPr="00E34735" w:rsidRDefault="00C45F5B" w:rsidP="00E34735">
            <w:pPr>
              <w:pStyle w:val="ListParagraph"/>
              <w:numPr>
                <w:ilvl w:val="0"/>
                <w:numId w:val="3"/>
              </w:numPr>
              <w:ind w:left="720"/>
              <w:rPr>
                <w:sz w:val="20"/>
                <w:szCs w:val="20"/>
              </w:rPr>
            </w:pPr>
            <w:r w:rsidRPr="00E34735">
              <w:rPr>
                <w:sz w:val="20"/>
                <w:szCs w:val="20"/>
              </w:rPr>
              <w:t xml:space="preserve">it was </w:t>
            </w:r>
            <w:r w:rsidRPr="00E34735">
              <w:rPr>
                <w:b/>
                <w:bCs/>
                <w:sz w:val="20"/>
                <w:szCs w:val="20"/>
              </w:rPr>
              <w:t>noted</w:t>
            </w:r>
            <w:r w:rsidRPr="00E34735">
              <w:rPr>
                <w:sz w:val="20"/>
                <w:szCs w:val="20"/>
              </w:rPr>
              <w:t xml:space="preserve"> that an out-of-session paper is being progressed urgently to the Agriculture Senior Officials' Committee (AGSOC) to request senior officials endorse a request to Agriculture Ministers' Meeting (AMM) to bring forward previously approved funding to fund the Program in 23-24.</w:t>
            </w:r>
          </w:p>
          <w:p w14:paraId="36329770" w14:textId="5C3CD3B1" w:rsidR="00773F1F" w:rsidRPr="00E34735" w:rsidRDefault="00C45F5B" w:rsidP="00E34735">
            <w:pPr>
              <w:pStyle w:val="ListParagraph"/>
              <w:numPr>
                <w:ilvl w:val="0"/>
                <w:numId w:val="3"/>
              </w:numPr>
              <w:ind w:left="720"/>
              <w:rPr>
                <w:sz w:val="20"/>
                <w:szCs w:val="20"/>
              </w:rPr>
            </w:pPr>
            <w:r w:rsidRPr="00E34735">
              <w:rPr>
                <w:sz w:val="20"/>
                <w:szCs w:val="20"/>
              </w:rPr>
              <w:t xml:space="preserve">it was </w:t>
            </w:r>
            <w:r w:rsidRPr="00E34735">
              <w:rPr>
                <w:b/>
                <w:bCs/>
                <w:sz w:val="20"/>
                <w:szCs w:val="20"/>
              </w:rPr>
              <w:t>noted</w:t>
            </w:r>
            <w:r w:rsidRPr="00E34735">
              <w:rPr>
                <w:sz w:val="20"/>
                <w:szCs w:val="20"/>
              </w:rPr>
              <w:t xml:space="preserve"> that a second AGSOC paper is planned that will request endorsement of the Response Plan 2023-2027 and in-</w:t>
            </w:r>
            <w:r w:rsidR="005775EE" w:rsidRPr="00E34735">
              <w:rPr>
                <w:sz w:val="20"/>
                <w:szCs w:val="20"/>
              </w:rPr>
              <w:t>principl</w:t>
            </w:r>
            <w:r w:rsidR="005775EE">
              <w:rPr>
                <w:sz w:val="20"/>
                <w:szCs w:val="20"/>
              </w:rPr>
              <w:t>e</w:t>
            </w:r>
            <w:r w:rsidRPr="00E34735">
              <w:rPr>
                <w:sz w:val="20"/>
                <w:szCs w:val="20"/>
              </w:rPr>
              <w:t xml:space="preserve"> endorsement of the budget subject to jurisdictional budgetary processes.</w:t>
            </w:r>
          </w:p>
          <w:p w14:paraId="7B40240B" w14:textId="38071163" w:rsidR="00C45F5B" w:rsidRPr="00E34735" w:rsidRDefault="00C45F5B" w:rsidP="00E34735">
            <w:pPr>
              <w:pStyle w:val="ListParagraph"/>
              <w:numPr>
                <w:ilvl w:val="0"/>
                <w:numId w:val="3"/>
              </w:numPr>
              <w:spacing w:after="120"/>
              <w:ind w:left="720"/>
              <w:rPr>
                <w:sz w:val="20"/>
                <w:szCs w:val="20"/>
              </w:rPr>
            </w:pPr>
            <w:r w:rsidRPr="00E34735">
              <w:rPr>
                <w:sz w:val="20"/>
                <w:szCs w:val="20"/>
              </w:rPr>
              <w:t xml:space="preserve">it was </w:t>
            </w:r>
            <w:r w:rsidRPr="00E34735">
              <w:rPr>
                <w:b/>
                <w:bCs/>
                <w:sz w:val="20"/>
                <w:szCs w:val="20"/>
              </w:rPr>
              <w:t>noted</w:t>
            </w:r>
            <w:r w:rsidRPr="00E34735">
              <w:rPr>
                <w:sz w:val="20"/>
                <w:szCs w:val="20"/>
              </w:rPr>
              <w:t xml:space="preserve"> the Response Plan 2023-27 will be amended with agreed changes prior to progressing to AGSOC for endorsement.</w:t>
            </w:r>
          </w:p>
          <w:p w14:paraId="5917BB82" w14:textId="3BA41464" w:rsidR="00C45F5B" w:rsidRPr="00E34735" w:rsidRDefault="00C45F5B" w:rsidP="00E34735">
            <w:pPr>
              <w:pStyle w:val="ListParagraph"/>
              <w:numPr>
                <w:ilvl w:val="0"/>
                <w:numId w:val="3"/>
              </w:numPr>
              <w:ind w:left="720"/>
              <w:rPr>
                <w:sz w:val="20"/>
                <w:szCs w:val="20"/>
              </w:rPr>
            </w:pPr>
            <w:r w:rsidRPr="00E34735">
              <w:rPr>
                <w:sz w:val="20"/>
                <w:szCs w:val="20"/>
              </w:rPr>
              <w:t xml:space="preserve">it was </w:t>
            </w:r>
            <w:r w:rsidRPr="00E34735">
              <w:rPr>
                <w:b/>
                <w:bCs/>
                <w:sz w:val="20"/>
                <w:szCs w:val="20"/>
              </w:rPr>
              <w:t>noted</w:t>
            </w:r>
            <w:r w:rsidRPr="00E34735">
              <w:rPr>
                <w:sz w:val="20"/>
                <w:szCs w:val="20"/>
              </w:rPr>
              <w:t xml:space="preserve"> that national </w:t>
            </w:r>
            <w:r w:rsidR="004F3335">
              <w:rPr>
                <w:sz w:val="20"/>
                <w:szCs w:val="20"/>
              </w:rPr>
              <w:t xml:space="preserve">cost share partner </w:t>
            </w:r>
            <w:r w:rsidRPr="00E34735">
              <w:rPr>
                <w:sz w:val="20"/>
                <w:szCs w:val="20"/>
              </w:rPr>
              <w:t xml:space="preserve">support for continuation of work towards the next phase of response is </w:t>
            </w:r>
            <w:r w:rsidR="004F3335">
              <w:rPr>
                <w:sz w:val="20"/>
                <w:szCs w:val="20"/>
              </w:rPr>
              <w:t xml:space="preserve">urgently </w:t>
            </w:r>
            <w:r w:rsidRPr="00E34735">
              <w:rPr>
                <w:sz w:val="20"/>
                <w:szCs w:val="20"/>
              </w:rPr>
              <w:t>sought to provide some level of surety to the Program to allow procurement, staff retention and recruitment and to recognise that further delays in approval increases risks that impact the efficiency and effectiveness of the Program.</w:t>
            </w:r>
          </w:p>
        </w:tc>
      </w:tr>
      <w:tr w:rsidR="00E34735" w14:paraId="5A276411" w14:textId="77777777" w:rsidTr="00CF6FEE">
        <w:tc>
          <w:tcPr>
            <w:tcW w:w="2127" w:type="dxa"/>
            <w:tcBorders>
              <w:right w:val="nil"/>
            </w:tcBorders>
          </w:tcPr>
          <w:p w14:paraId="62642F95" w14:textId="77777777" w:rsidR="00E34735" w:rsidRPr="00FB2882" w:rsidRDefault="00E34735" w:rsidP="00773F1F">
            <w:pPr>
              <w:rPr>
                <w:sz w:val="20"/>
                <w:szCs w:val="20"/>
              </w:rPr>
            </w:pPr>
          </w:p>
        </w:tc>
        <w:tc>
          <w:tcPr>
            <w:tcW w:w="4105" w:type="dxa"/>
            <w:tcBorders>
              <w:left w:val="nil"/>
              <w:right w:val="nil"/>
            </w:tcBorders>
          </w:tcPr>
          <w:p w14:paraId="38824B9C" w14:textId="77777777" w:rsidR="00E34735" w:rsidRPr="00FB2882" w:rsidRDefault="00E34735">
            <w:pPr>
              <w:rPr>
                <w:b/>
                <w:bCs/>
                <w:sz w:val="20"/>
                <w:szCs w:val="20"/>
              </w:rPr>
            </w:pPr>
          </w:p>
        </w:tc>
        <w:tc>
          <w:tcPr>
            <w:tcW w:w="9361" w:type="dxa"/>
            <w:tcBorders>
              <w:left w:val="nil"/>
            </w:tcBorders>
          </w:tcPr>
          <w:p w14:paraId="799B6966" w14:textId="77777777" w:rsidR="00E34735" w:rsidRPr="00E34735" w:rsidRDefault="00E34735" w:rsidP="00E34735">
            <w:pPr>
              <w:ind w:left="360"/>
              <w:rPr>
                <w:sz w:val="20"/>
                <w:szCs w:val="20"/>
              </w:rPr>
            </w:pPr>
          </w:p>
        </w:tc>
      </w:tr>
      <w:tr w:rsidR="00773F1F" w14:paraId="6D88CCF6" w14:textId="77777777" w:rsidTr="00C45335">
        <w:tc>
          <w:tcPr>
            <w:tcW w:w="2127" w:type="dxa"/>
          </w:tcPr>
          <w:p w14:paraId="1242D5C6" w14:textId="7A4604BE" w:rsidR="00773F1F" w:rsidRPr="00FB2882" w:rsidRDefault="00C45F5B">
            <w:pPr>
              <w:rPr>
                <w:sz w:val="20"/>
                <w:szCs w:val="20"/>
              </w:rPr>
            </w:pPr>
            <w:r w:rsidRPr="00FB2882">
              <w:rPr>
                <w:sz w:val="20"/>
                <w:szCs w:val="20"/>
              </w:rPr>
              <w:t>23 August 2023</w:t>
            </w:r>
          </w:p>
        </w:tc>
        <w:tc>
          <w:tcPr>
            <w:tcW w:w="4105" w:type="dxa"/>
          </w:tcPr>
          <w:p w14:paraId="290FB684" w14:textId="62618D38" w:rsidR="00773F1F" w:rsidRPr="00FB2882" w:rsidRDefault="00D64BA0">
            <w:pPr>
              <w:rPr>
                <w:b/>
                <w:bCs/>
                <w:sz w:val="20"/>
                <w:szCs w:val="20"/>
              </w:rPr>
            </w:pPr>
            <w:r w:rsidRPr="00FB2882">
              <w:rPr>
                <w:b/>
                <w:bCs/>
                <w:sz w:val="20"/>
                <w:szCs w:val="20"/>
              </w:rPr>
              <w:t xml:space="preserve">Program Executive Update </w:t>
            </w:r>
          </w:p>
        </w:tc>
        <w:tc>
          <w:tcPr>
            <w:tcW w:w="9361" w:type="dxa"/>
          </w:tcPr>
          <w:p w14:paraId="04DBDEDB" w14:textId="1071B836" w:rsidR="00773F1F" w:rsidRPr="00391093" w:rsidRDefault="00B462DA" w:rsidP="00E34735">
            <w:pPr>
              <w:pStyle w:val="ListParagraph"/>
              <w:numPr>
                <w:ilvl w:val="0"/>
                <w:numId w:val="17"/>
              </w:numPr>
              <w:rPr>
                <w:rFonts w:cstheme="minorHAnsi"/>
                <w:sz w:val="20"/>
                <w:szCs w:val="20"/>
              </w:rPr>
            </w:pPr>
            <w:r w:rsidRPr="00391093">
              <w:rPr>
                <w:rFonts w:cstheme="minorHAnsi"/>
                <w:b/>
                <w:bCs/>
                <w:sz w:val="20"/>
                <w:szCs w:val="20"/>
              </w:rPr>
              <w:t>noted</w:t>
            </w:r>
            <w:r w:rsidRPr="00391093">
              <w:rPr>
                <w:rFonts w:cstheme="minorHAnsi"/>
                <w:sz w:val="20"/>
                <w:szCs w:val="20"/>
              </w:rPr>
              <w:t xml:space="preserve"> that t</w:t>
            </w:r>
            <w:r w:rsidR="004C1F83" w:rsidRPr="00391093">
              <w:rPr>
                <w:rFonts w:cstheme="minorHAnsi"/>
                <w:sz w:val="20"/>
                <w:szCs w:val="20"/>
              </w:rPr>
              <w:t>he Program is working towards the Work Plan 2023-24 with planned treatment commencing in September 2023</w:t>
            </w:r>
            <w:r w:rsidR="00332F07">
              <w:rPr>
                <w:rFonts w:cstheme="minorHAnsi"/>
                <w:sz w:val="20"/>
                <w:szCs w:val="20"/>
              </w:rPr>
              <w:t>.</w:t>
            </w:r>
          </w:p>
          <w:p w14:paraId="02012A24" w14:textId="0CBBC3D9" w:rsidR="00B462DA" w:rsidRPr="00391093" w:rsidRDefault="00B462DA" w:rsidP="00E34735">
            <w:pPr>
              <w:pStyle w:val="NoSpacing"/>
              <w:numPr>
                <w:ilvl w:val="0"/>
                <w:numId w:val="17"/>
              </w:numPr>
              <w:rPr>
                <w:rFonts w:asciiTheme="minorHAnsi" w:eastAsiaTheme="minorHAnsi" w:hAnsiTheme="minorHAnsi" w:cstheme="minorHAnsi"/>
                <w:sz w:val="20"/>
                <w:szCs w:val="20"/>
                <w:lang w:eastAsia="en-US"/>
              </w:rPr>
            </w:pPr>
            <w:r w:rsidRPr="00391093">
              <w:rPr>
                <w:rFonts w:asciiTheme="minorHAnsi" w:eastAsiaTheme="minorHAnsi" w:hAnsiTheme="minorHAnsi" w:cstheme="minorHAnsi"/>
                <w:b/>
                <w:bCs/>
                <w:sz w:val="20"/>
                <w:szCs w:val="20"/>
                <w:lang w:eastAsia="en-US"/>
              </w:rPr>
              <w:t>noted</w:t>
            </w:r>
            <w:r w:rsidRPr="00391093">
              <w:rPr>
                <w:rFonts w:asciiTheme="minorHAnsi" w:eastAsiaTheme="minorHAnsi" w:hAnsiTheme="minorHAnsi" w:cstheme="minorHAnsi"/>
                <w:sz w:val="20"/>
                <w:szCs w:val="20"/>
                <w:lang w:eastAsia="en-US"/>
              </w:rPr>
              <w:t xml:space="preserve"> NBC endorsed the Response Plan 2023-27 and full budget, and 2023-24 Work Plan followed by AMM approval </w:t>
            </w:r>
            <w:r w:rsidR="002963C0" w:rsidRPr="00391093">
              <w:rPr>
                <w:rFonts w:asciiTheme="minorHAnsi" w:eastAsiaTheme="minorHAnsi" w:hAnsiTheme="minorHAnsi" w:cstheme="minorHAnsi"/>
                <w:sz w:val="20"/>
                <w:szCs w:val="20"/>
                <w:lang w:eastAsia="en-US"/>
              </w:rPr>
              <w:t xml:space="preserve">and </w:t>
            </w:r>
            <w:r w:rsidR="002963C0" w:rsidRPr="00391093">
              <w:rPr>
                <w:rFonts w:asciiTheme="minorHAnsi" w:hAnsiTheme="minorHAnsi" w:cstheme="minorHAnsi"/>
                <w:sz w:val="20"/>
                <w:szCs w:val="20"/>
              </w:rPr>
              <w:t>in-principle endorsement of the budget subject to jurisdictional budgetary processes</w:t>
            </w:r>
            <w:r w:rsidR="002963C0" w:rsidRPr="00391093">
              <w:rPr>
                <w:rFonts w:asciiTheme="minorHAnsi" w:eastAsiaTheme="minorHAnsi" w:hAnsiTheme="minorHAnsi" w:cstheme="minorHAnsi"/>
                <w:sz w:val="20"/>
                <w:szCs w:val="20"/>
                <w:lang w:eastAsia="en-US"/>
              </w:rPr>
              <w:t xml:space="preserve"> on 13 July 2023.</w:t>
            </w:r>
          </w:p>
          <w:p w14:paraId="62EF0541" w14:textId="0E9F4DA0" w:rsidR="00B462DA" w:rsidRPr="00391093" w:rsidRDefault="00B462DA" w:rsidP="00E34735">
            <w:pPr>
              <w:pStyle w:val="NoSpacing"/>
              <w:numPr>
                <w:ilvl w:val="0"/>
                <w:numId w:val="17"/>
              </w:numPr>
              <w:rPr>
                <w:rFonts w:asciiTheme="minorHAnsi" w:eastAsiaTheme="minorHAnsi" w:hAnsiTheme="minorHAnsi" w:cstheme="minorHAnsi"/>
                <w:sz w:val="20"/>
                <w:szCs w:val="20"/>
                <w:lang w:eastAsia="en-US"/>
              </w:rPr>
            </w:pPr>
            <w:r w:rsidRPr="00391093">
              <w:rPr>
                <w:rFonts w:asciiTheme="minorHAnsi" w:eastAsiaTheme="minorHAnsi" w:hAnsiTheme="minorHAnsi" w:cstheme="minorHAnsi"/>
                <w:sz w:val="20"/>
                <w:szCs w:val="20"/>
                <w:lang w:eastAsia="en-US"/>
              </w:rPr>
              <w:t xml:space="preserve">the release of the $60.6 million bring forward was </w:t>
            </w:r>
            <w:r w:rsidRPr="00391093">
              <w:rPr>
                <w:rFonts w:asciiTheme="minorHAnsi" w:eastAsiaTheme="minorHAnsi" w:hAnsiTheme="minorHAnsi" w:cstheme="minorHAnsi"/>
                <w:b/>
                <w:bCs/>
                <w:sz w:val="20"/>
                <w:szCs w:val="20"/>
                <w:lang w:eastAsia="en-US"/>
              </w:rPr>
              <w:t>noted</w:t>
            </w:r>
            <w:r w:rsidRPr="00391093">
              <w:rPr>
                <w:rFonts w:asciiTheme="minorHAnsi" w:eastAsiaTheme="minorHAnsi" w:hAnsiTheme="minorHAnsi" w:cstheme="minorHAnsi"/>
                <w:sz w:val="20"/>
                <w:szCs w:val="20"/>
                <w:lang w:eastAsia="en-US"/>
              </w:rPr>
              <w:t>. Members were thanked for their involvement in enabling this to occur</w:t>
            </w:r>
            <w:r w:rsidR="00332F07">
              <w:rPr>
                <w:rFonts w:asciiTheme="minorHAnsi" w:eastAsiaTheme="minorHAnsi" w:hAnsiTheme="minorHAnsi" w:cstheme="minorHAnsi"/>
                <w:sz w:val="20"/>
                <w:szCs w:val="20"/>
                <w:lang w:eastAsia="en-US"/>
              </w:rPr>
              <w:t>.</w:t>
            </w:r>
          </w:p>
          <w:p w14:paraId="06A96F58" w14:textId="64403788" w:rsidR="00B462DA" w:rsidRPr="00391093" w:rsidRDefault="00B462DA" w:rsidP="00E34735">
            <w:pPr>
              <w:pStyle w:val="NoSpacing"/>
              <w:numPr>
                <w:ilvl w:val="0"/>
                <w:numId w:val="17"/>
              </w:numPr>
              <w:rPr>
                <w:rFonts w:asciiTheme="minorHAnsi" w:eastAsiaTheme="minorHAnsi" w:hAnsiTheme="minorHAnsi" w:cstheme="minorHAnsi"/>
                <w:sz w:val="20"/>
                <w:szCs w:val="20"/>
                <w:lang w:eastAsia="en-US"/>
              </w:rPr>
            </w:pPr>
            <w:r w:rsidRPr="00391093">
              <w:rPr>
                <w:rFonts w:asciiTheme="minorHAnsi" w:eastAsiaTheme="minorHAnsi" w:hAnsiTheme="minorHAnsi" w:cstheme="minorHAnsi"/>
                <w:sz w:val="20"/>
                <w:szCs w:val="20"/>
                <w:lang w:eastAsia="en-US"/>
              </w:rPr>
              <w:t xml:space="preserve">NSW public commitment to the full funding within the Response Plan 2023-27 (Response Plan) was </w:t>
            </w:r>
            <w:r w:rsidRPr="00391093">
              <w:rPr>
                <w:rFonts w:asciiTheme="minorHAnsi" w:eastAsiaTheme="minorHAnsi" w:hAnsiTheme="minorHAnsi" w:cstheme="minorHAnsi"/>
                <w:b/>
                <w:bCs/>
                <w:sz w:val="20"/>
                <w:szCs w:val="20"/>
                <w:lang w:eastAsia="en-US"/>
              </w:rPr>
              <w:t>noted</w:t>
            </w:r>
            <w:r w:rsidR="00332F07">
              <w:rPr>
                <w:rFonts w:asciiTheme="minorHAnsi" w:eastAsiaTheme="minorHAnsi" w:hAnsiTheme="minorHAnsi" w:cstheme="minorHAnsi"/>
                <w:b/>
                <w:bCs/>
                <w:sz w:val="20"/>
                <w:szCs w:val="20"/>
                <w:lang w:eastAsia="en-US"/>
              </w:rPr>
              <w:t>.</w:t>
            </w:r>
          </w:p>
          <w:p w14:paraId="5AD9B886" w14:textId="7594B066" w:rsidR="00B462DA" w:rsidRPr="00E34735" w:rsidRDefault="00B462DA" w:rsidP="00E34735">
            <w:pPr>
              <w:pStyle w:val="NoSpacing"/>
              <w:numPr>
                <w:ilvl w:val="0"/>
                <w:numId w:val="17"/>
              </w:numPr>
              <w:rPr>
                <w:sz w:val="20"/>
                <w:szCs w:val="20"/>
              </w:rPr>
            </w:pPr>
            <w:r w:rsidRPr="00391093">
              <w:rPr>
                <w:rFonts w:asciiTheme="minorHAnsi" w:eastAsiaTheme="minorHAnsi" w:hAnsiTheme="minorHAnsi" w:cstheme="minorHAnsi"/>
                <w:sz w:val="20"/>
                <w:szCs w:val="20"/>
                <w:lang w:eastAsia="en-US"/>
              </w:rPr>
              <w:t xml:space="preserve">changes to the reporting structure for the Communications and Engagement team who now report directly to the Program Executive was </w:t>
            </w:r>
            <w:r w:rsidRPr="00391093">
              <w:rPr>
                <w:rFonts w:asciiTheme="minorHAnsi" w:eastAsiaTheme="minorHAnsi" w:hAnsiTheme="minorHAnsi" w:cstheme="minorHAnsi"/>
                <w:b/>
                <w:bCs/>
                <w:sz w:val="20"/>
                <w:szCs w:val="20"/>
                <w:lang w:eastAsia="en-US"/>
              </w:rPr>
              <w:t>noted</w:t>
            </w:r>
            <w:r w:rsidR="00332F07">
              <w:rPr>
                <w:rFonts w:asciiTheme="minorHAnsi" w:eastAsiaTheme="minorHAnsi" w:hAnsiTheme="minorHAnsi" w:cstheme="minorHAnsi"/>
                <w:b/>
                <w:bCs/>
                <w:sz w:val="20"/>
                <w:szCs w:val="20"/>
                <w:lang w:eastAsia="en-US"/>
              </w:rPr>
              <w:t>.</w:t>
            </w:r>
          </w:p>
        </w:tc>
      </w:tr>
      <w:tr w:rsidR="00773F1F" w14:paraId="38ADF54C" w14:textId="77777777" w:rsidTr="00C45335">
        <w:tc>
          <w:tcPr>
            <w:tcW w:w="2127" w:type="dxa"/>
          </w:tcPr>
          <w:p w14:paraId="3D7BB878" w14:textId="77777777" w:rsidR="00773F1F" w:rsidRPr="00FB2882" w:rsidRDefault="00773F1F">
            <w:pPr>
              <w:rPr>
                <w:sz w:val="20"/>
                <w:szCs w:val="20"/>
              </w:rPr>
            </w:pPr>
          </w:p>
        </w:tc>
        <w:tc>
          <w:tcPr>
            <w:tcW w:w="4105" w:type="dxa"/>
          </w:tcPr>
          <w:p w14:paraId="4E60B8E5" w14:textId="5752449B" w:rsidR="00773F1F" w:rsidRPr="00FB2882" w:rsidRDefault="00D64BA0">
            <w:pPr>
              <w:rPr>
                <w:b/>
                <w:bCs/>
                <w:sz w:val="20"/>
                <w:szCs w:val="20"/>
              </w:rPr>
            </w:pPr>
            <w:r w:rsidRPr="00FB2882">
              <w:rPr>
                <w:b/>
                <w:bCs/>
                <w:sz w:val="20"/>
                <w:szCs w:val="20"/>
              </w:rPr>
              <w:t>Scientific Advisory Group Update</w:t>
            </w:r>
          </w:p>
        </w:tc>
        <w:tc>
          <w:tcPr>
            <w:tcW w:w="9361" w:type="dxa"/>
          </w:tcPr>
          <w:p w14:paraId="6FA21935" w14:textId="5195A982" w:rsidR="00773F1F" w:rsidRPr="00E34735" w:rsidRDefault="00B462DA" w:rsidP="00E34735">
            <w:pPr>
              <w:pStyle w:val="NoSpacing"/>
              <w:numPr>
                <w:ilvl w:val="0"/>
                <w:numId w:val="8"/>
              </w:numPr>
              <w:rPr>
                <w:rFonts w:asciiTheme="minorHAnsi" w:eastAsiaTheme="minorHAnsi" w:hAnsiTheme="minorHAnsi" w:cstheme="minorBidi"/>
                <w:sz w:val="20"/>
                <w:szCs w:val="20"/>
                <w:lang w:eastAsia="en-US"/>
              </w:rPr>
            </w:pPr>
            <w:r w:rsidRPr="00E34735">
              <w:rPr>
                <w:rFonts w:asciiTheme="minorHAnsi" w:eastAsiaTheme="minorHAnsi" w:hAnsiTheme="minorHAnsi" w:cstheme="minorBidi"/>
                <w:sz w:val="20"/>
                <w:szCs w:val="20"/>
                <w:lang w:eastAsia="en-US"/>
              </w:rPr>
              <w:t>update was noted</w:t>
            </w:r>
            <w:r w:rsidR="00332F07">
              <w:rPr>
                <w:rFonts w:asciiTheme="minorHAnsi" w:eastAsiaTheme="minorHAnsi" w:hAnsiTheme="minorHAnsi" w:cstheme="minorBidi"/>
                <w:sz w:val="20"/>
                <w:szCs w:val="20"/>
                <w:lang w:eastAsia="en-US"/>
              </w:rPr>
              <w:t>.</w:t>
            </w:r>
          </w:p>
        </w:tc>
      </w:tr>
      <w:tr w:rsidR="00773F1F" w14:paraId="6446559A" w14:textId="77777777" w:rsidTr="00C45335">
        <w:tc>
          <w:tcPr>
            <w:tcW w:w="2127" w:type="dxa"/>
          </w:tcPr>
          <w:p w14:paraId="28A5938E" w14:textId="77777777" w:rsidR="00773F1F" w:rsidRPr="00FB2882" w:rsidRDefault="00773F1F">
            <w:pPr>
              <w:rPr>
                <w:sz w:val="20"/>
                <w:szCs w:val="20"/>
              </w:rPr>
            </w:pPr>
          </w:p>
        </w:tc>
        <w:tc>
          <w:tcPr>
            <w:tcW w:w="4105" w:type="dxa"/>
          </w:tcPr>
          <w:p w14:paraId="731A7D68" w14:textId="0CBF0613" w:rsidR="00773F1F" w:rsidRPr="00FB2882" w:rsidRDefault="00D64BA0">
            <w:pPr>
              <w:rPr>
                <w:b/>
                <w:bCs/>
                <w:sz w:val="20"/>
                <w:szCs w:val="20"/>
              </w:rPr>
            </w:pPr>
            <w:r w:rsidRPr="00FB2882">
              <w:rPr>
                <w:b/>
                <w:bCs/>
                <w:sz w:val="20"/>
                <w:szCs w:val="20"/>
              </w:rPr>
              <w:t xml:space="preserve">RNAi Presentation </w:t>
            </w:r>
          </w:p>
        </w:tc>
        <w:tc>
          <w:tcPr>
            <w:tcW w:w="9361" w:type="dxa"/>
          </w:tcPr>
          <w:p w14:paraId="193BA1EF" w14:textId="03398AFC" w:rsidR="00D64BA0" w:rsidRPr="00E34735" w:rsidRDefault="00D64BA0" w:rsidP="00E34735">
            <w:pPr>
              <w:pStyle w:val="NoSpacing"/>
              <w:numPr>
                <w:ilvl w:val="0"/>
                <w:numId w:val="3"/>
              </w:numPr>
              <w:ind w:left="720" w:hanging="357"/>
              <w:rPr>
                <w:rFonts w:asciiTheme="minorHAnsi" w:eastAsiaTheme="minorHAnsi" w:hAnsiTheme="minorHAnsi" w:cstheme="minorBidi"/>
                <w:sz w:val="20"/>
                <w:szCs w:val="20"/>
                <w:lang w:eastAsia="en-US"/>
              </w:rPr>
            </w:pPr>
            <w:r w:rsidRPr="00E34735">
              <w:rPr>
                <w:rFonts w:asciiTheme="minorHAnsi" w:eastAsiaTheme="minorHAnsi" w:hAnsiTheme="minorHAnsi" w:cstheme="minorBidi"/>
                <w:sz w:val="20"/>
                <w:szCs w:val="20"/>
                <w:lang w:eastAsia="en-US"/>
              </w:rPr>
              <w:t xml:space="preserve">progress to date on the development of RNAi technology which has potential application to all exotic ant species was </w:t>
            </w:r>
            <w:r w:rsidRPr="00E34735">
              <w:rPr>
                <w:rFonts w:asciiTheme="minorHAnsi" w:eastAsiaTheme="minorHAnsi" w:hAnsiTheme="minorHAnsi" w:cstheme="minorBidi"/>
                <w:b/>
                <w:bCs/>
                <w:sz w:val="20"/>
                <w:szCs w:val="20"/>
                <w:lang w:eastAsia="en-US"/>
              </w:rPr>
              <w:t xml:space="preserve">noted </w:t>
            </w:r>
            <w:r w:rsidRPr="00E34735">
              <w:rPr>
                <w:rFonts w:asciiTheme="minorHAnsi" w:eastAsiaTheme="minorHAnsi" w:hAnsiTheme="minorHAnsi" w:cstheme="minorBidi"/>
                <w:sz w:val="20"/>
                <w:szCs w:val="20"/>
                <w:lang w:eastAsia="en-US"/>
              </w:rPr>
              <w:t>as was what is required to progress the technology to deliver a usable product for treating invasive ants, specifically the red imported fire ant (RIFA)</w:t>
            </w:r>
            <w:r w:rsidR="00332F07">
              <w:rPr>
                <w:rFonts w:asciiTheme="minorHAnsi" w:eastAsiaTheme="minorHAnsi" w:hAnsiTheme="minorHAnsi" w:cstheme="minorBidi"/>
                <w:sz w:val="20"/>
                <w:szCs w:val="20"/>
                <w:lang w:eastAsia="en-US"/>
              </w:rPr>
              <w:t>.</w:t>
            </w:r>
          </w:p>
          <w:p w14:paraId="5A4A0247" w14:textId="512B3FC0" w:rsidR="00773F1F" w:rsidRPr="00E34735" w:rsidRDefault="00D64BA0" w:rsidP="00E34735">
            <w:pPr>
              <w:pStyle w:val="ListParagraph"/>
              <w:numPr>
                <w:ilvl w:val="0"/>
                <w:numId w:val="3"/>
              </w:numPr>
              <w:ind w:left="720"/>
              <w:rPr>
                <w:sz w:val="20"/>
                <w:szCs w:val="20"/>
              </w:rPr>
            </w:pPr>
            <w:r w:rsidRPr="00E34735">
              <w:rPr>
                <w:sz w:val="20"/>
                <w:szCs w:val="20"/>
              </w:rPr>
              <w:t xml:space="preserve">Program funding of $500 000 to CSIRO over two years for 2023-25 to progress development of RNAi as an innovative tool for RIFA eradication was </w:t>
            </w:r>
            <w:r w:rsidRPr="00E34735">
              <w:rPr>
                <w:b/>
                <w:bCs/>
                <w:sz w:val="20"/>
                <w:szCs w:val="20"/>
              </w:rPr>
              <w:t>noted</w:t>
            </w:r>
            <w:r w:rsidR="00332F07">
              <w:rPr>
                <w:b/>
                <w:bCs/>
                <w:sz w:val="20"/>
                <w:szCs w:val="20"/>
              </w:rPr>
              <w:t>.</w:t>
            </w:r>
          </w:p>
        </w:tc>
      </w:tr>
      <w:tr w:rsidR="00773F1F" w14:paraId="12FBB7F2" w14:textId="77777777" w:rsidTr="00C45335">
        <w:tc>
          <w:tcPr>
            <w:tcW w:w="2127" w:type="dxa"/>
          </w:tcPr>
          <w:p w14:paraId="585D33D7" w14:textId="77777777" w:rsidR="00773F1F" w:rsidRPr="00FB2882" w:rsidRDefault="00773F1F">
            <w:pPr>
              <w:rPr>
                <w:sz w:val="20"/>
                <w:szCs w:val="20"/>
              </w:rPr>
            </w:pPr>
          </w:p>
        </w:tc>
        <w:tc>
          <w:tcPr>
            <w:tcW w:w="4105" w:type="dxa"/>
          </w:tcPr>
          <w:p w14:paraId="0A9A96DA" w14:textId="1758C3AC" w:rsidR="00773F1F" w:rsidRPr="00FB2882" w:rsidRDefault="00D64BA0">
            <w:pPr>
              <w:rPr>
                <w:b/>
                <w:bCs/>
                <w:sz w:val="20"/>
                <w:szCs w:val="20"/>
              </w:rPr>
            </w:pPr>
            <w:r w:rsidRPr="00FB2882">
              <w:rPr>
                <w:b/>
                <w:bCs/>
                <w:sz w:val="20"/>
                <w:szCs w:val="20"/>
              </w:rPr>
              <w:t xml:space="preserve">eDNA Presentation </w:t>
            </w:r>
          </w:p>
        </w:tc>
        <w:tc>
          <w:tcPr>
            <w:tcW w:w="9361" w:type="dxa"/>
          </w:tcPr>
          <w:p w14:paraId="65D8DD76" w14:textId="010FAB4C" w:rsidR="00D64BA0" w:rsidRPr="00E34735" w:rsidRDefault="00D64BA0" w:rsidP="00E34735">
            <w:pPr>
              <w:pStyle w:val="NoSpacing"/>
              <w:numPr>
                <w:ilvl w:val="0"/>
                <w:numId w:val="3"/>
              </w:numPr>
              <w:ind w:left="720" w:hanging="357"/>
              <w:rPr>
                <w:rFonts w:asciiTheme="minorHAnsi" w:eastAsiaTheme="minorHAnsi" w:hAnsiTheme="minorHAnsi" w:cstheme="minorBidi"/>
                <w:sz w:val="20"/>
                <w:szCs w:val="20"/>
                <w:lang w:eastAsia="en-US"/>
              </w:rPr>
            </w:pPr>
            <w:r w:rsidRPr="00E34735">
              <w:rPr>
                <w:rFonts w:asciiTheme="minorHAnsi" w:eastAsiaTheme="minorHAnsi" w:hAnsiTheme="minorHAnsi" w:cstheme="minorBidi"/>
                <w:sz w:val="20"/>
                <w:szCs w:val="20"/>
                <w:lang w:eastAsia="en-US"/>
              </w:rPr>
              <w:t xml:space="preserve">the current advances in the use of eDNA technology for detecting invasive ants was </w:t>
            </w:r>
            <w:r w:rsidRPr="00E34735">
              <w:rPr>
                <w:rFonts w:asciiTheme="minorHAnsi" w:eastAsiaTheme="minorHAnsi" w:hAnsiTheme="minorHAnsi" w:cstheme="minorBidi"/>
                <w:b/>
                <w:bCs/>
                <w:sz w:val="20"/>
                <w:szCs w:val="20"/>
                <w:lang w:eastAsia="en-US"/>
              </w:rPr>
              <w:t>noted</w:t>
            </w:r>
            <w:r w:rsidR="00332F07">
              <w:rPr>
                <w:rFonts w:asciiTheme="minorHAnsi" w:eastAsiaTheme="minorHAnsi" w:hAnsiTheme="minorHAnsi" w:cstheme="minorBidi"/>
                <w:b/>
                <w:bCs/>
                <w:sz w:val="20"/>
                <w:szCs w:val="20"/>
                <w:lang w:eastAsia="en-US"/>
              </w:rPr>
              <w:t>.</w:t>
            </w:r>
          </w:p>
          <w:p w14:paraId="6799D134" w14:textId="4829A79A" w:rsidR="00773F1F" w:rsidRPr="00E34735" w:rsidRDefault="00D64BA0" w:rsidP="00E34735">
            <w:pPr>
              <w:pStyle w:val="NoSpacing"/>
              <w:numPr>
                <w:ilvl w:val="0"/>
                <w:numId w:val="3"/>
              </w:numPr>
              <w:ind w:left="720" w:hanging="357"/>
              <w:rPr>
                <w:rFonts w:asciiTheme="minorHAnsi" w:eastAsiaTheme="minorHAnsi" w:hAnsiTheme="minorHAnsi" w:cstheme="minorBidi"/>
                <w:sz w:val="20"/>
                <w:szCs w:val="20"/>
                <w:lang w:eastAsia="en-US"/>
              </w:rPr>
            </w:pPr>
            <w:r w:rsidRPr="00E34735">
              <w:rPr>
                <w:rFonts w:asciiTheme="minorHAnsi" w:eastAsiaTheme="minorHAnsi" w:hAnsiTheme="minorHAnsi" w:cstheme="minorBidi"/>
                <w:sz w:val="20"/>
                <w:szCs w:val="20"/>
                <w:lang w:eastAsia="en-US"/>
              </w:rPr>
              <w:t xml:space="preserve">members </w:t>
            </w:r>
            <w:r w:rsidRPr="00E34735">
              <w:rPr>
                <w:rFonts w:asciiTheme="minorHAnsi" w:eastAsiaTheme="minorHAnsi" w:hAnsiTheme="minorHAnsi" w:cstheme="minorBidi"/>
                <w:b/>
                <w:bCs/>
                <w:sz w:val="20"/>
                <w:szCs w:val="20"/>
                <w:lang w:eastAsia="en-US"/>
              </w:rPr>
              <w:t>discussed</w:t>
            </w:r>
            <w:r w:rsidRPr="00E34735">
              <w:rPr>
                <w:rFonts w:asciiTheme="minorHAnsi" w:eastAsiaTheme="minorHAnsi" w:hAnsiTheme="minorHAnsi" w:cstheme="minorBidi"/>
                <w:sz w:val="20"/>
                <w:szCs w:val="20"/>
                <w:lang w:eastAsia="en-US"/>
              </w:rPr>
              <w:t xml:space="preserve"> the potential for the Program to pursue research into eDNA as a detection tool</w:t>
            </w:r>
            <w:r w:rsidR="00332F07">
              <w:rPr>
                <w:rFonts w:asciiTheme="minorHAnsi" w:eastAsiaTheme="minorHAnsi" w:hAnsiTheme="minorHAnsi" w:cstheme="minorBidi"/>
                <w:sz w:val="20"/>
                <w:szCs w:val="20"/>
                <w:lang w:eastAsia="en-US"/>
              </w:rPr>
              <w:t>.</w:t>
            </w:r>
          </w:p>
        </w:tc>
      </w:tr>
      <w:tr w:rsidR="00773F1F" w14:paraId="686FC449" w14:textId="77777777" w:rsidTr="00C45335">
        <w:tc>
          <w:tcPr>
            <w:tcW w:w="2127" w:type="dxa"/>
          </w:tcPr>
          <w:p w14:paraId="581123E6" w14:textId="6FB4914E" w:rsidR="00773F1F" w:rsidRPr="00FB2882" w:rsidRDefault="00773F1F">
            <w:pPr>
              <w:rPr>
                <w:sz w:val="20"/>
                <w:szCs w:val="20"/>
              </w:rPr>
            </w:pPr>
          </w:p>
        </w:tc>
        <w:tc>
          <w:tcPr>
            <w:tcW w:w="4105" w:type="dxa"/>
          </w:tcPr>
          <w:p w14:paraId="249B0D1E" w14:textId="4C715379" w:rsidR="00773F1F" w:rsidRPr="00FB2882" w:rsidRDefault="00D64BA0">
            <w:pPr>
              <w:rPr>
                <w:b/>
                <w:bCs/>
                <w:sz w:val="20"/>
                <w:szCs w:val="20"/>
              </w:rPr>
            </w:pPr>
            <w:r w:rsidRPr="00FB2882">
              <w:rPr>
                <w:b/>
                <w:bCs/>
                <w:sz w:val="20"/>
                <w:szCs w:val="20"/>
              </w:rPr>
              <w:t>Head of Operations Update</w:t>
            </w:r>
          </w:p>
        </w:tc>
        <w:tc>
          <w:tcPr>
            <w:tcW w:w="9361" w:type="dxa"/>
          </w:tcPr>
          <w:p w14:paraId="1CDAA7AF" w14:textId="5910CF3D" w:rsidR="00B462DA" w:rsidRPr="00E34735" w:rsidRDefault="00B462DA" w:rsidP="00E34735">
            <w:pPr>
              <w:pStyle w:val="NoSpacing"/>
              <w:numPr>
                <w:ilvl w:val="0"/>
                <w:numId w:val="3"/>
              </w:numPr>
              <w:ind w:left="720" w:hanging="357"/>
              <w:rPr>
                <w:rFonts w:asciiTheme="minorHAnsi" w:eastAsiaTheme="minorHAnsi" w:hAnsiTheme="minorHAnsi" w:cstheme="minorBidi"/>
                <w:sz w:val="20"/>
                <w:szCs w:val="20"/>
                <w:lang w:eastAsia="en-US"/>
              </w:rPr>
            </w:pPr>
            <w:r w:rsidRPr="00E34735">
              <w:rPr>
                <w:rFonts w:asciiTheme="minorHAnsi" w:eastAsiaTheme="minorHAnsi" w:hAnsiTheme="minorHAnsi" w:cstheme="minorBidi"/>
                <w:sz w:val="20"/>
                <w:szCs w:val="20"/>
                <w:lang w:eastAsia="en-US"/>
              </w:rPr>
              <w:t xml:space="preserve">the treatment and surveillance progress against the 2022-23 Work Plan was </w:t>
            </w:r>
            <w:r w:rsidRPr="00E34735">
              <w:rPr>
                <w:rFonts w:asciiTheme="minorHAnsi" w:eastAsiaTheme="minorHAnsi" w:hAnsiTheme="minorHAnsi" w:cstheme="minorBidi"/>
                <w:b/>
                <w:bCs/>
                <w:sz w:val="20"/>
                <w:szCs w:val="20"/>
                <w:lang w:eastAsia="en-US"/>
              </w:rPr>
              <w:t xml:space="preserve">noted </w:t>
            </w:r>
            <w:r w:rsidRPr="00E34735">
              <w:rPr>
                <w:rFonts w:asciiTheme="minorHAnsi" w:eastAsiaTheme="minorHAnsi" w:hAnsiTheme="minorHAnsi" w:cstheme="minorBidi"/>
                <w:sz w:val="20"/>
                <w:szCs w:val="20"/>
                <w:lang w:eastAsia="en-US"/>
              </w:rPr>
              <w:t>as was the amendments to the 2022-23 Work Plan</w:t>
            </w:r>
            <w:r w:rsidR="00332F07">
              <w:rPr>
                <w:rFonts w:asciiTheme="minorHAnsi" w:eastAsiaTheme="minorHAnsi" w:hAnsiTheme="minorHAnsi" w:cstheme="minorBidi"/>
                <w:sz w:val="20"/>
                <w:szCs w:val="20"/>
                <w:lang w:eastAsia="en-US"/>
              </w:rPr>
              <w:t>.</w:t>
            </w:r>
          </w:p>
          <w:p w14:paraId="6B52F437" w14:textId="2D98C6D6" w:rsidR="00773F1F" w:rsidRPr="00E34735" w:rsidRDefault="00B462DA" w:rsidP="00E34735">
            <w:pPr>
              <w:pStyle w:val="NoSpacing"/>
              <w:numPr>
                <w:ilvl w:val="0"/>
                <w:numId w:val="3"/>
              </w:numPr>
              <w:ind w:left="720" w:hanging="357"/>
              <w:rPr>
                <w:sz w:val="20"/>
                <w:szCs w:val="20"/>
              </w:rPr>
            </w:pPr>
            <w:r w:rsidRPr="00E34735">
              <w:rPr>
                <w:rFonts w:asciiTheme="minorHAnsi" w:eastAsiaTheme="minorHAnsi" w:hAnsiTheme="minorHAnsi" w:cstheme="minorBidi"/>
                <w:sz w:val="20"/>
                <w:szCs w:val="20"/>
                <w:lang w:eastAsia="en-US"/>
              </w:rPr>
              <w:lastRenderedPageBreak/>
              <w:t xml:space="preserve">the 2022-23 detections of importance were also </w:t>
            </w:r>
            <w:r w:rsidRPr="00E34735">
              <w:rPr>
                <w:rFonts w:asciiTheme="minorHAnsi" w:eastAsiaTheme="minorHAnsi" w:hAnsiTheme="minorHAnsi" w:cstheme="minorBidi"/>
                <w:b/>
                <w:bCs/>
                <w:sz w:val="20"/>
                <w:szCs w:val="20"/>
                <w:lang w:eastAsia="en-US"/>
              </w:rPr>
              <w:t>noted</w:t>
            </w:r>
            <w:r w:rsidR="00332F07">
              <w:rPr>
                <w:rFonts w:asciiTheme="minorHAnsi" w:eastAsiaTheme="minorHAnsi" w:hAnsiTheme="minorHAnsi" w:cstheme="minorBidi"/>
                <w:b/>
                <w:bCs/>
                <w:sz w:val="20"/>
                <w:szCs w:val="20"/>
                <w:lang w:eastAsia="en-US"/>
              </w:rPr>
              <w:t>.</w:t>
            </w:r>
          </w:p>
        </w:tc>
      </w:tr>
      <w:tr w:rsidR="00057FDA" w14:paraId="660CCC96" w14:textId="77777777" w:rsidTr="00C45335">
        <w:tc>
          <w:tcPr>
            <w:tcW w:w="2127" w:type="dxa"/>
          </w:tcPr>
          <w:p w14:paraId="137E39B4" w14:textId="6309C297" w:rsidR="00057FDA" w:rsidRPr="00FB2882" w:rsidRDefault="00057FDA">
            <w:pPr>
              <w:rPr>
                <w:sz w:val="20"/>
                <w:szCs w:val="20"/>
              </w:rPr>
            </w:pPr>
          </w:p>
        </w:tc>
        <w:tc>
          <w:tcPr>
            <w:tcW w:w="4105" w:type="dxa"/>
          </w:tcPr>
          <w:p w14:paraId="6C78763F" w14:textId="7A8B9087" w:rsidR="00057FDA" w:rsidRPr="00FB2882" w:rsidRDefault="00D64BA0">
            <w:pPr>
              <w:rPr>
                <w:sz w:val="20"/>
                <w:szCs w:val="20"/>
              </w:rPr>
            </w:pPr>
            <w:r w:rsidRPr="00FB2882">
              <w:rPr>
                <w:b/>
                <w:bCs/>
                <w:sz w:val="20"/>
                <w:szCs w:val="20"/>
              </w:rPr>
              <w:t>Risk Management Sub-Committee Update</w:t>
            </w:r>
          </w:p>
        </w:tc>
        <w:tc>
          <w:tcPr>
            <w:tcW w:w="9361" w:type="dxa"/>
          </w:tcPr>
          <w:p w14:paraId="645D3024" w14:textId="08E0A7FA" w:rsidR="00057FDA" w:rsidRPr="00E34735" w:rsidRDefault="00D64BA0" w:rsidP="00E34735">
            <w:pPr>
              <w:pStyle w:val="ListParagraph"/>
              <w:numPr>
                <w:ilvl w:val="0"/>
                <w:numId w:val="9"/>
              </w:numPr>
              <w:rPr>
                <w:sz w:val="20"/>
                <w:szCs w:val="20"/>
              </w:rPr>
            </w:pPr>
            <w:r w:rsidRPr="00E34735">
              <w:rPr>
                <w:sz w:val="20"/>
                <w:szCs w:val="20"/>
              </w:rPr>
              <w:t xml:space="preserve">update was </w:t>
            </w:r>
            <w:r w:rsidRPr="00E34735">
              <w:rPr>
                <w:b/>
                <w:bCs/>
                <w:sz w:val="20"/>
                <w:szCs w:val="20"/>
              </w:rPr>
              <w:t>noted</w:t>
            </w:r>
            <w:r w:rsidR="00332F07">
              <w:rPr>
                <w:b/>
                <w:bCs/>
                <w:sz w:val="20"/>
                <w:szCs w:val="20"/>
              </w:rPr>
              <w:t>.</w:t>
            </w:r>
          </w:p>
        </w:tc>
      </w:tr>
      <w:tr w:rsidR="00D64BA0" w14:paraId="2E27F56B" w14:textId="77777777" w:rsidTr="00C45335">
        <w:tc>
          <w:tcPr>
            <w:tcW w:w="2127" w:type="dxa"/>
          </w:tcPr>
          <w:p w14:paraId="2FF81222" w14:textId="77777777" w:rsidR="00D64BA0" w:rsidRPr="00FB2882" w:rsidRDefault="00D64BA0">
            <w:pPr>
              <w:rPr>
                <w:sz w:val="20"/>
                <w:szCs w:val="20"/>
              </w:rPr>
            </w:pPr>
          </w:p>
        </w:tc>
        <w:tc>
          <w:tcPr>
            <w:tcW w:w="4105" w:type="dxa"/>
          </w:tcPr>
          <w:p w14:paraId="5ADC6C61" w14:textId="5D2A8A01" w:rsidR="00D64BA0" w:rsidRPr="00FB2882" w:rsidRDefault="00D64BA0">
            <w:pPr>
              <w:rPr>
                <w:b/>
                <w:bCs/>
                <w:sz w:val="20"/>
                <w:szCs w:val="20"/>
              </w:rPr>
            </w:pPr>
            <w:r w:rsidRPr="00FB2882">
              <w:rPr>
                <w:b/>
                <w:bCs/>
                <w:sz w:val="20"/>
                <w:szCs w:val="20"/>
              </w:rPr>
              <w:t>AgSOC / AMM Update</w:t>
            </w:r>
          </w:p>
        </w:tc>
        <w:tc>
          <w:tcPr>
            <w:tcW w:w="9361" w:type="dxa"/>
          </w:tcPr>
          <w:p w14:paraId="5536B0C2" w14:textId="1CC69220" w:rsidR="00D64BA0" w:rsidRPr="00E34735" w:rsidRDefault="00D64BA0" w:rsidP="00E34735">
            <w:pPr>
              <w:pStyle w:val="ListParagraph"/>
              <w:numPr>
                <w:ilvl w:val="0"/>
                <w:numId w:val="9"/>
              </w:numPr>
              <w:rPr>
                <w:sz w:val="20"/>
                <w:szCs w:val="20"/>
              </w:rPr>
            </w:pPr>
            <w:r w:rsidRPr="00E34735">
              <w:rPr>
                <w:sz w:val="20"/>
                <w:szCs w:val="20"/>
              </w:rPr>
              <w:t>the importance of a timely funding-partner agreement to provide the funding required to fully deliver the new Response Plan</w:t>
            </w:r>
            <w:r w:rsidR="00FB2882" w:rsidRPr="00E34735">
              <w:rPr>
                <w:sz w:val="20"/>
                <w:szCs w:val="20"/>
              </w:rPr>
              <w:t xml:space="preserve"> was </w:t>
            </w:r>
            <w:r w:rsidR="00FB2882" w:rsidRPr="00E34735">
              <w:rPr>
                <w:b/>
                <w:bCs/>
                <w:sz w:val="20"/>
                <w:szCs w:val="20"/>
              </w:rPr>
              <w:t>noted</w:t>
            </w:r>
            <w:r w:rsidR="00332F07">
              <w:rPr>
                <w:b/>
                <w:bCs/>
                <w:sz w:val="20"/>
                <w:szCs w:val="20"/>
              </w:rPr>
              <w:t>.</w:t>
            </w:r>
          </w:p>
        </w:tc>
      </w:tr>
      <w:tr w:rsidR="00D64BA0" w14:paraId="4B35884A" w14:textId="77777777" w:rsidTr="00C45335">
        <w:tc>
          <w:tcPr>
            <w:tcW w:w="2127" w:type="dxa"/>
          </w:tcPr>
          <w:p w14:paraId="4F9D9871" w14:textId="77777777" w:rsidR="00D64BA0" w:rsidRPr="00FB2882" w:rsidRDefault="00D64BA0">
            <w:pPr>
              <w:rPr>
                <w:sz w:val="20"/>
                <w:szCs w:val="20"/>
              </w:rPr>
            </w:pPr>
          </w:p>
        </w:tc>
        <w:tc>
          <w:tcPr>
            <w:tcW w:w="4105" w:type="dxa"/>
          </w:tcPr>
          <w:p w14:paraId="6BEDF5A6" w14:textId="40ACCAEA" w:rsidR="00D64BA0" w:rsidRPr="00FB2882" w:rsidRDefault="00FB2882">
            <w:pPr>
              <w:rPr>
                <w:b/>
                <w:bCs/>
                <w:sz w:val="20"/>
                <w:szCs w:val="20"/>
              </w:rPr>
            </w:pPr>
            <w:r w:rsidRPr="00FB2882">
              <w:rPr>
                <w:b/>
                <w:bCs/>
                <w:sz w:val="20"/>
                <w:szCs w:val="20"/>
              </w:rPr>
              <w:t>Work Plan 2023-24</w:t>
            </w:r>
          </w:p>
        </w:tc>
        <w:tc>
          <w:tcPr>
            <w:tcW w:w="9361" w:type="dxa"/>
          </w:tcPr>
          <w:p w14:paraId="22F5CFE7" w14:textId="518AEA5D" w:rsidR="00D64BA0" w:rsidRPr="00E34735" w:rsidRDefault="00FB2882" w:rsidP="00E34735">
            <w:pPr>
              <w:pStyle w:val="NoSpacing"/>
              <w:numPr>
                <w:ilvl w:val="0"/>
                <w:numId w:val="3"/>
              </w:numPr>
              <w:ind w:left="720" w:hanging="357"/>
              <w:rPr>
                <w:rFonts w:asciiTheme="minorHAnsi" w:eastAsiaTheme="minorHAnsi" w:hAnsiTheme="minorHAnsi" w:cstheme="minorBidi"/>
                <w:sz w:val="20"/>
                <w:szCs w:val="20"/>
                <w:lang w:eastAsia="en-US"/>
              </w:rPr>
            </w:pPr>
            <w:r w:rsidRPr="00E34735">
              <w:rPr>
                <w:rFonts w:asciiTheme="minorHAnsi" w:eastAsiaTheme="minorHAnsi" w:hAnsiTheme="minorHAnsi" w:cstheme="minorBidi"/>
                <w:sz w:val="20"/>
                <w:szCs w:val="20"/>
                <w:lang w:eastAsia="en-US"/>
              </w:rPr>
              <w:t xml:space="preserve">members </w:t>
            </w:r>
            <w:r w:rsidRPr="00E34735">
              <w:rPr>
                <w:rFonts w:asciiTheme="minorHAnsi" w:eastAsiaTheme="minorHAnsi" w:hAnsiTheme="minorHAnsi" w:cstheme="minorBidi"/>
                <w:b/>
                <w:bCs/>
                <w:sz w:val="20"/>
                <w:szCs w:val="20"/>
                <w:lang w:eastAsia="en-US"/>
              </w:rPr>
              <w:t>noted</w:t>
            </w:r>
            <w:r w:rsidRPr="00E34735">
              <w:rPr>
                <w:rFonts w:asciiTheme="minorHAnsi" w:eastAsiaTheme="minorHAnsi" w:hAnsiTheme="minorHAnsi" w:cstheme="minorBidi"/>
                <w:sz w:val="20"/>
                <w:szCs w:val="20"/>
                <w:lang w:eastAsia="en-US"/>
              </w:rPr>
              <w:t xml:space="preserve"> the </w:t>
            </w:r>
            <w:r w:rsidR="00D36734" w:rsidRPr="00E34735">
              <w:rPr>
                <w:rFonts w:asciiTheme="minorHAnsi" w:eastAsiaTheme="minorHAnsi" w:hAnsiTheme="minorHAnsi" w:cstheme="minorBidi"/>
                <w:sz w:val="20"/>
                <w:szCs w:val="20"/>
                <w:lang w:eastAsia="en-US"/>
              </w:rPr>
              <w:t>status</w:t>
            </w:r>
            <w:r w:rsidRPr="00E34735">
              <w:rPr>
                <w:rFonts w:asciiTheme="minorHAnsi" w:eastAsiaTheme="minorHAnsi" w:hAnsiTheme="minorHAnsi" w:cstheme="minorBidi"/>
                <w:sz w:val="20"/>
                <w:szCs w:val="20"/>
                <w:lang w:eastAsia="en-US"/>
              </w:rPr>
              <w:t xml:space="preserve"> of the 2023-24 Work Plan and the </w:t>
            </w:r>
            <w:r w:rsidR="00B907BF">
              <w:rPr>
                <w:rFonts w:asciiTheme="minorHAnsi" w:eastAsiaTheme="minorHAnsi" w:hAnsiTheme="minorHAnsi" w:cstheme="minorBidi"/>
                <w:sz w:val="20"/>
                <w:szCs w:val="20"/>
                <w:lang w:eastAsia="en-US"/>
              </w:rPr>
              <w:t xml:space="preserve">significant </w:t>
            </w:r>
            <w:r w:rsidRPr="00E34735">
              <w:rPr>
                <w:rFonts w:asciiTheme="minorHAnsi" w:eastAsiaTheme="minorHAnsi" w:hAnsiTheme="minorHAnsi" w:cstheme="minorBidi"/>
                <w:sz w:val="20"/>
                <w:szCs w:val="20"/>
                <w:lang w:eastAsia="en-US"/>
              </w:rPr>
              <w:t>implications of awaiting approval of the total amount of funding required for the new Response Plan 2023-27.</w:t>
            </w:r>
          </w:p>
        </w:tc>
      </w:tr>
      <w:tr w:rsidR="00FB2882" w14:paraId="27DE54B2" w14:textId="77777777" w:rsidTr="00C45335">
        <w:tc>
          <w:tcPr>
            <w:tcW w:w="2127" w:type="dxa"/>
          </w:tcPr>
          <w:p w14:paraId="1F15C758" w14:textId="77777777" w:rsidR="00FB2882" w:rsidRDefault="00FB2882" w:rsidP="00FB2882"/>
        </w:tc>
        <w:tc>
          <w:tcPr>
            <w:tcW w:w="4105" w:type="dxa"/>
          </w:tcPr>
          <w:p w14:paraId="218D49A5" w14:textId="326B3844" w:rsidR="00FB2882" w:rsidRPr="00D64BA0" w:rsidRDefault="00FB2882" w:rsidP="00FB2882">
            <w:pPr>
              <w:rPr>
                <w:b/>
                <w:bCs/>
              </w:rPr>
            </w:pPr>
            <w:r w:rsidRPr="00FB2882">
              <w:rPr>
                <w:b/>
                <w:bCs/>
                <w:sz w:val="20"/>
                <w:szCs w:val="20"/>
              </w:rPr>
              <w:t>FAST Update</w:t>
            </w:r>
          </w:p>
        </w:tc>
        <w:tc>
          <w:tcPr>
            <w:tcW w:w="9361" w:type="dxa"/>
          </w:tcPr>
          <w:p w14:paraId="444F0E24" w14:textId="143B2B63" w:rsidR="00FB2882" w:rsidRPr="00E34735" w:rsidRDefault="00B462DA" w:rsidP="00E34735">
            <w:pPr>
              <w:pStyle w:val="NoSpacing"/>
              <w:numPr>
                <w:ilvl w:val="0"/>
                <w:numId w:val="19"/>
              </w:numPr>
              <w:rPr>
                <w:sz w:val="20"/>
                <w:szCs w:val="20"/>
              </w:rPr>
            </w:pPr>
            <w:r w:rsidRPr="00E34735">
              <w:rPr>
                <w:rFonts w:asciiTheme="minorHAnsi" w:eastAsiaTheme="minorHAnsi" w:hAnsiTheme="minorHAnsi" w:cstheme="minorBidi"/>
                <w:sz w:val="20"/>
                <w:szCs w:val="20"/>
                <w:lang w:eastAsia="en-US"/>
              </w:rPr>
              <w:t xml:space="preserve">the progress on key issues and projects for FAST were </w:t>
            </w:r>
            <w:r w:rsidRPr="00E34735">
              <w:rPr>
                <w:rFonts w:asciiTheme="minorHAnsi" w:eastAsiaTheme="minorHAnsi" w:hAnsiTheme="minorHAnsi" w:cstheme="minorBidi"/>
                <w:b/>
                <w:bCs/>
                <w:sz w:val="20"/>
                <w:szCs w:val="20"/>
                <w:lang w:eastAsia="en-US"/>
              </w:rPr>
              <w:t>noted</w:t>
            </w:r>
            <w:r w:rsidRPr="00E34735">
              <w:rPr>
                <w:rFonts w:asciiTheme="minorHAnsi" w:eastAsiaTheme="minorHAnsi" w:hAnsiTheme="minorHAnsi" w:cstheme="minorBidi"/>
                <w:sz w:val="20"/>
                <w:szCs w:val="20"/>
                <w:lang w:eastAsia="en-US"/>
              </w:rPr>
              <w:t xml:space="preserve"> as were </w:t>
            </w:r>
            <w:r w:rsidRPr="00E34735">
              <w:rPr>
                <w:rFonts w:asciiTheme="minorHAnsi" w:hAnsiTheme="minorHAnsi" w:cstheme="minorBidi"/>
                <w:sz w:val="20"/>
                <w:szCs w:val="20"/>
              </w:rPr>
              <w:t>the immediate priorities for FAST in the next two months.</w:t>
            </w:r>
          </w:p>
        </w:tc>
      </w:tr>
      <w:tr w:rsidR="00FB2882" w14:paraId="75FEF31D" w14:textId="77777777" w:rsidTr="00C45335">
        <w:tc>
          <w:tcPr>
            <w:tcW w:w="2127" w:type="dxa"/>
          </w:tcPr>
          <w:p w14:paraId="27FFA986" w14:textId="77777777" w:rsidR="00FB2882" w:rsidRDefault="00FB2882" w:rsidP="00FB2882"/>
        </w:tc>
        <w:tc>
          <w:tcPr>
            <w:tcW w:w="4105" w:type="dxa"/>
          </w:tcPr>
          <w:p w14:paraId="16173DB8" w14:textId="4013C920" w:rsidR="00FB2882" w:rsidRPr="00D64BA0" w:rsidRDefault="00FB2882" w:rsidP="00FB2882">
            <w:pPr>
              <w:rPr>
                <w:b/>
                <w:bCs/>
              </w:rPr>
            </w:pPr>
            <w:r w:rsidRPr="00FB2882">
              <w:rPr>
                <w:b/>
                <w:bCs/>
                <w:sz w:val="20"/>
                <w:szCs w:val="20"/>
              </w:rPr>
              <w:t>Financial Update</w:t>
            </w:r>
          </w:p>
        </w:tc>
        <w:tc>
          <w:tcPr>
            <w:tcW w:w="9361" w:type="dxa"/>
          </w:tcPr>
          <w:p w14:paraId="04A0C907" w14:textId="5A76DB43" w:rsidR="00FB2882" w:rsidRPr="00E34735" w:rsidRDefault="00FB2882" w:rsidP="00E34735">
            <w:pPr>
              <w:pStyle w:val="NoSpacing"/>
              <w:numPr>
                <w:ilvl w:val="0"/>
                <w:numId w:val="3"/>
              </w:numPr>
              <w:ind w:left="720"/>
              <w:rPr>
                <w:rFonts w:asciiTheme="minorHAnsi" w:eastAsiaTheme="minorHAnsi" w:hAnsiTheme="minorHAnsi" w:cstheme="minorBidi"/>
                <w:sz w:val="20"/>
                <w:szCs w:val="20"/>
                <w:lang w:eastAsia="en-US"/>
              </w:rPr>
            </w:pPr>
            <w:r w:rsidRPr="00E34735">
              <w:rPr>
                <w:rFonts w:asciiTheme="minorHAnsi" w:eastAsiaTheme="minorHAnsi" w:hAnsiTheme="minorHAnsi" w:cstheme="minorBidi"/>
                <w:sz w:val="20"/>
                <w:szCs w:val="20"/>
                <w:lang w:eastAsia="en-US"/>
              </w:rPr>
              <w:t xml:space="preserve">the June 2023 Financial Performance Report, the transaction listing of payments made to date under the 10-Year Plan, and the reconciliation of prior year cost sharing apportionment payments were </w:t>
            </w:r>
            <w:r w:rsidRPr="00E34735">
              <w:rPr>
                <w:rFonts w:asciiTheme="minorHAnsi" w:eastAsiaTheme="minorHAnsi" w:hAnsiTheme="minorHAnsi" w:cstheme="minorBidi"/>
                <w:b/>
                <w:bCs/>
                <w:sz w:val="20"/>
                <w:szCs w:val="20"/>
                <w:lang w:eastAsia="en-US"/>
              </w:rPr>
              <w:t>noted</w:t>
            </w:r>
            <w:r w:rsidR="00332F07">
              <w:rPr>
                <w:rFonts w:asciiTheme="minorHAnsi" w:eastAsiaTheme="minorHAnsi" w:hAnsiTheme="minorHAnsi" w:cstheme="minorBidi"/>
                <w:b/>
                <w:bCs/>
                <w:sz w:val="20"/>
                <w:szCs w:val="20"/>
                <w:lang w:eastAsia="en-US"/>
              </w:rPr>
              <w:t>.</w:t>
            </w:r>
          </w:p>
          <w:p w14:paraId="57164DA2" w14:textId="2B1EDFA7" w:rsidR="00FB2882" w:rsidRPr="00E34735" w:rsidRDefault="00FB2882" w:rsidP="00E34735">
            <w:pPr>
              <w:pStyle w:val="ListParagraph"/>
              <w:numPr>
                <w:ilvl w:val="0"/>
                <w:numId w:val="3"/>
              </w:numPr>
              <w:ind w:left="720"/>
              <w:rPr>
                <w:sz w:val="20"/>
                <w:szCs w:val="20"/>
              </w:rPr>
            </w:pPr>
            <w:r w:rsidRPr="00E34735">
              <w:rPr>
                <w:sz w:val="20"/>
                <w:szCs w:val="20"/>
              </w:rPr>
              <w:t xml:space="preserve">the carry forward of the 2022-23 underspend of $13 144 465 to fund the 2023-24 Work Plan was </w:t>
            </w:r>
            <w:r w:rsidRPr="00E34735">
              <w:rPr>
                <w:b/>
                <w:bCs/>
                <w:sz w:val="20"/>
                <w:szCs w:val="20"/>
              </w:rPr>
              <w:t>approved</w:t>
            </w:r>
            <w:r w:rsidR="00332F07">
              <w:rPr>
                <w:b/>
                <w:bCs/>
                <w:sz w:val="20"/>
                <w:szCs w:val="20"/>
              </w:rPr>
              <w:t>.</w:t>
            </w:r>
          </w:p>
          <w:p w14:paraId="14A76CA0" w14:textId="58EA2F21" w:rsidR="00FB2882" w:rsidRPr="00E34735" w:rsidRDefault="00FB2882" w:rsidP="00E34735">
            <w:pPr>
              <w:pStyle w:val="ListParagraph"/>
              <w:numPr>
                <w:ilvl w:val="0"/>
                <w:numId w:val="3"/>
              </w:numPr>
              <w:ind w:left="720"/>
              <w:rPr>
                <w:sz w:val="20"/>
                <w:szCs w:val="20"/>
              </w:rPr>
            </w:pPr>
            <w:r w:rsidRPr="00E34735">
              <w:rPr>
                <w:sz w:val="20"/>
                <w:szCs w:val="20"/>
              </w:rPr>
              <w:t>members were requested to provide an estimation on timeframes for funding purposes</w:t>
            </w:r>
            <w:r w:rsidR="00332F07">
              <w:rPr>
                <w:sz w:val="20"/>
                <w:szCs w:val="20"/>
              </w:rPr>
              <w:t>.</w:t>
            </w:r>
          </w:p>
        </w:tc>
      </w:tr>
      <w:tr w:rsidR="00FB2882" w14:paraId="2E1CE92E" w14:textId="77777777" w:rsidTr="00C45335">
        <w:tc>
          <w:tcPr>
            <w:tcW w:w="2127" w:type="dxa"/>
          </w:tcPr>
          <w:p w14:paraId="2DBF3D2E" w14:textId="77777777" w:rsidR="00FB2882" w:rsidRDefault="00FB2882" w:rsidP="00FB2882"/>
        </w:tc>
        <w:tc>
          <w:tcPr>
            <w:tcW w:w="4105" w:type="dxa"/>
          </w:tcPr>
          <w:p w14:paraId="1C9AD1E6" w14:textId="551ADE1D" w:rsidR="00FB2882" w:rsidRPr="00D64BA0" w:rsidRDefault="00FB2882" w:rsidP="00FB2882">
            <w:pPr>
              <w:rPr>
                <w:b/>
                <w:bCs/>
              </w:rPr>
            </w:pPr>
            <w:r w:rsidRPr="00FB2882">
              <w:rPr>
                <w:b/>
                <w:bCs/>
                <w:sz w:val="20"/>
                <w:szCs w:val="20"/>
              </w:rPr>
              <w:t>Remote Sensing Surveillance Update</w:t>
            </w:r>
          </w:p>
        </w:tc>
        <w:tc>
          <w:tcPr>
            <w:tcW w:w="9361" w:type="dxa"/>
          </w:tcPr>
          <w:p w14:paraId="4883FDD1" w14:textId="71F713B4" w:rsidR="00FB2882" w:rsidRPr="00E34735" w:rsidRDefault="00FB2882" w:rsidP="00E34735">
            <w:pPr>
              <w:pStyle w:val="NoSpacing"/>
              <w:numPr>
                <w:ilvl w:val="0"/>
                <w:numId w:val="3"/>
              </w:numPr>
              <w:ind w:left="720"/>
              <w:rPr>
                <w:rFonts w:asciiTheme="minorHAnsi" w:eastAsiaTheme="minorHAnsi" w:hAnsiTheme="minorHAnsi" w:cstheme="minorBidi"/>
                <w:sz w:val="20"/>
                <w:szCs w:val="20"/>
                <w:lang w:eastAsia="en-US"/>
              </w:rPr>
            </w:pPr>
            <w:r w:rsidRPr="00E34735">
              <w:rPr>
                <w:rFonts w:asciiTheme="minorHAnsi" w:eastAsiaTheme="minorHAnsi" w:hAnsiTheme="minorHAnsi" w:cstheme="minorBidi"/>
                <w:sz w:val="20"/>
                <w:szCs w:val="20"/>
                <w:lang w:eastAsia="en-US"/>
              </w:rPr>
              <w:t xml:space="preserve">the verbal update regarding how the Program will utilise RSS into the future was </w:t>
            </w:r>
            <w:r w:rsidR="00D36734" w:rsidRPr="00E34735">
              <w:rPr>
                <w:rFonts w:asciiTheme="minorHAnsi" w:eastAsiaTheme="minorHAnsi" w:hAnsiTheme="minorHAnsi" w:cstheme="minorBidi"/>
                <w:b/>
                <w:bCs/>
                <w:sz w:val="20"/>
                <w:szCs w:val="20"/>
                <w:lang w:eastAsia="en-US"/>
              </w:rPr>
              <w:t>noted.</w:t>
            </w:r>
          </w:p>
          <w:p w14:paraId="7A732344" w14:textId="3DDF7C01" w:rsidR="00FB2882" w:rsidRPr="00E34735" w:rsidRDefault="00FB2882" w:rsidP="00E34735">
            <w:pPr>
              <w:pStyle w:val="ListParagraph"/>
              <w:numPr>
                <w:ilvl w:val="0"/>
                <w:numId w:val="3"/>
              </w:numPr>
              <w:ind w:left="720"/>
              <w:rPr>
                <w:sz w:val="20"/>
                <w:szCs w:val="20"/>
              </w:rPr>
            </w:pPr>
            <w:r w:rsidRPr="00E34735">
              <w:rPr>
                <w:sz w:val="20"/>
                <w:szCs w:val="20"/>
              </w:rPr>
              <w:t xml:space="preserve">the approach </w:t>
            </w:r>
            <w:r w:rsidR="00986436">
              <w:rPr>
                <w:sz w:val="20"/>
                <w:szCs w:val="20"/>
              </w:rPr>
              <w:t>to effectively apply remote sensing</w:t>
            </w:r>
            <w:r w:rsidR="00C45335" w:rsidRPr="00E34735">
              <w:rPr>
                <w:sz w:val="20"/>
                <w:szCs w:val="20"/>
              </w:rPr>
              <w:t xml:space="preserve"> was </w:t>
            </w:r>
            <w:r w:rsidR="00C45335" w:rsidRPr="00E34735">
              <w:rPr>
                <w:b/>
                <w:bCs/>
                <w:sz w:val="20"/>
                <w:szCs w:val="20"/>
              </w:rPr>
              <w:t>discussed</w:t>
            </w:r>
            <w:r w:rsidR="00C45335" w:rsidRPr="00E34735">
              <w:rPr>
                <w:sz w:val="20"/>
                <w:szCs w:val="20"/>
              </w:rPr>
              <w:t xml:space="preserve"> and </w:t>
            </w:r>
            <w:r w:rsidR="00C45335" w:rsidRPr="00E34735">
              <w:rPr>
                <w:b/>
                <w:bCs/>
                <w:sz w:val="20"/>
                <w:szCs w:val="20"/>
              </w:rPr>
              <w:t>endorsed</w:t>
            </w:r>
            <w:r w:rsidR="00332F07">
              <w:rPr>
                <w:b/>
                <w:bCs/>
                <w:sz w:val="20"/>
                <w:szCs w:val="20"/>
              </w:rPr>
              <w:t>.</w:t>
            </w:r>
          </w:p>
        </w:tc>
      </w:tr>
      <w:tr w:rsidR="00FB2882" w14:paraId="25EA4722" w14:textId="77777777" w:rsidTr="00CF6FEE">
        <w:tc>
          <w:tcPr>
            <w:tcW w:w="2127" w:type="dxa"/>
            <w:tcBorders>
              <w:bottom w:val="single" w:sz="4" w:space="0" w:color="auto"/>
            </w:tcBorders>
          </w:tcPr>
          <w:p w14:paraId="08EA4861" w14:textId="77777777" w:rsidR="00FB2882" w:rsidRDefault="00FB2882" w:rsidP="00FB2882"/>
        </w:tc>
        <w:tc>
          <w:tcPr>
            <w:tcW w:w="4105" w:type="dxa"/>
            <w:tcBorders>
              <w:bottom w:val="single" w:sz="4" w:space="0" w:color="auto"/>
            </w:tcBorders>
          </w:tcPr>
          <w:p w14:paraId="1EE77833" w14:textId="6E6B82C6" w:rsidR="00FB2882" w:rsidRPr="00C45335" w:rsidRDefault="00C45335" w:rsidP="00FB2882">
            <w:pPr>
              <w:rPr>
                <w:b/>
                <w:bCs/>
                <w:sz w:val="20"/>
                <w:szCs w:val="20"/>
              </w:rPr>
            </w:pPr>
            <w:r w:rsidRPr="00C45335">
              <w:rPr>
                <w:b/>
                <w:bCs/>
                <w:sz w:val="20"/>
                <w:szCs w:val="20"/>
              </w:rPr>
              <w:t>Legislative Responsibility (General Biosecurity Obligation</w:t>
            </w:r>
          </w:p>
        </w:tc>
        <w:tc>
          <w:tcPr>
            <w:tcW w:w="9361" w:type="dxa"/>
          </w:tcPr>
          <w:p w14:paraId="30FAF087" w14:textId="38F55764" w:rsidR="00FB2882" w:rsidRPr="00E34735" w:rsidRDefault="00C45335" w:rsidP="00E34735">
            <w:pPr>
              <w:pStyle w:val="NoSpacing"/>
              <w:numPr>
                <w:ilvl w:val="0"/>
                <w:numId w:val="3"/>
              </w:numPr>
              <w:ind w:left="720"/>
              <w:rPr>
                <w:sz w:val="20"/>
                <w:szCs w:val="20"/>
              </w:rPr>
            </w:pPr>
            <w:r w:rsidRPr="00E34735">
              <w:rPr>
                <w:rFonts w:asciiTheme="minorHAnsi" w:eastAsiaTheme="minorHAnsi" w:hAnsiTheme="minorHAnsi" w:cstheme="minorBidi"/>
                <w:sz w:val="20"/>
                <w:szCs w:val="20"/>
                <w:lang w:eastAsia="en-US"/>
              </w:rPr>
              <w:t xml:space="preserve">the work being undertaken by the Program to enhance the legislative framework and the information regarding the general biosecurity obligation were </w:t>
            </w:r>
            <w:r w:rsidRPr="00E34735">
              <w:rPr>
                <w:rFonts w:asciiTheme="minorHAnsi" w:eastAsiaTheme="minorHAnsi" w:hAnsiTheme="minorHAnsi" w:cstheme="minorBidi"/>
                <w:b/>
                <w:bCs/>
                <w:sz w:val="20"/>
                <w:szCs w:val="20"/>
                <w:lang w:eastAsia="en-US"/>
              </w:rPr>
              <w:t>noted</w:t>
            </w:r>
            <w:r w:rsidR="00332F07">
              <w:rPr>
                <w:rFonts w:asciiTheme="minorHAnsi" w:eastAsiaTheme="minorHAnsi" w:hAnsiTheme="minorHAnsi" w:cstheme="minorBidi"/>
                <w:b/>
                <w:bCs/>
                <w:sz w:val="20"/>
                <w:szCs w:val="20"/>
                <w:lang w:eastAsia="en-US"/>
              </w:rPr>
              <w:t>.</w:t>
            </w:r>
          </w:p>
        </w:tc>
      </w:tr>
      <w:tr w:rsidR="00E34735" w14:paraId="146EBBE4" w14:textId="77777777" w:rsidTr="00CF6FEE">
        <w:tc>
          <w:tcPr>
            <w:tcW w:w="2127" w:type="dxa"/>
            <w:tcBorders>
              <w:right w:val="nil"/>
            </w:tcBorders>
          </w:tcPr>
          <w:p w14:paraId="48C4A00B" w14:textId="77777777" w:rsidR="00E34735" w:rsidRDefault="00E34735" w:rsidP="00FB2882"/>
        </w:tc>
        <w:tc>
          <w:tcPr>
            <w:tcW w:w="4105" w:type="dxa"/>
            <w:tcBorders>
              <w:left w:val="nil"/>
              <w:right w:val="nil"/>
            </w:tcBorders>
          </w:tcPr>
          <w:p w14:paraId="3A3CAD8C" w14:textId="77777777" w:rsidR="00E34735" w:rsidRPr="00C45335" w:rsidRDefault="00E34735" w:rsidP="00FB2882">
            <w:pPr>
              <w:rPr>
                <w:b/>
                <w:bCs/>
                <w:sz w:val="20"/>
                <w:szCs w:val="20"/>
              </w:rPr>
            </w:pPr>
          </w:p>
        </w:tc>
        <w:tc>
          <w:tcPr>
            <w:tcW w:w="9361" w:type="dxa"/>
            <w:tcBorders>
              <w:left w:val="nil"/>
            </w:tcBorders>
          </w:tcPr>
          <w:p w14:paraId="44DAAEBF" w14:textId="77777777" w:rsidR="00E34735" w:rsidRPr="00E34735" w:rsidRDefault="00E34735" w:rsidP="00E34735">
            <w:pPr>
              <w:pStyle w:val="NoSpacing"/>
              <w:ind w:left="360"/>
              <w:rPr>
                <w:rFonts w:asciiTheme="minorHAnsi" w:eastAsiaTheme="minorHAnsi" w:hAnsiTheme="minorHAnsi" w:cstheme="minorBidi"/>
                <w:sz w:val="20"/>
                <w:szCs w:val="20"/>
                <w:lang w:eastAsia="en-US"/>
              </w:rPr>
            </w:pPr>
          </w:p>
        </w:tc>
      </w:tr>
      <w:tr w:rsidR="00FB2882" w14:paraId="303FD5A4" w14:textId="77777777" w:rsidTr="00C45335">
        <w:tc>
          <w:tcPr>
            <w:tcW w:w="2127" w:type="dxa"/>
          </w:tcPr>
          <w:p w14:paraId="444CA7AD" w14:textId="77777777" w:rsidR="00FB2882" w:rsidRDefault="00C45335" w:rsidP="00FB2882">
            <w:r>
              <w:t>20 September 2023</w:t>
            </w:r>
          </w:p>
          <w:p w14:paraId="5A66B646" w14:textId="5E3326CA" w:rsidR="00C45335" w:rsidRDefault="00C45335" w:rsidP="00FB2882">
            <w:r>
              <w:t>(Extraordinary meeting)</w:t>
            </w:r>
          </w:p>
        </w:tc>
        <w:tc>
          <w:tcPr>
            <w:tcW w:w="4105" w:type="dxa"/>
          </w:tcPr>
          <w:p w14:paraId="316B896D" w14:textId="22BBAEEC" w:rsidR="00FB2882" w:rsidRPr="00D53D30" w:rsidRDefault="00D53D30" w:rsidP="00FB2882">
            <w:pPr>
              <w:rPr>
                <w:b/>
                <w:bCs/>
                <w:sz w:val="20"/>
                <w:szCs w:val="20"/>
              </w:rPr>
            </w:pPr>
            <w:r>
              <w:rPr>
                <w:b/>
                <w:bCs/>
                <w:sz w:val="20"/>
                <w:szCs w:val="20"/>
              </w:rPr>
              <w:t>Program Executive Update</w:t>
            </w:r>
          </w:p>
        </w:tc>
        <w:tc>
          <w:tcPr>
            <w:tcW w:w="9361" w:type="dxa"/>
          </w:tcPr>
          <w:p w14:paraId="4D425EDE" w14:textId="5F07D98F" w:rsidR="00D53D30" w:rsidRPr="00E34735" w:rsidRDefault="00D53D30" w:rsidP="00E34735">
            <w:pPr>
              <w:pStyle w:val="ListParagraph"/>
              <w:numPr>
                <w:ilvl w:val="0"/>
                <w:numId w:val="3"/>
              </w:numPr>
              <w:ind w:left="720"/>
              <w:rPr>
                <w:sz w:val="20"/>
                <w:szCs w:val="20"/>
              </w:rPr>
            </w:pPr>
            <w:r w:rsidRPr="00E34735">
              <w:rPr>
                <w:sz w:val="20"/>
                <w:szCs w:val="20"/>
              </w:rPr>
              <w:t>Members were reminded that the Program is currently working to the 2023-24 Work Plan until funding decisions have been approved</w:t>
            </w:r>
            <w:r w:rsidR="002963C0">
              <w:rPr>
                <w:sz w:val="20"/>
                <w:szCs w:val="20"/>
              </w:rPr>
              <w:t xml:space="preserve"> and announced</w:t>
            </w:r>
            <w:r w:rsidRPr="00E34735">
              <w:rPr>
                <w:sz w:val="20"/>
                <w:szCs w:val="20"/>
              </w:rPr>
              <w:t xml:space="preserve">.  </w:t>
            </w:r>
          </w:p>
          <w:p w14:paraId="4D92353B" w14:textId="612A6DA4" w:rsidR="00D53D30" w:rsidRPr="00E34735" w:rsidRDefault="00D53D30" w:rsidP="00E34735">
            <w:pPr>
              <w:pStyle w:val="ListParagraph"/>
              <w:numPr>
                <w:ilvl w:val="0"/>
                <w:numId w:val="3"/>
              </w:numPr>
              <w:ind w:left="720"/>
              <w:rPr>
                <w:sz w:val="20"/>
                <w:szCs w:val="20"/>
              </w:rPr>
            </w:pPr>
            <w:r w:rsidRPr="00E34735">
              <w:rPr>
                <w:sz w:val="20"/>
                <w:szCs w:val="20"/>
              </w:rPr>
              <w:t>the Program Executive reiterated that it is likely only one round of treatment will be completed this treatment season as this treatment can only occur if a funding decision is agreed to by October / November 2023</w:t>
            </w:r>
            <w:r w:rsidR="002963C0">
              <w:rPr>
                <w:sz w:val="20"/>
                <w:szCs w:val="20"/>
              </w:rPr>
              <w:t>.</w:t>
            </w:r>
          </w:p>
          <w:p w14:paraId="5DA232A3" w14:textId="77777777" w:rsidR="00FB2882" w:rsidRPr="00E34735" w:rsidRDefault="00D53D30" w:rsidP="00E34735">
            <w:pPr>
              <w:pStyle w:val="ListParagraph"/>
              <w:numPr>
                <w:ilvl w:val="0"/>
                <w:numId w:val="3"/>
              </w:numPr>
              <w:ind w:left="720"/>
              <w:rPr>
                <w:sz w:val="20"/>
                <w:szCs w:val="20"/>
              </w:rPr>
            </w:pPr>
            <w:r w:rsidRPr="00E34735">
              <w:rPr>
                <w:sz w:val="20"/>
                <w:szCs w:val="20"/>
              </w:rPr>
              <w:t>the Program Executive provided an update on briefings held with the Commonwealth, ACT Minister and NSW Minister and again welcomed invitations from the jurisdictions to brief their ministers if required.</w:t>
            </w:r>
          </w:p>
          <w:p w14:paraId="0583E6F4" w14:textId="1924EF19" w:rsidR="00D53D30" w:rsidRPr="00E34735" w:rsidRDefault="00D53D30" w:rsidP="00E34735">
            <w:pPr>
              <w:pStyle w:val="ListParagraph"/>
              <w:numPr>
                <w:ilvl w:val="0"/>
                <w:numId w:val="3"/>
              </w:numPr>
              <w:ind w:left="720"/>
              <w:rPr>
                <w:sz w:val="20"/>
                <w:szCs w:val="20"/>
              </w:rPr>
            </w:pPr>
            <w:r w:rsidRPr="00E34735">
              <w:rPr>
                <w:sz w:val="20"/>
                <w:szCs w:val="20"/>
              </w:rPr>
              <w:t xml:space="preserve">it was </w:t>
            </w:r>
            <w:r w:rsidRPr="00E34735">
              <w:rPr>
                <w:b/>
                <w:bCs/>
                <w:sz w:val="20"/>
                <w:szCs w:val="20"/>
              </w:rPr>
              <w:t>noted</w:t>
            </w:r>
            <w:r w:rsidRPr="00E34735">
              <w:rPr>
                <w:sz w:val="20"/>
                <w:szCs w:val="20"/>
              </w:rPr>
              <w:t xml:space="preserve"> that approval for the Program’s Response Plan 2023-27 budget has been delayed and alternate funding arrangements are required for 2023-24 to continue the eradication effort by the Program</w:t>
            </w:r>
            <w:r w:rsidR="00332F07">
              <w:rPr>
                <w:sz w:val="20"/>
                <w:szCs w:val="20"/>
              </w:rPr>
              <w:t>.</w:t>
            </w:r>
          </w:p>
        </w:tc>
      </w:tr>
      <w:tr w:rsidR="00FB2882" w14:paraId="2930BB75" w14:textId="77777777" w:rsidTr="00C45335">
        <w:tc>
          <w:tcPr>
            <w:tcW w:w="2127" w:type="dxa"/>
          </w:tcPr>
          <w:p w14:paraId="0C40759C" w14:textId="77777777" w:rsidR="00FB2882" w:rsidRDefault="00FB2882" w:rsidP="00FB2882"/>
        </w:tc>
        <w:tc>
          <w:tcPr>
            <w:tcW w:w="4105" w:type="dxa"/>
          </w:tcPr>
          <w:p w14:paraId="1FECAB41" w14:textId="66690325" w:rsidR="00FB2882" w:rsidRPr="00D53D30" w:rsidRDefault="00D53D30" w:rsidP="00FB2882">
            <w:pPr>
              <w:rPr>
                <w:b/>
                <w:bCs/>
                <w:sz w:val="20"/>
                <w:szCs w:val="20"/>
              </w:rPr>
            </w:pPr>
            <w:r>
              <w:rPr>
                <w:b/>
                <w:bCs/>
                <w:sz w:val="20"/>
                <w:szCs w:val="20"/>
              </w:rPr>
              <w:t>Finance Update</w:t>
            </w:r>
          </w:p>
        </w:tc>
        <w:tc>
          <w:tcPr>
            <w:tcW w:w="9361" w:type="dxa"/>
          </w:tcPr>
          <w:p w14:paraId="0F9D4B4C" w14:textId="16260D79" w:rsidR="00D53D30" w:rsidRPr="002963C0" w:rsidRDefault="00D53D30" w:rsidP="00E34735">
            <w:pPr>
              <w:pStyle w:val="ListParagraph"/>
              <w:numPr>
                <w:ilvl w:val="0"/>
                <w:numId w:val="10"/>
              </w:numPr>
              <w:rPr>
                <w:sz w:val="20"/>
                <w:szCs w:val="20"/>
              </w:rPr>
            </w:pPr>
            <w:r w:rsidRPr="002963C0">
              <w:rPr>
                <w:sz w:val="20"/>
                <w:szCs w:val="20"/>
              </w:rPr>
              <w:t>The Program Executive advised that once NSW’ contribution of the full response plan year one funding was received</w:t>
            </w:r>
            <w:r w:rsidR="00B907BF">
              <w:rPr>
                <w:sz w:val="20"/>
                <w:szCs w:val="20"/>
              </w:rPr>
              <w:t>,</w:t>
            </w:r>
            <w:r w:rsidRPr="002963C0">
              <w:rPr>
                <w:sz w:val="20"/>
                <w:szCs w:val="20"/>
              </w:rPr>
              <w:t xml:space="preserve"> the Program would come back to the Steering Committee to detail the changes that would be made within the 2023-24 Work Plan to reconcile the additional funding</w:t>
            </w:r>
            <w:r w:rsidR="00332F07">
              <w:rPr>
                <w:sz w:val="20"/>
                <w:szCs w:val="20"/>
              </w:rPr>
              <w:t>.</w:t>
            </w:r>
          </w:p>
          <w:p w14:paraId="66CA0F10" w14:textId="655843A7" w:rsidR="0010013C" w:rsidRPr="002963C0" w:rsidRDefault="0010013C" w:rsidP="00E34735">
            <w:pPr>
              <w:pStyle w:val="ListParagraph"/>
              <w:numPr>
                <w:ilvl w:val="0"/>
                <w:numId w:val="10"/>
              </w:numPr>
              <w:rPr>
                <w:sz w:val="20"/>
                <w:szCs w:val="20"/>
              </w:rPr>
            </w:pPr>
            <w:r w:rsidRPr="002963C0">
              <w:rPr>
                <w:sz w:val="20"/>
                <w:szCs w:val="20"/>
              </w:rPr>
              <w:t xml:space="preserve">it was </w:t>
            </w:r>
            <w:r w:rsidRPr="002963C0">
              <w:rPr>
                <w:b/>
                <w:bCs/>
                <w:sz w:val="20"/>
                <w:szCs w:val="20"/>
              </w:rPr>
              <w:t>noted</w:t>
            </w:r>
            <w:r w:rsidRPr="002963C0">
              <w:rPr>
                <w:sz w:val="20"/>
                <w:szCs w:val="20"/>
              </w:rPr>
              <w:t xml:space="preserve"> that the timing of the contributions for 2023-24 will have a direct impact on sequencing of the scaling up </w:t>
            </w:r>
            <w:r w:rsidR="002963C0" w:rsidRPr="002963C0">
              <w:rPr>
                <w:sz w:val="20"/>
                <w:szCs w:val="20"/>
              </w:rPr>
              <w:t xml:space="preserve">to full capacity </w:t>
            </w:r>
            <w:r w:rsidRPr="002963C0">
              <w:rPr>
                <w:sz w:val="20"/>
                <w:szCs w:val="20"/>
              </w:rPr>
              <w:t>of the Program.</w:t>
            </w:r>
          </w:p>
          <w:p w14:paraId="55729E53" w14:textId="62600822" w:rsidR="0010013C" w:rsidRPr="00E34735" w:rsidRDefault="0010013C" w:rsidP="00E34735">
            <w:pPr>
              <w:pStyle w:val="ListParagraph"/>
              <w:numPr>
                <w:ilvl w:val="0"/>
                <w:numId w:val="10"/>
              </w:numPr>
              <w:rPr>
                <w:sz w:val="20"/>
                <w:szCs w:val="20"/>
              </w:rPr>
            </w:pPr>
            <w:r w:rsidRPr="00E34735">
              <w:rPr>
                <w:sz w:val="20"/>
                <w:szCs w:val="20"/>
              </w:rPr>
              <w:t xml:space="preserve">Members </w:t>
            </w:r>
            <w:r w:rsidRPr="00E34735">
              <w:rPr>
                <w:b/>
                <w:bCs/>
                <w:sz w:val="20"/>
                <w:szCs w:val="20"/>
              </w:rPr>
              <w:t>agreed</w:t>
            </w:r>
            <w:r w:rsidRPr="00E34735">
              <w:rPr>
                <w:sz w:val="20"/>
                <w:szCs w:val="20"/>
              </w:rPr>
              <w:t xml:space="preserve"> each contributing partner is to notify the Program of the anticipated timing of receipt of contributions for the 2023-24 financial year</w:t>
            </w:r>
            <w:r w:rsidR="00332F07">
              <w:rPr>
                <w:sz w:val="20"/>
                <w:szCs w:val="20"/>
              </w:rPr>
              <w:t>.</w:t>
            </w:r>
          </w:p>
        </w:tc>
      </w:tr>
      <w:tr w:rsidR="00FB2882" w14:paraId="4A9C587A" w14:textId="77777777" w:rsidTr="00C45335">
        <w:tc>
          <w:tcPr>
            <w:tcW w:w="2127" w:type="dxa"/>
          </w:tcPr>
          <w:p w14:paraId="1CC3E686" w14:textId="77777777" w:rsidR="00FB2882" w:rsidRDefault="00FB2882" w:rsidP="00FB2882"/>
        </w:tc>
        <w:tc>
          <w:tcPr>
            <w:tcW w:w="4105" w:type="dxa"/>
          </w:tcPr>
          <w:p w14:paraId="226F67D7" w14:textId="3CE4DC56" w:rsidR="00FB2882" w:rsidRPr="00D53D30" w:rsidRDefault="00D53D30" w:rsidP="00FB2882">
            <w:pPr>
              <w:rPr>
                <w:b/>
                <w:bCs/>
                <w:sz w:val="20"/>
                <w:szCs w:val="20"/>
              </w:rPr>
            </w:pPr>
            <w:r w:rsidRPr="00D53D30">
              <w:rPr>
                <w:b/>
                <w:bCs/>
                <w:sz w:val="20"/>
                <w:szCs w:val="20"/>
              </w:rPr>
              <w:t>2023-24 Work Plan and Treatment Variation</w:t>
            </w:r>
          </w:p>
        </w:tc>
        <w:tc>
          <w:tcPr>
            <w:tcW w:w="9361" w:type="dxa"/>
          </w:tcPr>
          <w:p w14:paraId="0051FE3B" w14:textId="2C9321EC" w:rsidR="00D53D30" w:rsidRPr="00E34735" w:rsidRDefault="00D53D30" w:rsidP="00E34735">
            <w:pPr>
              <w:pStyle w:val="ListParagraph"/>
              <w:numPr>
                <w:ilvl w:val="0"/>
                <w:numId w:val="11"/>
              </w:numPr>
              <w:rPr>
                <w:sz w:val="20"/>
                <w:szCs w:val="20"/>
              </w:rPr>
            </w:pPr>
            <w:r w:rsidRPr="00E34735">
              <w:rPr>
                <w:sz w:val="20"/>
                <w:szCs w:val="20"/>
              </w:rPr>
              <w:t xml:space="preserve">members </w:t>
            </w:r>
            <w:r w:rsidRPr="00E34735">
              <w:rPr>
                <w:b/>
                <w:bCs/>
                <w:sz w:val="20"/>
                <w:szCs w:val="20"/>
              </w:rPr>
              <w:t>noted</w:t>
            </w:r>
            <w:r w:rsidRPr="00E34735">
              <w:rPr>
                <w:sz w:val="20"/>
                <w:szCs w:val="20"/>
              </w:rPr>
              <w:t xml:space="preserve"> the treatment and surveillance progress against the 2023-24 Work Plan.</w:t>
            </w:r>
          </w:p>
          <w:p w14:paraId="6492D780" w14:textId="2BA44897" w:rsidR="00D53D30" w:rsidRPr="00E34735" w:rsidRDefault="00D53D30" w:rsidP="00E34735">
            <w:pPr>
              <w:pStyle w:val="ListParagraph"/>
              <w:numPr>
                <w:ilvl w:val="0"/>
                <w:numId w:val="11"/>
              </w:numPr>
              <w:rPr>
                <w:sz w:val="20"/>
                <w:szCs w:val="20"/>
              </w:rPr>
            </w:pPr>
            <w:r w:rsidRPr="00E34735">
              <w:rPr>
                <w:sz w:val="20"/>
                <w:szCs w:val="20"/>
              </w:rPr>
              <w:t xml:space="preserve">the variation to the 2023-24 Work Plan </w:t>
            </w:r>
            <w:r w:rsidR="00D36734" w:rsidRPr="00E34735">
              <w:rPr>
                <w:sz w:val="20"/>
                <w:szCs w:val="20"/>
              </w:rPr>
              <w:t>except for</w:t>
            </w:r>
            <w:r w:rsidRPr="00E34735">
              <w:rPr>
                <w:sz w:val="20"/>
                <w:szCs w:val="20"/>
              </w:rPr>
              <w:t xml:space="preserve"> the Minjerribah Response was </w:t>
            </w:r>
            <w:r w:rsidRPr="00E34735">
              <w:rPr>
                <w:b/>
                <w:bCs/>
                <w:sz w:val="20"/>
                <w:szCs w:val="20"/>
              </w:rPr>
              <w:t>approved</w:t>
            </w:r>
            <w:r w:rsidR="00D36734">
              <w:rPr>
                <w:b/>
                <w:bCs/>
                <w:sz w:val="20"/>
                <w:szCs w:val="20"/>
              </w:rPr>
              <w:t>.</w:t>
            </w:r>
          </w:p>
          <w:p w14:paraId="706240EF" w14:textId="79B22CCE" w:rsidR="00D53D30" w:rsidRPr="00E34735" w:rsidRDefault="00D53D30" w:rsidP="00E34735">
            <w:pPr>
              <w:pStyle w:val="ListParagraph"/>
              <w:numPr>
                <w:ilvl w:val="0"/>
                <w:numId w:val="11"/>
              </w:numPr>
              <w:rPr>
                <w:sz w:val="20"/>
                <w:szCs w:val="20"/>
              </w:rPr>
            </w:pPr>
            <w:r w:rsidRPr="00E34735">
              <w:rPr>
                <w:sz w:val="20"/>
                <w:szCs w:val="20"/>
              </w:rPr>
              <w:t xml:space="preserve">the recommended responses to the detections of importance were </w:t>
            </w:r>
            <w:r w:rsidRPr="00E34735">
              <w:rPr>
                <w:b/>
                <w:bCs/>
                <w:sz w:val="20"/>
                <w:szCs w:val="20"/>
              </w:rPr>
              <w:t>approved</w:t>
            </w:r>
            <w:r w:rsidR="00D36734">
              <w:rPr>
                <w:b/>
                <w:bCs/>
                <w:sz w:val="20"/>
                <w:szCs w:val="20"/>
              </w:rPr>
              <w:t>.</w:t>
            </w:r>
          </w:p>
          <w:p w14:paraId="26EF6FAF" w14:textId="68E33B84" w:rsidR="00D53D30" w:rsidRPr="00E34735" w:rsidRDefault="00D53D30" w:rsidP="00E34735">
            <w:pPr>
              <w:pStyle w:val="ListParagraph"/>
              <w:numPr>
                <w:ilvl w:val="0"/>
                <w:numId w:val="11"/>
              </w:numPr>
              <w:rPr>
                <w:sz w:val="20"/>
                <w:szCs w:val="20"/>
              </w:rPr>
            </w:pPr>
            <w:r w:rsidRPr="00E34735">
              <w:rPr>
                <w:sz w:val="20"/>
                <w:szCs w:val="20"/>
              </w:rPr>
              <w:t xml:space="preserve">it was </w:t>
            </w:r>
            <w:r w:rsidRPr="00E34735">
              <w:rPr>
                <w:b/>
                <w:bCs/>
                <w:sz w:val="20"/>
                <w:szCs w:val="20"/>
              </w:rPr>
              <w:t>agreed</w:t>
            </w:r>
            <w:r w:rsidRPr="00E34735">
              <w:rPr>
                <w:sz w:val="20"/>
                <w:szCs w:val="20"/>
              </w:rPr>
              <w:t xml:space="preserve"> the Program would provide further options for the treatment of Minjerribah</w:t>
            </w:r>
            <w:r w:rsidR="00D36734">
              <w:rPr>
                <w:sz w:val="20"/>
                <w:szCs w:val="20"/>
              </w:rPr>
              <w:t>.</w:t>
            </w:r>
          </w:p>
        </w:tc>
      </w:tr>
      <w:tr w:rsidR="00FB2882" w14:paraId="4529518E" w14:textId="77777777" w:rsidTr="00CF6FEE">
        <w:tc>
          <w:tcPr>
            <w:tcW w:w="2127" w:type="dxa"/>
            <w:tcBorders>
              <w:bottom w:val="single" w:sz="4" w:space="0" w:color="auto"/>
            </w:tcBorders>
          </w:tcPr>
          <w:p w14:paraId="189EF67A" w14:textId="77777777" w:rsidR="00FB2882" w:rsidRDefault="00FB2882" w:rsidP="00FB2882"/>
        </w:tc>
        <w:tc>
          <w:tcPr>
            <w:tcW w:w="4105" w:type="dxa"/>
            <w:tcBorders>
              <w:bottom w:val="single" w:sz="4" w:space="0" w:color="auto"/>
            </w:tcBorders>
          </w:tcPr>
          <w:p w14:paraId="25626A95" w14:textId="1F2DAD47" w:rsidR="00FB2882" w:rsidRPr="00D53D30" w:rsidRDefault="00D53D30" w:rsidP="00FB2882">
            <w:pPr>
              <w:rPr>
                <w:b/>
                <w:bCs/>
                <w:sz w:val="20"/>
                <w:szCs w:val="20"/>
              </w:rPr>
            </w:pPr>
            <w:r w:rsidRPr="00D53D30">
              <w:rPr>
                <w:b/>
                <w:bCs/>
                <w:sz w:val="20"/>
                <w:szCs w:val="20"/>
              </w:rPr>
              <w:t>General Biosecurity Obligations</w:t>
            </w:r>
          </w:p>
        </w:tc>
        <w:tc>
          <w:tcPr>
            <w:tcW w:w="9361" w:type="dxa"/>
          </w:tcPr>
          <w:p w14:paraId="2544CF44" w14:textId="706F37AD" w:rsidR="00FB2882" w:rsidRPr="00E34735" w:rsidRDefault="00D53D30" w:rsidP="00E34735">
            <w:pPr>
              <w:pStyle w:val="ListParagraph"/>
              <w:numPr>
                <w:ilvl w:val="0"/>
                <w:numId w:val="12"/>
              </w:numPr>
              <w:rPr>
                <w:sz w:val="20"/>
                <w:szCs w:val="20"/>
              </w:rPr>
            </w:pPr>
            <w:r w:rsidRPr="00E34735">
              <w:rPr>
                <w:sz w:val="20"/>
                <w:szCs w:val="20"/>
              </w:rPr>
              <w:t xml:space="preserve">members </w:t>
            </w:r>
            <w:r w:rsidRPr="00E34735">
              <w:rPr>
                <w:b/>
                <w:bCs/>
                <w:sz w:val="20"/>
                <w:szCs w:val="20"/>
              </w:rPr>
              <w:t>noted</w:t>
            </w:r>
            <w:r w:rsidRPr="00E34735">
              <w:rPr>
                <w:sz w:val="20"/>
                <w:szCs w:val="20"/>
              </w:rPr>
              <w:t xml:space="preserve"> the General Biosecurity Obligation (GBO) guidelines that are being developed by the Program under the Biosecurity Act 2014</w:t>
            </w:r>
            <w:r w:rsidR="00D36734">
              <w:rPr>
                <w:sz w:val="20"/>
                <w:szCs w:val="20"/>
              </w:rPr>
              <w:t>.</w:t>
            </w:r>
          </w:p>
          <w:p w14:paraId="4B9F9BD0" w14:textId="5881A0BF" w:rsidR="00D53D30" w:rsidRPr="00E34735" w:rsidRDefault="00D53D30" w:rsidP="00E34735">
            <w:pPr>
              <w:pStyle w:val="ListParagraph"/>
              <w:numPr>
                <w:ilvl w:val="0"/>
                <w:numId w:val="12"/>
              </w:numPr>
              <w:rPr>
                <w:sz w:val="20"/>
                <w:szCs w:val="20"/>
              </w:rPr>
            </w:pPr>
            <w:r w:rsidRPr="00E34735">
              <w:rPr>
                <w:sz w:val="20"/>
                <w:szCs w:val="20"/>
              </w:rPr>
              <w:t xml:space="preserve">members </w:t>
            </w:r>
            <w:r w:rsidRPr="00E34735">
              <w:rPr>
                <w:b/>
                <w:bCs/>
                <w:sz w:val="20"/>
                <w:szCs w:val="20"/>
              </w:rPr>
              <w:t>discussed</w:t>
            </w:r>
            <w:r w:rsidRPr="00E34735">
              <w:rPr>
                <w:sz w:val="20"/>
                <w:szCs w:val="20"/>
              </w:rPr>
              <w:t xml:space="preserve"> the content of the guidelines which may be taken into account when considering whether a person has or has not discharged their GBO</w:t>
            </w:r>
            <w:r w:rsidR="00D36734">
              <w:rPr>
                <w:sz w:val="20"/>
                <w:szCs w:val="20"/>
              </w:rPr>
              <w:t>.</w:t>
            </w:r>
          </w:p>
        </w:tc>
      </w:tr>
      <w:tr w:rsidR="00E34735" w14:paraId="30B249E8" w14:textId="77777777" w:rsidTr="00CF6FEE">
        <w:tc>
          <w:tcPr>
            <w:tcW w:w="2127" w:type="dxa"/>
            <w:tcBorders>
              <w:right w:val="nil"/>
            </w:tcBorders>
          </w:tcPr>
          <w:p w14:paraId="2BA5A027" w14:textId="77777777" w:rsidR="00E34735" w:rsidRDefault="00E34735" w:rsidP="00FB2882"/>
        </w:tc>
        <w:tc>
          <w:tcPr>
            <w:tcW w:w="4105" w:type="dxa"/>
            <w:tcBorders>
              <w:left w:val="nil"/>
              <w:right w:val="nil"/>
            </w:tcBorders>
          </w:tcPr>
          <w:p w14:paraId="0BFDC4AC" w14:textId="77777777" w:rsidR="00E34735" w:rsidRPr="00D53D30" w:rsidRDefault="00E34735" w:rsidP="00FB2882">
            <w:pPr>
              <w:rPr>
                <w:b/>
                <w:bCs/>
                <w:sz w:val="20"/>
                <w:szCs w:val="20"/>
              </w:rPr>
            </w:pPr>
          </w:p>
        </w:tc>
        <w:tc>
          <w:tcPr>
            <w:tcW w:w="9361" w:type="dxa"/>
            <w:tcBorders>
              <w:left w:val="nil"/>
            </w:tcBorders>
          </w:tcPr>
          <w:p w14:paraId="216EBF6C" w14:textId="77777777" w:rsidR="00E34735" w:rsidRPr="00E34735" w:rsidRDefault="00E34735" w:rsidP="00E34735">
            <w:pPr>
              <w:rPr>
                <w:sz w:val="20"/>
                <w:szCs w:val="20"/>
              </w:rPr>
            </w:pPr>
          </w:p>
        </w:tc>
      </w:tr>
      <w:tr w:rsidR="0010013C" w14:paraId="6AEE210F" w14:textId="77777777" w:rsidTr="00CF6FEE">
        <w:tc>
          <w:tcPr>
            <w:tcW w:w="2127" w:type="dxa"/>
            <w:tcBorders>
              <w:bottom w:val="single" w:sz="4" w:space="0" w:color="auto"/>
            </w:tcBorders>
          </w:tcPr>
          <w:p w14:paraId="3C100637" w14:textId="77777777" w:rsidR="0010013C" w:rsidRDefault="0010013C" w:rsidP="00FB2882">
            <w:r>
              <w:t>10 November 2023</w:t>
            </w:r>
          </w:p>
          <w:p w14:paraId="1E5DC793" w14:textId="4DCB4435" w:rsidR="0010013C" w:rsidRDefault="0010013C" w:rsidP="00FB2882">
            <w:r>
              <w:t>(Extraordinary meeting)</w:t>
            </w:r>
          </w:p>
        </w:tc>
        <w:tc>
          <w:tcPr>
            <w:tcW w:w="4105" w:type="dxa"/>
            <w:tcBorders>
              <w:bottom w:val="single" w:sz="4" w:space="0" w:color="auto"/>
            </w:tcBorders>
          </w:tcPr>
          <w:p w14:paraId="0EBE1C23" w14:textId="667988B8" w:rsidR="0010013C" w:rsidRPr="00D53D30" w:rsidRDefault="0010013C" w:rsidP="00FB2882">
            <w:pPr>
              <w:rPr>
                <w:b/>
                <w:bCs/>
                <w:sz w:val="20"/>
                <w:szCs w:val="20"/>
              </w:rPr>
            </w:pPr>
            <w:r>
              <w:rPr>
                <w:b/>
                <w:bCs/>
                <w:sz w:val="20"/>
                <w:szCs w:val="20"/>
              </w:rPr>
              <w:t>Interim treatment on Minjerribah (North Stradbroke Island)</w:t>
            </w:r>
          </w:p>
        </w:tc>
        <w:tc>
          <w:tcPr>
            <w:tcW w:w="9361" w:type="dxa"/>
          </w:tcPr>
          <w:p w14:paraId="2E4A1400" w14:textId="00009BB4" w:rsidR="0010013C" w:rsidRPr="00E34735" w:rsidRDefault="0010013C" w:rsidP="00E34735">
            <w:pPr>
              <w:pStyle w:val="ListParagraph"/>
              <w:numPr>
                <w:ilvl w:val="0"/>
                <w:numId w:val="12"/>
              </w:numPr>
              <w:rPr>
                <w:sz w:val="20"/>
                <w:szCs w:val="20"/>
              </w:rPr>
            </w:pPr>
            <w:r w:rsidRPr="00E34735">
              <w:rPr>
                <w:sz w:val="20"/>
                <w:szCs w:val="20"/>
              </w:rPr>
              <w:t xml:space="preserve">members </w:t>
            </w:r>
            <w:r w:rsidRPr="00E34735">
              <w:rPr>
                <w:b/>
                <w:bCs/>
                <w:sz w:val="20"/>
                <w:szCs w:val="20"/>
              </w:rPr>
              <w:t>approved</w:t>
            </w:r>
            <w:r w:rsidRPr="00E34735">
              <w:rPr>
                <w:sz w:val="20"/>
                <w:szCs w:val="20"/>
              </w:rPr>
              <w:t xml:space="preserve"> funding the next round of treatment for Minjerribah and the Bay Islands</w:t>
            </w:r>
            <w:r w:rsidR="00D36734">
              <w:rPr>
                <w:sz w:val="20"/>
                <w:szCs w:val="20"/>
              </w:rPr>
              <w:t>.</w:t>
            </w:r>
          </w:p>
        </w:tc>
      </w:tr>
      <w:tr w:rsidR="00E34735" w14:paraId="2C7F380A" w14:textId="77777777" w:rsidTr="00CF6FEE">
        <w:tc>
          <w:tcPr>
            <w:tcW w:w="2127" w:type="dxa"/>
            <w:tcBorders>
              <w:right w:val="nil"/>
            </w:tcBorders>
          </w:tcPr>
          <w:p w14:paraId="73F5292A" w14:textId="77777777" w:rsidR="00E34735" w:rsidRDefault="00E34735" w:rsidP="00FB2882"/>
        </w:tc>
        <w:tc>
          <w:tcPr>
            <w:tcW w:w="4105" w:type="dxa"/>
            <w:tcBorders>
              <w:left w:val="nil"/>
              <w:right w:val="nil"/>
            </w:tcBorders>
          </w:tcPr>
          <w:p w14:paraId="1F391CD5" w14:textId="77777777" w:rsidR="00E34735" w:rsidRDefault="00E34735" w:rsidP="00FB2882">
            <w:pPr>
              <w:rPr>
                <w:b/>
                <w:bCs/>
                <w:sz w:val="20"/>
                <w:szCs w:val="20"/>
              </w:rPr>
            </w:pPr>
          </w:p>
        </w:tc>
        <w:tc>
          <w:tcPr>
            <w:tcW w:w="9361" w:type="dxa"/>
            <w:tcBorders>
              <w:left w:val="nil"/>
            </w:tcBorders>
          </w:tcPr>
          <w:p w14:paraId="6D13D27F" w14:textId="77777777" w:rsidR="00E34735" w:rsidRPr="00E34735" w:rsidRDefault="00E34735" w:rsidP="00E34735">
            <w:pPr>
              <w:rPr>
                <w:sz w:val="20"/>
                <w:szCs w:val="20"/>
              </w:rPr>
            </w:pPr>
          </w:p>
        </w:tc>
      </w:tr>
      <w:tr w:rsidR="0010013C" w14:paraId="7B96B665" w14:textId="77777777" w:rsidTr="00C45335">
        <w:tc>
          <w:tcPr>
            <w:tcW w:w="2127" w:type="dxa"/>
          </w:tcPr>
          <w:p w14:paraId="147D9CAE" w14:textId="36FF2795" w:rsidR="0010013C" w:rsidRDefault="006E1F27" w:rsidP="00FB2882">
            <w:r>
              <w:t>22 November 2023</w:t>
            </w:r>
          </w:p>
        </w:tc>
        <w:tc>
          <w:tcPr>
            <w:tcW w:w="4105" w:type="dxa"/>
          </w:tcPr>
          <w:p w14:paraId="31F080D9" w14:textId="0A16187D" w:rsidR="0010013C" w:rsidRPr="00D53D30" w:rsidRDefault="006E1F27" w:rsidP="00FB2882">
            <w:pPr>
              <w:rPr>
                <w:b/>
                <w:bCs/>
                <w:sz w:val="20"/>
                <w:szCs w:val="20"/>
              </w:rPr>
            </w:pPr>
            <w:r w:rsidRPr="006E1F27">
              <w:rPr>
                <w:b/>
                <w:bCs/>
                <w:sz w:val="20"/>
                <w:szCs w:val="20"/>
              </w:rPr>
              <w:t>Program Executive Update</w:t>
            </w:r>
          </w:p>
        </w:tc>
        <w:tc>
          <w:tcPr>
            <w:tcW w:w="9361" w:type="dxa"/>
          </w:tcPr>
          <w:p w14:paraId="3C001FC1" w14:textId="3261F37A" w:rsidR="006E1F27" w:rsidRPr="00E34735" w:rsidRDefault="006E1F27" w:rsidP="00E34735">
            <w:pPr>
              <w:pStyle w:val="NoSpacing"/>
              <w:numPr>
                <w:ilvl w:val="0"/>
                <w:numId w:val="13"/>
              </w:numPr>
              <w:spacing w:after="60"/>
              <w:rPr>
                <w:rFonts w:asciiTheme="minorHAnsi" w:eastAsiaTheme="minorHAnsi" w:hAnsiTheme="minorHAnsi" w:cstheme="minorBidi"/>
                <w:sz w:val="20"/>
                <w:szCs w:val="20"/>
                <w:lang w:eastAsia="en-US"/>
              </w:rPr>
            </w:pPr>
            <w:r w:rsidRPr="00E34735">
              <w:rPr>
                <w:rFonts w:asciiTheme="minorHAnsi" w:eastAsiaTheme="minorHAnsi" w:hAnsiTheme="minorHAnsi" w:cstheme="minorBidi"/>
                <w:sz w:val="20"/>
                <w:szCs w:val="20"/>
                <w:lang w:eastAsia="en-US"/>
              </w:rPr>
              <w:t>the Program Executive advised an injunction had been served on the Program from a community member in the scenic rim which required a significant amount of work and resulted in the case being dismissed in the Supreme Court</w:t>
            </w:r>
            <w:r w:rsidR="00D36734">
              <w:rPr>
                <w:rFonts w:asciiTheme="minorHAnsi" w:eastAsiaTheme="minorHAnsi" w:hAnsiTheme="minorHAnsi" w:cstheme="minorBidi"/>
                <w:sz w:val="20"/>
                <w:szCs w:val="20"/>
                <w:lang w:eastAsia="en-US"/>
              </w:rPr>
              <w:t>.</w:t>
            </w:r>
          </w:p>
          <w:p w14:paraId="7E638E2C" w14:textId="72C653CE" w:rsidR="006E1F27" w:rsidRPr="00E34735" w:rsidRDefault="006E1F27" w:rsidP="00E34735">
            <w:pPr>
              <w:pStyle w:val="NoSpacing"/>
              <w:numPr>
                <w:ilvl w:val="0"/>
                <w:numId w:val="13"/>
              </w:numPr>
              <w:spacing w:after="60"/>
              <w:rPr>
                <w:rFonts w:asciiTheme="minorHAnsi" w:eastAsiaTheme="minorHAnsi" w:hAnsiTheme="minorHAnsi" w:cstheme="minorBidi"/>
                <w:sz w:val="20"/>
                <w:szCs w:val="20"/>
                <w:lang w:eastAsia="en-US"/>
              </w:rPr>
            </w:pPr>
            <w:r w:rsidRPr="00E34735">
              <w:rPr>
                <w:rFonts w:asciiTheme="minorHAnsi" w:eastAsiaTheme="minorHAnsi" w:hAnsiTheme="minorHAnsi" w:cstheme="minorBidi"/>
                <w:b/>
                <w:bCs/>
                <w:sz w:val="20"/>
                <w:szCs w:val="20"/>
                <w:lang w:eastAsia="en-US"/>
              </w:rPr>
              <w:t>noted</w:t>
            </w:r>
            <w:r w:rsidRPr="00E34735">
              <w:rPr>
                <w:rFonts w:asciiTheme="minorHAnsi" w:eastAsiaTheme="minorHAnsi" w:hAnsiTheme="minorHAnsi" w:cstheme="minorBidi"/>
                <w:sz w:val="20"/>
                <w:szCs w:val="20"/>
                <w:lang w:eastAsia="en-US"/>
              </w:rPr>
              <w:t xml:space="preserve"> surveillance is currently ahead of the scheduled work in the 2023-24 Work Plan</w:t>
            </w:r>
            <w:r w:rsidR="00D36734">
              <w:rPr>
                <w:rFonts w:asciiTheme="minorHAnsi" w:eastAsiaTheme="minorHAnsi" w:hAnsiTheme="minorHAnsi" w:cstheme="minorBidi"/>
                <w:sz w:val="20"/>
                <w:szCs w:val="20"/>
                <w:lang w:eastAsia="en-US"/>
              </w:rPr>
              <w:t>.</w:t>
            </w:r>
          </w:p>
          <w:p w14:paraId="728BE32A" w14:textId="4564B749" w:rsidR="0010013C" w:rsidRPr="00E34735" w:rsidRDefault="006E1F27" w:rsidP="00E34735">
            <w:pPr>
              <w:pStyle w:val="NoSpacing"/>
              <w:numPr>
                <w:ilvl w:val="0"/>
                <w:numId w:val="13"/>
              </w:numPr>
              <w:spacing w:after="60"/>
              <w:rPr>
                <w:rFonts w:ascii="Segoe UI Light" w:hAnsi="Segoe UI Light" w:cs="Segoe UI Light"/>
                <w:sz w:val="20"/>
                <w:szCs w:val="20"/>
                <w:lang w:bidi="en-US"/>
              </w:rPr>
            </w:pPr>
            <w:r w:rsidRPr="00E34735">
              <w:rPr>
                <w:rFonts w:asciiTheme="minorHAnsi" w:eastAsiaTheme="minorHAnsi" w:hAnsiTheme="minorHAnsi" w:cstheme="minorBidi"/>
                <w:sz w:val="20"/>
                <w:szCs w:val="20"/>
                <w:lang w:eastAsia="en-US"/>
              </w:rPr>
              <w:t xml:space="preserve">the shortfall of approximately $2.9 million due </w:t>
            </w:r>
            <w:r w:rsidR="0057262D">
              <w:rPr>
                <w:rFonts w:asciiTheme="minorHAnsi" w:eastAsiaTheme="minorHAnsi" w:hAnsiTheme="minorHAnsi" w:cstheme="minorBidi"/>
                <w:sz w:val="20"/>
                <w:szCs w:val="20"/>
                <w:lang w:eastAsia="en-US"/>
              </w:rPr>
              <w:t>uncommitted</w:t>
            </w:r>
            <w:r w:rsidR="00B907BF">
              <w:rPr>
                <w:rFonts w:asciiTheme="minorHAnsi" w:eastAsiaTheme="minorHAnsi" w:hAnsiTheme="minorHAnsi" w:cstheme="minorBidi"/>
                <w:sz w:val="20"/>
                <w:szCs w:val="20"/>
                <w:lang w:eastAsia="en-US"/>
              </w:rPr>
              <w:t xml:space="preserve"> </w:t>
            </w:r>
            <w:r w:rsidRPr="00E34735">
              <w:rPr>
                <w:rFonts w:asciiTheme="minorHAnsi" w:eastAsiaTheme="minorHAnsi" w:hAnsiTheme="minorHAnsi" w:cstheme="minorBidi"/>
                <w:sz w:val="20"/>
                <w:szCs w:val="20"/>
                <w:lang w:eastAsia="en-US"/>
              </w:rPr>
              <w:t xml:space="preserve">funding in some jurisdictions was </w:t>
            </w:r>
            <w:r w:rsidRPr="00E34735">
              <w:rPr>
                <w:rFonts w:asciiTheme="minorHAnsi" w:eastAsiaTheme="minorHAnsi" w:hAnsiTheme="minorHAnsi" w:cstheme="minorBidi"/>
                <w:b/>
                <w:bCs/>
                <w:sz w:val="20"/>
                <w:szCs w:val="20"/>
                <w:lang w:eastAsia="en-US"/>
              </w:rPr>
              <w:t>noted</w:t>
            </w:r>
            <w:r w:rsidRPr="00E34735">
              <w:rPr>
                <w:rFonts w:asciiTheme="minorHAnsi" w:eastAsiaTheme="minorHAnsi" w:hAnsiTheme="minorHAnsi" w:cstheme="minorBidi"/>
                <w:sz w:val="20"/>
                <w:szCs w:val="20"/>
                <w:lang w:eastAsia="en-US"/>
              </w:rPr>
              <w:t>, as was the establishment of the NSW / QLD Cross Border Working Group</w:t>
            </w:r>
            <w:r w:rsidR="00D36734">
              <w:rPr>
                <w:rFonts w:asciiTheme="minorHAnsi" w:eastAsiaTheme="minorHAnsi" w:hAnsiTheme="minorHAnsi" w:cstheme="minorBidi"/>
                <w:sz w:val="20"/>
                <w:szCs w:val="20"/>
                <w:lang w:eastAsia="en-US"/>
              </w:rPr>
              <w:t>.</w:t>
            </w:r>
          </w:p>
        </w:tc>
      </w:tr>
      <w:tr w:rsidR="0010013C" w14:paraId="6EEB914A" w14:textId="77777777" w:rsidTr="00C45335">
        <w:tc>
          <w:tcPr>
            <w:tcW w:w="2127" w:type="dxa"/>
          </w:tcPr>
          <w:p w14:paraId="2EFED702" w14:textId="77777777" w:rsidR="0010013C" w:rsidRDefault="0010013C" w:rsidP="00FB2882"/>
        </w:tc>
        <w:tc>
          <w:tcPr>
            <w:tcW w:w="4105" w:type="dxa"/>
          </w:tcPr>
          <w:p w14:paraId="018B2F5D" w14:textId="78670228" w:rsidR="0010013C" w:rsidRPr="00D53D30" w:rsidRDefault="006E1F27" w:rsidP="00FB2882">
            <w:pPr>
              <w:rPr>
                <w:b/>
                <w:bCs/>
                <w:sz w:val="20"/>
                <w:szCs w:val="20"/>
              </w:rPr>
            </w:pPr>
            <w:r w:rsidRPr="006E1F27">
              <w:rPr>
                <w:b/>
                <w:bCs/>
                <w:sz w:val="20"/>
                <w:szCs w:val="20"/>
              </w:rPr>
              <w:t>Variation #2 to 2023-24 Work Plan</w:t>
            </w:r>
          </w:p>
        </w:tc>
        <w:tc>
          <w:tcPr>
            <w:tcW w:w="9361" w:type="dxa"/>
          </w:tcPr>
          <w:p w14:paraId="53A4A8C6" w14:textId="6F846881" w:rsidR="0010013C" w:rsidRPr="00E34735" w:rsidRDefault="006E1F27" w:rsidP="00E34735">
            <w:pPr>
              <w:pStyle w:val="ListParagraph"/>
              <w:numPr>
                <w:ilvl w:val="0"/>
                <w:numId w:val="12"/>
              </w:numPr>
              <w:rPr>
                <w:sz w:val="20"/>
                <w:szCs w:val="20"/>
              </w:rPr>
            </w:pPr>
            <w:r w:rsidRPr="00E34735">
              <w:rPr>
                <w:sz w:val="20"/>
                <w:szCs w:val="20"/>
              </w:rPr>
              <w:t xml:space="preserve">variation #2 to the 2023-24 Work Plan with the inclusion of additional funding provided by NSW was </w:t>
            </w:r>
            <w:r w:rsidRPr="00E34735">
              <w:rPr>
                <w:b/>
                <w:bCs/>
                <w:sz w:val="20"/>
                <w:szCs w:val="20"/>
              </w:rPr>
              <w:t>discussed</w:t>
            </w:r>
            <w:r w:rsidRPr="00E34735">
              <w:rPr>
                <w:sz w:val="20"/>
                <w:szCs w:val="20"/>
              </w:rPr>
              <w:t xml:space="preserve"> and </w:t>
            </w:r>
            <w:r w:rsidRPr="00E34735">
              <w:rPr>
                <w:b/>
                <w:bCs/>
                <w:sz w:val="20"/>
                <w:szCs w:val="20"/>
              </w:rPr>
              <w:t>approved</w:t>
            </w:r>
            <w:r w:rsidR="00D36734">
              <w:rPr>
                <w:b/>
                <w:bCs/>
                <w:sz w:val="20"/>
                <w:szCs w:val="20"/>
              </w:rPr>
              <w:t>.</w:t>
            </w:r>
          </w:p>
        </w:tc>
      </w:tr>
      <w:tr w:rsidR="0010013C" w14:paraId="736AC4FD" w14:textId="77777777" w:rsidTr="00C45335">
        <w:tc>
          <w:tcPr>
            <w:tcW w:w="2127" w:type="dxa"/>
          </w:tcPr>
          <w:p w14:paraId="6742EB46" w14:textId="77777777" w:rsidR="0010013C" w:rsidRDefault="0010013C" w:rsidP="00FB2882"/>
        </w:tc>
        <w:tc>
          <w:tcPr>
            <w:tcW w:w="4105" w:type="dxa"/>
          </w:tcPr>
          <w:p w14:paraId="0D48D943" w14:textId="55C30611" w:rsidR="0010013C" w:rsidRPr="00D53D30" w:rsidRDefault="006E1F27" w:rsidP="00FB2882">
            <w:pPr>
              <w:rPr>
                <w:b/>
                <w:bCs/>
                <w:sz w:val="20"/>
                <w:szCs w:val="20"/>
              </w:rPr>
            </w:pPr>
            <w:r w:rsidRPr="006E1F27">
              <w:rPr>
                <w:b/>
                <w:bCs/>
                <w:sz w:val="20"/>
                <w:szCs w:val="20"/>
              </w:rPr>
              <w:t>Minjerribah Treatment Options</w:t>
            </w:r>
          </w:p>
        </w:tc>
        <w:tc>
          <w:tcPr>
            <w:tcW w:w="9361" w:type="dxa"/>
          </w:tcPr>
          <w:p w14:paraId="3EC3AA58" w14:textId="45AA035D" w:rsidR="0010013C" w:rsidRPr="00E34735" w:rsidRDefault="006E1F27" w:rsidP="00E34735">
            <w:pPr>
              <w:pStyle w:val="ListParagraph"/>
              <w:numPr>
                <w:ilvl w:val="0"/>
                <w:numId w:val="12"/>
              </w:numPr>
              <w:rPr>
                <w:sz w:val="20"/>
                <w:szCs w:val="20"/>
              </w:rPr>
            </w:pPr>
            <w:r w:rsidRPr="00E34735">
              <w:rPr>
                <w:sz w:val="20"/>
                <w:szCs w:val="20"/>
              </w:rPr>
              <w:t xml:space="preserve">the proposed Minjerribah treatment options were </w:t>
            </w:r>
            <w:r w:rsidRPr="00E34735">
              <w:rPr>
                <w:b/>
                <w:bCs/>
                <w:sz w:val="20"/>
                <w:szCs w:val="20"/>
              </w:rPr>
              <w:t>discussed</w:t>
            </w:r>
            <w:r w:rsidRPr="00E34735">
              <w:rPr>
                <w:sz w:val="20"/>
                <w:szCs w:val="20"/>
              </w:rPr>
              <w:t xml:space="preserve"> and </w:t>
            </w:r>
            <w:r w:rsidRPr="00E34735">
              <w:rPr>
                <w:b/>
                <w:bCs/>
                <w:sz w:val="20"/>
                <w:szCs w:val="20"/>
              </w:rPr>
              <w:t>approved</w:t>
            </w:r>
            <w:r w:rsidR="00D36734">
              <w:rPr>
                <w:b/>
                <w:bCs/>
                <w:sz w:val="20"/>
                <w:szCs w:val="20"/>
              </w:rPr>
              <w:t>.</w:t>
            </w:r>
          </w:p>
        </w:tc>
      </w:tr>
      <w:tr w:rsidR="0010013C" w14:paraId="554B93A5" w14:textId="77777777" w:rsidTr="00C45335">
        <w:tc>
          <w:tcPr>
            <w:tcW w:w="2127" w:type="dxa"/>
          </w:tcPr>
          <w:p w14:paraId="6DBA0FEB" w14:textId="77777777" w:rsidR="0010013C" w:rsidRDefault="0010013C" w:rsidP="00FB2882"/>
        </w:tc>
        <w:tc>
          <w:tcPr>
            <w:tcW w:w="4105" w:type="dxa"/>
          </w:tcPr>
          <w:p w14:paraId="1601ACE6" w14:textId="548AEFEE" w:rsidR="0010013C" w:rsidRPr="00D53D30" w:rsidRDefault="006E1F27" w:rsidP="00FB2882">
            <w:pPr>
              <w:rPr>
                <w:b/>
                <w:bCs/>
                <w:sz w:val="20"/>
                <w:szCs w:val="20"/>
              </w:rPr>
            </w:pPr>
            <w:r w:rsidRPr="006E1F27">
              <w:rPr>
                <w:b/>
                <w:bCs/>
                <w:sz w:val="20"/>
                <w:szCs w:val="20"/>
              </w:rPr>
              <w:t>Responsive Treatment Transition in the Suppression Area</w:t>
            </w:r>
          </w:p>
        </w:tc>
        <w:tc>
          <w:tcPr>
            <w:tcW w:w="9361" w:type="dxa"/>
          </w:tcPr>
          <w:p w14:paraId="05C9ADBC" w14:textId="4B4B9874" w:rsidR="006E1F27" w:rsidRPr="006E1F27" w:rsidRDefault="006E1F27" w:rsidP="00E34735">
            <w:pPr>
              <w:pStyle w:val="ListParagraph"/>
              <w:numPr>
                <w:ilvl w:val="0"/>
                <w:numId w:val="12"/>
              </w:numPr>
              <w:rPr>
                <w:sz w:val="20"/>
                <w:szCs w:val="20"/>
              </w:rPr>
            </w:pPr>
            <w:r w:rsidRPr="00E34735">
              <w:rPr>
                <w:sz w:val="20"/>
                <w:szCs w:val="20"/>
              </w:rPr>
              <w:t xml:space="preserve">members </w:t>
            </w:r>
            <w:r w:rsidRPr="00E34735">
              <w:rPr>
                <w:b/>
                <w:bCs/>
                <w:sz w:val="20"/>
                <w:szCs w:val="20"/>
              </w:rPr>
              <w:t>noted</w:t>
            </w:r>
            <w:r w:rsidRPr="00E34735">
              <w:rPr>
                <w:sz w:val="20"/>
                <w:szCs w:val="20"/>
              </w:rPr>
              <w:t xml:space="preserve"> </w:t>
            </w:r>
            <w:r w:rsidRPr="006E1F27">
              <w:rPr>
                <w:sz w:val="20"/>
                <w:szCs w:val="20"/>
              </w:rPr>
              <w:t xml:space="preserve">the current Fire Ant Suppression Taskforce (FAST) Plan 2022–2026 and aligned budget provided for a progressive transition of responsive treatment over the life of the project. FAST is now committing to accelerate the transition of responsive treatment from </w:t>
            </w:r>
            <w:r w:rsidRPr="006E1F27">
              <w:rPr>
                <w:bCs/>
                <w:sz w:val="20"/>
                <w:szCs w:val="20"/>
              </w:rPr>
              <w:t>National Fire Ant Eradication Program (</w:t>
            </w:r>
            <w:r w:rsidRPr="006E1F27">
              <w:rPr>
                <w:sz w:val="20"/>
                <w:szCs w:val="20"/>
              </w:rPr>
              <w:t>NFAEP) by 30 June 2024.</w:t>
            </w:r>
          </w:p>
          <w:p w14:paraId="251AB002" w14:textId="75A3A5DA" w:rsidR="006E1F27" w:rsidRPr="006E1F27" w:rsidRDefault="006E1F27" w:rsidP="00E34735">
            <w:pPr>
              <w:pStyle w:val="ListParagraph"/>
              <w:numPr>
                <w:ilvl w:val="0"/>
                <w:numId w:val="12"/>
              </w:numPr>
              <w:rPr>
                <w:sz w:val="20"/>
                <w:szCs w:val="20"/>
              </w:rPr>
            </w:pPr>
            <w:r w:rsidRPr="00E34735">
              <w:rPr>
                <w:bCs/>
                <w:sz w:val="20"/>
                <w:szCs w:val="20"/>
              </w:rPr>
              <w:t xml:space="preserve">it was also </w:t>
            </w:r>
            <w:r w:rsidRPr="00E34735">
              <w:rPr>
                <w:b/>
                <w:sz w:val="20"/>
                <w:szCs w:val="20"/>
              </w:rPr>
              <w:t>noted</w:t>
            </w:r>
            <w:r w:rsidRPr="00E34735">
              <w:rPr>
                <w:bCs/>
                <w:sz w:val="20"/>
                <w:szCs w:val="20"/>
              </w:rPr>
              <w:t xml:space="preserve"> that</w:t>
            </w:r>
            <w:r w:rsidRPr="00E34735">
              <w:rPr>
                <w:b/>
                <w:sz w:val="20"/>
                <w:szCs w:val="20"/>
              </w:rPr>
              <w:t xml:space="preserve"> </w:t>
            </w:r>
            <w:r w:rsidRPr="006E1F27">
              <w:rPr>
                <w:sz w:val="20"/>
                <w:szCs w:val="20"/>
              </w:rPr>
              <w:t>the transition of responsive treatment will require FAST to complete a review of the FAST Plan 2022-2026 to determine if the current approach is effectively suppressing ants to aid in the eradication goal of the NFAEP.</w:t>
            </w:r>
          </w:p>
          <w:p w14:paraId="0BDF04BC" w14:textId="35E28C5C" w:rsidR="006E1F27" w:rsidRPr="006E1F27" w:rsidRDefault="004C1F83" w:rsidP="00E34735">
            <w:pPr>
              <w:pStyle w:val="ListParagraph"/>
              <w:numPr>
                <w:ilvl w:val="0"/>
                <w:numId w:val="12"/>
              </w:numPr>
              <w:rPr>
                <w:b/>
                <w:sz w:val="20"/>
                <w:szCs w:val="20"/>
              </w:rPr>
            </w:pPr>
            <w:r w:rsidRPr="00E34735">
              <w:rPr>
                <w:b/>
                <w:sz w:val="20"/>
                <w:szCs w:val="20"/>
              </w:rPr>
              <w:t>noted</w:t>
            </w:r>
            <w:r w:rsidR="006E1F27" w:rsidRPr="006E1F27">
              <w:rPr>
                <w:b/>
                <w:sz w:val="20"/>
                <w:szCs w:val="20"/>
              </w:rPr>
              <w:t xml:space="preserve"> </w:t>
            </w:r>
            <w:r w:rsidR="006E1F27" w:rsidRPr="006E1F27">
              <w:rPr>
                <w:bCs/>
                <w:sz w:val="20"/>
                <w:szCs w:val="20"/>
              </w:rPr>
              <w:t>the FAST is currently leading a responsive treatment transition plan in consultation with the (NFAEP</w:t>
            </w:r>
            <w:r w:rsidR="0057262D" w:rsidRPr="006E1F27">
              <w:rPr>
                <w:bCs/>
                <w:sz w:val="20"/>
                <w:szCs w:val="20"/>
              </w:rPr>
              <w:t>)</w:t>
            </w:r>
            <w:r w:rsidR="0057262D" w:rsidRPr="00E34735">
              <w:rPr>
                <w:bCs/>
                <w:sz w:val="20"/>
                <w:szCs w:val="20"/>
              </w:rPr>
              <w:t xml:space="preserve"> and</w:t>
            </w:r>
            <w:r w:rsidRPr="00E34735">
              <w:rPr>
                <w:bCs/>
                <w:sz w:val="20"/>
                <w:szCs w:val="20"/>
              </w:rPr>
              <w:t xml:space="preserve"> will </w:t>
            </w:r>
            <w:r w:rsidR="006E1F27" w:rsidRPr="006E1F27">
              <w:rPr>
                <w:bCs/>
                <w:sz w:val="20"/>
                <w:szCs w:val="20"/>
              </w:rPr>
              <w:t xml:space="preserve">provide further details of a recommended model of a FAST-led responsive program once finalised. This plan will </w:t>
            </w:r>
            <w:r w:rsidR="006E1F27" w:rsidRPr="006E1F27">
              <w:rPr>
                <w:sz w:val="20"/>
                <w:szCs w:val="20"/>
              </w:rPr>
              <w:t>include self-treatment on land managed by local, state and federal government agencies, the public (residential and rural residential), primary producers and businesses.</w:t>
            </w:r>
          </w:p>
          <w:p w14:paraId="5952B737" w14:textId="15BB8F48" w:rsidR="0010013C" w:rsidRPr="00E34735" w:rsidRDefault="004C1F83" w:rsidP="00E34735">
            <w:pPr>
              <w:pStyle w:val="ListParagraph"/>
              <w:numPr>
                <w:ilvl w:val="0"/>
                <w:numId w:val="12"/>
              </w:numPr>
              <w:rPr>
                <w:sz w:val="20"/>
                <w:szCs w:val="20"/>
              </w:rPr>
            </w:pPr>
            <w:r w:rsidRPr="00E34735">
              <w:rPr>
                <w:bCs/>
                <w:sz w:val="20"/>
                <w:szCs w:val="20"/>
              </w:rPr>
              <w:t>it was</w:t>
            </w:r>
            <w:r w:rsidRPr="00E34735">
              <w:rPr>
                <w:b/>
                <w:sz w:val="20"/>
                <w:szCs w:val="20"/>
              </w:rPr>
              <w:t xml:space="preserve"> noted</w:t>
            </w:r>
            <w:r w:rsidR="006E1F27" w:rsidRPr="00E34735">
              <w:rPr>
                <w:b/>
                <w:sz w:val="20"/>
                <w:szCs w:val="20"/>
              </w:rPr>
              <w:t xml:space="preserve"> </w:t>
            </w:r>
            <w:r w:rsidR="006E1F27" w:rsidRPr="00E34735">
              <w:rPr>
                <w:bCs/>
                <w:sz w:val="20"/>
                <w:szCs w:val="20"/>
              </w:rPr>
              <w:t xml:space="preserve">the </w:t>
            </w:r>
            <w:r w:rsidR="006E1F27" w:rsidRPr="00E34735">
              <w:rPr>
                <w:sz w:val="20"/>
                <w:szCs w:val="20"/>
              </w:rPr>
              <w:t>2021 independent review of the NFAEP recommended the responsibility for responsive treatment after community reports of fire ant nests be devolved from the NFAEP to local governments (Recommendation 21). This was supported by the NFAEP Steering Committee. The Queensland Government created the Fire Ant Suppression Taskforce in 2022 to facilitate landholder RIFA self-management in the suppression area.</w:t>
            </w:r>
          </w:p>
        </w:tc>
      </w:tr>
      <w:tr w:rsidR="0010013C" w14:paraId="0BB56B2A" w14:textId="77777777" w:rsidTr="00C45335">
        <w:tc>
          <w:tcPr>
            <w:tcW w:w="2127" w:type="dxa"/>
          </w:tcPr>
          <w:p w14:paraId="2E3EE79B" w14:textId="77777777" w:rsidR="0010013C" w:rsidRDefault="0010013C" w:rsidP="00FB2882"/>
        </w:tc>
        <w:tc>
          <w:tcPr>
            <w:tcW w:w="4105" w:type="dxa"/>
          </w:tcPr>
          <w:p w14:paraId="3E47DEA1" w14:textId="6D01CF0E" w:rsidR="0010013C" w:rsidRPr="00D53D30" w:rsidRDefault="004C1F83" w:rsidP="00FB2882">
            <w:pPr>
              <w:rPr>
                <w:b/>
                <w:bCs/>
                <w:sz w:val="20"/>
                <w:szCs w:val="20"/>
              </w:rPr>
            </w:pPr>
            <w:r w:rsidRPr="004C1F83">
              <w:rPr>
                <w:b/>
                <w:bCs/>
                <w:sz w:val="20"/>
                <w:szCs w:val="20"/>
              </w:rPr>
              <w:t>Fire Ant Suppression Taskforce (FAST) Update</w:t>
            </w:r>
          </w:p>
        </w:tc>
        <w:tc>
          <w:tcPr>
            <w:tcW w:w="9361" w:type="dxa"/>
          </w:tcPr>
          <w:p w14:paraId="66349E9A" w14:textId="264FF335" w:rsidR="0010013C" w:rsidRPr="00E34735" w:rsidRDefault="004C1F83" w:rsidP="00E34735">
            <w:pPr>
              <w:pStyle w:val="ListParagraph"/>
              <w:numPr>
                <w:ilvl w:val="0"/>
                <w:numId w:val="12"/>
              </w:numPr>
              <w:rPr>
                <w:sz w:val="20"/>
                <w:szCs w:val="20"/>
              </w:rPr>
            </w:pPr>
            <w:r w:rsidRPr="00E34735">
              <w:rPr>
                <w:sz w:val="20"/>
                <w:szCs w:val="20"/>
              </w:rPr>
              <w:t xml:space="preserve">update was </w:t>
            </w:r>
            <w:r w:rsidRPr="00E34735">
              <w:rPr>
                <w:b/>
                <w:bCs/>
                <w:sz w:val="20"/>
                <w:szCs w:val="20"/>
              </w:rPr>
              <w:t>noted</w:t>
            </w:r>
            <w:r w:rsidR="00D36734">
              <w:rPr>
                <w:b/>
                <w:bCs/>
                <w:sz w:val="20"/>
                <w:szCs w:val="20"/>
              </w:rPr>
              <w:t>.</w:t>
            </w:r>
          </w:p>
        </w:tc>
      </w:tr>
      <w:tr w:rsidR="0010013C" w14:paraId="21820DC3" w14:textId="77777777" w:rsidTr="00C45335">
        <w:tc>
          <w:tcPr>
            <w:tcW w:w="2127" w:type="dxa"/>
          </w:tcPr>
          <w:p w14:paraId="6A11B64D" w14:textId="77777777" w:rsidR="0010013C" w:rsidRDefault="0010013C" w:rsidP="00FB2882"/>
        </w:tc>
        <w:tc>
          <w:tcPr>
            <w:tcW w:w="4105" w:type="dxa"/>
          </w:tcPr>
          <w:p w14:paraId="448B9A17" w14:textId="7A1CE6A8" w:rsidR="0010013C" w:rsidRPr="00D53D30" w:rsidRDefault="004C1F83" w:rsidP="00FB2882">
            <w:pPr>
              <w:rPr>
                <w:b/>
                <w:bCs/>
                <w:sz w:val="20"/>
                <w:szCs w:val="20"/>
              </w:rPr>
            </w:pPr>
            <w:r w:rsidRPr="004C1F83">
              <w:rPr>
                <w:b/>
                <w:bCs/>
                <w:sz w:val="20"/>
                <w:szCs w:val="20"/>
              </w:rPr>
              <w:t>Risks and Issues</w:t>
            </w:r>
          </w:p>
        </w:tc>
        <w:tc>
          <w:tcPr>
            <w:tcW w:w="9361" w:type="dxa"/>
          </w:tcPr>
          <w:p w14:paraId="67710695" w14:textId="7099585E" w:rsidR="004C1F83" w:rsidRPr="00E34735" w:rsidRDefault="00071FE9" w:rsidP="00E34735">
            <w:pPr>
              <w:pStyle w:val="ListParagraph"/>
              <w:numPr>
                <w:ilvl w:val="0"/>
                <w:numId w:val="12"/>
              </w:numPr>
              <w:rPr>
                <w:sz w:val="20"/>
                <w:szCs w:val="20"/>
              </w:rPr>
            </w:pPr>
            <w:r w:rsidRPr="00071FE9">
              <w:rPr>
                <w:b/>
                <w:bCs/>
                <w:sz w:val="20"/>
                <w:szCs w:val="20"/>
              </w:rPr>
              <w:t xml:space="preserve">Approved </w:t>
            </w:r>
            <w:r w:rsidR="004C1F83" w:rsidRPr="00E34735">
              <w:rPr>
                <w:sz w:val="20"/>
                <w:szCs w:val="20"/>
              </w:rPr>
              <w:t>the Program</w:t>
            </w:r>
            <w:r>
              <w:rPr>
                <w:sz w:val="20"/>
                <w:szCs w:val="20"/>
              </w:rPr>
              <w:t xml:space="preserve">’s request to </w:t>
            </w:r>
            <w:r w:rsidR="004C1F83" w:rsidRPr="00E34735">
              <w:rPr>
                <w:sz w:val="20"/>
                <w:szCs w:val="20"/>
              </w:rPr>
              <w:t>enter into longer term contracts while funding decisions were still pending</w:t>
            </w:r>
            <w:r>
              <w:rPr>
                <w:sz w:val="20"/>
                <w:szCs w:val="20"/>
              </w:rPr>
              <w:t>.</w:t>
            </w:r>
          </w:p>
          <w:p w14:paraId="7616693A" w14:textId="20E95037" w:rsidR="004C1F83" w:rsidRPr="00E34735" w:rsidRDefault="004C1F83" w:rsidP="00E34735">
            <w:pPr>
              <w:pStyle w:val="ListParagraph"/>
              <w:numPr>
                <w:ilvl w:val="0"/>
                <w:numId w:val="12"/>
              </w:numPr>
              <w:rPr>
                <w:sz w:val="20"/>
                <w:szCs w:val="20"/>
              </w:rPr>
            </w:pPr>
            <w:r w:rsidRPr="00E34735">
              <w:rPr>
                <w:sz w:val="20"/>
                <w:szCs w:val="20"/>
              </w:rPr>
              <w:t xml:space="preserve">members </w:t>
            </w:r>
            <w:r w:rsidRPr="00E34735">
              <w:rPr>
                <w:b/>
                <w:bCs/>
                <w:sz w:val="20"/>
                <w:szCs w:val="20"/>
              </w:rPr>
              <w:t>discussed</w:t>
            </w:r>
            <w:r w:rsidRPr="00E34735">
              <w:rPr>
                <w:sz w:val="20"/>
                <w:szCs w:val="20"/>
              </w:rPr>
              <w:t xml:space="preserve"> the Program’s contingency plan principles and requested a working group be established to draft Terms of Reference for a transition to management or transition to containment.</w:t>
            </w:r>
          </w:p>
          <w:p w14:paraId="3AA33055" w14:textId="066FE9AF" w:rsidR="0010013C" w:rsidRPr="00E34735" w:rsidRDefault="004C1F83" w:rsidP="00E34735">
            <w:pPr>
              <w:pStyle w:val="ListParagraph"/>
              <w:numPr>
                <w:ilvl w:val="0"/>
                <w:numId w:val="12"/>
              </w:numPr>
              <w:rPr>
                <w:sz w:val="20"/>
                <w:szCs w:val="20"/>
              </w:rPr>
            </w:pPr>
            <w:r w:rsidRPr="00E34735">
              <w:rPr>
                <w:sz w:val="20"/>
                <w:szCs w:val="20"/>
              </w:rPr>
              <w:lastRenderedPageBreak/>
              <w:t xml:space="preserve">the Program’s updated risks and issues </w:t>
            </w:r>
            <w:r w:rsidR="0057262D" w:rsidRPr="00E34735">
              <w:rPr>
                <w:sz w:val="20"/>
                <w:szCs w:val="20"/>
              </w:rPr>
              <w:t>register,</w:t>
            </w:r>
            <w:r w:rsidRPr="00E34735">
              <w:rPr>
                <w:sz w:val="20"/>
                <w:szCs w:val="20"/>
              </w:rPr>
              <w:t xml:space="preserve"> and the Program’s Quarterly Risk Report template were </w:t>
            </w:r>
            <w:r w:rsidRPr="00E34735">
              <w:rPr>
                <w:b/>
                <w:bCs/>
                <w:sz w:val="20"/>
                <w:szCs w:val="20"/>
              </w:rPr>
              <w:t>noted</w:t>
            </w:r>
            <w:r w:rsidR="00D36734">
              <w:rPr>
                <w:b/>
                <w:bCs/>
                <w:sz w:val="20"/>
                <w:szCs w:val="20"/>
              </w:rPr>
              <w:t>.</w:t>
            </w:r>
          </w:p>
        </w:tc>
      </w:tr>
      <w:tr w:rsidR="0010013C" w14:paraId="17585AB2" w14:textId="77777777" w:rsidTr="00C45335">
        <w:tc>
          <w:tcPr>
            <w:tcW w:w="2127" w:type="dxa"/>
          </w:tcPr>
          <w:p w14:paraId="570CA7AE" w14:textId="77777777" w:rsidR="0010013C" w:rsidRDefault="0010013C" w:rsidP="00FB2882"/>
        </w:tc>
        <w:tc>
          <w:tcPr>
            <w:tcW w:w="4105" w:type="dxa"/>
          </w:tcPr>
          <w:p w14:paraId="1B899A60" w14:textId="2D185845" w:rsidR="0010013C" w:rsidRPr="00D53D30" w:rsidRDefault="004C1F83" w:rsidP="00FB2882">
            <w:pPr>
              <w:rPr>
                <w:b/>
                <w:bCs/>
                <w:sz w:val="20"/>
                <w:szCs w:val="20"/>
              </w:rPr>
            </w:pPr>
            <w:r w:rsidRPr="004C1F83">
              <w:rPr>
                <w:b/>
                <w:bCs/>
                <w:sz w:val="20"/>
                <w:szCs w:val="20"/>
              </w:rPr>
              <w:t>Legislative Responsibility (General Biosecurity Obligations)</w:t>
            </w:r>
          </w:p>
        </w:tc>
        <w:tc>
          <w:tcPr>
            <w:tcW w:w="9361" w:type="dxa"/>
          </w:tcPr>
          <w:p w14:paraId="5F303A82" w14:textId="793D6A69" w:rsidR="004C1F83" w:rsidRPr="00E34735" w:rsidRDefault="004C1F83" w:rsidP="00E34735">
            <w:pPr>
              <w:pStyle w:val="ListParagraph"/>
              <w:numPr>
                <w:ilvl w:val="0"/>
                <w:numId w:val="12"/>
              </w:numPr>
              <w:rPr>
                <w:sz w:val="20"/>
                <w:szCs w:val="20"/>
              </w:rPr>
            </w:pPr>
            <w:r w:rsidRPr="00E34735">
              <w:rPr>
                <w:sz w:val="20"/>
                <w:szCs w:val="20"/>
              </w:rPr>
              <w:t xml:space="preserve">it was </w:t>
            </w:r>
            <w:r w:rsidRPr="00E34735">
              <w:rPr>
                <w:b/>
                <w:bCs/>
                <w:sz w:val="20"/>
                <w:szCs w:val="20"/>
              </w:rPr>
              <w:t xml:space="preserve">noted </w:t>
            </w:r>
            <w:r w:rsidRPr="00E34735">
              <w:rPr>
                <w:sz w:val="20"/>
                <w:szCs w:val="20"/>
              </w:rPr>
              <w:t xml:space="preserve">the Policy team for the National Fire Ant Eradication Program (NFAEP) is progressing the Biosecurity Regulation amendments and General Biosecurity Obligation (GBO) guidelines, with assistance from the Department of Agriculture and Fisheries (DAF) staff. Steering Committee feedback in relation to the residential and industry guidelines have been incorporated and are currently out for industry consultation, including with the Fire Ant Suppression Taskforce members. </w:t>
            </w:r>
          </w:p>
          <w:p w14:paraId="584186FC" w14:textId="023C40B7" w:rsidR="004C1F83" w:rsidRPr="00E34735" w:rsidRDefault="004C1F83" w:rsidP="00E34735">
            <w:pPr>
              <w:pStyle w:val="ListParagraph"/>
              <w:numPr>
                <w:ilvl w:val="0"/>
                <w:numId w:val="12"/>
              </w:numPr>
              <w:rPr>
                <w:sz w:val="20"/>
                <w:szCs w:val="20"/>
              </w:rPr>
            </w:pPr>
            <w:r w:rsidRPr="00E34735">
              <w:rPr>
                <w:sz w:val="20"/>
                <w:szCs w:val="20"/>
              </w:rPr>
              <w:t xml:space="preserve">members </w:t>
            </w:r>
            <w:r w:rsidRPr="00E34735">
              <w:rPr>
                <w:b/>
                <w:bCs/>
                <w:sz w:val="20"/>
                <w:szCs w:val="20"/>
              </w:rPr>
              <w:t>noted</w:t>
            </w:r>
            <w:r w:rsidRPr="00E34735">
              <w:rPr>
                <w:sz w:val="20"/>
                <w:szCs w:val="20"/>
              </w:rPr>
              <w:t xml:space="preserve"> the proposed Biosecurity Regulation amendments will be done in two tranches. The first tranche will incorporate recommendations from the Commonwealth Scientific and Industrial Research Organisation (CSIRO) review and industry feedback and the second tranche will consider the outcomes from the national pest risk assessment currently assigned to the SMART.</w:t>
            </w:r>
          </w:p>
          <w:p w14:paraId="08F41864" w14:textId="0E0790F7" w:rsidR="0010013C" w:rsidRPr="00E34735" w:rsidRDefault="004C1F83" w:rsidP="00E34735">
            <w:pPr>
              <w:pStyle w:val="ListParagraph"/>
              <w:numPr>
                <w:ilvl w:val="0"/>
                <w:numId w:val="12"/>
              </w:numPr>
              <w:rPr>
                <w:sz w:val="20"/>
                <w:szCs w:val="20"/>
              </w:rPr>
            </w:pPr>
            <w:r w:rsidRPr="00E34735">
              <w:rPr>
                <w:sz w:val="20"/>
                <w:szCs w:val="20"/>
              </w:rPr>
              <w:t xml:space="preserve">it was also </w:t>
            </w:r>
            <w:r w:rsidRPr="00E34735">
              <w:rPr>
                <w:b/>
                <w:bCs/>
                <w:sz w:val="20"/>
                <w:szCs w:val="20"/>
              </w:rPr>
              <w:t>noted</w:t>
            </w:r>
            <w:r w:rsidRPr="00E34735">
              <w:rPr>
                <w:sz w:val="20"/>
                <w:szCs w:val="20"/>
              </w:rPr>
              <w:t xml:space="preserve"> there has been a delay in progressing the pest risk assessment </w:t>
            </w:r>
            <w:r w:rsidR="00B907BF">
              <w:rPr>
                <w:sz w:val="20"/>
                <w:szCs w:val="20"/>
              </w:rPr>
              <w:t xml:space="preserve">for interstate trade </w:t>
            </w:r>
            <w:r w:rsidRPr="00E34735">
              <w:rPr>
                <w:sz w:val="20"/>
                <w:szCs w:val="20"/>
              </w:rPr>
              <w:t>and the Victorian SMART representative has recently taken over the facilitation of the assessment</w:t>
            </w:r>
            <w:r w:rsidR="00D36734">
              <w:rPr>
                <w:sz w:val="20"/>
                <w:szCs w:val="20"/>
              </w:rPr>
              <w:t>.</w:t>
            </w:r>
          </w:p>
        </w:tc>
      </w:tr>
      <w:tr w:rsidR="0010013C" w14:paraId="5FCED94B" w14:textId="77777777" w:rsidTr="00CF6FEE">
        <w:tc>
          <w:tcPr>
            <w:tcW w:w="2127" w:type="dxa"/>
            <w:tcBorders>
              <w:bottom w:val="single" w:sz="4" w:space="0" w:color="auto"/>
            </w:tcBorders>
          </w:tcPr>
          <w:p w14:paraId="2D9020D5" w14:textId="77777777" w:rsidR="0010013C" w:rsidRDefault="0010013C" w:rsidP="00FB2882"/>
        </w:tc>
        <w:tc>
          <w:tcPr>
            <w:tcW w:w="4105" w:type="dxa"/>
            <w:tcBorders>
              <w:bottom w:val="single" w:sz="4" w:space="0" w:color="auto"/>
            </w:tcBorders>
          </w:tcPr>
          <w:p w14:paraId="0D4844B4" w14:textId="5C629F11" w:rsidR="0010013C" w:rsidRPr="00D53D30" w:rsidRDefault="004C1F83" w:rsidP="00FB2882">
            <w:pPr>
              <w:rPr>
                <w:b/>
                <w:bCs/>
                <w:sz w:val="20"/>
                <w:szCs w:val="20"/>
              </w:rPr>
            </w:pPr>
            <w:r w:rsidRPr="004C1F83">
              <w:rPr>
                <w:b/>
                <w:bCs/>
                <w:sz w:val="20"/>
                <w:szCs w:val="20"/>
              </w:rPr>
              <w:t>Communications and Engagement Update</w:t>
            </w:r>
          </w:p>
        </w:tc>
        <w:tc>
          <w:tcPr>
            <w:tcW w:w="9361" w:type="dxa"/>
          </w:tcPr>
          <w:p w14:paraId="28805F25" w14:textId="53075103" w:rsidR="0010013C" w:rsidRPr="00E34735" w:rsidRDefault="004C1F83" w:rsidP="00E34735">
            <w:pPr>
              <w:pStyle w:val="ListParagraph"/>
              <w:numPr>
                <w:ilvl w:val="0"/>
                <w:numId w:val="12"/>
              </w:numPr>
              <w:rPr>
                <w:sz w:val="20"/>
                <w:szCs w:val="20"/>
              </w:rPr>
            </w:pPr>
            <w:r w:rsidRPr="00E34735">
              <w:rPr>
                <w:sz w:val="20"/>
                <w:szCs w:val="20"/>
              </w:rPr>
              <w:t xml:space="preserve">update was </w:t>
            </w:r>
            <w:r w:rsidRPr="00E34735">
              <w:rPr>
                <w:b/>
                <w:bCs/>
                <w:sz w:val="20"/>
                <w:szCs w:val="20"/>
              </w:rPr>
              <w:t>noted</w:t>
            </w:r>
            <w:r w:rsidR="00D36734">
              <w:rPr>
                <w:b/>
                <w:bCs/>
                <w:sz w:val="20"/>
                <w:szCs w:val="20"/>
              </w:rPr>
              <w:t>.</w:t>
            </w:r>
          </w:p>
        </w:tc>
      </w:tr>
      <w:tr w:rsidR="00CF6FEE" w14:paraId="4A845CB2" w14:textId="77777777" w:rsidTr="00CF6FEE">
        <w:tc>
          <w:tcPr>
            <w:tcW w:w="2127" w:type="dxa"/>
            <w:tcBorders>
              <w:right w:val="nil"/>
            </w:tcBorders>
          </w:tcPr>
          <w:p w14:paraId="67F1B62A" w14:textId="77777777" w:rsidR="00CF6FEE" w:rsidRDefault="00CF6FEE" w:rsidP="00FB2882"/>
        </w:tc>
        <w:tc>
          <w:tcPr>
            <w:tcW w:w="4105" w:type="dxa"/>
            <w:tcBorders>
              <w:left w:val="nil"/>
              <w:right w:val="nil"/>
            </w:tcBorders>
          </w:tcPr>
          <w:p w14:paraId="3EE64B31" w14:textId="77777777" w:rsidR="00CF6FEE" w:rsidRPr="004C1F83" w:rsidRDefault="00CF6FEE" w:rsidP="00FB2882">
            <w:pPr>
              <w:rPr>
                <w:b/>
                <w:bCs/>
                <w:sz w:val="20"/>
                <w:szCs w:val="20"/>
              </w:rPr>
            </w:pPr>
          </w:p>
        </w:tc>
        <w:tc>
          <w:tcPr>
            <w:tcW w:w="9361" w:type="dxa"/>
            <w:tcBorders>
              <w:left w:val="nil"/>
            </w:tcBorders>
          </w:tcPr>
          <w:p w14:paraId="23DF59CA" w14:textId="77777777" w:rsidR="00CF6FEE" w:rsidRPr="00E34735" w:rsidRDefault="00CF6FEE" w:rsidP="00CF6FEE">
            <w:pPr>
              <w:pStyle w:val="ListParagraph"/>
              <w:rPr>
                <w:sz w:val="20"/>
                <w:szCs w:val="20"/>
              </w:rPr>
            </w:pPr>
          </w:p>
        </w:tc>
      </w:tr>
      <w:tr w:rsidR="00CF6FEE" w14:paraId="46F34D47" w14:textId="77777777" w:rsidTr="00C45335">
        <w:tc>
          <w:tcPr>
            <w:tcW w:w="2127" w:type="dxa"/>
          </w:tcPr>
          <w:p w14:paraId="732EA244" w14:textId="77777777" w:rsidR="00CF6FEE" w:rsidRDefault="00CF6FEE" w:rsidP="00FB2882">
            <w:r>
              <w:t>21 December 2023</w:t>
            </w:r>
          </w:p>
          <w:p w14:paraId="36A9CB5D" w14:textId="1FE4FE91" w:rsidR="00CF6FEE" w:rsidRDefault="00CF6FEE" w:rsidP="00FB2882">
            <w:r>
              <w:t>Out-of-Session request</w:t>
            </w:r>
          </w:p>
        </w:tc>
        <w:tc>
          <w:tcPr>
            <w:tcW w:w="4105" w:type="dxa"/>
          </w:tcPr>
          <w:p w14:paraId="2AEB83FB" w14:textId="1132EBB1" w:rsidR="00CF6FEE" w:rsidRPr="004C1F83" w:rsidRDefault="00CF6FEE" w:rsidP="00FB2882">
            <w:pPr>
              <w:rPr>
                <w:b/>
                <w:bCs/>
                <w:sz w:val="20"/>
                <w:szCs w:val="20"/>
              </w:rPr>
            </w:pPr>
            <w:r>
              <w:rPr>
                <w:b/>
                <w:bCs/>
                <w:sz w:val="20"/>
                <w:szCs w:val="20"/>
              </w:rPr>
              <w:t>Re-operationalisation / validation of Remote Sensing Surveillance (RSS) FY23/24 – FY24/25</w:t>
            </w:r>
          </w:p>
        </w:tc>
        <w:tc>
          <w:tcPr>
            <w:tcW w:w="9361" w:type="dxa"/>
          </w:tcPr>
          <w:p w14:paraId="059F1429" w14:textId="77777777" w:rsidR="00CF6FEE" w:rsidRDefault="00CF6FEE" w:rsidP="00E34735">
            <w:pPr>
              <w:pStyle w:val="ListParagraph"/>
              <w:numPr>
                <w:ilvl w:val="0"/>
                <w:numId w:val="12"/>
              </w:numPr>
              <w:rPr>
                <w:sz w:val="20"/>
                <w:szCs w:val="20"/>
              </w:rPr>
            </w:pPr>
            <w:r>
              <w:rPr>
                <w:sz w:val="20"/>
                <w:szCs w:val="20"/>
              </w:rPr>
              <w:t xml:space="preserve">members </w:t>
            </w:r>
            <w:r>
              <w:rPr>
                <w:b/>
                <w:bCs/>
                <w:sz w:val="20"/>
                <w:szCs w:val="20"/>
              </w:rPr>
              <w:t xml:space="preserve">approved </w:t>
            </w:r>
            <w:r>
              <w:rPr>
                <w:sz w:val="20"/>
                <w:szCs w:val="20"/>
              </w:rPr>
              <w:t>to re-operationalise and validate the contribution of current-form, helicopter RSS to the Program during the 2024 surveillance season.</w:t>
            </w:r>
          </w:p>
          <w:p w14:paraId="2832FBD1" w14:textId="521E49E4" w:rsidR="00CF6FEE" w:rsidRPr="00E34735" w:rsidRDefault="00CF6FEE" w:rsidP="00E34735">
            <w:pPr>
              <w:pStyle w:val="ListParagraph"/>
              <w:numPr>
                <w:ilvl w:val="0"/>
                <w:numId w:val="12"/>
              </w:numPr>
              <w:rPr>
                <w:sz w:val="20"/>
                <w:szCs w:val="20"/>
              </w:rPr>
            </w:pPr>
            <w:r>
              <w:rPr>
                <w:sz w:val="20"/>
                <w:szCs w:val="20"/>
              </w:rPr>
              <w:t xml:space="preserve">Members </w:t>
            </w:r>
            <w:r>
              <w:rPr>
                <w:b/>
                <w:bCs/>
                <w:sz w:val="20"/>
                <w:szCs w:val="20"/>
              </w:rPr>
              <w:t xml:space="preserve">endorsed </w:t>
            </w:r>
            <w:r>
              <w:rPr>
                <w:sz w:val="20"/>
                <w:szCs w:val="20"/>
              </w:rPr>
              <w:t>the presentation of a detailed business case at the March 2024 RIFA NMG.</w:t>
            </w:r>
          </w:p>
        </w:tc>
      </w:tr>
    </w:tbl>
    <w:p w14:paraId="138BF131" w14:textId="77777777" w:rsidR="00CF24B2" w:rsidRDefault="00CF24B2"/>
    <w:sectPr w:rsidR="00CF24B2" w:rsidSect="00920A47">
      <w:headerReference w:type="first" r:id="rId9"/>
      <w:pgSz w:w="16838" w:h="11906" w:orient="landscape" w:code="9"/>
      <w:pgMar w:top="851" w:right="1440" w:bottom="56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D25F" w14:textId="77777777" w:rsidR="00920A47" w:rsidRDefault="00920A47" w:rsidP="00920A47">
      <w:pPr>
        <w:spacing w:after="0" w:line="240" w:lineRule="auto"/>
      </w:pPr>
      <w:r>
        <w:separator/>
      </w:r>
    </w:p>
  </w:endnote>
  <w:endnote w:type="continuationSeparator" w:id="0">
    <w:p w14:paraId="1A1686D6" w14:textId="77777777" w:rsidR="00920A47" w:rsidRDefault="00920A47" w:rsidP="00920A47">
      <w:pPr>
        <w:spacing w:after="0" w:line="240" w:lineRule="auto"/>
      </w:pPr>
      <w:r>
        <w:continuationSeparator/>
      </w:r>
    </w:p>
  </w:endnote>
  <w:endnote w:type="continuationNotice" w:id="1">
    <w:p w14:paraId="46CB260E" w14:textId="77777777" w:rsidR="004F1D62" w:rsidRDefault="004F1D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CAC1" w14:textId="77777777" w:rsidR="00920A47" w:rsidRDefault="00920A47" w:rsidP="00920A47">
      <w:pPr>
        <w:spacing w:after="0" w:line="240" w:lineRule="auto"/>
      </w:pPr>
      <w:r>
        <w:separator/>
      </w:r>
    </w:p>
  </w:footnote>
  <w:footnote w:type="continuationSeparator" w:id="0">
    <w:p w14:paraId="570543BE" w14:textId="77777777" w:rsidR="00920A47" w:rsidRDefault="00920A47" w:rsidP="00920A47">
      <w:pPr>
        <w:spacing w:after="0" w:line="240" w:lineRule="auto"/>
      </w:pPr>
      <w:r>
        <w:continuationSeparator/>
      </w:r>
    </w:p>
  </w:footnote>
  <w:footnote w:type="continuationNotice" w:id="1">
    <w:p w14:paraId="4F0CAABA" w14:textId="77777777" w:rsidR="004F1D62" w:rsidRDefault="004F1D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5677" w14:textId="6F7117F4" w:rsidR="00920A47" w:rsidRDefault="00920A47">
    <w:pPr>
      <w:pStyle w:val="Header"/>
    </w:pPr>
    <w:r w:rsidRPr="00C71AE9">
      <w:rPr>
        <w:noProof/>
      </w:rPr>
      <w:drawing>
        <wp:anchor distT="0" distB="0" distL="114300" distR="114300" simplePos="0" relativeHeight="251658240" behindDoc="1" locked="0" layoutInCell="1" allowOverlap="1" wp14:anchorId="60B0EFBD" wp14:editId="01D15DD5">
          <wp:simplePos x="0" y="0"/>
          <wp:positionH relativeFrom="page">
            <wp:align>left</wp:align>
          </wp:positionH>
          <wp:positionV relativeFrom="paragraph">
            <wp:posOffset>-451601</wp:posOffset>
          </wp:positionV>
          <wp:extent cx="10674927" cy="15099356"/>
          <wp:effectExtent l="0" t="0" r="0" b="7620"/>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74927" cy="150993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4B0"/>
    <w:multiLevelType w:val="hybridMultilevel"/>
    <w:tmpl w:val="F9E2F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2D581E"/>
    <w:multiLevelType w:val="hybridMultilevel"/>
    <w:tmpl w:val="6A9AFB20"/>
    <w:lvl w:ilvl="0" w:tplc="B5144F9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BE0388"/>
    <w:multiLevelType w:val="hybridMultilevel"/>
    <w:tmpl w:val="5C664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1B23DC"/>
    <w:multiLevelType w:val="hybridMultilevel"/>
    <w:tmpl w:val="BA421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8516BB"/>
    <w:multiLevelType w:val="hybridMultilevel"/>
    <w:tmpl w:val="1C8CAC3A"/>
    <w:lvl w:ilvl="0" w:tplc="B7FE34EE">
      <w:start w:val="1"/>
      <w:numFmt w:val="bullet"/>
      <w:lvlText w:val=""/>
      <w:lvlJc w:val="left"/>
      <w:pPr>
        <w:ind w:left="779" w:hanging="360"/>
      </w:pPr>
      <w:rPr>
        <w:rFonts w:ascii="Symbol" w:hAnsi="Symbol" w:hint="default"/>
        <w:sz w:val="20"/>
        <w:szCs w:val="20"/>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5" w15:restartNumberingAfterBreak="0">
    <w:nsid w:val="2A7C20C3"/>
    <w:multiLevelType w:val="hybridMultilevel"/>
    <w:tmpl w:val="2E1C5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A74AB9"/>
    <w:multiLevelType w:val="hybridMultilevel"/>
    <w:tmpl w:val="CEBC7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416A99"/>
    <w:multiLevelType w:val="hybridMultilevel"/>
    <w:tmpl w:val="5E962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1F55EF"/>
    <w:multiLevelType w:val="hybridMultilevel"/>
    <w:tmpl w:val="22D22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BB4F9B"/>
    <w:multiLevelType w:val="hybridMultilevel"/>
    <w:tmpl w:val="61DA4A0A"/>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1" w15:restartNumberingAfterBreak="0">
    <w:nsid w:val="5BDB3261"/>
    <w:multiLevelType w:val="hybridMultilevel"/>
    <w:tmpl w:val="FAAA0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523F61"/>
    <w:multiLevelType w:val="hybridMultilevel"/>
    <w:tmpl w:val="94A63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CF38D4"/>
    <w:multiLevelType w:val="hybridMultilevel"/>
    <w:tmpl w:val="BB2E4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EF7296"/>
    <w:multiLevelType w:val="hybridMultilevel"/>
    <w:tmpl w:val="55B20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3E6327"/>
    <w:multiLevelType w:val="hybridMultilevel"/>
    <w:tmpl w:val="37505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C32F62"/>
    <w:multiLevelType w:val="hybridMultilevel"/>
    <w:tmpl w:val="F72E2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933234"/>
    <w:multiLevelType w:val="hybridMultilevel"/>
    <w:tmpl w:val="7ECCEAF8"/>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8" w15:restartNumberingAfterBreak="0">
    <w:nsid w:val="75627350"/>
    <w:multiLevelType w:val="hybridMultilevel"/>
    <w:tmpl w:val="2C7CF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3267953">
    <w:abstractNumId w:val="18"/>
  </w:num>
  <w:num w:numId="2" w16cid:durableId="1550336281">
    <w:abstractNumId w:val="2"/>
  </w:num>
  <w:num w:numId="3" w16cid:durableId="1601372549">
    <w:abstractNumId w:val="4"/>
  </w:num>
  <w:num w:numId="4" w16cid:durableId="2145849343">
    <w:abstractNumId w:val="16"/>
  </w:num>
  <w:num w:numId="5" w16cid:durableId="1248029865">
    <w:abstractNumId w:val="14"/>
  </w:num>
  <w:num w:numId="6" w16cid:durableId="82536327">
    <w:abstractNumId w:val="12"/>
  </w:num>
  <w:num w:numId="7" w16cid:durableId="18885633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2466023">
    <w:abstractNumId w:val="7"/>
  </w:num>
  <w:num w:numId="9" w16cid:durableId="179248004">
    <w:abstractNumId w:val="9"/>
  </w:num>
  <w:num w:numId="10" w16cid:durableId="737940043">
    <w:abstractNumId w:val="0"/>
  </w:num>
  <w:num w:numId="11" w16cid:durableId="561451327">
    <w:abstractNumId w:val="11"/>
  </w:num>
  <w:num w:numId="12" w16cid:durableId="488711573">
    <w:abstractNumId w:val="15"/>
  </w:num>
  <w:num w:numId="13" w16cid:durableId="1501431976">
    <w:abstractNumId w:val="8"/>
  </w:num>
  <w:num w:numId="14" w16cid:durableId="1852528169">
    <w:abstractNumId w:val="3"/>
  </w:num>
  <w:num w:numId="15" w16cid:durableId="1319192202">
    <w:abstractNumId w:val="10"/>
  </w:num>
  <w:num w:numId="16" w16cid:durableId="935476043">
    <w:abstractNumId w:val="17"/>
  </w:num>
  <w:num w:numId="17" w16cid:durableId="530267801">
    <w:abstractNumId w:val="5"/>
  </w:num>
  <w:num w:numId="18" w16cid:durableId="2144107013">
    <w:abstractNumId w:val="13"/>
  </w:num>
  <w:num w:numId="19" w16cid:durableId="1396122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C0"/>
    <w:rsid w:val="00057FDA"/>
    <w:rsid w:val="00071FE9"/>
    <w:rsid w:val="000D3A8C"/>
    <w:rsid w:val="0010013C"/>
    <w:rsid w:val="002963C0"/>
    <w:rsid w:val="00332F07"/>
    <w:rsid w:val="00391093"/>
    <w:rsid w:val="003B6C34"/>
    <w:rsid w:val="004C1F83"/>
    <w:rsid w:val="004F1D62"/>
    <w:rsid w:val="004F3335"/>
    <w:rsid w:val="0057262D"/>
    <w:rsid w:val="005775EE"/>
    <w:rsid w:val="006E1F27"/>
    <w:rsid w:val="00773F1F"/>
    <w:rsid w:val="00786092"/>
    <w:rsid w:val="007C06AC"/>
    <w:rsid w:val="00920A47"/>
    <w:rsid w:val="00986436"/>
    <w:rsid w:val="00995A2F"/>
    <w:rsid w:val="009E682B"/>
    <w:rsid w:val="00B347EA"/>
    <w:rsid w:val="00B462DA"/>
    <w:rsid w:val="00B907BF"/>
    <w:rsid w:val="00C45335"/>
    <w:rsid w:val="00C45F5B"/>
    <w:rsid w:val="00C468C0"/>
    <w:rsid w:val="00C65AE7"/>
    <w:rsid w:val="00C85F39"/>
    <w:rsid w:val="00CF24B2"/>
    <w:rsid w:val="00CF6FEE"/>
    <w:rsid w:val="00D36734"/>
    <w:rsid w:val="00D53D30"/>
    <w:rsid w:val="00D64BA0"/>
    <w:rsid w:val="00E34735"/>
    <w:rsid w:val="00E833A1"/>
    <w:rsid w:val="00EA782F"/>
    <w:rsid w:val="00FB28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8F820"/>
  <w15:chartTrackingRefBased/>
  <w15:docId w15:val="{287B20EC-80F2-46F0-856E-AF4322D7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8C0"/>
    <w:pPr>
      <w:ind w:left="720"/>
      <w:contextualSpacing/>
    </w:pPr>
  </w:style>
  <w:style w:type="paragraph" w:styleId="NoSpacing">
    <w:name w:val="No Spacing"/>
    <w:uiPriority w:val="1"/>
    <w:qFormat/>
    <w:rsid w:val="00C468C0"/>
    <w:pPr>
      <w:spacing w:after="0" w:line="240" w:lineRule="auto"/>
    </w:pPr>
    <w:rPr>
      <w:rFonts w:ascii="Arial" w:eastAsia="Times New Roman" w:hAnsi="Arial" w:cs="Arial"/>
      <w:sz w:val="18"/>
      <w:szCs w:val="18"/>
      <w:lang w:eastAsia="en-AU"/>
    </w:rPr>
  </w:style>
  <w:style w:type="paragraph" w:styleId="Header">
    <w:name w:val="header"/>
    <w:basedOn w:val="Normal"/>
    <w:link w:val="HeaderChar"/>
    <w:rsid w:val="00B462DA"/>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462DA"/>
    <w:rPr>
      <w:rFonts w:ascii="Times New Roman" w:eastAsia="Times New Roman" w:hAnsi="Times New Roman" w:cs="Times New Roman"/>
      <w:sz w:val="24"/>
      <w:szCs w:val="24"/>
    </w:rPr>
  </w:style>
  <w:style w:type="paragraph" w:styleId="Revision">
    <w:name w:val="Revision"/>
    <w:hidden/>
    <w:uiPriority w:val="99"/>
    <w:semiHidden/>
    <w:rsid w:val="004F3335"/>
    <w:pPr>
      <w:spacing w:after="0" w:line="240" w:lineRule="auto"/>
    </w:pPr>
  </w:style>
  <w:style w:type="paragraph" w:styleId="Footer">
    <w:name w:val="footer"/>
    <w:basedOn w:val="Normal"/>
    <w:link w:val="FooterChar"/>
    <w:uiPriority w:val="99"/>
    <w:unhideWhenUsed/>
    <w:rsid w:val="00920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51EF5-6B16-41B6-AF30-98B914970A63}">
  <ds:schemaRefs>
    <ds:schemaRef ds:uri="http://schemas.microsoft.com/sharepoint/v3/contenttype/forms"/>
  </ds:schemaRefs>
</ds:datastoreItem>
</file>

<file path=customXml/itemProps2.xml><?xml version="1.0" encoding="utf-8"?>
<ds:datastoreItem xmlns:ds="http://schemas.openxmlformats.org/officeDocument/2006/customXml" ds:itemID="{CC51B9AA-882E-4FA6-AC5B-CC125E612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5</cp:revision>
  <dcterms:created xsi:type="dcterms:W3CDTF">2024-02-29T22:49:00Z</dcterms:created>
  <dcterms:modified xsi:type="dcterms:W3CDTF">2024-03-04T03:52:00Z</dcterms:modified>
</cp:coreProperties>
</file>