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04" w:rsidRPr="00380253" w:rsidRDefault="00557504" w:rsidP="00380253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380253">
        <w:rPr>
          <w:b/>
          <w:sz w:val="28"/>
          <w:szCs w:val="28"/>
        </w:rPr>
        <w:t xml:space="preserve">Process for listing threatened species, ecological communities and key threatening processes under the </w:t>
      </w:r>
      <w:r w:rsidR="003E3196">
        <w:rPr>
          <w:b/>
          <w:i/>
          <w:sz w:val="28"/>
          <w:szCs w:val="28"/>
        </w:rPr>
        <w:t xml:space="preserve">Environment Protection and Biodiversity Conservation Act 1999 </w:t>
      </w:r>
    </w:p>
    <w:bookmarkEnd w:id="0"/>
    <w:bookmarkEnd w:id="1"/>
    <w:p w:rsidR="00E04AB9" w:rsidRPr="00E04AB9" w:rsidRDefault="00A441DA" w:rsidP="00E04AB9">
      <w:r>
        <w:rPr>
          <w:noProof/>
          <w:lang w:eastAsia="en-A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111.35pt;margin-top:2.2pt;width:230.25pt;height:23.95pt;z-index:2516602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7">
              <w:txbxContent>
                <w:p w:rsidR="00370406" w:rsidRDefault="00370406" w:rsidP="00767A1C">
                  <w:pPr>
                    <w:jc w:val="center"/>
                    <w:textboxTightWrap w:val="allLines"/>
                  </w:pPr>
                  <w:r>
                    <w:t>Minister may determine a conservation theme</w:t>
                  </w:r>
                </w:p>
                <w:p w:rsidR="00370406" w:rsidRDefault="00370406" w:rsidP="00767A1C"/>
              </w:txbxContent>
            </v:textbox>
          </v:shape>
        </w:pict>
      </w:r>
    </w:p>
    <w:p w:rsidR="00E04AB9" w:rsidRPr="00E04AB9" w:rsidRDefault="00A441DA" w:rsidP="00E04AB9">
      <w:r>
        <w:rPr>
          <w:noProof/>
          <w:lang w:eastAsia="en-A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16.1pt;margin-top:5.4pt;width:13.65pt;height:27.75pt;z-index:251659264" fillcolor="#7f7f7f [1601]" strokecolor="#f2f2f2 [3041]" strokeweight="1pt">
            <v:fill color2="black [3200]" angle="-135" focusposition="1" focussize="" focus="100%" type="gradient"/>
            <v:shadow type="perspective" color="#999 [1296]" opacity=".5" origin=",.5" offset="0,0" matrix=",-56756f,,.5"/>
            <v:textbox style="layout-flow:vertical-ideographic;mso-next-textbox:#_x0000_s1026">
              <w:txbxContent>
                <w:p w:rsidR="00370406" w:rsidRDefault="00370406">
                  <w:proofErr w:type="spellStart"/>
                  <w:proofErr w:type="gramStart"/>
                  <w:r>
                    <w:t>kjkjkuhuh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E04AB9" w:rsidRPr="00E04AB9" w:rsidRDefault="00A441DA" w:rsidP="00E04AB9">
      <w:r>
        <w:rPr>
          <w:noProof/>
          <w:lang w:eastAsia="en-AU"/>
        </w:rPr>
        <w:pict>
          <v:shape id="_x0000_s1028" type="#_x0000_t176" style="position:absolute;margin-left:111.35pt;margin-top:12.45pt;width:230.25pt;height:40pt;z-index:2516613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8">
              <w:txbxContent>
                <w:p w:rsidR="00370406" w:rsidRDefault="00370406" w:rsidP="00767A1C">
                  <w:pPr>
                    <w:jc w:val="center"/>
                    <w:textboxTightWrap w:val="allLines"/>
                  </w:pPr>
                  <w:r>
                    <w:t xml:space="preserve">Public nominations invited (minimum of </w:t>
                  </w:r>
                  <w:r>
                    <w:br/>
                    <w:t>40 business days allowed)</w:t>
                  </w:r>
                </w:p>
              </w:txbxContent>
            </v:textbox>
          </v:shape>
        </w:pict>
      </w:r>
    </w:p>
    <w:p w:rsidR="00E04AB9" w:rsidRPr="00E04AB9" w:rsidRDefault="00E04AB9" w:rsidP="00E04AB9"/>
    <w:p w:rsidR="00E04AB9" w:rsidRPr="00E04AB9" w:rsidRDefault="00A441DA" w:rsidP="00E04AB9">
      <w:r>
        <w:rPr>
          <w:noProof/>
          <w:lang w:eastAsia="en-AU"/>
        </w:rPr>
        <w:pict>
          <v:shape id="_x0000_s1029" type="#_x0000_t67" style="position:absolute;margin-left:216.1pt;margin-top:6.95pt;width:13.65pt;height:27.75pt;z-index:251662336" fillcolor="#7f7f7f [1601]" strokecolor="#f2f2f2 [3041]" strokeweight="1pt">
            <v:fill color2="black [3200]" angle="-135" focus="100%" type="gradient"/>
            <v:shadow type="perspective" color="#999 [1296]" opacity=".5" origin=",.5" offset="0,0" matrix=",-56756f,,.5"/>
            <v:textbox style="layout-flow:vertical-ideographic;mso-next-textbox:#_x0000_s1029">
              <w:txbxContent>
                <w:p w:rsidR="00370406" w:rsidRDefault="00370406" w:rsidP="00170458">
                  <w:proofErr w:type="spellStart"/>
                  <w:proofErr w:type="gramStart"/>
                  <w:r>
                    <w:t>kjkjkuhuh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E04AB9" w:rsidRPr="00E04AB9" w:rsidRDefault="00A441DA" w:rsidP="00E04AB9">
      <w:r>
        <w:rPr>
          <w:noProof/>
          <w:lang w:eastAsia="en-AU"/>
        </w:rPr>
        <w:pict>
          <v:shape id="_x0000_s1030" type="#_x0000_t176" style="position:absolute;margin-left:111.35pt;margin-top:9.3pt;width:230.25pt;height:58.75pt;z-index:25166336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0">
              <w:txbxContent>
                <w:p w:rsidR="00370406" w:rsidRDefault="00370406" w:rsidP="001D001D">
                  <w:pPr>
                    <w:jc w:val="center"/>
                    <w:textboxTightWrap w:val="allLines"/>
                  </w:pPr>
                  <w:r>
                    <w:t>Nominations are received by the Minister and referred to the Department within 30 business days for EPBC Regulations checks.</w:t>
                  </w:r>
                </w:p>
              </w:txbxContent>
            </v:textbox>
          </v:shape>
        </w:pict>
      </w:r>
    </w:p>
    <w:p w:rsidR="00E04AB9" w:rsidRPr="00E04AB9" w:rsidRDefault="00E04AB9" w:rsidP="00E04AB9"/>
    <w:p w:rsidR="005766D4" w:rsidRDefault="00A441DA" w:rsidP="00E04AB9">
      <w:r>
        <w:rPr>
          <w:noProof/>
          <w:lang w:eastAsia="en-AU"/>
        </w:rPr>
        <w:pict>
          <v:shape id="_x0000_s1031" type="#_x0000_t67" style="position:absolute;margin-left:216.1pt;margin-top:24.9pt;width:13.65pt;height:27.75pt;z-index:251664384" fillcolor="#7f7f7f [1601]" strokecolor="#f2f2f2 [3041]" strokeweight="1pt">
            <v:fill color2="black [3200]" angle="-135" focus="100%" type="gradient"/>
            <v:shadow type="perspective" color="#999 [1296]" opacity=".5" origin=",.5" offset="0,0" matrix=",-56756f,,.5"/>
            <v:textbox style="layout-flow:vertical-ideographic;mso-next-textbox:#_x0000_s1031">
              <w:txbxContent>
                <w:p w:rsidR="00370406" w:rsidRDefault="00370406" w:rsidP="00247745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319405" cy="44005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04AB9" w:rsidRPr="00E04AB9" w:rsidRDefault="00E04AB9" w:rsidP="00E04AB9"/>
    <w:p w:rsidR="00E04AB9" w:rsidRPr="00E04AB9" w:rsidRDefault="00A441DA" w:rsidP="00E04AB9">
      <w:r>
        <w:rPr>
          <w:noProof/>
          <w:lang w:eastAsia="en-AU"/>
        </w:rPr>
        <w:pict>
          <v:shape id="_x0000_s1032" type="#_x0000_t176" style="position:absolute;margin-left:111.35pt;margin-top:1.75pt;width:230.25pt;height:75.75pt;z-index:2516654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2">
              <w:txbxContent>
                <w:p w:rsidR="00370406" w:rsidRDefault="00370406" w:rsidP="00247745">
                  <w:pPr>
                    <w:jc w:val="center"/>
                    <w:textboxTightWrap w:val="allLines"/>
                  </w:pPr>
                  <w:r>
                    <w:t>Nominations that comply with the EPBC Regulations are then referred by the Minister to the Threatened Species Scientific Committee (the TSSC) for consideration.</w:t>
                  </w:r>
                </w:p>
              </w:txbxContent>
            </v:textbox>
          </v:shape>
        </w:pict>
      </w:r>
    </w:p>
    <w:p w:rsidR="00E04AB9" w:rsidRPr="00E04AB9" w:rsidRDefault="00E04AB9" w:rsidP="00E04AB9"/>
    <w:p w:rsidR="00E04AB9" w:rsidRPr="00E04AB9" w:rsidRDefault="00E04AB9" w:rsidP="00E04AB9"/>
    <w:p w:rsidR="00E04AB9" w:rsidRPr="00E04AB9" w:rsidRDefault="00A441DA" w:rsidP="00E04AB9">
      <w:r>
        <w:rPr>
          <w:noProof/>
          <w:lang w:eastAsia="en-AU"/>
        </w:rPr>
        <w:pict>
          <v:shape id="_x0000_s1035" type="#_x0000_t67" style="position:absolute;margin-left:216.1pt;margin-top:6.7pt;width:13.65pt;height:27.75pt;z-index:251668480" fillcolor="#7f7f7f [1601]" strokecolor="#f2f2f2 [3041]" strokeweight="1pt">
            <v:fill color2="black [3200]" angle="-135" focus="100%" type="gradient"/>
            <v:shadow type="perspective" color="#999 [1296]" opacity=".5" origin=",.5" offset="0,0" matrix=",-56756f,,.5"/>
            <v:textbox style="layout-flow:vertical-ideographic;mso-next-textbox:#_x0000_s1035">
              <w:txbxContent>
                <w:p w:rsidR="00370406" w:rsidRDefault="00370406" w:rsidP="00E81D5A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319405" cy="440055"/>
                        <wp:effectExtent l="0" t="0" r="0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04AB9" w:rsidRPr="00E04AB9" w:rsidRDefault="00A441DA" w:rsidP="00E04AB9">
      <w:r>
        <w:rPr>
          <w:noProof/>
          <w:lang w:eastAsia="en-AU"/>
        </w:rPr>
        <w:pict>
          <v:shape id="_x0000_s1034" type="#_x0000_t176" style="position:absolute;margin-left:111.35pt;margin-top:9pt;width:230.25pt;height:59.3pt;z-index:25166745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4">
              <w:txbxContent>
                <w:p w:rsidR="00370406" w:rsidRDefault="00370406" w:rsidP="00E81D5A">
                  <w:pPr>
                    <w:jc w:val="center"/>
                    <w:textboxTightWrap w:val="allLines"/>
                  </w:pPr>
                  <w:r>
                    <w:t>The TSSC provides the Proposed Priority Assessment List (PPAL)</w:t>
                  </w:r>
                  <w:r w:rsidRPr="00DF5BE5">
                    <w:t xml:space="preserve"> </w:t>
                  </w:r>
                  <w:r>
                    <w:t>to the Minister within 40 business days.</w:t>
                  </w:r>
                </w:p>
              </w:txbxContent>
            </v:textbox>
          </v:shape>
        </w:pict>
      </w:r>
    </w:p>
    <w:p w:rsidR="00E04AB9" w:rsidRPr="00E04AB9" w:rsidRDefault="00E04AB9" w:rsidP="00E04AB9"/>
    <w:p w:rsidR="00DF5BE5" w:rsidRDefault="00A441DA" w:rsidP="00E04AB9">
      <w:r>
        <w:rPr>
          <w:noProof/>
          <w:lang w:eastAsia="en-AU"/>
        </w:rPr>
        <w:pict>
          <v:shape id="_x0000_s1033" type="#_x0000_t67" style="position:absolute;margin-left:216.1pt;margin-top:22.45pt;width:13.65pt;height:27.75pt;z-index:251666432" fillcolor="#7f7f7f [1601]" strokecolor="#f2f2f2 [3041]" strokeweight="1pt">
            <v:fill color2="black [3200]" angle="-135" focus="100%" type="gradient"/>
            <v:shadow type="perspective" color="#999 [1296]" opacity=".5" origin=",.5" offset="0,0" matrix=",-56756f,,.5"/>
            <v:textbox style="layout-flow:vertical-ideographic;mso-next-textbox:#_x0000_s1033">
              <w:txbxContent>
                <w:p w:rsidR="00370406" w:rsidRDefault="00370406" w:rsidP="00247745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319405" cy="440055"/>
                        <wp:effectExtent l="0" t="0" r="0" b="0"/>
                        <wp:docPr id="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04AB9" w:rsidRPr="00E04AB9" w:rsidRDefault="00E04AB9" w:rsidP="00E04AB9"/>
    <w:p w:rsidR="00E04AB9" w:rsidRPr="00E04AB9" w:rsidRDefault="00A441DA" w:rsidP="00E04AB9">
      <w:r>
        <w:rPr>
          <w:noProof/>
          <w:lang w:eastAsia="en-AU"/>
        </w:rPr>
        <w:pict>
          <v:shape id="_x0000_s1036" type="#_x0000_t176" style="position:absolute;margin-left:111.35pt;margin-top:4.65pt;width:230.25pt;height:86.3pt;z-index:25166950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6">
              <w:txbxContent>
                <w:p w:rsidR="004D5086" w:rsidRDefault="00370406" w:rsidP="004D5086">
                  <w:pPr>
                    <w:jc w:val="center"/>
                    <w:textboxTightWrap w:val="allLines"/>
                  </w:pPr>
                  <w:r>
                    <w:t>The Minister may make changes</w:t>
                  </w:r>
                  <w:r w:rsidR="00170027">
                    <w:t xml:space="preserve">. The Minister </w:t>
                  </w:r>
                  <w:r w:rsidR="004D5086">
                    <w:t>agree</w:t>
                  </w:r>
                  <w:r w:rsidR="00170027">
                    <w:t>s</w:t>
                  </w:r>
                  <w:r w:rsidR="004D5086">
                    <w:t xml:space="preserve"> to the </w:t>
                  </w:r>
                  <w:r>
                    <w:t xml:space="preserve">Finalised Priority Assessment List (FPAL), </w:t>
                  </w:r>
                  <w:r w:rsidR="004D5086">
                    <w:t>within 20 business days. TSSC publishes the FPAL on the Department’s website.</w:t>
                  </w:r>
                </w:p>
              </w:txbxContent>
            </v:textbox>
          </v:shape>
        </w:pict>
      </w:r>
    </w:p>
    <w:p w:rsidR="00E04AB9" w:rsidRPr="00E04AB9" w:rsidRDefault="00E04AB9" w:rsidP="00E04AB9"/>
    <w:p w:rsidR="00E04AB9" w:rsidRPr="00E04AB9" w:rsidRDefault="00E04AB9" w:rsidP="00E04AB9"/>
    <w:p w:rsidR="00E04AB9" w:rsidRPr="00E04AB9" w:rsidRDefault="00A441DA" w:rsidP="00E04AB9">
      <w:r>
        <w:rPr>
          <w:noProof/>
          <w:lang w:eastAsia="en-AU"/>
        </w:rPr>
        <w:pict>
          <v:shape id="_x0000_s1037" type="#_x0000_t67" style="position:absolute;margin-left:216.1pt;margin-top:21.65pt;width:13.65pt;height:27.75pt;z-index:251670528" fillcolor="#7f7f7f [1601]" strokecolor="#f2f2f2 [3041]" strokeweight="1pt">
            <v:fill color2="black [3200]" angle="-135" focus="100%" type="gradient"/>
            <v:shadow type="perspective" color="#999 [1296]" opacity=".5" origin=",.5" offset="0,0" matrix=",-56756f,,.5"/>
            <v:textbox style="layout-flow:vertical-ideographic;mso-next-textbox:#_x0000_s1037">
              <w:txbxContent>
                <w:p w:rsidR="00370406" w:rsidRDefault="00370406" w:rsidP="00E81D5A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319405" cy="440055"/>
                        <wp:effectExtent l="0" t="0" r="0" b="0"/>
                        <wp:docPr id="2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04AB9" w:rsidRPr="00E04AB9" w:rsidRDefault="00E04AB9" w:rsidP="00E04AB9"/>
    <w:p w:rsidR="00E04AB9" w:rsidRPr="00E04AB9" w:rsidRDefault="00A441DA" w:rsidP="00E04AB9">
      <w:r>
        <w:rPr>
          <w:noProof/>
          <w:lang w:eastAsia="en-AU"/>
        </w:rPr>
        <w:pict>
          <v:shape id="_x0000_s1038" type="#_x0000_t176" style="position:absolute;margin-left:111.35pt;margin-top:3.5pt;width:230.25pt;height:20.05pt;z-index:2516715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8">
              <w:txbxContent>
                <w:p w:rsidR="00370406" w:rsidRDefault="00370406" w:rsidP="00E81D5A">
                  <w:pPr>
                    <w:jc w:val="center"/>
                    <w:textboxTightWrap w:val="allLines"/>
                  </w:pPr>
                  <w:r>
                    <w:t>Start of Assessment Period (1 October)</w:t>
                  </w:r>
                </w:p>
              </w:txbxContent>
            </v:textbox>
          </v:shape>
        </w:pict>
      </w:r>
    </w:p>
    <w:p w:rsidR="00960CDB" w:rsidRDefault="00A441DA">
      <w:r>
        <w:rPr>
          <w:noProof/>
          <w:lang w:eastAsia="en-AU"/>
        </w:rPr>
        <w:pict>
          <v:shape id="_x0000_s1039" type="#_x0000_t67" style="position:absolute;margin-left:216.1pt;margin-top:6.75pt;width:13.65pt;height:27.75pt;z-index:251672576" fillcolor="#7f7f7f [1601]" strokecolor="#f2f2f2 [3041]" strokeweight="1pt">
            <v:fill color2="black [3200]" angle="-135" focus="100%" type="gradient"/>
            <v:shadow type="perspective" color="#999 [1296]" opacity=".5" origin=",.5" offset="0,0" matrix=",-56756f,,.5"/>
            <v:textbox style="layout-flow:vertical-ideographic;mso-next-textbox:#_x0000_s1039">
              <w:txbxContent>
                <w:p w:rsidR="00370406" w:rsidRDefault="00370406" w:rsidP="00E04AB9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319405" cy="440055"/>
                        <wp:effectExtent l="0" t="0" r="0" b="0"/>
                        <wp:docPr id="3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60CDB">
        <w:br w:type="page"/>
      </w:r>
    </w:p>
    <w:p w:rsidR="00960CDB" w:rsidRDefault="00960CDB" w:rsidP="00960CDB"/>
    <w:p w:rsidR="00960CDB" w:rsidRPr="00960CDB" w:rsidRDefault="00A441DA" w:rsidP="00960CDB">
      <w:r>
        <w:rPr>
          <w:noProof/>
          <w:lang w:eastAsia="en-AU"/>
        </w:rPr>
        <w:pict>
          <v:shape id="_x0000_s1040" type="#_x0000_t176" style="position:absolute;margin-left:101.3pt;margin-top:9.4pt;width:262.9pt;height:77.95pt;z-index:2516736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0">
              <w:txbxContent>
                <w:p w:rsidR="00370406" w:rsidRDefault="00170027" w:rsidP="00E04AB9">
                  <w:pPr>
                    <w:jc w:val="center"/>
                    <w:textboxTightWrap w:val="allLines"/>
                  </w:pPr>
                  <w:r>
                    <w:t>The TSSC begins the assessment of each item against the listing criteria. T</w:t>
                  </w:r>
                  <w:r w:rsidR="00370406">
                    <w:t>he TSSC invites public and expert comment on the draft Conservation Advice/draft Listing Advice for the nomination.</w:t>
                  </w:r>
                </w:p>
              </w:txbxContent>
            </v:textbox>
          </v:shape>
        </w:pict>
      </w:r>
    </w:p>
    <w:p w:rsidR="00960CDB" w:rsidRPr="00960CDB" w:rsidRDefault="00960CDB" w:rsidP="00960CDB"/>
    <w:p w:rsidR="00960CDB" w:rsidRDefault="00960CDB" w:rsidP="00960CDB">
      <w:pPr>
        <w:tabs>
          <w:tab w:val="left" w:pos="5459"/>
        </w:tabs>
      </w:pPr>
    </w:p>
    <w:p w:rsidR="00960CDB" w:rsidRDefault="00A441DA" w:rsidP="00960CDB">
      <w:pPr>
        <w:tabs>
          <w:tab w:val="left" w:pos="5459"/>
        </w:tabs>
      </w:pPr>
      <w:r>
        <w:rPr>
          <w:noProof/>
          <w:lang w:eastAsia="en-AU"/>
        </w:rPr>
        <w:pict>
          <v:shape id="_x0000_s1041" type="#_x0000_t67" style="position:absolute;margin-left:225.2pt;margin-top:18.25pt;width:13.65pt;height:27.75pt;z-index:251674624" fillcolor="#7f7f7f [1601]" strokecolor="#f2f2f2 [3041]" strokeweight="1pt">
            <v:fill color2="black [3200]" angle="-135" focus="100%" type="gradient"/>
            <v:shadow type="perspective" color="#999 [1296]" opacity=".5" origin=",.5" offset="0,0" matrix=",-56756f,,.5"/>
            <v:textbox style="layout-flow:vertical-ideographic;mso-next-textbox:#_x0000_s1041">
              <w:txbxContent>
                <w:p w:rsidR="00370406" w:rsidRDefault="00370406" w:rsidP="00E04AB9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319405" cy="440055"/>
                        <wp:effectExtent l="0" t="0" r="0" b="0"/>
                        <wp:docPr id="5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60CDB" w:rsidRDefault="00A441DA" w:rsidP="00960CDB">
      <w:pPr>
        <w:tabs>
          <w:tab w:val="left" w:pos="5459"/>
        </w:tabs>
      </w:pPr>
      <w:r>
        <w:rPr>
          <w:noProof/>
          <w:lang w:eastAsia="en-AU"/>
        </w:rPr>
        <w:pict>
          <v:shape id="_x0000_s1042" type="#_x0000_t176" style="position:absolute;margin-left:101.3pt;margin-top:24.85pt;width:262.9pt;height:93.4pt;z-index:25167564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2">
              <w:txbxContent>
                <w:p w:rsidR="00370406" w:rsidRDefault="00183CC1" w:rsidP="00E04AB9">
                  <w:pPr>
                    <w:jc w:val="center"/>
                    <w:textboxTightWrap w:val="allLines"/>
                  </w:pPr>
                  <w:r>
                    <w:t xml:space="preserve">The </w:t>
                  </w:r>
                  <w:r w:rsidR="00370406">
                    <w:t xml:space="preserve">TSSC considers </w:t>
                  </w:r>
                  <w:r>
                    <w:t xml:space="preserve">submission received during public consultation. </w:t>
                  </w:r>
                  <w:r w:rsidR="00170027">
                    <w:t xml:space="preserve">The </w:t>
                  </w:r>
                  <w:r>
                    <w:t xml:space="preserve">TSSC assesses </w:t>
                  </w:r>
                  <w:r w:rsidR="00370406">
                    <w:t>whether the nominated species, ecological community or key threatening process is eligible for listing, and if so, in which category of the EPBC Act.</w:t>
                  </w:r>
                </w:p>
              </w:txbxContent>
            </v:textbox>
          </v:shape>
        </w:pict>
      </w:r>
    </w:p>
    <w:p w:rsidR="009B60D9" w:rsidRDefault="009B60D9" w:rsidP="00960CDB">
      <w:pPr>
        <w:tabs>
          <w:tab w:val="left" w:pos="5459"/>
        </w:tabs>
      </w:pPr>
    </w:p>
    <w:p w:rsidR="00960CDB" w:rsidRDefault="00960CDB" w:rsidP="00960CDB">
      <w:pPr>
        <w:tabs>
          <w:tab w:val="left" w:pos="5459"/>
        </w:tabs>
      </w:pPr>
    </w:p>
    <w:p w:rsidR="00960CDB" w:rsidRDefault="00960CDB" w:rsidP="00960CDB">
      <w:pPr>
        <w:tabs>
          <w:tab w:val="left" w:pos="5459"/>
        </w:tabs>
      </w:pPr>
    </w:p>
    <w:p w:rsidR="00960CDB" w:rsidRDefault="00A441DA" w:rsidP="00960CDB">
      <w:pPr>
        <w:tabs>
          <w:tab w:val="left" w:pos="5459"/>
        </w:tabs>
      </w:pPr>
      <w:r>
        <w:rPr>
          <w:noProof/>
          <w:lang w:eastAsia="en-AU"/>
        </w:rPr>
        <w:pict>
          <v:shape id="_x0000_s1043" type="#_x0000_t67" style="position:absolute;margin-left:220.3pt;margin-top:24.1pt;width:13.65pt;height:27.75pt;z-index:251676672" fillcolor="#7f7f7f [1601]" strokecolor="#f2f2f2 [3041]" strokeweight="1pt">
            <v:fill color2="black [3200]" angle="-135" focus="100%" type="gradient"/>
            <v:shadow type="perspective" color="#999 [1296]" opacity=".5" origin=",.5" offset="0,0" matrix=",-56756f,,.5"/>
            <v:textbox style="layout-flow:vertical-ideographic;mso-next-textbox:#_x0000_s1043">
              <w:txbxContent>
                <w:p w:rsidR="00370406" w:rsidRDefault="00370406" w:rsidP="00E04AB9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319405" cy="440055"/>
                        <wp:effectExtent l="0" t="0" r="0" b="0"/>
                        <wp:docPr id="8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26975" w:rsidRDefault="00C26975" w:rsidP="00960CDB">
      <w:pPr>
        <w:tabs>
          <w:tab w:val="left" w:pos="5459"/>
        </w:tabs>
      </w:pPr>
    </w:p>
    <w:p w:rsidR="00960CDB" w:rsidRPr="00960CDB" w:rsidRDefault="00A441DA" w:rsidP="00960CDB">
      <w:pPr>
        <w:tabs>
          <w:tab w:val="left" w:pos="5459"/>
        </w:tabs>
      </w:pPr>
      <w:r>
        <w:rPr>
          <w:noProof/>
          <w:lang w:eastAsia="en-AU"/>
        </w:rPr>
        <w:pict>
          <v:shape id="_x0000_s1049" type="#_x0000_t67" style="position:absolute;margin-left:220.3pt;margin-top:294.1pt;width:13.65pt;height:27.75pt;z-index:251682816" fillcolor="#7f7f7f [1601]" strokecolor="#f2f2f2 [3041]" strokeweight="1pt">
            <v:fill color2="black [3200]" angle="-135" focus="100%" type="gradient"/>
            <v:shadow type="perspective" color="#999 [1296]" opacity=".5" origin=",.5" offset="0,0" matrix=",-56756f,,.5"/>
            <v:textbox style="layout-flow:vertical-ideographic;mso-next-textbox:#_x0000_s1049">
              <w:txbxContent>
                <w:p w:rsidR="00370406" w:rsidRDefault="00370406" w:rsidP="00380253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319405" cy="440055"/>
                        <wp:effectExtent l="0" t="0" r="0" b="0"/>
                        <wp:docPr id="13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47" type="#_x0000_t67" style="position:absolute;margin-left:220.3pt;margin-top:200.85pt;width:13.65pt;height:27.75pt;z-index:251680768" fillcolor="#7f7f7f [1601]" strokecolor="#f2f2f2 [3041]" strokeweight="1pt">
            <v:fill color2="black [3200]" angle="-135" focus="100%" type="gradient"/>
            <v:shadow type="perspective" color="#999 [1296]" opacity=".5" origin=",.5" offset="0,0" matrix=",-56756f,,.5"/>
            <v:textbox style="layout-flow:vertical-ideographic;mso-next-textbox:#_x0000_s1047">
              <w:txbxContent>
                <w:p w:rsidR="00370406" w:rsidRDefault="00370406" w:rsidP="006C3CE8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319405" cy="440055"/>
                        <wp:effectExtent l="0" t="0" r="0" b="0"/>
                        <wp:docPr id="11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45" type="#_x0000_t67" style="position:absolute;margin-left:220.3pt;margin-top:85.25pt;width:13.65pt;height:27.75pt;z-index:251678720" fillcolor="#7f7f7f [1601]" strokecolor="#f2f2f2 [3041]" strokeweight="1pt">
            <v:fill color2="black [3200]" angle="-135" focus="100%" type="gradient"/>
            <v:shadow type="perspective" color="#999 [1296]" opacity=".5" origin=",.5" offset="0,0" matrix=",-56756f,,.5"/>
            <v:textbox style="layout-flow:vertical-ideographic;mso-next-textbox:#_x0000_s1045">
              <w:txbxContent>
                <w:p w:rsidR="00370406" w:rsidRDefault="00370406" w:rsidP="006C3CE8">
                  <w:r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319405" cy="440055"/>
                        <wp:effectExtent l="0" t="0" r="0" b="0"/>
                        <wp:docPr id="10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44" type="#_x0000_t176" style="position:absolute;margin-left:97.1pt;margin-top:7.85pt;width:262.9pt;height:62.8pt;z-index:25167769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4">
              <w:txbxContent>
                <w:p w:rsidR="00370406" w:rsidRDefault="00370406" w:rsidP="00E04AB9">
                  <w:pPr>
                    <w:jc w:val="center"/>
                    <w:textboxTightWrap w:val="allLines"/>
                  </w:pPr>
                  <w:r>
                    <w:t xml:space="preserve">The TSSC concludes its assessment and provides its advice to the Minister by the statutory deadline </w:t>
                  </w:r>
                  <w:r w:rsidR="00B45BBB">
                    <w:t>set in the FPAL.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46" type="#_x0000_t176" style="position:absolute;margin-left:101.3pt;margin-top:117.5pt;width:262.9pt;height:74.5pt;z-index:25167974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6">
              <w:txbxContent>
                <w:p w:rsidR="00370406" w:rsidRDefault="00370406" w:rsidP="006C3CE8">
                  <w:pPr>
                    <w:jc w:val="center"/>
                    <w:textboxTightWrap w:val="allLines"/>
                  </w:pPr>
                  <w:r>
                    <w:t xml:space="preserve">Based on the TSSC’s advice, the Minister decides whether to list the </w:t>
                  </w:r>
                  <w:r w:rsidR="00B45BBB">
                    <w:t>assessed</w:t>
                  </w:r>
                  <w:r>
                    <w:t xml:space="preserve"> species, ecological community, or key threatening process, </w:t>
                  </w:r>
                  <w:r w:rsidR="00B45BBB">
                    <w:t>as threatened and in which category.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48" type="#_x0000_t176" style="position:absolute;margin-left:101.3pt;margin-top:235.55pt;width:262.9pt;height:44.6pt;z-index:25168179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8">
              <w:txbxContent>
                <w:p w:rsidR="00170027" w:rsidRDefault="00170027" w:rsidP="00170027">
                  <w:pPr>
                    <w:jc w:val="center"/>
                    <w:textboxTightWrap w:val="allLines"/>
                  </w:pPr>
                  <w:r>
                    <w:t>The Minister notifies the TSSC and the nominator of the listing decision.</w:t>
                  </w:r>
                </w:p>
                <w:p w:rsidR="00370406" w:rsidRDefault="00370406" w:rsidP="006C3CE8">
                  <w:pPr>
                    <w:jc w:val="center"/>
                    <w:textboxTightWrap w:val="allLines"/>
                  </w:pPr>
                  <w:r>
                    <w:t xml:space="preserve">. 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50" type="#_x0000_t176" style="position:absolute;margin-left:97.1pt;margin-top:326.8pt;width:262.9pt;height:61.6pt;z-index:2516838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50">
              <w:txbxContent>
                <w:p w:rsidR="00170027" w:rsidRDefault="00170027">
                  <w:r>
                    <w:t>Information on new listings, including the advice to the Minister and relevant information products, are placed on the Department’s website</w:t>
                  </w:r>
                </w:p>
              </w:txbxContent>
            </v:textbox>
          </v:shape>
        </w:pict>
      </w:r>
    </w:p>
    <w:sectPr w:rsidR="00960CDB" w:rsidRPr="00960CDB" w:rsidSect="00653F45">
      <w:pgSz w:w="11906" w:h="16838"/>
      <w:pgMar w:top="961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06E" w:rsidRDefault="00F8606E" w:rsidP="00600559">
      <w:pPr>
        <w:spacing w:after="0" w:line="240" w:lineRule="auto"/>
      </w:pPr>
      <w:r>
        <w:separator/>
      </w:r>
    </w:p>
  </w:endnote>
  <w:endnote w:type="continuationSeparator" w:id="0">
    <w:p w:rsidR="00F8606E" w:rsidRDefault="00F8606E" w:rsidP="0060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06E" w:rsidRDefault="00F8606E" w:rsidP="00600559">
      <w:pPr>
        <w:spacing w:after="0" w:line="240" w:lineRule="auto"/>
      </w:pPr>
      <w:r>
        <w:separator/>
      </w:r>
    </w:p>
  </w:footnote>
  <w:footnote w:type="continuationSeparator" w:id="0">
    <w:p w:rsidR="00F8606E" w:rsidRDefault="00F8606E" w:rsidP="00600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504"/>
    <w:rsid w:val="00057E3C"/>
    <w:rsid w:val="00074AD0"/>
    <w:rsid w:val="000855EC"/>
    <w:rsid w:val="0013694D"/>
    <w:rsid w:val="00170027"/>
    <w:rsid w:val="00170458"/>
    <w:rsid w:val="00183CC1"/>
    <w:rsid w:val="001C629B"/>
    <w:rsid w:val="001D001D"/>
    <w:rsid w:val="00247745"/>
    <w:rsid w:val="002A0185"/>
    <w:rsid w:val="00307F71"/>
    <w:rsid w:val="00314E28"/>
    <w:rsid w:val="00370406"/>
    <w:rsid w:val="00380253"/>
    <w:rsid w:val="003E3196"/>
    <w:rsid w:val="004B3B3C"/>
    <w:rsid w:val="004D5086"/>
    <w:rsid w:val="00557504"/>
    <w:rsid w:val="005766D4"/>
    <w:rsid w:val="00600559"/>
    <w:rsid w:val="006346B2"/>
    <w:rsid w:val="00653F45"/>
    <w:rsid w:val="006C3CE8"/>
    <w:rsid w:val="00722827"/>
    <w:rsid w:val="00726C6F"/>
    <w:rsid w:val="00767A1C"/>
    <w:rsid w:val="00894FDF"/>
    <w:rsid w:val="008B59C2"/>
    <w:rsid w:val="00960CDB"/>
    <w:rsid w:val="00973871"/>
    <w:rsid w:val="009B60D9"/>
    <w:rsid w:val="009C5EB5"/>
    <w:rsid w:val="009E4EEA"/>
    <w:rsid w:val="00A441DA"/>
    <w:rsid w:val="00B02F15"/>
    <w:rsid w:val="00B45BBB"/>
    <w:rsid w:val="00B94220"/>
    <w:rsid w:val="00C26975"/>
    <w:rsid w:val="00CF43D4"/>
    <w:rsid w:val="00D4216D"/>
    <w:rsid w:val="00DF5BE5"/>
    <w:rsid w:val="00DF7EA4"/>
    <w:rsid w:val="00E04AB9"/>
    <w:rsid w:val="00E81A57"/>
    <w:rsid w:val="00E81D5A"/>
    <w:rsid w:val="00EC165F"/>
    <w:rsid w:val="00F8606E"/>
    <w:rsid w:val="00F9784C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559"/>
  </w:style>
  <w:style w:type="paragraph" w:styleId="Footer">
    <w:name w:val="footer"/>
    <w:basedOn w:val="Normal"/>
    <w:link w:val="FooterChar"/>
    <w:uiPriority w:val="99"/>
    <w:semiHidden/>
    <w:unhideWhenUsed/>
    <w:rsid w:val="0060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A7464-64D3-4E57-8F42-D6C2D092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 listing threatened species, ecological communities and key threatening processes under the Environment Protection and Biodiversity Conservation Act 1999</vt:lpstr>
    </vt:vector>
  </TitlesOfParts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listing threatened species, ecological communities and key threatening processes under the Environment Protection and Biodiversity Conservation Act 1999</dc:title>
  <dc:creator/>
  <cp:lastModifiedBy/>
  <cp:revision>1</cp:revision>
  <dcterms:created xsi:type="dcterms:W3CDTF">2013-10-30T03:57:00Z</dcterms:created>
  <dcterms:modified xsi:type="dcterms:W3CDTF">2013-10-30T03:57:00Z</dcterms:modified>
</cp:coreProperties>
</file>