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105A" w14:textId="77777777" w:rsidR="009B23F7" w:rsidRDefault="009B23F7" w:rsidP="00125893">
      <w:pPr>
        <w:pStyle w:val="NormalWeb"/>
        <w:spacing w:after="0" w:afterAutospacing="0"/>
      </w:pPr>
      <w:r>
        <w:rPr>
          <w:noProof/>
        </w:rPr>
        <w:drawing>
          <wp:inline distT="0" distB="0" distL="0" distR="0" wp14:anchorId="0335045F" wp14:editId="3CFFA848">
            <wp:extent cx="2552748" cy="975838"/>
            <wp:effectExtent l="0" t="0" r="0" b="0"/>
            <wp:docPr id="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6063" cy="992396"/>
                    </a:xfrm>
                    <a:prstGeom prst="rect">
                      <a:avLst/>
                    </a:prstGeom>
                    <a:noFill/>
                    <a:ln>
                      <a:noFill/>
                    </a:ln>
                  </pic:spPr>
                </pic:pic>
              </a:graphicData>
            </a:graphic>
          </wp:inline>
        </w:drawing>
      </w:r>
    </w:p>
    <w:p w14:paraId="48B41BFF" w14:textId="77777777" w:rsidR="00332FDA" w:rsidRDefault="00332FDA" w:rsidP="00332FDA">
      <w:pPr>
        <w:pStyle w:val="Type-Refernce"/>
        <w:shd w:val="clear" w:color="auto" w:fill="0070C0"/>
        <w:spacing w:before="0" w:after="200" w:line="276" w:lineRule="auto"/>
      </w:pPr>
      <w:bookmarkStart w:id="0" w:name="_Toc360193309"/>
      <w:bookmarkStart w:id="1" w:name="_Toc360194608"/>
      <w:bookmarkStart w:id="2" w:name="_Toc360195179"/>
      <w:r>
        <w:t>NOTICE TO INDUSTRY 8</w:t>
      </w:r>
    </w:p>
    <w:bookmarkEnd w:id="0"/>
    <w:bookmarkEnd w:id="1"/>
    <w:bookmarkEnd w:id="2"/>
    <w:p w14:paraId="5D129A51" w14:textId="7060AE9F" w:rsidR="009B40E2" w:rsidRDefault="00381CC6" w:rsidP="00C66AB5">
      <w:pPr>
        <w:pStyle w:val="Documenttitle"/>
      </w:pPr>
      <w:r w:rsidRPr="00C66AB5">
        <w:rPr>
          <w:b w:val="0"/>
          <w:bCs w:val="0"/>
          <w:color w:val="0070C0"/>
          <w:sz w:val="36"/>
          <w:szCs w:val="36"/>
        </w:rPr>
        <w:t>Horse Importer responsibilities – New Zealand and</w:t>
      </w:r>
      <w:r w:rsidR="00332FDA">
        <w:rPr>
          <w:color w:val="0070C0"/>
          <w:sz w:val="36"/>
          <w:szCs w:val="36"/>
        </w:rPr>
        <w:t> </w:t>
      </w:r>
      <w:r w:rsidRPr="00C66AB5">
        <w:rPr>
          <w:b w:val="0"/>
          <w:bCs w:val="0"/>
          <w:color w:val="0070C0"/>
          <w:sz w:val="36"/>
          <w:szCs w:val="36"/>
        </w:rPr>
        <w:t>New</w:t>
      </w:r>
      <w:r w:rsidR="00332FDA">
        <w:rPr>
          <w:color w:val="0070C0"/>
          <w:sz w:val="36"/>
          <w:szCs w:val="36"/>
        </w:rPr>
        <w:t> </w:t>
      </w:r>
      <w:r w:rsidRPr="00C66AB5">
        <w:rPr>
          <w:b w:val="0"/>
          <w:bCs w:val="0"/>
          <w:color w:val="0070C0"/>
          <w:sz w:val="36"/>
          <w:szCs w:val="36"/>
        </w:rPr>
        <w:t>Caledonia</w:t>
      </w:r>
    </w:p>
    <w:p w14:paraId="2DB707C5" w14:textId="4817EAF2" w:rsidR="009B40E2" w:rsidRPr="00C66AB5" w:rsidRDefault="00332FDA" w:rsidP="002F3A97">
      <w:pPr>
        <w:pStyle w:val="Heading1"/>
        <w:spacing w:before="240"/>
        <w:rPr>
          <w:b w:val="0"/>
        </w:rPr>
      </w:pPr>
      <w:r w:rsidRPr="00C66AB5">
        <w:rPr>
          <w:b w:val="0"/>
          <w:color w:val="0070C0"/>
          <w:sz w:val="28"/>
        </w:rPr>
        <w:t>Introduction</w:t>
      </w:r>
      <w:r w:rsidRPr="00C66AB5" w:rsidDel="00332FDA">
        <w:rPr>
          <w:b w:val="0"/>
        </w:rPr>
        <w:t xml:space="preserve"> </w:t>
      </w:r>
    </w:p>
    <w:p w14:paraId="61B1CB15" w14:textId="7AFE09C0" w:rsidR="009B40E2" w:rsidRPr="00125893" w:rsidRDefault="009B23F7">
      <w:pPr>
        <w:pStyle w:val="BodyText"/>
        <w:rPr>
          <w:rFonts w:asciiTheme="minorHAnsi" w:hAnsiTheme="minorHAnsi" w:cstheme="minorHAnsi"/>
          <w:szCs w:val="22"/>
        </w:rPr>
      </w:pPr>
      <w:r w:rsidRPr="009B23F7">
        <w:rPr>
          <w:rFonts w:asciiTheme="minorHAnsi" w:hAnsiTheme="minorHAnsi" w:cstheme="minorHAnsi"/>
          <w:szCs w:val="22"/>
        </w:rPr>
        <w:t>The purpose of this document is to inform horse importers from New Zealand and New Caledonia, their staff and contractors of their responsibilities and obligations to comply with specific requirements.</w:t>
      </w:r>
    </w:p>
    <w:p w14:paraId="7CC8DF82" w14:textId="513751A8" w:rsidR="009B40E2" w:rsidRPr="00125893" w:rsidRDefault="00381CC6">
      <w:pPr>
        <w:pStyle w:val="BodyText"/>
        <w:rPr>
          <w:rFonts w:asciiTheme="minorHAnsi" w:hAnsiTheme="minorHAnsi" w:cstheme="minorHAnsi"/>
          <w:b/>
          <w:i/>
          <w:szCs w:val="22"/>
        </w:rPr>
      </w:pPr>
      <w:r w:rsidRPr="00125893">
        <w:rPr>
          <w:rFonts w:asciiTheme="minorHAnsi" w:hAnsiTheme="minorHAnsi" w:cstheme="minorHAnsi"/>
          <w:b/>
          <w:i/>
          <w:szCs w:val="22"/>
        </w:rPr>
        <w:t>This document is provided for information only. To the extent that this document is inconsistent with any import permit, direction or authorisation, the terms and conditions of the import permit, direction or authorisation take precedence and will apply. Failure to comply with a condition of an import permit, direction, industry notice or authorisation may constitute a</w:t>
      </w:r>
      <w:r w:rsidR="00432634" w:rsidRPr="00125893">
        <w:rPr>
          <w:rFonts w:asciiTheme="minorHAnsi" w:hAnsiTheme="minorHAnsi" w:cstheme="minorHAnsi"/>
          <w:b/>
          <w:i/>
          <w:szCs w:val="22"/>
        </w:rPr>
        <w:t>n</w:t>
      </w:r>
      <w:r w:rsidRPr="00125893">
        <w:rPr>
          <w:rFonts w:asciiTheme="minorHAnsi" w:hAnsiTheme="minorHAnsi" w:cstheme="minorHAnsi"/>
          <w:b/>
          <w:i/>
          <w:szCs w:val="22"/>
        </w:rPr>
        <w:t xml:space="preserve"> offence. </w:t>
      </w:r>
    </w:p>
    <w:p w14:paraId="41337A3C" w14:textId="77777777" w:rsidR="009B40E2" w:rsidRPr="00125893" w:rsidRDefault="00381CC6" w:rsidP="002F3A97">
      <w:pPr>
        <w:pStyle w:val="Heading1"/>
        <w:spacing w:before="240"/>
        <w:rPr>
          <w:b w:val="0"/>
          <w:color w:val="0070C0"/>
          <w:sz w:val="28"/>
        </w:rPr>
      </w:pPr>
      <w:r w:rsidRPr="009B23F7">
        <w:rPr>
          <w:b w:val="0"/>
          <w:color w:val="0070C0"/>
          <w:sz w:val="28"/>
        </w:rPr>
        <w:t>Background</w:t>
      </w:r>
    </w:p>
    <w:p w14:paraId="3FC0B13E" w14:textId="77777777" w:rsidR="00043689" w:rsidRDefault="00D326CB" w:rsidP="00043689">
      <w:pPr>
        <w:pStyle w:val="BodyText"/>
        <w:rPr>
          <w:rFonts w:asciiTheme="minorHAnsi" w:hAnsiTheme="minorHAnsi" w:cstheme="minorHAnsi"/>
          <w:szCs w:val="22"/>
        </w:rPr>
      </w:pPr>
      <w:r w:rsidRPr="00125893">
        <w:rPr>
          <w:rFonts w:asciiTheme="minorHAnsi" w:hAnsiTheme="minorHAnsi" w:cstheme="minorHAnsi"/>
          <w:szCs w:val="22"/>
        </w:rPr>
        <w:t>T</w:t>
      </w:r>
      <w:r w:rsidR="009B23F7">
        <w:rPr>
          <w:rFonts w:asciiTheme="minorHAnsi" w:hAnsiTheme="minorHAnsi" w:cstheme="minorHAnsi"/>
          <w:szCs w:val="22"/>
        </w:rPr>
        <w:t>he</w:t>
      </w:r>
      <w:r w:rsidRPr="00125893">
        <w:rPr>
          <w:rFonts w:asciiTheme="minorHAnsi" w:hAnsiTheme="minorHAnsi" w:cstheme="minorHAnsi"/>
          <w:szCs w:val="22"/>
        </w:rPr>
        <w:t xml:space="preserve"> department is responsible for regulating the import of horses and has developed conditions that manage the associated biosecurity risks. New Zealand and New Caledonia are free from many of the equine diseases of biosecurity concern to Australia, including equi</w:t>
      </w:r>
      <w:r w:rsidR="008C05C7" w:rsidRPr="00125893">
        <w:rPr>
          <w:rFonts w:asciiTheme="minorHAnsi" w:hAnsiTheme="minorHAnsi" w:cstheme="minorHAnsi"/>
          <w:szCs w:val="22"/>
        </w:rPr>
        <w:t>ne influenza (EI), so</w:t>
      </w:r>
      <w:r w:rsidRPr="00125893">
        <w:rPr>
          <w:rFonts w:asciiTheme="minorHAnsi" w:hAnsiTheme="minorHAnsi" w:cstheme="minorHAnsi"/>
          <w:szCs w:val="22"/>
        </w:rPr>
        <w:t xml:space="preserve"> horses </w:t>
      </w:r>
      <w:r w:rsidR="008C05C7" w:rsidRPr="00125893">
        <w:rPr>
          <w:rFonts w:asciiTheme="minorHAnsi" w:hAnsiTheme="minorHAnsi" w:cstheme="minorHAnsi"/>
          <w:szCs w:val="22"/>
        </w:rPr>
        <w:t xml:space="preserve">imported from these two countries do not need </w:t>
      </w:r>
      <w:r w:rsidRPr="00125893">
        <w:rPr>
          <w:rFonts w:asciiTheme="minorHAnsi" w:hAnsiTheme="minorHAnsi" w:cstheme="minorHAnsi"/>
          <w:szCs w:val="22"/>
        </w:rPr>
        <w:t xml:space="preserve">to complete post-arrival quarantine (PAQ) following </w:t>
      </w:r>
      <w:r w:rsidR="005959E9" w:rsidRPr="00125893">
        <w:rPr>
          <w:rFonts w:asciiTheme="minorHAnsi" w:hAnsiTheme="minorHAnsi" w:cstheme="minorHAnsi"/>
          <w:szCs w:val="22"/>
        </w:rPr>
        <w:t xml:space="preserve">their </w:t>
      </w:r>
      <w:r w:rsidRPr="00125893">
        <w:rPr>
          <w:rFonts w:asciiTheme="minorHAnsi" w:hAnsiTheme="minorHAnsi" w:cstheme="minorHAnsi"/>
          <w:szCs w:val="22"/>
        </w:rPr>
        <w:t>arrival into Australia</w:t>
      </w:r>
      <w:r w:rsidR="00043689">
        <w:rPr>
          <w:rFonts w:asciiTheme="minorHAnsi" w:hAnsiTheme="minorHAnsi" w:cstheme="minorHAnsi"/>
          <w:szCs w:val="22"/>
        </w:rPr>
        <w:t>.</w:t>
      </w:r>
    </w:p>
    <w:p w14:paraId="447BE492" w14:textId="77777777" w:rsidR="00043689" w:rsidRPr="00125893" w:rsidRDefault="00043689" w:rsidP="00043689">
      <w:pPr>
        <w:pStyle w:val="Heading1"/>
        <w:spacing w:before="240"/>
        <w:rPr>
          <w:b w:val="0"/>
          <w:color w:val="0070C0"/>
          <w:sz w:val="28"/>
        </w:rPr>
      </w:pPr>
      <w:r w:rsidRPr="009B23F7">
        <w:rPr>
          <w:b w:val="0"/>
          <w:color w:val="0070C0"/>
          <w:sz w:val="28"/>
        </w:rPr>
        <w:t>Preparatory requirements</w:t>
      </w:r>
    </w:p>
    <w:p w14:paraId="5FFC7EC4" w14:textId="77777777" w:rsidR="00043689" w:rsidRPr="00125893" w:rsidRDefault="00043689" w:rsidP="00043689">
      <w:pPr>
        <w:pStyle w:val="Heading1"/>
        <w:spacing w:before="12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The importer must: </w:t>
      </w:r>
    </w:p>
    <w:p w14:paraId="74981B36" w14:textId="77777777" w:rsidR="00043689" w:rsidRDefault="00043689" w:rsidP="00043689">
      <w:pPr>
        <w:pStyle w:val="Heading1"/>
        <w:numPr>
          <w:ilvl w:val="0"/>
          <w:numId w:val="28"/>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Hold a valid import permit for the horses. </w:t>
      </w:r>
    </w:p>
    <w:p w14:paraId="0A58EA0C" w14:textId="77777777" w:rsidR="00043689" w:rsidRDefault="00043689" w:rsidP="00043689">
      <w:pPr>
        <w:pStyle w:val="Heading1"/>
        <w:numPr>
          <w:ilvl w:val="0"/>
          <w:numId w:val="32"/>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Permits for horses from New Zealand are valid for 12 months with multiple consignments of horses permitted. </w:t>
      </w:r>
    </w:p>
    <w:p w14:paraId="1017728E" w14:textId="77777777" w:rsidR="00043689" w:rsidRDefault="00043689" w:rsidP="00043689">
      <w:pPr>
        <w:pStyle w:val="Heading1"/>
        <w:numPr>
          <w:ilvl w:val="0"/>
          <w:numId w:val="32"/>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Permits for horses from New Caledonia are valid for 2 months and are for a single consignment. </w:t>
      </w:r>
    </w:p>
    <w:p w14:paraId="6E925ACB" w14:textId="77777777" w:rsidR="00043689" w:rsidRPr="00125893" w:rsidRDefault="00043689" w:rsidP="00043689">
      <w:pPr>
        <w:pStyle w:val="Heading1"/>
        <w:numPr>
          <w:ilvl w:val="0"/>
          <w:numId w:val="28"/>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Hold a valid import permit for any veterinary therapeutic kits or be prepared to follow the</w:t>
      </w:r>
      <w:r w:rsidRPr="009B23F7">
        <w:rPr>
          <w:rFonts w:asciiTheme="minorHAnsi" w:hAnsiTheme="minorHAnsi" w:cstheme="minorHAnsi"/>
          <w:b w:val="0"/>
          <w:bCs w:val="0"/>
          <w:color w:val="auto"/>
          <w:sz w:val="22"/>
          <w:szCs w:val="22"/>
        </w:rPr>
        <w:t xml:space="preserve"> requirements on </w:t>
      </w:r>
      <w:hyperlink r:id="rId9" w:history="1">
        <w:r w:rsidRPr="000378A3">
          <w:rPr>
            <w:rStyle w:val="Hyperlink"/>
            <w:rFonts w:asciiTheme="minorHAnsi" w:hAnsiTheme="minorHAnsi" w:cstheme="minorHAnsi"/>
            <w:b w:val="0"/>
            <w:bCs w:val="0"/>
            <w:sz w:val="22"/>
            <w:szCs w:val="22"/>
          </w:rPr>
          <w:t>Notice to Industry 7: Veterinary therapeutic kits</w:t>
        </w:r>
      </w:hyperlink>
      <w:r w:rsidRPr="009B23F7">
        <w:rPr>
          <w:rFonts w:asciiTheme="minorHAnsi" w:hAnsiTheme="minorHAnsi" w:cstheme="minorHAnsi"/>
          <w:b w:val="0"/>
          <w:bCs w:val="0"/>
          <w:color w:val="auto"/>
          <w:sz w:val="22"/>
          <w:szCs w:val="22"/>
        </w:rPr>
        <w:t xml:space="preserve">. </w:t>
      </w:r>
    </w:p>
    <w:p w14:paraId="7FB21A33" w14:textId="77777777" w:rsidR="00043689" w:rsidRPr="00125893" w:rsidRDefault="00043689" w:rsidP="00043689">
      <w:pPr>
        <w:pStyle w:val="Heading1"/>
        <w:numPr>
          <w:ilvl w:val="0"/>
          <w:numId w:val="28"/>
        </w:numPr>
        <w:spacing w:before="0" w:after="0"/>
        <w:rPr>
          <w:rFonts w:asciiTheme="minorHAnsi" w:hAnsiTheme="minorHAnsi" w:cstheme="minorHAnsi"/>
          <w:b w:val="0"/>
          <w:bCs w:val="0"/>
          <w:color w:val="auto"/>
          <w:sz w:val="22"/>
          <w:szCs w:val="22"/>
        </w:rPr>
      </w:pPr>
      <w:r w:rsidRPr="009B23F7">
        <w:rPr>
          <w:rFonts w:asciiTheme="minorHAnsi" w:hAnsiTheme="minorHAnsi" w:cstheme="minorHAnsi"/>
          <w:b w:val="0"/>
          <w:bCs w:val="0"/>
          <w:color w:val="auto"/>
          <w:sz w:val="22"/>
          <w:szCs w:val="22"/>
        </w:rPr>
        <w:t xml:space="preserve">Read, understand and meet all requirements specified in each import permit. </w:t>
      </w:r>
    </w:p>
    <w:p w14:paraId="6EA40B7D" w14:textId="77777777" w:rsidR="00043689" w:rsidRPr="00125893" w:rsidRDefault="00043689" w:rsidP="00043689">
      <w:pPr>
        <w:pStyle w:val="Heading1"/>
        <w:numPr>
          <w:ilvl w:val="0"/>
          <w:numId w:val="28"/>
        </w:numPr>
        <w:spacing w:before="0" w:after="0"/>
        <w:rPr>
          <w:rFonts w:asciiTheme="minorHAnsi" w:hAnsiTheme="minorHAnsi" w:cstheme="minorHAnsi"/>
          <w:b w:val="0"/>
          <w:bCs w:val="0"/>
          <w:color w:val="auto"/>
          <w:sz w:val="22"/>
          <w:szCs w:val="22"/>
        </w:rPr>
      </w:pPr>
      <w:r w:rsidRPr="009B23F7">
        <w:rPr>
          <w:rFonts w:asciiTheme="minorHAnsi" w:hAnsiTheme="minorHAnsi" w:cstheme="minorHAnsi"/>
          <w:b w:val="0"/>
          <w:bCs w:val="0"/>
          <w:color w:val="auto"/>
          <w:sz w:val="22"/>
          <w:szCs w:val="22"/>
        </w:rPr>
        <w:t>Ensure that owners are aware of the risks associated with importing horses into Australia. Suspected and/or confirmed exotic disease in an imported horse may result in it (along with all in-contact horses) not being released from biosecurity control pending further requirements.</w:t>
      </w:r>
      <w:r w:rsidRPr="00125893">
        <w:rPr>
          <w:rFonts w:asciiTheme="minorHAnsi" w:hAnsiTheme="minorHAnsi" w:cstheme="minorHAnsi"/>
          <w:b w:val="0"/>
          <w:bCs w:val="0"/>
          <w:color w:val="auto"/>
          <w:sz w:val="22"/>
          <w:szCs w:val="22"/>
        </w:rPr>
        <w:t xml:space="preserve"> </w:t>
      </w:r>
    </w:p>
    <w:p w14:paraId="5A049C86" w14:textId="7CED897E" w:rsidR="00043689" w:rsidRDefault="00043689" w:rsidP="00043689">
      <w:pPr>
        <w:pStyle w:val="BodyText"/>
        <w:rPr>
          <w:rFonts w:asciiTheme="minorHAnsi" w:hAnsiTheme="minorHAnsi" w:cstheme="minorHAnsi"/>
          <w:szCs w:val="22"/>
        </w:rPr>
      </w:pPr>
      <w:r>
        <w:rPr>
          <w:rFonts w:asciiTheme="minorHAnsi" w:hAnsiTheme="minorHAnsi" w:cstheme="minorHAnsi"/>
          <w:szCs w:val="22"/>
        </w:rPr>
        <w:br w:type="page"/>
      </w:r>
    </w:p>
    <w:p w14:paraId="36D42809" w14:textId="7EC913CA" w:rsidR="009B40E2" w:rsidRPr="00125893" w:rsidRDefault="00043689" w:rsidP="002F3A97">
      <w:pPr>
        <w:pStyle w:val="Heading1"/>
        <w:spacing w:before="240"/>
        <w:rPr>
          <w:b w:val="0"/>
          <w:color w:val="0070C0"/>
          <w:sz w:val="28"/>
        </w:rPr>
      </w:pPr>
      <w:bookmarkStart w:id="3" w:name="_Toc219863771"/>
      <w:bookmarkStart w:id="4" w:name="_Toc304803241"/>
      <w:r>
        <w:rPr>
          <w:b w:val="0"/>
          <w:color w:val="0070C0"/>
          <w:sz w:val="28"/>
        </w:rPr>
        <w:lastRenderedPageBreak/>
        <w:t>P</w:t>
      </w:r>
      <w:r w:rsidR="00FF02FE" w:rsidRPr="009B23F7">
        <w:rPr>
          <w:b w:val="0"/>
          <w:color w:val="0070C0"/>
          <w:sz w:val="28"/>
        </w:rPr>
        <w:t>re-</w:t>
      </w:r>
      <w:r w:rsidR="00682D9A" w:rsidRPr="009B23F7">
        <w:rPr>
          <w:b w:val="0"/>
          <w:color w:val="0070C0"/>
          <w:sz w:val="28"/>
        </w:rPr>
        <w:t xml:space="preserve">arrival responsibilities </w:t>
      </w:r>
    </w:p>
    <w:p w14:paraId="0410C1EE" w14:textId="77777777" w:rsidR="009B40E2" w:rsidRPr="002F3A97" w:rsidRDefault="00381CC6" w:rsidP="002F3A97">
      <w:pPr>
        <w:pStyle w:val="Heading1"/>
        <w:spacing w:before="120"/>
        <w:rPr>
          <w:rFonts w:asciiTheme="minorHAnsi" w:hAnsiTheme="minorHAnsi" w:cstheme="minorHAnsi"/>
          <w:b w:val="0"/>
          <w:szCs w:val="22"/>
        </w:rPr>
      </w:pPr>
      <w:r w:rsidRPr="00043689">
        <w:rPr>
          <w:rFonts w:asciiTheme="minorHAnsi" w:hAnsiTheme="minorHAnsi" w:cstheme="minorHAnsi"/>
          <w:b w:val="0"/>
          <w:bCs w:val="0"/>
          <w:color w:val="auto"/>
          <w:sz w:val="22"/>
          <w:szCs w:val="22"/>
        </w:rPr>
        <w:t>The importer must:</w:t>
      </w:r>
    </w:p>
    <w:p w14:paraId="11EC8714" w14:textId="77777777" w:rsidR="009B40E2" w:rsidRPr="00125893" w:rsidRDefault="00381CC6" w:rsidP="00125893">
      <w:pPr>
        <w:pStyle w:val="Heading1"/>
        <w:numPr>
          <w:ilvl w:val="0"/>
          <w:numId w:val="29"/>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Ensure that all pre-export conditions detailed on the import permit are met.</w:t>
      </w:r>
    </w:p>
    <w:p w14:paraId="49E1EC6D" w14:textId="4D85DD27"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Ensure veterinary therapeutics and feed supplements (that are not part of the flying groom vet kit) are permitted (eg. only contain ingredients from the </w:t>
      </w:r>
      <w:hyperlink r:id="rId10" w:history="1">
        <w:r w:rsidRPr="00125893">
          <w:rPr>
            <w:rStyle w:val="Hyperlink"/>
            <w:rFonts w:asciiTheme="minorHAnsi" w:hAnsiTheme="minorHAnsi" w:cstheme="minorHAnsi"/>
            <w:b w:val="0"/>
            <w:bCs w:val="0"/>
            <w:i/>
            <w:iCs/>
            <w:sz w:val="22"/>
            <w:szCs w:val="22"/>
          </w:rPr>
          <w:t>List of Approved Ingredients for Retail Packaged Veterinary Therapeutics and Cosmetics for Animals</w:t>
        </w:r>
      </w:hyperlink>
      <w:r w:rsidRPr="000378A3">
        <w:rPr>
          <w:rFonts w:asciiTheme="minorHAnsi" w:hAnsiTheme="minorHAnsi" w:cstheme="minorHAnsi"/>
          <w:b w:val="0"/>
          <w:bCs w:val="0"/>
          <w:color w:val="auto"/>
          <w:sz w:val="22"/>
          <w:szCs w:val="22"/>
        </w:rPr>
        <w:t xml:space="preserve">) or have the required import permit. Re-export or destruction of these products may result if they are not accompanied by the required documentation. Refer to </w:t>
      </w:r>
      <w:hyperlink r:id="rId11" w:history="1">
        <w:r w:rsidRPr="00EF6443">
          <w:rPr>
            <w:rStyle w:val="Hyperlink"/>
            <w:rFonts w:asciiTheme="minorHAnsi" w:hAnsiTheme="minorHAnsi" w:cstheme="minorHAnsi"/>
            <w:b w:val="0"/>
            <w:bCs w:val="0"/>
            <w:sz w:val="22"/>
            <w:szCs w:val="22"/>
          </w:rPr>
          <w:t>BICON</w:t>
        </w:r>
      </w:hyperlink>
      <w:r w:rsidRPr="000378A3">
        <w:rPr>
          <w:rFonts w:asciiTheme="minorHAnsi" w:hAnsiTheme="minorHAnsi" w:cstheme="minorHAnsi"/>
          <w:b w:val="0"/>
          <w:bCs w:val="0"/>
          <w:color w:val="auto"/>
          <w:sz w:val="22"/>
          <w:szCs w:val="22"/>
        </w:rPr>
        <w:t xml:space="preserve"> for veterinary therapeutic and feed supplement requirements. </w:t>
      </w:r>
    </w:p>
    <w:p w14:paraId="5472DA74" w14:textId="77777777"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Ensure that hay or straw bedding is not used during transport of horses by air. </w:t>
      </w:r>
    </w:p>
    <w:p w14:paraId="3670C19C" w14:textId="378F1EDD" w:rsidR="00EF644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Complete </w:t>
      </w:r>
      <w:hyperlink r:id="rId12" w:history="1">
        <w:r w:rsidRPr="00EF6443">
          <w:rPr>
            <w:rStyle w:val="Hyperlink"/>
            <w:rFonts w:asciiTheme="minorHAnsi" w:hAnsiTheme="minorHAnsi" w:cstheme="minorHAnsi"/>
            <w:b w:val="0"/>
            <w:bCs w:val="0"/>
            <w:sz w:val="22"/>
            <w:szCs w:val="22"/>
          </w:rPr>
          <w:t xml:space="preserve">Form: </w:t>
        </w:r>
        <w:r w:rsidRPr="00125893">
          <w:rPr>
            <w:rStyle w:val="Hyperlink"/>
            <w:rFonts w:asciiTheme="minorHAnsi" w:hAnsiTheme="minorHAnsi" w:cstheme="minorHAnsi"/>
            <w:b w:val="0"/>
            <w:bCs w:val="0"/>
            <w:i/>
            <w:iCs/>
            <w:sz w:val="22"/>
            <w:szCs w:val="22"/>
          </w:rPr>
          <w:t>Notice of intent to import horses (NOI)</w:t>
        </w:r>
      </w:hyperlink>
      <w:r w:rsidRPr="000378A3">
        <w:rPr>
          <w:rFonts w:asciiTheme="minorHAnsi" w:hAnsiTheme="minorHAnsi" w:cstheme="minorHAnsi"/>
          <w:b w:val="0"/>
          <w:bCs w:val="0"/>
          <w:color w:val="auto"/>
          <w:sz w:val="22"/>
          <w:szCs w:val="22"/>
        </w:rPr>
        <w:t xml:space="preserve"> and email to the departmental regional office at least 3 business days before horse arrival. </w:t>
      </w:r>
    </w:p>
    <w:p w14:paraId="1FC9D4B3" w14:textId="3CB99408" w:rsidR="000378A3" w:rsidRDefault="000378A3" w:rsidP="00125893">
      <w:pPr>
        <w:pStyle w:val="Heading1"/>
        <w:spacing w:before="0" w:after="0"/>
        <w:ind w:left="720"/>
        <w:rPr>
          <w:rFonts w:asciiTheme="minorHAnsi" w:hAnsiTheme="minorHAnsi" w:cstheme="minorHAnsi"/>
          <w:b w:val="0"/>
          <w:bCs w:val="0"/>
          <w:color w:val="auto"/>
          <w:sz w:val="22"/>
          <w:szCs w:val="22"/>
        </w:rPr>
      </w:pPr>
      <w:r w:rsidRPr="00125893">
        <w:rPr>
          <w:rFonts w:asciiTheme="minorHAnsi" w:hAnsiTheme="minorHAnsi" w:cstheme="minorHAnsi"/>
          <w:color w:val="auto"/>
          <w:sz w:val="22"/>
          <w:szCs w:val="22"/>
        </w:rPr>
        <w:t>Note:</w:t>
      </w:r>
      <w:r w:rsidRPr="000378A3">
        <w:rPr>
          <w:rFonts w:asciiTheme="minorHAnsi" w:hAnsiTheme="minorHAnsi" w:cstheme="minorHAnsi"/>
          <w:b w:val="0"/>
          <w:bCs w:val="0"/>
          <w:color w:val="auto"/>
          <w:sz w:val="22"/>
          <w:szCs w:val="22"/>
        </w:rPr>
        <w:t xml:space="preserve"> The number of horses to be imported and details of any variations to the import permit conditions must be provided as part of the notification process. </w:t>
      </w:r>
    </w:p>
    <w:p w14:paraId="7A934FEA" w14:textId="77777777"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Provide the AIMS entry numbers for the consignment to the regional horse coordinator by email. </w:t>
      </w:r>
    </w:p>
    <w:p w14:paraId="67E2AE5E" w14:textId="77777777"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Book the first-point-of-entry facilities and ensure all personnel are authorised to enter the corral for the consignment’s arrival. </w:t>
      </w:r>
    </w:p>
    <w:p w14:paraId="597CB5B5" w14:textId="77777777"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sidRPr="000378A3">
        <w:rPr>
          <w:rFonts w:asciiTheme="minorHAnsi" w:hAnsiTheme="minorHAnsi" w:cstheme="minorHAnsi"/>
          <w:b w:val="0"/>
          <w:bCs w:val="0"/>
          <w:color w:val="auto"/>
          <w:sz w:val="22"/>
          <w:szCs w:val="22"/>
        </w:rPr>
        <w:t xml:space="preserve">Contact the regional horse coordinator by email if the consignment’s arrival time or schedule changes during business hours. Contact the regional horse coordinator by phone if an issue arises after hours. </w:t>
      </w:r>
    </w:p>
    <w:p w14:paraId="54D23F5D" w14:textId="2B3CE07C" w:rsidR="000378A3" w:rsidRDefault="000378A3" w:rsidP="000378A3">
      <w:pPr>
        <w:pStyle w:val="Heading1"/>
        <w:numPr>
          <w:ilvl w:val="0"/>
          <w:numId w:val="29"/>
        </w:numPr>
        <w:spacing w:before="0" w:after="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M</w:t>
      </w:r>
      <w:r w:rsidRPr="000378A3">
        <w:rPr>
          <w:rFonts w:asciiTheme="minorHAnsi" w:hAnsiTheme="minorHAnsi" w:cstheme="minorHAnsi"/>
          <w:b w:val="0"/>
          <w:bCs w:val="0"/>
          <w:color w:val="auto"/>
          <w:sz w:val="22"/>
          <w:szCs w:val="22"/>
        </w:rPr>
        <w:t>eet the following documentation requirements:</w:t>
      </w:r>
    </w:p>
    <w:p w14:paraId="3F481747" w14:textId="77777777" w:rsidR="000378A3" w:rsidRPr="00125893" w:rsidRDefault="000378A3" w:rsidP="00125893">
      <w:pPr>
        <w:spacing w:before="240" w:after="0"/>
        <w:ind w:left="720"/>
        <w:rPr>
          <w:b/>
          <w:bCs/>
        </w:rPr>
      </w:pPr>
      <w:r w:rsidRPr="00125893">
        <w:rPr>
          <w:b/>
          <w:bCs/>
        </w:rPr>
        <w:t xml:space="preserve">For horses from New Zealand </w:t>
      </w:r>
    </w:p>
    <w:p w14:paraId="46E4F2CF" w14:textId="77777777" w:rsidR="000378A3" w:rsidRDefault="000378A3" w:rsidP="00125893">
      <w:pPr>
        <w:ind w:left="786"/>
      </w:pPr>
      <w:r w:rsidRPr="000378A3">
        <w:t xml:space="preserve">• Provide the following information to the regional horse coordinator </w:t>
      </w:r>
      <w:r w:rsidRPr="00125893">
        <w:rPr>
          <w:b/>
          <w:bCs/>
        </w:rPr>
        <w:t>prior to horse arrival</w:t>
      </w:r>
      <w:r w:rsidRPr="000378A3">
        <w:t xml:space="preserve">: </w:t>
      </w:r>
    </w:p>
    <w:p w14:paraId="0D57CB16" w14:textId="77777777" w:rsidR="000378A3" w:rsidRDefault="000378A3" w:rsidP="00125893">
      <w:pPr>
        <w:pStyle w:val="ListParagraph"/>
        <w:numPr>
          <w:ilvl w:val="0"/>
          <w:numId w:val="30"/>
        </w:numPr>
        <w:ind w:left="1440"/>
      </w:pPr>
      <w:r w:rsidRPr="000378A3">
        <w:t xml:space="preserve">Draft health certificate or transit/transhipment certificate for all horses in the consignment, including dates and results of all required tests, and dates of all required treatments. </w:t>
      </w:r>
    </w:p>
    <w:p w14:paraId="2EC93605" w14:textId="77777777" w:rsidR="000378A3" w:rsidRDefault="000378A3" w:rsidP="00125893">
      <w:pPr>
        <w:pStyle w:val="ListParagraph"/>
        <w:ind w:left="1440"/>
      </w:pPr>
      <w:r w:rsidRPr="00125893">
        <w:rPr>
          <w:b/>
          <w:bCs/>
        </w:rPr>
        <w:t>Note:</w:t>
      </w:r>
      <w:r w:rsidRPr="000378A3">
        <w:t xml:space="preserve"> For transit/transhipment through Australia, the importer must ensure that onward certification has been provided by MPI. </w:t>
      </w:r>
    </w:p>
    <w:p w14:paraId="6B0FF3B1" w14:textId="77777777" w:rsidR="000378A3" w:rsidRDefault="000378A3" w:rsidP="00125893">
      <w:pPr>
        <w:pStyle w:val="ListParagraph"/>
        <w:numPr>
          <w:ilvl w:val="0"/>
          <w:numId w:val="30"/>
        </w:numPr>
        <w:ind w:left="1440"/>
      </w:pPr>
      <w:r w:rsidRPr="000378A3">
        <w:t xml:space="preserve">Details of any additional treatments for horses in the consignment. o Any permit variations for horses in the consignment. </w:t>
      </w:r>
    </w:p>
    <w:p w14:paraId="63CE78B1" w14:textId="4F802626" w:rsidR="00EF6443" w:rsidRDefault="000378A3" w:rsidP="00125893">
      <w:pPr>
        <w:pStyle w:val="ListParagraph"/>
        <w:numPr>
          <w:ilvl w:val="0"/>
          <w:numId w:val="30"/>
        </w:numPr>
        <w:ind w:left="1440"/>
      </w:pPr>
      <w:r w:rsidRPr="000378A3">
        <w:t>Copy of the Air Waybills</w:t>
      </w:r>
      <w:r w:rsidR="005A407E">
        <w:t>.</w:t>
      </w:r>
      <w:r w:rsidRPr="000378A3">
        <w:t xml:space="preserve"> </w:t>
      </w:r>
    </w:p>
    <w:p w14:paraId="3CFC9CFA" w14:textId="060408B3" w:rsidR="000378A3" w:rsidRPr="00125893" w:rsidRDefault="000378A3" w:rsidP="00125893">
      <w:pPr>
        <w:spacing w:before="240" w:after="0"/>
        <w:ind w:left="720"/>
        <w:rPr>
          <w:b/>
          <w:bCs/>
        </w:rPr>
      </w:pPr>
      <w:r w:rsidRPr="00125893">
        <w:rPr>
          <w:b/>
          <w:bCs/>
        </w:rPr>
        <w:t xml:space="preserve">For horses from New Caledonia </w:t>
      </w:r>
    </w:p>
    <w:p w14:paraId="7859D338" w14:textId="77777777" w:rsidR="000378A3" w:rsidRDefault="000378A3" w:rsidP="00125893">
      <w:pPr>
        <w:ind w:left="786"/>
      </w:pPr>
      <w:r w:rsidRPr="000378A3">
        <w:t xml:space="preserve">• Provide the following information to the regional horse coordinator </w:t>
      </w:r>
      <w:r w:rsidRPr="00125893">
        <w:rPr>
          <w:b/>
          <w:bCs/>
        </w:rPr>
        <w:t>prior to the horses leaving the pre-export isolation premises</w:t>
      </w:r>
      <w:r w:rsidRPr="000378A3">
        <w:t xml:space="preserve">: </w:t>
      </w:r>
    </w:p>
    <w:p w14:paraId="6F0EEA68" w14:textId="59EB9056" w:rsidR="000378A3" w:rsidRDefault="000378A3" w:rsidP="00125893">
      <w:pPr>
        <w:pStyle w:val="ListParagraph"/>
        <w:numPr>
          <w:ilvl w:val="0"/>
          <w:numId w:val="30"/>
        </w:numPr>
        <w:ind w:left="1440"/>
      </w:pPr>
      <w:r w:rsidRPr="000378A3">
        <w:t xml:space="preserve">Dates and results of all required tests and treatments. </w:t>
      </w:r>
    </w:p>
    <w:p w14:paraId="4D0381C9" w14:textId="5E1A1EFE" w:rsidR="000378A3" w:rsidRDefault="000378A3" w:rsidP="00125893">
      <w:pPr>
        <w:pStyle w:val="ListParagraph"/>
        <w:numPr>
          <w:ilvl w:val="0"/>
          <w:numId w:val="30"/>
        </w:numPr>
        <w:ind w:left="1440"/>
      </w:pPr>
      <w:r w:rsidRPr="000378A3">
        <w:t xml:space="preserve">Dates of all required vaccinations. </w:t>
      </w:r>
    </w:p>
    <w:p w14:paraId="1B0D434A" w14:textId="6A518382" w:rsidR="000378A3" w:rsidRDefault="000378A3" w:rsidP="00125893">
      <w:pPr>
        <w:pStyle w:val="ListParagraph"/>
        <w:numPr>
          <w:ilvl w:val="0"/>
          <w:numId w:val="30"/>
        </w:numPr>
        <w:ind w:left="1440"/>
      </w:pPr>
      <w:r w:rsidRPr="000378A3">
        <w:t xml:space="preserve">Details of any additional treatments for horses in the consignment. </w:t>
      </w:r>
    </w:p>
    <w:p w14:paraId="78BCB64A" w14:textId="0D2A14F8" w:rsidR="000378A3" w:rsidRDefault="000378A3" w:rsidP="00125893">
      <w:pPr>
        <w:pStyle w:val="ListParagraph"/>
        <w:numPr>
          <w:ilvl w:val="0"/>
          <w:numId w:val="30"/>
        </w:numPr>
        <w:ind w:left="1440"/>
      </w:pPr>
      <w:r w:rsidRPr="000378A3">
        <w:t xml:space="preserve">Any permit variations for horses in the consignment. </w:t>
      </w:r>
    </w:p>
    <w:p w14:paraId="594D6510" w14:textId="77777777" w:rsidR="000378A3" w:rsidRDefault="000378A3" w:rsidP="00125893">
      <w:pPr>
        <w:pStyle w:val="ListParagraph"/>
        <w:numPr>
          <w:ilvl w:val="0"/>
          <w:numId w:val="30"/>
        </w:numPr>
        <w:ind w:left="1440"/>
      </w:pPr>
      <w:r w:rsidRPr="000378A3">
        <w:t xml:space="preserve">A statement confirming that the official certification accompanying the horses in the consignment will match the import permit conditions and any permit variations. </w:t>
      </w:r>
    </w:p>
    <w:p w14:paraId="6032E1DE" w14:textId="77777777" w:rsidR="000378A3" w:rsidRDefault="000378A3" w:rsidP="00125893">
      <w:pPr>
        <w:pStyle w:val="ListParagraph"/>
        <w:ind w:left="1440"/>
      </w:pPr>
      <w:r w:rsidRPr="00125893">
        <w:rPr>
          <w:b/>
          <w:bCs/>
        </w:rPr>
        <w:t>Note:</w:t>
      </w:r>
      <w:r w:rsidRPr="000378A3">
        <w:t xml:space="preserve"> Importers must not allow horses to leave the pre-export isolation premises for export until they have received confirmation from the department approving the horses to be loaded for export. </w:t>
      </w:r>
    </w:p>
    <w:p w14:paraId="677DEE89" w14:textId="3273DD8A" w:rsidR="000378A3" w:rsidRDefault="000378A3" w:rsidP="00125893">
      <w:pPr>
        <w:ind w:left="786"/>
      </w:pPr>
      <w:r w:rsidRPr="000378A3">
        <w:t xml:space="preserve">• Provide the following information to the regional horse coordinator </w:t>
      </w:r>
      <w:r w:rsidRPr="00125893">
        <w:rPr>
          <w:b/>
          <w:bCs/>
        </w:rPr>
        <w:t>prior to the arrival of the horses</w:t>
      </w:r>
      <w:r w:rsidRPr="000378A3">
        <w:t>:</w:t>
      </w:r>
    </w:p>
    <w:p w14:paraId="766ECB8D" w14:textId="2643E801" w:rsidR="000378A3" w:rsidRPr="00125893" w:rsidRDefault="000378A3" w:rsidP="00125893">
      <w:pPr>
        <w:pStyle w:val="ListParagraph"/>
        <w:numPr>
          <w:ilvl w:val="0"/>
          <w:numId w:val="30"/>
        </w:numPr>
        <w:ind w:left="1440"/>
      </w:pPr>
      <w:r w:rsidRPr="000378A3">
        <w:t>Copies of the certified health certificates and any supporting documentation (e.g. laboratory reports).</w:t>
      </w:r>
    </w:p>
    <w:p w14:paraId="29B302AA" w14:textId="77777777" w:rsidR="002F3A97" w:rsidRPr="00DA3BAC" w:rsidRDefault="002F3A97" w:rsidP="00DA3BAC">
      <w:pPr>
        <w:pStyle w:val="ListParagraph"/>
        <w:pBdr>
          <w:top w:val="single" w:sz="4" w:space="1" w:color="auto"/>
          <w:left w:val="single" w:sz="4" w:space="4" w:color="auto"/>
          <w:bottom w:val="single" w:sz="4" w:space="1" w:color="auto"/>
          <w:right w:val="single" w:sz="4" w:space="4" w:color="auto"/>
        </w:pBdr>
        <w:shd w:val="clear" w:color="auto" w:fill="E1EBF7" w:themeFill="text2" w:themeFillTint="1A"/>
        <w:spacing w:after="100" w:afterAutospacing="1"/>
        <w:ind w:left="360"/>
        <w:rPr>
          <w:rFonts w:asciiTheme="minorHAnsi" w:eastAsia="Times New Roman" w:hAnsiTheme="minorHAnsi" w:cstheme="minorHAnsi"/>
          <w:color w:val="000000"/>
          <w:lang w:eastAsia="en-AU"/>
        </w:rPr>
      </w:pPr>
      <w:r w:rsidRPr="00DA3BAC">
        <w:rPr>
          <w:rFonts w:asciiTheme="minorHAnsi" w:eastAsia="Times New Roman" w:hAnsiTheme="minorHAnsi" w:cstheme="minorHAnsi"/>
          <w:b/>
          <w:bCs/>
          <w:color w:val="000000"/>
          <w:lang w:eastAsia="en-AU"/>
        </w:rPr>
        <w:lastRenderedPageBreak/>
        <w:t>IMPORTANT:</w:t>
      </w:r>
      <w:r w:rsidRPr="00DA3BAC">
        <w:rPr>
          <w:rFonts w:asciiTheme="minorHAnsi" w:eastAsia="Times New Roman" w:hAnsiTheme="minorHAnsi" w:cstheme="minorHAnsi"/>
          <w:color w:val="000000"/>
          <w:lang w:eastAsia="en-AU"/>
        </w:rPr>
        <w:t xml:space="preserve"> </w:t>
      </w:r>
    </w:p>
    <w:p w14:paraId="5379FA44" w14:textId="77777777" w:rsidR="002F3A97" w:rsidRPr="00DA3BAC" w:rsidRDefault="002F3A97" w:rsidP="002F3A9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1EBF7" w:themeFill="text2" w:themeFillTint="1A"/>
        <w:spacing w:after="100" w:afterAutospacing="1"/>
        <w:rPr>
          <w:rFonts w:asciiTheme="minorHAnsi" w:eastAsia="Times New Roman" w:hAnsiTheme="minorHAnsi" w:cstheme="minorHAnsi"/>
          <w:color w:val="000000"/>
          <w:lang w:eastAsia="en-AU"/>
        </w:rPr>
      </w:pPr>
      <w:r w:rsidRPr="00DA3BAC">
        <w:rPr>
          <w:rFonts w:asciiTheme="minorHAnsi" w:eastAsia="Times New Roman" w:hAnsiTheme="minorHAnsi" w:cstheme="minorHAnsi"/>
          <w:color w:val="000000"/>
          <w:lang w:eastAsia="en-AU"/>
        </w:rPr>
        <w:t xml:space="preserve">Imported horses are only permitted to arrive into a First Point of Entry that has a Biosecurity Entry Point (BEP) designated for the arrival of live horses. Designated BEPs at ports may be specific to individual berths. Designated BEPs can be identified by checking the </w:t>
      </w:r>
      <w:hyperlink r:id="rId13" w:anchor="new-south-wales" w:history="1">
        <w:r w:rsidRPr="00DA3BAC">
          <w:rPr>
            <w:rStyle w:val="Hyperlink"/>
            <w:rFonts w:asciiTheme="minorHAnsi" w:eastAsia="Times New Roman" w:hAnsiTheme="minorHAnsi" w:cstheme="minorHAnsi"/>
            <w:lang w:eastAsia="en-AU"/>
          </w:rPr>
          <w:t>First Point of Entry</w:t>
        </w:r>
      </w:hyperlink>
      <w:r w:rsidRPr="00DA3BAC">
        <w:rPr>
          <w:rFonts w:asciiTheme="minorHAnsi" w:eastAsia="Times New Roman" w:hAnsiTheme="minorHAnsi" w:cstheme="minorHAnsi"/>
          <w:color w:val="000000"/>
          <w:lang w:eastAsia="en-AU"/>
        </w:rPr>
        <w:t xml:space="preserve"> Determination for each individual port. </w:t>
      </w:r>
    </w:p>
    <w:p w14:paraId="0982D9A0" w14:textId="77777777" w:rsidR="002F3A97" w:rsidRPr="00DA3BAC" w:rsidRDefault="002F3A97" w:rsidP="002F3A97">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1EBF7" w:themeFill="text2" w:themeFillTint="1A"/>
        <w:spacing w:after="100" w:afterAutospacing="1"/>
        <w:rPr>
          <w:rFonts w:asciiTheme="minorHAnsi" w:eastAsia="Times New Roman" w:hAnsiTheme="minorHAnsi" w:cstheme="minorHAnsi"/>
          <w:color w:val="000000"/>
          <w:lang w:eastAsia="en-AU"/>
        </w:rPr>
      </w:pPr>
      <w:r w:rsidRPr="00DA3BAC">
        <w:rPr>
          <w:rFonts w:asciiTheme="minorHAnsi" w:eastAsia="Times New Roman" w:hAnsiTheme="minorHAnsi" w:cstheme="minorHAnsi"/>
          <w:color w:val="000000"/>
          <w:lang w:eastAsia="en-AU"/>
        </w:rPr>
        <w:t xml:space="preserve">Imports scheduled to arrive into a berth that is not a designated BEP for live horses will require further assessment of the arrival and clearance infrastructure and procedures by the Horse, Livestock and Bird Imports team along with regional biosecurity and veterinary officers. If the assessment determines that entry at the unapproved BEP can be supported on a temporary basis, a direction will be issued under section 148 of the </w:t>
      </w:r>
      <w:r w:rsidRPr="00DA3BAC">
        <w:rPr>
          <w:rFonts w:asciiTheme="minorHAnsi" w:eastAsia="Times New Roman" w:hAnsiTheme="minorHAnsi" w:cstheme="minorHAnsi"/>
          <w:i/>
          <w:iCs/>
          <w:color w:val="000000"/>
          <w:lang w:eastAsia="en-AU"/>
        </w:rPr>
        <w:t xml:space="preserve">Biosecurity Act 2015 </w:t>
      </w:r>
      <w:r w:rsidRPr="00DA3BAC">
        <w:rPr>
          <w:rFonts w:asciiTheme="minorHAnsi" w:eastAsia="Times New Roman" w:hAnsiTheme="minorHAnsi" w:cstheme="minorHAnsi"/>
          <w:color w:val="000000"/>
          <w:lang w:eastAsia="en-AU"/>
        </w:rPr>
        <w:t xml:space="preserve">to permit the arrival. </w:t>
      </w:r>
    </w:p>
    <w:p w14:paraId="575F80B8" w14:textId="0672A671" w:rsidR="009B40E2" w:rsidRPr="00125893" w:rsidRDefault="0037697D" w:rsidP="002F3A97">
      <w:pPr>
        <w:pStyle w:val="Heading1"/>
        <w:spacing w:before="240"/>
        <w:rPr>
          <w:b w:val="0"/>
          <w:color w:val="0070C0"/>
          <w:sz w:val="28"/>
        </w:rPr>
      </w:pPr>
      <w:r w:rsidRPr="000378A3">
        <w:rPr>
          <w:b w:val="0"/>
          <w:color w:val="0070C0"/>
          <w:sz w:val="28"/>
        </w:rPr>
        <w:t>On-arrival responsibilities</w:t>
      </w:r>
    </w:p>
    <w:p w14:paraId="05D9F59A" w14:textId="77777777" w:rsidR="009B40E2" w:rsidRPr="002F3A97" w:rsidRDefault="00381CC6" w:rsidP="002F3A97">
      <w:pPr>
        <w:pStyle w:val="Heading1"/>
        <w:spacing w:before="120"/>
        <w:rPr>
          <w:rFonts w:asciiTheme="minorHAnsi" w:hAnsiTheme="minorHAnsi" w:cstheme="minorHAnsi"/>
          <w:b w:val="0"/>
          <w:szCs w:val="22"/>
        </w:rPr>
      </w:pPr>
      <w:r w:rsidRPr="00043689">
        <w:rPr>
          <w:rFonts w:asciiTheme="minorHAnsi" w:hAnsiTheme="minorHAnsi" w:cstheme="minorHAnsi"/>
          <w:b w:val="0"/>
          <w:bCs w:val="0"/>
          <w:color w:val="auto"/>
          <w:sz w:val="22"/>
          <w:szCs w:val="22"/>
        </w:rPr>
        <w:t>The importer must:</w:t>
      </w:r>
    </w:p>
    <w:p w14:paraId="5A132134"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Comply with all biosecurity officer directions. </w:t>
      </w:r>
    </w:p>
    <w:p w14:paraId="6FF8C957"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Ensure all horses in the consignment are readily identifiable at the time of arrival e.g. mane or rump labels. </w:t>
      </w:r>
    </w:p>
    <w:p w14:paraId="644BB027"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Present all original health certificates and supporting documentation to a biosecurity officer at the first-point-of-entry site. These must be verified prior to the unloading of horses from stalls and will be returned to the importer after verification. </w:t>
      </w:r>
    </w:p>
    <w:p w14:paraId="25797574"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Provide sufficient horse transport vehicles/facilities to hold all horses until the clearance process is completed. </w:t>
      </w:r>
    </w:p>
    <w:p w14:paraId="18BEEC62"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Provide competent personnel with suitable personal protective equipment (e.g. steel-cap boots, helmets, safety kick vests) to assist in the unloading and clearance of horses. Unauthorised personnel will not be permitted in the area. </w:t>
      </w:r>
    </w:p>
    <w:p w14:paraId="3A7A3C3A"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Present veterinary therapeutic kits and veterinary therapeutics/feed supplements that are not part of a veterinary therapeutic kit along with all associated documentation to a biosecurity officer for clearance or direction to re-export or destroy. </w:t>
      </w:r>
    </w:p>
    <w:p w14:paraId="63666D7E" w14:textId="77777777" w:rsidR="000378A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 xml:space="preserve">Ensure that equipment, horse stalls or any other equipment imported with the horses is cleaned, disinfected or treated according to the department’s directions. The importer is responsible for all costs associated with cleaning, disinfection and/or treatment of horse equipment and the appropriate disposal of plant material and feeds (hay, chaff, fodder, etc.) used during transport to Australia. Plant material used for bedding or animal feed cannot be imported into Australia without an import permit. </w:t>
      </w:r>
    </w:p>
    <w:p w14:paraId="6B79581E" w14:textId="68CA48E0" w:rsidR="000378A3" w:rsidRPr="00125893" w:rsidRDefault="000378A3" w:rsidP="00125893">
      <w:pPr>
        <w:pStyle w:val="Heading1"/>
        <w:numPr>
          <w:ilvl w:val="0"/>
          <w:numId w:val="31"/>
        </w:numPr>
        <w:spacing w:before="0" w:after="0"/>
        <w:rPr>
          <w:rFonts w:asciiTheme="minorHAnsi" w:hAnsiTheme="minorHAnsi" w:cstheme="minorHAnsi"/>
          <w:b w:val="0"/>
          <w:bCs w:val="0"/>
          <w:color w:val="auto"/>
          <w:sz w:val="22"/>
          <w:szCs w:val="22"/>
        </w:rPr>
      </w:pPr>
      <w:r w:rsidRPr="00125893">
        <w:rPr>
          <w:rFonts w:asciiTheme="minorHAnsi" w:hAnsiTheme="minorHAnsi" w:cstheme="minorHAnsi"/>
          <w:b w:val="0"/>
          <w:bCs w:val="0"/>
          <w:color w:val="auto"/>
          <w:sz w:val="22"/>
          <w:szCs w:val="22"/>
        </w:rPr>
        <w:t>Pay all department charges associated with the import of horses including the charges associated with import permit applications, inspection, clearance and any contingency arrangements should they be required.</w:t>
      </w:r>
    </w:p>
    <w:p w14:paraId="24D2E54F" w14:textId="5DDC0CD4" w:rsidR="009B40E2" w:rsidRPr="00125893" w:rsidRDefault="0037697D" w:rsidP="002F3A97">
      <w:pPr>
        <w:pStyle w:val="Heading1"/>
        <w:spacing w:before="240"/>
        <w:rPr>
          <w:b w:val="0"/>
          <w:color w:val="0070C0"/>
          <w:sz w:val="28"/>
        </w:rPr>
      </w:pPr>
      <w:bookmarkStart w:id="5" w:name="_Toc367182006"/>
      <w:bookmarkEnd w:id="3"/>
      <w:bookmarkEnd w:id="4"/>
      <w:r w:rsidRPr="000378A3">
        <w:rPr>
          <w:b w:val="0"/>
          <w:color w:val="0070C0"/>
          <w:sz w:val="28"/>
        </w:rPr>
        <w:t>Department contacts</w:t>
      </w:r>
    </w:p>
    <w:tbl>
      <w:tblPr>
        <w:tblStyle w:val="TableGrid"/>
        <w:tblW w:w="9067" w:type="dxa"/>
        <w:tblLayout w:type="fixed"/>
        <w:tblLook w:val="04A0" w:firstRow="1" w:lastRow="0" w:firstColumn="1" w:lastColumn="0" w:noHBand="0" w:noVBand="1"/>
      </w:tblPr>
      <w:tblGrid>
        <w:gridCol w:w="4106"/>
        <w:gridCol w:w="4961"/>
      </w:tblGrid>
      <w:tr w:rsidR="009B23F7" w:rsidRPr="00860F6F" w14:paraId="241FD467" w14:textId="77777777" w:rsidTr="00125893">
        <w:tc>
          <w:tcPr>
            <w:tcW w:w="4106" w:type="dxa"/>
            <w:tcBorders>
              <w:right w:val="single" w:sz="4" w:space="0" w:color="FFFFFF" w:themeColor="background1"/>
            </w:tcBorders>
            <w:shd w:val="clear" w:color="auto" w:fill="000000" w:themeFill="text1"/>
          </w:tcPr>
          <w:p w14:paraId="49B3BE79" w14:textId="77777777" w:rsidR="009B23F7" w:rsidRPr="00125893" w:rsidRDefault="009B23F7">
            <w:pPr>
              <w:rPr>
                <w:rFonts w:asciiTheme="minorHAnsi" w:hAnsiTheme="minorHAnsi" w:cstheme="minorHAnsi"/>
                <w:b/>
              </w:rPr>
            </w:pPr>
            <w:r w:rsidRPr="00125893">
              <w:rPr>
                <w:rFonts w:asciiTheme="minorHAnsi" w:hAnsiTheme="minorHAnsi" w:cstheme="minorHAnsi"/>
                <w:b/>
              </w:rPr>
              <w:t>Section</w:t>
            </w:r>
          </w:p>
        </w:tc>
        <w:tc>
          <w:tcPr>
            <w:tcW w:w="4961" w:type="dxa"/>
            <w:tcBorders>
              <w:left w:val="single" w:sz="4" w:space="0" w:color="FFFFFF" w:themeColor="background1"/>
              <w:right w:val="single" w:sz="4" w:space="0" w:color="FFFFFF" w:themeColor="background1"/>
            </w:tcBorders>
            <w:shd w:val="clear" w:color="auto" w:fill="000000" w:themeFill="text1"/>
          </w:tcPr>
          <w:p w14:paraId="0F9EF955" w14:textId="77777777" w:rsidR="009B23F7" w:rsidRPr="00125893" w:rsidRDefault="009B23F7">
            <w:pPr>
              <w:rPr>
                <w:rFonts w:asciiTheme="minorHAnsi" w:hAnsiTheme="minorHAnsi" w:cstheme="minorHAnsi"/>
                <w:b/>
              </w:rPr>
            </w:pPr>
            <w:r w:rsidRPr="00125893">
              <w:rPr>
                <w:rFonts w:asciiTheme="minorHAnsi" w:hAnsiTheme="minorHAnsi" w:cstheme="minorHAnsi"/>
                <w:b/>
              </w:rPr>
              <w:t>Email</w:t>
            </w:r>
          </w:p>
        </w:tc>
      </w:tr>
      <w:tr w:rsidR="009B23F7" w:rsidRPr="00860F6F" w14:paraId="0EA8E375" w14:textId="77777777" w:rsidTr="00125893">
        <w:tc>
          <w:tcPr>
            <w:tcW w:w="4106" w:type="dxa"/>
          </w:tcPr>
          <w:p w14:paraId="74243DAB" w14:textId="72B53305" w:rsidR="009B23F7" w:rsidRPr="00125893" w:rsidRDefault="009B23F7">
            <w:pPr>
              <w:rPr>
                <w:rFonts w:asciiTheme="minorHAnsi" w:hAnsiTheme="minorHAnsi" w:cstheme="minorHAnsi"/>
              </w:rPr>
            </w:pPr>
            <w:r w:rsidRPr="00125893">
              <w:rPr>
                <w:rFonts w:asciiTheme="minorHAnsi" w:hAnsiTheme="minorHAnsi" w:cstheme="minorHAnsi"/>
              </w:rPr>
              <w:t>Horse, Livestock and Bird Import</w:t>
            </w:r>
            <w:r>
              <w:rPr>
                <w:rFonts w:asciiTheme="minorHAnsi" w:hAnsiTheme="minorHAnsi" w:cstheme="minorHAnsi"/>
              </w:rPr>
              <w:t>s</w:t>
            </w:r>
            <w:r w:rsidRPr="00125893">
              <w:rPr>
                <w:rFonts w:asciiTheme="minorHAnsi" w:hAnsiTheme="minorHAnsi" w:cstheme="minorHAnsi"/>
              </w:rPr>
              <w:t xml:space="preserve"> Program</w:t>
            </w:r>
          </w:p>
        </w:tc>
        <w:tc>
          <w:tcPr>
            <w:tcW w:w="4961" w:type="dxa"/>
          </w:tcPr>
          <w:p w14:paraId="2D5EC98D" w14:textId="3342A307" w:rsidR="009B23F7" w:rsidRPr="00125893" w:rsidRDefault="009B23F7">
            <w:pPr>
              <w:rPr>
                <w:rFonts w:asciiTheme="minorHAnsi" w:hAnsiTheme="minorHAnsi" w:cstheme="minorHAnsi"/>
              </w:rPr>
            </w:pPr>
            <w:hyperlink r:id="rId14" w:history="1">
              <w:r w:rsidRPr="00125893">
                <w:rPr>
                  <w:rStyle w:val="Hyperlink"/>
                  <w:rFonts w:asciiTheme="minorHAnsi" w:hAnsiTheme="minorHAnsi" w:cstheme="minorHAnsi"/>
                </w:rPr>
                <w:t>horses@a</w:t>
              </w:r>
              <w:r w:rsidRPr="009B23F7">
                <w:rPr>
                  <w:rStyle w:val="Hyperlink"/>
                  <w:rFonts w:asciiTheme="minorHAnsi" w:hAnsiTheme="minorHAnsi" w:cstheme="minorHAnsi"/>
                </w:rPr>
                <w:t>ff</w:t>
              </w:r>
              <w:r w:rsidRPr="00125893">
                <w:rPr>
                  <w:rStyle w:val="Hyperlink"/>
                  <w:rFonts w:asciiTheme="minorHAnsi" w:hAnsiTheme="minorHAnsi" w:cstheme="minorHAnsi"/>
                </w:rPr>
                <w:t>.gov.au</w:t>
              </w:r>
            </w:hyperlink>
            <w:r w:rsidRPr="00125893">
              <w:rPr>
                <w:rFonts w:asciiTheme="minorHAnsi" w:hAnsiTheme="minorHAnsi" w:cstheme="minorHAnsi"/>
              </w:rPr>
              <w:t xml:space="preserve"> </w:t>
            </w:r>
          </w:p>
        </w:tc>
      </w:tr>
      <w:tr w:rsidR="009B23F7" w:rsidRPr="00860F6F" w14:paraId="20D73285" w14:textId="77777777" w:rsidTr="00125893">
        <w:tc>
          <w:tcPr>
            <w:tcW w:w="4106" w:type="dxa"/>
          </w:tcPr>
          <w:p w14:paraId="002AC69D" w14:textId="77777777" w:rsidR="009B23F7" w:rsidRPr="00125893" w:rsidRDefault="009B23F7">
            <w:pPr>
              <w:rPr>
                <w:rFonts w:asciiTheme="minorHAnsi" w:hAnsiTheme="minorHAnsi" w:cstheme="minorHAnsi"/>
              </w:rPr>
            </w:pPr>
            <w:r w:rsidRPr="00125893">
              <w:rPr>
                <w:rFonts w:asciiTheme="minorHAnsi" w:hAnsiTheme="minorHAnsi" w:cstheme="minorHAnsi"/>
              </w:rPr>
              <w:t>Horse Coordinator Sydney</w:t>
            </w:r>
          </w:p>
        </w:tc>
        <w:tc>
          <w:tcPr>
            <w:tcW w:w="4961" w:type="dxa"/>
          </w:tcPr>
          <w:p w14:paraId="041236FA" w14:textId="1E75142B" w:rsidR="009B23F7" w:rsidRPr="00125893" w:rsidRDefault="009B23F7">
            <w:pPr>
              <w:rPr>
                <w:rFonts w:asciiTheme="minorHAnsi" w:hAnsiTheme="minorHAnsi" w:cstheme="minorHAnsi"/>
              </w:rPr>
            </w:pPr>
            <w:hyperlink r:id="rId15" w:history="1">
              <w:r w:rsidRPr="00125893">
                <w:rPr>
                  <w:rStyle w:val="Hyperlink"/>
                  <w:rFonts w:asciiTheme="minorHAnsi" w:hAnsiTheme="minorHAnsi" w:cstheme="minorHAnsi"/>
                </w:rPr>
                <w:t>horsessydney@</w:t>
              </w:r>
              <w:r w:rsidRPr="009B23F7">
                <w:rPr>
                  <w:rStyle w:val="Hyperlink"/>
                  <w:rFonts w:asciiTheme="minorHAnsi" w:hAnsiTheme="minorHAnsi" w:cstheme="minorHAnsi"/>
                </w:rPr>
                <w:t>aff</w:t>
              </w:r>
              <w:r w:rsidRPr="00125893">
                <w:rPr>
                  <w:rStyle w:val="Hyperlink"/>
                  <w:rFonts w:asciiTheme="minorHAnsi" w:hAnsiTheme="minorHAnsi" w:cstheme="minorHAnsi"/>
                </w:rPr>
                <w:t>.gov.au</w:t>
              </w:r>
            </w:hyperlink>
          </w:p>
        </w:tc>
      </w:tr>
      <w:tr w:rsidR="009B23F7" w:rsidRPr="00860F6F" w14:paraId="24EED079" w14:textId="77777777" w:rsidTr="00125893">
        <w:tc>
          <w:tcPr>
            <w:tcW w:w="4106" w:type="dxa"/>
          </w:tcPr>
          <w:p w14:paraId="7AB9EDF5" w14:textId="77777777" w:rsidR="009B23F7" w:rsidRPr="00125893" w:rsidRDefault="009B23F7">
            <w:pPr>
              <w:rPr>
                <w:rFonts w:asciiTheme="minorHAnsi" w:hAnsiTheme="minorHAnsi" w:cstheme="minorHAnsi"/>
              </w:rPr>
            </w:pPr>
            <w:r w:rsidRPr="00125893">
              <w:rPr>
                <w:rFonts w:asciiTheme="minorHAnsi" w:hAnsiTheme="minorHAnsi" w:cstheme="minorHAnsi"/>
              </w:rPr>
              <w:t>Horse Coordinator Melbourne</w:t>
            </w:r>
          </w:p>
        </w:tc>
        <w:tc>
          <w:tcPr>
            <w:tcW w:w="4961" w:type="dxa"/>
          </w:tcPr>
          <w:p w14:paraId="49EAC172" w14:textId="0C937A2F" w:rsidR="009B23F7" w:rsidRPr="00125893" w:rsidRDefault="009B23F7">
            <w:pPr>
              <w:rPr>
                <w:rFonts w:asciiTheme="minorHAnsi" w:hAnsiTheme="minorHAnsi" w:cstheme="minorHAnsi"/>
              </w:rPr>
            </w:pPr>
            <w:hyperlink r:id="rId16" w:history="1">
              <w:r w:rsidRPr="00125893">
                <w:rPr>
                  <w:rStyle w:val="Hyperlink"/>
                  <w:rFonts w:asciiTheme="minorHAnsi" w:hAnsiTheme="minorHAnsi" w:cstheme="minorHAnsi"/>
                </w:rPr>
                <w:t>horsesmelbourne@</w:t>
              </w:r>
              <w:r w:rsidRPr="009B23F7">
                <w:rPr>
                  <w:rStyle w:val="Hyperlink"/>
                  <w:rFonts w:asciiTheme="minorHAnsi" w:hAnsiTheme="minorHAnsi" w:cstheme="minorHAnsi"/>
                </w:rPr>
                <w:t>aff</w:t>
              </w:r>
              <w:r w:rsidRPr="00125893">
                <w:rPr>
                  <w:rStyle w:val="Hyperlink"/>
                  <w:rFonts w:asciiTheme="minorHAnsi" w:hAnsiTheme="minorHAnsi" w:cstheme="minorHAnsi"/>
                </w:rPr>
                <w:t>.gov.au</w:t>
              </w:r>
            </w:hyperlink>
            <w:r w:rsidRPr="00125893">
              <w:rPr>
                <w:rStyle w:val="Hyperlink"/>
                <w:rFonts w:asciiTheme="minorHAnsi" w:hAnsiTheme="minorHAnsi" w:cstheme="minorHAnsi"/>
              </w:rPr>
              <w:t xml:space="preserve"> </w:t>
            </w:r>
          </w:p>
        </w:tc>
      </w:tr>
      <w:tr w:rsidR="009B23F7" w:rsidRPr="00860F6F" w14:paraId="1CBA5B79" w14:textId="77777777" w:rsidTr="00125893">
        <w:tc>
          <w:tcPr>
            <w:tcW w:w="4106" w:type="dxa"/>
          </w:tcPr>
          <w:p w14:paraId="78C081AD" w14:textId="77777777" w:rsidR="009B23F7" w:rsidRPr="00125893" w:rsidRDefault="009B23F7">
            <w:pPr>
              <w:rPr>
                <w:rFonts w:asciiTheme="minorHAnsi" w:hAnsiTheme="minorHAnsi" w:cstheme="minorHAnsi"/>
              </w:rPr>
            </w:pPr>
            <w:r w:rsidRPr="00125893">
              <w:rPr>
                <w:rFonts w:asciiTheme="minorHAnsi" w:hAnsiTheme="minorHAnsi" w:cstheme="minorHAnsi"/>
              </w:rPr>
              <w:t>Horse Coordinator Brisbane</w:t>
            </w:r>
          </w:p>
        </w:tc>
        <w:tc>
          <w:tcPr>
            <w:tcW w:w="4961" w:type="dxa"/>
          </w:tcPr>
          <w:p w14:paraId="0C3BD43E" w14:textId="10C31845" w:rsidR="009B23F7" w:rsidRPr="00125893" w:rsidRDefault="009B23F7">
            <w:pPr>
              <w:rPr>
                <w:rFonts w:asciiTheme="minorHAnsi" w:hAnsiTheme="minorHAnsi" w:cstheme="minorHAnsi"/>
              </w:rPr>
            </w:pPr>
            <w:hyperlink r:id="rId17" w:history="1">
              <w:r w:rsidRPr="00125893">
                <w:rPr>
                  <w:rStyle w:val="Hyperlink"/>
                  <w:rFonts w:asciiTheme="minorHAnsi" w:hAnsiTheme="minorHAnsi" w:cstheme="minorHAnsi"/>
                </w:rPr>
                <w:t>qldliveanimalimports@</w:t>
              </w:r>
              <w:r w:rsidRPr="009B23F7">
                <w:rPr>
                  <w:rStyle w:val="Hyperlink"/>
                  <w:rFonts w:asciiTheme="minorHAnsi" w:hAnsiTheme="minorHAnsi" w:cstheme="minorHAnsi"/>
                </w:rPr>
                <w:t>aff</w:t>
              </w:r>
              <w:r w:rsidRPr="00125893">
                <w:rPr>
                  <w:rStyle w:val="Hyperlink"/>
                  <w:rFonts w:asciiTheme="minorHAnsi" w:hAnsiTheme="minorHAnsi" w:cstheme="minorHAnsi"/>
                </w:rPr>
                <w:t>.gov.au</w:t>
              </w:r>
            </w:hyperlink>
          </w:p>
        </w:tc>
      </w:tr>
      <w:bookmarkEnd w:id="5"/>
    </w:tbl>
    <w:p w14:paraId="4BB11E0D" w14:textId="7B636D38" w:rsidR="009B40E2" w:rsidRPr="00125893" w:rsidRDefault="009B40E2">
      <w:pPr>
        <w:spacing w:after="60"/>
        <w:rPr>
          <w:rFonts w:asciiTheme="minorHAnsi" w:hAnsiTheme="minorHAnsi" w:cstheme="minorHAnsi"/>
        </w:rPr>
      </w:pPr>
    </w:p>
    <w:p w14:paraId="5D6223DD" w14:textId="77777777" w:rsidR="009B40E2" w:rsidRPr="00125893" w:rsidRDefault="009B40E2">
      <w:pPr>
        <w:spacing w:before="0" w:after="200" w:line="276" w:lineRule="auto"/>
        <w:rPr>
          <w:rFonts w:asciiTheme="minorHAnsi" w:eastAsia="Times New Roman" w:hAnsiTheme="minorHAnsi" w:cstheme="minorHAnsi"/>
        </w:rPr>
      </w:pPr>
    </w:p>
    <w:sectPr w:rsidR="009B40E2" w:rsidRPr="00125893" w:rsidSect="002F3A97">
      <w:headerReference w:type="even" r:id="rId18"/>
      <w:headerReference w:type="default" r:id="rId19"/>
      <w:footerReference w:type="even" r:id="rId20"/>
      <w:footerReference w:type="default" r:id="rId21"/>
      <w:headerReference w:type="first" r:id="rId22"/>
      <w:footerReference w:type="first" r:id="rId23"/>
      <w:pgSz w:w="11906" w:h="16838"/>
      <w:pgMar w:top="922" w:right="1274" w:bottom="1440" w:left="1276"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5B90" w14:textId="77777777" w:rsidR="00FC7B1E" w:rsidRDefault="00FC7B1E">
      <w:pPr>
        <w:spacing w:after="0"/>
      </w:pPr>
      <w:r>
        <w:separator/>
      </w:r>
    </w:p>
  </w:endnote>
  <w:endnote w:type="continuationSeparator" w:id="0">
    <w:p w14:paraId="5AD2E110" w14:textId="77777777" w:rsidR="00FC7B1E" w:rsidRDefault="00FC7B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4DCB" w14:textId="13C1067A" w:rsidR="00395056" w:rsidRDefault="00395056">
    <w:pPr>
      <w:pStyle w:val="Footer"/>
    </w:pPr>
    <w:r>
      <w:rPr>
        <w:noProof/>
      </w:rPr>
      <mc:AlternateContent>
        <mc:Choice Requires="wps">
          <w:drawing>
            <wp:anchor distT="0" distB="0" distL="0" distR="0" simplePos="0" relativeHeight="251662336" behindDoc="0" locked="0" layoutInCell="1" allowOverlap="1" wp14:anchorId="6F222A05" wp14:editId="126A0454">
              <wp:simplePos x="635" y="635"/>
              <wp:positionH relativeFrom="page">
                <wp:align>center</wp:align>
              </wp:positionH>
              <wp:positionV relativeFrom="page">
                <wp:align>bottom</wp:align>
              </wp:positionV>
              <wp:extent cx="551815" cy="414655"/>
              <wp:effectExtent l="0" t="0" r="635" b="0"/>
              <wp:wrapNone/>
              <wp:docPr id="163254200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F8B3D10" w14:textId="5BB2723E"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222A05"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3F8B3D10" w14:textId="5BB2723E"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BA09" w14:textId="6B0D7A93" w:rsidR="0037697D" w:rsidRDefault="00395056">
    <w:pPr>
      <w:pStyle w:val="Footer"/>
      <w:pBdr>
        <w:top w:val="single" w:sz="4" w:space="1" w:color="auto"/>
        <w:bottom w:val="single" w:sz="4" w:space="3" w:color="auto"/>
      </w:pBdr>
      <w:tabs>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63360" behindDoc="0" locked="0" layoutInCell="1" allowOverlap="1" wp14:anchorId="7F244B5D" wp14:editId="28BECF85">
              <wp:simplePos x="914400" y="9842500"/>
              <wp:positionH relativeFrom="page">
                <wp:align>center</wp:align>
              </wp:positionH>
              <wp:positionV relativeFrom="page">
                <wp:align>bottom</wp:align>
              </wp:positionV>
              <wp:extent cx="551815" cy="414655"/>
              <wp:effectExtent l="0" t="0" r="635" b="0"/>
              <wp:wrapNone/>
              <wp:docPr id="13276037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24AD6DD" w14:textId="1C21B53A"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44B5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524AD6DD" w14:textId="1C21B53A"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r w:rsidR="0037697D">
      <w:rPr>
        <w:sz w:val="15"/>
        <w:szCs w:val="15"/>
      </w:rPr>
      <w:t>This is a CONTROLLED document. Any documents appearing in paper form are not controlled and should be checked against the IML version prior to use.</w:t>
    </w:r>
  </w:p>
  <w:p w14:paraId="2D45C722" w14:textId="5FA59573" w:rsidR="0037697D" w:rsidRDefault="0037697D">
    <w:pPr>
      <w:pStyle w:val="Footer"/>
      <w:tabs>
        <w:tab w:val="clear" w:pos="4513"/>
        <w:tab w:val="clear" w:pos="9026"/>
        <w:tab w:val="right" w:pos="9356"/>
      </w:tabs>
      <w:ind w:left="-567" w:right="-330"/>
      <w:rPr>
        <w:sz w:val="18"/>
      </w:rPr>
    </w:pPr>
    <w:r>
      <w:rPr>
        <w:i/>
        <w:sz w:val="18"/>
      </w:rPr>
      <w:t>Notice to Industry 8: Horse importer responsibilities – New Zealand and New Caledonia</w:t>
    </w:r>
    <w:r>
      <w:rPr>
        <w:i/>
        <w:sz w:val="18"/>
      </w:rPr>
      <w:tab/>
    </w:r>
    <w:r>
      <w:rPr>
        <w:sz w:val="18"/>
      </w:rPr>
      <w:t>Version no.: 7.0</w:t>
    </w:r>
  </w:p>
  <w:p w14:paraId="68F5315A" w14:textId="06777CEF" w:rsidR="0037697D" w:rsidRDefault="0037697D">
    <w:pPr>
      <w:pStyle w:val="Footer"/>
      <w:tabs>
        <w:tab w:val="clear" w:pos="9026"/>
        <w:tab w:val="right" w:pos="9356"/>
      </w:tabs>
      <w:ind w:left="-567"/>
    </w:pPr>
    <w:r>
      <w:rPr>
        <w:sz w:val="18"/>
      </w:rPr>
      <w:t xml:space="preserve">Date published: </w:t>
    </w:r>
    <w:r w:rsidR="00D94D69">
      <w:rPr>
        <w:sz w:val="18"/>
      </w:rPr>
      <w:t>6 January</w:t>
    </w:r>
    <w:r>
      <w:rPr>
        <w:sz w:val="18"/>
      </w:rPr>
      <w:t xml:space="preserve"> 202</w:t>
    </w:r>
    <w:r w:rsidR="00D94D69">
      <w:rPr>
        <w:sz w:val="18"/>
      </w:rPr>
      <w:t>5</w:t>
    </w:r>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4F7F81">
      <w:rPr>
        <w:noProof/>
        <w:sz w:val="18"/>
        <w:szCs w:val="18"/>
      </w:rPr>
      <w:t>2</w:t>
    </w:r>
    <w:r>
      <w:rPr>
        <w:sz w:val="18"/>
        <w:szCs w:val="18"/>
      </w:rPr>
      <w:fldChar w:fldCharType="end"/>
    </w:r>
    <w:r>
      <w:rPr>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4F7F81">
      <w:rPr>
        <w:noProof/>
        <w:sz w:val="18"/>
        <w:szCs w:val="18"/>
      </w:rPr>
      <w:t>4</w:t>
    </w:r>
    <w:r>
      <w:rPr>
        <w:noProof/>
        <w:sz w:val="18"/>
        <w:szCs w:val="18"/>
      </w:rPr>
      <w:fldChar w:fldCharType="end"/>
    </w:r>
  </w:p>
  <w:p w14:paraId="217326E9" w14:textId="77777777" w:rsidR="0037697D" w:rsidRDefault="0037697D">
    <w:pPr>
      <w:pStyle w:val="Footer"/>
      <w:tabs>
        <w:tab w:val="clear" w:pos="9026"/>
        <w:tab w:val="right" w:pos="9356"/>
      </w:tabs>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3586" w14:textId="2866C7E3" w:rsidR="0037697D" w:rsidRDefault="0039505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61312" behindDoc="0" locked="0" layoutInCell="1" allowOverlap="1" wp14:anchorId="0A0F0B56" wp14:editId="77AFE35A">
              <wp:simplePos x="635" y="635"/>
              <wp:positionH relativeFrom="page">
                <wp:align>center</wp:align>
              </wp:positionH>
              <wp:positionV relativeFrom="page">
                <wp:align>bottom</wp:align>
              </wp:positionV>
              <wp:extent cx="551815" cy="414655"/>
              <wp:effectExtent l="0" t="0" r="635" b="0"/>
              <wp:wrapNone/>
              <wp:docPr id="12665688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CCAA917" w14:textId="35C5C5BA"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F0B5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6CCAA917" w14:textId="35C5C5BA"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r w:rsidR="0037697D">
      <w:rPr>
        <w:sz w:val="15"/>
        <w:szCs w:val="15"/>
      </w:rPr>
      <w:t>This is a CONTROLLED document. Any documents appearing in paper form are not controlled and should be checked against the IML version prior to use.</w:t>
    </w:r>
  </w:p>
  <w:p w14:paraId="3B850E67" w14:textId="77777777" w:rsidR="0037697D" w:rsidRDefault="0037697D">
    <w:pPr>
      <w:pStyle w:val="Footer"/>
      <w:tabs>
        <w:tab w:val="clear" w:pos="9026"/>
        <w:tab w:val="right" w:pos="9356"/>
      </w:tabs>
      <w:ind w:left="-567"/>
      <w:rPr>
        <w:b/>
        <w:sz w:val="18"/>
      </w:rPr>
    </w:pPr>
    <w:r>
      <w:rPr>
        <w:b/>
        <w:sz w:val="18"/>
      </w:rPr>
      <w:t>Classification Type</w:t>
    </w:r>
  </w:p>
  <w:p w14:paraId="7A864C26" w14:textId="77777777" w:rsidR="0037697D" w:rsidRDefault="0037697D">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0D2439A1" w14:textId="77777777" w:rsidR="0037697D" w:rsidRDefault="003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ED19" w14:textId="77777777" w:rsidR="00FC7B1E" w:rsidRDefault="00FC7B1E">
      <w:pPr>
        <w:spacing w:after="0"/>
      </w:pPr>
      <w:r>
        <w:separator/>
      </w:r>
    </w:p>
  </w:footnote>
  <w:footnote w:type="continuationSeparator" w:id="0">
    <w:p w14:paraId="41EB4182" w14:textId="77777777" w:rsidR="00FC7B1E" w:rsidRDefault="00FC7B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A8DA" w14:textId="1A3FFB11" w:rsidR="00395056" w:rsidRDefault="00395056">
    <w:pPr>
      <w:pStyle w:val="Header"/>
    </w:pPr>
    <w:r>
      <w:rPr>
        <w:noProof/>
      </w:rPr>
      <mc:AlternateContent>
        <mc:Choice Requires="wps">
          <w:drawing>
            <wp:anchor distT="0" distB="0" distL="0" distR="0" simplePos="0" relativeHeight="251659264" behindDoc="0" locked="0" layoutInCell="1" allowOverlap="1" wp14:anchorId="238F7B9E" wp14:editId="2570188D">
              <wp:simplePos x="635" y="635"/>
              <wp:positionH relativeFrom="page">
                <wp:align>center</wp:align>
              </wp:positionH>
              <wp:positionV relativeFrom="page">
                <wp:align>top</wp:align>
              </wp:positionV>
              <wp:extent cx="551815" cy="414655"/>
              <wp:effectExtent l="0" t="0" r="635" b="4445"/>
              <wp:wrapNone/>
              <wp:docPr id="21407074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8A40FF0" w14:textId="290460F3"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F7B9E"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58A40FF0" w14:textId="290460F3"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C580" w14:textId="0EA0F2CB" w:rsidR="0037697D" w:rsidRDefault="00395056">
    <w:pPr>
      <w:pStyle w:val="Header"/>
      <w:tabs>
        <w:tab w:val="clear" w:pos="9026"/>
      </w:tabs>
    </w:pPr>
    <w:r>
      <w:rPr>
        <w:noProof/>
      </w:rPr>
      <mc:AlternateContent>
        <mc:Choice Requires="wps">
          <w:drawing>
            <wp:anchor distT="0" distB="0" distL="0" distR="0" simplePos="0" relativeHeight="251660288" behindDoc="0" locked="0" layoutInCell="1" allowOverlap="1" wp14:anchorId="4F8F039A" wp14:editId="00DC1AC2">
              <wp:simplePos x="914400" y="273050"/>
              <wp:positionH relativeFrom="page">
                <wp:align>center</wp:align>
              </wp:positionH>
              <wp:positionV relativeFrom="page">
                <wp:align>top</wp:align>
              </wp:positionV>
              <wp:extent cx="551815" cy="414655"/>
              <wp:effectExtent l="0" t="0" r="635" b="4445"/>
              <wp:wrapNone/>
              <wp:docPr id="9329096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1CC7281" w14:textId="4B51AC8F"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F039A"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71CC7281" w14:textId="4B51AC8F"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4DCB" w14:textId="586B4770" w:rsidR="00395056" w:rsidRDefault="00395056">
    <w:pPr>
      <w:pStyle w:val="Header"/>
    </w:pPr>
    <w:r>
      <w:rPr>
        <w:noProof/>
      </w:rPr>
      <mc:AlternateContent>
        <mc:Choice Requires="wps">
          <w:drawing>
            <wp:anchor distT="0" distB="0" distL="0" distR="0" simplePos="0" relativeHeight="251658240" behindDoc="0" locked="0" layoutInCell="1" allowOverlap="1" wp14:anchorId="26A0874E" wp14:editId="7D9EA33D">
              <wp:simplePos x="635" y="635"/>
              <wp:positionH relativeFrom="page">
                <wp:align>center</wp:align>
              </wp:positionH>
              <wp:positionV relativeFrom="page">
                <wp:align>top</wp:align>
              </wp:positionV>
              <wp:extent cx="551815" cy="414655"/>
              <wp:effectExtent l="0" t="0" r="635" b="4445"/>
              <wp:wrapNone/>
              <wp:docPr id="4258694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5B19D0F" w14:textId="39E351B8"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0874E"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75B19D0F" w14:textId="39E351B8" w:rsidR="00395056" w:rsidRPr="00395056" w:rsidRDefault="00395056" w:rsidP="00395056">
                    <w:pPr>
                      <w:spacing w:after="0"/>
                      <w:rPr>
                        <w:rFonts w:cs="Calibri"/>
                        <w:noProof/>
                        <w:color w:val="FF0000"/>
                        <w:sz w:val="24"/>
                        <w:szCs w:val="24"/>
                      </w:rPr>
                    </w:pPr>
                    <w:r w:rsidRPr="00395056">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227F17"/>
    <w:multiLevelType w:val="hybridMultilevel"/>
    <w:tmpl w:val="EBD254A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5D6432"/>
    <w:multiLevelType w:val="multilevel"/>
    <w:tmpl w:val="49444AE4"/>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851"/>
        </w:tabs>
        <w:ind w:left="851" w:hanging="491"/>
      </w:pPr>
      <w:rPr>
        <w:rFonts w:hint="default"/>
        <w:b/>
      </w:rPr>
    </w:lvl>
    <w:lvl w:ilvl="2">
      <w:start w:val="1"/>
      <w:numFmt w:val="decimal"/>
      <w:lvlText w:val="%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 w15:restartNumberingAfterBreak="0">
    <w:nsid w:val="05E2555C"/>
    <w:multiLevelType w:val="hybridMultilevel"/>
    <w:tmpl w:val="3D204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AE7597"/>
    <w:multiLevelType w:val="hybridMultilevel"/>
    <w:tmpl w:val="07663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1C1282"/>
    <w:multiLevelType w:val="hybridMultilevel"/>
    <w:tmpl w:val="5AEECA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25A2B56"/>
    <w:multiLevelType w:val="hybridMultilevel"/>
    <w:tmpl w:val="99F4B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644FB7"/>
    <w:multiLevelType w:val="hybridMultilevel"/>
    <w:tmpl w:val="E38297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4C0FF5"/>
    <w:multiLevelType w:val="multilevel"/>
    <w:tmpl w:val="C484940A"/>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51"/>
        </w:tabs>
        <w:ind w:left="851" w:hanging="491"/>
      </w:pPr>
      <w:rPr>
        <w:rFonts w:hint="default"/>
        <w:b/>
      </w:rPr>
    </w:lvl>
    <w:lvl w:ilvl="2">
      <w:start w:val="1"/>
      <w:numFmt w:val="bullet"/>
      <w:lvlText w:val=""/>
      <w:lvlJc w:val="left"/>
      <w:pPr>
        <w:tabs>
          <w:tab w:val="num" w:pos="1474"/>
        </w:tabs>
        <w:ind w:left="1474" w:hanging="623"/>
      </w:pPr>
      <w:rPr>
        <w:rFonts w:ascii="Symbol" w:hAnsi="Symbol"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C53D8"/>
    <w:multiLevelType w:val="hybridMultilevel"/>
    <w:tmpl w:val="C3FAE4FE"/>
    <w:lvl w:ilvl="0" w:tplc="A31E28F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2C7A4D"/>
    <w:multiLevelType w:val="hybridMultilevel"/>
    <w:tmpl w:val="6A4C85CE"/>
    <w:lvl w:ilvl="0" w:tplc="0C090001">
      <w:start w:val="1"/>
      <w:numFmt w:val="bullet"/>
      <w:lvlText w:val=""/>
      <w:lvlJc w:val="left"/>
      <w:pPr>
        <w:ind w:left="360" w:hanging="360"/>
      </w:pPr>
      <w:rPr>
        <w:rFonts w:ascii="Symbol" w:hAnsi="Symbo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87049C"/>
    <w:multiLevelType w:val="hybridMultilevel"/>
    <w:tmpl w:val="92B4A13A"/>
    <w:lvl w:ilvl="0" w:tplc="99E8F9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F1471E"/>
    <w:multiLevelType w:val="multilevel"/>
    <w:tmpl w:val="CECAD60A"/>
    <w:lvl w:ilvl="0">
      <w:start w:val="1"/>
      <w:numFmt w:val="decimal"/>
      <w:lvlText w:val="%1."/>
      <w:lvlJc w:val="left"/>
      <w:pPr>
        <w:tabs>
          <w:tab w:val="num" w:pos="357"/>
        </w:tabs>
        <w:ind w:left="357" w:hanging="357"/>
      </w:pPr>
      <w:rPr>
        <w:rFonts w:hint="default"/>
      </w:rPr>
    </w:lvl>
    <w:lvl w:ilvl="1">
      <w:start w:val="1"/>
      <w:numFmt w:val="decimal"/>
      <w:pStyle w:val="DocumentSubsection"/>
      <w:lvlText w:val="%1.%2."/>
      <w:lvlJc w:val="left"/>
      <w:pPr>
        <w:tabs>
          <w:tab w:val="num" w:pos="851"/>
        </w:tabs>
        <w:ind w:left="851" w:hanging="491"/>
      </w:pPr>
      <w:rPr>
        <w:rFonts w:hint="default"/>
        <w:b/>
      </w:rPr>
    </w:lvl>
    <w:lvl w:ilvl="2">
      <w:start w:val="1"/>
      <w:numFmt w:val="decimal"/>
      <w:pStyle w:val="DocumentText"/>
      <w:lvlText w:val="%1.%2.%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8"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E3A2B"/>
    <w:multiLevelType w:val="hybridMultilevel"/>
    <w:tmpl w:val="99F4B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AE07A5"/>
    <w:multiLevelType w:val="hybridMultilevel"/>
    <w:tmpl w:val="D338B90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7AC58C4"/>
    <w:multiLevelType w:val="hybridMultilevel"/>
    <w:tmpl w:val="4E00E5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0384ADF"/>
    <w:multiLevelType w:val="hybridMultilevel"/>
    <w:tmpl w:val="454CC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4284D"/>
    <w:multiLevelType w:val="hybridMultilevel"/>
    <w:tmpl w:val="08421D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B53635"/>
    <w:multiLevelType w:val="hybridMultilevel"/>
    <w:tmpl w:val="192E6BE4"/>
    <w:lvl w:ilvl="0" w:tplc="0C09000F">
      <w:start w:val="1"/>
      <w:numFmt w:val="decimal"/>
      <w:lvlText w:val="%1."/>
      <w:lvlJc w:val="left"/>
      <w:pPr>
        <w:ind w:left="720" w:hanging="360"/>
      </w:pPr>
      <w:rPr>
        <w:rFonts w:hint="default"/>
      </w:rPr>
    </w:lvl>
    <w:lvl w:ilvl="1" w:tplc="A1BE8CAA">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3A1DB1"/>
    <w:multiLevelType w:val="hybridMultilevel"/>
    <w:tmpl w:val="0FC099D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C50D7"/>
    <w:multiLevelType w:val="multilevel"/>
    <w:tmpl w:val="03900C9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51"/>
        </w:tabs>
        <w:ind w:left="851" w:hanging="491"/>
      </w:pPr>
      <w:rPr>
        <w:rFonts w:hint="default"/>
        <w:b/>
      </w:rPr>
    </w:lvl>
    <w:lvl w:ilvl="2">
      <w:start w:val="1"/>
      <w:numFmt w:val="decimal"/>
      <w:lvlText w:val="%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0"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9409115">
    <w:abstractNumId w:val="5"/>
  </w:num>
  <w:num w:numId="2" w16cid:durableId="931201335">
    <w:abstractNumId w:val="21"/>
  </w:num>
  <w:num w:numId="3" w16cid:durableId="229969489">
    <w:abstractNumId w:val="11"/>
  </w:num>
  <w:num w:numId="4" w16cid:durableId="1261714963">
    <w:abstractNumId w:val="26"/>
  </w:num>
  <w:num w:numId="5" w16cid:durableId="1971593046">
    <w:abstractNumId w:val="0"/>
  </w:num>
  <w:num w:numId="6" w16cid:durableId="853692340">
    <w:abstractNumId w:val="26"/>
  </w:num>
  <w:num w:numId="7" w16cid:durableId="979919286">
    <w:abstractNumId w:val="30"/>
  </w:num>
  <w:num w:numId="8" w16cid:durableId="619798461">
    <w:abstractNumId w:val="16"/>
  </w:num>
  <w:num w:numId="9" w16cid:durableId="51856664">
    <w:abstractNumId w:val="10"/>
  </w:num>
  <w:num w:numId="10" w16cid:durableId="2105613541">
    <w:abstractNumId w:val="18"/>
  </w:num>
  <w:num w:numId="11" w16cid:durableId="971402656">
    <w:abstractNumId w:val="28"/>
  </w:num>
  <w:num w:numId="12" w16cid:durableId="1233925640">
    <w:abstractNumId w:val="12"/>
  </w:num>
  <w:num w:numId="13" w16cid:durableId="602881657">
    <w:abstractNumId w:val="17"/>
  </w:num>
  <w:num w:numId="14" w16cid:durableId="1370913963">
    <w:abstractNumId w:val="2"/>
  </w:num>
  <w:num w:numId="15" w16cid:durableId="1329866194">
    <w:abstractNumId w:val="6"/>
  </w:num>
  <w:num w:numId="16" w16cid:durableId="1281303052">
    <w:abstractNumId w:val="9"/>
  </w:num>
  <w:num w:numId="17" w16cid:durableId="931552170">
    <w:abstractNumId w:val="29"/>
  </w:num>
  <w:num w:numId="18" w16cid:durableId="827132630">
    <w:abstractNumId w:val="23"/>
  </w:num>
  <w:num w:numId="19" w16cid:durableId="927887591">
    <w:abstractNumId w:val="27"/>
  </w:num>
  <w:num w:numId="20" w16cid:durableId="2057587285">
    <w:abstractNumId w:val="13"/>
  </w:num>
  <w:num w:numId="21" w16cid:durableId="1745757031">
    <w:abstractNumId w:val="22"/>
  </w:num>
  <w:num w:numId="22" w16cid:durableId="820925686">
    <w:abstractNumId w:val="24"/>
  </w:num>
  <w:num w:numId="23" w16cid:durableId="1687172894">
    <w:abstractNumId w:val="14"/>
  </w:num>
  <w:num w:numId="24" w16cid:durableId="421494429">
    <w:abstractNumId w:val="4"/>
  </w:num>
  <w:num w:numId="25" w16cid:durableId="2141796910">
    <w:abstractNumId w:val="15"/>
  </w:num>
  <w:num w:numId="26" w16cid:durableId="1057777323">
    <w:abstractNumId w:val="1"/>
  </w:num>
  <w:num w:numId="27" w16cid:durableId="1673557941">
    <w:abstractNumId w:val="3"/>
  </w:num>
  <w:num w:numId="28" w16cid:durableId="1788352868">
    <w:abstractNumId w:val="25"/>
  </w:num>
  <w:num w:numId="29" w16cid:durableId="1237518979">
    <w:abstractNumId w:val="7"/>
  </w:num>
  <w:num w:numId="30" w16cid:durableId="188882268">
    <w:abstractNumId w:val="8"/>
  </w:num>
  <w:num w:numId="31" w16cid:durableId="1036740610">
    <w:abstractNumId w:val="19"/>
  </w:num>
  <w:num w:numId="32" w16cid:durableId="907544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E2"/>
    <w:rsid w:val="000378A3"/>
    <w:rsid w:val="00043689"/>
    <w:rsid w:val="00091F2B"/>
    <w:rsid w:val="000A20E6"/>
    <w:rsid w:val="000A6229"/>
    <w:rsid w:val="000D061F"/>
    <w:rsid w:val="0012323D"/>
    <w:rsid w:val="00125893"/>
    <w:rsid w:val="00136AD0"/>
    <w:rsid w:val="0018339D"/>
    <w:rsid w:val="00192B2F"/>
    <w:rsid w:val="001A7A60"/>
    <w:rsid w:val="001D18F2"/>
    <w:rsid w:val="00210C2E"/>
    <w:rsid w:val="002E51F5"/>
    <w:rsid w:val="002F3A97"/>
    <w:rsid w:val="003245D6"/>
    <w:rsid w:val="00327AD6"/>
    <w:rsid w:val="00332FDA"/>
    <w:rsid w:val="00367A5A"/>
    <w:rsid w:val="0037697D"/>
    <w:rsid w:val="00381CC6"/>
    <w:rsid w:val="00395056"/>
    <w:rsid w:val="003D41B2"/>
    <w:rsid w:val="00432634"/>
    <w:rsid w:val="004416B6"/>
    <w:rsid w:val="004B3A42"/>
    <w:rsid w:val="004E0722"/>
    <w:rsid w:val="004F0E48"/>
    <w:rsid w:val="004F142C"/>
    <w:rsid w:val="004F46ED"/>
    <w:rsid w:val="004F610F"/>
    <w:rsid w:val="004F7F81"/>
    <w:rsid w:val="00502800"/>
    <w:rsid w:val="005542FF"/>
    <w:rsid w:val="00577224"/>
    <w:rsid w:val="00590852"/>
    <w:rsid w:val="005959E9"/>
    <w:rsid w:val="00595B59"/>
    <w:rsid w:val="005A3D7E"/>
    <w:rsid w:val="005A407E"/>
    <w:rsid w:val="005B7D07"/>
    <w:rsid w:val="005C1564"/>
    <w:rsid w:val="005D1231"/>
    <w:rsid w:val="00626D08"/>
    <w:rsid w:val="00645269"/>
    <w:rsid w:val="00647C67"/>
    <w:rsid w:val="00651C4F"/>
    <w:rsid w:val="006637D2"/>
    <w:rsid w:val="00682D9A"/>
    <w:rsid w:val="006D1A78"/>
    <w:rsid w:val="00735672"/>
    <w:rsid w:val="00767A56"/>
    <w:rsid w:val="007D7BF7"/>
    <w:rsid w:val="007F2ACD"/>
    <w:rsid w:val="00803804"/>
    <w:rsid w:val="00817F83"/>
    <w:rsid w:val="00860F6F"/>
    <w:rsid w:val="008651C5"/>
    <w:rsid w:val="00865EAE"/>
    <w:rsid w:val="00880218"/>
    <w:rsid w:val="008A3A72"/>
    <w:rsid w:val="008C05C7"/>
    <w:rsid w:val="008C0D15"/>
    <w:rsid w:val="008C3C87"/>
    <w:rsid w:val="008E2EFB"/>
    <w:rsid w:val="00910346"/>
    <w:rsid w:val="0091156B"/>
    <w:rsid w:val="00915726"/>
    <w:rsid w:val="00925060"/>
    <w:rsid w:val="00932E47"/>
    <w:rsid w:val="009438C4"/>
    <w:rsid w:val="009537C4"/>
    <w:rsid w:val="009627F2"/>
    <w:rsid w:val="00965E80"/>
    <w:rsid w:val="00997529"/>
    <w:rsid w:val="009B23F7"/>
    <w:rsid w:val="009B40E2"/>
    <w:rsid w:val="009C7525"/>
    <w:rsid w:val="009D35CA"/>
    <w:rsid w:val="009E1A73"/>
    <w:rsid w:val="00A02178"/>
    <w:rsid w:val="00A15913"/>
    <w:rsid w:val="00A35B9D"/>
    <w:rsid w:val="00A57D5F"/>
    <w:rsid w:val="00A640F3"/>
    <w:rsid w:val="00A65038"/>
    <w:rsid w:val="00A9272D"/>
    <w:rsid w:val="00A92E4C"/>
    <w:rsid w:val="00A95862"/>
    <w:rsid w:val="00AD6E29"/>
    <w:rsid w:val="00AE1894"/>
    <w:rsid w:val="00AE18C0"/>
    <w:rsid w:val="00B00BFB"/>
    <w:rsid w:val="00B32AA9"/>
    <w:rsid w:val="00B5190C"/>
    <w:rsid w:val="00B55D80"/>
    <w:rsid w:val="00BA72D2"/>
    <w:rsid w:val="00BF2A13"/>
    <w:rsid w:val="00BF4FCA"/>
    <w:rsid w:val="00C3327B"/>
    <w:rsid w:val="00C51514"/>
    <w:rsid w:val="00C66AB5"/>
    <w:rsid w:val="00C8010B"/>
    <w:rsid w:val="00C8044D"/>
    <w:rsid w:val="00CE042C"/>
    <w:rsid w:val="00D06DB2"/>
    <w:rsid w:val="00D217D4"/>
    <w:rsid w:val="00D326CB"/>
    <w:rsid w:val="00D33315"/>
    <w:rsid w:val="00D35F36"/>
    <w:rsid w:val="00D46F52"/>
    <w:rsid w:val="00D855E9"/>
    <w:rsid w:val="00D94D69"/>
    <w:rsid w:val="00DA3BAC"/>
    <w:rsid w:val="00DA61EE"/>
    <w:rsid w:val="00DA75E2"/>
    <w:rsid w:val="00DC581E"/>
    <w:rsid w:val="00E12500"/>
    <w:rsid w:val="00E46C93"/>
    <w:rsid w:val="00E772B9"/>
    <w:rsid w:val="00E80A36"/>
    <w:rsid w:val="00E86F89"/>
    <w:rsid w:val="00E870B4"/>
    <w:rsid w:val="00EA61FE"/>
    <w:rsid w:val="00EA68D9"/>
    <w:rsid w:val="00EE4917"/>
    <w:rsid w:val="00EF49BF"/>
    <w:rsid w:val="00EF6443"/>
    <w:rsid w:val="00EF7E72"/>
    <w:rsid w:val="00F40D33"/>
    <w:rsid w:val="00F41164"/>
    <w:rsid w:val="00F613E4"/>
    <w:rsid w:val="00F7796A"/>
    <w:rsid w:val="00FB388C"/>
    <w:rsid w:val="00FC7B1E"/>
    <w:rsid w:val="00FF0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482A"/>
  <w15:docId w15:val="{D982CB2C-D15E-4867-822E-EA1060E9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outlineLvl w:val="0"/>
    </w:pPr>
    <w:rPr>
      <w:rFonts w:eastAsia="Times New Roman"/>
      <w:b/>
      <w:bCs/>
      <w:color w:val="000000"/>
      <w:sz w:val="3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26"/>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rPr>
  </w:style>
  <w:style w:type="paragraph" w:styleId="Heading4">
    <w:name w:val="heading 4"/>
    <w:basedOn w:val="Normal"/>
    <w:next w:val="Normal"/>
    <w:link w:val="Heading4Char"/>
    <w:uiPriority w:val="9"/>
    <w:semiHidden/>
    <w:unhideWhenUse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imes New Roman" w:hAnsi="Calibri" w:cs="Times New Roman"/>
      <w:b/>
      <w:bCs/>
      <w:color w:val="000000"/>
      <w:sz w:val="30"/>
      <w:szCs w:val="28"/>
    </w:rPr>
  </w:style>
  <w:style w:type="character" w:customStyle="1" w:styleId="Heading2Char">
    <w:name w:val="Heading 2 Char"/>
    <w:basedOn w:val="DefaultParagraphFont"/>
    <w:link w:val="Heading2"/>
    <w:uiPriority w:val="9"/>
    <w:rPr>
      <w:rFonts w:eastAsia="Times New Roman" w:cs="Times New Roman"/>
      <w:b/>
      <w:bCs/>
      <w:sz w:val="26"/>
      <w:szCs w:val="26"/>
    </w:rPr>
  </w:style>
  <w:style w:type="character" w:customStyle="1" w:styleId="Heading3Char">
    <w:name w:val="Heading 3 Char"/>
    <w:basedOn w:val="DefaultParagraphFont"/>
    <w:link w:val="Heading3"/>
    <w:uiPriority w:val="9"/>
    <w:rPr>
      <w:rFonts w:eastAsia="Times New Roman" w:cs="Times New Roman"/>
      <w:b/>
      <w:bCs/>
    </w:rPr>
  </w:style>
  <w:style w:type="character" w:customStyle="1" w:styleId="Heading4Char">
    <w:name w:val="Heading 4 Char"/>
    <w:basedOn w:val="DefaultParagraphFont"/>
    <w:link w:val="Heading4"/>
    <w:uiPriority w:val="9"/>
    <w:semiHidden/>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basedOn w:val="DefaultParagraphFont"/>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basedOn w:val="BSGTitle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qFormat/>
    <w:pPr>
      <w:spacing w:after="0"/>
      <w:jc w:val="center"/>
    </w:pPr>
    <w:rPr>
      <w:color w:val="auto"/>
      <w:sz w:val="40"/>
    </w:rPr>
  </w:style>
  <w:style w:type="character" w:customStyle="1" w:styleId="DocumenttitleChar">
    <w:name w:val="Document title Char"/>
    <w:basedOn w:val="Heading1Char"/>
    <w:link w:val="Documenttitle"/>
    <w:rPr>
      <w:rFonts w:ascii="Calibri" w:eastAsia="Times New Roman" w:hAnsi="Calibri" w:cs="Times New Roman"/>
      <w:b/>
      <w:bCs/>
      <w:color w:val="000000"/>
      <w:sz w:val="40"/>
      <w:szCs w:val="28"/>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basedOn w:val="Heading1Char"/>
    <w:link w:val="TOCHeading"/>
    <w:uiPriority w:val="39"/>
    <w:rPr>
      <w:rFonts w:ascii="Calibri" w:eastAsia="Times New Roman" w:hAnsi="Calibri" w:cs="Times New Roman"/>
      <w:b/>
      <w:bCs/>
      <w:color w:val="000000"/>
      <w:sz w:val="30"/>
      <w:szCs w:val="28"/>
      <w:lang w:val="en-US"/>
    </w:rPr>
  </w:style>
  <w:style w:type="paragraph" w:styleId="TOC2">
    <w:name w:val="toc 2"/>
    <w:basedOn w:val="Normal"/>
    <w:next w:val="Normal"/>
    <w:autoRedefine/>
    <w:uiPriority w:val="39"/>
    <w:unhideWhenUsed/>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basedOn w:val="ListParagraphChar"/>
    <w:link w:val="Sectionheading1"/>
    <w:rPr>
      <w:rFonts w:ascii="Cambria" w:hAnsi="Cambria"/>
      <w:color w:val="404A29"/>
      <w:sz w:val="28"/>
    </w:r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uiPriority w:val="99"/>
    <w:semiHidden/>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Heading2-Bulletlist">
    <w:name w:val="Heading 2 - Bullet list"/>
    <w:basedOn w:val="Sectionheading1"/>
    <w:link w:val="Heading2-BulletlistChar"/>
    <w:pPr>
      <w:numPr>
        <w:ilvl w:val="1"/>
        <w:numId w:val="3"/>
      </w:numPr>
      <w:ind w:left="426" w:hanging="426"/>
    </w:pPr>
    <w:rPr>
      <w:b/>
      <w:color w:val="auto"/>
      <w:sz w:val="22"/>
    </w:rPr>
  </w:style>
  <w:style w:type="character" w:customStyle="1" w:styleId="Heading2-BulletlistChar">
    <w:name w:val="Heading 2 - Bullet list Char"/>
    <w:basedOn w:val="Sectionheading1Char"/>
    <w:link w:val="Heading2-Bulletlist"/>
    <w:rPr>
      <w:rFonts w:ascii="Cambria" w:hAnsi="Cambria"/>
      <w:b/>
      <w:color w:val="404A29"/>
      <w:sz w:val="28"/>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basedOn w:val="Heading2-BulletlistChar"/>
    <w:link w:val="Bulletlist-Indented"/>
    <w:rPr>
      <w:rFonts w:ascii="Cambria" w:hAnsi="Cambria"/>
      <w:b/>
      <w:color w:val="404A29"/>
      <w:sz w:val="28"/>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basedOn w:val="Heading2-BulletlistChar"/>
    <w:link w:val="Heading2-Instruction"/>
    <w:rPr>
      <w:rFonts w:ascii="Calibri" w:hAnsi="Calibri"/>
      <w:b/>
      <w:color w:val="776F65"/>
      <w:sz w:val="24"/>
      <w:szCs w:val="24"/>
    </w:rPr>
  </w:style>
  <w:style w:type="character" w:styleId="Hyperlink">
    <w:name w:val="Hyperlink"/>
    <w:basedOn w:val="DefaultParagraphFont"/>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pPr>
      <w:spacing w:after="120"/>
    </w:pPr>
    <w:rPr>
      <w:rFonts w:eastAsia="Times New Roman"/>
      <w:sz w:val="22"/>
      <w:szCs w:val="24"/>
      <w:lang w:eastAsia="en-US"/>
    </w:rPr>
  </w:style>
  <w:style w:type="character" w:customStyle="1" w:styleId="BodyTextChar">
    <w:name w:val="Body Text Char"/>
    <w:basedOn w:val="DefaultParagraphFont"/>
    <w:link w:val="BodyText"/>
    <w:rPr>
      <w:rFonts w:eastAsia="Times New Roman"/>
      <w:sz w:val="22"/>
      <w:szCs w:val="24"/>
      <w:lang w:val="en-AU" w:eastAsia="en-US" w:bidi="ar-SA"/>
    </w:rPr>
  </w:style>
  <w:style w:type="paragraph" w:styleId="ListBullet">
    <w:name w:val="List Bullet"/>
    <w:basedOn w:val="BodyText"/>
    <w:qFormat/>
    <w:pPr>
      <w:numPr>
        <w:numId w:val="5"/>
      </w:numPr>
      <w:spacing w:before="60" w:after="60"/>
      <w:ind w:left="284" w:hanging="284"/>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basedOn w:val="BodyText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pPr>
      <w:shd w:val="clear" w:color="auto" w:fill="6A7F10"/>
    </w:pPr>
    <w:rPr>
      <w:shd w:val="clear" w:color="auto" w:fill="6A7F10"/>
    </w:rPr>
  </w:style>
  <w:style w:type="character" w:customStyle="1" w:styleId="DocumentType-GuidelineChar">
    <w:name w:val="Document Type - Guideline Char"/>
    <w:basedOn w:val="DocumenttypeChar"/>
    <w:link w:val="DocumentType-Guideline"/>
    <w:rPr>
      <w:rFonts w:ascii="Cambria" w:eastAsia="Times New Roman" w:hAnsi="Cambria" w:cs="Times New Roman"/>
      <w:b/>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basedOn w:val="DocumenttypeChar"/>
    <w:link w:val="Documenttype-PracticeStatement"/>
    <w:rPr>
      <w:rFonts w:ascii="Cambria" w:eastAsia="Times New Roman" w:hAnsi="Cambria" w:cs="Times New Roman"/>
      <w:b/>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qFormat/>
    <w:pPr>
      <w:spacing w:line="276" w:lineRule="auto"/>
      <w:jc w:val="center"/>
    </w:pPr>
    <w:rPr>
      <w:sz w:val="40"/>
    </w:rPr>
  </w:style>
  <w:style w:type="character" w:customStyle="1" w:styleId="TitleofdocumentChar">
    <w:name w:val="Title of document Char"/>
    <w:basedOn w:val="Heading1Char"/>
    <w:link w:val="Titleofdocument"/>
    <w:rPr>
      <w:rFonts w:ascii="Calibri" w:eastAsia="Times New Roman" w:hAnsi="Calibri" w:cs="Times New Roman"/>
      <w:b/>
      <w:bCs/>
      <w:color w:val="404A29"/>
      <w:sz w:val="40"/>
      <w:szCs w:val="28"/>
    </w:rPr>
  </w:style>
  <w:style w:type="paragraph" w:customStyle="1" w:styleId="Heading3-Instruction">
    <w:name w:val="Heading 3 - Instruction"/>
    <w:basedOn w:val="Normal"/>
    <w:pPr>
      <w:spacing w:before="120"/>
      <w:ind w:left="425" w:hanging="425"/>
      <w:contextualSpacing/>
    </w:pPr>
    <w:rPr>
      <w:u w:val="single"/>
    </w:rPr>
  </w:style>
  <w:style w:type="paragraph" w:customStyle="1" w:styleId="Type-Refernce">
    <w:name w:val="Type - Refernce"/>
    <w:basedOn w:val="Documenttype"/>
    <w:link w:val="Type-RefernceChar"/>
    <w:qFormat/>
    <w:pPr>
      <w:shd w:val="clear" w:color="auto" w:fill="00759A"/>
    </w:pPr>
  </w:style>
  <w:style w:type="character" w:customStyle="1" w:styleId="Type-RefernceChar">
    <w:name w:val="Type - Refernce Char"/>
    <w:basedOn w:val="DocumenttypeChar"/>
    <w:link w:val="Type-Refernce"/>
    <w:rPr>
      <w:rFonts w:ascii="Cambria" w:eastAsia="Times New Roman" w:hAnsi="Cambria" w:cs="Times New Roman"/>
      <w:b/>
      <w:color w:val="FFFFFF"/>
      <w:sz w:val="48"/>
      <w:szCs w:val="20"/>
      <w:shd w:val="clear" w:color="auto" w:fill="00759A"/>
    </w:rPr>
  </w:style>
  <w:style w:type="paragraph" w:customStyle="1" w:styleId="DocumentSubsection">
    <w:name w:val="Document Subsection"/>
    <w:basedOn w:val="Normal"/>
    <w:next w:val="DocumentText"/>
    <w:locked/>
    <w:pPr>
      <w:numPr>
        <w:ilvl w:val="1"/>
        <w:numId w:val="13"/>
      </w:numPr>
      <w:spacing w:before="0" w:after="240"/>
    </w:pPr>
    <w:rPr>
      <w:rFonts w:ascii="Arial" w:eastAsia="Times New Roman" w:hAnsi="Arial"/>
      <w:b/>
      <w:sz w:val="24"/>
      <w:szCs w:val="24"/>
      <w:lang w:eastAsia="en-AU"/>
    </w:rPr>
  </w:style>
  <w:style w:type="paragraph" w:customStyle="1" w:styleId="DocumentText">
    <w:name w:val="Document Text"/>
    <w:basedOn w:val="Normal"/>
    <w:locked/>
    <w:pPr>
      <w:numPr>
        <w:ilvl w:val="2"/>
        <w:numId w:val="13"/>
      </w:numPr>
      <w:spacing w:before="0" w:after="240"/>
    </w:pPr>
    <w:rPr>
      <w:rFonts w:ascii="Arial" w:eastAsia="Times New Roman" w:hAnsi="Arial"/>
      <w:szCs w:val="24"/>
      <w:lang w:eastAsia="en-AU"/>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sid w:val="000A20E6"/>
    <w:rPr>
      <w:sz w:val="22"/>
      <w:szCs w:val="22"/>
      <w:lang w:eastAsia="en-US"/>
    </w:rPr>
  </w:style>
  <w:style w:type="character" w:styleId="UnresolvedMention">
    <w:name w:val="Unresolved Mention"/>
    <w:basedOn w:val="DefaultParagraphFont"/>
    <w:uiPriority w:val="99"/>
    <w:semiHidden/>
    <w:unhideWhenUsed/>
    <w:rsid w:val="009B23F7"/>
    <w:rPr>
      <w:color w:val="605E5C"/>
      <w:shd w:val="clear" w:color="auto" w:fill="E1DFDD"/>
    </w:rPr>
  </w:style>
  <w:style w:type="paragraph" w:styleId="NormalWeb">
    <w:name w:val="Normal (Web)"/>
    <w:basedOn w:val="Normal"/>
    <w:uiPriority w:val="99"/>
    <w:semiHidden/>
    <w:unhideWhenUsed/>
    <w:rsid w:val="009B23F7"/>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4798">
      <w:bodyDiv w:val="1"/>
      <w:marLeft w:val="0"/>
      <w:marRight w:val="0"/>
      <w:marTop w:val="0"/>
      <w:marBottom w:val="0"/>
      <w:divBdr>
        <w:top w:val="none" w:sz="0" w:space="0" w:color="auto"/>
        <w:left w:val="none" w:sz="0" w:space="0" w:color="auto"/>
        <w:bottom w:val="none" w:sz="0" w:space="0" w:color="auto"/>
        <w:right w:val="none" w:sz="0" w:space="0" w:color="auto"/>
      </w:divBdr>
    </w:div>
    <w:div w:id="159545994">
      <w:bodyDiv w:val="1"/>
      <w:marLeft w:val="0"/>
      <w:marRight w:val="0"/>
      <w:marTop w:val="0"/>
      <w:marBottom w:val="0"/>
      <w:divBdr>
        <w:top w:val="none" w:sz="0" w:space="0" w:color="auto"/>
        <w:left w:val="none" w:sz="0" w:space="0" w:color="auto"/>
        <w:bottom w:val="none" w:sz="0" w:space="0" w:color="auto"/>
        <w:right w:val="none" w:sz="0" w:space="0" w:color="auto"/>
      </w:divBdr>
    </w:div>
    <w:div w:id="329716487">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griculture.gov.au/biosecurity-trade/aircraft-vessels-military/vessels/first-point-entry-and-non-first-point-entry/seaport-lo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griculture.gov.au/biosecurity-trade/import/goods/live-animals/importing-live-horses/notice-intent-import-live-horses" TargetMode="External"/><Relationship Id="rId17" Type="http://schemas.openxmlformats.org/officeDocument/2006/relationships/hyperlink" Target="mailto:qldliveanimalimports@aff.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rsesmelbourne@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con.agriculture.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rsessydney@aff.gov.au" TargetMode="External"/><Relationship Id="rId23" Type="http://schemas.openxmlformats.org/officeDocument/2006/relationships/footer" Target="footer3.xml"/><Relationship Id="rId10" Type="http://schemas.openxmlformats.org/officeDocument/2006/relationships/hyperlink" Target="https://www.agriculture.gov.au/biosecurity-trade/policy/legislation/list-approved-ingredients-retail-packaged-veterinary-therapeutics-cosmet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griculture.gov.au/biosecurity-trade/import/goods/live-animals/importing-live-horses/notice-to-industry-7-veterinary-therapeutics-live-animals" TargetMode="External"/><Relationship Id="rId14" Type="http://schemas.openxmlformats.org/officeDocument/2006/relationships/hyperlink" Target="mailto:horses@aff.gov.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Risk\06%20IMU\21.%20Template%20development\Templates\REFER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FB92-B935-4808-BFD2-E0186CFF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REFERENCE.dotx</Template>
  <TotalTime>156</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 to Industry 8: Horse Importer responsibilities - New Zealand and New Caledonia</vt:lpstr>
    </vt:vector>
  </TitlesOfParts>
  <Company/>
  <LinksUpToDate>false</LinksUpToDate>
  <CharactersWithSpaces>8695</CharactersWithSpaces>
  <SharedDoc>false</SharedDoc>
  <HLinks>
    <vt:vector size="30" baseType="variant">
      <vt:variant>
        <vt:i4>1179708</vt:i4>
      </vt:variant>
      <vt:variant>
        <vt:i4>23</vt:i4>
      </vt:variant>
      <vt:variant>
        <vt:i4>0</vt:i4>
      </vt:variant>
      <vt:variant>
        <vt:i4>5</vt:i4>
      </vt:variant>
      <vt:variant>
        <vt:lpwstr/>
      </vt:variant>
      <vt:variant>
        <vt:lpwstr>_Toc367182008</vt:lpwstr>
      </vt:variant>
      <vt:variant>
        <vt:i4>1179708</vt:i4>
      </vt:variant>
      <vt:variant>
        <vt:i4>17</vt:i4>
      </vt:variant>
      <vt:variant>
        <vt:i4>0</vt:i4>
      </vt:variant>
      <vt:variant>
        <vt:i4>5</vt:i4>
      </vt:variant>
      <vt:variant>
        <vt:lpwstr/>
      </vt:variant>
      <vt:variant>
        <vt:lpwstr>_Toc367182007</vt:lpwstr>
      </vt:variant>
      <vt:variant>
        <vt:i4>1179708</vt:i4>
      </vt:variant>
      <vt:variant>
        <vt:i4>11</vt:i4>
      </vt:variant>
      <vt:variant>
        <vt:i4>0</vt:i4>
      </vt:variant>
      <vt:variant>
        <vt:i4>5</vt:i4>
      </vt:variant>
      <vt:variant>
        <vt:lpwstr/>
      </vt:variant>
      <vt:variant>
        <vt:lpwstr>_Toc367182006</vt:lpwstr>
      </vt:variant>
      <vt:variant>
        <vt:i4>1179708</vt:i4>
      </vt:variant>
      <vt:variant>
        <vt:i4>5</vt:i4>
      </vt:variant>
      <vt:variant>
        <vt:i4>0</vt:i4>
      </vt:variant>
      <vt:variant>
        <vt:i4>5</vt:i4>
      </vt:variant>
      <vt:variant>
        <vt:lpwstr/>
      </vt:variant>
      <vt:variant>
        <vt:lpwstr>_Toc367182005</vt:lpwstr>
      </vt:variant>
      <vt:variant>
        <vt:i4>1179708</vt:i4>
      </vt:variant>
      <vt:variant>
        <vt:i4>2</vt:i4>
      </vt:variant>
      <vt:variant>
        <vt:i4>0</vt:i4>
      </vt:variant>
      <vt:variant>
        <vt:i4>5</vt:i4>
      </vt:variant>
      <vt:variant>
        <vt:lpwstr/>
      </vt:variant>
      <vt:variant>
        <vt:lpwstr>_Toc367182004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Industry 8: Horse Importer responsibilities - New Zealand and New Caledonia</dc:title>
  <dc:subject/>
  <dc:creator>Department of Agriculture Fisheries and Forestry</dc:creator>
  <cp:keywords/>
  <dc:description/>
  <cp:lastModifiedBy>Larkins, Bernadette</cp:lastModifiedBy>
  <cp:revision>5</cp:revision>
  <cp:lastPrinted>2024-12-17T03:32:00Z</cp:lastPrinted>
  <dcterms:created xsi:type="dcterms:W3CDTF">2024-12-17T01:51:00Z</dcterms:created>
  <dcterms:modified xsi:type="dcterms:W3CDTF">2025-01-05T23:35:00Z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19624092,7f989a54,379b1257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4b7e4e68,614e9d34,4f21a026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2024-08-20T01:11:22Z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1dda9d5a-4e64-4f4e-acec-f31bffa115de</vt:lpwstr>
  </property>
  <property fmtid="{D5CDD505-2E9C-101B-9397-08002B2CF9AE}" pid="14" name="MSIP_Label_933d8be6-3c40-4052-87a2-9c2adcba8759_ContentBits">
    <vt:lpwstr>3</vt:lpwstr>
  </property>
</Properties>
</file>