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FFDCF" w14:textId="413DA3B1" w:rsidR="00764D6A" w:rsidRDefault="00307E08">
      <w:pPr>
        <w:pStyle w:val="Heading1"/>
      </w:pPr>
      <w:r>
        <w:t xml:space="preserve">Review of the </w:t>
      </w:r>
      <w:r w:rsidR="003F50B8">
        <w:t>National Drought Agreement</w:t>
      </w:r>
    </w:p>
    <w:p w14:paraId="4E4122E0" w14:textId="2379B6D9" w:rsidR="00764D6A" w:rsidRPr="005D3790" w:rsidRDefault="00C708F5" w:rsidP="00307E08">
      <w:pPr>
        <w:pStyle w:val="Author"/>
      </w:pPr>
      <w:r>
        <w:t>P</w:t>
      </w:r>
      <w:r w:rsidR="003F50B8" w:rsidRPr="003F50B8">
        <w:t>arties to the National Drought Agreement</w:t>
      </w:r>
    </w:p>
    <w:p w14:paraId="33E3BEC5" w14:textId="77777777" w:rsidR="00764D6A" w:rsidRDefault="00E91D72">
      <w:pPr>
        <w:pStyle w:val="Normalsmall"/>
      </w:pPr>
      <w:r>
        <w:br w:type="page"/>
      </w:r>
      <w:r>
        <w:lastRenderedPageBreak/>
        <w:t xml:space="preserve">© Commonwealth of Australia </w:t>
      </w:r>
      <w:r w:rsidR="00B97E61">
        <w:t>202</w:t>
      </w:r>
      <w:r w:rsidR="00176594">
        <w:t>2</w:t>
      </w:r>
    </w:p>
    <w:p w14:paraId="431A6BC6" w14:textId="77777777" w:rsidR="00764D6A" w:rsidRDefault="00E91D72">
      <w:pPr>
        <w:pStyle w:val="Normalsmall"/>
        <w:rPr>
          <w:rStyle w:val="Strong"/>
        </w:rPr>
      </w:pPr>
      <w:r>
        <w:rPr>
          <w:rStyle w:val="Strong"/>
        </w:rPr>
        <w:t>Ownership of intellectual property rights</w:t>
      </w:r>
    </w:p>
    <w:p w14:paraId="67A56D75"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50651C3C" w14:textId="77777777" w:rsidR="00764D6A" w:rsidRDefault="00E91D72">
      <w:pPr>
        <w:pStyle w:val="Normalsmall"/>
        <w:rPr>
          <w:rStyle w:val="Strong"/>
        </w:rPr>
      </w:pPr>
      <w:r>
        <w:rPr>
          <w:rStyle w:val="Strong"/>
        </w:rPr>
        <w:t>Creative Commons licence</w:t>
      </w:r>
    </w:p>
    <w:p w14:paraId="51F917DE"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C1572F8" w14:textId="77777777" w:rsidR="00764D6A" w:rsidRPr="00364A4A" w:rsidRDefault="00E91D72">
      <w:pPr>
        <w:pStyle w:val="Normalsmall"/>
      </w:pPr>
      <w:r>
        <w:t xml:space="preserve">Inquiries about the licence and any use of this document should be </w:t>
      </w:r>
      <w:r w:rsidRPr="00364A4A">
        <w:t xml:space="preserve">emailed to </w:t>
      </w:r>
      <w:hyperlink r:id="rId12" w:history="1">
        <w:r w:rsidR="004F3F2A">
          <w:rPr>
            <w:rStyle w:val="Hyperlink"/>
          </w:rPr>
          <w:t>copyright@agriculture.gov.au</w:t>
        </w:r>
      </w:hyperlink>
      <w:r w:rsidRPr="00364A4A">
        <w:t>.</w:t>
      </w:r>
    </w:p>
    <w:p w14:paraId="3DE86D55" w14:textId="77777777" w:rsidR="00764D6A" w:rsidRPr="00364A4A" w:rsidRDefault="00E91D72">
      <w:pPr>
        <w:pStyle w:val="Normalsmall"/>
      </w:pPr>
      <w:r w:rsidRPr="00364A4A">
        <w:rPr>
          <w:noProof/>
          <w:lang w:eastAsia="en-AU"/>
        </w:rPr>
        <w:drawing>
          <wp:inline distT="0" distB="0" distL="0" distR="0" wp14:anchorId="28E9BAAD" wp14:editId="29AB3E63">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8B73C89" w14:textId="77777777" w:rsidR="00764D6A" w:rsidRPr="00364A4A" w:rsidRDefault="00E91D72">
      <w:pPr>
        <w:pStyle w:val="Normalsmall"/>
        <w:rPr>
          <w:rStyle w:val="Strong"/>
        </w:rPr>
      </w:pPr>
      <w:r w:rsidRPr="00364A4A">
        <w:rPr>
          <w:rStyle w:val="Strong"/>
        </w:rPr>
        <w:t>Cataloguing data</w:t>
      </w:r>
    </w:p>
    <w:p w14:paraId="489A0167" w14:textId="7420E59E" w:rsidR="00764D6A" w:rsidRDefault="00E91D72">
      <w:pPr>
        <w:pStyle w:val="Normalsmall"/>
      </w:pPr>
      <w:r w:rsidRPr="00364A4A">
        <w:t xml:space="preserve">This publication (and any material sourced from it) should be attributed as: </w:t>
      </w:r>
      <w:r w:rsidR="00F0084D" w:rsidRPr="00B76A72">
        <w:t xml:space="preserve">Parties to the National Drought Agreement </w:t>
      </w:r>
      <w:r w:rsidR="00B97E61" w:rsidRPr="00B76A72">
        <w:t>202</w:t>
      </w:r>
      <w:r w:rsidR="00176594" w:rsidRPr="00B76A72">
        <w:t>2</w:t>
      </w:r>
      <w:r w:rsidRPr="00B76A72">
        <w:t xml:space="preserve">, </w:t>
      </w:r>
      <w:r w:rsidR="004951C0" w:rsidRPr="007D4CA5">
        <w:rPr>
          <w:rStyle w:val="Emphasis"/>
        </w:rPr>
        <w:t xml:space="preserve">Review of </w:t>
      </w:r>
      <w:r w:rsidR="004951C0" w:rsidRPr="008D273D">
        <w:rPr>
          <w:rStyle w:val="Emphasis"/>
        </w:rPr>
        <w:t>the</w:t>
      </w:r>
      <w:r w:rsidR="004951C0" w:rsidRPr="008D273D">
        <w:t xml:space="preserve"> </w:t>
      </w:r>
      <w:r w:rsidR="00CF0A75" w:rsidRPr="008D273D">
        <w:rPr>
          <w:i/>
        </w:rPr>
        <w:t>National Drought Agreement</w:t>
      </w:r>
      <w:r w:rsidRPr="008D273D">
        <w:t>,</w:t>
      </w:r>
      <w:r>
        <w:t xml:space="preserve"> </w:t>
      </w:r>
      <w:r w:rsidR="00DE0AAE" w:rsidRPr="00DE0AAE">
        <w:t>Department of Agriculture, Fisheries and Forestry</w:t>
      </w:r>
      <w:r>
        <w:t xml:space="preserve">, Canberra, </w:t>
      </w:r>
      <w:r w:rsidR="00CF0A75" w:rsidRPr="00563E1A">
        <w:t>December</w:t>
      </w:r>
      <w:r>
        <w:t>. CC BY 4.0.</w:t>
      </w:r>
    </w:p>
    <w:p w14:paraId="573497A5" w14:textId="74BD81EF" w:rsidR="00764D6A" w:rsidRDefault="00E91D72">
      <w:pPr>
        <w:pStyle w:val="Normalsmall"/>
      </w:pPr>
      <w:r>
        <w:t xml:space="preserve">This </w:t>
      </w:r>
      <w:r w:rsidRPr="00364A4A">
        <w:t xml:space="preserve">publication is available at </w:t>
      </w:r>
      <w:hyperlink r:id="rId14" w:history="1">
        <w:r w:rsidR="00C00C7B" w:rsidRPr="002223F4">
          <w:rPr>
            <w:rStyle w:val="Hyperlink"/>
          </w:rPr>
          <w:t>agriculture.gov.au/agriculture-land/farm-food-drought/drought/drought-policy/national-drought-agreement</w:t>
        </w:r>
      </w:hyperlink>
    </w:p>
    <w:p w14:paraId="17AA7CDF" w14:textId="77777777" w:rsidR="00DE0AAE" w:rsidRDefault="00DE0AAE">
      <w:pPr>
        <w:pStyle w:val="Normalsmall"/>
        <w:spacing w:after="0"/>
      </w:pPr>
      <w:r w:rsidRPr="00DE0AAE">
        <w:t>Department of Agriculture, Fisheries and Forestry</w:t>
      </w:r>
    </w:p>
    <w:p w14:paraId="02852805" w14:textId="77777777" w:rsidR="00764D6A" w:rsidRPr="00364A4A" w:rsidRDefault="00E91D72">
      <w:pPr>
        <w:pStyle w:val="Normalsmall"/>
        <w:spacing w:after="0"/>
      </w:pPr>
      <w:r w:rsidRPr="00364A4A">
        <w:t>GPO Box 858 Canberra ACT 2601</w:t>
      </w:r>
    </w:p>
    <w:p w14:paraId="495CF359" w14:textId="77777777" w:rsidR="00764D6A" w:rsidRPr="00364A4A" w:rsidRDefault="00E91D72">
      <w:pPr>
        <w:pStyle w:val="Normalsmall"/>
        <w:spacing w:after="0"/>
      </w:pPr>
      <w:r w:rsidRPr="00364A4A">
        <w:t>Telephone 1800 900 090</w:t>
      </w:r>
    </w:p>
    <w:p w14:paraId="0DF08BA2" w14:textId="77777777" w:rsidR="00764D6A" w:rsidRPr="00364A4A" w:rsidRDefault="00E91D72">
      <w:pPr>
        <w:pStyle w:val="Normalsmall"/>
      </w:pPr>
      <w:r w:rsidRPr="00364A4A">
        <w:t xml:space="preserve">Web </w:t>
      </w:r>
      <w:hyperlink r:id="rId15" w:history="1">
        <w:r w:rsidR="00DE0AAE" w:rsidRPr="00364A4A">
          <w:rPr>
            <w:rStyle w:val="Hyperlink"/>
          </w:rPr>
          <w:t>agriculture.gov.au</w:t>
        </w:r>
      </w:hyperlink>
    </w:p>
    <w:p w14:paraId="6029785A" w14:textId="77777777" w:rsidR="007C358A" w:rsidRDefault="007C358A">
      <w:pPr>
        <w:pStyle w:val="Normalsmall"/>
      </w:pPr>
      <w:r w:rsidRPr="00364A4A">
        <w:rPr>
          <w:rStyle w:val="Strong"/>
        </w:rPr>
        <w:t>Disclaimer</w:t>
      </w:r>
    </w:p>
    <w:p w14:paraId="31FAFEDF"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3056387B" w14:textId="77777777" w:rsidR="00B02B9B" w:rsidRDefault="00B02B9B" w:rsidP="00B02B9B">
      <w:pPr>
        <w:pStyle w:val="Normalsmall"/>
      </w:pPr>
      <w:r>
        <w:rPr>
          <w:rStyle w:val="Strong"/>
        </w:rPr>
        <w:t>Acknowledgement of Country</w:t>
      </w:r>
    </w:p>
    <w:p w14:paraId="76C191FC" w14:textId="1A445008" w:rsidR="008634F4" w:rsidRDefault="00D07F7D" w:rsidP="00432172">
      <w:pPr>
        <w:pStyle w:val="Normalsmall"/>
      </w:pPr>
      <w:r w:rsidRPr="00D07F7D">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615B818" w14:textId="3E43DC2C" w:rsidR="00517A68" w:rsidRPr="008634F4" w:rsidRDefault="008634F4" w:rsidP="008634F4">
      <w:pPr>
        <w:spacing w:after="0" w:line="240" w:lineRule="auto"/>
        <w:rPr>
          <w:sz w:val="18"/>
          <w:szCs w:val="18"/>
        </w:rPr>
      </w:pPr>
      <w:r>
        <w:br w:type="page"/>
      </w:r>
    </w:p>
    <w:sdt>
      <w:sdtPr>
        <w:rPr>
          <w:rFonts w:ascii="Cambria" w:eastAsiaTheme="minorHAnsi" w:hAnsi="Cambria"/>
          <w:b/>
          <w:bCs w:val="0"/>
          <w:noProof/>
          <w:color w:val="auto"/>
          <w:sz w:val="22"/>
          <w:szCs w:val="22"/>
          <w:lang w:eastAsia="en-US"/>
        </w:rPr>
        <w:id w:val="-760297017"/>
        <w:docPartObj>
          <w:docPartGallery w:val="Table of Contents"/>
          <w:docPartUnique/>
        </w:docPartObj>
      </w:sdtPr>
      <w:sdtEndPr>
        <w:rPr>
          <w:rFonts w:ascii="Calibri" w:hAnsi="Calibri"/>
        </w:rPr>
      </w:sdtEndPr>
      <w:sdtContent>
        <w:p w14:paraId="1941398A" w14:textId="295F61AD" w:rsidR="00764D6A" w:rsidRDefault="00E91D72">
          <w:pPr>
            <w:pStyle w:val="TOCHeading"/>
          </w:pPr>
          <w:r>
            <w:t>Contents</w:t>
          </w:r>
        </w:p>
        <w:p w14:paraId="405AECFB" w14:textId="01762B3F" w:rsidR="007A17B2" w:rsidRDefault="00E91D72">
          <w:pPr>
            <w:pStyle w:val="TOC1"/>
            <w:rPr>
              <w:rFonts w:asciiTheme="minorHAnsi" w:eastAsiaTheme="minorEastAsia" w:hAnsiTheme="minorHAnsi"/>
              <w:b w:val="0"/>
              <w:lang w:eastAsia="en-AU"/>
            </w:rPr>
          </w:pPr>
          <w:r>
            <w:rPr>
              <w:b w:val="0"/>
            </w:rPr>
            <w:fldChar w:fldCharType="begin"/>
          </w:r>
          <w:r>
            <w:rPr>
              <w:b w:val="0"/>
            </w:rPr>
            <w:instrText xml:space="preserve"> TOC \h \z \u \t "Heading 2,1,Heading 3,2,Style1,2,TOA Heading,1" </w:instrText>
          </w:r>
          <w:r>
            <w:rPr>
              <w:b w:val="0"/>
            </w:rPr>
            <w:fldChar w:fldCharType="separate"/>
          </w:r>
          <w:hyperlink w:anchor="_Toc119069839" w:history="1">
            <w:r w:rsidR="007A17B2" w:rsidRPr="0029758A">
              <w:rPr>
                <w:rStyle w:val="Hyperlink"/>
              </w:rPr>
              <w:t>Summary</w:t>
            </w:r>
            <w:r w:rsidR="007A17B2">
              <w:rPr>
                <w:webHidden/>
              </w:rPr>
              <w:tab/>
            </w:r>
            <w:r w:rsidR="007A17B2">
              <w:rPr>
                <w:webHidden/>
              </w:rPr>
              <w:fldChar w:fldCharType="begin"/>
            </w:r>
            <w:r w:rsidR="007A17B2">
              <w:rPr>
                <w:webHidden/>
              </w:rPr>
              <w:instrText xml:space="preserve"> PAGEREF _Toc119069839 \h </w:instrText>
            </w:r>
            <w:r w:rsidR="007A17B2">
              <w:rPr>
                <w:webHidden/>
              </w:rPr>
            </w:r>
            <w:r w:rsidR="007A17B2">
              <w:rPr>
                <w:webHidden/>
              </w:rPr>
              <w:fldChar w:fldCharType="separate"/>
            </w:r>
            <w:r w:rsidR="007A17B2">
              <w:rPr>
                <w:webHidden/>
              </w:rPr>
              <w:t>1</w:t>
            </w:r>
            <w:r w:rsidR="007A17B2">
              <w:rPr>
                <w:webHidden/>
              </w:rPr>
              <w:fldChar w:fldCharType="end"/>
            </w:r>
          </w:hyperlink>
        </w:p>
        <w:p w14:paraId="7B421D5D" w14:textId="305FE3B5" w:rsidR="007A17B2" w:rsidRDefault="007576E4">
          <w:pPr>
            <w:pStyle w:val="TOC1"/>
            <w:rPr>
              <w:rFonts w:asciiTheme="minorHAnsi" w:eastAsiaTheme="minorEastAsia" w:hAnsiTheme="minorHAnsi"/>
              <w:b w:val="0"/>
              <w:lang w:eastAsia="en-AU"/>
            </w:rPr>
          </w:pPr>
          <w:hyperlink w:anchor="_Toc119069840" w:history="1">
            <w:r w:rsidR="007A17B2" w:rsidRPr="0029758A">
              <w:rPr>
                <w:rStyle w:val="Hyperlink"/>
              </w:rPr>
              <w:t>Terms of reference</w:t>
            </w:r>
            <w:r w:rsidR="007A17B2">
              <w:rPr>
                <w:webHidden/>
              </w:rPr>
              <w:tab/>
            </w:r>
            <w:r w:rsidR="007A17B2">
              <w:rPr>
                <w:webHidden/>
              </w:rPr>
              <w:fldChar w:fldCharType="begin"/>
            </w:r>
            <w:r w:rsidR="007A17B2">
              <w:rPr>
                <w:webHidden/>
              </w:rPr>
              <w:instrText xml:space="preserve"> PAGEREF _Toc119069840 \h </w:instrText>
            </w:r>
            <w:r w:rsidR="007A17B2">
              <w:rPr>
                <w:webHidden/>
              </w:rPr>
            </w:r>
            <w:r w:rsidR="007A17B2">
              <w:rPr>
                <w:webHidden/>
              </w:rPr>
              <w:fldChar w:fldCharType="separate"/>
            </w:r>
            <w:r w:rsidR="007A17B2">
              <w:rPr>
                <w:webHidden/>
              </w:rPr>
              <w:t>4</w:t>
            </w:r>
            <w:r w:rsidR="007A17B2">
              <w:rPr>
                <w:webHidden/>
              </w:rPr>
              <w:fldChar w:fldCharType="end"/>
            </w:r>
          </w:hyperlink>
        </w:p>
        <w:p w14:paraId="326D843A" w14:textId="753B4447" w:rsidR="007A17B2" w:rsidRDefault="007576E4">
          <w:pPr>
            <w:pStyle w:val="TOC2"/>
            <w:rPr>
              <w:rFonts w:asciiTheme="minorHAnsi" w:eastAsiaTheme="minorEastAsia" w:hAnsiTheme="minorHAnsi"/>
              <w:lang w:eastAsia="en-AU"/>
            </w:rPr>
          </w:pPr>
          <w:hyperlink w:anchor="_Toc119069841" w:history="1">
            <w:r w:rsidR="007A17B2" w:rsidRPr="0029758A">
              <w:rPr>
                <w:rStyle w:val="Hyperlink"/>
                <w:lang w:eastAsia="ja-JP"/>
              </w:rPr>
              <w:t>Purpose</w:t>
            </w:r>
            <w:r w:rsidR="007A17B2">
              <w:rPr>
                <w:webHidden/>
              </w:rPr>
              <w:tab/>
            </w:r>
            <w:r w:rsidR="007A17B2">
              <w:rPr>
                <w:webHidden/>
              </w:rPr>
              <w:fldChar w:fldCharType="begin"/>
            </w:r>
            <w:r w:rsidR="007A17B2">
              <w:rPr>
                <w:webHidden/>
              </w:rPr>
              <w:instrText xml:space="preserve"> PAGEREF _Toc119069841 \h </w:instrText>
            </w:r>
            <w:r w:rsidR="007A17B2">
              <w:rPr>
                <w:webHidden/>
              </w:rPr>
            </w:r>
            <w:r w:rsidR="007A17B2">
              <w:rPr>
                <w:webHidden/>
              </w:rPr>
              <w:fldChar w:fldCharType="separate"/>
            </w:r>
            <w:r w:rsidR="007A17B2">
              <w:rPr>
                <w:webHidden/>
              </w:rPr>
              <w:t>4</w:t>
            </w:r>
            <w:r w:rsidR="007A17B2">
              <w:rPr>
                <w:webHidden/>
              </w:rPr>
              <w:fldChar w:fldCharType="end"/>
            </w:r>
          </w:hyperlink>
        </w:p>
        <w:p w14:paraId="2E768042" w14:textId="632DFE9E" w:rsidR="007A17B2" w:rsidRDefault="007576E4">
          <w:pPr>
            <w:pStyle w:val="TOC2"/>
            <w:rPr>
              <w:rFonts w:asciiTheme="minorHAnsi" w:eastAsiaTheme="minorEastAsia" w:hAnsiTheme="minorHAnsi"/>
              <w:lang w:eastAsia="en-AU"/>
            </w:rPr>
          </w:pPr>
          <w:hyperlink w:anchor="_Toc119069842" w:history="1">
            <w:r w:rsidR="007A17B2" w:rsidRPr="0029758A">
              <w:rPr>
                <w:rStyle w:val="Hyperlink"/>
                <w:lang w:eastAsia="ja-JP"/>
              </w:rPr>
              <w:t>Scope</w:t>
            </w:r>
            <w:r w:rsidR="007A17B2">
              <w:rPr>
                <w:webHidden/>
              </w:rPr>
              <w:tab/>
            </w:r>
            <w:r w:rsidR="007A17B2">
              <w:rPr>
                <w:webHidden/>
              </w:rPr>
              <w:fldChar w:fldCharType="begin"/>
            </w:r>
            <w:r w:rsidR="007A17B2">
              <w:rPr>
                <w:webHidden/>
              </w:rPr>
              <w:instrText xml:space="preserve"> PAGEREF _Toc119069842 \h </w:instrText>
            </w:r>
            <w:r w:rsidR="007A17B2">
              <w:rPr>
                <w:webHidden/>
              </w:rPr>
            </w:r>
            <w:r w:rsidR="007A17B2">
              <w:rPr>
                <w:webHidden/>
              </w:rPr>
              <w:fldChar w:fldCharType="separate"/>
            </w:r>
            <w:r w:rsidR="007A17B2">
              <w:rPr>
                <w:webHidden/>
              </w:rPr>
              <w:t>4</w:t>
            </w:r>
            <w:r w:rsidR="007A17B2">
              <w:rPr>
                <w:webHidden/>
              </w:rPr>
              <w:fldChar w:fldCharType="end"/>
            </w:r>
          </w:hyperlink>
        </w:p>
        <w:p w14:paraId="13233FFE" w14:textId="2794B247" w:rsidR="007A17B2" w:rsidRDefault="007576E4">
          <w:pPr>
            <w:pStyle w:val="TOC2"/>
            <w:rPr>
              <w:rFonts w:asciiTheme="minorHAnsi" w:eastAsiaTheme="minorEastAsia" w:hAnsiTheme="minorHAnsi"/>
              <w:lang w:eastAsia="en-AU"/>
            </w:rPr>
          </w:pPr>
          <w:hyperlink w:anchor="_Toc119069843" w:history="1">
            <w:r w:rsidR="007A17B2" w:rsidRPr="0029758A">
              <w:rPr>
                <w:rStyle w:val="Hyperlink"/>
                <w:lang w:eastAsia="ja-JP"/>
              </w:rPr>
              <w:t>Governance</w:t>
            </w:r>
            <w:r w:rsidR="007A17B2">
              <w:rPr>
                <w:webHidden/>
              </w:rPr>
              <w:tab/>
            </w:r>
            <w:r w:rsidR="007A17B2">
              <w:rPr>
                <w:webHidden/>
              </w:rPr>
              <w:fldChar w:fldCharType="begin"/>
            </w:r>
            <w:r w:rsidR="007A17B2">
              <w:rPr>
                <w:webHidden/>
              </w:rPr>
              <w:instrText xml:space="preserve"> PAGEREF _Toc119069843 \h </w:instrText>
            </w:r>
            <w:r w:rsidR="007A17B2">
              <w:rPr>
                <w:webHidden/>
              </w:rPr>
            </w:r>
            <w:r w:rsidR="007A17B2">
              <w:rPr>
                <w:webHidden/>
              </w:rPr>
              <w:fldChar w:fldCharType="separate"/>
            </w:r>
            <w:r w:rsidR="007A17B2">
              <w:rPr>
                <w:webHidden/>
              </w:rPr>
              <w:t>4</w:t>
            </w:r>
            <w:r w:rsidR="007A17B2">
              <w:rPr>
                <w:webHidden/>
              </w:rPr>
              <w:fldChar w:fldCharType="end"/>
            </w:r>
          </w:hyperlink>
        </w:p>
        <w:p w14:paraId="4A5AA8D9" w14:textId="48AE287A" w:rsidR="007A17B2" w:rsidRDefault="007576E4">
          <w:pPr>
            <w:pStyle w:val="TOC1"/>
            <w:rPr>
              <w:rFonts w:asciiTheme="minorHAnsi" w:eastAsiaTheme="minorEastAsia" w:hAnsiTheme="minorHAnsi"/>
              <w:b w:val="0"/>
              <w:lang w:eastAsia="en-AU"/>
            </w:rPr>
          </w:pPr>
          <w:hyperlink w:anchor="_Toc119069844" w:history="1">
            <w:r w:rsidR="007A17B2" w:rsidRPr="0029758A">
              <w:rPr>
                <w:rStyle w:val="Hyperlink"/>
              </w:rPr>
              <w:t>Methodology</w:t>
            </w:r>
            <w:r w:rsidR="007A17B2">
              <w:rPr>
                <w:webHidden/>
              </w:rPr>
              <w:tab/>
            </w:r>
            <w:r w:rsidR="007A17B2">
              <w:rPr>
                <w:webHidden/>
              </w:rPr>
              <w:fldChar w:fldCharType="begin"/>
            </w:r>
            <w:r w:rsidR="007A17B2">
              <w:rPr>
                <w:webHidden/>
              </w:rPr>
              <w:instrText xml:space="preserve"> PAGEREF _Toc119069844 \h </w:instrText>
            </w:r>
            <w:r w:rsidR="007A17B2">
              <w:rPr>
                <w:webHidden/>
              </w:rPr>
            </w:r>
            <w:r w:rsidR="007A17B2">
              <w:rPr>
                <w:webHidden/>
              </w:rPr>
              <w:fldChar w:fldCharType="separate"/>
            </w:r>
            <w:r w:rsidR="007A17B2">
              <w:rPr>
                <w:webHidden/>
              </w:rPr>
              <w:t>6</w:t>
            </w:r>
            <w:r w:rsidR="007A17B2">
              <w:rPr>
                <w:webHidden/>
              </w:rPr>
              <w:fldChar w:fldCharType="end"/>
            </w:r>
          </w:hyperlink>
        </w:p>
        <w:p w14:paraId="130C61CE" w14:textId="5C9A4FF9" w:rsidR="007A17B2" w:rsidRDefault="007576E4">
          <w:pPr>
            <w:pStyle w:val="TOC2"/>
            <w:rPr>
              <w:rFonts w:asciiTheme="minorHAnsi" w:eastAsiaTheme="minorEastAsia" w:hAnsiTheme="minorHAnsi"/>
              <w:lang w:eastAsia="en-AU"/>
            </w:rPr>
          </w:pPr>
          <w:hyperlink w:anchor="_Toc119069845" w:history="1">
            <w:r w:rsidR="007A17B2" w:rsidRPr="0029758A">
              <w:rPr>
                <w:rStyle w:val="Hyperlink"/>
                <w:lang w:eastAsia="ja-JP"/>
              </w:rPr>
              <w:t>The review process</w:t>
            </w:r>
            <w:r w:rsidR="007A17B2">
              <w:rPr>
                <w:webHidden/>
              </w:rPr>
              <w:tab/>
            </w:r>
            <w:r w:rsidR="007A17B2">
              <w:rPr>
                <w:webHidden/>
              </w:rPr>
              <w:fldChar w:fldCharType="begin"/>
            </w:r>
            <w:r w:rsidR="007A17B2">
              <w:rPr>
                <w:webHidden/>
              </w:rPr>
              <w:instrText xml:space="preserve"> PAGEREF _Toc119069845 \h </w:instrText>
            </w:r>
            <w:r w:rsidR="007A17B2">
              <w:rPr>
                <w:webHidden/>
              </w:rPr>
            </w:r>
            <w:r w:rsidR="007A17B2">
              <w:rPr>
                <w:webHidden/>
              </w:rPr>
              <w:fldChar w:fldCharType="separate"/>
            </w:r>
            <w:r w:rsidR="007A17B2">
              <w:rPr>
                <w:webHidden/>
              </w:rPr>
              <w:t>6</w:t>
            </w:r>
            <w:r w:rsidR="007A17B2">
              <w:rPr>
                <w:webHidden/>
              </w:rPr>
              <w:fldChar w:fldCharType="end"/>
            </w:r>
          </w:hyperlink>
        </w:p>
        <w:p w14:paraId="5D10CE90" w14:textId="3F1C80D9" w:rsidR="007A17B2" w:rsidRDefault="007576E4">
          <w:pPr>
            <w:pStyle w:val="TOC1"/>
            <w:rPr>
              <w:rFonts w:asciiTheme="minorHAnsi" w:eastAsiaTheme="minorEastAsia" w:hAnsiTheme="minorHAnsi"/>
              <w:b w:val="0"/>
              <w:lang w:eastAsia="en-AU"/>
            </w:rPr>
          </w:pPr>
          <w:hyperlink w:anchor="_Toc119069846" w:history="1">
            <w:r w:rsidR="007A17B2" w:rsidRPr="0029758A">
              <w:rPr>
                <w:rStyle w:val="Hyperlink"/>
              </w:rPr>
              <w:t>Feedback and analysis</w:t>
            </w:r>
            <w:r w:rsidR="007A17B2">
              <w:rPr>
                <w:webHidden/>
              </w:rPr>
              <w:tab/>
            </w:r>
            <w:r w:rsidR="007A17B2">
              <w:rPr>
                <w:webHidden/>
              </w:rPr>
              <w:fldChar w:fldCharType="begin"/>
            </w:r>
            <w:r w:rsidR="007A17B2">
              <w:rPr>
                <w:webHidden/>
              </w:rPr>
              <w:instrText xml:space="preserve"> PAGEREF _Toc119069846 \h </w:instrText>
            </w:r>
            <w:r w:rsidR="007A17B2">
              <w:rPr>
                <w:webHidden/>
              </w:rPr>
            </w:r>
            <w:r w:rsidR="007A17B2">
              <w:rPr>
                <w:webHidden/>
              </w:rPr>
              <w:fldChar w:fldCharType="separate"/>
            </w:r>
            <w:r w:rsidR="007A17B2">
              <w:rPr>
                <w:webHidden/>
              </w:rPr>
              <w:t>8</w:t>
            </w:r>
            <w:r w:rsidR="007A17B2">
              <w:rPr>
                <w:webHidden/>
              </w:rPr>
              <w:fldChar w:fldCharType="end"/>
            </w:r>
          </w:hyperlink>
        </w:p>
        <w:p w14:paraId="68D14307" w14:textId="57B9545B" w:rsidR="007A17B2" w:rsidRDefault="007576E4">
          <w:pPr>
            <w:pStyle w:val="TOC1"/>
            <w:rPr>
              <w:rFonts w:asciiTheme="minorHAnsi" w:eastAsiaTheme="minorEastAsia" w:hAnsiTheme="minorHAnsi"/>
              <w:b w:val="0"/>
              <w:lang w:eastAsia="en-AU"/>
            </w:rPr>
          </w:pPr>
          <w:hyperlink w:anchor="_Toc119069847" w:history="1">
            <w:r w:rsidR="007A17B2" w:rsidRPr="0029758A">
              <w:rPr>
                <w:rStyle w:val="Hyperlink"/>
              </w:rPr>
              <w:t>Recommendations</w:t>
            </w:r>
            <w:r w:rsidR="007A17B2">
              <w:rPr>
                <w:webHidden/>
              </w:rPr>
              <w:tab/>
            </w:r>
            <w:r w:rsidR="007A17B2">
              <w:rPr>
                <w:webHidden/>
              </w:rPr>
              <w:fldChar w:fldCharType="begin"/>
            </w:r>
            <w:r w:rsidR="007A17B2">
              <w:rPr>
                <w:webHidden/>
              </w:rPr>
              <w:instrText xml:space="preserve"> PAGEREF _Toc119069847 \h </w:instrText>
            </w:r>
            <w:r w:rsidR="007A17B2">
              <w:rPr>
                <w:webHidden/>
              </w:rPr>
            </w:r>
            <w:r w:rsidR="007A17B2">
              <w:rPr>
                <w:webHidden/>
              </w:rPr>
              <w:fldChar w:fldCharType="separate"/>
            </w:r>
            <w:r w:rsidR="007A17B2">
              <w:rPr>
                <w:webHidden/>
              </w:rPr>
              <w:t>10</w:t>
            </w:r>
            <w:r w:rsidR="007A17B2">
              <w:rPr>
                <w:webHidden/>
              </w:rPr>
              <w:fldChar w:fldCharType="end"/>
            </w:r>
          </w:hyperlink>
        </w:p>
        <w:p w14:paraId="3F053FC8" w14:textId="42B6B286" w:rsidR="007A17B2" w:rsidRDefault="007576E4">
          <w:pPr>
            <w:pStyle w:val="TOC2"/>
            <w:rPr>
              <w:rFonts w:asciiTheme="minorHAnsi" w:eastAsiaTheme="minorEastAsia" w:hAnsiTheme="minorHAnsi"/>
              <w:lang w:eastAsia="en-AU"/>
            </w:rPr>
          </w:pPr>
          <w:hyperlink w:anchor="_Toc119069848" w:history="1">
            <w:r w:rsidR="007A17B2" w:rsidRPr="0029758A">
              <w:rPr>
                <w:rStyle w:val="Hyperlink"/>
                <w:lang w:eastAsia="ja-JP"/>
              </w:rPr>
              <w:t>Key issue 1: Purpose of the National Drought Agreement</w:t>
            </w:r>
            <w:r w:rsidR="007A17B2">
              <w:rPr>
                <w:webHidden/>
              </w:rPr>
              <w:tab/>
            </w:r>
            <w:r w:rsidR="007A17B2">
              <w:rPr>
                <w:webHidden/>
              </w:rPr>
              <w:fldChar w:fldCharType="begin"/>
            </w:r>
            <w:r w:rsidR="007A17B2">
              <w:rPr>
                <w:webHidden/>
              </w:rPr>
              <w:instrText xml:space="preserve"> PAGEREF _Toc119069848 \h </w:instrText>
            </w:r>
            <w:r w:rsidR="007A17B2">
              <w:rPr>
                <w:webHidden/>
              </w:rPr>
            </w:r>
            <w:r w:rsidR="007A17B2">
              <w:rPr>
                <w:webHidden/>
              </w:rPr>
              <w:fldChar w:fldCharType="separate"/>
            </w:r>
            <w:r w:rsidR="007A17B2">
              <w:rPr>
                <w:webHidden/>
              </w:rPr>
              <w:t>10</w:t>
            </w:r>
            <w:r w:rsidR="007A17B2">
              <w:rPr>
                <w:webHidden/>
              </w:rPr>
              <w:fldChar w:fldCharType="end"/>
            </w:r>
          </w:hyperlink>
        </w:p>
        <w:p w14:paraId="476CA623" w14:textId="060321A4" w:rsidR="007A17B2" w:rsidRDefault="007576E4">
          <w:pPr>
            <w:pStyle w:val="TOC2"/>
            <w:rPr>
              <w:rFonts w:asciiTheme="minorHAnsi" w:eastAsiaTheme="minorEastAsia" w:hAnsiTheme="minorHAnsi"/>
              <w:lang w:eastAsia="en-AU"/>
            </w:rPr>
          </w:pPr>
          <w:hyperlink w:anchor="_Toc119069849" w:history="1">
            <w:r w:rsidR="007A17B2" w:rsidRPr="0029758A">
              <w:rPr>
                <w:rStyle w:val="Hyperlink"/>
                <w:lang w:eastAsia="ja-JP"/>
              </w:rPr>
              <w:t>Key issue 2: Beneficiaries of the National Drought Agreement</w:t>
            </w:r>
            <w:r w:rsidR="007A17B2">
              <w:rPr>
                <w:webHidden/>
              </w:rPr>
              <w:tab/>
            </w:r>
            <w:r w:rsidR="007A17B2">
              <w:rPr>
                <w:webHidden/>
              </w:rPr>
              <w:fldChar w:fldCharType="begin"/>
            </w:r>
            <w:r w:rsidR="007A17B2">
              <w:rPr>
                <w:webHidden/>
              </w:rPr>
              <w:instrText xml:space="preserve"> PAGEREF _Toc119069849 \h </w:instrText>
            </w:r>
            <w:r w:rsidR="007A17B2">
              <w:rPr>
                <w:webHidden/>
              </w:rPr>
            </w:r>
            <w:r w:rsidR="007A17B2">
              <w:rPr>
                <w:webHidden/>
              </w:rPr>
              <w:fldChar w:fldCharType="separate"/>
            </w:r>
            <w:r w:rsidR="007A17B2">
              <w:rPr>
                <w:webHidden/>
              </w:rPr>
              <w:t>10</w:t>
            </w:r>
            <w:r w:rsidR="007A17B2">
              <w:rPr>
                <w:webHidden/>
              </w:rPr>
              <w:fldChar w:fldCharType="end"/>
            </w:r>
          </w:hyperlink>
        </w:p>
        <w:p w14:paraId="2E2E5552" w14:textId="6AFD4EC7" w:rsidR="007A17B2" w:rsidRDefault="007576E4">
          <w:pPr>
            <w:pStyle w:val="TOC2"/>
            <w:rPr>
              <w:rFonts w:asciiTheme="minorHAnsi" w:eastAsiaTheme="minorEastAsia" w:hAnsiTheme="minorHAnsi"/>
              <w:lang w:eastAsia="en-AU"/>
            </w:rPr>
          </w:pPr>
          <w:hyperlink w:anchor="_Toc119069850" w:history="1">
            <w:r w:rsidR="007A17B2" w:rsidRPr="0029758A">
              <w:rPr>
                <w:rStyle w:val="Hyperlink"/>
                <w:lang w:eastAsia="ja-JP"/>
              </w:rPr>
              <w:t>Key issue 3: Policy underpinnings of the National Drought Agreement</w:t>
            </w:r>
            <w:r w:rsidR="007A17B2">
              <w:rPr>
                <w:webHidden/>
              </w:rPr>
              <w:tab/>
            </w:r>
            <w:r w:rsidR="007A17B2">
              <w:rPr>
                <w:webHidden/>
              </w:rPr>
              <w:fldChar w:fldCharType="begin"/>
            </w:r>
            <w:r w:rsidR="007A17B2">
              <w:rPr>
                <w:webHidden/>
              </w:rPr>
              <w:instrText xml:space="preserve"> PAGEREF _Toc119069850 \h </w:instrText>
            </w:r>
            <w:r w:rsidR="007A17B2">
              <w:rPr>
                <w:webHidden/>
              </w:rPr>
            </w:r>
            <w:r w:rsidR="007A17B2">
              <w:rPr>
                <w:webHidden/>
              </w:rPr>
              <w:fldChar w:fldCharType="separate"/>
            </w:r>
            <w:r w:rsidR="007A17B2">
              <w:rPr>
                <w:webHidden/>
              </w:rPr>
              <w:t>10</w:t>
            </w:r>
            <w:r w:rsidR="007A17B2">
              <w:rPr>
                <w:webHidden/>
              </w:rPr>
              <w:fldChar w:fldCharType="end"/>
            </w:r>
          </w:hyperlink>
        </w:p>
        <w:p w14:paraId="428C0501" w14:textId="0C6E1034" w:rsidR="007A17B2" w:rsidRDefault="007576E4">
          <w:pPr>
            <w:pStyle w:val="TOC2"/>
            <w:rPr>
              <w:rFonts w:asciiTheme="minorHAnsi" w:eastAsiaTheme="minorEastAsia" w:hAnsiTheme="minorHAnsi"/>
              <w:lang w:eastAsia="en-AU"/>
            </w:rPr>
          </w:pPr>
          <w:hyperlink w:anchor="_Toc119069851" w:history="1">
            <w:r w:rsidR="007A17B2" w:rsidRPr="0029758A">
              <w:rPr>
                <w:rStyle w:val="Hyperlink"/>
                <w:lang w:eastAsia="ja-JP"/>
              </w:rPr>
              <w:t>Key issue 4: Coordination and collaboration</w:t>
            </w:r>
            <w:r w:rsidR="007A17B2">
              <w:rPr>
                <w:webHidden/>
              </w:rPr>
              <w:tab/>
            </w:r>
            <w:r w:rsidR="007A17B2">
              <w:rPr>
                <w:webHidden/>
              </w:rPr>
              <w:fldChar w:fldCharType="begin"/>
            </w:r>
            <w:r w:rsidR="007A17B2">
              <w:rPr>
                <w:webHidden/>
              </w:rPr>
              <w:instrText xml:space="preserve"> PAGEREF _Toc119069851 \h </w:instrText>
            </w:r>
            <w:r w:rsidR="007A17B2">
              <w:rPr>
                <w:webHidden/>
              </w:rPr>
            </w:r>
            <w:r w:rsidR="007A17B2">
              <w:rPr>
                <w:webHidden/>
              </w:rPr>
              <w:fldChar w:fldCharType="separate"/>
            </w:r>
            <w:r w:rsidR="007A17B2">
              <w:rPr>
                <w:webHidden/>
              </w:rPr>
              <w:t>11</w:t>
            </w:r>
            <w:r w:rsidR="007A17B2">
              <w:rPr>
                <w:webHidden/>
              </w:rPr>
              <w:fldChar w:fldCharType="end"/>
            </w:r>
          </w:hyperlink>
        </w:p>
        <w:p w14:paraId="10A8C584" w14:textId="0DC420DA" w:rsidR="007A17B2" w:rsidRDefault="007576E4">
          <w:pPr>
            <w:pStyle w:val="TOC2"/>
            <w:rPr>
              <w:rFonts w:asciiTheme="minorHAnsi" w:eastAsiaTheme="minorEastAsia" w:hAnsiTheme="minorHAnsi"/>
              <w:lang w:eastAsia="en-AU"/>
            </w:rPr>
          </w:pPr>
          <w:hyperlink w:anchor="_Toc119069852" w:history="1">
            <w:r w:rsidR="007A17B2" w:rsidRPr="0029758A">
              <w:rPr>
                <w:rStyle w:val="Hyperlink"/>
                <w:lang w:eastAsia="ja-JP"/>
              </w:rPr>
              <w:t>Key issue 5: Roles and responsibilities</w:t>
            </w:r>
            <w:r w:rsidR="007A17B2">
              <w:rPr>
                <w:webHidden/>
              </w:rPr>
              <w:tab/>
            </w:r>
            <w:r w:rsidR="007A17B2">
              <w:rPr>
                <w:webHidden/>
              </w:rPr>
              <w:fldChar w:fldCharType="begin"/>
            </w:r>
            <w:r w:rsidR="007A17B2">
              <w:rPr>
                <w:webHidden/>
              </w:rPr>
              <w:instrText xml:space="preserve"> PAGEREF _Toc119069852 \h </w:instrText>
            </w:r>
            <w:r w:rsidR="007A17B2">
              <w:rPr>
                <w:webHidden/>
              </w:rPr>
            </w:r>
            <w:r w:rsidR="007A17B2">
              <w:rPr>
                <w:webHidden/>
              </w:rPr>
              <w:fldChar w:fldCharType="separate"/>
            </w:r>
            <w:r w:rsidR="007A17B2">
              <w:rPr>
                <w:webHidden/>
              </w:rPr>
              <w:t>12</w:t>
            </w:r>
            <w:r w:rsidR="007A17B2">
              <w:rPr>
                <w:webHidden/>
              </w:rPr>
              <w:fldChar w:fldCharType="end"/>
            </w:r>
          </w:hyperlink>
        </w:p>
        <w:p w14:paraId="35AE1DBD" w14:textId="43F33C44" w:rsidR="007A17B2" w:rsidRDefault="007576E4">
          <w:pPr>
            <w:pStyle w:val="TOC2"/>
            <w:rPr>
              <w:rFonts w:asciiTheme="minorHAnsi" w:eastAsiaTheme="minorEastAsia" w:hAnsiTheme="minorHAnsi"/>
              <w:lang w:eastAsia="en-AU"/>
            </w:rPr>
          </w:pPr>
          <w:hyperlink w:anchor="_Toc119069853" w:history="1">
            <w:r w:rsidR="007A17B2" w:rsidRPr="0029758A">
              <w:rPr>
                <w:rStyle w:val="Hyperlink"/>
                <w:lang w:eastAsia="ja-JP"/>
              </w:rPr>
              <w:t>Key issue 6: Drought impacts beyond the farm gate</w:t>
            </w:r>
            <w:r w:rsidR="007A17B2">
              <w:rPr>
                <w:webHidden/>
              </w:rPr>
              <w:tab/>
            </w:r>
            <w:r w:rsidR="007A17B2">
              <w:rPr>
                <w:webHidden/>
              </w:rPr>
              <w:fldChar w:fldCharType="begin"/>
            </w:r>
            <w:r w:rsidR="007A17B2">
              <w:rPr>
                <w:webHidden/>
              </w:rPr>
              <w:instrText xml:space="preserve"> PAGEREF _Toc119069853 \h </w:instrText>
            </w:r>
            <w:r w:rsidR="007A17B2">
              <w:rPr>
                <w:webHidden/>
              </w:rPr>
            </w:r>
            <w:r w:rsidR="007A17B2">
              <w:rPr>
                <w:webHidden/>
              </w:rPr>
              <w:fldChar w:fldCharType="separate"/>
            </w:r>
            <w:r w:rsidR="007A17B2">
              <w:rPr>
                <w:webHidden/>
              </w:rPr>
              <w:t>13</w:t>
            </w:r>
            <w:r w:rsidR="007A17B2">
              <w:rPr>
                <w:webHidden/>
              </w:rPr>
              <w:fldChar w:fldCharType="end"/>
            </w:r>
          </w:hyperlink>
        </w:p>
        <w:p w14:paraId="73B7ABC1" w14:textId="3515A340" w:rsidR="007A17B2" w:rsidRDefault="007576E4">
          <w:pPr>
            <w:pStyle w:val="TOC2"/>
            <w:rPr>
              <w:rFonts w:asciiTheme="minorHAnsi" w:eastAsiaTheme="minorEastAsia" w:hAnsiTheme="minorHAnsi"/>
              <w:lang w:eastAsia="en-AU"/>
            </w:rPr>
          </w:pPr>
          <w:hyperlink w:anchor="_Toc119069854" w:history="1">
            <w:r w:rsidR="007A17B2" w:rsidRPr="0029758A">
              <w:rPr>
                <w:rStyle w:val="Hyperlink"/>
                <w:lang w:eastAsia="ja-JP"/>
              </w:rPr>
              <w:t>Key issue 7: Non-party stakeholders</w:t>
            </w:r>
            <w:r w:rsidR="007A17B2">
              <w:rPr>
                <w:webHidden/>
              </w:rPr>
              <w:tab/>
            </w:r>
            <w:r w:rsidR="007A17B2">
              <w:rPr>
                <w:webHidden/>
              </w:rPr>
              <w:fldChar w:fldCharType="begin"/>
            </w:r>
            <w:r w:rsidR="007A17B2">
              <w:rPr>
                <w:webHidden/>
              </w:rPr>
              <w:instrText xml:space="preserve"> PAGEREF _Toc119069854 \h </w:instrText>
            </w:r>
            <w:r w:rsidR="007A17B2">
              <w:rPr>
                <w:webHidden/>
              </w:rPr>
            </w:r>
            <w:r w:rsidR="007A17B2">
              <w:rPr>
                <w:webHidden/>
              </w:rPr>
              <w:fldChar w:fldCharType="separate"/>
            </w:r>
            <w:r w:rsidR="007A17B2">
              <w:rPr>
                <w:webHidden/>
              </w:rPr>
              <w:t>13</w:t>
            </w:r>
            <w:r w:rsidR="007A17B2">
              <w:rPr>
                <w:webHidden/>
              </w:rPr>
              <w:fldChar w:fldCharType="end"/>
            </w:r>
          </w:hyperlink>
        </w:p>
        <w:p w14:paraId="684511FB" w14:textId="04A61FFA" w:rsidR="007A17B2" w:rsidRDefault="007576E4">
          <w:pPr>
            <w:pStyle w:val="TOC2"/>
            <w:rPr>
              <w:rFonts w:asciiTheme="minorHAnsi" w:eastAsiaTheme="minorEastAsia" w:hAnsiTheme="minorHAnsi"/>
              <w:lang w:eastAsia="en-AU"/>
            </w:rPr>
          </w:pPr>
          <w:hyperlink w:anchor="_Toc119069855" w:history="1">
            <w:r w:rsidR="007A17B2" w:rsidRPr="0029758A">
              <w:rPr>
                <w:rStyle w:val="Hyperlink"/>
                <w:lang w:eastAsia="ja-JP"/>
              </w:rPr>
              <w:t>Key issue 8: First Nations people</w:t>
            </w:r>
            <w:r w:rsidR="007A17B2">
              <w:rPr>
                <w:webHidden/>
              </w:rPr>
              <w:tab/>
            </w:r>
            <w:r w:rsidR="007A17B2">
              <w:rPr>
                <w:webHidden/>
              </w:rPr>
              <w:fldChar w:fldCharType="begin"/>
            </w:r>
            <w:r w:rsidR="007A17B2">
              <w:rPr>
                <w:webHidden/>
              </w:rPr>
              <w:instrText xml:space="preserve"> PAGEREF _Toc119069855 \h </w:instrText>
            </w:r>
            <w:r w:rsidR="007A17B2">
              <w:rPr>
                <w:webHidden/>
              </w:rPr>
            </w:r>
            <w:r w:rsidR="007A17B2">
              <w:rPr>
                <w:webHidden/>
              </w:rPr>
              <w:fldChar w:fldCharType="separate"/>
            </w:r>
            <w:r w:rsidR="007A17B2">
              <w:rPr>
                <w:webHidden/>
              </w:rPr>
              <w:t>14</w:t>
            </w:r>
            <w:r w:rsidR="007A17B2">
              <w:rPr>
                <w:webHidden/>
              </w:rPr>
              <w:fldChar w:fldCharType="end"/>
            </w:r>
          </w:hyperlink>
        </w:p>
        <w:p w14:paraId="3CCFC897" w14:textId="6F6505C3" w:rsidR="007A17B2" w:rsidRDefault="007576E4">
          <w:pPr>
            <w:pStyle w:val="TOC2"/>
            <w:rPr>
              <w:rFonts w:asciiTheme="minorHAnsi" w:eastAsiaTheme="minorEastAsia" w:hAnsiTheme="minorHAnsi"/>
              <w:lang w:eastAsia="en-AU"/>
            </w:rPr>
          </w:pPr>
          <w:hyperlink w:anchor="_Toc119069856" w:history="1">
            <w:r w:rsidR="007A17B2" w:rsidRPr="0029758A">
              <w:rPr>
                <w:rStyle w:val="Hyperlink"/>
                <w:lang w:eastAsia="ja-JP"/>
              </w:rPr>
              <w:t>Key issue 9: Intersecting policy areas</w:t>
            </w:r>
            <w:r w:rsidR="007A17B2">
              <w:rPr>
                <w:webHidden/>
              </w:rPr>
              <w:tab/>
            </w:r>
            <w:r w:rsidR="007A17B2">
              <w:rPr>
                <w:webHidden/>
              </w:rPr>
              <w:fldChar w:fldCharType="begin"/>
            </w:r>
            <w:r w:rsidR="007A17B2">
              <w:rPr>
                <w:webHidden/>
              </w:rPr>
              <w:instrText xml:space="preserve"> PAGEREF _Toc119069856 \h </w:instrText>
            </w:r>
            <w:r w:rsidR="007A17B2">
              <w:rPr>
                <w:webHidden/>
              </w:rPr>
            </w:r>
            <w:r w:rsidR="007A17B2">
              <w:rPr>
                <w:webHidden/>
              </w:rPr>
              <w:fldChar w:fldCharType="separate"/>
            </w:r>
            <w:r w:rsidR="007A17B2">
              <w:rPr>
                <w:webHidden/>
              </w:rPr>
              <w:t>14</w:t>
            </w:r>
            <w:r w:rsidR="007A17B2">
              <w:rPr>
                <w:webHidden/>
              </w:rPr>
              <w:fldChar w:fldCharType="end"/>
            </w:r>
          </w:hyperlink>
        </w:p>
        <w:p w14:paraId="0A4F0CBE" w14:textId="3DD15634" w:rsidR="007A17B2" w:rsidRDefault="007576E4">
          <w:pPr>
            <w:pStyle w:val="TOC2"/>
            <w:rPr>
              <w:rFonts w:asciiTheme="minorHAnsi" w:eastAsiaTheme="minorEastAsia" w:hAnsiTheme="minorHAnsi"/>
              <w:lang w:eastAsia="en-AU"/>
            </w:rPr>
          </w:pPr>
          <w:hyperlink w:anchor="_Toc119069857" w:history="1">
            <w:r w:rsidR="007A17B2" w:rsidRPr="0029758A">
              <w:rPr>
                <w:rStyle w:val="Hyperlink"/>
                <w:lang w:eastAsia="ja-JP"/>
              </w:rPr>
              <w:t>Key issue 10: Principles</w:t>
            </w:r>
            <w:r w:rsidR="007A17B2">
              <w:rPr>
                <w:webHidden/>
              </w:rPr>
              <w:tab/>
            </w:r>
            <w:r w:rsidR="007A17B2">
              <w:rPr>
                <w:webHidden/>
              </w:rPr>
              <w:fldChar w:fldCharType="begin"/>
            </w:r>
            <w:r w:rsidR="007A17B2">
              <w:rPr>
                <w:webHidden/>
              </w:rPr>
              <w:instrText xml:space="preserve"> PAGEREF _Toc119069857 \h </w:instrText>
            </w:r>
            <w:r w:rsidR="007A17B2">
              <w:rPr>
                <w:webHidden/>
              </w:rPr>
            </w:r>
            <w:r w:rsidR="007A17B2">
              <w:rPr>
                <w:webHidden/>
              </w:rPr>
              <w:fldChar w:fldCharType="separate"/>
            </w:r>
            <w:r w:rsidR="007A17B2">
              <w:rPr>
                <w:webHidden/>
              </w:rPr>
              <w:t>15</w:t>
            </w:r>
            <w:r w:rsidR="007A17B2">
              <w:rPr>
                <w:webHidden/>
              </w:rPr>
              <w:fldChar w:fldCharType="end"/>
            </w:r>
          </w:hyperlink>
        </w:p>
        <w:p w14:paraId="15A89E3B" w14:textId="50267185" w:rsidR="007A17B2" w:rsidRDefault="007576E4">
          <w:pPr>
            <w:pStyle w:val="TOC2"/>
            <w:rPr>
              <w:rFonts w:asciiTheme="minorHAnsi" w:eastAsiaTheme="minorEastAsia" w:hAnsiTheme="minorHAnsi"/>
              <w:lang w:eastAsia="en-AU"/>
            </w:rPr>
          </w:pPr>
          <w:hyperlink w:anchor="_Toc119069858" w:history="1">
            <w:r w:rsidR="007A17B2" w:rsidRPr="0029758A">
              <w:rPr>
                <w:rStyle w:val="Hyperlink"/>
                <w:lang w:eastAsia="ja-JP"/>
              </w:rPr>
              <w:t>Key issue 11: Monitoring, evaluation, learning and reporting</w:t>
            </w:r>
            <w:r w:rsidR="007A17B2">
              <w:rPr>
                <w:webHidden/>
              </w:rPr>
              <w:tab/>
            </w:r>
            <w:r w:rsidR="007A17B2">
              <w:rPr>
                <w:webHidden/>
              </w:rPr>
              <w:fldChar w:fldCharType="begin"/>
            </w:r>
            <w:r w:rsidR="007A17B2">
              <w:rPr>
                <w:webHidden/>
              </w:rPr>
              <w:instrText xml:space="preserve"> PAGEREF _Toc119069858 \h </w:instrText>
            </w:r>
            <w:r w:rsidR="007A17B2">
              <w:rPr>
                <w:webHidden/>
              </w:rPr>
            </w:r>
            <w:r w:rsidR="007A17B2">
              <w:rPr>
                <w:webHidden/>
              </w:rPr>
              <w:fldChar w:fldCharType="separate"/>
            </w:r>
            <w:r w:rsidR="007A17B2">
              <w:rPr>
                <w:webHidden/>
              </w:rPr>
              <w:t>16</w:t>
            </w:r>
            <w:r w:rsidR="007A17B2">
              <w:rPr>
                <w:webHidden/>
              </w:rPr>
              <w:fldChar w:fldCharType="end"/>
            </w:r>
          </w:hyperlink>
        </w:p>
        <w:p w14:paraId="00CB02AC" w14:textId="5880F37A" w:rsidR="007A17B2" w:rsidRDefault="007576E4">
          <w:pPr>
            <w:pStyle w:val="TOC2"/>
            <w:rPr>
              <w:rFonts w:asciiTheme="minorHAnsi" w:eastAsiaTheme="minorEastAsia" w:hAnsiTheme="minorHAnsi"/>
              <w:lang w:eastAsia="en-AU"/>
            </w:rPr>
          </w:pPr>
          <w:hyperlink w:anchor="_Toc119069859" w:history="1">
            <w:r w:rsidR="007A17B2" w:rsidRPr="0029758A">
              <w:rPr>
                <w:rStyle w:val="Hyperlink"/>
                <w:lang w:eastAsia="ja-JP"/>
              </w:rPr>
              <w:t>Key issue 12: Readability</w:t>
            </w:r>
            <w:r w:rsidR="007A17B2">
              <w:rPr>
                <w:webHidden/>
              </w:rPr>
              <w:tab/>
            </w:r>
            <w:r w:rsidR="007A17B2">
              <w:rPr>
                <w:webHidden/>
              </w:rPr>
              <w:fldChar w:fldCharType="begin"/>
            </w:r>
            <w:r w:rsidR="007A17B2">
              <w:rPr>
                <w:webHidden/>
              </w:rPr>
              <w:instrText xml:space="preserve"> PAGEREF _Toc119069859 \h </w:instrText>
            </w:r>
            <w:r w:rsidR="007A17B2">
              <w:rPr>
                <w:webHidden/>
              </w:rPr>
            </w:r>
            <w:r w:rsidR="007A17B2">
              <w:rPr>
                <w:webHidden/>
              </w:rPr>
              <w:fldChar w:fldCharType="separate"/>
            </w:r>
            <w:r w:rsidR="007A17B2">
              <w:rPr>
                <w:webHidden/>
              </w:rPr>
              <w:t>17</w:t>
            </w:r>
            <w:r w:rsidR="007A17B2">
              <w:rPr>
                <w:webHidden/>
              </w:rPr>
              <w:fldChar w:fldCharType="end"/>
            </w:r>
          </w:hyperlink>
        </w:p>
        <w:p w14:paraId="07322DAC" w14:textId="41942F05" w:rsidR="007A17B2" w:rsidRDefault="007576E4">
          <w:pPr>
            <w:pStyle w:val="TOC1"/>
            <w:rPr>
              <w:rFonts w:asciiTheme="minorHAnsi" w:eastAsiaTheme="minorEastAsia" w:hAnsiTheme="minorHAnsi"/>
              <w:b w:val="0"/>
              <w:lang w:eastAsia="en-AU"/>
            </w:rPr>
          </w:pPr>
          <w:hyperlink w:anchor="_Toc119069860" w:history="1">
            <w:r w:rsidR="007A17B2" w:rsidRPr="0029758A">
              <w:rPr>
                <w:rStyle w:val="Hyperlink"/>
              </w:rPr>
              <w:t>Summary of key issues and recommendations</w:t>
            </w:r>
            <w:r w:rsidR="007A17B2">
              <w:rPr>
                <w:webHidden/>
              </w:rPr>
              <w:tab/>
            </w:r>
            <w:r w:rsidR="007A17B2">
              <w:rPr>
                <w:webHidden/>
              </w:rPr>
              <w:fldChar w:fldCharType="begin"/>
            </w:r>
            <w:r w:rsidR="007A17B2">
              <w:rPr>
                <w:webHidden/>
              </w:rPr>
              <w:instrText xml:space="preserve"> PAGEREF _Toc119069860 \h </w:instrText>
            </w:r>
            <w:r w:rsidR="007A17B2">
              <w:rPr>
                <w:webHidden/>
              </w:rPr>
            </w:r>
            <w:r w:rsidR="007A17B2">
              <w:rPr>
                <w:webHidden/>
              </w:rPr>
              <w:fldChar w:fldCharType="separate"/>
            </w:r>
            <w:r w:rsidR="007A17B2">
              <w:rPr>
                <w:webHidden/>
              </w:rPr>
              <w:t>18</w:t>
            </w:r>
            <w:r w:rsidR="007A17B2">
              <w:rPr>
                <w:webHidden/>
              </w:rPr>
              <w:fldChar w:fldCharType="end"/>
            </w:r>
          </w:hyperlink>
        </w:p>
        <w:p w14:paraId="2238A40B" w14:textId="2B0EC0E8" w:rsidR="00764D6A" w:rsidRDefault="00E91D72" w:rsidP="000113EB">
          <w:pPr>
            <w:pStyle w:val="TOC1"/>
          </w:pPr>
          <w:r>
            <w:rPr>
              <w:b w:val="0"/>
            </w:rPr>
            <w:fldChar w:fldCharType="end"/>
          </w:r>
        </w:p>
      </w:sdtContent>
    </w:sdt>
    <w:p w14:paraId="71F9F842" w14:textId="77777777" w:rsidR="00764D6A" w:rsidRDefault="00E91D72">
      <w:pPr>
        <w:pStyle w:val="TOCHeading2"/>
        <w:rPr>
          <w:rStyle w:val="Strong"/>
        </w:rPr>
      </w:pPr>
      <w:r>
        <w:rPr>
          <w:rStyle w:val="Strong"/>
        </w:rPr>
        <w:t>Tables</w:t>
      </w:r>
    </w:p>
    <w:p w14:paraId="1DC0CAC1" w14:textId="3B438FA5" w:rsidR="007A17B2" w:rsidRDefault="00E91D72">
      <w:pPr>
        <w:pStyle w:val="TableofFigures"/>
        <w:tabs>
          <w:tab w:val="right" w:leader="dot" w:pos="9060"/>
        </w:tabs>
        <w:rPr>
          <w:rFonts w:asciiTheme="minorHAnsi" w:eastAsiaTheme="minorEastAsia" w:hAnsiTheme="minorHAnsi"/>
          <w:noProof/>
          <w:lang w:eastAsia="en-AU"/>
        </w:rPr>
      </w:pPr>
      <w:r>
        <w:rPr>
          <w:rStyle w:val="Hyperlink"/>
        </w:rPr>
        <w:fldChar w:fldCharType="begin"/>
      </w:r>
      <w:r>
        <w:rPr>
          <w:rStyle w:val="Hyperlink"/>
          <w:noProof/>
        </w:rPr>
        <w:instrText xml:space="preserve"> TOC \h \z \c "Table" </w:instrText>
      </w:r>
      <w:r>
        <w:rPr>
          <w:rStyle w:val="Hyperlink"/>
        </w:rPr>
        <w:fldChar w:fldCharType="separate"/>
      </w:r>
      <w:hyperlink w:anchor="_Toc119069861" w:history="1">
        <w:r w:rsidR="007A17B2" w:rsidRPr="00260288">
          <w:rPr>
            <w:rStyle w:val="Hyperlink"/>
            <w:noProof/>
          </w:rPr>
          <w:t>Table 1 Key issues and recommendations</w:t>
        </w:r>
        <w:r w:rsidR="007A17B2">
          <w:rPr>
            <w:noProof/>
            <w:webHidden/>
          </w:rPr>
          <w:tab/>
        </w:r>
        <w:r w:rsidR="007A17B2">
          <w:rPr>
            <w:noProof/>
            <w:webHidden/>
          </w:rPr>
          <w:fldChar w:fldCharType="begin"/>
        </w:r>
        <w:r w:rsidR="007A17B2">
          <w:rPr>
            <w:noProof/>
            <w:webHidden/>
          </w:rPr>
          <w:instrText xml:space="preserve"> PAGEREF _Toc119069861 \h </w:instrText>
        </w:r>
        <w:r w:rsidR="007A17B2">
          <w:rPr>
            <w:noProof/>
            <w:webHidden/>
          </w:rPr>
        </w:r>
        <w:r w:rsidR="007A17B2">
          <w:rPr>
            <w:noProof/>
            <w:webHidden/>
          </w:rPr>
          <w:fldChar w:fldCharType="separate"/>
        </w:r>
        <w:r w:rsidR="007A17B2">
          <w:rPr>
            <w:noProof/>
            <w:webHidden/>
          </w:rPr>
          <w:t>18</w:t>
        </w:r>
        <w:r w:rsidR="007A17B2">
          <w:rPr>
            <w:noProof/>
            <w:webHidden/>
          </w:rPr>
          <w:fldChar w:fldCharType="end"/>
        </w:r>
      </w:hyperlink>
    </w:p>
    <w:p w14:paraId="0114102F" w14:textId="082F1AEB" w:rsidR="000113EB" w:rsidRPr="000113EB" w:rsidRDefault="00E91D72" w:rsidP="00BA5A91">
      <w:pPr>
        <w:pStyle w:val="TableofFigures"/>
        <w:tabs>
          <w:tab w:val="right" w:leader="dot" w:pos="9060"/>
        </w:tabs>
        <w:rPr>
          <w:noProof/>
        </w:rPr>
      </w:pPr>
      <w:r>
        <w:rPr>
          <w:noProof/>
        </w:rPr>
        <w:fldChar w:fldCharType="end"/>
      </w:r>
    </w:p>
    <w:p w14:paraId="3AD6CA12" w14:textId="77777777" w:rsidR="00764D6A" w:rsidRDefault="00E91D72">
      <w:pPr>
        <w:pStyle w:val="TOCHeading2"/>
        <w:rPr>
          <w:rStyle w:val="Strong"/>
        </w:rPr>
      </w:pPr>
      <w:r>
        <w:rPr>
          <w:rStyle w:val="Strong"/>
        </w:rPr>
        <w:t>Figures</w:t>
      </w:r>
    </w:p>
    <w:p w14:paraId="36E7C83D" w14:textId="1CA52C78" w:rsidR="007A17B2" w:rsidRDefault="00D91073">
      <w:pPr>
        <w:pStyle w:val="TableofFigures"/>
        <w:tabs>
          <w:tab w:val="right" w:leader="dot" w:pos="9060"/>
        </w:tabs>
        <w:rPr>
          <w:rFonts w:asciiTheme="minorHAnsi" w:eastAsiaTheme="minorEastAsia" w:hAnsiTheme="minorHAnsi"/>
          <w:noProof/>
          <w:lang w:eastAsia="en-AU"/>
        </w:rPr>
      </w:pPr>
      <w:r>
        <w:fldChar w:fldCharType="begin"/>
      </w:r>
      <w:r>
        <w:instrText xml:space="preserve"> TOC \h \z \c "Figure" </w:instrText>
      </w:r>
      <w:r>
        <w:fldChar w:fldCharType="separate"/>
      </w:r>
      <w:hyperlink w:anchor="_Toc119069862" w:history="1">
        <w:r w:rsidR="007A17B2" w:rsidRPr="00180D19">
          <w:rPr>
            <w:rStyle w:val="Hyperlink"/>
            <w:noProof/>
          </w:rPr>
          <w:t>Figure 1</w:t>
        </w:r>
        <w:r w:rsidR="007A17B2" w:rsidRPr="00180D19">
          <w:rPr>
            <w:rStyle w:val="Hyperlink"/>
            <w:noProof/>
            <w:lang w:eastAsia="ja-JP"/>
          </w:rPr>
          <w:t xml:space="preserve"> Progression of Australian drought policy</w:t>
        </w:r>
        <w:r w:rsidR="007A17B2">
          <w:rPr>
            <w:noProof/>
            <w:webHidden/>
          </w:rPr>
          <w:tab/>
        </w:r>
        <w:r w:rsidR="007A17B2">
          <w:rPr>
            <w:noProof/>
            <w:webHidden/>
          </w:rPr>
          <w:fldChar w:fldCharType="begin"/>
        </w:r>
        <w:r w:rsidR="007A17B2">
          <w:rPr>
            <w:noProof/>
            <w:webHidden/>
          </w:rPr>
          <w:instrText xml:space="preserve"> PAGEREF _Toc119069862 \h </w:instrText>
        </w:r>
        <w:r w:rsidR="007A17B2">
          <w:rPr>
            <w:noProof/>
            <w:webHidden/>
          </w:rPr>
        </w:r>
        <w:r w:rsidR="007A17B2">
          <w:rPr>
            <w:noProof/>
            <w:webHidden/>
          </w:rPr>
          <w:fldChar w:fldCharType="separate"/>
        </w:r>
        <w:r w:rsidR="007A17B2">
          <w:rPr>
            <w:noProof/>
            <w:webHidden/>
          </w:rPr>
          <w:t>2</w:t>
        </w:r>
        <w:r w:rsidR="007A17B2">
          <w:rPr>
            <w:noProof/>
            <w:webHidden/>
          </w:rPr>
          <w:fldChar w:fldCharType="end"/>
        </w:r>
      </w:hyperlink>
    </w:p>
    <w:p w14:paraId="74F9ABB1" w14:textId="628E4416" w:rsidR="007A17B2" w:rsidRDefault="007576E4">
      <w:pPr>
        <w:pStyle w:val="TableofFigures"/>
        <w:tabs>
          <w:tab w:val="right" w:leader="dot" w:pos="9060"/>
        </w:tabs>
        <w:rPr>
          <w:rFonts w:asciiTheme="minorHAnsi" w:eastAsiaTheme="minorEastAsia" w:hAnsiTheme="minorHAnsi"/>
          <w:noProof/>
          <w:lang w:eastAsia="en-AU"/>
        </w:rPr>
      </w:pPr>
      <w:hyperlink w:anchor="_Toc119069863" w:history="1">
        <w:r w:rsidR="007A17B2" w:rsidRPr="00180D19">
          <w:rPr>
            <w:rStyle w:val="Hyperlink"/>
            <w:noProof/>
          </w:rPr>
          <w:t>Figure 2 Timeline</w:t>
        </w:r>
        <w:r w:rsidR="007A17B2">
          <w:rPr>
            <w:noProof/>
            <w:webHidden/>
          </w:rPr>
          <w:tab/>
        </w:r>
        <w:r w:rsidR="007A17B2">
          <w:rPr>
            <w:noProof/>
            <w:webHidden/>
          </w:rPr>
          <w:fldChar w:fldCharType="begin"/>
        </w:r>
        <w:r w:rsidR="007A17B2">
          <w:rPr>
            <w:noProof/>
            <w:webHidden/>
          </w:rPr>
          <w:instrText xml:space="preserve"> PAGEREF _Toc119069863 \h </w:instrText>
        </w:r>
        <w:r w:rsidR="007A17B2">
          <w:rPr>
            <w:noProof/>
            <w:webHidden/>
          </w:rPr>
        </w:r>
        <w:r w:rsidR="007A17B2">
          <w:rPr>
            <w:noProof/>
            <w:webHidden/>
          </w:rPr>
          <w:fldChar w:fldCharType="separate"/>
        </w:r>
        <w:r w:rsidR="007A17B2">
          <w:rPr>
            <w:noProof/>
            <w:webHidden/>
          </w:rPr>
          <w:t>7</w:t>
        </w:r>
        <w:r w:rsidR="007A17B2">
          <w:rPr>
            <w:noProof/>
            <w:webHidden/>
          </w:rPr>
          <w:fldChar w:fldCharType="end"/>
        </w:r>
      </w:hyperlink>
    </w:p>
    <w:p w14:paraId="293C95D8" w14:textId="6B884305" w:rsidR="007A17B2" w:rsidRDefault="007576E4">
      <w:pPr>
        <w:pStyle w:val="TableofFigures"/>
        <w:tabs>
          <w:tab w:val="right" w:leader="dot" w:pos="9060"/>
        </w:tabs>
        <w:rPr>
          <w:rFonts w:asciiTheme="minorHAnsi" w:eastAsiaTheme="minorEastAsia" w:hAnsiTheme="minorHAnsi"/>
          <w:noProof/>
          <w:lang w:eastAsia="en-AU"/>
        </w:rPr>
      </w:pPr>
      <w:hyperlink w:anchor="_Toc119069864" w:history="1">
        <w:r w:rsidR="007A17B2" w:rsidRPr="00180D19">
          <w:rPr>
            <w:rStyle w:val="Hyperlink"/>
            <w:noProof/>
          </w:rPr>
          <w:t>Figure 3 Relative frequency of key themes mentioned in responses to the review</w:t>
        </w:r>
        <w:r w:rsidR="007A17B2">
          <w:rPr>
            <w:noProof/>
            <w:webHidden/>
          </w:rPr>
          <w:tab/>
        </w:r>
        <w:r w:rsidR="007A17B2">
          <w:rPr>
            <w:noProof/>
            <w:webHidden/>
          </w:rPr>
          <w:fldChar w:fldCharType="begin"/>
        </w:r>
        <w:r w:rsidR="007A17B2">
          <w:rPr>
            <w:noProof/>
            <w:webHidden/>
          </w:rPr>
          <w:instrText xml:space="preserve"> PAGEREF _Toc119069864 \h </w:instrText>
        </w:r>
        <w:r w:rsidR="007A17B2">
          <w:rPr>
            <w:noProof/>
            <w:webHidden/>
          </w:rPr>
        </w:r>
        <w:r w:rsidR="007A17B2">
          <w:rPr>
            <w:noProof/>
            <w:webHidden/>
          </w:rPr>
          <w:fldChar w:fldCharType="separate"/>
        </w:r>
        <w:r w:rsidR="007A17B2">
          <w:rPr>
            <w:noProof/>
            <w:webHidden/>
          </w:rPr>
          <w:t>8</w:t>
        </w:r>
        <w:r w:rsidR="007A17B2">
          <w:rPr>
            <w:noProof/>
            <w:webHidden/>
          </w:rPr>
          <w:fldChar w:fldCharType="end"/>
        </w:r>
      </w:hyperlink>
    </w:p>
    <w:p w14:paraId="2A470C03" w14:textId="144D52B8" w:rsidR="00B827DF" w:rsidRDefault="00D91073" w:rsidP="002932DD">
      <w:pPr>
        <w:rPr>
          <w:b/>
          <w:bCs/>
          <w:noProof/>
          <w:lang w:val="en-US"/>
        </w:rPr>
        <w:sectPr w:rsidR="00B827DF" w:rsidSect="007A4C06">
          <w:headerReference w:type="default" r:id="rId16"/>
          <w:footerReference w:type="default" r:id="rId17"/>
          <w:headerReference w:type="first" r:id="rId18"/>
          <w:pgSz w:w="11906" w:h="16838"/>
          <w:pgMar w:top="1418" w:right="1418" w:bottom="1418" w:left="1418" w:header="567" w:footer="283" w:gutter="0"/>
          <w:pgNumType w:fmt="lowerRoman" w:start="1"/>
          <w:cols w:space="708"/>
          <w:titlePg/>
          <w:docGrid w:linePitch="360"/>
        </w:sectPr>
      </w:pPr>
      <w:r>
        <w:rPr>
          <w:b/>
          <w:bCs/>
          <w:noProof/>
          <w:lang w:val="en-US"/>
        </w:rPr>
        <w:fldChar w:fldCharType="end"/>
      </w:r>
    </w:p>
    <w:p w14:paraId="7538D01C" w14:textId="6CB8E597" w:rsidR="005D3934" w:rsidRDefault="00F572A6">
      <w:pPr>
        <w:pStyle w:val="Heading2"/>
        <w:numPr>
          <w:ilvl w:val="0"/>
          <w:numId w:val="0"/>
        </w:numPr>
        <w:ind w:left="709" w:hanging="709"/>
      </w:pPr>
      <w:bookmarkStart w:id="0" w:name="_Toc119069839"/>
      <w:r>
        <w:lastRenderedPageBreak/>
        <w:t>S</w:t>
      </w:r>
      <w:r w:rsidR="005D3934">
        <w:t>ummary</w:t>
      </w:r>
      <w:bookmarkEnd w:id="0"/>
    </w:p>
    <w:p w14:paraId="41AF9EBA" w14:textId="3994BEC1" w:rsidR="005D3934" w:rsidRDefault="005D3934" w:rsidP="005D3934">
      <w:pPr>
        <w:rPr>
          <w:lang w:eastAsia="ja-JP"/>
        </w:rPr>
      </w:pPr>
      <w:r>
        <w:rPr>
          <w:lang w:eastAsia="ja-JP"/>
        </w:rPr>
        <w:t xml:space="preserve">Australia is the driest inhabited continent in the world and drought is a recurring feature of </w:t>
      </w:r>
      <w:r w:rsidR="00814CB1">
        <w:rPr>
          <w:lang w:eastAsia="ja-JP"/>
        </w:rPr>
        <w:t>Australia’s climate</w:t>
      </w:r>
      <w:r>
        <w:rPr>
          <w:lang w:eastAsia="ja-JP"/>
        </w:rPr>
        <w:t xml:space="preserve">. Australian farmers are some of the best in the world in innovation and adaption, and are getting better at handling dry conditions. There is already evidence of strong farm adaptation responses </w:t>
      </w:r>
      <w:r w:rsidR="00FF4AF9">
        <w:rPr>
          <w:lang w:eastAsia="ja-JP"/>
        </w:rPr>
        <w:t xml:space="preserve">to </w:t>
      </w:r>
      <w:r w:rsidR="00F14772">
        <w:rPr>
          <w:lang w:eastAsia="ja-JP"/>
        </w:rPr>
        <w:t>climate change</w:t>
      </w:r>
      <w:r>
        <w:rPr>
          <w:lang w:eastAsia="ja-JP"/>
        </w:rPr>
        <w:t xml:space="preserve"> with improvements in technology and management practices helping to increase farm productivity. However, with drought events expected to become more frequent, widespread, prolonged and severe in many regions as a result of climate change, unique challenges will arise </w:t>
      </w:r>
      <w:r w:rsidR="003C0297">
        <w:rPr>
          <w:lang w:eastAsia="ja-JP"/>
        </w:rPr>
        <w:t>f</w:t>
      </w:r>
      <w:r>
        <w:rPr>
          <w:lang w:eastAsia="ja-JP"/>
        </w:rPr>
        <w:t>or farming businesses and communities no matter how resilient and prepared</w:t>
      </w:r>
      <w:r w:rsidR="002B66C3">
        <w:rPr>
          <w:lang w:eastAsia="ja-JP"/>
        </w:rPr>
        <w:t xml:space="preserve"> they are</w:t>
      </w:r>
      <w:r>
        <w:rPr>
          <w:lang w:eastAsia="ja-JP"/>
        </w:rPr>
        <w:t>.</w:t>
      </w:r>
    </w:p>
    <w:p w14:paraId="09690B8F" w14:textId="1A66BE78" w:rsidR="005D3934" w:rsidRDefault="005D3934" w:rsidP="005D3934">
      <w:pPr>
        <w:rPr>
          <w:lang w:eastAsia="ja-JP"/>
        </w:rPr>
      </w:pPr>
      <w:r>
        <w:rPr>
          <w:lang w:eastAsia="ja-JP"/>
        </w:rPr>
        <w:t>We need a shared effort to ensure we are better placed come the next drought. Farm businesses have a responsibility to prepare for, manage through</w:t>
      </w:r>
      <w:r w:rsidR="00FF4AF9">
        <w:rPr>
          <w:lang w:eastAsia="ja-JP"/>
        </w:rPr>
        <w:t>,</w:t>
      </w:r>
      <w:r>
        <w:rPr>
          <w:lang w:eastAsia="ja-JP"/>
        </w:rPr>
        <w:t xml:space="preserve"> and recover from drought by taking active steps to </w:t>
      </w:r>
      <w:r w:rsidR="00785381" w:rsidRPr="00785381">
        <w:rPr>
          <w:lang w:eastAsia="ja-JP"/>
        </w:rPr>
        <w:t>build resilience to</w:t>
      </w:r>
      <w:r w:rsidR="00FF4AF9">
        <w:rPr>
          <w:lang w:eastAsia="ja-JP"/>
        </w:rPr>
        <w:t>,</w:t>
      </w:r>
      <w:r w:rsidR="00785381" w:rsidRPr="00785381">
        <w:rPr>
          <w:lang w:eastAsia="ja-JP"/>
        </w:rPr>
        <w:t xml:space="preserve"> and </w:t>
      </w:r>
      <w:r>
        <w:rPr>
          <w:lang w:eastAsia="ja-JP"/>
        </w:rPr>
        <w:t>manage farm-level risks associated with</w:t>
      </w:r>
      <w:r w:rsidR="00FF4AF9">
        <w:rPr>
          <w:lang w:eastAsia="ja-JP"/>
        </w:rPr>
        <w:t>,</w:t>
      </w:r>
      <w:r>
        <w:rPr>
          <w:lang w:eastAsia="ja-JP"/>
        </w:rPr>
        <w:t xml:space="preserve"> drought.</w:t>
      </w:r>
    </w:p>
    <w:p w14:paraId="1DED1317" w14:textId="762F1F35" w:rsidR="005D3934" w:rsidRDefault="005D3934" w:rsidP="005D3934">
      <w:pPr>
        <w:rPr>
          <w:lang w:eastAsia="ja-JP"/>
        </w:rPr>
      </w:pPr>
      <w:r>
        <w:rPr>
          <w:lang w:eastAsia="ja-JP"/>
        </w:rPr>
        <w:t xml:space="preserve">Governments must also be prepared. The shared approach to drought policy by </w:t>
      </w:r>
      <w:r w:rsidR="00CA6D2D">
        <w:rPr>
          <w:lang w:eastAsia="ja-JP"/>
        </w:rPr>
        <w:t>the Australian Government and</w:t>
      </w:r>
      <w:r>
        <w:rPr>
          <w:lang w:eastAsia="ja-JP"/>
        </w:rPr>
        <w:t xml:space="preserve"> state and territory governments dates back to the early 1990s, and continues to evolve over time. Successive drought policies and intergovernmental agreements have increasing</w:t>
      </w:r>
      <w:r w:rsidR="00814CB1">
        <w:rPr>
          <w:lang w:eastAsia="ja-JP"/>
        </w:rPr>
        <w:t>ly</w:t>
      </w:r>
      <w:r>
        <w:rPr>
          <w:lang w:eastAsia="ja-JP"/>
        </w:rPr>
        <w:t xml:space="preserve"> emphasis</w:t>
      </w:r>
      <w:r w:rsidR="00814CB1">
        <w:rPr>
          <w:lang w:eastAsia="ja-JP"/>
        </w:rPr>
        <w:t>ed</w:t>
      </w:r>
      <w:r>
        <w:rPr>
          <w:lang w:eastAsia="ja-JP"/>
        </w:rPr>
        <w:t xml:space="preserve"> long-term preparedness, sustainability, resilience and risk management. This approach is consistent with </w:t>
      </w:r>
      <w:r w:rsidR="002B66C3">
        <w:rPr>
          <w:lang w:eastAsia="ja-JP"/>
        </w:rPr>
        <w:t xml:space="preserve">agriculture </w:t>
      </w:r>
      <w:r>
        <w:rPr>
          <w:lang w:eastAsia="ja-JP"/>
        </w:rPr>
        <w:t>industry and business expectations about the respective roles of the farming sector and government</w:t>
      </w:r>
      <w:r w:rsidRPr="00BD19AC">
        <w:rPr>
          <w:lang w:eastAsia="ja-JP"/>
        </w:rPr>
        <w:t>.</w:t>
      </w:r>
    </w:p>
    <w:p w14:paraId="128FE3DD" w14:textId="69ED3A19" w:rsidR="005A32B2" w:rsidRDefault="005A32B2" w:rsidP="005D3934">
      <w:pPr>
        <w:rPr>
          <w:lang w:eastAsia="ja-JP"/>
        </w:rPr>
      </w:pPr>
      <w:r>
        <w:rPr>
          <w:lang w:eastAsia="ja-JP"/>
        </w:rPr>
        <w:t xml:space="preserve">The significant effort that has been invested over decades to improve drought policy speaks to the inherent complexities that need to be navigated. Drought is relatively common in Australia, but </w:t>
      </w:r>
      <w:r w:rsidRPr="00814CB1">
        <w:rPr>
          <w:lang w:eastAsia="ja-JP"/>
        </w:rPr>
        <w:t xml:space="preserve">every drought is different and there are significant regional variations in how </w:t>
      </w:r>
      <w:r>
        <w:rPr>
          <w:lang w:eastAsia="ja-JP"/>
        </w:rPr>
        <w:t>it is experienced. While it is inextricably linked to climate variability and climate change, it remains a discrete challenge requiring a dedicated intergovernmental response that is fit for purpose.</w:t>
      </w:r>
    </w:p>
    <w:p w14:paraId="55E5F8CC" w14:textId="7179E660" w:rsidR="00580C26" w:rsidRDefault="00F0084D" w:rsidP="00580C26">
      <w:pPr>
        <w:pStyle w:val="Caption"/>
        <w:rPr>
          <w:lang w:eastAsia="ja-JP"/>
        </w:rPr>
      </w:pPr>
      <w:bookmarkStart w:id="1" w:name="_Toc119069862"/>
      <w:r>
        <w:lastRenderedPageBreak/>
        <w:t xml:space="preserve">Figure </w:t>
      </w:r>
      <w:fldSimple w:instr=" SEQ Figure \* ARABIC ">
        <w:r w:rsidR="008E3158">
          <w:rPr>
            <w:noProof/>
          </w:rPr>
          <w:t>1</w:t>
        </w:r>
      </w:fldSimple>
      <w:r>
        <w:rPr>
          <w:lang w:eastAsia="ja-JP"/>
        </w:rPr>
        <w:t xml:space="preserve"> Progression of Australian drought policy</w:t>
      </w:r>
      <w:bookmarkEnd w:id="1"/>
    </w:p>
    <w:p w14:paraId="59B3E0C0" w14:textId="1100A056" w:rsidR="00914B63" w:rsidRPr="00914B63" w:rsidRDefault="00914B63" w:rsidP="00914B63">
      <w:pPr>
        <w:rPr>
          <w:lang w:eastAsia="ja-JP"/>
        </w:rPr>
      </w:pPr>
      <w:r>
        <w:rPr>
          <w:noProof/>
        </w:rPr>
        <w:drawing>
          <wp:inline distT="0" distB="0" distL="0" distR="0" wp14:anchorId="6013C6AD" wp14:editId="39C4033A">
            <wp:extent cx="5902573" cy="5109923"/>
            <wp:effectExtent l="0" t="0" r="3175" b="0"/>
            <wp:docPr id="1" name="Picture 1" descr="The figure is a timeline of how drought policy has changed in Australia. &#10;In 1980 a review in the 1980s found previous drought policy was, poorly targeted, distorted farm input prices, and worked as a disincentive for farmers to prepare for drought.&#10;In 1989 drought was removed from the Natural Disaster Relief Arrangements. &#10;In 1992 the National Drought Policy was developed. It’s objectives were self-reliance, to protect agricultural and environmental resources, and facilitate early recovery.&#10;From 1997 to 2012, exceptional circumstance declarations were used. In exceptional drought where producers could not be expected to manage risk, farmers were supported through exceptional circumstance declarations. All jurisdictions agreed to remove transaction-based subsidies.&#10;In 2008 there was a national review of drought policy. The objectives that came out of the review were that drought policy should focus on preparedness, policy should also focus on living with dryness, rather than react to drought, and that in-drought assistance should consider impacts of drought on wellbeing, families, and communities.&#10;In May 2013, the Intergovernmental Agreement on National Drought Program Reform (IGA) was developed. This agreement outlined roles and responsibilities for implementing the new policy approach. It recognised that farm businesses needed to prepare for drought, rather than rely on in-drought assistance. Additionally, there was a decision to end exceptional circumstance declarations, with future income support to be based on need, not drought.&#10;In 2017 a working group of officials from all jurisdictions conducted a review of the IGA. The review informed the next iteration of the agreement.&#10;In 2018 the Council of Australian Governments signed the new National Drought Agreement (NDA).&#10;In 2020 the Future Drought Fund launched its first programs to build resilience to future droughts.&#10;And in 2022 a working group of officials from all jurisdictions conducted a review of the NDA and developed this report. Its recommendations will inform the next agre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figure is a timeline of how drought policy has changed in Australia. &#10;In 1980 a review in the 1980s found previous drought policy was, poorly targeted, distorted farm input prices, and worked as a disincentive for farmers to prepare for drought.&#10;In 1989 drought was removed from the Natural Disaster Relief Arrangements. &#10;In 1992 the National Drought Policy was developed. It’s objectives were self-reliance, to protect agricultural and environmental resources, and facilitate early recovery.&#10;From 1997 to 2012, exceptional circumstance declarations were used. In exceptional drought where producers could not be expected to manage risk, farmers were supported through exceptional circumstance declarations. All jurisdictions agreed to remove transaction-based subsidies.&#10;In 2008 there was a national review of drought policy. The objectives that came out of the review were that drought policy should focus on preparedness, policy should also focus on living with dryness, rather than react to drought, and that in-drought assistance should consider impacts of drought on wellbeing, families, and communities.&#10;In May 2013, the Intergovernmental Agreement on National Drought Program Reform (IGA) was developed. This agreement outlined roles and responsibilities for implementing the new policy approach. It recognised that farm businesses needed to prepare for drought, rather than rely on in-drought assistance. Additionally, there was a decision to end exceptional circumstance declarations, with future income support to be based on need, not drought.&#10;In 2017 a working group of officials from all jurisdictions conducted a review of the IGA. The review informed the next iteration of the agreement.&#10;In 2018 the Council of Australian Governments signed the new National Drought Agreement (NDA).&#10;In 2020 the Future Drought Fund launched its first programs to build resilience to future droughts.&#10;And in 2022 a working group of officials from all jurisdictions conducted a review of the NDA and developed this report. Its recommendations will inform the next agreement."/>
                    <pic:cNvPicPr/>
                  </pic:nvPicPr>
                  <pic:blipFill>
                    <a:blip r:embed="rId19"/>
                    <a:stretch>
                      <a:fillRect/>
                    </a:stretch>
                  </pic:blipFill>
                  <pic:spPr>
                    <a:xfrm>
                      <a:off x="0" y="0"/>
                      <a:ext cx="5908673" cy="5115204"/>
                    </a:xfrm>
                    <a:prstGeom prst="rect">
                      <a:avLst/>
                    </a:prstGeom>
                  </pic:spPr>
                </pic:pic>
              </a:graphicData>
            </a:graphic>
          </wp:inline>
        </w:drawing>
      </w:r>
    </w:p>
    <w:p w14:paraId="0B50DAEC" w14:textId="32735D5D" w:rsidR="005D3934" w:rsidRDefault="005D3934" w:rsidP="00580C26">
      <w:pPr>
        <w:spacing w:before="240"/>
        <w:rPr>
          <w:lang w:eastAsia="ja-JP"/>
        </w:rPr>
      </w:pPr>
      <w:r>
        <w:rPr>
          <w:lang w:eastAsia="ja-JP"/>
        </w:rPr>
        <w:t xml:space="preserve">The </w:t>
      </w:r>
      <w:hyperlink r:id="rId20" w:history="1">
        <w:r w:rsidRPr="00B9127B">
          <w:rPr>
            <w:rStyle w:val="Hyperlink"/>
            <w:lang w:eastAsia="ja-JP"/>
          </w:rPr>
          <w:t>National Drought Agreement</w:t>
        </w:r>
      </w:hyperlink>
      <w:r>
        <w:rPr>
          <w:lang w:eastAsia="ja-JP"/>
        </w:rPr>
        <w:t xml:space="preserve"> (NDA) is the current intergovernmental agreement that guides our drought efforts, signed by first ministers from the </w:t>
      </w:r>
      <w:r w:rsidR="0010661F">
        <w:rPr>
          <w:lang w:eastAsia="ja-JP"/>
        </w:rPr>
        <w:t>Australian Government</w:t>
      </w:r>
      <w:r>
        <w:rPr>
          <w:lang w:eastAsia="ja-JP"/>
        </w:rPr>
        <w:t>, states and territories (the parties). It provides an overarching framework to facilitate complementary drought policy and programs across the country. It describes the roles and responsibilities that the different parties have, and outlines policy principles agreed by all jurisdictions.</w:t>
      </w:r>
    </w:p>
    <w:p w14:paraId="37EB41A3" w14:textId="0AD72567" w:rsidR="005D3934" w:rsidRDefault="005D3934" w:rsidP="005D3934">
      <w:pPr>
        <w:rPr>
          <w:lang w:eastAsia="ja-JP"/>
        </w:rPr>
      </w:pPr>
      <w:r>
        <w:rPr>
          <w:lang w:eastAsia="ja-JP"/>
        </w:rPr>
        <w:t xml:space="preserve">The NDA includes a requirement for it to be reviewed at least </w:t>
      </w:r>
      <w:r w:rsidR="00FF1A7B">
        <w:rPr>
          <w:lang w:eastAsia="ja-JP"/>
        </w:rPr>
        <w:t>2</w:t>
      </w:r>
      <w:r>
        <w:rPr>
          <w:lang w:eastAsia="ja-JP"/>
        </w:rPr>
        <w:t xml:space="preserve"> years before its expiry on 30</w:t>
      </w:r>
      <w:r w:rsidR="00C63078">
        <w:rPr>
          <w:lang w:eastAsia="ja-JP"/>
        </w:rPr>
        <w:t> </w:t>
      </w:r>
      <w:r w:rsidRPr="00C63078">
        <w:t>June</w:t>
      </w:r>
      <w:r w:rsidR="00C63078">
        <w:t> </w:t>
      </w:r>
      <w:r w:rsidRPr="00C63078">
        <w:t>2024</w:t>
      </w:r>
      <w:r>
        <w:rPr>
          <w:lang w:eastAsia="ja-JP"/>
        </w:rPr>
        <w:t>. The review process commenced in February 2022 and focused on how the NDA can be strengthened to ensure that farm businesses, farming families and farming communities across the country are appropriately supported in advance of, during</w:t>
      </w:r>
      <w:r w:rsidR="00FF4AF9">
        <w:rPr>
          <w:lang w:eastAsia="ja-JP"/>
        </w:rPr>
        <w:t>,</w:t>
      </w:r>
      <w:r>
        <w:rPr>
          <w:lang w:eastAsia="ja-JP"/>
        </w:rPr>
        <w:t xml:space="preserve"> and post drought events. The review has culminated in this final report and </w:t>
      </w:r>
      <w:r w:rsidR="001647FF">
        <w:rPr>
          <w:lang w:eastAsia="ja-JP"/>
        </w:rPr>
        <w:t xml:space="preserve">the </w:t>
      </w:r>
      <w:r>
        <w:rPr>
          <w:lang w:eastAsia="ja-JP"/>
        </w:rPr>
        <w:t>recommendations that will inform the development of a new agreement in 2023.</w:t>
      </w:r>
    </w:p>
    <w:p w14:paraId="5741E301" w14:textId="2E5227C8" w:rsidR="005D3934" w:rsidRDefault="005D3934" w:rsidP="005D3934">
      <w:pPr>
        <w:rPr>
          <w:lang w:eastAsia="ja-JP"/>
        </w:rPr>
      </w:pPr>
      <w:r>
        <w:rPr>
          <w:lang w:eastAsia="ja-JP"/>
        </w:rPr>
        <w:t xml:space="preserve">The review has made </w:t>
      </w:r>
      <w:hyperlink w:anchor="_Recommendations" w:history="1">
        <w:r w:rsidR="00681910" w:rsidRPr="00681910">
          <w:rPr>
            <w:rStyle w:val="Hyperlink"/>
            <w:lang w:eastAsia="ja-JP"/>
          </w:rPr>
          <w:t xml:space="preserve">33 </w:t>
        </w:r>
        <w:r w:rsidRPr="00681910">
          <w:rPr>
            <w:rStyle w:val="Hyperlink"/>
            <w:lang w:eastAsia="ja-JP"/>
          </w:rPr>
          <w:t>recommendations</w:t>
        </w:r>
      </w:hyperlink>
      <w:r>
        <w:rPr>
          <w:lang w:eastAsia="ja-JP"/>
        </w:rPr>
        <w:t xml:space="preserve"> across 12 key issues that were explored through the review.</w:t>
      </w:r>
    </w:p>
    <w:p w14:paraId="15AE8092" w14:textId="78F2DC88" w:rsidR="005D3934" w:rsidRDefault="005D3934" w:rsidP="005D3934">
      <w:pPr>
        <w:rPr>
          <w:lang w:eastAsia="ja-JP"/>
        </w:rPr>
      </w:pPr>
      <w:r>
        <w:rPr>
          <w:lang w:eastAsia="ja-JP"/>
        </w:rPr>
        <w:t xml:space="preserve">Some recommendations </w:t>
      </w:r>
      <w:r w:rsidR="001647FF">
        <w:rPr>
          <w:lang w:eastAsia="ja-JP"/>
        </w:rPr>
        <w:t>are on</w:t>
      </w:r>
      <w:r>
        <w:rPr>
          <w:lang w:eastAsia="ja-JP"/>
        </w:rPr>
        <w:t xml:space="preserve"> the importance of facilitating increased </w:t>
      </w:r>
      <w:r w:rsidR="002B66C3">
        <w:rPr>
          <w:lang w:eastAsia="ja-JP"/>
        </w:rPr>
        <w:t>inter</w:t>
      </w:r>
      <w:r>
        <w:rPr>
          <w:lang w:eastAsia="ja-JP"/>
        </w:rPr>
        <w:t>government</w:t>
      </w:r>
      <w:r w:rsidR="002B66C3">
        <w:rPr>
          <w:lang w:eastAsia="ja-JP"/>
        </w:rPr>
        <w:t>al</w:t>
      </w:r>
      <w:r>
        <w:rPr>
          <w:lang w:eastAsia="ja-JP"/>
        </w:rPr>
        <w:t xml:space="preserve"> collaboration across the drought cycle. A gap exists in systemic mechanisms to support sustained </w:t>
      </w:r>
      <w:r>
        <w:rPr>
          <w:lang w:eastAsia="ja-JP"/>
        </w:rPr>
        <w:lastRenderedPageBreak/>
        <w:t>communication and collaboration around drought investment</w:t>
      </w:r>
      <w:r w:rsidR="00814CB1">
        <w:rPr>
          <w:lang w:eastAsia="ja-JP"/>
        </w:rPr>
        <w:t>s, and</w:t>
      </w:r>
      <w:r>
        <w:rPr>
          <w:lang w:eastAsia="ja-JP"/>
        </w:rPr>
        <w:t xml:space="preserve"> to ensure an intergovernmental ‘no surprises approach’ to drought policy and program development. The lack of </w:t>
      </w:r>
      <w:r w:rsidR="00814CB1">
        <w:rPr>
          <w:lang w:eastAsia="ja-JP"/>
        </w:rPr>
        <w:t xml:space="preserve">specific </w:t>
      </w:r>
      <w:r>
        <w:rPr>
          <w:lang w:eastAsia="ja-JP"/>
        </w:rPr>
        <w:t xml:space="preserve">mechanisms for coordination under the NDA was most acutely felt at the time of the last </w:t>
      </w:r>
      <w:r w:rsidR="00814CB1">
        <w:rPr>
          <w:lang w:eastAsia="ja-JP"/>
        </w:rPr>
        <w:t xml:space="preserve">major </w:t>
      </w:r>
      <w:r>
        <w:rPr>
          <w:lang w:eastAsia="ja-JP"/>
        </w:rPr>
        <w:t>drought</w:t>
      </w:r>
      <w:r w:rsidR="00006A32" w:rsidRPr="00006A32">
        <w:t xml:space="preserve"> </w:t>
      </w:r>
      <w:r w:rsidR="00006A32" w:rsidRPr="00006A32">
        <w:rPr>
          <w:lang w:eastAsia="ja-JP"/>
        </w:rPr>
        <w:t>when a sudden proliferation of drought responses resulted in confusion on the ground.</w:t>
      </w:r>
      <w:r>
        <w:rPr>
          <w:lang w:eastAsia="ja-JP"/>
        </w:rPr>
        <w:t xml:space="preserve"> </w:t>
      </w:r>
      <w:r w:rsidR="00006A32">
        <w:rPr>
          <w:lang w:eastAsia="ja-JP"/>
        </w:rPr>
        <w:t>T</w:t>
      </w:r>
      <w:r>
        <w:rPr>
          <w:lang w:eastAsia="ja-JP"/>
        </w:rPr>
        <w:t>his gap has also become noticeable with increasing collaboration on drought preparedness activity such as the Future Drought Fund. It is important that this gap is addressed as an immediate priority.</w:t>
      </w:r>
    </w:p>
    <w:p w14:paraId="6A50B44A" w14:textId="77777777" w:rsidR="00B76A72" w:rsidRDefault="005D3934" w:rsidP="005D3934">
      <w:pPr>
        <w:rPr>
          <w:lang w:eastAsia="ja-JP"/>
        </w:rPr>
      </w:pPr>
      <w:r>
        <w:rPr>
          <w:lang w:eastAsia="ja-JP"/>
        </w:rPr>
        <w:t xml:space="preserve">There are also a number of recommendations that seek to better capture the broader context in which drought is being experienced and </w:t>
      </w:r>
      <w:r w:rsidR="00814CB1">
        <w:rPr>
          <w:lang w:eastAsia="ja-JP"/>
        </w:rPr>
        <w:t xml:space="preserve">ensure </w:t>
      </w:r>
      <w:r>
        <w:rPr>
          <w:lang w:eastAsia="ja-JP"/>
        </w:rPr>
        <w:t xml:space="preserve">that the next agreement is appropriately </w:t>
      </w:r>
      <w:r w:rsidR="00DD2D52">
        <w:rPr>
          <w:lang w:eastAsia="ja-JP"/>
        </w:rPr>
        <w:t xml:space="preserve">framed </w:t>
      </w:r>
      <w:r>
        <w:rPr>
          <w:lang w:eastAsia="ja-JP"/>
        </w:rPr>
        <w:t>within this</w:t>
      </w:r>
      <w:r w:rsidR="00DD2D52">
        <w:rPr>
          <w:lang w:eastAsia="ja-JP"/>
        </w:rPr>
        <w:t xml:space="preserve"> context</w:t>
      </w:r>
      <w:r>
        <w:rPr>
          <w:lang w:eastAsia="ja-JP"/>
        </w:rPr>
        <w:t xml:space="preserve">. </w:t>
      </w:r>
      <w:r w:rsidR="00DD2D52">
        <w:rPr>
          <w:lang w:eastAsia="ja-JP"/>
        </w:rPr>
        <w:t>T</w:t>
      </w:r>
      <w:r>
        <w:rPr>
          <w:lang w:eastAsia="ja-JP"/>
        </w:rPr>
        <w:t>h</w:t>
      </w:r>
      <w:r w:rsidR="00C808F5">
        <w:rPr>
          <w:lang w:eastAsia="ja-JP"/>
        </w:rPr>
        <w:t>e</w:t>
      </w:r>
      <w:r>
        <w:rPr>
          <w:lang w:eastAsia="ja-JP"/>
        </w:rPr>
        <w:t>s</w:t>
      </w:r>
      <w:r w:rsidR="00C808F5">
        <w:rPr>
          <w:lang w:eastAsia="ja-JP"/>
        </w:rPr>
        <w:t>e</w:t>
      </w:r>
      <w:r>
        <w:rPr>
          <w:lang w:eastAsia="ja-JP"/>
        </w:rPr>
        <w:t xml:space="preserve"> include</w:t>
      </w:r>
      <w:r w:rsidR="00B76A72">
        <w:rPr>
          <w:lang w:eastAsia="ja-JP"/>
        </w:rPr>
        <w:t>:</w:t>
      </w:r>
    </w:p>
    <w:p w14:paraId="1F1DFFB5" w14:textId="4DB87505" w:rsidR="00B76A72" w:rsidRDefault="005D3934" w:rsidP="00B76A72">
      <w:pPr>
        <w:pStyle w:val="ListBullet"/>
        <w:rPr>
          <w:lang w:eastAsia="ja-JP"/>
        </w:rPr>
      </w:pPr>
      <w:r>
        <w:rPr>
          <w:lang w:eastAsia="ja-JP"/>
        </w:rPr>
        <w:t>explaining how drought relates to intersecting policy priorities such as climate and water</w:t>
      </w:r>
    </w:p>
    <w:p w14:paraId="10E48409" w14:textId="386E188F" w:rsidR="00B76A72" w:rsidRDefault="005D3934" w:rsidP="00B76A72">
      <w:pPr>
        <w:pStyle w:val="ListBullet"/>
        <w:rPr>
          <w:lang w:eastAsia="ja-JP"/>
        </w:rPr>
      </w:pPr>
      <w:r>
        <w:rPr>
          <w:lang w:eastAsia="ja-JP"/>
        </w:rPr>
        <w:t>providing better clarity of roles and responsibilities for parties and non-party actors</w:t>
      </w:r>
    </w:p>
    <w:p w14:paraId="2630EF0F" w14:textId="72B0F452" w:rsidR="00B76A72" w:rsidRDefault="005D3934" w:rsidP="00B76A72">
      <w:pPr>
        <w:pStyle w:val="ListBullet"/>
        <w:rPr>
          <w:lang w:eastAsia="ja-JP"/>
        </w:rPr>
      </w:pPr>
      <w:r>
        <w:rPr>
          <w:lang w:eastAsia="ja-JP"/>
        </w:rPr>
        <w:t xml:space="preserve">embedding greater awareness that drought is just one of many challenges that farmers face and </w:t>
      </w:r>
      <w:r w:rsidR="00DD2D52">
        <w:rPr>
          <w:lang w:eastAsia="ja-JP"/>
        </w:rPr>
        <w:t xml:space="preserve">that </w:t>
      </w:r>
      <w:r>
        <w:rPr>
          <w:lang w:eastAsia="ja-JP"/>
        </w:rPr>
        <w:t>their experience as end-users</w:t>
      </w:r>
      <w:r w:rsidR="00006A32">
        <w:rPr>
          <w:lang w:eastAsia="ja-JP"/>
        </w:rPr>
        <w:t xml:space="preserve"> </w:t>
      </w:r>
      <w:r w:rsidR="00006A32" w:rsidRPr="00006A32">
        <w:rPr>
          <w:lang w:eastAsia="ja-JP"/>
        </w:rPr>
        <w:t>of drought related programs and activities</w:t>
      </w:r>
      <w:r>
        <w:rPr>
          <w:lang w:eastAsia="ja-JP"/>
        </w:rPr>
        <w:t xml:space="preserve"> is important</w:t>
      </w:r>
    </w:p>
    <w:p w14:paraId="62872765" w14:textId="0999EDD8" w:rsidR="005D3934" w:rsidRDefault="005D3934" w:rsidP="004734DF">
      <w:pPr>
        <w:pStyle w:val="ListBullet"/>
        <w:rPr>
          <w:lang w:eastAsia="ja-JP"/>
        </w:rPr>
      </w:pPr>
      <w:r>
        <w:rPr>
          <w:lang w:eastAsia="ja-JP"/>
        </w:rPr>
        <w:t>more strongly recognising that the impacts of drought –</w:t>
      </w:r>
      <w:r w:rsidR="00F572A6">
        <w:rPr>
          <w:lang w:eastAsia="ja-JP"/>
        </w:rPr>
        <w:t xml:space="preserve"> </w:t>
      </w:r>
      <w:r>
        <w:rPr>
          <w:lang w:eastAsia="ja-JP"/>
        </w:rPr>
        <w:t>economic</w:t>
      </w:r>
      <w:r w:rsidR="00006A32">
        <w:rPr>
          <w:lang w:eastAsia="ja-JP"/>
        </w:rPr>
        <w:t xml:space="preserve">, </w:t>
      </w:r>
      <w:r>
        <w:rPr>
          <w:lang w:eastAsia="ja-JP"/>
        </w:rPr>
        <w:t>social</w:t>
      </w:r>
      <w:r w:rsidR="00006A32">
        <w:rPr>
          <w:lang w:eastAsia="ja-JP"/>
        </w:rPr>
        <w:t>, and environmental</w:t>
      </w:r>
      <w:r>
        <w:rPr>
          <w:lang w:eastAsia="ja-JP"/>
        </w:rPr>
        <w:t xml:space="preserve"> </w:t>
      </w:r>
      <w:r w:rsidR="00DD2D52">
        <w:rPr>
          <w:lang w:eastAsia="ja-JP"/>
        </w:rPr>
        <w:t>– e</w:t>
      </w:r>
      <w:r>
        <w:rPr>
          <w:lang w:eastAsia="ja-JP"/>
        </w:rPr>
        <w:t>xtend well past the farm gate.</w:t>
      </w:r>
    </w:p>
    <w:p w14:paraId="38010FB9" w14:textId="2FC8ACC5" w:rsidR="005D3934" w:rsidRDefault="005D3934" w:rsidP="003E3E37">
      <w:pPr>
        <w:rPr>
          <w:lang w:eastAsia="ja-JP"/>
        </w:rPr>
      </w:pPr>
      <w:r>
        <w:rPr>
          <w:lang w:eastAsia="ja-JP"/>
        </w:rPr>
        <w:t xml:space="preserve">Finally, the report includes recommendations to make monitoring, evaluation, learning and reporting under the NDA more meaningful. There are opportunities to better understand </w:t>
      </w:r>
      <w:r w:rsidR="00DD2D52">
        <w:rPr>
          <w:lang w:eastAsia="ja-JP"/>
        </w:rPr>
        <w:t xml:space="preserve">what is and isn’t </w:t>
      </w:r>
      <w:r>
        <w:rPr>
          <w:lang w:eastAsia="ja-JP"/>
        </w:rPr>
        <w:t xml:space="preserve">working, and to share those </w:t>
      </w:r>
      <w:r w:rsidR="00FC730E">
        <w:rPr>
          <w:lang w:eastAsia="ja-JP"/>
        </w:rPr>
        <w:t xml:space="preserve">lessons </w:t>
      </w:r>
      <w:r>
        <w:rPr>
          <w:lang w:eastAsia="ja-JP"/>
        </w:rPr>
        <w:t>for continuous improvement of our shared efforts. These recommendations are important if we are to support the best possible outcomes for Australian farmers and their communities.</w:t>
      </w:r>
    </w:p>
    <w:p w14:paraId="0E5E264E" w14:textId="683C0FBD" w:rsidR="005D3934" w:rsidRDefault="003E5D8E" w:rsidP="003E5D8E">
      <w:pPr>
        <w:pStyle w:val="Heading2"/>
        <w:numPr>
          <w:ilvl w:val="0"/>
          <w:numId w:val="0"/>
        </w:numPr>
        <w:ind w:left="720" w:hanging="720"/>
      </w:pPr>
      <w:bookmarkStart w:id="2" w:name="_Toc119069840"/>
      <w:r>
        <w:lastRenderedPageBreak/>
        <w:t xml:space="preserve">Terms of </w:t>
      </w:r>
      <w:r w:rsidR="00E41ADD">
        <w:t>r</w:t>
      </w:r>
      <w:r>
        <w:t>eference</w:t>
      </w:r>
      <w:bookmarkEnd w:id="2"/>
    </w:p>
    <w:p w14:paraId="680AEBA3" w14:textId="4EEAA970" w:rsidR="003E5D8E" w:rsidRDefault="003E5D8E" w:rsidP="003E5D8E">
      <w:pPr>
        <w:rPr>
          <w:lang w:eastAsia="ja-JP"/>
        </w:rPr>
      </w:pPr>
      <w:r w:rsidRPr="003E5D8E">
        <w:rPr>
          <w:lang w:eastAsia="ja-JP"/>
        </w:rPr>
        <w:t xml:space="preserve">The terms of reference for the review were agreed </w:t>
      </w:r>
      <w:r w:rsidR="002B66C3">
        <w:rPr>
          <w:lang w:eastAsia="ja-JP"/>
        </w:rPr>
        <w:t>by</w:t>
      </w:r>
      <w:r w:rsidR="002B66C3" w:rsidRPr="003E5D8E">
        <w:rPr>
          <w:lang w:eastAsia="ja-JP"/>
        </w:rPr>
        <w:t xml:space="preserve"> </w:t>
      </w:r>
      <w:r w:rsidR="00880290">
        <w:rPr>
          <w:lang w:eastAsia="ja-JP"/>
        </w:rPr>
        <w:t>a</w:t>
      </w:r>
      <w:r w:rsidRPr="003E5D8E">
        <w:rPr>
          <w:lang w:eastAsia="ja-JP"/>
        </w:rPr>
        <w:t xml:space="preserve">griculture </w:t>
      </w:r>
      <w:r w:rsidR="00880290">
        <w:rPr>
          <w:lang w:eastAsia="ja-JP"/>
        </w:rPr>
        <w:t>m</w:t>
      </w:r>
      <w:r w:rsidRPr="003E5D8E">
        <w:rPr>
          <w:lang w:eastAsia="ja-JP"/>
        </w:rPr>
        <w:t xml:space="preserve">inisters </w:t>
      </w:r>
      <w:r w:rsidR="002B66C3">
        <w:rPr>
          <w:lang w:eastAsia="ja-JP"/>
        </w:rPr>
        <w:t xml:space="preserve">on </w:t>
      </w:r>
      <w:r w:rsidR="00FF1A7B">
        <w:rPr>
          <w:lang w:eastAsia="ja-JP"/>
        </w:rPr>
        <w:t xml:space="preserve">4 February 2022 </w:t>
      </w:r>
      <w:r w:rsidRPr="003E5D8E">
        <w:rPr>
          <w:lang w:eastAsia="ja-JP"/>
        </w:rPr>
        <w:t xml:space="preserve">through the </w:t>
      </w:r>
      <w:hyperlink r:id="rId21" w:history="1">
        <w:r w:rsidRPr="00B9127B">
          <w:rPr>
            <w:rStyle w:val="Hyperlink"/>
            <w:lang w:eastAsia="ja-JP"/>
          </w:rPr>
          <w:t>N</w:t>
        </w:r>
        <w:r w:rsidR="00B9127B" w:rsidRPr="00B9127B">
          <w:rPr>
            <w:rStyle w:val="Hyperlink"/>
            <w:lang w:eastAsia="ja-JP"/>
          </w:rPr>
          <w:t>ational Drought Agreement</w:t>
        </w:r>
        <w:r w:rsidRPr="00B9127B">
          <w:rPr>
            <w:rStyle w:val="Hyperlink"/>
            <w:lang w:eastAsia="ja-JP"/>
          </w:rPr>
          <w:t xml:space="preserve"> Review Framework</w:t>
        </w:r>
      </w:hyperlink>
      <w:r w:rsidR="00B9127B">
        <w:rPr>
          <w:lang w:eastAsia="ja-JP"/>
        </w:rPr>
        <w:t xml:space="preserve"> </w:t>
      </w:r>
      <w:r w:rsidRPr="003E5D8E">
        <w:rPr>
          <w:lang w:eastAsia="ja-JP"/>
        </w:rPr>
        <w:t xml:space="preserve">and are summarised </w:t>
      </w:r>
      <w:r w:rsidR="00215C94">
        <w:rPr>
          <w:lang w:eastAsia="ja-JP"/>
        </w:rPr>
        <w:t>in this section</w:t>
      </w:r>
      <w:r w:rsidRPr="003E5D8E">
        <w:rPr>
          <w:lang w:eastAsia="ja-JP"/>
        </w:rPr>
        <w:t>.</w:t>
      </w:r>
    </w:p>
    <w:p w14:paraId="2CB4624D" w14:textId="47B1F94F" w:rsidR="003E5D8E" w:rsidRDefault="003E5D8E" w:rsidP="003E5D8E">
      <w:pPr>
        <w:pStyle w:val="Heading3"/>
        <w:numPr>
          <w:ilvl w:val="0"/>
          <w:numId w:val="0"/>
        </w:numPr>
        <w:ind w:left="964" w:hanging="964"/>
        <w:rPr>
          <w:lang w:eastAsia="ja-JP"/>
        </w:rPr>
      </w:pPr>
      <w:bookmarkStart w:id="3" w:name="_Toc119069841"/>
      <w:r>
        <w:rPr>
          <w:lang w:eastAsia="ja-JP"/>
        </w:rPr>
        <w:t>Purpose</w:t>
      </w:r>
      <w:bookmarkEnd w:id="3"/>
    </w:p>
    <w:p w14:paraId="11B636ED" w14:textId="03DD0972" w:rsidR="003E5D8E" w:rsidRDefault="003E5D8E" w:rsidP="003E5D8E">
      <w:pPr>
        <w:rPr>
          <w:lang w:eastAsia="ja-JP"/>
        </w:rPr>
      </w:pPr>
      <w:r>
        <w:rPr>
          <w:lang w:eastAsia="ja-JP"/>
        </w:rPr>
        <w:t>The review will make recommendations to the NDA parties to:</w:t>
      </w:r>
    </w:p>
    <w:p w14:paraId="081769A2" w14:textId="726B7A2A" w:rsidR="003E5D8E" w:rsidRDefault="00B01E99" w:rsidP="003E5D8E">
      <w:pPr>
        <w:pStyle w:val="ListBullet"/>
        <w:rPr>
          <w:lang w:eastAsia="ja-JP"/>
        </w:rPr>
      </w:pPr>
      <w:r>
        <w:rPr>
          <w:lang w:eastAsia="ja-JP"/>
        </w:rPr>
        <w:t>i</w:t>
      </w:r>
      <w:r w:rsidR="003E5D8E">
        <w:rPr>
          <w:lang w:eastAsia="ja-JP"/>
        </w:rPr>
        <w:t>mprove the objectives and intended outcomes of the NDA, to best support the intent of the agreement</w:t>
      </w:r>
    </w:p>
    <w:p w14:paraId="053C24F3" w14:textId="203AA388" w:rsidR="003E5D8E" w:rsidRDefault="00B01E99" w:rsidP="003E5D8E">
      <w:pPr>
        <w:pStyle w:val="ListBullet"/>
        <w:rPr>
          <w:lang w:eastAsia="ja-JP"/>
        </w:rPr>
      </w:pPr>
      <w:r>
        <w:rPr>
          <w:lang w:eastAsia="ja-JP"/>
        </w:rPr>
        <w:t>o</w:t>
      </w:r>
      <w:r w:rsidR="003E5D8E">
        <w:rPr>
          <w:lang w:eastAsia="ja-JP"/>
        </w:rPr>
        <w:t>ptimise the structure and content of the NDA to enable its objectives</w:t>
      </w:r>
    </w:p>
    <w:p w14:paraId="6F62417C" w14:textId="4758A5F3" w:rsidR="003E5D8E" w:rsidRDefault="00B01E99" w:rsidP="003E5D8E">
      <w:pPr>
        <w:pStyle w:val="ListBullet"/>
        <w:rPr>
          <w:lang w:eastAsia="ja-JP"/>
        </w:rPr>
      </w:pPr>
      <w:r>
        <w:rPr>
          <w:lang w:eastAsia="ja-JP"/>
        </w:rPr>
        <w:t>e</w:t>
      </w:r>
      <w:r w:rsidR="003E5D8E">
        <w:rPr>
          <w:lang w:eastAsia="ja-JP"/>
        </w:rPr>
        <w:t xml:space="preserve">nsure the NDA considers not just ‘what’ governments work together on, but ‘how’ they work together – and with local governments and non-government actors </w:t>
      </w:r>
      <w:r w:rsidR="00CA6D2D">
        <w:rPr>
          <w:lang w:eastAsia="ja-JP"/>
        </w:rPr>
        <w:t>–</w:t>
      </w:r>
      <w:r w:rsidR="003E5D8E">
        <w:rPr>
          <w:lang w:eastAsia="ja-JP"/>
        </w:rPr>
        <w:t xml:space="preserve"> to realise the outcomes of the agreement</w:t>
      </w:r>
    </w:p>
    <w:p w14:paraId="27772FA1" w14:textId="477E7CEB" w:rsidR="003E5D8E" w:rsidRDefault="00B01E99" w:rsidP="003E5D8E">
      <w:pPr>
        <w:pStyle w:val="ListBullet"/>
        <w:rPr>
          <w:lang w:eastAsia="ja-JP"/>
        </w:rPr>
      </w:pPr>
      <w:r>
        <w:rPr>
          <w:lang w:eastAsia="ja-JP"/>
        </w:rPr>
        <w:t>e</w:t>
      </w:r>
      <w:r w:rsidR="003E5D8E">
        <w:rPr>
          <w:lang w:eastAsia="ja-JP"/>
        </w:rPr>
        <w:t xml:space="preserve">nsure that the shared responsibilities of </w:t>
      </w:r>
      <w:r w:rsidR="0010661F">
        <w:rPr>
          <w:lang w:eastAsia="ja-JP"/>
        </w:rPr>
        <w:t xml:space="preserve">the Australian Government and </w:t>
      </w:r>
      <w:r w:rsidR="003E5D8E">
        <w:rPr>
          <w:lang w:eastAsia="ja-JP"/>
        </w:rPr>
        <w:t>state and territory governments are adequately captured within the agreement, and that these are considered in the broader context of responsibilities shared with local governments and non-government actors</w:t>
      </w:r>
    </w:p>
    <w:p w14:paraId="226AF773" w14:textId="137DB1E8" w:rsidR="003E5D8E" w:rsidRDefault="00B01E99" w:rsidP="003E5D8E">
      <w:pPr>
        <w:pStyle w:val="ListBullet"/>
        <w:rPr>
          <w:lang w:eastAsia="ja-JP"/>
        </w:rPr>
      </w:pPr>
      <w:r>
        <w:rPr>
          <w:lang w:eastAsia="ja-JP"/>
        </w:rPr>
        <w:t>s</w:t>
      </w:r>
      <w:r w:rsidR="003E5D8E">
        <w:rPr>
          <w:lang w:eastAsia="ja-JP"/>
        </w:rPr>
        <w:t>trengthen the NDA’s provisions for reporting and evaluation to better inform continuous improvement of collective effort.</w:t>
      </w:r>
    </w:p>
    <w:p w14:paraId="51C00AD1" w14:textId="0F097D26" w:rsidR="003E5D8E" w:rsidRDefault="003E5D8E" w:rsidP="003E5D8E">
      <w:pPr>
        <w:pStyle w:val="Heading3"/>
        <w:numPr>
          <w:ilvl w:val="0"/>
          <w:numId w:val="0"/>
        </w:numPr>
        <w:ind w:left="964" w:hanging="964"/>
        <w:rPr>
          <w:lang w:eastAsia="ja-JP"/>
        </w:rPr>
      </w:pPr>
      <w:bookmarkStart w:id="4" w:name="_Toc119069842"/>
      <w:r>
        <w:rPr>
          <w:lang w:eastAsia="ja-JP"/>
        </w:rPr>
        <w:t>Scope</w:t>
      </w:r>
      <w:bookmarkEnd w:id="4"/>
    </w:p>
    <w:p w14:paraId="7A12D3F9" w14:textId="2BE8D0A1" w:rsidR="003E5D8E" w:rsidRDefault="003E5D8E" w:rsidP="003E5D8E">
      <w:pPr>
        <w:rPr>
          <w:lang w:eastAsia="ja-JP"/>
        </w:rPr>
      </w:pPr>
      <w:r>
        <w:rPr>
          <w:lang w:eastAsia="ja-JP"/>
        </w:rPr>
        <w:t xml:space="preserve">The review </w:t>
      </w:r>
      <w:r w:rsidR="002E560E">
        <w:rPr>
          <w:lang w:eastAsia="ja-JP"/>
        </w:rPr>
        <w:t xml:space="preserve">will </w:t>
      </w:r>
      <w:r>
        <w:rPr>
          <w:lang w:eastAsia="ja-JP"/>
        </w:rPr>
        <w:t>consider:</w:t>
      </w:r>
    </w:p>
    <w:p w14:paraId="108EAD3F" w14:textId="395B1548" w:rsidR="003E5D8E" w:rsidRDefault="00B01E99" w:rsidP="003E5D8E">
      <w:pPr>
        <w:pStyle w:val="ListBullet"/>
        <w:rPr>
          <w:lang w:eastAsia="ja-JP"/>
        </w:rPr>
      </w:pPr>
      <w:r>
        <w:rPr>
          <w:lang w:eastAsia="ja-JP"/>
        </w:rPr>
        <w:t>a</w:t>
      </w:r>
      <w:r w:rsidR="003E5D8E">
        <w:rPr>
          <w:lang w:eastAsia="ja-JP"/>
        </w:rPr>
        <w:t>ll parts of the NDA, and whether any changes to the text of the NDA are required</w:t>
      </w:r>
    </w:p>
    <w:p w14:paraId="4C9916C3" w14:textId="764C38DB" w:rsidR="003E5D8E" w:rsidRDefault="00B01E99" w:rsidP="003E5D8E">
      <w:pPr>
        <w:pStyle w:val="ListBullet"/>
        <w:rPr>
          <w:lang w:eastAsia="ja-JP"/>
        </w:rPr>
      </w:pPr>
      <w:r>
        <w:rPr>
          <w:lang w:eastAsia="ja-JP"/>
        </w:rPr>
        <w:t>t</w:t>
      </w:r>
      <w:r w:rsidR="003E5D8E">
        <w:rPr>
          <w:lang w:eastAsia="ja-JP"/>
        </w:rPr>
        <w:t>he supporting attachments to the NDA (‘Attachment A: Principles for reform’ and ‘Attachment B: Principles and processes for in-drought support’)</w:t>
      </w:r>
    </w:p>
    <w:p w14:paraId="280B1E9E" w14:textId="482CDE68" w:rsidR="003E5D8E" w:rsidRDefault="00B01E99" w:rsidP="003E5D8E">
      <w:pPr>
        <w:pStyle w:val="ListBullet"/>
        <w:rPr>
          <w:lang w:eastAsia="ja-JP"/>
        </w:rPr>
      </w:pPr>
      <w:r>
        <w:rPr>
          <w:lang w:eastAsia="ja-JP"/>
        </w:rPr>
        <w:t>t</w:t>
      </w:r>
      <w:r w:rsidR="003E5D8E">
        <w:rPr>
          <w:lang w:eastAsia="ja-JP"/>
        </w:rPr>
        <w:t xml:space="preserve">he NDA reporting, to ensure that the reporting framework can be updated in parallel </w:t>
      </w:r>
      <w:r w:rsidR="00860BA1">
        <w:rPr>
          <w:lang w:eastAsia="ja-JP"/>
        </w:rPr>
        <w:t>with</w:t>
      </w:r>
      <w:r w:rsidR="003E5D8E">
        <w:rPr>
          <w:lang w:eastAsia="ja-JP"/>
        </w:rPr>
        <w:t xml:space="preserve"> the NDA itself</w:t>
      </w:r>
    </w:p>
    <w:p w14:paraId="4DA25CD4" w14:textId="66915244" w:rsidR="003E5D8E" w:rsidRDefault="00B01E99" w:rsidP="003E5D8E">
      <w:pPr>
        <w:pStyle w:val="ListBullet"/>
        <w:rPr>
          <w:lang w:eastAsia="ja-JP"/>
        </w:rPr>
      </w:pPr>
      <w:r>
        <w:rPr>
          <w:lang w:eastAsia="ja-JP"/>
        </w:rPr>
        <w:t>a</w:t>
      </w:r>
      <w:r w:rsidR="003E5D8E">
        <w:rPr>
          <w:lang w:eastAsia="ja-JP"/>
        </w:rPr>
        <w:t>ssessment outcomes from the annual NDA reporting process to identify lessons learned and gaps and ensure these are captured in the next iteration of the NDA.</w:t>
      </w:r>
    </w:p>
    <w:p w14:paraId="3D2ABC2C" w14:textId="1D987B45" w:rsidR="003E5D8E" w:rsidRDefault="003E5D8E" w:rsidP="003E5D8E">
      <w:pPr>
        <w:rPr>
          <w:lang w:eastAsia="ja-JP"/>
        </w:rPr>
      </w:pPr>
      <w:r>
        <w:rPr>
          <w:lang w:eastAsia="ja-JP"/>
        </w:rPr>
        <w:t xml:space="preserve">The review </w:t>
      </w:r>
      <w:r w:rsidR="002E560E">
        <w:rPr>
          <w:lang w:eastAsia="ja-JP"/>
        </w:rPr>
        <w:t xml:space="preserve">will </w:t>
      </w:r>
      <w:r>
        <w:rPr>
          <w:lang w:eastAsia="ja-JP"/>
        </w:rPr>
        <w:t>not consider:</w:t>
      </w:r>
    </w:p>
    <w:p w14:paraId="2FF8CD9A" w14:textId="3358F9CD" w:rsidR="003E5D8E" w:rsidRDefault="00B01E99" w:rsidP="003E5D8E">
      <w:pPr>
        <w:pStyle w:val="ListBullet"/>
        <w:rPr>
          <w:lang w:eastAsia="ja-JP"/>
        </w:rPr>
      </w:pPr>
      <w:r>
        <w:rPr>
          <w:lang w:eastAsia="ja-JP"/>
        </w:rPr>
        <w:t>e</w:t>
      </w:r>
      <w:r w:rsidR="003E5D8E">
        <w:rPr>
          <w:lang w:eastAsia="ja-JP"/>
        </w:rPr>
        <w:t>valuation of individual government drought measures</w:t>
      </w:r>
    </w:p>
    <w:p w14:paraId="76F45F37" w14:textId="77740BBB" w:rsidR="003E5D8E" w:rsidRDefault="00B01E99" w:rsidP="003E5D8E">
      <w:pPr>
        <w:pStyle w:val="ListBullet"/>
        <w:rPr>
          <w:lang w:eastAsia="ja-JP"/>
        </w:rPr>
      </w:pPr>
      <w:r>
        <w:rPr>
          <w:lang w:eastAsia="ja-JP"/>
        </w:rPr>
        <w:t>e</w:t>
      </w:r>
      <w:r w:rsidR="003E5D8E">
        <w:rPr>
          <w:lang w:eastAsia="ja-JP"/>
        </w:rPr>
        <w:t>valuation of the collective impact or efficacy of government drought measures</w:t>
      </w:r>
    </w:p>
    <w:p w14:paraId="17F5ABC2" w14:textId="76815A66" w:rsidR="003E5D8E" w:rsidRDefault="00B01E99" w:rsidP="003E5D8E">
      <w:pPr>
        <w:pStyle w:val="ListBullet"/>
        <w:rPr>
          <w:lang w:eastAsia="ja-JP"/>
        </w:rPr>
      </w:pPr>
      <w:r>
        <w:rPr>
          <w:lang w:eastAsia="ja-JP"/>
        </w:rPr>
        <w:t>t</w:t>
      </w:r>
      <w:r w:rsidR="003E5D8E">
        <w:rPr>
          <w:lang w:eastAsia="ja-JP"/>
        </w:rPr>
        <w:t>he degree to which the NDA has met its specified objectives and outcomes, which is already reported on through the annual NDA reporting process.</w:t>
      </w:r>
    </w:p>
    <w:p w14:paraId="41CC4258" w14:textId="289746E0" w:rsidR="003E5D8E" w:rsidRDefault="003E5D8E" w:rsidP="003E5D8E">
      <w:pPr>
        <w:pStyle w:val="Heading3"/>
        <w:numPr>
          <w:ilvl w:val="0"/>
          <w:numId w:val="0"/>
        </w:numPr>
        <w:ind w:left="964" w:hanging="964"/>
        <w:rPr>
          <w:lang w:eastAsia="ja-JP"/>
        </w:rPr>
      </w:pPr>
      <w:bookmarkStart w:id="5" w:name="_Toc119069843"/>
      <w:r>
        <w:rPr>
          <w:lang w:eastAsia="ja-JP"/>
        </w:rPr>
        <w:t>Governance</w:t>
      </w:r>
      <w:bookmarkEnd w:id="5"/>
    </w:p>
    <w:p w14:paraId="7B809731" w14:textId="2F838369" w:rsidR="003E5D8E" w:rsidRDefault="003E5D8E" w:rsidP="003E5D8E">
      <w:pPr>
        <w:rPr>
          <w:lang w:eastAsia="ja-JP"/>
        </w:rPr>
      </w:pPr>
      <w:r>
        <w:rPr>
          <w:lang w:eastAsia="ja-JP"/>
        </w:rPr>
        <w:t xml:space="preserve">The review has been carried out by </w:t>
      </w:r>
      <w:r w:rsidR="007A4C06">
        <w:rPr>
          <w:lang w:eastAsia="ja-JP"/>
        </w:rPr>
        <w:t>the NDA Review</w:t>
      </w:r>
      <w:r>
        <w:rPr>
          <w:lang w:eastAsia="ja-JP"/>
        </w:rPr>
        <w:t xml:space="preserve"> </w:t>
      </w:r>
      <w:r w:rsidR="007A4C06">
        <w:t>P</w:t>
      </w:r>
      <w:r w:rsidRPr="00F94ECB">
        <w:t xml:space="preserve">roject </w:t>
      </w:r>
      <w:r w:rsidR="007A4C06">
        <w:t>B</w:t>
      </w:r>
      <w:r w:rsidRPr="00F94ECB">
        <w:t>oard</w:t>
      </w:r>
      <w:r>
        <w:rPr>
          <w:lang w:eastAsia="ja-JP"/>
        </w:rPr>
        <w:t>, comprised of a nominated representative from each NDA party.</w:t>
      </w:r>
    </w:p>
    <w:p w14:paraId="0F353986" w14:textId="5C3ED26C" w:rsidR="003E5D8E" w:rsidRDefault="003E5D8E" w:rsidP="003E5D8E">
      <w:pPr>
        <w:rPr>
          <w:lang w:eastAsia="ja-JP"/>
        </w:rPr>
      </w:pPr>
      <w:r>
        <w:rPr>
          <w:lang w:eastAsia="ja-JP"/>
        </w:rPr>
        <w:lastRenderedPageBreak/>
        <w:t xml:space="preserve">The </w:t>
      </w:r>
      <w:r w:rsidR="00FF1A7B">
        <w:t>p</w:t>
      </w:r>
      <w:r w:rsidRPr="00F94ECB">
        <w:t xml:space="preserve">roject </w:t>
      </w:r>
      <w:r w:rsidR="00FF1A7B">
        <w:t>b</w:t>
      </w:r>
      <w:r w:rsidRPr="00F94ECB">
        <w:t>oard</w:t>
      </w:r>
      <w:r>
        <w:rPr>
          <w:lang w:eastAsia="ja-JP"/>
        </w:rPr>
        <w:t xml:space="preserve"> has worked in consultation with the </w:t>
      </w:r>
      <w:r w:rsidRPr="00F94ECB">
        <w:t>Agriculture Ministers</w:t>
      </w:r>
      <w:r w:rsidR="00860BA1">
        <w:t>’</w:t>
      </w:r>
      <w:r w:rsidRPr="00F94ECB">
        <w:t xml:space="preserve"> Meeting Working Group on Drought</w:t>
      </w:r>
      <w:r>
        <w:rPr>
          <w:lang w:eastAsia="ja-JP"/>
        </w:rPr>
        <w:t xml:space="preserve">, comprised of representatives from the </w:t>
      </w:r>
      <w:r w:rsidR="0010661F">
        <w:rPr>
          <w:lang w:eastAsia="ja-JP"/>
        </w:rPr>
        <w:t>Australian Government,</w:t>
      </w:r>
      <w:r>
        <w:rPr>
          <w:lang w:eastAsia="ja-JP"/>
        </w:rPr>
        <w:t xml:space="preserve"> states and territories, the National Farmers’ Federation, the Australian Local Government Association and the Australian Banking Association.</w:t>
      </w:r>
    </w:p>
    <w:p w14:paraId="07EC93F0" w14:textId="633FC657" w:rsidR="003E5D8E" w:rsidRDefault="003E5D8E" w:rsidP="003E5D8E">
      <w:pPr>
        <w:rPr>
          <w:lang w:eastAsia="ja-JP"/>
        </w:rPr>
      </w:pPr>
      <w:r>
        <w:rPr>
          <w:lang w:eastAsia="ja-JP"/>
        </w:rPr>
        <w:t xml:space="preserve">The </w:t>
      </w:r>
      <w:r w:rsidR="00FF1A7B">
        <w:t>p</w:t>
      </w:r>
      <w:r w:rsidRPr="00F94ECB">
        <w:t xml:space="preserve">roject </w:t>
      </w:r>
      <w:r w:rsidR="00FF1A7B">
        <w:t>b</w:t>
      </w:r>
      <w:r w:rsidRPr="00F94ECB">
        <w:t>oard has been supported by a secretariat</w:t>
      </w:r>
      <w:r>
        <w:rPr>
          <w:lang w:eastAsia="ja-JP"/>
        </w:rPr>
        <w:t xml:space="preserve"> resourced by the </w:t>
      </w:r>
      <w:r w:rsidR="0010661F">
        <w:rPr>
          <w:lang w:eastAsia="ja-JP"/>
        </w:rPr>
        <w:t>Australian Government.</w:t>
      </w:r>
    </w:p>
    <w:p w14:paraId="19F411E4" w14:textId="7B5D4EB3" w:rsidR="003E5D8E" w:rsidRDefault="003E5D8E" w:rsidP="003E5D8E">
      <w:pPr>
        <w:rPr>
          <w:lang w:eastAsia="ja-JP"/>
        </w:rPr>
      </w:pPr>
      <w:r>
        <w:rPr>
          <w:lang w:eastAsia="ja-JP"/>
        </w:rPr>
        <w:t xml:space="preserve">The review report has been endorsed by </w:t>
      </w:r>
      <w:r w:rsidRPr="00F94ECB">
        <w:t>the Agriculture Senior Officials Committee (AGSOC) and approved by the Agriculture Ministers</w:t>
      </w:r>
      <w:r w:rsidR="00860BA1">
        <w:t>’</w:t>
      </w:r>
      <w:r w:rsidRPr="00F94ECB">
        <w:t xml:space="preserve"> Meeting</w:t>
      </w:r>
      <w:r>
        <w:rPr>
          <w:lang w:eastAsia="ja-JP"/>
        </w:rPr>
        <w:t xml:space="preserve"> (AMM).</w:t>
      </w:r>
    </w:p>
    <w:p w14:paraId="4E86BCBE" w14:textId="145D3692" w:rsidR="003E5D8E" w:rsidRDefault="003E5D8E" w:rsidP="003E5D8E">
      <w:pPr>
        <w:rPr>
          <w:lang w:eastAsia="ja-JP"/>
        </w:rPr>
      </w:pPr>
      <w:r>
        <w:rPr>
          <w:lang w:eastAsia="ja-JP"/>
        </w:rPr>
        <w:t>Full detail of the roles and responsibilities of each of these groups as it relates to the NDA review is detailed in the NDA Review Framework.</w:t>
      </w:r>
    </w:p>
    <w:p w14:paraId="245B97AF" w14:textId="47B929F3" w:rsidR="003E5D8E" w:rsidRDefault="003E5D8E" w:rsidP="003E5D8E">
      <w:pPr>
        <w:pStyle w:val="Heading2"/>
        <w:numPr>
          <w:ilvl w:val="0"/>
          <w:numId w:val="0"/>
        </w:numPr>
        <w:ind w:left="720" w:hanging="720"/>
      </w:pPr>
      <w:bookmarkStart w:id="6" w:name="_Toc119069844"/>
      <w:r>
        <w:lastRenderedPageBreak/>
        <w:t>Methodology</w:t>
      </w:r>
      <w:bookmarkEnd w:id="6"/>
    </w:p>
    <w:p w14:paraId="258B36E8" w14:textId="6C3E6857" w:rsidR="003E5D8E" w:rsidRDefault="00754291" w:rsidP="00462355">
      <w:pPr>
        <w:pStyle w:val="Heading3"/>
        <w:numPr>
          <w:ilvl w:val="0"/>
          <w:numId w:val="0"/>
        </w:numPr>
        <w:ind w:left="964" w:hanging="964"/>
        <w:rPr>
          <w:lang w:eastAsia="ja-JP"/>
        </w:rPr>
      </w:pPr>
      <w:bookmarkStart w:id="7" w:name="_Toc119069845"/>
      <w:r>
        <w:rPr>
          <w:lang w:eastAsia="ja-JP"/>
        </w:rPr>
        <w:t>The</w:t>
      </w:r>
      <w:r w:rsidR="00462355">
        <w:rPr>
          <w:lang w:eastAsia="ja-JP"/>
        </w:rPr>
        <w:t xml:space="preserve"> </w:t>
      </w:r>
      <w:r w:rsidR="00E41ADD">
        <w:rPr>
          <w:lang w:eastAsia="ja-JP"/>
        </w:rPr>
        <w:t>r</w:t>
      </w:r>
      <w:r w:rsidR="00462355">
        <w:rPr>
          <w:lang w:eastAsia="ja-JP"/>
        </w:rPr>
        <w:t xml:space="preserve">eview </w:t>
      </w:r>
      <w:r w:rsidR="00E41ADD">
        <w:rPr>
          <w:lang w:eastAsia="ja-JP"/>
        </w:rPr>
        <w:t>p</w:t>
      </w:r>
      <w:r w:rsidR="00462355">
        <w:rPr>
          <w:lang w:eastAsia="ja-JP"/>
        </w:rPr>
        <w:t>rocess</w:t>
      </w:r>
      <w:bookmarkEnd w:id="7"/>
    </w:p>
    <w:p w14:paraId="5614CB72" w14:textId="08D7ED5E" w:rsidR="00462355" w:rsidRDefault="00FC730E" w:rsidP="00462355">
      <w:pPr>
        <w:rPr>
          <w:lang w:eastAsia="ja-JP"/>
        </w:rPr>
      </w:pPr>
      <w:r>
        <w:rPr>
          <w:lang w:eastAsia="ja-JP"/>
        </w:rPr>
        <w:t>From the outset,</w:t>
      </w:r>
      <w:r w:rsidR="00462355">
        <w:rPr>
          <w:lang w:eastAsia="ja-JP"/>
        </w:rPr>
        <w:t xml:space="preserve"> the </w:t>
      </w:r>
      <w:r w:rsidR="00FF1A7B">
        <w:rPr>
          <w:lang w:eastAsia="ja-JP"/>
        </w:rPr>
        <w:t>p</w:t>
      </w:r>
      <w:r>
        <w:rPr>
          <w:lang w:eastAsia="ja-JP"/>
        </w:rPr>
        <w:t xml:space="preserve">roject </w:t>
      </w:r>
      <w:r w:rsidR="00FF1A7B">
        <w:rPr>
          <w:lang w:eastAsia="ja-JP"/>
        </w:rPr>
        <w:t>b</w:t>
      </w:r>
      <w:r>
        <w:rPr>
          <w:lang w:eastAsia="ja-JP"/>
        </w:rPr>
        <w:t xml:space="preserve">oard </w:t>
      </w:r>
      <w:r w:rsidR="00462355">
        <w:rPr>
          <w:lang w:eastAsia="ja-JP"/>
        </w:rPr>
        <w:t xml:space="preserve">was mindful of drawing on </w:t>
      </w:r>
      <w:r>
        <w:rPr>
          <w:lang w:eastAsia="ja-JP"/>
        </w:rPr>
        <w:t>the</w:t>
      </w:r>
      <w:r w:rsidR="00462355">
        <w:rPr>
          <w:lang w:eastAsia="ja-JP"/>
        </w:rPr>
        <w:t xml:space="preserve"> lessons learned from </w:t>
      </w:r>
      <w:r>
        <w:rPr>
          <w:lang w:eastAsia="ja-JP"/>
        </w:rPr>
        <w:t>implementing</w:t>
      </w:r>
      <w:r w:rsidR="00462355">
        <w:rPr>
          <w:lang w:eastAsia="ja-JP"/>
        </w:rPr>
        <w:t xml:space="preserve"> the NDA. It sought views and priorities from the AMM Working Group on Drought, considered feedback received from various stakeholders over </w:t>
      </w:r>
      <w:r>
        <w:rPr>
          <w:lang w:eastAsia="ja-JP"/>
        </w:rPr>
        <w:t>recent</w:t>
      </w:r>
      <w:r w:rsidR="00462355">
        <w:rPr>
          <w:lang w:eastAsia="ja-JP"/>
        </w:rPr>
        <w:t xml:space="preserve"> years, and drew directly on reflections and insights from the </w:t>
      </w:r>
      <w:r w:rsidRPr="00FC730E">
        <w:rPr>
          <w:lang w:eastAsia="ja-JP"/>
        </w:rPr>
        <w:t xml:space="preserve">National Drought Summit in Moree in December 2019 and the </w:t>
      </w:r>
      <w:r w:rsidR="00462355">
        <w:rPr>
          <w:lang w:eastAsia="ja-JP"/>
        </w:rPr>
        <w:t>National Drought Forum in Toowoomba in June 2021. These inputs were critical in identifying issues to be explored through the NDA review.</w:t>
      </w:r>
    </w:p>
    <w:p w14:paraId="76CDB0F3" w14:textId="7AEA6159" w:rsidR="00462355" w:rsidRDefault="00462355" w:rsidP="00462355">
      <w:pPr>
        <w:rPr>
          <w:lang w:eastAsia="ja-JP"/>
        </w:rPr>
      </w:pPr>
      <w:r>
        <w:rPr>
          <w:lang w:eastAsia="ja-JP"/>
        </w:rPr>
        <w:t xml:space="preserve">In the early stages of the review, the </w:t>
      </w:r>
      <w:r w:rsidR="00FC730E">
        <w:rPr>
          <w:lang w:eastAsia="ja-JP"/>
        </w:rPr>
        <w:t xml:space="preserve">review </w:t>
      </w:r>
      <w:r>
        <w:rPr>
          <w:lang w:eastAsia="ja-JP"/>
        </w:rPr>
        <w:t xml:space="preserve">secretariat commissioned an independent </w:t>
      </w:r>
      <w:hyperlink r:id="rId22" w:history="1">
        <w:r w:rsidR="00B46C13">
          <w:rPr>
            <w:rStyle w:val="Hyperlink"/>
            <w:lang w:eastAsia="ja-JP"/>
          </w:rPr>
          <w:t>National Drought Agreement technical assessment report</w:t>
        </w:r>
      </w:hyperlink>
      <w:r w:rsidR="00AA2B61">
        <w:rPr>
          <w:lang w:eastAsia="ja-JP"/>
        </w:rPr>
        <w:t xml:space="preserve"> </w:t>
      </w:r>
      <w:r>
        <w:rPr>
          <w:lang w:eastAsia="ja-JP"/>
        </w:rPr>
        <w:t xml:space="preserve">to </w:t>
      </w:r>
      <w:r w:rsidR="00FC730E">
        <w:rPr>
          <w:lang w:eastAsia="ja-JP"/>
        </w:rPr>
        <w:t>inform</w:t>
      </w:r>
      <w:r>
        <w:rPr>
          <w:lang w:eastAsia="ja-JP"/>
        </w:rPr>
        <w:t xml:space="preserve"> thinking about potential areas for improvement. The technical review did not consider the policy settings behind the NDA. Rather, it looked at options to optimise the structure of the agreement, how it compared to other intergovernmental agreements, and whether there were elements that were missing or could be improved.</w:t>
      </w:r>
    </w:p>
    <w:p w14:paraId="4C0A40A1" w14:textId="46FF8555" w:rsidR="00462355" w:rsidRDefault="00462355" w:rsidP="00462355">
      <w:pPr>
        <w:rPr>
          <w:lang w:eastAsia="ja-JP"/>
        </w:rPr>
      </w:pPr>
      <w:r>
        <w:rPr>
          <w:lang w:eastAsia="ja-JP"/>
        </w:rPr>
        <w:t xml:space="preserve">The technical review was packaged with a summary of the existing issues that had been collated by the </w:t>
      </w:r>
      <w:r w:rsidR="00FF1A7B">
        <w:rPr>
          <w:lang w:eastAsia="ja-JP"/>
        </w:rPr>
        <w:t>p</w:t>
      </w:r>
      <w:r w:rsidR="00FC730E">
        <w:rPr>
          <w:lang w:eastAsia="ja-JP"/>
        </w:rPr>
        <w:t xml:space="preserve">roject </w:t>
      </w:r>
      <w:r w:rsidR="00FF1A7B">
        <w:rPr>
          <w:lang w:eastAsia="ja-JP"/>
        </w:rPr>
        <w:t>b</w:t>
      </w:r>
      <w:r w:rsidR="00FC730E">
        <w:rPr>
          <w:lang w:eastAsia="ja-JP"/>
        </w:rPr>
        <w:t>oard.</w:t>
      </w:r>
      <w:r>
        <w:rPr>
          <w:lang w:eastAsia="ja-JP"/>
        </w:rPr>
        <w:t xml:space="preserve"> </w:t>
      </w:r>
      <w:r w:rsidR="00FC730E">
        <w:rPr>
          <w:lang w:eastAsia="ja-JP"/>
        </w:rPr>
        <w:t>Together they formed</w:t>
      </w:r>
      <w:r>
        <w:rPr>
          <w:lang w:eastAsia="ja-JP"/>
        </w:rPr>
        <w:t xml:space="preserve"> the basis for public consultation</w:t>
      </w:r>
      <w:r w:rsidR="00FC730E">
        <w:rPr>
          <w:lang w:eastAsia="ja-JP"/>
        </w:rPr>
        <w:t xml:space="preserve"> during the review</w:t>
      </w:r>
      <w:r w:rsidR="00436B8B">
        <w:rPr>
          <w:lang w:eastAsia="ja-JP"/>
        </w:rPr>
        <w:t xml:space="preserve"> </w:t>
      </w:r>
      <w:r>
        <w:rPr>
          <w:lang w:eastAsia="ja-JP"/>
        </w:rPr>
        <w:t>(</w:t>
      </w:r>
      <w:r w:rsidR="00AA2B61">
        <w:rPr>
          <w:lang w:eastAsia="ja-JP"/>
        </w:rPr>
        <w:t xml:space="preserve">see </w:t>
      </w:r>
      <w:hyperlink r:id="rId23" w:history="1">
        <w:r w:rsidR="00847B55">
          <w:rPr>
            <w:rStyle w:val="Hyperlink"/>
            <w:lang w:eastAsia="ja-JP"/>
          </w:rPr>
          <w:t>National Drought Agreement review public consultation summary</w:t>
        </w:r>
      </w:hyperlink>
      <w:r>
        <w:rPr>
          <w:lang w:eastAsia="ja-JP"/>
        </w:rPr>
        <w:t>).</w:t>
      </w:r>
    </w:p>
    <w:p w14:paraId="405E3F1F" w14:textId="43ED65E3" w:rsidR="00462355" w:rsidRDefault="00462355" w:rsidP="00462355">
      <w:pPr>
        <w:rPr>
          <w:lang w:eastAsia="ja-JP"/>
        </w:rPr>
      </w:pPr>
      <w:r>
        <w:rPr>
          <w:lang w:eastAsia="ja-JP"/>
        </w:rPr>
        <w:t>Public consultation was open from April to June 2022</w:t>
      </w:r>
      <w:r w:rsidR="00B46C13">
        <w:rPr>
          <w:lang w:eastAsia="ja-JP"/>
        </w:rPr>
        <w:t>. A</w:t>
      </w:r>
      <w:r>
        <w:rPr>
          <w:lang w:eastAsia="ja-JP"/>
        </w:rPr>
        <w:t>ny person or group who wished to make a written submission were able to do so. Submissions were received from some individuals, as well as a number of organisations.</w:t>
      </w:r>
    </w:p>
    <w:p w14:paraId="7AA871E8" w14:textId="01CD817E" w:rsidR="00462355" w:rsidRDefault="00462355" w:rsidP="00462355">
      <w:pPr>
        <w:rPr>
          <w:lang w:eastAsia="ja-JP"/>
        </w:rPr>
      </w:pPr>
      <w:r>
        <w:rPr>
          <w:lang w:eastAsia="ja-JP"/>
        </w:rPr>
        <w:t>During the public consultation period, targeted discussions were also held with a wide range of stakeholders identified by the project board as having a vested interest in drought. These stakeholders included representatives from the agricultural and financ</w:t>
      </w:r>
      <w:r w:rsidR="003B6798">
        <w:rPr>
          <w:lang w:eastAsia="ja-JP"/>
        </w:rPr>
        <w:t>ial</w:t>
      </w:r>
      <w:r>
        <w:rPr>
          <w:lang w:eastAsia="ja-JP"/>
        </w:rPr>
        <w:t xml:space="preserve"> industries, local government, research bodies, and the not-for-profit sector</w:t>
      </w:r>
      <w:r w:rsidR="006514E3">
        <w:rPr>
          <w:lang w:eastAsia="ja-JP"/>
        </w:rPr>
        <w:t>.</w:t>
      </w:r>
    </w:p>
    <w:p w14:paraId="2B26D5D5" w14:textId="13E12254" w:rsidR="00462355" w:rsidRDefault="00462355" w:rsidP="00462355">
      <w:pPr>
        <w:rPr>
          <w:lang w:eastAsia="ja-JP"/>
        </w:rPr>
      </w:pPr>
      <w:r>
        <w:rPr>
          <w:lang w:eastAsia="ja-JP"/>
        </w:rPr>
        <w:t xml:space="preserve">The findings from the consultation process were </w:t>
      </w:r>
      <w:r w:rsidR="00FC730E">
        <w:rPr>
          <w:lang w:eastAsia="ja-JP"/>
        </w:rPr>
        <w:t>considered</w:t>
      </w:r>
      <w:r>
        <w:rPr>
          <w:lang w:eastAsia="ja-JP"/>
        </w:rPr>
        <w:t xml:space="preserve"> by the </w:t>
      </w:r>
      <w:r w:rsidR="00FF1A7B">
        <w:rPr>
          <w:lang w:eastAsia="ja-JP"/>
        </w:rPr>
        <w:t>p</w:t>
      </w:r>
      <w:r w:rsidR="00FC730E">
        <w:rPr>
          <w:lang w:eastAsia="ja-JP"/>
        </w:rPr>
        <w:t xml:space="preserve">roject </w:t>
      </w:r>
      <w:r w:rsidR="00FF1A7B">
        <w:rPr>
          <w:lang w:eastAsia="ja-JP"/>
        </w:rPr>
        <w:t>b</w:t>
      </w:r>
      <w:r w:rsidR="00FC730E">
        <w:rPr>
          <w:lang w:eastAsia="ja-JP"/>
        </w:rPr>
        <w:t>oard</w:t>
      </w:r>
      <w:r>
        <w:rPr>
          <w:lang w:eastAsia="ja-JP"/>
        </w:rPr>
        <w:t>.</w:t>
      </w:r>
    </w:p>
    <w:p w14:paraId="0BE60C4C" w14:textId="530E0A91" w:rsidR="00462355" w:rsidRDefault="00462355" w:rsidP="00462355">
      <w:pPr>
        <w:rPr>
          <w:lang w:eastAsia="ja-JP"/>
        </w:rPr>
      </w:pPr>
      <w:r>
        <w:rPr>
          <w:lang w:eastAsia="ja-JP"/>
        </w:rPr>
        <w:t xml:space="preserve">The AMM Working Group on Drought were consulted at key points throughout the process to test the </w:t>
      </w:r>
      <w:r w:rsidR="00FF1A7B">
        <w:rPr>
          <w:lang w:eastAsia="ja-JP"/>
        </w:rPr>
        <w:t>p</w:t>
      </w:r>
      <w:r w:rsidR="00FC730E">
        <w:rPr>
          <w:lang w:eastAsia="ja-JP"/>
        </w:rPr>
        <w:t xml:space="preserve">roject </w:t>
      </w:r>
      <w:r w:rsidR="00FF1A7B">
        <w:rPr>
          <w:lang w:eastAsia="ja-JP"/>
        </w:rPr>
        <w:t>b</w:t>
      </w:r>
      <w:r w:rsidR="00FC730E">
        <w:rPr>
          <w:lang w:eastAsia="ja-JP"/>
        </w:rPr>
        <w:t xml:space="preserve">oard’s </w:t>
      </w:r>
      <w:r>
        <w:rPr>
          <w:lang w:eastAsia="ja-JP"/>
        </w:rPr>
        <w:t xml:space="preserve">thinking and ensure </w:t>
      </w:r>
      <w:r w:rsidR="00FC730E">
        <w:rPr>
          <w:lang w:eastAsia="ja-JP"/>
        </w:rPr>
        <w:t xml:space="preserve">that </w:t>
      </w:r>
      <w:r>
        <w:rPr>
          <w:lang w:eastAsia="ja-JP"/>
        </w:rPr>
        <w:t>the review comprehensively consider</w:t>
      </w:r>
      <w:r w:rsidR="002B66C3">
        <w:rPr>
          <w:lang w:eastAsia="ja-JP"/>
        </w:rPr>
        <w:t>ed</w:t>
      </w:r>
      <w:r>
        <w:rPr>
          <w:lang w:eastAsia="ja-JP"/>
        </w:rPr>
        <w:t xml:space="preserve"> and </w:t>
      </w:r>
      <w:r w:rsidR="002B66C3">
        <w:rPr>
          <w:lang w:eastAsia="ja-JP"/>
        </w:rPr>
        <w:t xml:space="preserve">represented </w:t>
      </w:r>
      <w:r>
        <w:rPr>
          <w:lang w:eastAsia="ja-JP"/>
        </w:rPr>
        <w:t>stakeholder interests.</w:t>
      </w:r>
    </w:p>
    <w:p w14:paraId="137270C4" w14:textId="14CEAF42" w:rsidR="00462355" w:rsidRDefault="00462355" w:rsidP="00462355">
      <w:pPr>
        <w:rPr>
          <w:lang w:eastAsia="ja-JP"/>
        </w:rPr>
      </w:pPr>
      <w:r>
        <w:rPr>
          <w:lang w:eastAsia="ja-JP"/>
        </w:rPr>
        <w:t xml:space="preserve">The report has been approved by </w:t>
      </w:r>
      <w:r w:rsidR="00880290">
        <w:rPr>
          <w:lang w:eastAsia="ja-JP"/>
        </w:rPr>
        <w:t>a</w:t>
      </w:r>
      <w:r>
        <w:rPr>
          <w:lang w:eastAsia="ja-JP"/>
        </w:rPr>
        <w:t xml:space="preserve">griculture </w:t>
      </w:r>
      <w:r w:rsidR="00880290">
        <w:rPr>
          <w:lang w:eastAsia="ja-JP"/>
        </w:rPr>
        <w:t>m</w:t>
      </w:r>
      <w:r>
        <w:rPr>
          <w:lang w:eastAsia="ja-JP"/>
        </w:rPr>
        <w:t xml:space="preserve">inisters from </w:t>
      </w:r>
      <w:r w:rsidR="0010661F">
        <w:rPr>
          <w:lang w:eastAsia="ja-JP"/>
        </w:rPr>
        <w:t>the Australian Government and</w:t>
      </w:r>
      <w:r>
        <w:rPr>
          <w:lang w:eastAsia="ja-JP"/>
        </w:rPr>
        <w:t xml:space="preserve"> state and territory governments.</w:t>
      </w:r>
    </w:p>
    <w:p w14:paraId="58EFFFD8" w14:textId="727080C1" w:rsidR="00462355" w:rsidRDefault="00897C46" w:rsidP="00462355">
      <w:pPr>
        <w:rPr>
          <w:lang w:eastAsia="ja-JP"/>
        </w:rPr>
      </w:pPr>
      <w:r>
        <w:rPr>
          <w:lang w:eastAsia="ja-JP"/>
        </w:rPr>
        <w:t xml:space="preserve">This review has found that there is an enduring need and universal support for an interjurisdictional agreement focused on drought. </w:t>
      </w:r>
      <w:r w:rsidR="00462355">
        <w:rPr>
          <w:lang w:eastAsia="ja-JP"/>
        </w:rPr>
        <w:t xml:space="preserve">The recommendations will be used to inform the development of the next </w:t>
      </w:r>
      <w:r w:rsidR="002932DD">
        <w:rPr>
          <w:lang w:eastAsia="ja-JP"/>
        </w:rPr>
        <w:t>a</w:t>
      </w:r>
      <w:r w:rsidR="00462355">
        <w:rPr>
          <w:lang w:eastAsia="ja-JP"/>
        </w:rPr>
        <w:t xml:space="preserve">greement. Parties will negotiate text for the new </w:t>
      </w:r>
      <w:r w:rsidR="002932DD">
        <w:rPr>
          <w:lang w:eastAsia="ja-JP"/>
        </w:rPr>
        <w:t>a</w:t>
      </w:r>
      <w:r w:rsidR="00462355">
        <w:rPr>
          <w:lang w:eastAsia="ja-JP"/>
        </w:rPr>
        <w:t>greement from January 2023 and there will be further opportunities for public consultation and feedback.</w:t>
      </w:r>
    </w:p>
    <w:p w14:paraId="6A2323EC" w14:textId="113638C2" w:rsidR="00F0084D" w:rsidRPr="00C205EF" w:rsidRDefault="00F0084D" w:rsidP="00F0084D">
      <w:pPr>
        <w:pStyle w:val="Caption"/>
        <w:rPr>
          <w:lang w:eastAsia="ja-JP"/>
        </w:rPr>
      </w:pPr>
      <w:bookmarkStart w:id="8" w:name="_Toc119069863"/>
      <w:r>
        <w:lastRenderedPageBreak/>
        <w:t xml:space="preserve">Figure </w:t>
      </w:r>
      <w:fldSimple w:instr=" SEQ Figure \* ARABIC ">
        <w:r w:rsidR="008E3158">
          <w:rPr>
            <w:noProof/>
          </w:rPr>
          <w:t>2</w:t>
        </w:r>
      </w:fldSimple>
      <w:r>
        <w:t xml:space="preserve"> Timeline</w:t>
      </w:r>
      <w:bookmarkEnd w:id="8"/>
    </w:p>
    <w:p w14:paraId="0CD13B0A" w14:textId="056A8844" w:rsidR="00C205EF" w:rsidRDefault="006459F9" w:rsidP="00607587">
      <w:pPr>
        <w:pStyle w:val="Caption"/>
        <w:rPr>
          <w:noProof/>
          <w:lang w:eastAsia="ja-JP"/>
        </w:rPr>
      </w:pPr>
      <w:r>
        <w:rPr>
          <w:noProof/>
          <w:lang w:eastAsia="ja-JP"/>
        </w:rPr>
        <w:drawing>
          <wp:inline distT="0" distB="0" distL="0" distR="0" wp14:anchorId="07832924" wp14:editId="79BD34E5">
            <wp:extent cx="5689248" cy="4860483"/>
            <wp:effectExtent l="0" t="0" r="6985" b="0"/>
            <wp:docPr id="7" name="Picture 7" descr="A timeline of the events which have led to this review report and upcoming new NDA text negotiations. In summary, lessons from the height of the 2017 to 2019 drought led to the current NDA being signed in December 2018. Lessons learned from the establishment of the Agricultural Minister’s Meeting Working Group on Drought in December 2019, the National Drought Summit in Moree in December 2019, and the June 2021 Drought Forum have informed the NDA review. Agriculture ministers signed the Terms of Reference for this review in February 2022 and the review commenced shortly after, including significant stakeholder consultation. In December 2022 the NDA review report and recommendations were approved by Agriculture ministers. Next step is text negotiations for the new NDA in 2023, including public consultation. The new NDA is to be executed by June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imeline of the events which have led to this review report and upcoming new NDA text negotiations. In summary, lessons from the height of the 2017 to 2019 drought led to the current NDA being signed in December 2018. Lessons learned from the establishment of the Agricultural Minister’s Meeting Working Group on Drought in December 2019, the National Drought Summit in Moree in December 2019, and the June 2021 Drought Forum have informed the NDA review. Agriculture ministers signed the Terms of Reference for this review in February 2022 and the review commenced shortly after, including significant stakeholder consultation. In December 2022 the NDA review report and recommendations were approved by Agriculture ministers. Next step is text negotiations for the new NDA in 2023, including public consultation. The new NDA is to be executed by June 2024."/>
                    <pic:cNvPicPr/>
                  </pic:nvPicPr>
                  <pic:blipFill rotWithShape="1">
                    <a:blip r:embed="rId24">
                      <a:extLst>
                        <a:ext uri="{28A0092B-C50C-407E-A947-70E740481C1C}">
                          <a14:useLocalDpi xmlns:a14="http://schemas.microsoft.com/office/drawing/2010/main" val="0"/>
                        </a:ext>
                      </a:extLst>
                    </a:blip>
                    <a:srcRect t="584" b="-1"/>
                    <a:stretch/>
                  </pic:blipFill>
                  <pic:spPr bwMode="auto">
                    <a:xfrm>
                      <a:off x="0" y="0"/>
                      <a:ext cx="5738935" cy="4902932"/>
                    </a:xfrm>
                    <a:prstGeom prst="rect">
                      <a:avLst/>
                    </a:prstGeom>
                    <a:ln>
                      <a:noFill/>
                    </a:ln>
                    <a:extLst>
                      <a:ext uri="{53640926-AAD7-44D8-BBD7-CCE9431645EC}">
                        <a14:shadowObscured xmlns:a14="http://schemas.microsoft.com/office/drawing/2010/main"/>
                      </a:ext>
                    </a:extLst>
                  </pic:spPr>
                </pic:pic>
              </a:graphicData>
            </a:graphic>
          </wp:inline>
        </w:drawing>
      </w:r>
    </w:p>
    <w:p w14:paraId="62FA582A" w14:textId="1E69CC97" w:rsidR="004734DF" w:rsidRPr="004734DF" w:rsidRDefault="004734DF" w:rsidP="004734DF">
      <w:pPr>
        <w:pStyle w:val="FigureTableNoteSource"/>
        <w:rPr>
          <w:lang w:eastAsia="ja-JP"/>
        </w:rPr>
      </w:pPr>
      <w:r w:rsidRPr="004734DF">
        <w:rPr>
          <w:rStyle w:val="Strong"/>
        </w:rPr>
        <w:t>AMM</w:t>
      </w:r>
      <w:r>
        <w:rPr>
          <w:lang w:eastAsia="ja-JP"/>
        </w:rPr>
        <w:t xml:space="preserve"> Agriculture Ministers’ Meeting. </w:t>
      </w:r>
      <w:r w:rsidRPr="004734DF">
        <w:rPr>
          <w:rStyle w:val="Strong"/>
        </w:rPr>
        <w:t>NDA</w:t>
      </w:r>
      <w:r>
        <w:rPr>
          <w:lang w:eastAsia="ja-JP"/>
        </w:rPr>
        <w:t xml:space="preserve"> National Drought Agreement.</w:t>
      </w:r>
    </w:p>
    <w:p w14:paraId="2620ED2A" w14:textId="233AE0B7" w:rsidR="00462355" w:rsidRDefault="00462355" w:rsidP="00462355">
      <w:pPr>
        <w:pStyle w:val="Heading2"/>
        <w:numPr>
          <w:ilvl w:val="0"/>
          <w:numId w:val="0"/>
        </w:numPr>
        <w:ind w:left="720" w:hanging="720"/>
      </w:pPr>
      <w:bookmarkStart w:id="9" w:name="_Toc119069846"/>
      <w:r>
        <w:lastRenderedPageBreak/>
        <w:t>Feedback and analysis</w:t>
      </w:r>
      <w:bookmarkEnd w:id="9"/>
    </w:p>
    <w:p w14:paraId="2F17C55C" w14:textId="7DEF40BD" w:rsidR="00704905" w:rsidRDefault="00704905" w:rsidP="00462355">
      <w:pPr>
        <w:rPr>
          <w:lang w:eastAsia="ja-JP"/>
        </w:rPr>
      </w:pPr>
      <w:bookmarkStart w:id="10" w:name="_Hlk114046385"/>
      <w:r>
        <w:rPr>
          <w:lang w:eastAsia="ja-JP"/>
        </w:rPr>
        <w:t>T</w:t>
      </w:r>
      <w:r w:rsidRPr="00704905">
        <w:rPr>
          <w:lang w:eastAsia="ja-JP"/>
        </w:rPr>
        <w:t>he NDA review consultation included discussions with 30 non-party stakeholders, including AMM Working Group on Drought members, as well as other key stakeholders in the farming, charity, and financial sectors. Consultation also included a Have Your Say feedback process, which was opened to the public</w:t>
      </w:r>
      <w:r>
        <w:rPr>
          <w:lang w:eastAsia="ja-JP"/>
        </w:rPr>
        <w:t>.</w:t>
      </w:r>
      <w:bookmarkEnd w:id="10"/>
    </w:p>
    <w:p w14:paraId="031F37B1" w14:textId="793B44CA" w:rsidR="00704905" w:rsidRPr="004734DF" w:rsidRDefault="00462355" w:rsidP="008E3158">
      <w:r w:rsidRPr="004734DF">
        <w:t xml:space="preserve">The consultation process found that there was strong support for the </w:t>
      </w:r>
      <w:r w:rsidR="00FC730E" w:rsidRPr="004734DF">
        <w:t xml:space="preserve">themes identified in the technical review and summary of issues collated by the </w:t>
      </w:r>
      <w:r w:rsidR="00FF1A7B" w:rsidRPr="004734DF">
        <w:t>p</w:t>
      </w:r>
      <w:r w:rsidR="00FC730E" w:rsidRPr="004734DF">
        <w:t xml:space="preserve">roject </w:t>
      </w:r>
      <w:r w:rsidR="00FF1A7B" w:rsidRPr="004734DF">
        <w:t>b</w:t>
      </w:r>
      <w:r w:rsidR="00FC730E" w:rsidRPr="004734DF">
        <w:t>oard</w:t>
      </w:r>
      <w:r w:rsidRPr="004734DF">
        <w:t>. However, some of the</w:t>
      </w:r>
      <w:r w:rsidR="00436B8B" w:rsidRPr="004734DF">
        <w:t>se</w:t>
      </w:r>
      <w:r w:rsidRPr="004734DF">
        <w:t xml:space="preserve"> issues were viewed by stakeholders as more important than others</w:t>
      </w:r>
      <w:r w:rsidR="00DA7A31" w:rsidRPr="004734DF">
        <w:t xml:space="preserve">. All stakeholders were </w:t>
      </w:r>
      <w:r w:rsidR="0029754F" w:rsidRPr="004734DF">
        <w:t>invited</w:t>
      </w:r>
      <w:r w:rsidR="00DA7A31" w:rsidRPr="004734DF">
        <w:t xml:space="preserve"> to raise any other issues they felt should be included as part of the review</w:t>
      </w:r>
      <w:r w:rsidRPr="004734DF">
        <w:t>.</w:t>
      </w:r>
    </w:p>
    <w:p w14:paraId="461E4DEB" w14:textId="7FC75281" w:rsidR="00F0084D" w:rsidRDefault="00F0084D" w:rsidP="00F0084D">
      <w:pPr>
        <w:pStyle w:val="Caption"/>
        <w:rPr>
          <w:lang w:eastAsia="ja-JP"/>
        </w:rPr>
      </w:pPr>
      <w:bookmarkStart w:id="11" w:name="_Toc119069864"/>
      <w:r>
        <w:t xml:space="preserve">Figure </w:t>
      </w:r>
      <w:fldSimple w:instr=" SEQ Figure \* ARABIC ">
        <w:r w:rsidR="008E3158">
          <w:rPr>
            <w:noProof/>
          </w:rPr>
          <w:t>3</w:t>
        </w:r>
      </w:fldSimple>
      <w:r>
        <w:rPr>
          <w:noProof/>
        </w:rPr>
        <w:t xml:space="preserve"> </w:t>
      </w:r>
      <w:r w:rsidRPr="00FC730E">
        <w:rPr>
          <w:noProof/>
        </w:rPr>
        <w:t>Relative frequency of key themes mentioned in responses to the review</w:t>
      </w:r>
      <w:bookmarkEnd w:id="11"/>
    </w:p>
    <w:p w14:paraId="69D72A60" w14:textId="1F320F40" w:rsidR="00A34B7F" w:rsidRDefault="00DD554A" w:rsidP="00F0084D">
      <w:pPr>
        <w:pStyle w:val="Caption"/>
        <w:rPr>
          <w:lang w:eastAsia="ja-JP"/>
        </w:rPr>
      </w:pPr>
      <w:r>
        <w:rPr>
          <w:noProof/>
          <w:lang w:eastAsia="ja-JP"/>
        </w:rPr>
        <w:drawing>
          <wp:inline distT="0" distB="0" distL="0" distR="0" wp14:anchorId="5AA08AF7" wp14:editId="028B2642">
            <wp:extent cx="5734050" cy="3286314"/>
            <wp:effectExtent l="0" t="0" r="0" b="9525"/>
            <wp:docPr id="9" name="Picture 9" descr="The figure is a bar graph. The key themes are listed in the order of frequency they were raised as part of the review process. These key themes were as follows. &#10;Prioritise collaboration: both what to collaborate on and how to collaborate. This was, by far, the biggest issue raised. The other issues were to revisit monitoring and reporting to better meet needs, consider drought impacts beyond the farm gate, more clearly define the roles and responsibilities of parties, continue to cover the entire drought cycle – preparedness, response and recovery, support improved outcomes for First Nation’s people and communities, recognize the full range of partners working in the drought space, recognize that drought intersects with other policy areas, and finally, improve the objectives and outcom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he figure is a bar graph. The key themes are listed in the order of frequency they were raised as part of the review process. These key themes were as follows. &#10;Prioritise collaboration: both what to collaborate on and how to collaborate. This was, by far, the biggest issue raised. The other issues were to revisit monitoring and reporting to better meet needs, consider drought impacts beyond the farm gate, more clearly define the roles and responsibilities of parties, continue to cover the entire drought cycle – preparedness, response and recovery, support improved outcomes for First Nation’s people and communities, recognize the full range of partners working in the drought space, recognize that drought intersects with other policy areas, and finally, improve the objectives and outcomes. &#10;"/>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56669" cy="3299278"/>
                    </a:xfrm>
                    <a:prstGeom prst="rect">
                      <a:avLst/>
                    </a:prstGeom>
                  </pic:spPr>
                </pic:pic>
              </a:graphicData>
            </a:graphic>
          </wp:inline>
        </w:drawing>
      </w:r>
    </w:p>
    <w:p w14:paraId="06C5864B" w14:textId="25BBF335" w:rsidR="0029754F" w:rsidRDefault="00462355" w:rsidP="00462355">
      <w:pPr>
        <w:rPr>
          <w:lang w:eastAsia="ja-JP"/>
        </w:rPr>
      </w:pPr>
      <w:bookmarkStart w:id="12" w:name="_Hlk114123004"/>
      <w:r>
        <w:rPr>
          <w:lang w:eastAsia="ja-JP"/>
        </w:rPr>
        <w:t xml:space="preserve">By far the most commonly </w:t>
      </w:r>
      <w:r w:rsidR="002B66C3">
        <w:rPr>
          <w:lang w:eastAsia="ja-JP"/>
        </w:rPr>
        <w:t xml:space="preserve">supported </w:t>
      </w:r>
      <w:r>
        <w:rPr>
          <w:lang w:eastAsia="ja-JP"/>
        </w:rPr>
        <w:t xml:space="preserve">issue was the need for the NDA to better support effective and meaningful collaboration between the parties, and with other key sectors such as industry, local governments and non-profit organisations. There was clear recognition of the benefits of establishing patterns of working cooperatively before needing to do so in a crisis. A component of this was a request to be clearer about the parties’ roles and responsibilities. Stakeholders also raised linkages to the shared responsibilities work currently being undertaken by the </w:t>
      </w:r>
      <w:r w:rsidR="0010661F">
        <w:rPr>
          <w:lang w:eastAsia="ja-JP"/>
        </w:rPr>
        <w:t>Australian Government.</w:t>
      </w:r>
    </w:p>
    <w:p w14:paraId="1D176E9D" w14:textId="0D8029F5" w:rsidR="00387A8B" w:rsidRDefault="00387A8B" w:rsidP="00462355">
      <w:pPr>
        <w:rPr>
          <w:lang w:eastAsia="ja-JP"/>
        </w:rPr>
      </w:pPr>
      <w:r>
        <w:rPr>
          <w:lang w:eastAsia="ja-JP"/>
        </w:rPr>
        <w:t>The shared responsibilities</w:t>
      </w:r>
      <w:r w:rsidR="00F67333">
        <w:rPr>
          <w:lang w:eastAsia="ja-JP"/>
        </w:rPr>
        <w:t xml:space="preserve"> work</w:t>
      </w:r>
      <w:r>
        <w:rPr>
          <w:lang w:eastAsia="ja-JP"/>
        </w:rPr>
        <w:t xml:space="preserve"> incorporated stakeholder consultation to develop an </w:t>
      </w:r>
      <w:r w:rsidR="0029754F">
        <w:rPr>
          <w:lang w:eastAsia="ja-JP"/>
        </w:rPr>
        <w:t xml:space="preserve">outline </w:t>
      </w:r>
      <w:r>
        <w:rPr>
          <w:lang w:eastAsia="ja-JP"/>
        </w:rPr>
        <w:t>of</w:t>
      </w:r>
      <w:r w:rsidR="0029754F">
        <w:rPr>
          <w:lang w:eastAsia="ja-JP"/>
        </w:rPr>
        <w:t xml:space="preserve"> the roles and responsibilities of those involved in drought and principles to guide how we can work together better.</w:t>
      </w:r>
      <w:r>
        <w:rPr>
          <w:lang w:eastAsia="ja-JP"/>
        </w:rPr>
        <w:t xml:space="preserve"> Further information is available on the relevant Have Your Say page. Understandably, there was </w:t>
      </w:r>
      <w:r w:rsidR="00462355">
        <w:rPr>
          <w:lang w:eastAsia="ja-JP"/>
        </w:rPr>
        <w:t>an expectation that this work would be complementary to the NDA review.</w:t>
      </w:r>
      <w:bookmarkEnd w:id="12"/>
    </w:p>
    <w:p w14:paraId="61EA938E" w14:textId="507922F3" w:rsidR="00462355" w:rsidRDefault="00462355" w:rsidP="00462355">
      <w:pPr>
        <w:rPr>
          <w:lang w:eastAsia="ja-JP"/>
        </w:rPr>
      </w:pPr>
      <w:r>
        <w:rPr>
          <w:lang w:eastAsia="ja-JP"/>
        </w:rPr>
        <w:t xml:space="preserve">Another aspect </w:t>
      </w:r>
      <w:r w:rsidR="00387A8B">
        <w:rPr>
          <w:lang w:eastAsia="ja-JP"/>
        </w:rPr>
        <w:t xml:space="preserve">raised in the review consultation </w:t>
      </w:r>
      <w:r>
        <w:rPr>
          <w:lang w:eastAsia="ja-JP"/>
        </w:rPr>
        <w:t xml:space="preserve">was related to sharing of information </w:t>
      </w:r>
      <w:r w:rsidR="00FC730E">
        <w:rPr>
          <w:lang w:eastAsia="ja-JP"/>
        </w:rPr>
        <w:t xml:space="preserve">including </w:t>
      </w:r>
      <w:r>
        <w:rPr>
          <w:lang w:eastAsia="ja-JP"/>
        </w:rPr>
        <w:t xml:space="preserve">updates </w:t>
      </w:r>
      <w:r w:rsidR="004012FE">
        <w:rPr>
          <w:lang w:eastAsia="ja-JP"/>
        </w:rPr>
        <w:t>on policies, progra</w:t>
      </w:r>
      <w:r w:rsidR="00341C6D">
        <w:rPr>
          <w:lang w:eastAsia="ja-JP"/>
        </w:rPr>
        <w:t>m</w:t>
      </w:r>
      <w:r w:rsidR="004012FE">
        <w:rPr>
          <w:lang w:eastAsia="ja-JP"/>
        </w:rPr>
        <w:t xml:space="preserve">s </w:t>
      </w:r>
      <w:r>
        <w:rPr>
          <w:lang w:eastAsia="ja-JP"/>
        </w:rPr>
        <w:t xml:space="preserve">and lessons learned to build and maintain </w:t>
      </w:r>
      <w:r w:rsidR="004012FE">
        <w:rPr>
          <w:lang w:eastAsia="ja-JP"/>
        </w:rPr>
        <w:t xml:space="preserve">shared </w:t>
      </w:r>
      <w:r>
        <w:rPr>
          <w:lang w:eastAsia="ja-JP"/>
        </w:rPr>
        <w:t xml:space="preserve">knowledge and </w:t>
      </w:r>
      <w:r w:rsidR="004012FE">
        <w:rPr>
          <w:lang w:eastAsia="ja-JP"/>
        </w:rPr>
        <w:lastRenderedPageBreak/>
        <w:t>validate</w:t>
      </w:r>
      <w:r>
        <w:rPr>
          <w:lang w:eastAsia="ja-JP"/>
        </w:rPr>
        <w:t xml:space="preserve"> information. There was also acknowledgement of the potential for more focussed </w:t>
      </w:r>
      <w:r w:rsidR="004012FE">
        <w:rPr>
          <w:lang w:eastAsia="ja-JP"/>
        </w:rPr>
        <w:t xml:space="preserve">cooperation on common </w:t>
      </w:r>
      <w:r>
        <w:rPr>
          <w:lang w:eastAsia="ja-JP"/>
        </w:rPr>
        <w:t xml:space="preserve">challenges, such as improved data </w:t>
      </w:r>
      <w:r w:rsidR="004012FE">
        <w:rPr>
          <w:lang w:eastAsia="ja-JP"/>
        </w:rPr>
        <w:t>collection and utilisation</w:t>
      </w:r>
      <w:r>
        <w:rPr>
          <w:lang w:eastAsia="ja-JP"/>
        </w:rPr>
        <w:t>.</w:t>
      </w:r>
    </w:p>
    <w:p w14:paraId="4514C426" w14:textId="0910BCBE" w:rsidR="00462355" w:rsidRDefault="00462355" w:rsidP="00462355">
      <w:pPr>
        <w:rPr>
          <w:lang w:eastAsia="ja-JP"/>
        </w:rPr>
      </w:pPr>
      <w:r>
        <w:rPr>
          <w:lang w:eastAsia="ja-JP"/>
        </w:rPr>
        <w:t xml:space="preserve">Another issue that received particular attention was for the impacts of drought beyond the farm gate to be more </w:t>
      </w:r>
      <w:r w:rsidR="000771C6">
        <w:rPr>
          <w:lang w:eastAsia="ja-JP"/>
        </w:rPr>
        <w:t>predominantly</w:t>
      </w:r>
      <w:r w:rsidR="004012FE">
        <w:rPr>
          <w:lang w:eastAsia="ja-JP"/>
        </w:rPr>
        <w:t xml:space="preserve"> </w:t>
      </w:r>
      <w:r>
        <w:rPr>
          <w:lang w:eastAsia="ja-JP"/>
        </w:rPr>
        <w:t xml:space="preserve">reflected in the next agreement. It was </w:t>
      </w:r>
      <w:r w:rsidR="004012FE">
        <w:rPr>
          <w:lang w:eastAsia="ja-JP"/>
        </w:rPr>
        <w:t xml:space="preserve">suggested </w:t>
      </w:r>
      <w:r>
        <w:rPr>
          <w:lang w:eastAsia="ja-JP"/>
        </w:rPr>
        <w:t xml:space="preserve">that the </w:t>
      </w:r>
      <w:r w:rsidR="004012FE">
        <w:rPr>
          <w:lang w:eastAsia="ja-JP"/>
        </w:rPr>
        <w:t xml:space="preserve">NDA currently overlooks the </w:t>
      </w:r>
      <w:r>
        <w:rPr>
          <w:lang w:eastAsia="ja-JP"/>
        </w:rPr>
        <w:t xml:space="preserve">economic impacts of drought on farming communities, despite </w:t>
      </w:r>
      <w:r w:rsidR="004012FE">
        <w:rPr>
          <w:lang w:eastAsia="ja-JP"/>
        </w:rPr>
        <w:t>the significance of these impacts on the wellbeing of the communities</w:t>
      </w:r>
      <w:r>
        <w:rPr>
          <w:lang w:eastAsia="ja-JP"/>
        </w:rPr>
        <w:t xml:space="preserve">. There were also requests for mental health to be more explicitly referenced in the NDA, and </w:t>
      </w:r>
      <w:r w:rsidR="004012FE">
        <w:rPr>
          <w:lang w:eastAsia="ja-JP"/>
        </w:rPr>
        <w:t>the need</w:t>
      </w:r>
      <w:r>
        <w:rPr>
          <w:lang w:eastAsia="ja-JP"/>
        </w:rPr>
        <w:t xml:space="preserve"> to promote a culture of positive mental health across the drought cycle instead of only during drought when</w:t>
      </w:r>
      <w:r w:rsidR="004012FE">
        <w:rPr>
          <w:lang w:eastAsia="ja-JP"/>
        </w:rPr>
        <w:t xml:space="preserve"> it tends to be</w:t>
      </w:r>
      <w:r>
        <w:rPr>
          <w:lang w:eastAsia="ja-JP"/>
        </w:rPr>
        <w:t xml:space="preserve"> most challenging.</w:t>
      </w:r>
    </w:p>
    <w:p w14:paraId="48B5B60D" w14:textId="44B023B8" w:rsidR="00462355" w:rsidRDefault="00462355" w:rsidP="00462355">
      <w:pPr>
        <w:rPr>
          <w:lang w:eastAsia="ja-JP"/>
        </w:rPr>
      </w:pPr>
      <w:r>
        <w:rPr>
          <w:lang w:eastAsia="ja-JP"/>
        </w:rPr>
        <w:t>There were multiple requests for monitoring, evaluation, learning and reporting to be more meaningful than what is currently provided</w:t>
      </w:r>
      <w:r w:rsidR="004012FE">
        <w:rPr>
          <w:lang w:eastAsia="ja-JP"/>
        </w:rPr>
        <w:t xml:space="preserve"> for in the NDA</w:t>
      </w:r>
      <w:r w:rsidR="00FF14D8">
        <w:rPr>
          <w:lang w:eastAsia="ja-JP"/>
        </w:rPr>
        <w:t xml:space="preserve"> reporting framework</w:t>
      </w:r>
      <w:r>
        <w:rPr>
          <w:lang w:eastAsia="ja-JP"/>
        </w:rPr>
        <w:t>. Stakeholders requested a greater focus on the benefits of drought policy and programs to farmers and their communities</w:t>
      </w:r>
      <w:r w:rsidR="004012FE">
        <w:rPr>
          <w:lang w:eastAsia="ja-JP"/>
        </w:rPr>
        <w:t xml:space="preserve"> (i.e. outcomes)</w:t>
      </w:r>
      <w:r>
        <w:rPr>
          <w:lang w:eastAsia="ja-JP"/>
        </w:rPr>
        <w:t>, rather than descriptive reporting on programs or how much is being invested</w:t>
      </w:r>
      <w:r w:rsidR="004012FE">
        <w:rPr>
          <w:lang w:eastAsia="ja-JP"/>
        </w:rPr>
        <w:t xml:space="preserve"> in drought related initiatives</w:t>
      </w:r>
      <w:r>
        <w:rPr>
          <w:lang w:eastAsia="ja-JP"/>
        </w:rPr>
        <w:t xml:space="preserve">. The </w:t>
      </w:r>
      <w:r w:rsidR="004012FE">
        <w:rPr>
          <w:lang w:eastAsia="ja-JP"/>
        </w:rPr>
        <w:t xml:space="preserve">desirability </w:t>
      </w:r>
      <w:r>
        <w:rPr>
          <w:lang w:eastAsia="ja-JP"/>
        </w:rPr>
        <w:t xml:space="preserve">of better understanding the collective impact of governments’ efforts </w:t>
      </w:r>
      <w:r w:rsidR="004012FE">
        <w:rPr>
          <w:lang w:eastAsia="ja-JP"/>
        </w:rPr>
        <w:t>in</w:t>
      </w:r>
      <w:r>
        <w:rPr>
          <w:lang w:eastAsia="ja-JP"/>
        </w:rPr>
        <w:t xml:space="preserve"> responding to drought and preparing for drought was raised, but with recognition that </w:t>
      </w:r>
      <w:r w:rsidR="004012FE">
        <w:rPr>
          <w:lang w:eastAsia="ja-JP"/>
        </w:rPr>
        <w:t>it would be</w:t>
      </w:r>
      <w:r>
        <w:rPr>
          <w:lang w:eastAsia="ja-JP"/>
        </w:rPr>
        <w:t xml:space="preserve"> difficult to </w:t>
      </w:r>
      <w:r w:rsidR="004012FE">
        <w:rPr>
          <w:lang w:eastAsia="ja-JP"/>
        </w:rPr>
        <w:t xml:space="preserve">achieve </w:t>
      </w:r>
      <w:r>
        <w:rPr>
          <w:lang w:eastAsia="ja-JP"/>
        </w:rPr>
        <w:t>given the difficulties with data consistency and attribution.</w:t>
      </w:r>
    </w:p>
    <w:p w14:paraId="6032BCD4" w14:textId="56747121" w:rsidR="00462355" w:rsidRDefault="00462355" w:rsidP="00462355">
      <w:pPr>
        <w:rPr>
          <w:lang w:eastAsia="ja-JP"/>
        </w:rPr>
      </w:pPr>
      <w:r>
        <w:rPr>
          <w:lang w:eastAsia="ja-JP"/>
        </w:rPr>
        <w:t xml:space="preserve">Finally, stakeholders almost universally raised that drought does not exist in </w:t>
      </w:r>
      <w:r w:rsidR="004012FE">
        <w:rPr>
          <w:lang w:eastAsia="ja-JP"/>
        </w:rPr>
        <w:t>isolation from other issues</w:t>
      </w:r>
      <w:r>
        <w:rPr>
          <w:lang w:eastAsia="ja-JP"/>
        </w:rPr>
        <w:t xml:space="preserve"> and farmers manage drought as just one of a multitude of business risks. There was </w:t>
      </w:r>
      <w:r w:rsidR="004012FE">
        <w:rPr>
          <w:lang w:eastAsia="ja-JP"/>
        </w:rPr>
        <w:t xml:space="preserve">a </w:t>
      </w:r>
      <w:r>
        <w:rPr>
          <w:lang w:eastAsia="ja-JP"/>
        </w:rPr>
        <w:t xml:space="preserve">strong appetite for </w:t>
      </w:r>
      <w:r w:rsidR="000771C6">
        <w:rPr>
          <w:lang w:eastAsia="ja-JP"/>
        </w:rPr>
        <w:t>the next</w:t>
      </w:r>
      <w:r>
        <w:rPr>
          <w:lang w:eastAsia="ja-JP"/>
        </w:rPr>
        <w:t xml:space="preserve"> agreement to reflect the multi-hazard environment in which farmers operate. For many stakeholders, this recognition was particularly important in order to </w:t>
      </w:r>
      <w:r w:rsidR="000771C6">
        <w:rPr>
          <w:lang w:eastAsia="ja-JP"/>
        </w:rPr>
        <w:t>appropriately acknowledge</w:t>
      </w:r>
      <w:r>
        <w:rPr>
          <w:lang w:eastAsia="ja-JP"/>
        </w:rPr>
        <w:t xml:space="preserve"> the efforts </w:t>
      </w:r>
      <w:r w:rsidR="000771C6">
        <w:rPr>
          <w:lang w:eastAsia="ja-JP"/>
        </w:rPr>
        <w:t xml:space="preserve">and successes </w:t>
      </w:r>
      <w:r>
        <w:rPr>
          <w:lang w:eastAsia="ja-JP"/>
        </w:rPr>
        <w:t>of farming businesses, farming families and their communities</w:t>
      </w:r>
      <w:r w:rsidR="000771C6">
        <w:rPr>
          <w:lang w:eastAsia="ja-JP"/>
        </w:rPr>
        <w:t xml:space="preserve"> in managing risk</w:t>
      </w:r>
      <w:r>
        <w:rPr>
          <w:lang w:eastAsia="ja-JP"/>
        </w:rPr>
        <w:t>.</w:t>
      </w:r>
    </w:p>
    <w:p w14:paraId="59FF7C07" w14:textId="62AC1CAA" w:rsidR="00462355" w:rsidRDefault="00462355" w:rsidP="00462355">
      <w:pPr>
        <w:pStyle w:val="Heading2"/>
        <w:numPr>
          <w:ilvl w:val="0"/>
          <w:numId w:val="0"/>
        </w:numPr>
        <w:ind w:left="720" w:hanging="720"/>
      </w:pPr>
      <w:bookmarkStart w:id="13" w:name="_Recommendations"/>
      <w:bookmarkStart w:id="14" w:name="_Toc119069847"/>
      <w:bookmarkEnd w:id="13"/>
      <w:r>
        <w:lastRenderedPageBreak/>
        <w:t>Recommendations</w:t>
      </w:r>
      <w:bookmarkEnd w:id="14"/>
    </w:p>
    <w:p w14:paraId="7FD4A283" w14:textId="2F217EAA" w:rsidR="00462355" w:rsidRDefault="00462355">
      <w:pPr>
        <w:pStyle w:val="Heading3"/>
        <w:numPr>
          <w:ilvl w:val="0"/>
          <w:numId w:val="0"/>
        </w:numPr>
        <w:rPr>
          <w:lang w:eastAsia="ja-JP"/>
        </w:rPr>
      </w:pPr>
      <w:bookmarkStart w:id="15" w:name="_Toc119069848"/>
      <w:r w:rsidRPr="009B628D">
        <w:rPr>
          <w:lang w:eastAsia="ja-JP"/>
        </w:rPr>
        <w:t>Key issue 1</w:t>
      </w:r>
      <w:r w:rsidR="00836A53">
        <w:rPr>
          <w:lang w:eastAsia="ja-JP"/>
        </w:rPr>
        <w:t>:</w:t>
      </w:r>
      <w:r w:rsidR="00FF1A7B">
        <w:rPr>
          <w:lang w:eastAsia="ja-JP"/>
        </w:rPr>
        <w:t xml:space="preserve"> </w:t>
      </w:r>
      <w:r w:rsidR="009B628D">
        <w:rPr>
          <w:lang w:eastAsia="ja-JP"/>
        </w:rPr>
        <w:t>P</w:t>
      </w:r>
      <w:r>
        <w:rPr>
          <w:lang w:eastAsia="ja-JP"/>
        </w:rPr>
        <w:t xml:space="preserve">urpose of the </w:t>
      </w:r>
      <w:r w:rsidR="00D466F4" w:rsidRPr="00905ACB">
        <w:rPr>
          <w:lang w:eastAsia="ja-JP"/>
        </w:rPr>
        <w:t>N</w:t>
      </w:r>
      <w:r w:rsidR="00754291" w:rsidRPr="00905ACB">
        <w:rPr>
          <w:lang w:eastAsia="ja-JP"/>
        </w:rPr>
        <w:t xml:space="preserve">ational </w:t>
      </w:r>
      <w:r w:rsidR="00D466F4" w:rsidRPr="00905ACB">
        <w:rPr>
          <w:lang w:eastAsia="ja-JP"/>
        </w:rPr>
        <w:t>D</w:t>
      </w:r>
      <w:r w:rsidR="00754291" w:rsidRPr="00905ACB">
        <w:rPr>
          <w:lang w:eastAsia="ja-JP"/>
        </w:rPr>
        <w:t xml:space="preserve">rought </w:t>
      </w:r>
      <w:r w:rsidR="00D466F4" w:rsidRPr="00905ACB">
        <w:rPr>
          <w:lang w:eastAsia="ja-JP"/>
        </w:rPr>
        <w:t>A</w:t>
      </w:r>
      <w:r w:rsidR="00754291" w:rsidRPr="00905ACB">
        <w:rPr>
          <w:lang w:eastAsia="ja-JP"/>
        </w:rPr>
        <w:t>greement</w:t>
      </w:r>
      <w:bookmarkEnd w:id="15"/>
    </w:p>
    <w:p w14:paraId="2FEE97D0" w14:textId="75161E58" w:rsidR="00462355" w:rsidRDefault="00462355" w:rsidP="00462355">
      <w:pPr>
        <w:rPr>
          <w:lang w:eastAsia="ja-JP"/>
        </w:rPr>
      </w:pPr>
      <w:r w:rsidRPr="00462355">
        <w:rPr>
          <w:lang w:eastAsia="ja-JP"/>
        </w:rPr>
        <w:t xml:space="preserve">While drought preparedness and response is a shared responsibility between many stakeholders – not least the farm businesses, farming families and farming communities that bear the brunt of drought impacts – the NDA is a discrete tool with a discrete purpose. It is an intergovernmental agreement primarily intended to facilitate a complementary approach to drought policy and programs between the </w:t>
      </w:r>
      <w:r w:rsidR="0010661F">
        <w:rPr>
          <w:lang w:eastAsia="ja-JP"/>
        </w:rPr>
        <w:t>Australian Government and</w:t>
      </w:r>
      <w:r w:rsidRPr="00462355">
        <w:rPr>
          <w:lang w:eastAsia="ja-JP"/>
        </w:rPr>
        <w:t xml:space="preserve"> state and territory governments.</w:t>
      </w:r>
    </w:p>
    <w:p w14:paraId="0BF8403D" w14:textId="0D298421" w:rsidR="00462355" w:rsidRDefault="00462355" w:rsidP="00462355">
      <w:pPr>
        <w:pStyle w:val="Heading4"/>
        <w:numPr>
          <w:ilvl w:val="0"/>
          <w:numId w:val="0"/>
        </w:numPr>
        <w:ind w:left="964" w:hanging="964"/>
        <w:rPr>
          <w:lang w:eastAsia="ja-JP"/>
        </w:rPr>
      </w:pPr>
      <w:r>
        <w:rPr>
          <w:lang w:eastAsia="ja-JP"/>
        </w:rPr>
        <w:t>Recommendation</w:t>
      </w:r>
    </w:p>
    <w:p w14:paraId="32348708" w14:textId="1F386404" w:rsidR="00295367" w:rsidRDefault="00295367" w:rsidP="0054335F">
      <w:pPr>
        <w:pStyle w:val="ListNumber"/>
        <w:rPr>
          <w:lang w:eastAsia="ja-JP"/>
        </w:rPr>
      </w:pPr>
      <w:r>
        <w:rPr>
          <w:lang w:eastAsia="ja-JP"/>
        </w:rPr>
        <w:t xml:space="preserve">A new </w:t>
      </w:r>
      <w:r w:rsidR="00CB3670">
        <w:rPr>
          <w:lang w:eastAsia="ja-JP"/>
        </w:rPr>
        <w:t xml:space="preserve">national </w:t>
      </w:r>
      <w:r>
        <w:rPr>
          <w:lang w:eastAsia="ja-JP"/>
        </w:rPr>
        <w:t>agreement</w:t>
      </w:r>
      <w:r w:rsidR="0008749F">
        <w:rPr>
          <w:lang w:eastAsia="ja-JP"/>
        </w:rPr>
        <w:t xml:space="preserve"> on drought </w:t>
      </w:r>
      <w:r>
        <w:rPr>
          <w:lang w:eastAsia="ja-JP"/>
        </w:rPr>
        <w:t xml:space="preserve">should be developed and come into </w:t>
      </w:r>
      <w:r w:rsidR="0008749F">
        <w:rPr>
          <w:lang w:eastAsia="ja-JP"/>
        </w:rPr>
        <w:t xml:space="preserve">effect when the current NDA expires on </w:t>
      </w:r>
      <w:r w:rsidR="00FF1A7B">
        <w:rPr>
          <w:lang w:eastAsia="ja-JP"/>
        </w:rPr>
        <w:t>30 June 2024.</w:t>
      </w:r>
    </w:p>
    <w:p w14:paraId="2D0E2CF6" w14:textId="2E4AAD82" w:rsidR="0054335F" w:rsidRPr="0054335F" w:rsidRDefault="0054335F" w:rsidP="0054335F">
      <w:pPr>
        <w:pStyle w:val="ListNumber"/>
        <w:rPr>
          <w:lang w:eastAsia="ja-JP"/>
        </w:rPr>
      </w:pPr>
      <w:r w:rsidRPr="0054335F">
        <w:rPr>
          <w:lang w:eastAsia="ja-JP"/>
        </w:rPr>
        <w:t xml:space="preserve">The next agreement should continue to be an intergovernmental agreement, with signatories (parties) limited to the </w:t>
      </w:r>
      <w:r w:rsidR="0010661F">
        <w:rPr>
          <w:lang w:eastAsia="ja-JP"/>
        </w:rPr>
        <w:t>Australian Government and</w:t>
      </w:r>
      <w:r w:rsidRPr="0054335F">
        <w:rPr>
          <w:lang w:eastAsia="ja-JP"/>
        </w:rPr>
        <w:t xml:space="preserve"> state and territory governments.</w:t>
      </w:r>
    </w:p>
    <w:p w14:paraId="7A3C58FC" w14:textId="21CB1438" w:rsidR="00462355" w:rsidRDefault="0054335F">
      <w:pPr>
        <w:pStyle w:val="Heading3"/>
        <w:numPr>
          <w:ilvl w:val="0"/>
          <w:numId w:val="0"/>
        </w:numPr>
        <w:rPr>
          <w:lang w:eastAsia="ja-JP"/>
        </w:rPr>
      </w:pPr>
      <w:bookmarkStart w:id="16" w:name="_Toc119069849"/>
      <w:r>
        <w:rPr>
          <w:lang w:eastAsia="ja-JP"/>
        </w:rPr>
        <w:t>Key issue 2</w:t>
      </w:r>
      <w:r w:rsidR="009B628D">
        <w:rPr>
          <w:lang w:eastAsia="ja-JP"/>
        </w:rPr>
        <w:t>:</w:t>
      </w:r>
      <w:r w:rsidR="00FF1A7B">
        <w:rPr>
          <w:lang w:eastAsia="ja-JP"/>
        </w:rPr>
        <w:t xml:space="preserve"> </w:t>
      </w:r>
      <w:r w:rsidR="00B725C6">
        <w:rPr>
          <w:lang w:eastAsia="ja-JP"/>
        </w:rPr>
        <w:t>B</w:t>
      </w:r>
      <w:r>
        <w:rPr>
          <w:lang w:eastAsia="ja-JP"/>
        </w:rPr>
        <w:t xml:space="preserve">eneficiaries of the </w:t>
      </w:r>
      <w:r w:rsidR="00D466F4">
        <w:rPr>
          <w:lang w:eastAsia="ja-JP"/>
        </w:rPr>
        <w:t>N</w:t>
      </w:r>
      <w:r w:rsidR="00754291">
        <w:rPr>
          <w:lang w:eastAsia="ja-JP"/>
        </w:rPr>
        <w:t>ational Drought Agreement</w:t>
      </w:r>
      <w:bookmarkEnd w:id="16"/>
    </w:p>
    <w:p w14:paraId="05F9CC14" w14:textId="62A7D275" w:rsidR="00412481" w:rsidRDefault="006455F4" w:rsidP="0054335F">
      <w:pPr>
        <w:rPr>
          <w:lang w:eastAsia="ja-JP"/>
        </w:rPr>
      </w:pPr>
      <w:r w:rsidRPr="006455F4">
        <w:rPr>
          <w:lang w:eastAsia="ja-JP"/>
        </w:rPr>
        <w:t>The impacts of drought are first felt on-farm,</w:t>
      </w:r>
      <w:r w:rsidR="0054335F" w:rsidRPr="0054335F">
        <w:rPr>
          <w:lang w:eastAsia="ja-JP"/>
        </w:rPr>
        <w:t xml:space="preserve"> </w:t>
      </w:r>
      <w:r w:rsidR="0008749F">
        <w:rPr>
          <w:lang w:eastAsia="ja-JP"/>
        </w:rPr>
        <w:t xml:space="preserve">by farming families and farm businesses, </w:t>
      </w:r>
      <w:r w:rsidR="00354FD0">
        <w:rPr>
          <w:lang w:eastAsia="ja-JP"/>
        </w:rPr>
        <w:t xml:space="preserve">then by </w:t>
      </w:r>
      <w:r w:rsidR="0008749F">
        <w:rPr>
          <w:lang w:eastAsia="ja-JP"/>
        </w:rPr>
        <w:t xml:space="preserve">regional </w:t>
      </w:r>
      <w:r w:rsidR="00354FD0">
        <w:rPr>
          <w:lang w:eastAsia="ja-JP"/>
        </w:rPr>
        <w:t xml:space="preserve">businesses and </w:t>
      </w:r>
      <w:r w:rsidR="0054335F" w:rsidRPr="0054335F">
        <w:rPr>
          <w:lang w:eastAsia="ja-JP"/>
        </w:rPr>
        <w:t>communities</w:t>
      </w:r>
      <w:r w:rsidR="0008749F">
        <w:rPr>
          <w:lang w:eastAsia="ja-JP"/>
        </w:rPr>
        <w:t xml:space="preserve">. </w:t>
      </w:r>
      <w:r w:rsidR="00D015B7">
        <w:rPr>
          <w:lang w:eastAsia="ja-JP"/>
        </w:rPr>
        <w:t>The impacts are economic, social and environmental, and</w:t>
      </w:r>
      <w:r w:rsidR="0008749F">
        <w:rPr>
          <w:lang w:eastAsia="ja-JP"/>
        </w:rPr>
        <w:t xml:space="preserve"> </w:t>
      </w:r>
      <w:r w:rsidR="00FE3CBC">
        <w:rPr>
          <w:lang w:eastAsia="ja-JP"/>
        </w:rPr>
        <w:t>i</w:t>
      </w:r>
      <w:r w:rsidR="00412481">
        <w:rPr>
          <w:lang w:eastAsia="ja-JP"/>
        </w:rPr>
        <w:t>n agriculture</w:t>
      </w:r>
      <w:r w:rsidR="007032F9">
        <w:rPr>
          <w:lang w:eastAsia="ja-JP"/>
        </w:rPr>
        <w:t>-</w:t>
      </w:r>
      <w:r w:rsidR="00FC6403">
        <w:rPr>
          <w:lang w:eastAsia="ja-JP"/>
        </w:rPr>
        <w:t>dependent</w:t>
      </w:r>
      <w:r w:rsidR="00412481">
        <w:rPr>
          <w:lang w:eastAsia="ja-JP"/>
        </w:rPr>
        <w:t xml:space="preserve"> region</w:t>
      </w:r>
      <w:r w:rsidR="00FC6403">
        <w:rPr>
          <w:lang w:eastAsia="ja-JP"/>
        </w:rPr>
        <w:t>s</w:t>
      </w:r>
      <w:r w:rsidR="00412481">
        <w:rPr>
          <w:lang w:eastAsia="ja-JP"/>
        </w:rPr>
        <w:t xml:space="preserve"> are cumulative and increase in severity as drought persists.</w:t>
      </w:r>
    </w:p>
    <w:p w14:paraId="2A648033" w14:textId="5B41C85D" w:rsidR="0054335F" w:rsidRDefault="006A2863" w:rsidP="0054335F">
      <w:pPr>
        <w:rPr>
          <w:lang w:eastAsia="ja-JP"/>
        </w:rPr>
      </w:pPr>
      <w:r w:rsidRPr="006A2863">
        <w:rPr>
          <w:lang w:eastAsia="ja-JP"/>
        </w:rPr>
        <w:t xml:space="preserve">Rural, regional and remote </w:t>
      </w:r>
      <w:r w:rsidR="00354FD0">
        <w:rPr>
          <w:lang w:eastAsia="ja-JP"/>
        </w:rPr>
        <w:t>areas</w:t>
      </w:r>
      <w:r w:rsidRPr="006A2863">
        <w:rPr>
          <w:lang w:eastAsia="ja-JP"/>
        </w:rPr>
        <w:t xml:space="preserve"> of Australia with more diversified economies via mining or tourism may experience drought but </w:t>
      </w:r>
      <w:r w:rsidR="00006A32">
        <w:rPr>
          <w:lang w:eastAsia="ja-JP"/>
        </w:rPr>
        <w:t>may</w:t>
      </w:r>
      <w:r w:rsidRPr="006A2863">
        <w:rPr>
          <w:lang w:eastAsia="ja-JP"/>
        </w:rPr>
        <w:t xml:space="preserve"> not be impacted to the same extent as </w:t>
      </w:r>
      <w:r>
        <w:rPr>
          <w:lang w:eastAsia="ja-JP"/>
        </w:rPr>
        <w:t>areas</w:t>
      </w:r>
      <w:r w:rsidRPr="006A2863">
        <w:rPr>
          <w:lang w:eastAsia="ja-JP"/>
        </w:rPr>
        <w:t xml:space="preserve"> with undiversified economies. </w:t>
      </w:r>
      <w:r w:rsidR="0054335F" w:rsidRPr="0054335F">
        <w:rPr>
          <w:lang w:eastAsia="ja-JP"/>
        </w:rPr>
        <w:t>Equally, urban experiences of drought do not often equate to economic hardship. Given this, the role for government in supporting stakeholders to prepare for, manage through, and recover from drought, is inextricably connected to the agriculture sector and efforts to build farm resilience.</w:t>
      </w:r>
    </w:p>
    <w:p w14:paraId="58146919" w14:textId="573AF511" w:rsidR="0054335F" w:rsidRDefault="0054335F" w:rsidP="0054335F">
      <w:pPr>
        <w:pStyle w:val="Heading4"/>
        <w:numPr>
          <w:ilvl w:val="0"/>
          <w:numId w:val="0"/>
        </w:numPr>
        <w:ind w:left="964" w:hanging="964"/>
        <w:rPr>
          <w:lang w:eastAsia="ja-JP"/>
        </w:rPr>
      </w:pPr>
      <w:r>
        <w:rPr>
          <w:lang w:eastAsia="ja-JP"/>
        </w:rPr>
        <w:t>Recommendation</w:t>
      </w:r>
    </w:p>
    <w:p w14:paraId="7C5C8D1F" w14:textId="782C87B5" w:rsidR="0054335F" w:rsidRPr="0054335F" w:rsidRDefault="0054335F" w:rsidP="0054335F">
      <w:pPr>
        <w:pStyle w:val="ListNumber"/>
        <w:rPr>
          <w:lang w:eastAsia="ja-JP"/>
        </w:rPr>
      </w:pPr>
      <w:r w:rsidRPr="0054335F">
        <w:rPr>
          <w:lang w:eastAsia="ja-JP"/>
        </w:rPr>
        <w:t>The next agreement should retain its focus on delivering benefit for farm businesses, farming families and farming communities affected by drought.</w:t>
      </w:r>
    </w:p>
    <w:p w14:paraId="34DCC2E8" w14:textId="041C36D4" w:rsidR="0054335F" w:rsidRDefault="0054335F">
      <w:pPr>
        <w:pStyle w:val="Heading3"/>
        <w:numPr>
          <w:ilvl w:val="0"/>
          <w:numId w:val="0"/>
        </w:numPr>
        <w:rPr>
          <w:lang w:eastAsia="ja-JP"/>
        </w:rPr>
      </w:pPr>
      <w:bookmarkStart w:id="17" w:name="_Toc119069850"/>
      <w:r>
        <w:rPr>
          <w:lang w:eastAsia="ja-JP"/>
        </w:rPr>
        <w:t>Key issue 3</w:t>
      </w:r>
      <w:r w:rsidR="00BC2C0A">
        <w:rPr>
          <w:lang w:eastAsia="ja-JP"/>
        </w:rPr>
        <w:t>:</w:t>
      </w:r>
      <w:r w:rsidR="00FF1A7B">
        <w:rPr>
          <w:lang w:eastAsia="ja-JP"/>
        </w:rPr>
        <w:t xml:space="preserve"> </w:t>
      </w:r>
      <w:r w:rsidR="00B725C6">
        <w:rPr>
          <w:lang w:eastAsia="ja-JP"/>
        </w:rPr>
        <w:t>P</w:t>
      </w:r>
      <w:r>
        <w:rPr>
          <w:lang w:eastAsia="ja-JP"/>
        </w:rPr>
        <w:t xml:space="preserve">olicy underpinnings of the </w:t>
      </w:r>
      <w:r w:rsidR="00D466F4">
        <w:rPr>
          <w:lang w:eastAsia="ja-JP"/>
        </w:rPr>
        <w:t>N</w:t>
      </w:r>
      <w:r w:rsidR="00754291">
        <w:rPr>
          <w:lang w:eastAsia="ja-JP"/>
        </w:rPr>
        <w:t xml:space="preserve">ational </w:t>
      </w:r>
      <w:r w:rsidR="00D466F4">
        <w:rPr>
          <w:lang w:eastAsia="ja-JP"/>
        </w:rPr>
        <w:t>D</w:t>
      </w:r>
      <w:r w:rsidR="00754291">
        <w:rPr>
          <w:lang w:eastAsia="ja-JP"/>
        </w:rPr>
        <w:t xml:space="preserve">rought </w:t>
      </w:r>
      <w:r w:rsidR="00D466F4">
        <w:rPr>
          <w:lang w:eastAsia="ja-JP"/>
        </w:rPr>
        <w:t>A</w:t>
      </w:r>
      <w:r w:rsidR="00754291">
        <w:rPr>
          <w:lang w:eastAsia="ja-JP"/>
        </w:rPr>
        <w:t>greeme</w:t>
      </w:r>
      <w:bookmarkEnd w:id="17"/>
      <w:r w:rsidR="007D4CA5">
        <w:rPr>
          <w:lang w:eastAsia="ja-JP"/>
        </w:rPr>
        <w:t>nt</w:t>
      </w:r>
    </w:p>
    <w:p w14:paraId="718C2FFB" w14:textId="552E9E45" w:rsidR="00FE3CBC" w:rsidRDefault="0054335F" w:rsidP="0054335F">
      <w:pPr>
        <w:rPr>
          <w:lang w:eastAsia="ja-JP"/>
        </w:rPr>
      </w:pPr>
      <w:r>
        <w:rPr>
          <w:lang w:eastAsia="ja-JP"/>
        </w:rPr>
        <w:t xml:space="preserve">Drought is a recurring part of the Australian </w:t>
      </w:r>
      <w:r w:rsidR="004A3E5B">
        <w:rPr>
          <w:lang w:eastAsia="ja-JP"/>
        </w:rPr>
        <w:t>climate</w:t>
      </w:r>
      <w:r>
        <w:rPr>
          <w:lang w:eastAsia="ja-JP"/>
        </w:rPr>
        <w:t xml:space="preserve">, a business risk that should be anticipated and planned for. With climate change, droughts are predicted to increase in frequency, intensity and duration. Preparedness is key to mitigating the impact of extreme events and enabling </w:t>
      </w:r>
      <w:r w:rsidR="00180ADD">
        <w:rPr>
          <w:lang w:eastAsia="ja-JP"/>
        </w:rPr>
        <w:t>capacity to recover</w:t>
      </w:r>
      <w:r>
        <w:rPr>
          <w:lang w:eastAsia="ja-JP"/>
        </w:rPr>
        <w:t xml:space="preserve"> when extreme events occur. </w:t>
      </w:r>
      <w:r w:rsidR="004A3E5B">
        <w:rPr>
          <w:lang w:eastAsia="ja-JP"/>
        </w:rPr>
        <w:t>Drought and c</w:t>
      </w:r>
      <w:r>
        <w:rPr>
          <w:lang w:eastAsia="ja-JP"/>
        </w:rPr>
        <w:t>limate change will</w:t>
      </w:r>
      <w:r w:rsidR="004A3E5B">
        <w:rPr>
          <w:lang w:eastAsia="ja-JP"/>
        </w:rPr>
        <w:t xml:space="preserve"> continue to</w:t>
      </w:r>
      <w:r>
        <w:rPr>
          <w:lang w:eastAsia="ja-JP"/>
        </w:rPr>
        <w:t xml:space="preserve"> affect regions differently and it is important that </w:t>
      </w:r>
      <w:r w:rsidR="004A3E5B">
        <w:rPr>
          <w:lang w:eastAsia="ja-JP"/>
        </w:rPr>
        <w:t xml:space="preserve">adaptation and drought </w:t>
      </w:r>
      <w:r>
        <w:rPr>
          <w:lang w:eastAsia="ja-JP"/>
        </w:rPr>
        <w:t xml:space="preserve">preparedness, response, and recovery activities are sensitive to the type of </w:t>
      </w:r>
      <w:r w:rsidR="00681910">
        <w:rPr>
          <w:lang w:eastAsia="ja-JP"/>
        </w:rPr>
        <w:t>activity</w:t>
      </w:r>
      <w:r>
        <w:rPr>
          <w:lang w:eastAsia="ja-JP"/>
        </w:rPr>
        <w:t xml:space="preserve"> that is regionally appropriate now, and for the future. </w:t>
      </w:r>
      <w:r w:rsidR="00864449">
        <w:rPr>
          <w:lang w:eastAsia="ja-JP"/>
        </w:rPr>
        <w:t>C</w:t>
      </w:r>
      <w:r>
        <w:rPr>
          <w:lang w:eastAsia="ja-JP"/>
        </w:rPr>
        <w:t>oordination and collaboration</w:t>
      </w:r>
      <w:r w:rsidR="00864449">
        <w:rPr>
          <w:lang w:eastAsia="ja-JP"/>
        </w:rPr>
        <w:t xml:space="preserve"> among stakeholders</w:t>
      </w:r>
      <w:r>
        <w:rPr>
          <w:lang w:eastAsia="ja-JP"/>
        </w:rPr>
        <w:t xml:space="preserve"> is crucial for a successful approach.</w:t>
      </w:r>
    </w:p>
    <w:p w14:paraId="58F879F7" w14:textId="76DEC81B" w:rsidR="00FB5FE2" w:rsidRDefault="00F041E5" w:rsidP="0054335F">
      <w:pPr>
        <w:rPr>
          <w:lang w:eastAsia="ja-JP"/>
        </w:rPr>
      </w:pPr>
      <w:r>
        <w:rPr>
          <w:lang w:eastAsia="ja-JP"/>
        </w:rPr>
        <w:lastRenderedPageBreak/>
        <w:t>Farming businesses, families and regional communities have increasingly been taking action to plan and prepare for the risk of drought, with g</w:t>
      </w:r>
      <w:r w:rsidR="0054335F">
        <w:rPr>
          <w:lang w:eastAsia="ja-JP"/>
        </w:rPr>
        <w:t>overnments invest</w:t>
      </w:r>
      <w:r>
        <w:rPr>
          <w:lang w:eastAsia="ja-JP"/>
        </w:rPr>
        <w:t>ing to support these efforts. However, when drought hits, it is often for a prolonged period with real impacts on environmental degradation, animal welfare,</w:t>
      </w:r>
      <w:r w:rsidRPr="00F041E5">
        <w:rPr>
          <w:lang w:eastAsia="ja-JP"/>
        </w:rPr>
        <w:t xml:space="preserve"> </w:t>
      </w:r>
      <w:r>
        <w:rPr>
          <w:lang w:eastAsia="ja-JP"/>
        </w:rPr>
        <w:t xml:space="preserve">household income, social cohesion and personal wellbeing. At such times, the role of government changes, and </w:t>
      </w:r>
      <w:r w:rsidR="00FB5FE2">
        <w:rPr>
          <w:lang w:eastAsia="ja-JP"/>
        </w:rPr>
        <w:t>the need to work collaboratively to deliver public good outcomes is heightened.</w:t>
      </w:r>
    </w:p>
    <w:p w14:paraId="627AE9AF" w14:textId="223D1F3A" w:rsidR="0054335F" w:rsidRDefault="0054335F" w:rsidP="0054335F">
      <w:pPr>
        <w:rPr>
          <w:lang w:eastAsia="ja-JP"/>
        </w:rPr>
      </w:pPr>
      <w:r>
        <w:rPr>
          <w:lang w:eastAsia="ja-JP"/>
        </w:rPr>
        <w:t xml:space="preserve">It is important for governments to keep working together even when seasonal conditions are </w:t>
      </w:r>
      <w:r w:rsidR="00864449">
        <w:rPr>
          <w:lang w:eastAsia="ja-JP"/>
        </w:rPr>
        <w:t>favourable</w:t>
      </w:r>
      <w:r>
        <w:rPr>
          <w:lang w:eastAsia="ja-JP"/>
        </w:rPr>
        <w:t xml:space="preserve">, to </w:t>
      </w:r>
      <w:r w:rsidR="00A75E9F">
        <w:rPr>
          <w:lang w:eastAsia="ja-JP"/>
        </w:rPr>
        <w:t xml:space="preserve">improve community capacity and </w:t>
      </w:r>
      <w:r>
        <w:rPr>
          <w:lang w:eastAsia="ja-JP"/>
        </w:rPr>
        <w:t>establish ways of working that support the best possible outcomes for Australian farmers and their communities.</w:t>
      </w:r>
    </w:p>
    <w:p w14:paraId="6E58197B" w14:textId="6F9399D4" w:rsidR="0054335F" w:rsidRDefault="0054335F" w:rsidP="0054335F">
      <w:pPr>
        <w:pStyle w:val="Heading4"/>
        <w:numPr>
          <w:ilvl w:val="0"/>
          <w:numId w:val="0"/>
        </w:numPr>
        <w:ind w:left="964" w:hanging="964"/>
        <w:rPr>
          <w:lang w:eastAsia="ja-JP"/>
        </w:rPr>
      </w:pPr>
      <w:r>
        <w:rPr>
          <w:lang w:eastAsia="ja-JP"/>
        </w:rPr>
        <w:t>Recommendations</w:t>
      </w:r>
    </w:p>
    <w:p w14:paraId="042CB809" w14:textId="3689F583" w:rsidR="0054335F" w:rsidRDefault="0054335F" w:rsidP="0054335F">
      <w:pPr>
        <w:pStyle w:val="ListNumber"/>
        <w:rPr>
          <w:lang w:eastAsia="ja-JP"/>
        </w:rPr>
      </w:pPr>
      <w:r>
        <w:rPr>
          <w:lang w:eastAsia="ja-JP"/>
        </w:rPr>
        <w:t>The next agreement should continue to prioritise long-term preparedness, resilience and risk management for farming businesses and farming communities affected by drought and a changing climate.</w:t>
      </w:r>
    </w:p>
    <w:p w14:paraId="429CD490" w14:textId="7C928900" w:rsidR="0054335F" w:rsidRDefault="0054335F" w:rsidP="0054335F">
      <w:pPr>
        <w:pStyle w:val="ListNumber"/>
        <w:rPr>
          <w:lang w:eastAsia="ja-JP"/>
        </w:rPr>
      </w:pPr>
      <w:r>
        <w:rPr>
          <w:lang w:eastAsia="ja-JP"/>
        </w:rPr>
        <w:t xml:space="preserve">The next agreement should note that an element of preparedness is to acknowledge changing climatic and environmental conditions at the farm level (such as less </w:t>
      </w:r>
      <w:r w:rsidR="00864449">
        <w:rPr>
          <w:lang w:eastAsia="ja-JP"/>
        </w:rPr>
        <w:t xml:space="preserve">rainfall, changes in </w:t>
      </w:r>
      <w:r>
        <w:rPr>
          <w:lang w:eastAsia="ja-JP"/>
        </w:rPr>
        <w:t>rain</w:t>
      </w:r>
      <w:r w:rsidR="00864449">
        <w:rPr>
          <w:lang w:eastAsia="ja-JP"/>
        </w:rPr>
        <w:t>fall</w:t>
      </w:r>
      <w:r>
        <w:rPr>
          <w:lang w:eastAsia="ja-JP"/>
        </w:rPr>
        <w:t xml:space="preserve"> </w:t>
      </w:r>
      <w:r w:rsidR="00864449">
        <w:rPr>
          <w:lang w:eastAsia="ja-JP"/>
        </w:rPr>
        <w:t xml:space="preserve">patterns </w:t>
      </w:r>
      <w:r>
        <w:rPr>
          <w:lang w:eastAsia="ja-JP"/>
        </w:rPr>
        <w:t xml:space="preserve">or warmer temperatures). Adaptation to these </w:t>
      </w:r>
      <w:r w:rsidR="00864449">
        <w:rPr>
          <w:lang w:eastAsia="ja-JP"/>
        </w:rPr>
        <w:t xml:space="preserve">changing </w:t>
      </w:r>
      <w:r>
        <w:rPr>
          <w:lang w:eastAsia="ja-JP"/>
        </w:rPr>
        <w:t xml:space="preserve">conditions as a ‘new normal’ will be necessary for many farm businesses. </w:t>
      </w:r>
      <w:r w:rsidR="006F6049">
        <w:rPr>
          <w:lang w:eastAsia="ja-JP"/>
        </w:rPr>
        <w:t>T</w:t>
      </w:r>
      <w:r>
        <w:rPr>
          <w:lang w:eastAsia="ja-JP"/>
        </w:rPr>
        <w:t>hese changes are likely to impact recovery activities, as some areas are likely to experience good seasons less often.</w:t>
      </w:r>
    </w:p>
    <w:p w14:paraId="148D0C02" w14:textId="733A2F4F" w:rsidR="0054335F" w:rsidRDefault="0054335F" w:rsidP="0054335F">
      <w:pPr>
        <w:pStyle w:val="ListNumber"/>
        <w:rPr>
          <w:lang w:eastAsia="ja-JP"/>
        </w:rPr>
      </w:pPr>
      <w:bookmarkStart w:id="18" w:name="_Hlk114564899"/>
      <w:r>
        <w:rPr>
          <w:lang w:eastAsia="ja-JP"/>
        </w:rPr>
        <w:t>The next agreement should continue to promote collaboration and coordination across all phases of the drought cycle</w:t>
      </w:r>
      <w:bookmarkEnd w:id="18"/>
      <w:r>
        <w:rPr>
          <w:lang w:eastAsia="ja-JP"/>
        </w:rPr>
        <w:t xml:space="preserve"> (preparedness, response</w:t>
      </w:r>
      <w:r w:rsidR="006F6049">
        <w:rPr>
          <w:lang w:eastAsia="ja-JP"/>
        </w:rPr>
        <w:t xml:space="preserve"> and recovery</w:t>
      </w:r>
      <w:r>
        <w:rPr>
          <w:lang w:eastAsia="ja-JP"/>
        </w:rPr>
        <w:t>).</w:t>
      </w:r>
    </w:p>
    <w:p w14:paraId="7DECDEAE" w14:textId="787A9B19" w:rsidR="0054335F" w:rsidRDefault="0054335F" w:rsidP="0054335F">
      <w:pPr>
        <w:pStyle w:val="Heading3"/>
        <w:numPr>
          <w:ilvl w:val="0"/>
          <w:numId w:val="0"/>
        </w:numPr>
        <w:ind w:left="964" w:hanging="964"/>
        <w:rPr>
          <w:lang w:eastAsia="ja-JP"/>
        </w:rPr>
      </w:pPr>
      <w:bookmarkStart w:id="19" w:name="_Key_issue_4"/>
      <w:bookmarkStart w:id="20" w:name="_Toc119069851"/>
      <w:bookmarkEnd w:id="19"/>
      <w:r>
        <w:rPr>
          <w:lang w:eastAsia="ja-JP"/>
        </w:rPr>
        <w:t>Key issue 4</w:t>
      </w:r>
      <w:r w:rsidR="00BC2C0A">
        <w:rPr>
          <w:lang w:eastAsia="ja-JP"/>
        </w:rPr>
        <w:t>:</w:t>
      </w:r>
      <w:r w:rsidR="00EE0F4D">
        <w:rPr>
          <w:lang w:eastAsia="ja-JP"/>
        </w:rPr>
        <w:t xml:space="preserve"> </w:t>
      </w:r>
      <w:r>
        <w:rPr>
          <w:lang w:eastAsia="ja-JP"/>
        </w:rPr>
        <w:t>Coordination and collaboration</w:t>
      </w:r>
      <w:bookmarkEnd w:id="20"/>
    </w:p>
    <w:p w14:paraId="4552A8EB" w14:textId="77777777" w:rsidR="008B6CDA" w:rsidRDefault="0054335F" w:rsidP="0054335F">
      <w:pPr>
        <w:rPr>
          <w:lang w:eastAsia="ja-JP"/>
        </w:rPr>
      </w:pPr>
      <w:r w:rsidRPr="0054335F">
        <w:rPr>
          <w:lang w:eastAsia="ja-JP"/>
        </w:rPr>
        <w:t xml:space="preserve">The objectives and outcomes in the NDA cover a significant breadth of intent. They cannot be </w:t>
      </w:r>
      <w:r w:rsidR="006F6049">
        <w:rPr>
          <w:lang w:eastAsia="ja-JP"/>
        </w:rPr>
        <w:t xml:space="preserve">fully </w:t>
      </w:r>
      <w:r w:rsidRPr="0054335F">
        <w:rPr>
          <w:lang w:eastAsia="ja-JP"/>
        </w:rPr>
        <w:t xml:space="preserve">realised without a way to facilitate strong collaboration and communication at an intergovernmental level, as well as </w:t>
      </w:r>
      <w:r w:rsidR="006F6049">
        <w:rPr>
          <w:lang w:eastAsia="ja-JP"/>
        </w:rPr>
        <w:t>between party and</w:t>
      </w:r>
      <w:r w:rsidRPr="0054335F">
        <w:rPr>
          <w:lang w:eastAsia="ja-JP"/>
        </w:rPr>
        <w:t xml:space="preserve"> non-party stakeholders. This is important so that drought policy and programs </w:t>
      </w:r>
      <w:r w:rsidR="006F6049">
        <w:rPr>
          <w:lang w:eastAsia="ja-JP"/>
        </w:rPr>
        <w:t>are</w:t>
      </w:r>
      <w:r w:rsidR="006F6049" w:rsidRPr="0054335F">
        <w:rPr>
          <w:lang w:eastAsia="ja-JP"/>
        </w:rPr>
        <w:t xml:space="preserve"> </w:t>
      </w:r>
      <w:r w:rsidRPr="0054335F">
        <w:rPr>
          <w:lang w:eastAsia="ja-JP"/>
        </w:rPr>
        <w:t xml:space="preserve">complementary and avoid duplication, inadequate or mismatched support and unintended adverse outcomes. While the parties </w:t>
      </w:r>
      <w:r w:rsidR="006F6049">
        <w:rPr>
          <w:lang w:eastAsia="ja-JP"/>
        </w:rPr>
        <w:t>to</w:t>
      </w:r>
      <w:r w:rsidR="006F6049" w:rsidRPr="0054335F">
        <w:rPr>
          <w:lang w:eastAsia="ja-JP"/>
        </w:rPr>
        <w:t xml:space="preserve"> </w:t>
      </w:r>
      <w:r w:rsidRPr="0054335F">
        <w:rPr>
          <w:lang w:eastAsia="ja-JP"/>
        </w:rPr>
        <w:t xml:space="preserve">the </w:t>
      </w:r>
      <w:r w:rsidR="006F6049">
        <w:rPr>
          <w:lang w:eastAsia="ja-JP"/>
        </w:rPr>
        <w:t xml:space="preserve">current </w:t>
      </w:r>
      <w:r w:rsidRPr="0054335F">
        <w:rPr>
          <w:lang w:eastAsia="ja-JP"/>
        </w:rPr>
        <w:t>NDA meet regularly, and also meet with some non-party stakeholders, the NDA is silent on any mechanism</w:t>
      </w:r>
      <w:r w:rsidR="006F6049">
        <w:rPr>
          <w:lang w:eastAsia="ja-JP"/>
        </w:rPr>
        <w:t>s</w:t>
      </w:r>
      <w:r w:rsidRPr="0054335F">
        <w:rPr>
          <w:lang w:eastAsia="ja-JP"/>
        </w:rPr>
        <w:t xml:space="preserve"> to support sustained communication or collaboration on shared priorities. In the absence of such mechanisms there isn’t an established way to identify or progress shared priorities. Nor is there a space for intergovernmental discussions that would better facilitate a</w:t>
      </w:r>
      <w:r w:rsidR="006F6049">
        <w:rPr>
          <w:lang w:eastAsia="ja-JP"/>
        </w:rPr>
        <w:t xml:space="preserve"> coordinated</w:t>
      </w:r>
      <w:r w:rsidRPr="0054335F">
        <w:rPr>
          <w:lang w:eastAsia="ja-JP"/>
        </w:rPr>
        <w:t xml:space="preserve"> ‘no surprises</w:t>
      </w:r>
      <w:r w:rsidR="007C5767">
        <w:rPr>
          <w:lang w:eastAsia="ja-JP"/>
        </w:rPr>
        <w:t>’</w:t>
      </w:r>
      <w:r w:rsidRPr="0054335F">
        <w:rPr>
          <w:lang w:eastAsia="ja-JP"/>
        </w:rPr>
        <w:t xml:space="preserve"> approach to policy and program development</w:t>
      </w:r>
      <w:r w:rsidR="006F6049">
        <w:rPr>
          <w:lang w:eastAsia="ja-JP"/>
        </w:rPr>
        <w:t xml:space="preserve"> and implementation</w:t>
      </w:r>
      <w:r w:rsidRPr="0054335F">
        <w:rPr>
          <w:lang w:eastAsia="ja-JP"/>
        </w:rPr>
        <w:t>.</w:t>
      </w:r>
    </w:p>
    <w:p w14:paraId="61C0E9B7" w14:textId="7A5D07AD" w:rsidR="0054335F" w:rsidRDefault="0054335F" w:rsidP="0054335F">
      <w:pPr>
        <w:rPr>
          <w:lang w:eastAsia="ja-JP"/>
        </w:rPr>
      </w:pPr>
      <w:r w:rsidRPr="0054335F">
        <w:rPr>
          <w:lang w:eastAsia="ja-JP"/>
        </w:rPr>
        <w:t xml:space="preserve"> The lack of specified mechanisms for coordination was most acutely felt </w:t>
      </w:r>
      <w:r w:rsidR="007C5767">
        <w:rPr>
          <w:lang w:eastAsia="ja-JP"/>
        </w:rPr>
        <w:t>during</w:t>
      </w:r>
      <w:r w:rsidRPr="0054335F">
        <w:rPr>
          <w:lang w:eastAsia="ja-JP"/>
        </w:rPr>
        <w:t xml:space="preserve"> the last drought, </w:t>
      </w:r>
      <w:r w:rsidR="007C5767">
        <w:rPr>
          <w:lang w:eastAsia="ja-JP"/>
        </w:rPr>
        <w:t>al</w:t>
      </w:r>
      <w:r w:rsidRPr="0054335F">
        <w:rPr>
          <w:lang w:eastAsia="ja-JP"/>
        </w:rPr>
        <w:t xml:space="preserve">though </w:t>
      </w:r>
      <w:r w:rsidR="007C5767">
        <w:rPr>
          <w:lang w:eastAsia="ja-JP"/>
        </w:rPr>
        <w:t xml:space="preserve">it </w:t>
      </w:r>
      <w:r w:rsidRPr="0054335F">
        <w:rPr>
          <w:lang w:eastAsia="ja-JP"/>
        </w:rPr>
        <w:t xml:space="preserve">has also become noticeable as collaborative drought preparedness activity increases under the </w:t>
      </w:r>
      <w:r w:rsidR="007032F9">
        <w:rPr>
          <w:lang w:eastAsia="ja-JP"/>
        </w:rPr>
        <w:t>Future Drought Fund (</w:t>
      </w:r>
      <w:r w:rsidR="00C10665">
        <w:rPr>
          <w:lang w:eastAsia="ja-JP"/>
        </w:rPr>
        <w:t>FDF</w:t>
      </w:r>
      <w:r w:rsidR="007032F9">
        <w:rPr>
          <w:lang w:eastAsia="ja-JP"/>
        </w:rPr>
        <w:t>)</w:t>
      </w:r>
      <w:r w:rsidRPr="0054335F">
        <w:rPr>
          <w:lang w:eastAsia="ja-JP"/>
        </w:rPr>
        <w:t>.</w:t>
      </w:r>
      <w:r w:rsidR="00C10665">
        <w:rPr>
          <w:lang w:eastAsia="ja-JP"/>
        </w:rPr>
        <w:t xml:space="preserve"> </w:t>
      </w:r>
      <w:r w:rsidR="007E3B10" w:rsidRPr="007E3B10">
        <w:rPr>
          <w:lang w:eastAsia="ja-JP"/>
        </w:rPr>
        <w:t xml:space="preserve">The FDF operates across </w:t>
      </w:r>
      <w:r w:rsidR="0010661F">
        <w:rPr>
          <w:lang w:eastAsia="ja-JP"/>
        </w:rPr>
        <w:t xml:space="preserve">Australian Government </w:t>
      </w:r>
      <w:r w:rsidR="007E3B10" w:rsidRPr="007E3B10">
        <w:rPr>
          <w:lang w:eastAsia="ja-JP"/>
        </w:rPr>
        <w:t>and state and territory governments, bringing together regional organisations, local government, communities, industry and other stakeholders. Coordination and collaboration between all entities is required to effectively deliver the broad range of resilience and drought preparedness activities under the FDF</w:t>
      </w:r>
      <w:r w:rsidR="007E3B10">
        <w:rPr>
          <w:lang w:eastAsia="ja-JP"/>
        </w:rPr>
        <w:t>.</w:t>
      </w:r>
    </w:p>
    <w:p w14:paraId="6D7422E2" w14:textId="3D65D749" w:rsidR="0054335F" w:rsidRDefault="0054335F" w:rsidP="007A4C06">
      <w:pPr>
        <w:pStyle w:val="Heading4"/>
        <w:pageBreakBefore/>
        <w:numPr>
          <w:ilvl w:val="0"/>
          <w:numId w:val="0"/>
        </w:numPr>
        <w:ind w:left="964" w:hanging="964"/>
        <w:rPr>
          <w:lang w:eastAsia="ja-JP"/>
        </w:rPr>
      </w:pPr>
      <w:r>
        <w:rPr>
          <w:lang w:eastAsia="ja-JP"/>
        </w:rPr>
        <w:lastRenderedPageBreak/>
        <w:t>Recommendations</w:t>
      </w:r>
    </w:p>
    <w:p w14:paraId="43B4B59C" w14:textId="53DEA006" w:rsidR="0054335F" w:rsidRDefault="0054335F" w:rsidP="0054335F">
      <w:pPr>
        <w:pStyle w:val="ListNumber"/>
        <w:rPr>
          <w:lang w:eastAsia="ja-JP"/>
        </w:rPr>
      </w:pPr>
      <w:r>
        <w:rPr>
          <w:lang w:eastAsia="ja-JP"/>
        </w:rPr>
        <w:t>The next agreement should strengthen its focus on collaboration and coordination.</w:t>
      </w:r>
    </w:p>
    <w:p w14:paraId="06A7EBDB" w14:textId="55349BA4" w:rsidR="0054335F" w:rsidRDefault="0054335F" w:rsidP="0054335F">
      <w:pPr>
        <w:pStyle w:val="ListNumber"/>
        <w:rPr>
          <w:lang w:eastAsia="ja-JP"/>
        </w:rPr>
      </w:pPr>
      <w:r>
        <w:rPr>
          <w:lang w:eastAsia="ja-JP"/>
        </w:rPr>
        <w:t>The next agreement should include a specified mechanism for interjurisdictional coordination, and this mechanism should be used to identify and pursue collaborative priorities on an ongoing basis.</w:t>
      </w:r>
    </w:p>
    <w:p w14:paraId="730FDD4A" w14:textId="77777777" w:rsidR="0054335F" w:rsidRDefault="0054335F" w:rsidP="0054335F">
      <w:pPr>
        <w:pStyle w:val="ListNumber2"/>
        <w:rPr>
          <w:lang w:eastAsia="ja-JP"/>
        </w:rPr>
      </w:pPr>
      <w:r>
        <w:rPr>
          <w:lang w:eastAsia="ja-JP"/>
        </w:rPr>
        <w:t>This mechanism should be established and activated prior to the new agreement coming into force, to facilitate complementary and coordinated efforts across the drought cycle immediately.</w:t>
      </w:r>
    </w:p>
    <w:p w14:paraId="42A94A95" w14:textId="170A0EDC" w:rsidR="0054335F" w:rsidRDefault="0054335F" w:rsidP="007E3B10">
      <w:pPr>
        <w:pStyle w:val="ListNumber2"/>
        <w:rPr>
          <w:lang w:eastAsia="ja-JP"/>
        </w:rPr>
      </w:pPr>
      <w:r>
        <w:rPr>
          <w:lang w:eastAsia="ja-JP"/>
        </w:rPr>
        <w:t xml:space="preserve">The interjurisdictional mechanism should be flexible, responsive to changes in </w:t>
      </w:r>
      <w:r w:rsidR="007C5767">
        <w:rPr>
          <w:lang w:eastAsia="ja-JP"/>
        </w:rPr>
        <w:t xml:space="preserve">the </w:t>
      </w:r>
      <w:r>
        <w:rPr>
          <w:lang w:eastAsia="ja-JP"/>
        </w:rPr>
        <w:t>capacity and priorities</w:t>
      </w:r>
      <w:r w:rsidR="007C5767">
        <w:rPr>
          <w:lang w:eastAsia="ja-JP"/>
        </w:rPr>
        <w:t xml:space="preserve"> of each jurisdiction</w:t>
      </w:r>
      <w:r>
        <w:rPr>
          <w:lang w:eastAsia="ja-JP"/>
        </w:rPr>
        <w:t>, and useful in taking forward priorities that apply to all parties or a subset of parties.</w:t>
      </w:r>
    </w:p>
    <w:p w14:paraId="739F02C7" w14:textId="2D3202F5" w:rsidR="0054335F" w:rsidRDefault="0054335F" w:rsidP="007E3B10">
      <w:pPr>
        <w:pStyle w:val="ListNumber2"/>
        <w:rPr>
          <w:lang w:eastAsia="ja-JP"/>
        </w:rPr>
      </w:pPr>
      <w:r>
        <w:rPr>
          <w:lang w:eastAsia="ja-JP"/>
        </w:rPr>
        <w:t xml:space="preserve">Priorities for interjurisdictional coordination should be shared publicly, for example via the </w:t>
      </w:r>
      <w:r w:rsidR="00C877AD">
        <w:rPr>
          <w:lang w:eastAsia="ja-JP"/>
        </w:rPr>
        <w:t xml:space="preserve">Australian Government </w:t>
      </w:r>
      <w:r>
        <w:rPr>
          <w:lang w:eastAsia="ja-JP"/>
        </w:rPr>
        <w:t>Department of Agriculture, Fisheries and Forestry’s website.</w:t>
      </w:r>
    </w:p>
    <w:p w14:paraId="363A8587" w14:textId="705C79F5" w:rsidR="0054335F" w:rsidRDefault="00A65EF0" w:rsidP="0054335F">
      <w:pPr>
        <w:pStyle w:val="ListNumber"/>
        <w:rPr>
          <w:lang w:eastAsia="ja-JP"/>
        </w:rPr>
      </w:pPr>
      <w:r>
        <w:rPr>
          <w:lang w:eastAsia="ja-JP"/>
        </w:rPr>
        <w:t>While t</w:t>
      </w:r>
      <w:r w:rsidRPr="00A65EF0">
        <w:rPr>
          <w:lang w:eastAsia="ja-JP"/>
        </w:rPr>
        <w:t>he next agreement should continue to promote collaboration and coordination across all phases of the drought cycle</w:t>
      </w:r>
      <w:r>
        <w:rPr>
          <w:lang w:eastAsia="ja-JP"/>
        </w:rPr>
        <w:t>, a</w:t>
      </w:r>
      <w:r w:rsidR="0054335F">
        <w:rPr>
          <w:lang w:eastAsia="ja-JP"/>
        </w:rPr>
        <w:t xml:space="preserve">n early priority for interjurisdictional coordination should be to establish improved communication and collaboration to monitor seasonal conditions, and </w:t>
      </w:r>
      <w:r w:rsidR="007C5767">
        <w:rPr>
          <w:lang w:eastAsia="ja-JP"/>
        </w:rPr>
        <w:t xml:space="preserve">collaboratively </w:t>
      </w:r>
      <w:r w:rsidR="0054335F">
        <w:rPr>
          <w:lang w:eastAsia="ja-JP"/>
        </w:rPr>
        <w:t xml:space="preserve">respond </w:t>
      </w:r>
      <w:r w:rsidR="007C5767">
        <w:rPr>
          <w:lang w:eastAsia="ja-JP"/>
        </w:rPr>
        <w:t xml:space="preserve">effectively and efficiently </w:t>
      </w:r>
      <w:r w:rsidR="0054335F">
        <w:rPr>
          <w:lang w:eastAsia="ja-JP"/>
        </w:rPr>
        <w:t>to worsening drought conditions.</w:t>
      </w:r>
    </w:p>
    <w:p w14:paraId="7E2161FB" w14:textId="2C6E50F8" w:rsidR="0054335F" w:rsidRDefault="0054335F" w:rsidP="0054335F">
      <w:pPr>
        <w:pStyle w:val="ListNumber"/>
        <w:rPr>
          <w:lang w:eastAsia="ja-JP"/>
        </w:rPr>
      </w:pPr>
      <w:r>
        <w:rPr>
          <w:lang w:eastAsia="ja-JP"/>
        </w:rPr>
        <w:t xml:space="preserve">The </w:t>
      </w:r>
      <w:r w:rsidR="00FF1A7B">
        <w:rPr>
          <w:lang w:eastAsia="ja-JP"/>
        </w:rPr>
        <w:t>p</w:t>
      </w:r>
      <w:r>
        <w:rPr>
          <w:lang w:eastAsia="ja-JP"/>
        </w:rPr>
        <w:t xml:space="preserve">roject </w:t>
      </w:r>
      <w:r w:rsidR="00FF1A7B">
        <w:rPr>
          <w:lang w:eastAsia="ja-JP"/>
        </w:rPr>
        <w:t>b</w:t>
      </w:r>
      <w:r>
        <w:rPr>
          <w:lang w:eastAsia="ja-JP"/>
        </w:rPr>
        <w:t xml:space="preserve">oard should consider options for a mechanism </w:t>
      </w:r>
      <w:r w:rsidR="007C5767">
        <w:rPr>
          <w:lang w:eastAsia="ja-JP"/>
        </w:rPr>
        <w:t>to facilitate regular dialogue</w:t>
      </w:r>
      <w:r>
        <w:rPr>
          <w:lang w:eastAsia="ja-JP"/>
        </w:rPr>
        <w:t xml:space="preserve"> between the parties and non-party stakeholders, including local governments, industry, the non-profit sector and the financ</w:t>
      </w:r>
      <w:r w:rsidR="003B6798">
        <w:rPr>
          <w:lang w:eastAsia="ja-JP"/>
        </w:rPr>
        <w:t>ial</w:t>
      </w:r>
      <w:r>
        <w:rPr>
          <w:lang w:eastAsia="ja-JP"/>
        </w:rPr>
        <w:t xml:space="preserve"> sector.</w:t>
      </w:r>
    </w:p>
    <w:p w14:paraId="61B8E77F" w14:textId="65A8295F" w:rsidR="0054335F" w:rsidRDefault="0058131E" w:rsidP="0054335F">
      <w:pPr>
        <w:pStyle w:val="ListNumber2"/>
        <w:rPr>
          <w:lang w:eastAsia="ja-JP"/>
        </w:rPr>
      </w:pPr>
      <w:r>
        <w:rPr>
          <w:lang w:eastAsia="ja-JP"/>
        </w:rPr>
        <w:t xml:space="preserve">Should such a </w:t>
      </w:r>
      <w:r w:rsidR="0054335F">
        <w:rPr>
          <w:lang w:eastAsia="ja-JP"/>
        </w:rPr>
        <w:t xml:space="preserve">mechanism </w:t>
      </w:r>
      <w:r>
        <w:rPr>
          <w:lang w:eastAsia="ja-JP"/>
        </w:rPr>
        <w:t xml:space="preserve">be developed and agreed to, it </w:t>
      </w:r>
      <w:r w:rsidR="0054335F">
        <w:rPr>
          <w:lang w:eastAsia="ja-JP"/>
        </w:rPr>
        <w:t>should be established and activated prior to the new agreement coming into force, to facilitate complementary and coordinated efforts across the drought cycle immediately.</w:t>
      </w:r>
    </w:p>
    <w:p w14:paraId="2BE59B4D" w14:textId="7BEF9B89" w:rsidR="0054335F" w:rsidRDefault="0054335F" w:rsidP="0054335F">
      <w:pPr>
        <w:pStyle w:val="ListNumber"/>
        <w:rPr>
          <w:lang w:eastAsia="ja-JP"/>
        </w:rPr>
      </w:pPr>
      <w:r>
        <w:rPr>
          <w:lang w:eastAsia="ja-JP"/>
        </w:rPr>
        <w:t xml:space="preserve">The next agreement should identify the </w:t>
      </w:r>
      <w:r w:rsidR="0010661F">
        <w:rPr>
          <w:lang w:eastAsia="ja-JP"/>
        </w:rPr>
        <w:t xml:space="preserve">Australian Government </w:t>
      </w:r>
      <w:r>
        <w:rPr>
          <w:lang w:eastAsia="ja-JP"/>
        </w:rPr>
        <w:t xml:space="preserve">as responsible for providing secretariat services for </w:t>
      </w:r>
      <w:r w:rsidR="00B80BCF">
        <w:rPr>
          <w:lang w:eastAsia="ja-JP"/>
        </w:rPr>
        <w:t xml:space="preserve">the mechanisms established </w:t>
      </w:r>
      <w:r>
        <w:rPr>
          <w:lang w:eastAsia="ja-JP"/>
        </w:rPr>
        <w:t>under the agreement</w:t>
      </w:r>
      <w:r w:rsidR="00B80BCF">
        <w:rPr>
          <w:lang w:eastAsia="ja-JP"/>
        </w:rPr>
        <w:t xml:space="preserve"> to promote communication, coordination, and collaboration</w:t>
      </w:r>
      <w:r>
        <w:rPr>
          <w:lang w:eastAsia="ja-JP"/>
        </w:rPr>
        <w:t>, including any associated functions such as working groups or reporting.</w:t>
      </w:r>
    </w:p>
    <w:p w14:paraId="7F4BB714" w14:textId="72A82F44" w:rsidR="0054335F" w:rsidRDefault="0054335F" w:rsidP="0054335F">
      <w:pPr>
        <w:pStyle w:val="Heading3"/>
        <w:numPr>
          <w:ilvl w:val="0"/>
          <w:numId w:val="0"/>
        </w:numPr>
        <w:ind w:left="964" w:hanging="964"/>
        <w:rPr>
          <w:lang w:eastAsia="ja-JP"/>
        </w:rPr>
      </w:pPr>
      <w:bookmarkStart w:id="21" w:name="_Toc119069852"/>
      <w:r>
        <w:rPr>
          <w:lang w:eastAsia="ja-JP"/>
        </w:rPr>
        <w:t>Key issue 5</w:t>
      </w:r>
      <w:r w:rsidR="00BC2C0A">
        <w:rPr>
          <w:lang w:eastAsia="ja-JP"/>
        </w:rPr>
        <w:t>:</w:t>
      </w:r>
      <w:r w:rsidR="00EE0F4D">
        <w:rPr>
          <w:lang w:eastAsia="ja-JP"/>
        </w:rPr>
        <w:t xml:space="preserve"> </w:t>
      </w:r>
      <w:r>
        <w:rPr>
          <w:lang w:eastAsia="ja-JP"/>
        </w:rPr>
        <w:t>Roles and responsibilities</w:t>
      </w:r>
      <w:bookmarkEnd w:id="21"/>
    </w:p>
    <w:p w14:paraId="6B7ED1AB" w14:textId="2FA23A58" w:rsidR="0054335F" w:rsidRDefault="0054335F" w:rsidP="0054335F">
      <w:pPr>
        <w:rPr>
          <w:lang w:eastAsia="ja-JP"/>
        </w:rPr>
      </w:pPr>
      <w:r w:rsidRPr="0054335F">
        <w:rPr>
          <w:lang w:eastAsia="ja-JP"/>
        </w:rPr>
        <w:t xml:space="preserve">The NDA </w:t>
      </w:r>
      <w:r w:rsidR="00B80BCF">
        <w:rPr>
          <w:lang w:eastAsia="ja-JP"/>
        </w:rPr>
        <w:t>assigns</w:t>
      </w:r>
      <w:r w:rsidR="00B80BCF" w:rsidRPr="0054335F">
        <w:rPr>
          <w:lang w:eastAsia="ja-JP"/>
        </w:rPr>
        <w:t xml:space="preserve"> </w:t>
      </w:r>
      <w:r w:rsidRPr="0054335F">
        <w:rPr>
          <w:lang w:eastAsia="ja-JP"/>
        </w:rPr>
        <w:t xml:space="preserve">drought related roles and responsibilities to the </w:t>
      </w:r>
      <w:r w:rsidR="0010661F">
        <w:rPr>
          <w:lang w:eastAsia="ja-JP"/>
        </w:rPr>
        <w:t>Australian Government</w:t>
      </w:r>
      <w:r w:rsidRPr="0054335F">
        <w:rPr>
          <w:lang w:eastAsia="ja-JP"/>
        </w:rPr>
        <w:t xml:space="preserve"> and state and territory governments. Roles and responsibilities are not always black and white, with elements of responsibility sit</w:t>
      </w:r>
      <w:r w:rsidR="00FF14D8">
        <w:rPr>
          <w:lang w:eastAsia="ja-JP"/>
        </w:rPr>
        <w:t>t</w:t>
      </w:r>
      <w:r w:rsidRPr="0054335F">
        <w:rPr>
          <w:lang w:eastAsia="ja-JP"/>
        </w:rPr>
        <w:t xml:space="preserve">ing across both levels of government. More clearly defining the nuance of roles and responsibilities would give greater clarity to </w:t>
      </w:r>
      <w:r w:rsidR="00B80BCF">
        <w:rPr>
          <w:lang w:eastAsia="ja-JP"/>
        </w:rPr>
        <w:t xml:space="preserve">the </w:t>
      </w:r>
      <w:r w:rsidRPr="0054335F">
        <w:rPr>
          <w:lang w:eastAsia="ja-JP"/>
        </w:rPr>
        <w:t>parties and other stakeholders</w:t>
      </w:r>
      <w:r w:rsidR="00B80BCF">
        <w:rPr>
          <w:lang w:eastAsia="ja-JP"/>
        </w:rPr>
        <w:t>, including rural communities</w:t>
      </w:r>
      <w:r w:rsidRPr="0054335F">
        <w:rPr>
          <w:lang w:eastAsia="ja-JP"/>
        </w:rPr>
        <w:t xml:space="preserve">. </w:t>
      </w:r>
      <w:r w:rsidR="0013447E">
        <w:rPr>
          <w:lang w:eastAsia="ja-JP"/>
        </w:rPr>
        <w:t xml:space="preserve">The Future Drought Fund has been identified as a good example where better-defined roles and responsibilities between levels of government could be helpful. </w:t>
      </w:r>
      <w:r w:rsidRPr="0054335F">
        <w:rPr>
          <w:lang w:eastAsia="ja-JP"/>
        </w:rPr>
        <w:t>There are also some roles and responsibilities not currently captured (such as water</w:t>
      </w:r>
      <w:r w:rsidR="00B80BCF">
        <w:rPr>
          <w:lang w:eastAsia="ja-JP"/>
        </w:rPr>
        <w:t xml:space="preserve"> management</w:t>
      </w:r>
      <w:r w:rsidRPr="0054335F">
        <w:rPr>
          <w:lang w:eastAsia="ja-JP"/>
        </w:rPr>
        <w:t>) or duplicated (such as capacity building). Improving clarity of roles and responsibilities has been highlighted as a priority for stakeholders over the course of the review. Doing so will also deliver benefits in terms of working relationships between parties</w:t>
      </w:r>
      <w:r w:rsidR="00B80BCF">
        <w:rPr>
          <w:lang w:eastAsia="ja-JP"/>
        </w:rPr>
        <w:t>,</w:t>
      </w:r>
      <w:r w:rsidRPr="0054335F">
        <w:rPr>
          <w:lang w:eastAsia="ja-JP"/>
        </w:rPr>
        <w:t xml:space="preserve"> and </w:t>
      </w:r>
      <w:r w:rsidR="00B80BCF">
        <w:rPr>
          <w:lang w:eastAsia="ja-JP"/>
        </w:rPr>
        <w:t>between parties and</w:t>
      </w:r>
      <w:r w:rsidR="00B80BCF" w:rsidRPr="0054335F">
        <w:rPr>
          <w:lang w:eastAsia="ja-JP"/>
        </w:rPr>
        <w:t xml:space="preserve"> </w:t>
      </w:r>
      <w:r w:rsidRPr="0054335F">
        <w:rPr>
          <w:lang w:eastAsia="ja-JP"/>
        </w:rPr>
        <w:t xml:space="preserve">non-party stakeholders. There are interdependencies between this issue and </w:t>
      </w:r>
      <w:hyperlink w:anchor="_Key_issue_4" w:history="1">
        <w:r w:rsidRPr="004539C0">
          <w:rPr>
            <w:rStyle w:val="Hyperlink"/>
            <w:lang w:eastAsia="ja-JP"/>
          </w:rPr>
          <w:t>issue 4</w:t>
        </w:r>
      </w:hyperlink>
      <w:r w:rsidRPr="0054335F">
        <w:rPr>
          <w:lang w:eastAsia="ja-JP"/>
        </w:rPr>
        <w:t xml:space="preserve"> (coordination and collaboration) and </w:t>
      </w:r>
      <w:hyperlink w:anchor="_Key_issue_7" w:history="1">
        <w:r w:rsidRPr="004539C0">
          <w:rPr>
            <w:rStyle w:val="Hyperlink"/>
            <w:lang w:eastAsia="ja-JP"/>
          </w:rPr>
          <w:t>issue 7</w:t>
        </w:r>
      </w:hyperlink>
      <w:r w:rsidRPr="0054335F">
        <w:rPr>
          <w:lang w:eastAsia="ja-JP"/>
        </w:rPr>
        <w:t xml:space="preserve"> (non-party stakeholders).</w:t>
      </w:r>
    </w:p>
    <w:p w14:paraId="36AF3225" w14:textId="61827BB0" w:rsidR="0054335F" w:rsidRDefault="0054335F" w:rsidP="0054335F">
      <w:pPr>
        <w:pStyle w:val="Heading4"/>
        <w:numPr>
          <w:ilvl w:val="0"/>
          <w:numId w:val="0"/>
        </w:numPr>
        <w:ind w:left="964" w:hanging="964"/>
        <w:rPr>
          <w:lang w:eastAsia="ja-JP"/>
        </w:rPr>
      </w:pPr>
      <w:r>
        <w:rPr>
          <w:lang w:eastAsia="ja-JP"/>
        </w:rPr>
        <w:lastRenderedPageBreak/>
        <w:t>Recommendation</w:t>
      </w:r>
    </w:p>
    <w:p w14:paraId="464E99FF" w14:textId="32D4FDBB" w:rsidR="0054335F" w:rsidRDefault="0054335F" w:rsidP="0054335F">
      <w:pPr>
        <w:pStyle w:val="ListNumber"/>
        <w:rPr>
          <w:lang w:eastAsia="ja-JP"/>
        </w:rPr>
      </w:pPr>
      <w:r w:rsidRPr="0054335F">
        <w:rPr>
          <w:lang w:eastAsia="ja-JP"/>
        </w:rPr>
        <w:t>Refine the existing roles and responsibilities section to more fully capture</w:t>
      </w:r>
      <w:r w:rsidR="005B7A07">
        <w:rPr>
          <w:lang w:eastAsia="ja-JP"/>
        </w:rPr>
        <w:t>, and more clearly articulate,</w:t>
      </w:r>
      <w:r w:rsidRPr="0054335F">
        <w:rPr>
          <w:lang w:eastAsia="ja-JP"/>
        </w:rPr>
        <w:t xml:space="preserve"> the breakdown of responsibilities, particularly where elements of responsibility sit across both levels of government.</w:t>
      </w:r>
    </w:p>
    <w:p w14:paraId="73F116C0" w14:textId="392A41BC" w:rsidR="0054335F" w:rsidRDefault="0054335F" w:rsidP="0054335F">
      <w:pPr>
        <w:pStyle w:val="Heading3"/>
        <w:numPr>
          <w:ilvl w:val="0"/>
          <w:numId w:val="0"/>
        </w:numPr>
        <w:ind w:left="964" w:hanging="964"/>
        <w:rPr>
          <w:lang w:eastAsia="ja-JP"/>
        </w:rPr>
      </w:pPr>
      <w:bookmarkStart w:id="22" w:name="_Toc119069853"/>
      <w:r>
        <w:rPr>
          <w:lang w:eastAsia="ja-JP"/>
        </w:rPr>
        <w:t>Key issue 6</w:t>
      </w:r>
      <w:r w:rsidR="00BC2C0A">
        <w:rPr>
          <w:lang w:eastAsia="ja-JP"/>
        </w:rPr>
        <w:t>:</w:t>
      </w:r>
      <w:r w:rsidR="00EE0F4D">
        <w:rPr>
          <w:lang w:eastAsia="ja-JP"/>
        </w:rPr>
        <w:t xml:space="preserve"> </w:t>
      </w:r>
      <w:r>
        <w:rPr>
          <w:lang w:eastAsia="ja-JP"/>
        </w:rPr>
        <w:t>Drought impacts beyond the farm gate</w:t>
      </w:r>
      <w:bookmarkEnd w:id="22"/>
    </w:p>
    <w:p w14:paraId="0E29A432" w14:textId="0563D77C" w:rsidR="0054335F" w:rsidRDefault="0054335F" w:rsidP="0054335F">
      <w:pPr>
        <w:rPr>
          <w:lang w:eastAsia="ja-JP"/>
        </w:rPr>
      </w:pPr>
      <w:r w:rsidRPr="0054335F">
        <w:rPr>
          <w:lang w:eastAsia="ja-JP"/>
        </w:rPr>
        <w:t xml:space="preserve">Drought is often viewed as an event which impacts farm businesses and farming families. While true, the impacts of drought </w:t>
      </w:r>
      <w:r w:rsidR="00C93415">
        <w:rPr>
          <w:lang w:eastAsia="ja-JP"/>
        </w:rPr>
        <w:t>ripple through rural and regional communities. B</w:t>
      </w:r>
      <w:r w:rsidRPr="0054335F">
        <w:rPr>
          <w:lang w:eastAsia="ja-JP"/>
        </w:rPr>
        <w:t>usinesses that are heavily reliant on expenditure from farmers</w:t>
      </w:r>
      <w:r w:rsidR="001D0F04">
        <w:rPr>
          <w:lang w:eastAsia="ja-JP"/>
        </w:rPr>
        <w:t>,</w:t>
      </w:r>
      <w:r w:rsidRPr="0054335F">
        <w:rPr>
          <w:lang w:eastAsia="ja-JP"/>
        </w:rPr>
        <w:t xml:space="preserve"> </w:t>
      </w:r>
      <w:r w:rsidR="00FB5FE2">
        <w:rPr>
          <w:lang w:eastAsia="ja-JP"/>
        </w:rPr>
        <w:t xml:space="preserve">and communities whose social fabric is reliant on an active farming network, </w:t>
      </w:r>
      <w:r w:rsidRPr="0054335F">
        <w:rPr>
          <w:lang w:eastAsia="ja-JP"/>
        </w:rPr>
        <w:t xml:space="preserve">are often impacted early and can </w:t>
      </w:r>
      <w:r w:rsidR="00C93415">
        <w:rPr>
          <w:lang w:eastAsia="ja-JP"/>
        </w:rPr>
        <w:t>experience</w:t>
      </w:r>
      <w:r w:rsidR="00C93415" w:rsidRPr="0054335F">
        <w:rPr>
          <w:lang w:eastAsia="ja-JP"/>
        </w:rPr>
        <w:t xml:space="preserve"> </w:t>
      </w:r>
      <w:r w:rsidRPr="0054335F">
        <w:rPr>
          <w:lang w:eastAsia="ja-JP"/>
        </w:rPr>
        <w:t>sustained financial hardship and social challenges</w:t>
      </w:r>
      <w:r w:rsidR="00C93415">
        <w:rPr>
          <w:lang w:eastAsia="ja-JP"/>
        </w:rPr>
        <w:t xml:space="preserve"> as farmers cut back on discretional spending and focus on managing th</w:t>
      </w:r>
      <w:r w:rsidR="001D0F04">
        <w:rPr>
          <w:lang w:eastAsia="ja-JP"/>
        </w:rPr>
        <w:t>r</w:t>
      </w:r>
      <w:r w:rsidR="00C93415">
        <w:rPr>
          <w:lang w:eastAsia="ja-JP"/>
        </w:rPr>
        <w:t>ough the drought</w:t>
      </w:r>
      <w:r w:rsidRPr="0054335F">
        <w:rPr>
          <w:lang w:eastAsia="ja-JP"/>
        </w:rPr>
        <w:t xml:space="preserve">. Their recovery can also be slow, reflecting the cash flow constraints experienced by farm businesses well after the drought has broken. Closely associated with this are the mental health impacts of drought, and the need to build a positive approach to mental health across the drought cycle rather than </w:t>
      </w:r>
      <w:r w:rsidR="00C93415">
        <w:rPr>
          <w:lang w:eastAsia="ja-JP"/>
        </w:rPr>
        <w:t>only providing emergency</w:t>
      </w:r>
      <w:r w:rsidRPr="0054335F">
        <w:rPr>
          <w:lang w:eastAsia="ja-JP"/>
        </w:rPr>
        <w:t xml:space="preserve"> support when times are difficult. The current NDA is silent on the economic impacts of drought beyond the farm gate, and only references the need for heightened wellbeing support during times of drought.</w:t>
      </w:r>
    </w:p>
    <w:p w14:paraId="3783881A" w14:textId="67384F07" w:rsidR="0054335F" w:rsidRDefault="0054335F" w:rsidP="0054335F">
      <w:pPr>
        <w:pStyle w:val="Heading4"/>
        <w:numPr>
          <w:ilvl w:val="0"/>
          <w:numId w:val="0"/>
        </w:numPr>
        <w:ind w:left="964" w:hanging="964"/>
        <w:rPr>
          <w:lang w:eastAsia="ja-JP"/>
        </w:rPr>
      </w:pPr>
      <w:r>
        <w:rPr>
          <w:lang w:eastAsia="ja-JP"/>
        </w:rPr>
        <w:t>Recommendations</w:t>
      </w:r>
    </w:p>
    <w:p w14:paraId="4AD4F0B7" w14:textId="5DDADB43" w:rsidR="0054335F" w:rsidRDefault="0054335F" w:rsidP="0054335F">
      <w:pPr>
        <w:pStyle w:val="ListNumber"/>
        <w:rPr>
          <w:lang w:eastAsia="ja-JP"/>
        </w:rPr>
      </w:pPr>
      <w:r>
        <w:rPr>
          <w:lang w:eastAsia="ja-JP"/>
        </w:rPr>
        <w:t>The new agreement should commit governments to work across agencies</w:t>
      </w:r>
      <w:r w:rsidR="00FF1A7B">
        <w:rPr>
          <w:lang w:eastAsia="ja-JP"/>
        </w:rPr>
        <w:t xml:space="preserve"> and </w:t>
      </w:r>
      <w:r>
        <w:rPr>
          <w:lang w:eastAsia="ja-JP"/>
        </w:rPr>
        <w:t>portfolios within their jurisdiction (led by agriculture portfolios), noting the impacts of drought beyond the farm gate and the need to work collaboratively to prepare, respond and recover appropriately</w:t>
      </w:r>
      <w:r w:rsidR="003E3E37">
        <w:rPr>
          <w:lang w:eastAsia="ja-JP"/>
        </w:rPr>
        <w:t>.</w:t>
      </w:r>
    </w:p>
    <w:p w14:paraId="6623763E" w14:textId="53C2724F" w:rsidR="0054335F" w:rsidRDefault="0054335F" w:rsidP="0054335F">
      <w:pPr>
        <w:pStyle w:val="ListNumber"/>
        <w:rPr>
          <w:lang w:eastAsia="ja-JP"/>
        </w:rPr>
      </w:pPr>
      <w:r>
        <w:rPr>
          <w:lang w:eastAsia="ja-JP"/>
        </w:rPr>
        <w:t>The new agreement should recognise that the economic impacts of drought are felt beyond the farm gate, and that farming communities need to prepare</w:t>
      </w:r>
      <w:r w:rsidR="00C93415">
        <w:rPr>
          <w:lang w:eastAsia="ja-JP"/>
        </w:rPr>
        <w:t xml:space="preserve"> for</w:t>
      </w:r>
      <w:r>
        <w:rPr>
          <w:lang w:eastAsia="ja-JP"/>
        </w:rPr>
        <w:t>, respond to</w:t>
      </w:r>
      <w:r w:rsidR="00C93415">
        <w:rPr>
          <w:lang w:eastAsia="ja-JP"/>
        </w:rPr>
        <w:t>,</w:t>
      </w:r>
      <w:r>
        <w:rPr>
          <w:lang w:eastAsia="ja-JP"/>
        </w:rPr>
        <w:t xml:space="preserve"> and recover from drought alongside farming businesses.</w:t>
      </w:r>
    </w:p>
    <w:p w14:paraId="193ECD4D" w14:textId="412451E3" w:rsidR="0054335F" w:rsidRDefault="0054335F" w:rsidP="0054335F">
      <w:pPr>
        <w:pStyle w:val="ListNumber"/>
        <w:rPr>
          <w:lang w:eastAsia="ja-JP"/>
        </w:rPr>
      </w:pPr>
      <w:r>
        <w:rPr>
          <w:lang w:eastAsia="ja-JP"/>
        </w:rPr>
        <w:t>The new agreement should explicitly recognise that health and wellbeing includes mental health, and that a positive approach to mental health needs to be fostered across the drought cycle.</w:t>
      </w:r>
    </w:p>
    <w:p w14:paraId="29663A26" w14:textId="252890DB" w:rsidR="0054335F" w:rsidRDefault="0054335F" w:rsidP="0054335F">
      <w:pPr>
        <w:pStyle w:val="Heading3"/>
        <w:numPr>
          <w:ilvl w:val="0"/>
          <w:numId w:val="0"/>
        </w:numPr>
        <w:ind w:left="964" w:hanging="964"/>
        <w:rPr>
          <w:lang w:eastAsia="ja-JP"/>
        </w:rPr>
      </w:pPr>
      <w:bookmarkStart w:id="23" w:name="_Key_issue_7"/>
      <w:bookmarkStart w:id="24" w:name="_Toc119069854"/>
      <w:bookmarkEnd w:id="23"/>
      <w:r>
        <w:rPr>
          <w:lang w:eastAsia="ja-JP"/>
        </w:rPr>
        <w:t>Key issue 7</w:t>
      </w:r>
      <w:r w:rsidR="00BC2C0A">
        <w:rPr>
          <w:lang w:eastAsia="ja-JP"/>
        </w:rPr>
        <w:t>:</w:t>
      </w:r>
      <w:r w:rsidR="00EE0F4D">
        <w:rPr>
          <w:lang w:eastAsia="ja-JP"/>
        </w:rPr>
        <w:t xml:space="preserve"> </w:t>
      </w:r>
      <w:r>
        <w:rPr>
          <w:lang w:eastAsia="ja-JP"/>
        </w:rPr>
        <w:t>Non-party stakeholders</w:t>
      </w:r>
      <w:bookmarkEnd w:id="24"/>
    </w:p>
    <w:p w14:paraId="7292E288" w14:textId="13911453" w:rsidR="0054335F" w:rsidRDefault="0054335F" w:rsidP="0054335F">
      <w:pPr>
        <w:rPr>
          <w:lang w:eastAsia="ja-JP"/>
        </w:rPr>
      </w:pPr>
      <w:r>
        <w:rPr>
          <w:lang w:eastAsia="ja-JP"/>
        </w:rPr>
        <w:t xml:space="preserve">Governments do not work in isolation in the drought space, yet the current NDA does not strongly recognise </w:t>
      </w:r>
      <w:r w:rsidR="00C93415">
        <w:rPr>
          <w:lang w:eastAsia="ja-JP"/>
        </w:rPr>
        <w:t>non-party stakeholders</w:t>
      </w:r>
      <w:r>
        <w:rPr>
          <w:lang w:eastAsia="ja-JP"/>
        </w:rPr>
        <w:t xml:space="preserve"> or the importance of </w:t>
      </w:r>
      <w:r w:rsidR="00C93415">
        <w:rPr>
          <w:lang w:eastAsia="ja-JP"/>
        </w:rPr>
        <w:t xml:space="preserve">governments </w:t>
      </w:r>
      <w:r>
        <w:rPr>
          <w:lang w:eastAsia="ja-JP"/>
        </w:rPr>
        <w:t xml:space="preserve">working with </w:t>
      </w:r>
      <w:r w:rsidR="00C93415">
        <w:rPr>
          <w:lang w:eastAsia="ja-JP"/>
        </w:rPr>
        <w:t>them</w:t>
      </w:r>
      <w:r>
        <w:rPr>
          <w:lang w:eastAsia="ja-JP"/>
        </w:rPr>
        <w:t xml:space="preserve"> throughout the drought cycle. We all have a role in drought, and a shared effort will make sure we are better placed come the next drought</w:t>
      </w:r>
      <w:r w:rsidR="00A34297">
        <w:rPr>
          <w:lang w:eastAsia="ja-JP"/>
        </w:rPr>
        <w:t xml:space="preserve">, as outlined in </w:t>
      </w:r>
      <w:hyperlink w:anchor="_Key_issue_4" w:history="1">
        <w:r w:rsidR="00A34297" w:rsidRPr="00386CC7">
          <w:rPr>
            <w:rStyle w:val="Hyperlink"/>
            <w:lang w:eastAsia="ja-JP"/>
          </w:rPr>
          <w:t>key issue 4</w:t>
        </w:r>
      </w:hyperlink>
      <w:r w:rsidR="00386CC7">
        <w:rPr>
          <w:lang w:eastAsia="ja-JP"/>
        </w:rPr>
        <w:t>.</w:t>
      </w:r>
      <w:r>
        <w:rPr>
          <w:lang w:eastAsia="ja-JP"/>
        </w:rPr>
        <w:t xml:space="preserve"> This premise has been explored extensively through the </w:t>
      </w:r>
      <w:r w:rsidR="0010661F">
        <w:rPr>
          <w:lang w:eastAsia="ja-JP"/>
        </w:rPr>
        <w:t xml:space="preserve">Australian Government’s </w:t>
      </w:r>
      <w:r w:rsidRPr="0083414F">
        <w:rPr>
          <w:lang w:eastAsia="ja-JP"/>
        </w:rPr>
        <w:t>shared responsibility</w:t>
      </w:r>
      <w:r>
        <w:rPr>
          <w:lang w:eastAsia="ja-JP"/>
        </w:rPr>
        <w:t xml:space="preserve"> stakeholder consultation in 2021</w:t>
      </w:r>
      <w:r w:rsidR="00F86D26">
        <w:rPr>
          <w:lang w:eastAsia="ja-JP"/>
        </w:rPr>
        <w:t xml:space="preserve"> and </w:t>
      </w:r>
      <w:r w:rsidR="007A4C06">
        <w:rPr>
          <w:lang w:eastAsia="ja-JP"/>
        </w:rPr>
        <w:t>20</w:t>
      </w:r>
      <w:r>
        <w:rPr>
          <w:lang w:eastAsia="ja-JP"/>
        </w:rPr>
        <w:t>22 and was strongly supported by industry, farm businesses and other agriculture sector stakeholders. Farm businesses have a responsibility to prepare for, manage through and recover from drought by taking active steps to manage farm-level risks associated with drought</w:t>
      </w:r>
      <w:r w:rsidR="00102FBC">
        <w:rPr>
          <w:lang w:eastAsia="ja-JP"/>
        </w:rPr>
        <w:t>,</w:t>
      </w:r>
      <w:r>
        <w:rPr>
          <w:lang w:eastAsia="ja-JP"/>
        </w:rPr>
        <w:t xml:space="preserve"> and </w:t>
      </w:r>
      <w:r w:rsidR="00102FBC">
        <w:rPr>
          <w:lang w:eastAsia="ja-JP"/>
        </w:rPr>
        <w:t xml:space="preserve">build </w:t>
      </w:r>
      <w:r>
        <w:rPr>
          <w:lang w:eastAsia="ja-JP"/>
        </w:rPr>
        <w:t xml:space="preserve">resilience. Governments partner with non-government actors </w:t>
      </w:r>
      <w:r w:rsidR="00102FBC">
        <w:rPr>
          <w:lang w:eastAsia="ja-JP"/>
        </w:rPr>
        <w:t xml:space="preserve">to enable </w:t>
      </w:r>
      <w:r>
        <w:rPr>
          <w:lang w:eastAsia="ja-JP"/>
        </w:rPr>
        <w:t xml:space="preserve">farm businesses and communities to take appropriate and meaningful steps. </w:t>
      </w:r>
      <w:r w:rsidR="00102FBC">
        <w:rPr>
          <w:lang w:eastAsia="ja-JP"/>
        </w:rPr>
        <w:t>Everyone has</w:t>
      </w:r>
      <w:r>
        <w:rPr>
          <w:lang w:eastAsia="ja-JP"/>
        </w:rPr>
        <w:t xml:space="preserve"> a shared interest in promoting and enabling a culture of self-responsibility and preparedness</w:t>
      </w:r>
      <w:r w:rsidR="00102FBC">
        <w:rPr>
          <w:lang w:eastAsia="ja-JP"/>
        </w:rPr>
        <w:t>, and a responsibility to work together for a holistic and integrated approach to drought efforts</w:t>
      </w:r>
      <w:r>
        <w:rPr>
          <w:lang w:eastAsia="ja-JP"/>
        </w:rPr>
        <w:t>.</w:t>
      </w:r>
    </w:p>
    <w:p w14:paraId="1A9A9B6C" w14:textId="1F9170F1" w:rsidR="0054335F" w:rsidRDefault="00180ADD" w:rsidP="0054335F">
      <w:pPr>
        <w:rPr>
          <w:lang w:eastAsia="ja-JP"/>
        </w:rPr>
      </w:pPr>
      <w:r w:rsidRPr="00180ADD">
        <w:rPr>
          <w:lang w:eastAsia="ja-JP"/>
        </w:rPr>
        <w:lastRenderedPageBreak/>
        <w:t>As well as being providers of support,</w:t>
      </w:r>
      <w:r>
        <w:rPr>
          <w:lang w:eastAsia="ja-JP"/>
        </w:rPr>
        <w:t xml:space="preserve"> m</w:t>
      </w:r>
      <w:r w:rsidR="0054335F">
        <w:rPr>
          <w:lang w:eastAsia="ja-JP"/>
        </w:rPr>
        <w:t>any non-party stakeholders also have a unique role as end-users of services and support. Their lived experiences of engaging with drought related programs has significant value for policy and program design, and the implementation of support must be sensitive to their user needs. This was highlighted as an important point for stakeholders during the review consultations, particularly in the context of farmers and their families and communities having recently experienced the cumulative impact of multiple hazards in close succession.</w:t>
      </w:r>
    </w:p>
    <w:p w14:paraId="3CC9C429" w14:textId="4B693692" w:rsidR="0054335F" w:rsidRDefault="0054335F" w:rsidP="0054335F">
      <w:pPr>
        <w:pStyle w:val="Heading4"/>
        <w:numPr>
          <w:ilvl w:val="0"/>
          <w:numId w:val="0"/>
        </w:numPr>
        <w:ind w:left="964" w:hanging="964"/>
        <w:rPr>
          <w:lang w:eastAsia="ja-JP"/>
        </w:rPr>
      </w:pPr>
      <w:r>
        <w:rPr>
          <w:lang w:eastAsia="ja-JP"/>
        </w:rPr>
        <w:t>Recommendations</w:t>
      </w:r>
    </w:p>
    <w:p w14:paraId="4E8F987A" w14:textId="1088114E" w:rsidR="0054335F" w:rsidRDefault="0054335F" w:rsidP="0054335F">
      <w:pPr>
        <w:pStyle w:val="ListNumber"/>
        <w:rPr>
          <w:lang w:eastAsia="ja-JP"/>
        </w:rPr>
      </w:pPr>
      <w:r>
        <w:rPr>
          <w:lang w:eastAsia="ja-JP"/>
        </w:rPr>
        <w:t xml:space="preserve">The next agreement should more clearly </w:t>
      </w:r>
      <w:r w:rsidR="00843C23">
        <w:rPr>
          <w:lang w:eastAsia="ja-JP"/>
        </w:rPr>
        <w:t xml:space="preserve">acknowledge </w:t>
      </w:r>
      <w:r>
        <w:rPr>
          <w:lang w:eastAsia="ja-JP"/>
        </w:rPr>
        <w:t>non-party stakeholders and recognise their role in preparing for, responding to and recovering from drought.</w:t>
      </w:r>
    </w:p>
    <w:p w14:paraId="75D96CF7" w14:textId="0CB04922" w:rsidR="0054335F" w:rsidRDefault="0054335F" w:rsidP="0054335F">
      <w:pPr>
        <w:pStyle w:val="ListNumber"/>
        <w:rPr>
          <w:lang w:eastAsia="ja-JP"/>
        </w:rPr>
      </w:pPr>
      <w:r>
        <w:rPr>
          <w:lang w:eastAsia="ja-JP"/>
        </w:rPr>
        <w:t xml:space="preserve">The next agreement should commit jurisdictions to working with non-party stakeholders when planning and delivering drought initiatives, as appropriate to </w:t>
      </w:r>
      <w:r w:rsidR="00102FBC">
        <w:rPr>
          <w:lang w:eastAsia="ja-JP"/>
        </w:rPr>
        <w:t xml:space="preserve">the </w:t>
      </w:r>
      <w:r>
        <w:rPr>
          <w:lang w:eastAsia="ja-JP"/>
        </w:rPr>
        <w:t>context.</w:t>
      </w:r>
    </w:p>
    <w:p w14:paraId="39CE7E8B" w14:textId="3938B402" w:rsidR="0054335F" w:rsidRDefault="0054335F" w:rsidP="0054335F">
      <w:pPr>
        <w:pStyle w:val="ListNumber"/>
        <w:rPr>
          <w:lang w:eastAsia="ja-JP"/>
        </w:rPr>
      </w:pPr>
      <w:r>
        <w:rPr>
          <w:lang w:eastAsia="ja-JP"/>
        </w:rPr>
        <w:t>The next agreement should commit governments to take an active role in working with non-party stakeholders to build understanding of drought preparedness, response and recovery as a shared responsibility.</w:t>
      </w:r>
    </w:p>
    <w:p w14:paraId="4F5E90C9" w14:textId="2049E6F2" w:rsidR="0054335F" w:rsidRDefault="0054335F" w:rsidP="0054335F">
      <w:pPr>
        <w:pStyle w:val="Heading3"/>
        <w:numPr>
          <w:ilvl w:val="0"/>
          <w:numId w:val="0"/>
        </w:numPr>
        <w:ind w:left="964" w:hanging="964"/>
        <w:rPr>
          <w:lang w:eastAsia="ja-JP"/>
        </w:rPr>
      </w:pPr>
      <w:bookmarkStart w:id="25" w:name="_Toc119069855"/>
      <w:r>
        <w:rPr>
          <w:lang w:eastAsia="ja-JP"/>
        </w:rPr>
        <w:t>Key issue 8</w:t>
      </w:r>
      <w:r w:rsidR="00BC2C0A">
        <w:rPr>
          <w:lang w:eastAsia="ja-JP"/>
        </w:rPr>
        <w:t>:</w:t>
      </w:r>
      <w:r w:rsidR="00D466F4">
        <w:rPr>
          <w:lang w:eastAsia="ja-JP"/>
        </w:rPr>
        <w:t xml:space="preserve"> </w:t>
      </w:r>
      <w:r>
        <w:rPr>
          <w:lang w:eastAsia="ja-JP"/>
        </w:rPr>
        <w:t>First Nations people</w:t>
      </w:r>
      <w:bookmarkEnd w:id="25"/>
    </w:p>
    <w:p w14:paraId="52923BF3" w14:textId="02D01DBE" w:rsidR="0054335F" w:rsidRDefault="0054335F" w:rsidP="0054335F">
      <w:pPr>
        <w:rPr>
          <w:lang w:eastAsia="ja-JP"/>
        </w:rPr>
      </w:pPr>
      <w:r w:rsidRPr="0054335F">
        <w:rPr>
          <w:lang w:eastAsia="ja-JP"/>
        </w:rPr>
        <w:t xml:space="preserve">The NDA is silent on First Nations people and their interests as they relate to drought. This </w:t>
      </w:r>
      <w:r w:rsidR="00244CA3">
        <w:rPr>
          <w:lang w:eastAsia="ja-JP"/>
        </w:rPr>
        <w:t xml:space="preserve">lack of recognition and silence on opportunity for First Nations people </w:t>
      </w:r>
      <w:r w:rsidRPr="0054335F">
        <w:rPr>
          <w:lang w:eastAsia="ja-JP"/>
        </w:rPr>
        <w:t xml:space="preserve">is inconsistent with </w:t>
      </w:r>
      <w:r w:rsidR="004E602F">
        <w:rPr>
          <w:lang w:eastAsia="ja-JP"/>
        </w:rPr>
        <w:t xml:space="preserve">the intent of </w:t>
      </w:r>
      <w:r w:rsidRPr="0054335F">
        <w:rPr>
          <w:lang w:eastAsia="ja-JP"/>
        </w:rPr>
        <w:t xml:space="preserve">a range of existing commitments and policy positions of </w:t>
      </w:r>
      <w:r w:rsidR="0010661F">
        <w:rPr>
          <w:lang w:eastAsia="ja-JP"/>
        </w:rPr>
        <w:t>Australian Government and</w:t>
      </w:r>
      <w:r w:rsidRPr="0054335F">
        <w:rPr>
          <w:lang w:eastAsia="ja-JP"/>
        </w:rPr>
        <w:t xml:space="preserve"> state and territory governments, </w:t>
      </w:r>
      <w:r w:rsidR="004E602F">
        <w:rPr>
          <w:lang w:eastAsia="ja-JP"/>
        </w:rPr>
        <w:t>already demonstrated</w:t>
      </w:r>
      <w:r w:rsidR="004E602F" w:rsidRPr="0054335F">
        <w:rPr>
          <w:lang w:eastAsia="ja-JP"/>
        </w:rPr>
        <w:t xml:space="preserve"> </w:t>
      </w:r>
      <w:r w:rsidRPr="0054335F">
        <w:rPr>
          <w:lang w:eastAsia="ja-JP"/>
        </w:rPr>
        <w:t xml:space="preserve">through the National Agreement on Closing the Gap, the Voice to Parliament and </w:t>
      </w:r>
      <w:r w:rsidR="00386CC7">
        <w:rPr>
          <w:lang w:eastAsia="ja-JP"/>
        </w:rPr>
        <w:t>t</w:t>
      </w:r>
      <w:r w:rsidRPr="0054335F">
        <w:rPr>
          <w:lang w:eastAsia="ja-JP"/>
        </w:rPr>
        <w:t>reaty discussions.</w:t>
      </w:r>
    </w:p>
    <w:p w14:paraId="71DE7DEE" w14:textId="1E5F4FE4" w:rsidR="0054335F" w:rsidRDefault="0054335F" w:rsidP="0054335F">
      <w:pPr>
        <w:pStyle w:val="Heading4"/>
        <w:numPr>
          <w:ilvl w:val="0"/>
          <w:numId w:val="0"/>
        </w:numPr>
        <w:ind w:left="964" w:hanging="964"/>
        <w:rPr>
          <w:lang w:eastAsia="ja-JP"/>
        </w:rPr>
      </w:pPr>
      <w:r>
        <w:rPr>
          <w:lang w:eastAsia="ja-JP"/>
        </w:rPr>
        <w:t>Recommendations</w:t>
      </w:r>
    </w:p>
    <w:p w14:paraId="6707F6DF" w14:textId="70C54359" w:rsidR="0054335F" w:rsidRDefault="0054335F" w:rsidP="0054335F">
      <w:pPr>
        <w:pStyle w:val="ListNumber"/>
        <w:rPr>
          <w:lang w:eastAsia="ja-JP"/>
        </w:rPr>
      </w:pPr>
      <w:r>
        <w:rPr>
          <w:lang w:eastAsia="ja-JP"/>
        </w:rPr>
        <w:t xml:space="preserve">The next agreement should acknowledge </w:t>
      </w:r>
      <w:r w:rsidR="0083414F">
        <w:rPr>
          <w:lang w:eastAsia="ja-JP"/>
        </w:rPr>
        <w:t xml:space="preserve">First Nations </w:t>
      </w:r>
      <w:r>
        <w:rPr>
          <w:lang w:eastAsia="ja-JP"/>
        </w:rPr>
        <w:t xml:space="preserve">people as the </w:t>
      </w:r>
      <w:r w:rsidR="00890542">
        <w:rPr>
          <w:lang w:eastAsia="ja-JP"/>
        </w:rPr>
        <w:t>T</w:t>
      </w:r>
      <w:r>
        <w:rPr>
          <w:lang w:eastAsia="ja-JP"/>
        </w:rPr>
        <w:t xml:space="preserve">raditional </w:t>
      </w:r>
      <w:r w:rsidR="00890542">
        <w:rPr>
          <w:lang w:eastAsia="ja-JP"/>
        </w:rPr>
        <w:t>O</w:t>
      </w:r>
      <w:r>
        <w:rPr>
          <w:lang w:eastAsia="ja-JP"/>
        </w:rPr>
        <w:t xml:space="preserve">wners of </w:t>
      </w:r>
      <w:r w:rsidR="00890542">
        <w:rPr>
          <w:lang w:eastAsia="ja-JP"/>
        </w:rPr>
        <w:t>C</w:t>
      </w:r>
      <w:r>
        <w:rPr>
          <w:lang w:eastAsia="ja-JP"/>
        </w:rPr>
        <w:t>ountry throughout Australia and their continuing connection to land, sea and community, and recognise that their social, cultural, environmental and economic interests intersect with drought in Australia.</w:t>
      </w:r>
    </w:p>
    <w:p w14:paraId="568FB2F3" w14:textId="32CBAF02" w:rsidR="0054335F" w:rsidRDefault="0054335F" w:rsidP="0054335F">
      <w:pPr>
        <w:pStyle w:val="ListNumber"/>
        <w:rPr>
          <w:lang w:eastAsia="ja-JP"/>
        </w:rPr>
      </w:pPr>
      <w:bookmarkStart w:id="26" w:name="_Hlk114088425"/>
      <w:r>
        <w:rPr>
          <w:lang w:eastAsia="ja-JP"/>
        </w:rPr>
        <w:t>The next agreement should include a principle for</w:t>
      </w:r>
      <w:r w:rsidR="00244CA3">
        <w:rPr>
          <w:lang w:eastAsia="ja-JP"/>
        </w:rPr>
        <w:t xml:space="preserve"> drought related</w:t>
      </w:r>
      <w:r>
        <w:rPr>
          <w:lang w:eastAsia="ja-JP"/>
        </w:rPr>
        <w:t xml:space="preserve"> program and policy development to consider First Nations interests.</w:t>
      </w:r>
    </w:p>
    <w:p w14:paraId="18381B67" w14:textId="5AB5970E" w:rsidR="0054335F" w:rsidRDefault="0054335F" w:rsidP="0054335F">
      <w:pPr>
        <w:pStyle w:val="Heading3"/>
        <w:numPr>
          <w:ilvl w:val="0"/>
          <w:numId w:val="0"/>
        </w:numPr>
        <w:ind w:left="964" w:hanging="964"/>
        <w:rPr>
          <w:lang w:eastAsia="ja-JP"/>
        </w:rPr>
      </w:pPr>
      <w:bookmarkStart w:id="27" w:name="_Toc119069856"/>
      <w:bookmarkEnd w:id="26"/>
      <w:r>
        <w:rPr>
          <w:lang w:eastAsia="ja-JP"/>
        </w:rPr>
        <w:t>Key issue 9</w:t>
      </w:r>
      <w:r w:rsidR="00BC2C0A">
        <w:rPr>
          <w:lang w:eastAsia="ja-JP"/>
        </w:rPr>
        <w:t>:</w:t>
      </w:r>
      <w:r w:rsidR="00EE0F4D">
        <w:rPr>
          <w:lang w:eastAsia="ja-JP"/>
        </w:rPr>
        <w:t xml:space="preserve"> </w:t>
      </w:r>
      <w:r>
        <w:rPr>
          <w:lang w:eastAsia="ja-JP"/>
        </w:rPr>
        <w:t>Intersecting policy areas</w:t>
      </w:r>
      <w:bookmarkEnd w:id="27"/>
    </w:p>
    <w:p w14:paraId="01BC3047" w14:textId="768C6A05" w:rsidR="0054335F" w:rsidRDefault="0054335F" w:rsidP="0054335F">
      <w:pPr>
        <w:rPr>
          <w:lang w:eastAsia="ja-JP"/>
        </w:rPr>
      </w:pPr>
      <w:r w:rsidRPr="0054335F">
        <w:rPr>
          <w:lang w:eastAsia="ja-JP"/>
        </w:rPr>
        <w:t>Recent years have seen significant policy developments in a range of matters which intersect with drought, such as climate</w:t>
      </w:r>
      <w:r w:rsidR="00F446C6">
        <w:rPr>
          <w:lang w:eastAsia="ja-JP"/>
        </w:rPr>
        <w:t xml:space="preserve"> change</w:t>
      </w:r>
      <w:r w:rsidRPr="0054335F">
        <w:rPr>
          <w:lang w:eastAsia="ja-JP"/>
        </w:rPr>
        <w:t xml:space="preserve">, water, soils, </w:t>
      </w:r>
      <w:r w:rsidR="003A1BE8" w:rsidRPr="0054335F">
        <w:rPr>
          <w:lang w:eastAsia="ja-JP"/>
        </w:rPr>
        <w:t>biodiversity,</w:t>
      </w:r>
      <w:r w:rsidRPr="0054335F">
        <w:rPr>
          <w:lang w:eastAsia="ja-JP"/>
        </w:rPr>
        <w:t xml:space="preserve"> and natural resource management. However, these policy developments are not reflected in the current NDA. There is </w:t>
      </w:r>
      <w:r w:rsidR="00244CA3">
        <w:rPr>
          <w:lang w:eastAsia="ja-JP"/>
        </w:rPr>
        <w:t xml:space="preserve">an </w:t>
      </w:r>
      <w:r w:rsidRPr="0054335F">
        <w:rPr>
          <w:lang w:eastAsia="ja-JP"/>
        </w:rPr>
        <w:t>opportunity to recognise</w:t>
      </w:r>
      <w:r w:rsidR="00244CA3">
        <w:rPr>
          <w:lang w:eastAsia="ja-JP"/>
        </w:rPr>
        <w:t xml:space="preserve"> the</w:t>
      </w:r>
      <w:r w:rsidRPr="0054335F">
        <w:rPr>
          <w:lang w:eastAsia="ja-JP"/>
        </w:rPr>
        <w:t xml:space="preserve"> linkages </w:t>
      </w:r>
      <w:r w:rsidR="00244CA3">
        <w:rPr>
          <w:lang w:eastAsia="ja-JP"/>
        </w:rPr>
        <w:t xml:space="preserve">and potential synergies between drought and </w:t>
      </w:r>
      <w:r w:rsidRPr="0054335F">
        <w:rPr>
          <w:lang w:eastAsia="ja-JP"/>
        </w:rPr>
        <w:t>other policy areas, with</w:t>
      </w:r>
      <w:r w:rsidR="00592EE0">
        <w:rPr>
          <w:lang w:eastAsia="ja-JP"/>
        </w:rPr>
        <w:t>out</w:t>
      </w:r>
      <w:r w:rsidRPr="0054335F">
        <w:rPr>
          <w:lang w:eastAsia="ja-JP"/>
        </w:rPr>
        <w:t xml:space="preserve"> growing scope of the agreement itself. A joined-up approach allows for mutually beneficial outcomes for multiple stakeholders and the environment.</w:t>
      </w:r>
    </w:p>
    <w:p w14:paraId="3ED7F78D" w14:textId="5229711C" w:rsidR="00CA0FBE" w:rsidRDefault="00CA0FBE" w:rsidP="00CA0FBE">
      <w:pPr>
        <w:pStyle w:val="Heading4"/>
        <w:numPr>
          <w:ilvl w:val="0"/>
          <w:numId w:val="0"/>
        </w:numPr>
        <w:ind w:left="964" w:hanging="964"/>
        <w:rPr>
          <w:lang w:eastAsia="ja-JP"/>
        </w:rPr>
      </w:pPr>
      <w:r>
        <w:rPr>
          <w:lang w:eastAsia="ja-JP"/>
        </w:rPr>
        <w:t>Recommendations</w:t>
      </w:r>
    </w:p>
    <w:p w14:paraId="3EA0F0EF" w14:textId="77777777" w:rsidR="00CA0FBE" w:rsidRDefault="00CA0FBE" w:rsidP="00CA0FBE">
      <w:pPr>
        <w:pStyle w:val="ListNumber"/>
        <w:rPr>
          <w:lang w:eastAsia="ja-JP"/>
        </w:rPr>
      </w:pPr>
      <w:r>
        <w:rPr>
          <w:lang w:eastAsia="ja-JP"/>
        </w:rPr>
        <w:t>The next agreement should acknowledge the significant breadth of intersecting policy activity that the NDA operates within, while retaining a focus on agriculture and the impact that drought has on farm businesses, farming families and farming communities.</w:t>
      </w:r>
    </w:p>
    <w:p w14:paraId="6ECE99FA" w14:textId="520AC8AF" w:rsidR="00CA0FBE" w:rsidRDefault="00CA0FBE" w:rsidP="00CA0FBE">
      <w:pPr>
        <w:pStyle w:val="ListNumber"/>
        <w:rPr>
          <w:lang w:eastAsia="ja-JP"/>
        </w:rPr>
      </w:pPr>
      <w:r>
        <w:rPr>
          <w:lang w:eastAsia="ja-JP"/>
        </w:rPr>
        <w:lastRenderedPageBreak/>
        <w:t>The next agreement should include a principle for aligning drought policy and programs with intersecting policy activity, such as climate change, water, soils and biodiversity, where practicable.</w:t>
      </w:r>
    </w:p>
    <w:p w14:paraId="2B050835" w14:textId="1B4DBB1D" w:rsidR="00CA0FBE" w:rsidRDefault="00CA0FBE" w:rsidP="00CA0FBE">
      <w:pPr>
        <w:pStyle w:val="Heading3"/>
        <w:numPr>
          <w:ilvl w:val="0"/>
          <w:numId w:val="0"/>
        </w:numPr>
        <w:ind w:left="964" w:hanging="964"/>
        <w:rPr>
          <w:lang w:eastAsia="ja-JP"/>
        </w:rPr>
      </w:pPr>
      <w:bookmarkStart w:id="28" w:name="_Toc119069857"/>
      <w:r>
        <w:rPr>
          <w:lang w:eastAsia="ja-JP"/>
        </w:rPr>
        <w:t>Key issue 10</w:t>
      </w:r>
      <w:r w:rsidR="00BC2C0A">
        <w:rPr>
          <w:lang w:eastAsia="ja-JP"/>
        </w:rPr>
        <w:t>:</w:t>
      </w:r>
      <w:r w:rsidR="00EE0F4D">
        <w:rPr>
          <w:lang w:eastAsia="ja-JP"/>
        </w:rPr>
        <w:t xml:space="preserve"> </w:t>
      </w:r>
      <w:r w:rsidR="00B725C6">
        <w:rPr>
          <w:lang w:eastAsia="ja-JP"/>
        </w:rPr>
        <w:t>P</w:t>
      </w:r>
      <w:r>
        <w:rPr>
          <w:lang w:eastAsia="ja-JP"/>
        </w:rPr>
        <w:t>rinciples</w:t>
      </w:r>
      <w:bookmarkEnd w:id="28"/>
    </w:p>
    <w:p w14:paraId="70FE50FB" w14:textId="30E801BD" w:rsidR="00CA0FBE" w:rsidRDefault="00CA0FBE" w:rsidP="00CA0FBE">
      <w:pPr>
        <w:rPr>
          <w:lang w:eastAsia="ja-JP"/>
        </w:rPr>
      </w:pPr>
      <w:r w:rsidRPr="00CA0FBE">
        <w:rPr>
          <w:lang w:eastAsia="ja-JP"/>
        </w:rPr>
        <w:t>The principles are a key aspect of the NDA</w:t>
      </w:r>
      <w:r w:rsidR="00BB1960">
        <w:rPr>
          <w:lang w:eastAsia="ja-JP"/>
        </w:rPr>
        <w:t xml:space="preserve"> as </w:t>
      </w:r>
      <w:r w:rsidR="00BB1960" w:rsidRPr="00BB1960">
        <w:rPr>
          <w:lang w:eastAsia="ja-JP"/>
        </w:rPr>
        <w:t>they underpin how the parties interact</w:t>
      </w:r>
      <w:r w:rsidR="00BB1960">
        <w:rPr>
          <w:lang w:eastAsia="ja-JP"/>
        </w:rPr>
        <w:t xml:space="preserve"> and d</w:t>
      </w:r>
      <w:r w:rsidR="00BB1960" w:rsidRPr="00BB1960">
        <w:rPr>
          <w:lang w:eastAsia="ja-JP"/>
        </w:rPr>
        <w:t>evelop drought policies and programs</w:t>
      </w:r>
      <w:r w:rsidRPr="00CA0FBE">
        <w:rPr>
          <w:lang w:eastAsia="ja-JP"/>
        </w:rPr>
        <w:t xml:space="preserve">. However, there are </w:t>
      </w:r>
      <w:r w:rsidR="007A4C06">
        <w:rPr>
          <w:lang w:eastAsia="ja-JP"/>
        </w:rPr>
        <w:t>2</w:t>
      </w:r>
      <w:r w:rsidRPr="00CA0FBE">
        <w:rPr>
          <w:lang w:eastAsia="ja-JP"/>
        </w:rPr>
        <w:t xml:space="preserve"> separate lists of principles in the NDA, which can cause confusion. The separation of principles is also unnecessary.</w:t>
      </w:r>
      <w:r w:rsidR="00F446C6">
        <w:rPr>
          <w:lang w:eastAsia="ja-JP"/>
        </w:rPr>
        <w:t xml:space="preserve"> The first list of principles are principles of reform, and the second list includes principles and processes for in-drought support.</w:t>
      </w:r>
      <w:r w:rsidR="00BB1960">
        <w:rPr>
          <w:lang w:eastAsia="ja-JP"/>
        </w:rPr>
        <w:t xml:space="preserve"> </w:t>
      </w:r>
      <w:r w:rsidRPr="00CA0FBE">
        <w:rPr>
          <w:lang w:eastAsia="ja-JP"/>
        </w:rPr>
        <w:t xml:space="preserve">They are all interconnected in practice and can be presented, read and applied as a single suite. The current principles do not reflect some key policy developments which have occurred since the NDA was negotiated, such as </w:t>
      </w:r>
      <w:r w:rsidR="00C74E23">
        <w:rPr>
          <w:lang w:eastAsia="ja-JP"/>
        </w:rPr>
        <w:t xml:space="preserve">recognition and </w:t>
      </w:r>
      <w:r w:rsidRPr="00CA0FBE">
        <w:rPr>
          <w:lang w:eastAsia="ja-JP"/>
        </w:rPr>
        <w:t>inclusion of First Nations</w:t>
      </w:r>
      <w:r w:rsidR="00DE6E14">
        <w:rPr>
          <w:lang w:eastAsia="ja-JP"/>
        </w:rPr>
        <w:t xml:space="preserve"> people</w:t>
      </w:r>
      <w:r w:rsidRPr="00CA0FBE">
        <w:rPr>
          <w:lang w:eastAsia="ja-JP"/>
        </w:rPr>
        <w:t xml:space="preserve">, acknowledging intersecting policy, the value of proactive interjurisdictional collaboration, and the imperative for improved coordination of drought response efforts across jurisdictions. They also include some principles that were important at the point in time at which they were drafted but have reduced relevance now, or would be better captured in the roles and responsibilities section. There is </w:t>
      </w:r>
      <w:r w:rsidR="00C74E23">
        <w:rPr>
          <w:lang w:eastAsia="ja-JP"/>
        </w:rPr>
        <w:t>an</w:t>
      </w:r>
      <w:r w:rsidR="00C74E23" w:rsidRPr="00CA0FBE">
        <w:rPr>
          <w:lang w:eastAsia="ja-JP"/>
        </w:rPr>
        <w:t xml:space="preserve"> </w:t>
      </w:r>
      <w:r w:rsidRPr="00CA0FBE">
        <w:rPr>
          <w:lang w:eastAsia="ja-JP"/>
        </w:rPr>
        <w:t xml:space="preserve">opportunity </w:t>
      </w:r>
      <w:r w:rsidR="00C74E23">
        <w:rPr>
          <w:lang w:eastAsia="ja-JP"/>
        </w:rPr>
        <w:t>to rationalise and</w:t>
      </w:r>
      <w:r w:rsidRPr="00CA0FBE">
        <w:rPr>
          <w:lang w:eastAsia="ja-JP"/>
        </w:rPr>
        <w:t xml:space="preserve"> improve </w:t>
      </w:r>
      <w:r w:rsidR="00C74E23">
        <w:rPr>
          <w:lang w:eastAsia="ja-JP"/>
        </w:rPr>
        <w:t xml:space="preserve">the </w:t>
      </w:r>
      <w:r w:rsidRPr="00CA0FBE">
        <w:rPr>
          <w:lang w:eastAsia="ja-JP"/>
        </w:rPr>
        <w:t xml:space="preserve">list of principles to </w:t>
      </w:r>
      <w:r w:rsidR="00C74E23">
        <w:rPr>
          <w:lang w:eastAsia="ja-JP"/>
        </w:rPr>
        <w:t xml:space="preserve">better </w:t>
      </w:r>
      <w:r w:rsidRPr="00CA0FBE">
        <w:rPr>
          <w:lang w:eastAsia="ja-JP"/>
        </w:rPr>
        <w:t>support the intent of the NDA and better reflect the evolution and current context of drought policy.</w:t>
      </w:r>
    </w:p>
    <w:p w14:paraId="378FD7A5" w14:textId="34ACCA31" w:rsidR="00CA0FBE" w:rsidRDefault="00CA0FBE" w:rsidP="00CA0FBE">
      <w:pPr>
        <w:pStyle w:val="Heading4"/>
        <w:numPr>
          <w:ilvl w:val="0"/>
          <w:numId w:val="0"/>
        </w:numPr>
        <w:ind w:left="964" w:hanging="964"/>
        <w:rPr>
          <w:lang w:eastAsia="ja-JP"/>
        </w:rPr>
      </w:pPr>
      <w:r>
        <w:rPr>
          <w:lang w:eastAsia="ja-JP"/>
        </w:rPr>
        <w:t>Recommendations</w:t>
      </w:r>
    </w:p>
    <w:p w14:paraId="33014FF0" w14:textId="339A6999" w:rsidR="00CA0FBE" w:rsidRDefault="00CA0FBE" w:rsidP="00CA0FBE">
      <w:pPr>
        <w:pStyle w:val="ListNumber"/>
        <w:rPr>
          <w:lang w:eastAsia="ja-JP"/>
        </w:rPr>
      </w:pPr>
      <w:r>
        <w:rPr>
          <w:lang w:eastAsia="ja-JP"/>
        </w:rPr>
        <w:t>The principles are a key aspect of the NDA and need to be retained as central to the new agreement.</w:t>
      </w:r>
    </w:p>
    <w:p w14:paraId="54646F1F" w14:textId="77777777" w:rsidR="00CA0FBE" w:rsidRDefault="00CA0FBE" w:rsidP="00CA0FBE">
      <w:pPr>
        <w:pStyle w:val="ListNumber"/>
        <w:rPr>
          <w:lang w:eastAsia="ja-JP"/>
        </w:rPr>
      </w:pPr>
      <w:r>
        <w:rPr>
          <w:lang w:eastAsia="ja-JP"/>
        </w:rPr>
        <w:t>They should be incorporated into the main body of the agreement rather than being attachments and should be consolidated into a single set of principles for clarity and ease of use.</w:t>
      </w:r>
    </w:p>
    <w:p w14:paraId="2C07D64C" w14:textId="48C203DD" w:rsidR="00CA0FBE" w:rsidRDefault="00CA0FBE" w:rsidP="00CA0FBE">
      <w:pPr>
        <w:pStyle w:val="ListNumber"/>
        <w:rPr>
          <w:lang w:eastAsia="ja-JP"/>
        </w:rPr>
      </w:pPr>
      <w:r>
        <w:rPr>
          <w:lang w:eastAsia="ja-JP"/>
        </w:rPr>
        <w:t xml:space="preserve">The following list of </w:t>
      </w:r>
      <w:r w:rsidR="00BB1960">
        <w:rPr>
          <w:lang w:eastAsia="ja-JP"/>
        </w:rPr>
        <w:t xml:space="preserve">updated </w:t>
      </w:r>
      <w:r>
        <w:rPr>
          <w:lang w:eastAsia="ja-JP"/>
        </w:rPr>
        <w:t>principles should be used as the basis for drafting the principles for the new agreement, though remain subject to further iteration in response to stakeholder consultation and deliberation by the parties</w:t>
      </w:r>
    </w:p>
    <w:p w14:paraId="74D200B8" w14:textId="10EEFDF8" w:rsidR="00CA0FBE" w:rsidRDefault="008B6CDA" w:rsidP="00CA0FBE">
      <w:pPr>
        <w:pStyle w:val="ListNumber2"/>
        <w:rPr>
          <w:lang w:eastAsia="ja-JP"/>
        </w:rPr>
      </w:pPr>
      <w:r>
        <w:rPr>
          <w:lang w:eastAsia="ja-JP"/>
        </w:rPr>
        <w:t>The new agreement should r</w:t>
      </w:r>
      <w:r w:rsidR="00D47D27">
        <w:rPr>
          <w:lang w:eastAsia="ja-JP"/>
        </w:rPr>
        <w:t>ecognise that f</w:t>
      </w:r>
      <w:r w:rsidR="00CA0FBE">
        <w:rPr>
          <w:lang w:eastAsia="ja-JP"/>
        </w:rPr>
        <w:t xml:space="preserve">arming businesses, farming families and farming communities operate within a multi-hazard environment and drought is one of a number of </w:t>
      </w:r>
      <w:r w:rsidR="004B5B7A">
        <w:rPr>
          <w:lang w:eastAsia="ja-JP"/>
        </w:rPr>
        <w:t xml:space="preserve">business risks that they </w:t>
      </w:r>
      <w:r w:rsidR="00DC32DC">
        <w:rPr>
          <w:lang w:eastAsia="ja-JP"/>
        </w:rPr>
        <w:t>actively</w:t>
      </w:r>
      <w:r w:rsidR="004B5B7A">
        <w:rPr>
          <w:lang w:eastAsia="ja-JP"/>
        </w:rPr>
        <w:t xml:space="preserve"> prepare for</w:t>
      </w:r>
      <w:r w:rsidR="00805D60">
        <w:rPr>
          <w:lang w:eastAsia="ja-JP"/>
        </w:rPr>
        <w:t>.</w:t>
      </w:r>
    </w:p>
    <w:p w14:paraId="377299A4" w14:textId="2EE9589C" w:rsidR="00CA0FBE" w:rsidRDefault="00CA0FBE" w:rsidP="00CA0FBE">
      <w:pPr>
        <w:pStyle w:val="ListNumber2"/>
        <w:rPr>
          <w:lang w:eastAsia="ja-JP"/>
        </w:rPr>
      </w:pPr>
      <w:r>
        <w:rPr>
          <w:lang w:eastAsia="ja-JP"/>
        </w:rPr>
        <w:t xml:space="preserve">Government policies and programs should support farming businesses, farming families and farming communities to prepare for drought and climate variability and enhance their </w:t>
      </w:r>
      <w:r w:rsidR="00E31B23">
        <w:rPr>
          <w:lang w:eastAsia="ja-JP"/>
        </w:rPr>
        <w:t>long-term</w:t>
      </w:r>
      <w:r>
        <w:rPr>
          <w:lang w:eastAsia="ja-JP"/>
        </w:rPr>
        <w:t xml:space="preserve"> sustainability and resilience</w:t>
      </w:r>
      <w:r w:rsidR="00805D60">
        <w:rPr>
          <w:lang w:eastAsia="ja-JP"/>
        </w:rPr>
        <w:t>.</w:t>
      </w:r>
    </w:p>
    <w:p w14:paraId="427CF9BA" w14:textId="24F148EC" w:rsidR="00CA0FBE" w:rsidRDefault="00CA0FBE" w:rsidP="00CA0FBE">
      <w:pPr>
        <w:pStyle w:val="ListNumber2"/>
        <w:rPr>
          <w:lang w:eastAsia="ja-JP"/>
        </w:rPr>
      </w:pPr>
      <w:r>
        <w:rPr>
          <w:lang w:eastAsia="ja-JP"/>
        </w:rPr>
        <w:t>Drought policies and programs should</w:t>
      </w:r>
    </w:p>
    <w:p w14:paraId="4F85238B" w14:textId="05B08D47" w:rsidR="00CA0FBE" w:rsidRDefault="00CA0FBE" w:rsidP="00CA0FBE">
      <w:pPr>
        <w:pStyle w:val="ListNumber3"/>
        <w:rPr>
          <w:lang w:eastAsia="ja-JP"/>
        </w:rPr>
      </w:pPr>
      <w:r>
        <w:rPr>
          <w:lang w:eastAsia="ja-JP"/>
        </w:rPr>
        <w:t xml:space="preserve">recognise the important role of farming businesses as the nation’s food and fibre producers, </w:t>
      </w:r>
      <w:r w:rsidR="00414321">
        <w:rPr>
          <w:lang w:eastAsia="ja-JP"/>
        </w:rPr>
        <w:t xml:space="preserve">and </w:t>
      </w:r>
      <w:r>
        <w:rPr>
          <w:lang w:eastAsia="ja-JP"/>
        </w:rPr>
        <w:t xml:space="preserve">export revenue earners, </w:t>
      </w:r>
      <w:r w:rsidR="00394E87">
        <w:rPr>
          <w:lang w:eastAsia="ja-JP"/>
        </w:rPr>
        <w:t xml:space="preserve">which are </w:t>
      </w:r>
      <w:r>
        <w:rPr>
          <w:lang w:eastAsia="ja-JP"/>
        </w:rPr>
        <w:t>vital to strong and cohesive rural communities</w:t>
      </w:r>
    </w:p>
    <w:p w14:paraId="41B17692" w14:textId="61288913" w:rsidR="00CA0FBE" w:rsidRDefault="00CA0FBE" w:rsidP="00CA0FBE">
      <w:pPr>
        <w:pStyle w:val="ListNumber3"/>
        <w:rPr>
          <w:lang w:eastAsia="ja-JP"/>
        </w:rPr>
      </w:pPr>
      <w:r>
        <w:rPr>
          <w:lang w:eastAsia="ja-JP"/>
        </w:rPr>
        <w:t>recognise the importance of maintaining and supporting the natural resource base and safeguarding animal welfare</w:t>
      </w:r>
    </w:p>
    <w:p w14:paraId="501E882B" w14:textId="6B1F8527" w:rsidR="00CA0FBE" w:rsidRDefault="00CA0FBE" w:rsidP="00CA0FBE">
      <w:pPr>
        <w:pStyle w:val="ListNumber3"/>
        <w:rPr>
          <w:lang w:eastAsia="ja-JP"/>
        </w:rPr>
      </w:pPr>
      <w:r>
        <w:rPr>
          <w:lang w:eastAsia="ja-JP"/>
        </w:rPr>
        <w:t>align with intersecting policies and programs wherever practicable, including but not limited to those related to climate, water, soils, and biodiversity</w:t>
      </w:r>
    </w:p>
    <w:p w14:paraId="3E5ABE40" w14:textId="33440E8C" w:rsidR="00CA0FBE" w:rsidRDefault="00CA0FBE" w:rsidP="00CA0FBE">
      <w:pPr>
        <w:pStyle w:val="ListNumber3"/>
        <w:rPr>
          <w:lang w:eastAsia="ja-JP"/>
        </w:rPr>
      </w:pPr>
      <w:r>
        <w:rPr>
          <w:lang w:eastAsia="ja-JP"/>
        </w:rPr>
        <w:t>occur where there is a clear role for government and deliver a public benefit</w:t>
      </w:r>
    </w:p>
    <w:p w14:paraId="3A4174EB" w14:textId="54EEE18E" w:rsidR="00CA0FBE" w:rsidRDefault="00CA0FBE" w:rsidP="00CA0FBE">
      <w:pPr>
        <w:pStyle w:val="ListNumber3"/>
        <w:rPr>
          <w:lang w:eastAsia="ja-JP"/>
        </w:rPr>
      </w:pPr>
      <w:r>
        <w:rPr>
          <w:lang w:eastAsia="ja-JP"/>
        </w:rPr>
        <w:lastRenderedPageBreak/>
        <w:t>consider the interests of First Nations people and communities</w:t>
      </w:r>
    </w:p>
    <w:p w14:paraId="7C2F22C6" w14:textId="6B4FF67A" w:rsidR="00CA0FBE" w:rsidRDefault="00CA0FBE" w:rsidP="00CA0FBE">
      <w:pPr>
        <w:pStyle w:val="ListNumber3"/>
        <w:rPr>
          <w:lang w:eastAsia="ja-JP"/>
        </w:rPr>
      </w:pPr>
      <w:r>
        <w:rPr>
          <w:lang w:eastAsia="ja-JP"/>
        </w:rPr>
        <w:t>be planned and delivered with non-party stakeholders, as appropriate to context and place</w:t>
      </w:r>
    </w:p>
    <w:p w14:paraId="37560A1B" w14:textId="74F30283" w:rsidR="00CA0FBE" w:rsidRPr="00EF2B3F" w:rsidRDefault="00CA0FBE" w:rsidP="00EF2B3F">
      <w:pPr>
        <w:pStyle w:val="ListNumber3"/>
      </w:pPr>
      <w:r w:rsidRPr="00EF2B3F">
        <w:t>be streamlined and efficient to deliver timely assistance that is responsive to peoples’ experiences as end-users</w:t>
      </w:r>
      <w:r w:rsidR="003E3E37" w:rsidRPr="00EF2B3F">
        <w:t>.</w:t>
      </w:r>
    </w:p>
    <w:p w14:paraId="7ACE712A" w14:textId="26B25160" w:rsidR="00CA0FBE" w:rsidRDefault="00CA0FBE" w:rsidP="00CA0FBE">
      <w:pPr>
        <w:pStyle w:val="ListNumber2"/>
        <w:rPr>
          <w:lang w:eastAsia="ja-JP"/>
        </w:rPr>
      </w:pPr>
      <w:r>
        <w:rPr>
          <w:lang w:eastAsia="ja-JP"/>
        </w:rPr>
        <w:t>Parties and non-party stakeholders have a shared responsibility to work together for a holistic and integrated approach to drought efforts.</w:t>
      </w:r>
    </w:p>
    <w:p w14:paraId="5CD863C6" w14:textId="21E89A35" w:rsidR="00CA0FBE" w:rsidRDefault="00CA0FBE" w:rsidP="00CA0FBE">
      <w:pPr>
        <w:pStyle w:val="ListNumber2"/>
        <w:rPr>
          <w:lang w:eastAsia="ja-JP"/>
        </w:rPr>
      </w:pPr>
      <w:r>
        <w:rPr>
          <w:lang w:eastAsia="ja-JP"/>
        </w:rPr>
        <w:t>Parties should collaborate proactively when planning drought preparedness policies and programs.</w:t>
      </w:r>
    </w:p>
    <w:p w14:paraId="74788528" w14:textId="7370B4EC" w:rsidR="00CA0FBE" w:rsidRDefault="00CA0FBE" w:rsidP="00890542">
      <w:pPr>
        <w:pStyle w:val="ListNumber2"/>
        <w:rPr>
          <w:lang w:eastAsia="ja-JP"/>
        </w:rPr>
      </w:pPr>
      <w:r>
        <w:rPr>
          <w:lang w:eastAsia="ja-JP"/>
        </w:rPr>
        <w:t>Parties should work towards improved and sustained coordination of in-drought response efforts, which avoids duplication and enables links with other measures or between service providers to best serve the interests and needs of end-users.</w:t>
      </w:r>
    </w:p>
    <w:p w14:paraId="4E9954C1" w14:textId="13AC16CC" w:rsidR="00CA0FBE" w:rsidRDefault="00CA0FBE" w:rsidP="00CA0FBE">
      <w:pPr>
        <w:pStyle w:val="ListNumber2"/>
        <w:rPr>
          <w:lang w:eastAsia="ja-JP"/>
        </w:rPr>
      </w:pPr>
      <w:r>
        <w:rPr>
          <w:lang w:eastAsia="ja-JP"/>
        </w:rPr>
        <w:t xml:space="preserve">Decisions by </w:t>
      </w:r>
      <w:r w:rsidR="00394E87">
        <w:rPr>
          <w:lang w:eastAsia="ja-JP"/>
        </w:rPr>
        <w:t xml:space="preserve">parties </w:t>
      </w:r>
      <w:r>
        <w:rPr>
          <w:lang w:eastAsia="ja-JP"/>
        </w:rPr>
        <w:t xml:space="preserve">should seek to avoid creating adverse </w:t>
      </w:r>
      <w:r w:rsidR="002E574E">
        <w:rPr>
          <w:lang w:eastAsia="ja-JP"/>
        </w:rPr>
        <w:t xml:space="preserve">outcomes </w:t>
      </w:r>
      <w:r>
        <w:rPr>
          <w:lang w:eastAsia="ja-JP"/>
        </w:rPr>
        <w:t>for stakeholders, including those in other jurisdictions.</w:t>
      </w:r>
    </w:p>
    <w:p w14:paraId="647A747A" w14:textId="1D31C437" w:rsidR="00CA0FBE" w:rsidRDefault="00CA0FBE" w:rsidP="00CA0FBE">
      <w:pPr>
        <w:pStyle w:val="ListNumber2"/>
        <w:rPr>
          <w:lang w:eastAsia="ja-JP"/>
        </w:rPr>
      </w:pPr>
      <w:r>
        <w:rPr>
          <w:lang w:eastAsia="ja-JP"/>
        </w:rPr>
        <w:t xml:space="preserve">Support needs are highly </w:t>
      </w:r>
      <w:r w:rsidR="00492C69">
        <w:rPr>
          <w:lang w:eastAsia="ja-JP"/>
        </w:rPr>
        <w:t>variable,</w:t>
      </w:r>
      <w:r>
        <w:rPr>
          <w:lang w:eastAsia="ja-JP"/>
        </w:rPr>
        <w:t xml:space="preserve"> and </w:t>
      </w:r>
      <w:r w:rsidR="00DC32DC" w:rsidRPr="00E31B23">
        <w:rPr>
          <w:lang w:eastAsia="ja-JP"/>
        </w:rPr>
        <w:t>eligibility</w:t>
      </w:r>
      <w:r w:rsidR="00DC32DC">
        <w:rPr>
          <w:lang w:eastAsia="ja-JP"/>
        </w:rPr>
        <w:t xml:space="preserve"> </w:t>
      </w:r>
      <w:r w:rsidR="00462527">
        <w:rPr>
          <w:lang w:eastAsia="ja-JP"/>
        </w:rPr>
        <w:t>should be based on need, not activated by</w:t>
      </w:r>
      <w:r w:rsidR="00E31B23">
        <w:rPr>
          <w:lang w:eastAsia="ja-JP"/>
        </w:rPr>
        <w:t xml:space="preserve"> </w:t>
      </w:r>
      <w:r>
        <w:rPr>
          <w:lang w:eastAsia="ja-JP"/>
        </w:rPr>
        <w:t>drought declarations.</w:t>
      </w:r>
    </w:p>
    <w:p w14:paraId="13668D8A" w14:textId="22F5848F" w:rsidR="00CA0FBE" w:rsidRDefault="00CA0FBE">
      <w:pPr>
        <w:pStyle w:val="Heading3"/>
        <w:numPr>
          <w:ilvl w:val="0"/>
          <w:numId w:val="0"/>
        </w:numPr>
        <w:rPr>
          <w:lang w:eastAsia="ja-JP"/>
        </w:rPr>
      </w:pPr>
      <w:bookmarkStart w:id="29" w:name="_Toc119069858"/>
      <w:r>
        <w:rPr>
          <w:lang w:eastAsia="ja-JP"/>
        </w:rPr>
        <w:t>Key issue 11</w:t>
      </w:r>
      <w:r w:rsidR="00BC2C0A">
        <w:rPr>
          <w:lang w:eastAsia="ja-JP"/>
        </w:rPr>
        <w:t>:</w:t>
      </w:r>
      <w:r w:rsidR="00EE0F4D">
        <w:rPr>
          <w:lang w:eastAsia="ja-JP"/>
        </w:rPr>
        <w:t xml:space="preserve"> </w:t>
      </w:r>
      <w:r>
        <w:rPr>
          <w:lang w:eastAsia="ja-JP"/>
        </w:rPr>
        <w:t xml:space="preserve">Monitoring, </w:t>
      </w:r>
      <w:r w:rsidR="00E41ADD">
        <w:rPr>
          <w:lang w:eastAsia="ja-JP"/>
        </w:rPr>
        <w:t>e</w:t>
      </w:r>
      <w:r>
        <w:rPr>
          <w:lang w:eastAsia="ja-JP"/>
        </w:rPr>
        <w:t xml:space="preserve">valuation, </w:t>
      </w:r>
      <w:r w:rsidR="00E41ADD">
        <w:rPr>
          <w:lang w:eastAsia="ja-JP"/>
        </w:rPr>
        <w:t>l</w:t>
      </w:r>
      <w:r>
        <w:rPr>
          <w:lang w:eastAsia="ja-JP"/>
        </w:rPr>
        <w:t xml:space="preserve">earning and </w:t>
      </w:r>
      <w:r w:rsidR="00E41ADD">
        <w:rPr>
          <w:lang w:eastAsia="ja-JP"/>
        </w:rPr>
        <w:t>r</w:t>
      </w:r>
      <w:r>
        <w:rPr>
          <w:lang w:eastAsia="ja-JP"/>
        </w:rPr>
        <w:t>eporting</w:t>
      </w:r>
      <w:bookmarkEnd w:id="29"/>
    </w:p>
    <w:p w14:paraId="43F8AB49" w14:textId="4A4E9A1E" w:rsidR="00CA0FBE" w:rsidRDefault="00CA0FBE" w:rsidP="00CA0FBE">
      <w:pPr>
        <w:rPr>
          <w:lang w:eastAsia="ja-JP"/>
        </w:rPr>
      </w:pPr>
      <w:r w:rsidRPr="00CA0FBE">
        <w:rPr>
          <w:lang w:eastAsia="ja-JP"/>
        </w:rPr>
        <w:t xml:space="preserve">The monitoring and reporting arrangements for the NDA were developed retrospectively, after the NDA was signed. They are detailed and time consuming, and do not deliver proportional value to the parties or stakeholders. They rely on </w:t>
      </w:r>
      <w:r w:rsidR="002E574E">
        <w:rPr>
          <w:lang w:eastAsia="ja-JP"/>
        </w:rPr>
        <w:t xml:space="preserve">subjective </w:t>
      </w:r>
      <w:r w:rsidRPr="00CA0FBE">
        <w:rPr>
          <w:lang w:eastAsia="ja-JP"/>
        </w:rPr>
        <w:t>self-assessment tools. The logic is questionable as it is not possible to attribute many of the metrics</w:t>
      </w:r>
      <w:r w:rsidR="007A4C06">
        <w:rPr>
          <w:lang w:eastAsia="ja-JP"/>
        </w:rPr>
        <w:t xml:space="preserve"> or </w:t>
      </w:r>
      <w:r w:rsidRPr="00CA0FBE">
        <w:rPr>
          <w:lang w:eastAsia="ja-JP"/>
        </w:rPr>
        <w:t>data to the NDA itself. The time-lag for release of the report (January</w:t>
      </w:r>
      <w:r w:rsidR="007A4C06">
        <w:rPr>
          <w:lang w:eastAsia="ja-JP"/>
        </w:rPr>
        <w:t xml:space="preserve"> or </w:t>
      </w:r>
      <w:r w:rsidRPr="00CA0FBE">
        <w:rPr>
          <w:lang w:eastAsia="ja-JP"/>
        </w:rPr>
        <w:t xml:space="preserve">February of the year following the </w:t>
      </w:r>
      <w:r w:rsidR="00FB33F5">
        <w:rPr>
          <w:lang w:eastAsia="ja-JP"/>
        </w:rPr>
        <w:t xml:space="preserve">previous financial year) </w:t>
      </w:r>
      <w:r w:rsidRPr="00CA0FBE">
        <w:rPr>
          <w:lang w:eastAsia="ja-JP"/>
        </w:rPr>
        <w:t xml:space="preserve">means the information is shared too late to provide real-time value. The current arrangements have been criticised by some stakeholders as not realising an opportunity to evaluate the on-ground impact of collective drought programs or initiatives. There is </w:t>
      </w:r>
      <w:r w:rsidR="007D0E00">
        <w:rPr>
          <w:lang w:eastAsia="ja-JP"/>
        </w:rPr>
        <w:t xml:space="preserve">opportunity to </w:t>
      </w:r>
      <w:r w:rsidRPr="00CA0FBE">
        <w:rPr>
          <w:lang w:eastAsia="ja-JP"/>
        </w:rPr>
        <w:t>reduc</w:t>
      </w:r>
      <w:r w:rsidR="007D0E00">
        <w:rPr>
          <w:lang w:eastAsia="ja-JP"/>
        </w:rPr>
        <w:t>e</w:t>
      </w:r>
      <w:r w:rsidRPr="00CA0FBE">
        <w:rPr>
          <w:lang w:eastAsia="ja-JP"/>
        </w:rPr>
        <w:t xml:space="preserve"> administrative burden and strengthen reporting to be of mutual benefit to the parties and </w:t>
      </w:r>
      <w:r w:rsidR="007D0E00">
        <w:rPr>
          <w:lang w:eastAsia="ja-JP"/>
        </w:rPr>
        <w:t xml:space="preserve">non-party </w:t>
      </w:r>
      <w:r w:rsidRPr="00CA0FBE">
        <w:rPr>
          <w:lang w:eastAsia="ja-JP"/>
        </w:rPr>
        <w:t>stakeholders more broadly</w:t>
      </w:r>
      <w:r>
        <w:rPr>
          <w:lang w:eastAsia="ja-JP"/>
        </w:rPr>
        <w:t>.</w:t>
      </w:r>
    </w:p>
    <w:p w14:paraId="4CF1FAAE" w14:textId="05D3E70B" w:rsidR="00CA0FBE" w:rsidRDefault="00CA0FBE" w:rsidP="00CA0FBE">
      <w:pPr>
        <w:pStyle w:val="Heading4"/>
        <w:numPr>
          <w:ilvl w:val="0"/>
          <w:numId w:val="0"/>
        </w:numPr>
        <w:ind w:left="964" w:hanging="964"/>
        <w:rPr>
          <w:lang w:eastAsia="ja-JP"/>
        </w:rPr>
      </w:pPr>
      <w:r>
        <w:rPr>
          <w:lang w:eastAsia="ja-JP"/>
        </w:rPr>
        <w:t>Recommendations</w:t>
      </w:r>
    </w:p>
    <w:p w14:paraId="6C4D4369" w14:textId="45D9C17D" w:rsidR="00CA0FBE" w:rsidRDefault="00CA0FBE" w:rsidP="00CA0FBE">
      <w:pPr>
        <w:pStyle w:val="ListNumber"/>
        <w:rPr>
          <w:lang w:eastAsia="ja-JP"/>
        </w:rPr>
      </w:pPr>
      <w:r>
        <w:rPr>
          <w:lang w:eastAsia="ja-JP"/>
        </w:rPr>
        <w:t>Continue to provide annual reporting through AGSOC and the AMM.</w:t>
      </w:r>
    </w:p>
    <w:p w14:paraId="6B2002B6" w14:textId="7B1A907C" w:rsidR="00CA0FBE" w:rsidRDefault="00CA0FBE" w:rsidP="00CA0FBE">
      <w:pPr>
        <w:pStyle w:val="ListNumber"/>
        <w:rPr>
          <w:lang w:eastAsia="ja-JP"/>
        </w:rPr>
      </w:pPr>
      <w:r>
        <w:rPr>
          <w:lang w:eastAsia="ja-JP"/>
        </w:rPr>
        <w:t xml:space="preserve">Establish a </w:t>
      </w:r>
      <w:r w:rsidR="00D47D27">
        <w:rPr>
          <w:lang w:eastAsia="ja-JP"/>
        </w:rPr>
        <w:t xml:space="preserve">monitoring, evaluation, learning and </w:t>
      </w:r>
      <w:r>
        <w:rPr>
          <w:lang w:eastAsia="ja-JP"/>
        </w:rPr>
        <w:t>reporting framework</w:t>
      </w:r>
    </w:p>
    <w:p w14:paraId="4614EBCA" w14:textId="1D6DE2C5" w:rsidR="00CA0FBE" w:rsidRDefault="00CA0FBE" w:rsidP="00CA0FBE">
      <w:pPr>
        <w:pStyle w:val="ListNumber2"/>
        <w:rPr>
          <w:lang w:eastAsia="ja-JP"/>
        </w:rPr>
      </w:pPr>
      <w:r>
        <w:rPr>
          <w:lang w:eastAsia="ja-JP"/>
        </w:rPr>
        <w:t>at the same time as drafting the agreement itself</w:t>
      </w:r>
    </w:p>
    <w:p w14:paraId="2BA67EF9" w14:textId="78D38DC7" w:rsidR="00CA0FBE" w:rsidRDefault="00CA0FBE" w:rsidP="00CA0FBE">
      <w:pPr>
        <w:pStyle w:val="ListNumber2"/>
        <w:rPr>
          <w:lang w:eastAsia="ja-JP"/>
        </w:rPr>
      </w:pPr>
      <w:r>
        <w:rPr>
          <w:lang w:eastAsia="ja-JP"/>
        </w:rPr>
        <w:t>which is fit</w:t>
      </w:r>
      <w:r w:rsidR="00E15D73">
        <w:rPr>
          <w:lang w:eastAsia="ja-JP"/>
        </w:rPr>
        <w:t>-</w:t>
      </w:r>
      <w:r>
        <w:rPr>
          <w:lang w:eastAsia="ja-JP"/>
        </w:rPr>
        <w:t>for</w:t>
      </w:r>
      <w:r w:rsidR="00E15D73">
        <w:rPr>
          <w:lang w:eastAsia="ja-JP"/>
        </w:rPr>
        <w:t>-</w:t>
      </w:r>
      <w:r>
        <w:rPr>
          <w:lang w:eastAsia="ja-JP"/>
        </w:rPr>
        <w:t>purpose for the NDA as an intergovernmental agreement, as distinct from a program</w:t>
      </w:r>
    </w:p>
    <w:p w14:paraId="2D61E116" w14:textId="1BB5C839" w:rsidR="00CA0FBE" w:rsidRDefault="00CA0FBE" w:rsidP="00CA0FBE">
      <w:pPr>
        <w:pStyle w:val="ListNumber2"/>
        <w:rPr>
          <w:lang w:eastAsia="ja-JP"/>
        </w:rPr>
      </w:pPr>
      <w:r>
        <w:rPr>
          <w:lang w:eastAsia="ja-JP"/>
        </w:rPr>
        <w:t>which includes a focus not just on monitoring and reporting, but also on learning</w:t>
      </w:r>
    </w:p>
    <w:p w14:paraId="1F04DF89" w14:textId="153AD6D1" w:rsidR="00CA0FBE" w:rsidRDefault="00CA0FBE" w:rsidP="00CA0FBE">
      <w:pPr>
        <w:pStyle w:val="ListNumber2"/>
        <w:rPr>
          <w:lang w:eastAsia="ja-JP"/>
        </w:rPr>
      </w:pPr>
      <w:r>
        <w:rPr>
          <w:lang w:eastAsia="ja-JP"/>
        </w:rPr>
        <w:t>which includes a forward</w:t>
      </w:r>
      <w:r w:rsidR="00E15D73">
        <w:rPr>
          <w:lang w:eastAsia="ja-JP"/>
        </w:rPr>
        <w:t>-</w:t>
      </w:r>
      <w:r>
        <w:rPr>
          <w:lang w:eastAsia="ja-JP"/>
        </w:rPr>
        <w:t>looking component about future priorities</w:t>
      </w:r>
    </w:p>
    <w:p w14:paraId="19005CBE" w14:textId="5343BAA9" w:rsidR="00CA0FBE" w:rsidRDefault="00CA0FBE" w:rsidP="00CA0FBE">
      <w:pPr>
        <w:pStyle w:val="ListNumber2"/>
        <w:rPr>
          <w:lang w:eastAsia="ja-JP"/>
        </w:rPr>
      </w:pPr>
      <w:r>
        <w:rPr>
          <w:lang w:eastAsia="ja-JP"/>
        </w:rPr>
        <w:t>which considers timing of reporting to better align with AMM schedules</w:t>
      </w:r>
      <w:r w:rsidR="003E3E37">
        <w:rPr>
          <w:lang w:eastAsia="ja-JP"/>
        </w:rPr>
        <w:t>.</w:t>
      </w:r>
    </w:p>
    <w:p w14:paraId="3DF2B3EC" w14:textId="75AF83C1" w:rsidR="00CA0FBE" w:rsidRDefault="00CA0FBE" w:rsidP="00CA0FBE">
      <w:pPr>
        <w:pStyle w:val="ListNumber"/>
        <w:rPr>
          <w:lang w:eastAsia="ja-JP"/>
        </w:rPr>
      </w:pPr>
      <w:r>
        <w:rPr>
          <w:lang w:eastAsia="ja-JP"/>
        </w:rPr>
        <w:t xml:space="preserve">Future efforts should not seek to measure or evaluate the collective impact of drought initiatives. While well intentioned, such efforts would prove difficult and costly to undertake </w:t>
      </w:r>
      <w:r w:rsidR="007D0E00">
        <w:rPr>
          <w:lang w:eastAsia="ja-JP"/>
        </w:rPr>
        <w:t xml:space="preserve">and </w:t>
      </w:r>
      <w:r w:rsidR="007D0E00">
        <w:rPr>
          <w:lang w:eastAsia="ja-JP"/>
        </w:rPr>
        <w:lastRenderedPageBreak/>
        <w:t xml:space="preserve">would be unlikely to realise </w:t>
      </w:r>
      <w:r>
        <w:rPr>
          <w:lang w:eastAsia="ja-JP"/>
        </w:rPr>
        <w:t>proportionate benefits. The importance of evaluation is key to continuous improvement, but more targeted and effective efforts should be prioritised</w:t>
      </w:r>
      <w:r w:rsidR="00754291">
        <w:rPr>
          <w:lang w:eastAsia="ja-JP"/>
        </w:rPr>
        <w:t>.</w:t>
      </w:r>
    </w:p>
    <w:p w14:paraId="22ED48D7" w14:textId="4CF2867F" w:rsidR="00CA0FBE" w:rsidRDefault="00CA0FBE" w:rsidP="00CA0FBE">
      <w:pPr>
        <w:pStyle w:val="ListNumber"/>
        <w:rPr>
          <w:lang w:eastAsia="ja-JP"/>
        </w:rPr>
      </w:pPr>
      <w:r>
        <w:rPr>
          <w:lang w:eastAsia="ja-JP"/>
        </w:rPr>
        <w:t>Include a joint responsibility which commits all jurisdictions to undertake appropriate monitoring and evaluation for all relevant initiatives, and to make the replicable learnings from these public.</w:t>
      </w:r>
    </w:p>
    <w:p w14:paraId="04102D5C" w14:textId="4B58CACE" w:rsidR="00CA0FBE" w:rsidRDefault="00CA0FBE" w:rsidP="00CA0FBE">
      <w:pPr>
        <w:pStyle w:val="ListNumber"/>
        <w:rPr>
          <w:lang w:eastAsia="ja-JP"/>
        </w:rPr>
      </w:pPr>
      <w:r>
        <w:rPr>
          <w:lang w:eastAsia="ja-JP"/>
        </w:rPr>
        <w:t xml:space="preserve">Utilise the interjurisdictional coordination mechanism (see recommendation </w:t>
      </w:r>
      <w:r w:rsidR="003A1BE8">
        <w:rPr>
          <w:lang w:eastAsia="ja-JP"/>
        </w:rPr>
        <w:t>8</w:t>
      </w:r>
      <w:r>
        <w:rPr>
          <w:lang w:eastAsia="ja-JP"/>
        </w:rPr>
        <w:t>) to progress efforts that can contribute to improved monitoring, evaluation and learning over time, such as:</w:t>
      </w:r>
    </w:p>
    <w:p w14:paraId="7BA8E04F" w14:textId="10EC59FD" w:rsidR="00CA0FBE" w:rsidRDefault="00CA0FBE" w:rsidP="00CA0FBE">
      <w:pPr>
        <w:pStyle w:val="ListNumber2"/>
        <w:rPr>
          <w:lang w:eastAsia="ja-JP"/>
        </w:rPr>
      </w:pPr>
      <w:r>
        <w:rPr>
          <w:lang w:eastAsia="ja-JP"/>
        </w:rPr>
        <w:t>prioritise key targeted evaluation pieces to progress together (for example, how to understand and measure progress in drought resilience)</w:t>
      </w:r>
    </w:p>
    <w:p w14:paraId="18B23841" w14:textId="1AB37878" w:rsidR="00CA0FBE" w:rsidRDefault="00CA0FBE" w:rsidP="00CA0FBE">
      <w:pPr>
        <w:pStyle w:val="ListNumber2"/>
        <w:rPr>
          <w:lang w:eastAsia="ja-JP"/>
        </w:rPr>
      </w:pPr>
      <w:r>
        <w:rPr>
          <w:lang w:eastAsia="ja-JP"/>
        </w:rPr>
        <w:t>explore improved data capabilities for monitoring, evaluation, learning and reporting purposes (including use of data from industry and the financ</w:t>
      </w:r>
      <w:r w:rsidR="003B6798">
        <w:rPr>
          <w:lang w:eastAsia="ja-JP"/>
        </w:rPr>
        <w:t>ial</w:t>
      </w:r>
      <w:r>
        <w:rPr>
          <w:lang w:eastAsia="ja-JP"/>
        </w:rPr>
        <w:t xml:space="preserve"> sector)</w:t>
      </w:r>
    </w:p>
    <w:p w14:paraId="0824CB57" w14:textId="2233AF04" w:rsidR="00CA0FBE" w:rsidRDefault="00CA0FBE" w:rsidP="00CA0FBE">
      <w:pPr>
        <w:pStyle w:val="ListNumber2"/>
        <w:rPr>
          <w:lang w:eastAsia="ja-JP"/>
        </w:rPr>
      </w:pPr>
      <w:r>
        <w:rPr>
          <w:lang w:eastAsia="ja-JP"/>
        </w:rPr>
        <w:t xml:space="preserve">consider options to better facilitate sharing between parties, particularly as it relates to real-time information and </w:t>
      </w:r>
      <w:r w:rsidR="007D0E00">
        <w:rPr>
          <w:lang w:eastAsia="ja-JP"/>
        </w:rPr>
        <w:t xml:space="preserve">lessons </w:t>
      </w:r>
      <w:r>
        <w:rPr>
          <w:lang w:eastAsia="ja-JP"/>
        </w:rPr>
        <w:t>and evidence to support future policy and program design.</w:t>
      </w:r>
    </w:p>
    <w:p w14:paraId="06998527" w14:textId="181B9C25" w:rsidR="00CA0FBE" w:rsidRDefault="00CA0FBE" w:rsidP="00CA0FBE">
      <w:pPr>
        <w:pStyle w:val="ListNumber"/>
        <w:rPr>
          <w:lang w:eastAsia="ja-JP"/>
        </w:rPr>
      </w:pPr>
      <w:r>
        <w:rPr>
          <w:lang w:eastAsia="ja-JP"/>
        </w:rPr>
        <w:t>The new agreement should retain the requirement for a review of the NDA to commence at least 2 years prior to its expiry date.</w:t>
      </w:r>
    </w:p>
    <w:p w14:paraId="1B26A8CF" w14:textId="3FEB1E6B" w:rsidR="00CA0FBE" w:rsidRDefault="00CA0FBE" w:rsidP="00CA0FBE">
      <w:pPr>
        <w:pStyle w:val="Heading3"/>
        <w:numPr>
          <w:ilvl w:val="0"/>
          <w:numId w:val="0"/>
        </w:numPr>
        <w:ind w:left="964" w:hanging="964"/>
        <w:rPr>
          <w:lang w:eastAsia="ja-JP"/>
        </w:rPr>
      </w:pPr>
      <w:bookmarkStart w:id="30" w:name="_Toc119069859"/>
      <w:r>
        <w:rPr>
          <w:lang w:eastAsia="ja-JP"/>
        </w:rPr>
        <w:t>Key issue 12</w:t>
      </w:r>
      <w:r w:rsidR="00BC2C0A">
        <w:rPr>
          <w:lang w:eastAsia="ja-JP"/>
        </w:rPr>
        <w:t>:</w:t>
      </w:r>
      <w:r w:rsidR="00EE0F4D">
        <w:rPr>
          <w:lang w:eastAsia="ja-JP"/>
        </w:rPr>
        <w:t xml:space="preserve"> </w:t>
      </w:r>
      <w:r>
        <w:rPr>
          <w:lang w:eastAsia="ja-JP"/>
        </w:rPr>
        <w:t>Readability</w:t>
      </w:r>
      <w:bookmarkEnd w:id="30"/>
    </w:p>
    <w:p w14:paraId="307D9867" w14:textId="43D39660" w:rsidR="00CA0FBE" w:rsidRDefault="007D0E00" w:rsidP="00CA0FBE">
      <w:pPr>
        <w:rPr>
          <w:lang w:eastAsia="ja-JP"/>
        </w:rPr>
      </w:pPr>
      <w:r>
        <w:rPr>
          <w:lang w:eastAsia="ja-JP"/>
        </w:rPr>
        <w:t>T</w:t>
      </w:r>
      <w:r w:rsidR="00CA0FBE" w:rsidRPr="00CA0FBE">
        <w:rPr>
          <w:lang w:eastAsia="ja-JP"/>
        </w:rPr>
        <w:t>he NDA could be easier to navigate and digest. There is duplication within the document, some confusion in the hierarchy and logic, and there is unnecessary complexity in some of the language and syntax. The independent technical review of the document found that the structure, format and narrative of the NDA is not effective in creating a strong narrative or communicating in a way that would be accessible to stakeholders and the community.</w:t>
      </w:r>
    </w:p>
    <w:p w14:paraId="76BE4916" w14:textId="37F277F9" w:rsidR="00CA0FBE" w:rsidRDefault="00CA0FBE" w:rsidP="00CA0FBE">
      <w:pPr>
        <w:pStyle w:val="Heading4"/>
        <w:numPr>
          <w:ilvl w:val="0"/>
          <w:numId w:val="0"/>
        </w:numPr>
        <w:ind w:left="964" w:hanging="964"/>
        <w:rPr>
          <w:lang w:eastAsia="ja-JP"/>
        </w:rPr>
      </w:pPr>
      <w:r>
        <w:rPr>
          <w:lang w:eastAsia="ja-JP"/>
        </w:rPr>
        <w:t>Recommendation</w:t>
      </w:r>
    </w:p>
    <w:p w14:paraId="33124F22" w14:textId="4B7BC995" w:rsidR="00CA0FBE" w:rsidRDefault="00CA0FBE" w:rsidP="00CA0FBE">
      <w:pPr>
        <w:pStyle w:val="ListNumber"/>
        <w:rPr>
          <w:lang w:eastAsia="ja-JP"/>
        </w:rPr>
      </w:pPr>
      <w:r>
        <w:rPr>
          <w:lang w:eastAsia="ja-JP"/>
        </w:rPr>
        <w:t>An editorial approach should be taken to the new agreement to make sure that there is not duplication between different sections and that readability and useability of the agreement as a whole is maximised. This will assist with comprehension and translation</w:t>
      </w:r>
      <w:r w:rsidR="00523F2D">
        <w:rPr>
          <w:lang w:eastAsia="ja-JP"/>
        </w:rPr>
        <w:t xml:space="preserve"> of the agreement</w:t>
      </w:r>
      <w:r>
        <w:rPr>
          <w:lang w:eastAsia="ja-JP"/>
        </w:rPr>
        <w:t xml:space="preserve"> into action.</w:t>
      </w:r>
    </w:p>
    <w:p w14:paraId="2AA31922" w14:textId="565DF248" w:rsidR="00CA0FBE" w:rsidRDefault="00CA0FBE" w:rsidP="00CA0FBE">
      <w:pPr>
        <w:pStyle w:val="ListNumber"/>
        <w:rPr>
          <w:lang w:eastAsia="ja-JP"/>
        </w:rPr>
      </w:pPr>
      <w:r>
        <w:rPr>
          <w:lang w:eastAsia="ja-JP"/>
        </w:rPr>
        <w:t>Attention should be given to strengthen the logic between objectives and outcomes, and ensuring that the objectives and outcomes align with the purpose of the NDA as an intergovernmental agreement.</w:t>
      </w:r>
    </w:p>
    <w:p w14:paraId="6C398BEA" w14:textId="18DEFD6B" w:rsidR="00CA0FBE" w:rsidRDefault="00CA0FBE">
      <w:pPr>
        <w:pStyle w:val="Heading2"/>
        <w:numPr>
          <w:ilvl w:val="0"/>
          <w:numId w:val="0"/>
        </w:numPr>
      </w:pPr>
      <w:r>
        <w:lastRenderedPageBreak/>
        <w:t>Table of</w:t>
      </w:r>
      <w:bookmarkStart w:id="31" w:name="_Toc119069860"/>
      <w:r>
        <w:t xml:space="preserve"> </w:t>
      </w:r>
      <w:r w:rsidR="00E41ADD">
        <w:t>r</w:t>
      </w:r>
      <w:r>
        <w:t>ecommendations</w:t>
      </w:r>
      <w:bookmarkEnd w:id="31"/>
    </w:p>
    <w:p w14:paraId="5C644912" w14:textId="3AD0DFCF" w:rsidR="00A23A48" w:rsidRDefault="00FD385E" w:rsidP="00DE6E14">
      <w:pPr>
        <w:pStyle w:val="Caption"/>
      </w:pPr>
      <w:bookmarkStart w:id="32" w:name="_Toc119069861"/>
      <w:r>
        <w:t xml:space="preserve">Table </w:t>
      </w:r>
      <w:fldSimple w:instr=" SEQ Table \* ARABIC ">
        <w:r w:rsidR="008E3158">
          <w:rPr>
            <w:noProof/>
          </w:rPr>
          <w:t>1</w:t>
        </w:r>
      </w:fldSimple>
      <w:r w:rsidR="00BC2468">
        <w:rPr>
          <w:noProof/>
        </w:rPr>
        <w:t xml:space="preserve"> Key </w:t>
      </w:r>
      <w:r w:rsidR="00580C26">
        <w:rPr>
          <w:noProof/>
        </w:rPr>
        <w:t>i</w:t>
      </w:r>
      <w:r w:rsidR="00BC2468">
        <w:rPr>
          <w:noProof/>
        </w:rPr>
        <w:t xml:space="preserve">ssues and </w:t>
      </w:r>
      <w:r w:rsidR="00580C26">
        <w:rPr>
          <w:noProof/>
        </w:rPr>
        <w:t>r</w:t>
      </w:r>
      <w:r w:rsidR="00BC2468">
        <w:rPr>
          <w:noProof/>
        </w:rPr>
        <w:t>ecommendations</w:t>
      </w:r>
      <w:bookmarkStart w:id="33" w:name="Title_1"/>
      <w:bookmarkEnd w:id="32"/>
      <w:bookmarkEnd w:id="33"/>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118"/>
        <w:gridCol w:w="5952"/>
      </w:tblGrid>
      <w:tr w:rsidR="0077032A" w:rsidRPr="0072782E" w14:paraId="41B64E95" w14:textId="77777777" w:rsidTr="0077032A">
        <w:trPr>
          <w:cantSplit/>
        </w:trPr>
        <w:tc>
          <w:tcPr>
            <w:tcW w:w="1719" w:type="pct"/>
          </w:tcPr>
          <w:p w14:paraId="3FF01124" w14:textId="11AEDAA6" w:rsidR="0077032A" w:rsidRPr="003028A1" w:rsidRDefault="0077032A" w:rsidP="00E15D73">
            <w:pPr>
              <w:pStyle w:val="TableText"/>
              <w:rPr>
                <w:rStyle w:val="Strong"/>
              </w:rPr>
            </w:pPr>
            <w:r>
              <w:rPr>
                <w:rStyle w:val="Strong"/>
              </w:rPr>
              <w:t>Key issues and recommendations</w:t>
            </w:r>
          </w:p>
        </w:tc>
        <w:tc>
          <w:tcPr>
            <w:tcW w:w="3281" w:type="pct"/>
          </w:tcPr>
          <w:p w14:paraId="77CE5596" w14:textId="17BCB9AC" w:rsidR="0077032A" w:rsidRPr="003028A1" w:rsidRDefault="0077032A" w:rsidP="00B040A3">
            <w:pPr>
              <w:pStyle w:val="TableText"/>
              <w:rPr>
                <w:rStyle w:val="Strong"/>
              </w:rPr>
            </w:pPr>
            <w:r>
              <w:rPr>
                <w:rStyle w:val="Strong"/>
              </w:rPr>
              <w:t>Recommendations in detail</w:t>
            </w:r>
          </w:p>
        </w:tc>
      </w:tr>
      <w:tr w:rsidR="00DE6E14" w:rsidRPr="0072782E" w14:paraId="4D465DFE" w14:textId="77777777" w:rsidTr="00DE6E14">
        <w:trPr>
          <w:cantSplit/>
        </w:trPr>
        <w:tc>
          <w:tcPr>
            <w:tcW w:w="1719" w:type="pct"/>
          </w:tcPr>
          <w:p w14:paraId="6781E661" w14:textId="511FF40C" w:rsidR="00DE6E14" w:rsidRPr="003028A1" w:rsidRDefault="00DE6E14" w:rsidP="00E15D73">
            <w:pPr>
              <w:pStyle w:val="TableText"/>
              <w:rPr>
                <w:rStyle w:val="Strong"/>
              </w:rPr>
            </w:pPr>
            <w:r>
              <w:rPr>
                <w:rStyle w:val="Strong"/>
              </w:rPr>
              <w:t>Key Issue 1</w:t>
            </w:r>
          </w:p>
        </w:tc>
        <w:tc>
          <w:tcPr>
            <w:tcW w:w="3281" w:type="pct"/>
          </w:tcPr>
          <w:p w14:paraId="7D700395" w14:textId="10B65FF3" w:rsidR="00DE6E14" w:rsidRPr="003028A1" w:rsidRDefault="00DE6E14" w:rsidP="00B040A3">
            <w:pPr>
              <w:pStyle w:val="TableText"/>
              <w:rPr>
                <w:rStyle w:val="Strong"/>
              </w:rPr>
            </w:pPr>
            <w:r>
              <w:rPr>
                <w:rStyle w:val="Strong"/>
              </w:rPr>
              <w:t>Purpose of the National Drought Agreement</w:t>
            </w:r>
          </w:p>
        </w:tc>
      </w:tr>
      <w:tr w:rsidR="00DE6E14" w:rsidRPr="0072782E" w14:paraId="56AC10DE" w14:textId="77777777" w:rsidTr="00DE6E14">
        <w:trPr>
          <w:cantSplit/>
        </w:trPr>
        <w:tc>
          <w:tcPr>
            <w:tcW w:w="1719" w:type="pct"/>
          </w:tcPr>
          <w:p w14:paraId="72AD620E" w14:textId="5FDC29F7" w:rsidR="00DE6E14" w:rsidRPr="00DE6E14" w:rsidRDefault="00DE6E14" w:rsidP="00E15D73">
            <w:pPr>
              <w:pStyle w:val="TableText"/>
              <w:rPr>
                <w:rStyle w:val="Strong"/>
                <w:b w:val="0"/>
                <w:bCs w:val="0"/>
              </w:rPr>
            </w:pPr>
            <w:r w:rsidRPr="00DE6E14">
              <w:rPr>
                <w:rStyle w:val="Strong"/>
                <w:b w:val="0"/>
                <w:bCs w:val="0"/>
              </w:rPr>
              <w:t>Recommendation 1</w:t>
            </w:r>
          </w:p>
        </w:tc>
        <w:tc>
          <w:tcPr>
            <w:tcW w:w="3281" w:type="pct"/>
          </w:tcPr>
          <w:p w14:paraId="0097B29E" w14:textId="0229A1BC" w:rsidR="00DE6E14" w:rsidRPr="00DE6E14" w:rsidRDefault="00DE6E14" w:rsidP="00B040A3">
            <w:pPr>
              <w:pStyle w:val="TableText"/>
              <w:rPr>
                <w:rStyle w:val="Strong"/>
                <w:b w:val="0"/>
                <w:bCs w:val="0"/>
              </w:rPr>
            </w:pPr>
            <w:r w:rsidRPr="00DE6E14">
              <w:rPr>
                <w:rStyle w:val="Strong"/>
                <w:b w:val="0"/>
                <w:bCs w:val="0"/>
              </w:rPr>
              <w:t>A new national agreement on drought should be developed and come into effect when the current NDA expires on 30 June 2024.</w:t>
            </w:r>
          </w:p>
        </w:tc>
      </w:tr>
      <w:tr w:rsidR="00DE6E14" w:rsidRPr="0072782E" w14:paraId="0FB5FE10" w14:textId="77777777" w:rsidTr="00DE6E14">
        <w:trPr>
          <w:cantSplit/>
        </w:trPr>
        <w:tc>
          <w:tcPr>
            <w:tcW w:w="1719" w:type="pct"/>
          </w:tcPr>
          <w:p w14:paraId="636451A4" w14:textId="660657DE" w:rsidR="00DE6E14" w:rsidRPr="003028A1" w:rsidRDefault="00DE6E14" w:rsidP="00E15D73">
            <w:pPr>
              <w:pStyle w:val="TableText"/>
              <w:rPr>
                <w:rStyle w:val="Strong"/>
              </w:rPr>
            </w:pPr>
            <w:r w:rsidRPr="00DE6E14">
              <w:rPr>
                <w:rStyle w:val="Strong"/>
                <w:b w:val="0"/>
                <w:bCs w:val="0"/>
              </w:rPr>
              <w:t xml:space="preserve">Recommendation </w:t>
            </w:r>
            <w:r>
              <w:rPr>
                <w:rStyle w:val="Strong"/>
                <w:b w:val="0"/>
                <w:bCs w:val="0"/>
              </w:rPr>
              <w:t>2</w:t>
            </w:r>
          </w:p>
        </w:tc>
        <w:tc>
          <w:tcPr>
            <w:tcW w:w="3281" w:type="pct"/>
          </w:tcPr>
          <w:p w14:paraId="1A9CE2D0" w14:textId="7ECE1AE9" w:rsidR="00DE6E14" w:rsidRPr="00DE6E14" w:rsidRDefault="00DE6E14" w:rsidP="00B040A3">
            <w:pPr>
              <w:pStyle w:val="TableText"/>
              <w:rPr>
                <w:rStyle w:val="Strong"/>
                <w:b w:val="0"/>
                <w:bCs w:val="0"/>
              </w:rPr>
            </w:pPr>
            <w:r w:rsidRPr="00DE6E14">
              <w:rPr>
                <w:rStyle w:val="Strong"/>
                <w:b w:val="0"/>
                <w:bCs w:val="0"/>
              </w:rPr>
              <w:t xml:space="preserve">The next agreement should continue to be an intergovernmental agreement, with signatories (parties) limited to the </w:t>
            </w:r>
            <w:r w:rsidR="0010661F" w:rsidRPr="0010661F">
              <w:rPr>
                <w:rStyle w:val="Strong"/>
                <w:b w:val="0"/>
                <w:bCs w:val="0"/>
              </w:rPr>
              <w:t>Australian Government</w:t>
            </w:r>
            <w:r w:rsidR="0010661F">
              <w:rPr>
                <w:rStyle w:val="Strong"/>
                <w:b w:val="0"/>
                <w:bCs w:val="0"/>
              </w:rPr>
              <w:t xml:space="preserve"> and</w:t>
            </w:r>
            <w:r w:rsidRPr="00DE6E14">
              <w:rPr>
                <w:rStyle w:val="Strong"/>
                <w:b w:val="0"/>
                <w:bCs w:val="0"/>
              </w:rPr>
              <w:t xml:space="preserve"> state and territory governments.</w:t>
            </w:r>
          </w:p>
        </w:tc>
      </w:tr>
      <w:tr w:rsidR="00A23A48" w:rsidRPr="0072782E" w14:paraId="3ADE1426" w14:textId="77777777" w:rsidTr="00DE6E14">
        <w:trPr>
          <w:cantSplit/>
        </w:trPr>
        <w:tc>
          <w:tcPr>
            <w:tcW w:w="1719" w:type="pct"/>
          </w:tcPr>
          <w:p w14:paraId="62432DB5" w14:textId="7A85DEDC" w:rsidR="00A23A48" w:rsidRPr="003028A1" w:rsidRDefault="00A23A48" w:rsidP="00E15D73">
            <w:pPr>
              <w:pStyle w:val="TableText"/>
              <w:rPr>
                <w:rStyle w:val="Strong"/>
              </w:rPr>
            </w:pPr>
            <w:r w:rsidRPr="003028A1">
              <w:rPr>
                <w:rStyle w:val="Strong"/>
              </w:rPr>
              <w:t>Key Issue 2</w:t>
            </w:r>
          </w:p>
        </w:tc>
        <w:tc>
          <w:tcPr>
            <w:tcW w:w="3281" w:type="pct"/>
          </w:tcPr>
          <w:p w14:paraId="463D5B22" w14:textId="35D54213" w:rsidR="00A23A48" w:rsidRPr="003028A1" w:rsidRDefault="00DE6E14" w:rsidP="00B040A3">
            <w:pPr>
              <w:pStyle w:val="TableText"/>
              <w:rPr>
                <w:rStyle w:val="Strong"/>
              </w:rPr>
            </w:pPr>
            <w:r>
              <w:rPr>
                <w:rStyle w:val="Strong"/>
              </w:rPr>
              <w:t>B</w:t>
            </w:r>
            <w:r w:rsidR="00A23A48" w:rsidRPr="003028A1">
              <w:rPr>
                <w:rStyle w:val="Strong"/>
              </w:rPr>
              <w:t>eneficiaries of the National Drought Agreement</w:t>
            </w:r>
          </w:p>
        </w:tc>
      </w:tr>
      <w:tr w:rsidR="00A23A48" w:rsidRPr="0072782E" w14:paraId="6AD6CD03" w14:textId="77777777" w:rsidTr="00DE6E14">
        <w:trPr>
          <w:cantSplit/>
        </w:trPr>
        <w:tc>
          <w:tcPr>
            <w:tcW w:w="1719" w:type="pct"/>
          </w:tcPr>
          <w:p w14:paraId="1F0D7037" w14:textId="76C163DE" w:rsidR="00A23A48" w:rsidRPr="00E15D73" w:rsidRDefault="00A23A48" w:rsidP="00E15D73">
            <w:pPr>
              <w:pStyle w:val="TableText"/>
            </w:pPr>
            <w:r w:rsidRPr="00E15D73">
              <w:t xml:space="preserve">Recommendation </w:t>
            </w:r>
            <w:r>
              <w:t>3</w:t>
            </w:r>
          </w:p>
        </w:tc>
        <w:tc>
          <w:tcPr>
            <w:tcW w:w="3281" w:type="pct"/>
          </w:tcPr>
          <w:p w14:paraId="6196A222" w14:textId="39D42651" w:rsidR="00A23A48" w:rsidRPr="00B040A3" w:rsidRDefault="00A23A48" w:rsidP="00B040A3">
            <w:pPr>
              <w:pStyle w:val="TableText"/>
            </w:pPr>
            <w:r>
              <w:t>The next agreement should retain its focus on delivering benefit for farm businesses, farming families and farming communities affected by drought.</w:t>
            </w:r>
          </w:p>
        </w:tc>
      </w:tr>
      <w:tr w:rsidR="00A23A48" w:rsidRPr="0072782E" w14:paraId="59465DDC" w14:textId="77777777" w:rsidTr="00DE6E14">
        <w:trPr>
          <w:cantSplit/>
        </w:trPr>
        <w:tc>
          <w:tcPr>
            <w:tcW w:w="1719" w:type="pct"/>
          </w:tcPr>
          <w:p w14:paraId="596E40B8" w14:textId="384CFF9A" w:rsidR="00A23A48" w:rsidRPr="003028A1" w:rsidRDefault="00A23A48" w:rsidP="00E15D73">
            <w:pPr>
              <w:pStyle w:val="TableText"/>
              <w:rPr>
                <w:rStyle w:val="Strong"/>
              </w:rPr>
            </w:pPr>
            <w:r w:rsidRPr="003028A1">
              <w:rPr>
                <w:rStyle w:val="Strong"/>
              </w:rPr>
              <w:t>Key Issue 3</w:t>
            </w:r>
          </w:p>
        </w:tc>
        <w:tc>
          <w:tcPr>
            <w:tcW w:w="3281" w:type="pct"/>
          </w:tcPr>
          <w:p w14:paraId="75B5C4A8" w14:textId="78137813" w:rsidR="00A23A48" w:rsidRPr="003028A1" w:rsidRDefault="00DE6E14" w:rsidP="00B040A3">
            <w:pPr>
              <w:pStyle w:val="TableText"/>
              <w:rPr>
                <w:rStyle w:val="Strong"/>
              </w:rPr>
            </w:pPr>
            <w:r>
              <w:rPr>
                <w:rStyle w:val="Strong"/>
              </w:rPr>
              <w:t>P</w:t>
            </w:r>
            <w:r w:rsidR="00A23A48" w:rsidRPr="003028A1">
              <w:rPr>
                <w:rStyle w:val="Strong"/>
              </w:rPr>
              <w:t>olicy underpinnings of the National Drought Agreement</w:t>
            </w:r>
          </w:p>
        </w:tc>
      </w:tr>
      <w:tr w:rsidR="00A23A48" w:rsidRPr="0072782E" w14:paraId="3588C948" w14:textId="77777777" w:rsidTr="00DE6E14">
        <w:trPr>
          <w:cantSplit/>
        </w:trPr>
        <w:tc>
          <w:tcPr>
            <w:tcW w:w="1719" w:type="pct"/>
          </w:tcPr>
          <w:p w14:paraId="4D1ABC94" w14:textId="173D61CD" w:rsidR="00A23A48" w:rsidRPr="00E15D73" w:rsidRDefault="00A23A48" w:rsidP="00E15D73">
            <w:pPr>
              <w:pStyle w:val="TableText"/>
            </w:pPr>
            <w:r w:rsidRPr="00E15D73">
              <w:t xml:space="preserve">Recommendation </w:t>
            </w:r>
            <w:r>
              <w:t>4</w:t>
            </w:r>
          </w:p>
        </w:tc>
        <w:tc>
          <w:tcPr>
            <w:tcW w:w="3281" w:type="pct"/>
          </w:tcPr>
          <w:p w14:paraId="15C1593A" w14:textId="6BBD02E6" w:rsidR="00A23A48" w:rsidRDefault="00A23A48" w:rsidP="00B040A3">
            <w:pPr>
              <w:pStyle w:val="TableText"/>
            </w:pPr>
            <w:r>
              <w:rPr>
                <w:lang w:eastAsia="ja-JP"/>
              </w:rPr>
              <w:t>The next agreement should continue to prioritise long-term preparedness, resilience and risk management for farming businesses and farming communities affected by drought and a changing climate.</w:t>
            </w:r>
          </w:p>
        </w:tc>
      </w:tr>
      <w:tr w:rsidR="00A23A48" w:rsidRPr="0072782E" w14:paraId="2AE25273" w14:textId="77777777" w:rsidTr="00DE6E14">
        <w:trPr>
          <w:cantSplit/>
        </w:trPr>
        <w:tc>
          <w:tcPr>
            <w:tcW w:w="1719" w:type="pct"/>
          </w:tcPr>
          <w:p w14:paraId="54220EA4" w14:textId="5D7BA35C" w:rsidR="00A23A48" w:rsidRPr="00E15D73" w:rsidRDefault="00A23A48" w:rsidP="00E15D73">
            <w:pPr>
              <w:pStyle w:val="TableText"/>
            </w:pPr>
            <w:r w:rsidRPr="00E15D73">
              <w:t xml:space="preserve">Recommendation </w:t>
            </w:r>
            <w:r>
              <w:t>5</w:t>
            </w:r>
          </w:p>
        </w:tc>
        <w:tc>
          <w:tcPr>
            <w:tcW w:w="3281" w:type="pct"/>
          </w:tcPr>
          <w:p w14:paraId="399882E5" w14:textId="3BC56821" w:rsidR="00A23A48" w:rsidRPr="00E15D73" w:rsidRDefault="00A23A48" w:rsidP="00E15D73">
            <w:pPr>
              <w:pStyle w:val="TableText"/>
            </w:pPr>
            <w:r>
              <w:rPr>
                <w:lang w:eastAsia="ja-JP"/>
              </w:rPr>
              <w:t>The next agreement should note that an element of preparedness is to acknowledge changing climatic and environmental conditions at the farm level (such as less rainfall, changes in rainfall patterns or warmer temperatures). Adaptation to these changing conditions as a ‘new normal’ will be necessary for many farm businesses. These changes are likely to impact recovery activities, as some areas are likely to experience good seasons less often.</w:t>
            </w:r>
          </w:p>
        </w:tc>
      </w:tr>
      <w:tr w:rsidR="00A23A48" w:rsidRPr="0072782E" w14:paraId="7F31C277" w14:textId="77777777" w:rsidTr="00DE6E14">
        <w:trPr>
          <w:cantSplit/>
        </w:trPr>
        <w:tc>
          <w:tcPr>
            <w:tcW w:w="1719" w:type="pct"/>
          </w:tcPr>
          <w:p w14:paraId="4781D5A7" w14:textId="31E75372" w:rsidR="00A23A48" w:rsidRPr="00E15D73" w:rsidRDefault="00A23A48" w:rsidP="00E15D73">
            <w:pPr>
              <w:pStyle w:val="TableText"/>
            </w:pPr>
            <w:r w:rsidRPr="00E15D73">
              <w:t xml:space="preserve">Recommendation </w:t>
            </w:r>
            <w:r>
              <w:t>6</w:t>
            </w:r>
          </w:p>
        </w:tc>
        <w:tc>
          <w:tcPr>
            <w:tcW w:w="3281" w:type="pct"/>
          </w:tcPr>
          <w:p w14:paraId="5AEE3345" w14:textId="7E6AF32A" w:rsidR="00A23A48" w:rsidRPr="003028A1" w:rsidRDefault="00A23A48" w:rsidP="003028A1">
            <w:pPr>
              <w:pStyle w:val="TableText"/>
              <w:rPr>
                <w:sz w:val="22"/>
                <w:lang w:eastAsia="ja-JP"/>
              </w:rPr>
            </w:pPr>
            <w:r>
              <w:rPr>
                <w:lang w:eastAsia="ja-JP"/>
              </w:rPr>
              <w:t>The next agreement should continue to promote collaboration and coordination across all phases of the drought cycle (preparedness, response and recovery).</w:t>
            </w:r>
          </w:p>
        </w:tc>
      </w:tr>
      <w:tr w:rsidR="00A23A48" w:rsidRPr="0072782E" w14:paraId="6F161F97" w14:textId="77777777" w:rsidTr="00DE6E14">
        <w:trPr>
          <w:cantSplit/>
        </w:trPr>
        <w:tc>
          <w:tcPr>
            <w:tcW w:w="1719" w:type="pct"/>
          </w:tcPr>
          <w:p w14:paraId="32FE5EB8" w14:textId="4777AE64" w:rsidR="00A23A48" w:rsidRPr="003028A1" w:rsidRDefault="00A23A48" w:rsidP="00E15D73">
            <w:pPr>
              <w:pStyle w:val="TableText"/>
              <w:rPr>
                <w:rStyle w:val="Strong"/>
              </w:rPr>
            </w:pPr>
            <w:r w:rsidRPr="003028A1">
              <w:rPr>
                <w:rStyle w:val="Strong"/>
              </w:rPr>
              <w:t>Key issue 4</w:t>
            </w:r>
          </w:p>
        </w:tc>
        <w:tc>
          <w:tcPr>
            <w:tcW w:w="3281" w:type="pct"/>
          </w:tcPr>
          <w:p w14:paraId="63848CB0" w14:textId="40E01121" w:rsidR="00A23A48" w:rsidRPr="003028A1" w:rsidRDefault="00A23A48" w:rsidP="003028A1">
            <w:pPr>
              <w:pStyle w:val="TableText"/>
              <w:rPr>
                <w:rStyle w:val="Strong"/>
                <w:lang w:eastAsia="ja-JP"/>
              </w:rPr>
            </w:pPr>
            <w:r w:rsidRPr="003028A1">
              <w:rPr>
                <w:rStyle w:val="Strong"/>
              </w:rPr>
              <w:t>Coordination and collaboration</w:t>
            </w:r>
          </w:p>
        </w:tc>
      </w:tr>
      <w:tr w:rsidR="00A23A48" w:rsidRPr="0072782E" w14:paraId="5EF30DFD" w14:textId="77777777" w:rsidTr="00DE6E14">
        <w:trPr>
          <w:cantSplit/>
        </w:trPr>
        <w:tc>
          <w:tcPr>
            <w:tcW w:w="1719" w:type="pct"/>
          </w:tcPr>
          <w:p w14:paraId="0DC5FA02" w14:textId="63303EF6" w:rsidR="00A23A48" w:rsidRPr="00E15D73" w:rsidRDefault="00A23A48" w:rsidP="00E15D73">
            <w:pPr>
              <w:pStyle w:val="TableText"/>
            </w:pPr>
            <w:r>
              <w:t>Recommendation 7</w:t>
            </w:r>
          </w:p>
        </w:tc>
        <w:tc>
          <w:tcPr>
            <w:tcW w:w="3281" w:type="pct"/>
          </w:tcPr>
          <w:p w14:paraId="7F14E06F" w14:textId="2801C648" w:rsidR="00A23A48" w:rsidRPr="003028A1" w:rsidRDefault="00A23A48" w:rsidP="003028A1">
            <w:pPr>
              <w:pStyle w:val="TableText"/>
              <w:rPr>
                <w:sz w:val="22"/>
                <w:lang w:eastAsia="ja-JP"/>
              </w:rPr>
            </w:pPr>
            <w:r>
              <w:rPr>
                <w:lang w:eastAsia="ja-JP"/>
              </w:rPr>
              <w:t>The next agreement should strengthen its focus on collaboration and coordination.</w:t>
            </w:r>
          </w:p>
        </w:tc>
      </w:tr>
      <w:tr w:rsidR="00A23A48" w:rsidRPr="0072782E" w14:paraId="7E106CAB" w14:textId="77777777" w:rsidTr="00DE6E14">
        <w:trPr>
          <w:cantSplit/>
        </w:trPr>
        <w:tc>
          <w:tcPr>
            <w:tcW w:w="1719" w:type="pct"/>
          </w:tcPr>
          <w:p w14:paraId="6CC6AF42" w14:textId="1EB86322" w:rsidR="00A23A48" w:rsidRPr="00E15D73" w:rsidRDefault="00A23A48" w:rsidP="00E15D73">
            <w:pPr>
              <w:pStyle w:val="TableText"/>
            </w:pPr>
            <w:r>
              <w:t>Recommendation 8</w:t>
            </w:r>
          </w:p>
        </w:tc>
        <w:tc>
          <w:tcPr>
            <w:tcW w:w="3281" w:type="pct"/>
          </w:tcPr>
          <w:p w14:paraId="52A469CE" w14:textId="77777777" w:rsidR="00A23A48" w:rsidRDefault="00A23A48" w:rsidP="003028A1">
            <w:pPr>
              <w:pStyle w:val="TableText"/>
              <w:rPr>
                <w:lang w:eastAsia="ja-JP"/>
              </w:rPr>
            </w:pPr>
            <w:r>
              <w:rPr>
                <w:lang w:eastAsia="ja-JP"/>
              </w:rPr>
              <w:t>The next agreement should include a specified mechanism for interjurisdictional coordination, and this mechanism should be used to identify and pursue collaborative priorities on an ongoing basis.</w:t>
            </w:r>
          </w:p>
          <w:p w14:paraId="491654DA" w14:textId="1AE4B749" w:rsidR="00A23A48" w:rsidRDefault="00A23A48" w:rsidP="00810608">
            <w:pPr>
              <w:pStyle w:val="TableText"/>
              <w:rPr>
                <w:lang w:eastAsia="ja-JP"/>
              </w:rPr>
            </w:pPr>
            <w:r>
              <w:rPr>
                <w:lang w:eastAsia="ja-JP"/>
              </w:rPr>
              <w:t xml:space="preserve">a) </w:t>
            </w:r>
            <w:r w:rsidRPr="00607587">
              <w:rPr>
                <w:lang w:eastAsia="ja-JP"/>
              </w:rPr>
              <w:t>This mechanism should be established and activated prior to the new agreement coming into force, to facilitate complementary and coordinated efforts across the drought cycle immediately.</w:t>
            </w:r>
          </w:p>
          <w:p w14:paraId="3400375E" w14:textId="53F97716" w:rsidR="00A23A48" w:rsidRDefault="00A23A48" w:rsidP="00810608">
            <w:pPr>
              <w:pStyle w:val="TableText"/>
              <w:rPr>
                <w:lang w:eastAsia="ja-JP"/>
              </w:rPr>
            </w:pPr>
            <w:r>
              <w:rPr>
                <w:lang w:eastAsia="ja-JP"/>
              </w:rPr>
              <w:t xml:space="preserve">b) </w:t>
            </w:r>
            <w:r w:rsidRPr="007B6CFF">
              <w:rPr>
                <w:lang w:eastAsia="ja-JP"/>
              </w:rPr>
              <w:t>The interjurisdictional mechanism should be flexible, responsive to changes in the capacity and priorities of each jurisdiction, and useful in taking forward priorities that apply to all parties or a subset of parties.</w:t>
            </w:r>
          </w:p>
          <w:p w14:paraId="1D3E675F" w14:textId="3C0B43C5" w:rsidR="00A23A48" w:rsidRPr="003028A1" w:rsidRDefault="00A23A48" w:rsidP="00810608">
            <w:pPr>
              <w:pStyle w:val="TableText"/>
              <w:rPr>
                <w:lang w:eastAsia="ja-JP"/>
              </w:rPr>
            </w:pPr>
            <w:r>
              <w:rPr>
                <w:lang w:eastAsia="ja-JP"/>
              </w:rPr>
              <w:t xml:space="preserve">c) </w:t>
            </w:r>
            <w:r w:rsidRPr="007B6CFF">
              <w:rPr>
                <w:lang w:eastAsia="ja-JP"/>
              </w:rPr>
              <w:t xml:space="preserve">Priorities for interjurisdictional coordination should be shared publicly, for example via the </w:t>
            </w:r>
            <w:r w:rsidR="0010661F">
              <w:rPr>
                <w:lang w:eastAsia="ja-JP"/>
              </w:rPr>
              <w:t>Australian Government</w:t>
            </w:r>
            <w:r w:rsidRPr="007B6CFF">
              <w:rPr>
                <w:lang w:eastAsia="ja-JP"/>
              </w:rPr>
              <w:t xml:space="preserve"> Department of Agriculture, Fisheries and Forestry’s website.</w:t>
            </w:r>
          </w:p>
        </w:tc>
      </w:tr>
      <w:tr w:rsidR="00A23A48" w:rsidRPr="0072782E" w14:paraId="5A1B7D30" w14:textId="77777777" w:rsidTr="00DE6E14">
        <w:trPr>
          <w:cantSplit/>
        </w:trPr>
        <w:tc>
          <w:tcPr>
            <w:tcW w:w="1719" w:type="pct"/>
          </w:tcPr>
          <w:p w14:paraId="12221515" w14:textId="3590236D" w:rsidR="00A23A48" w:rsidRPr="00E15D73" w:rsidRDefault="00A23A48" w:rsidP="00E15D73">
            <w:pPr>
              <w:pStyle w:val="TableText"/>
            </w:pPr>
            <w:r>
              <w:t>Recommendation 9</w:t>
            </w:r>
          </w:p>
        </w:tc>
        <w:tc>
          <w:tcPr>
            <w:tcW w:w="3281" w:type="pct"/>
          </w:tcPr>
          <w:p w14:paraId="408F722A" w14:textId="7091DEDC" w:rsidR="00A23A48" w:rsidRPr="00E15D73" w:rsidRDefault="00A23A48" w:rsidP="00F07820">
            <w:pPr>
              <w:pStyle w:val="TableText"/>
              <w:rPr>
                <w:lang w:eastAsia="ja-JP"/>
              </w:rPr>
            </w:pPr>
            <w:r>
              <w:rPr>
                <w:lang w:eastAsia="ja-JP"/>
              </w:rPr>
              <w:t>While the next agreement should continue to promote collaboration and coordination across all phases of the drought cycle, an early priority for interjurisdictional coordination should be to establish improved communication and collaboration to monitor seasonal conditions, and collaboratively respond effectively and efficiently to worsening drought conditions.</w:t>
            </w:r>
          </w:p>
        </w:tc>
      </w:tr>
      <w:tr w:rsidR="00A23A48" w:rsidRPr="0072782E" w14:paraId="6708284A" w14:textId="77777777" w:rsidTr="00DE6E14">
        <w:trPr>
          <w:cantSplit/>
        </w:trPr>
        <w:tc>
          <w:tcPr>
            <w:tcW w:w="1719" w:type="pct"/>
          </w:tcPr>
          <w:p w14:paraId="29DEAEC7" w14:textId="5B3350B5" w:rsidR="00A23A48" w:rsidRPr="00E15D73" w:rsidRDefault="00A23A48" w:rsidP="00E15D73">
            <w:pPr>
              <w:pStyle w:val="TableText"/>
            </w:pPr>
            <w:r>
              <w:lastRenderedPageBreak/>
              <w:t>Recommendation 10</w:t>
            </w:r>
          </w:p>
        </w:tc>
        <w:tc>
          <w:tcPr>
            <w:tcW w:w="3281" w:type="pct"/>
          </w:tcPr>
          <w:p w14:paraId="1ADB2DA6" w14:textId="77777777" w:rsidR="00A23A48" w:rsidRDefault="00A23A48" w:rsidP="007B6CFF">
            <w:pPr>
              <w:pStyle w:val="TableText"/>
              <w:rPr>
                <w:lang w:eastAsia="ja-JP"/>
              </w:rPr>
            </w:pPr>
            <w:r>
              <w:rPr>
                <w:lang w:eastAsia="ja-JP"/>
              </w:rPr>
              <w:t>The project board should consider options for a mechanism to facilitate regular dialogue between the parties and non-party stakeholders, including local governments, industry, the non-profit sector and the financial sector.</w:t>
            </w:r>
          </w:p>
          <w:p w14:paraId="5EE3DFA8" w14:textId="6A9F6E60" w:rsidR="00A23A48" w:rsidRPr="00E15D73" w:rsidRDefault="00A23A48" w:rsidP="0052406E">
            <w:pPr>
              <w:pStyle w:val="TableText"/>
              <w:rPr>
                <w:lang w:eastAsia="ja-JP"/>
              </w:rPr>
            </w:pPr>
            <w:r>
              <w:rPr>
                <w:lang w:eastAsia="ja-JP"/>
              </w:rPr>
              <w:t>a) Should such a mechanism be developed and agreed to, it should be established and activated prior to the new agreement coming into force, to facilitate complementary and coordinated efforts across the drought cycle immediately.</w:t>
            </w:r>
          </w:p>
        </w:tc>
      </w:tr>
      <w:tr w:rsidR="00A23A48" w:rsidRPr="0072782E" w14:paraId="798B6FB3" w14:textId="77777777" w:rsidTr="00DE6E14">
        <w:trPr>
          <w:cantSplit/>
        </w:trPr>
        <w:tc>
          <w:tcPr>
            <w:tcW w:w="1719" w:type="pct"/>
          </w:tcPr>
          <w:p w14:paraId="1894E3CB" w14:textId="17E43C45" w:rsidR="00A23A48" w:rsidRPr="00E15D73" w:rsidRDefault="00A23A48" w:rsidP="00E15D73">
            <w:pPr>
              <w:pStyle w:val="TableText"/>
            </w:pPr>
            <w:r>
              <w:t>Recommendation 11</w:t>
            </w:r>
          </w:p>
        </w:tc>
        <w:tc>
          <w:tcPr>
            <w:tcW w:w="3281" w:type="pct"/>
          </w:tcPr>
          <w:p w14:paraId="22F3AEF3" w14:textId="3E7CADB4" w:rsidR="00A23A48" w:rsidRPr="00E15D73" w:rsidRDefault="00A23A48" w:rsidP="00F07820">
            <w:pPr>
              <w:pStyle w:val="TableText"/>
              <w:rPr>
                <w:lang w:eastAsia="ja-JP"/>
              </w:rPr>
            </w:pPr>
            <w:r>
              <w:rPr>
                <w:lang w:eastAsia="ja-JP"/>
              </w:rPr>
              <w:t>The next agreement should identify the</w:t>
            </w:r>
            <w:r w:rsidR="0010661F">
              <w:rPr>
                <w:lang w:eastAsia="ja-JP"/>
              </w:rPr>
              <w:t xml:space="preserve"> Australian Government</w:t>
            </w:r>
            <w:r>
              <w:rPr>
                <w:lang w:eastAsia="ja-JP"/>
              </w:rPr>
              <w:t xml:space="preserve"> as responsible for providing secretariat services for the mechanisms established under the agreement to promote communication, coordination, and collaboration, including any associated functions such as working groups or reporting.</w:t>
            </w:r>
          </w:p>
        </w:tc>
      </w:tr>
      <w:tr w:rsidR="00A23A48" w:rsidRPr="0072782E" w14:paraId="119A7107" w14:textId="77777777" w:rsidTr="00DE6E14">
        <w:trPr>
          <w:cantSplit/>
        </w:trPr>
        <w:tc>
          <w:tcPr>
            <w:tcW w:w="1719" w:type="pct"/>
          </w:tcPr>
          <w:p w14:paraId="719B61F2" w14:textId="64D1A049" w:rsidR="00A23A48" w:rsidRPr="003028A1" w:rsidRDefault="00A23A48" w:rsidP="00E15D73">
            <w:pPr>
              <w:pStyle w:val="TableText"/>
              <w:rPr>
                <w:rStyle w:val="Strong"/>
              </w:rPr>
            </w:pPr>
            <w:r w:rsidRPr="003028A1">
              <w:rPr>
                <w:rStyle w:val="Strong"/>
              </w:rPr>
              <w:t>Key issue 5</w:t>
            </w:r>
          </w:p>
        </w:tc>
        <w:tc>
          <w:tcPr>
            <w:tcW w:w="3281" w:type="pct"/>
          </w:tcPr>
          <w:p w14:paraId="71096CA9" w14:textId="1850F001" w:rsidR="00A23A48" w:rsidRPr="003028A1" w:rsidRDefault="00A23A48" w:rsidP="00E15D73">
            <w:pPr>
              <w:pStyle w:val="TableText"/>
              <w:rPr>
                <w:rStyle w:val="Strong"/>
              </w:rPr>
            </w:pPr>
            <w:r w:rsidRPr="003028A1">
              <w:rPr>
                <w:rStyle w:val="Strong"/>
              </w:rPr>
              <w:t>Roles and responsibilities</w:t>
            </w:r>
          </w:p>
        </w:tc>
      </w:tr>
      <w:tr w:rsidR="00A23A48" w:rsidRPr="0072782E" w14:paraId="1E184AF9" w14:textId="77777777" w:rsidTr="00DE6E14">
        <w:trPr>
          <w:cantSplit/>
        </w:trPr>
        <w:tc>
          <w:tcPr>
            <w:tcW w:w="1719" w:type="pct"/>
          </w:tcPr>
          <w:p w14:paraId="222328E7" w14:textId="4AD86A66" w:rsidR="00A23A48" w:rsidRPr="00E15D73" w:rsidRDefault="00A23A48" w:rsidP="00F07820">
            <w:pPr>
              <w:pStyle w:val="TableText"/>
            </w:pPr>
            <w:r>
              <w:t>Recommendation 12</w:t>
            </w:r>
          </w:p>
        </w:tc>
        <w:tc>
          <w:tcPr>
            <w:tcW w:w="3281" w:type="pct"/>
          </w:tcPr>
          <w:p w14:paraId="39E4EB01" w14:textId="0E2A8E19" w:rsidR="00A23A48" w:rsidRPr="00F07820" w:rsidRDefault="00A23A48" w:rsidP="00F07820">
            <w:pPr>
              <w:pStyle w:val="TableText"/>
              <w:rPr>
                <w:sz w:val="22"/>
                <w:lang w:eastAsia="ja-JP"/>
              </w:rPr>
            </w:pPr>
            <w:r>
              <w:rPr>
                <w:lang w:eastAsia="ja-JP"/>
              </w:rPr>
              <w:t>Refine the existing roles and responsibilities section to more fully capture, and more clearly articulate, the breakdown of responsibilities, particularly where elements of responsibility sit across both levels of government.</w:t>
            </w:r>
          </w:p>
        </w:tc>
      </w:tr>
      <w:tr w:rsidR="00A23A48" w:rsidRPr="0072782E" w14:paraId="2D53B768" w14:textId="77777777" w:rsidTr="00DE6E14">
        <w:trPr>
          <w:cantSplit/>
        </w:trPr>
        <w:tc>
          <w:tcPr>
            <w:tcW w:w="1719" w:type="pct"/>
          </w:tcPr>
          <w:p w14:paraId="646720DE" w14:textId="40EE7EE2" w:rsidR="00A23A48" w:rsidRPr="00F07820" w:rsidRDefault="00A23A48" w:rsidP="00F07820">
            <w:pPr>
              <w:pStyle w:val="TableText"/>
              <w:rPr>
                <w:rStyle w:val="Strong"/>
                <w:lang w:eastAsia="ja-JP"/>
              </w:rPr>
            </w:pPr>
            <w:r w:rsidRPr="00F07820">
              <w:rPr>
                <w:rStyle w:val="Strong"/>
              </w:rPr>
              <w:t>Key issue 6</w:t>
            </w:r>
          </w:p>
        </w:tc>
        <w:tc>
          <w:tcPr>
            <w:tcW w:w="3281" w:type="pct"/>
          </w:tcPr>
          <w:p w14:paraId="6364CE85" w14:textId="14295C73" w:rsidR="00A23A48" w:rsidRPr="00F07820" w:rsidRDefault="00A23A48" w:rsidP="00F07820">
            <w:pPr>
              <w:pStyle w:val="TableText"/>
              <w:rPr>
                <w:rStyle w:val="Strong"/>
              </w:rPr>
            </w:pPr>
            <w:r w:rsidRPr="00F07820">
              <w:rPr>
                <w:rStyle w:val="Strong"/>
              </w:rPr>
              <w:t>Drought impacts beyond the farm gate</w:t>
            </w:r>
          </w:p>
        </w:tc>
      </w:tr>
      <w:tr w:rsidR="00A23A48" w:rsidRPr="0072782E" w14:paraId="0E45A74B" w14:textId="77777777" w:rsidTr="00DE6E14">
        <w:trPr>
          <w:cantSplit/>
        </w:trPr>
        <w:tc>
          <w:tcPr>
            <w:tcW w:w="1719" w:type="pct"/>
          </w:tcPr>
          <w:p w14:paraId="1ECC26DE" w14:textId="7894EF80" w:rsidR="00A23A48" w:rsidRPr="00E15D73" w:rsidRDefault="00A23A48" w:rsidP="00F07820">
            <w:pPr>
              <w:pStyle w:val="TableText"/>
            </w:pPr>
            <w:r>
              <w:t>Recommendation 13</w:t>
            </w:r>
          </w:p>
        </w:tc>
        <w:tc>
          <w:tcPr>
            <w:tcW w:w="3281" w:type="pct"/>
          </w:tcPr>
          <w:p w14:paraId="18FBC873" w14:textId="27D2E40C" w:rsidR="00A23A48" w:rsidRPr="00E15D73" w:rsidRDefault="00A23A48" w:rsidP="00F07820">
            <w:pPr>
              <w:pStyle w:val="TableText"/>
              <w:rPr>
                <w:lang w:eastAsia="ja-JP"/>
              </w:rPr>
            </w:pPr>
            <w:r>
              <w:rPr>
                <w:lang w:eastAsia="ja-JP"/>
              </w:rPr>
              <w:t>The new agreement should commit governments to work across agencies and portfolios within their jurisdiction (led by agriculture portfolios), noting the impacts of drought beyond the farm gate and the need to work collaboratively to prepare, respond and recover appropriately.</w:t>
            </w:r>
          </w:p>
        </w:tc>
      </w:tr>
      <w:tr w:rsidR="00A23A48" w:rsidRPr="0072782E" w14:paraId="1F4C8917" w14:textId="77777777" w:rsidTr="00DE6E14">
        <w:trPr>
          <w:cantSplit/>
        </w:trPr>
        <w:tc>
          <w:tcPr>
            <w:tcW w:w="1719" w:type="pct"/>
          </w:tcPr>
          <w:p w14:paraId="63418F21" w14:textId="2B2C94E3" w:rsidR="00A23A48" w:rsidRPr="00E15D73" w:rsidRDefault="00A23A48" w:rsidP="00F07820">
            <w:pPr>
              <w:pStyle w:val="TableText"/>
            </w:pPr>
            <w:r>
              <w:t>Recommendation 14</w:t>
            </w:r>
          </w:p>
        </w:tc>
        <w:tc>
          <w:tcPr>
            <w:tcW w:w="3281" w:type="pct"/>
          </w:tcPr>
          <w:p w14:paraId="651CDCB9" w14:textId="25C32E47" w:rsidR="00A23A48" w:rsidRPr="00E15D73" w:rsidRDefault="00A23A48" w:rsidP="00F07820">
            <w:pPr>
              <w:pStyle w:val="TableText"/>
              <w:rPr>
                <w:lang w:eastAsia="ja-JP"/>
              </w:rPr>
            </w:pPr>
            <w:r>
              <w:rPr>
                <w:lang w:eastAsia="ja-JP"/>
              </w:rPr>
              <w:t>The new agreement should recognise that the economic impacts of drought are felt beyond the farm gate, and that farming communities need to prepare for, respond to, and recover from drought alongside farming businesses.</w:t>
            </w:r>
          </w:p>
        </w:tc>
      </w:tr>
      <w:tr w:rsidR="00A23A48" w:rsidRPr="0072782E" w14:paraId="50296894" w14:textId="77777777" w:rsidTr="00DE6E14">
        <w:trPr>
          <w:cantSplit/>
        </w:trPr>
        <w:tc>
          <w:tcPr>
            <w:tcW w:w="1719" w:type="pct"/>
          </w:tcPr>
          <w:p w14:paraId="36C31202" w14:textId="2788E7DA" w:rsidR="00A23A48" w:rsidRPr="00E15D73" w:rsidRDefault="00A23A48" w:rsidP="00F07820">
            <w:pPr>
              <w:pStyle w:val="TableText"/>
            </w:pPr>
            <w:r>
              <w:t>Recommendation 15</w:t>
            </w:r>
          </w:p>
        </w:tc>
        <w:tc>
          <w:tcPr>
            <w:tcW w:w="3281" w:type="pct"/>
          </w:tcPr>
          <w:p w14:paraId="749696F0" w14:textId="6FE35F36" w:rsidR="00A23A48" w:rsidRPr="00E15D73" w:rsidRDefault="00A23A48" w:rsidP="00F07820">
            <w:pPr>
              <w:pStyle w:val="TableText"/>
              <w:rPr>
                <w:lang w:eastAsia="ja-JP"/>
              </w:rPr>
            </w:pPr>
            <w:r>
              <w:rPr>
                <w:lang w:eastAsia="ja-JP"/>
              </w:rPr>
              <w:t>The new agreement should explicitly recognise that health and wellbeing includes mental health, and that a positive approach to mental health needs to be fostered across the drought cycle.</w:t>
            </w:r>
          </w:p>
        </w:tc>
      </w:tr>
      <w:tr w:rsidR="00A23A48" w:rsidRPr="0072782E" w14:paraId="579C6195" w14:textId="77777777" w:rsidTr="00DE6E14">
        <w:trPr>
          <w:cantSplit/>
        </w:trPr>
        <w:tc>
          <w:tcPr>
            <w:tcW w:w="1719" w:type="pct"/>
          </w:tcPr>
          <w:p w14:paraId="082513E2" w14:textId="2EF12263" w:rsidR="00A23A48" w:rsidRPr="00F07820" w:rsidRDefault="00A23A48" w:rsidP="00E15D73">
            <w:pPr>
              <w:pStyle w:val="TableText"/>
              <w:rPr>
                <w:rStyle w:val="Strong"/>
              </w:rPr>
            </w:pPr>
            <w:r w:rsidRPr="00F07820">
              <w:rPr>
                <w:rStyle w:val="Strong"/>
              </w:rPr>
              <w:t>Key issue 7</w:t>
            </w:r>
          </w:p>
        </w:tc>
        <w:tc>
          <w:tcPr>
            <w:tcW w:w="3281" w:type="pct"/>
          </w:tcPr>
          <w:p w14:paraId="1178853E" w14:textId="10A7D40B" w:rsidR="00A23A48" w:rsidRPr="00F07820" w:rsidRDefault="00A23A48" w:rsidP="00E15D73">
            <w:pPr>
              <w:pStyle w:val="TableText"/>
              <w:rPr>
                <w:rStyle w:val="Strong"/>
              </w:rPr>
            </w:pPr>
            <w:r w:rsidRPr="00F07820">
              <w:rPr>
                <w:rStyle w:val="Strong"/>
              </w:rPr>
              <w:t>Non-party stakeholders</w:t>
            </w:r>
          </w:p>
        </w:tc>
      </w:tr>
      <w:tr w:rsidR="00A23A48" w:rsidRPr="0072782E" w14:paraId="1825E8E1" w14:textId="77777777" w:rsidTr="00DE6E14">
        <w:trPr>
          <w:cantSplit/>
        </w:trPr>
        <w:tc>
          <w:tcPr>
            <w:tcW w:w="1719" w:type="pct"/>
          </w:tcPr>
          <w:p w14:paraId="78E078E2" w14:textId="4E34E5EE" w:rsidR="00A23A48" w:rsidRPr="00E15D73" w:rsidRDefault="00A23A48" w:rsidP="00E15D73">
            <w:pPr>
              <w:pStyle w:val="TableText"/>
            </w:pPr>
            <w:r>
              <w:t>Recommendation 16</w:t>
            </w:r>
          </w:p>
        </w:tc>
        <w:tc>
          <w:tcPr>
            <w:tcW w:w="3281" w:type="pct"/>
          </w:tcPr>
          <w:p w14:paraId="568A7135" w14:textId="7325FCAB" w:rsidR="00A23A48" w:rsidRPr="00E15D73" w:rsidRDefault="00A23A48" w:rsidP="00F07820">
            <w:pPr>
              <w:pStyle w:val="TableText"/>
              <w:rPr>
                <w:lang w:eastAsia="ja-JP"/>
              </w:rPr>
            </w:pPr>
            <w:r>
              <w:rPr>
                <w:lang w:eastAsia="ja-JP"/>
              </w:rPr>
              <w:t>The next agreement should more clearly acknowledge non-party stakeholders and recognise their role in preparing for, responding to and recovering from drought.</w:t>
            </w:r>
          </w:p>
        </w:tc>
      </w:tr>
      <w:tr w:rsidR="00A23A48" w:rsidRPr="0072782E" w14:paraId="465D307D" w14:textId="77777777" w:rsidTr="00DE6E14">
        <w:trPr>
          <w:cantSplit/>
        </w:trPr>
        <w:tc>
          <w:tcPr>
            <w:tcW w:w="1719" w:type="pct"/>
          </w:tcPr>
          <w:p w14:paraId="65DADD42" w14:textId="028C72BF" w:rsidR="00A23A48" w:rsidRPr="00E15D73" w:rsidRDefault="00A23A48" w:rsidP="00E15D73">
            <w:pPr>
              <w:pStyle w:val="TableText"/>
            </w:pPr>
            <w:r>
              <w:t>Recommendation 17</w:t>
            </w:r>
          </w:p>
        </w:tc>
        <w:tc>
          <w:tcPr>
            <w:tcW w:w="3281" w:type="pct"/>
          </w:tcPr>
          <w:p w14:paraId="18671A00" w14:textId="1F12CF9E" w:rsidR="00A23A48" w:rsidRPr="00E15D73" w:rsidRDefault="00A23A48" w:rsidP="00F07820">
            <w:pPr>
              <w:pStyle w:val="TableText"/>
              <w:rPr>
                <w:lang w:eastAsia="ja-JP"/>
              </w:rPr>
            </w:pPr>
            <w:r>
              <w:rPr>
                <w:lang w:eastAsia="ja-JP"/>
              </w:rPr>
              <w:t>The next agreement should commit jurisdictions to working with non-party stakeholders when planning and delivering drought initiatives, as appropriate to the context.</w:t>
            </w:r>
          </w:p>
        </w:tc>
      </w:tr>
      <w:tr w:rsidR="00A23A48" w:rsidRPr="0072782E" w14:paraId="0CE5CD96" w14:textId="77777777" w:rsidTr="00DE6E14">
        <w:trPr>
          <w:cantSplit/>
        </w:trPr>
        <w:tc>
          <w:tcPr>
            <w:tcW w:w="1719" w:type="pct"/>
          </w:tcPr>
          <w:p w14:paraId="55214C30" w14:textId="5ADA6FCD" w:rsidR="00A23A48" w:rsidRPr="00E15D73" w:rsidRDefault="00A23A48" w:rsidP="00E15D73">
            <w:pPr>
              <w:pStyle w:val="TableText"/>
            </w:pPr>
            <w:r>
              <w:t>Recommendation 18</w:t>
            </w:r>
          </w:p>
        </w:tc>
        <w:tc>
          <w:tcPr>
            <w:tcW w:w="3281" w:type="pct"/>
          </w:tcPr>
          <w:p w14:paraId="7974B236" w14:textId="5FBC65EE" w:rsidR="00A23A48" w:rsidRPr="00E15D73" w:rsidRDefault="00A23A48" w:rsidP="00F07820">
            <w:pPr>
              <w:pStyle w:val="TableText"/>
              <w:rPr>
                <w:lang w:eastAsia="ja-JP"/>
              </w:rPr>
            </w:pPr>
            <w:r>
              <w:rPr>
                <w:lang w:eastAsia="ja-JP"/>
              </w:rPr>
              <w:t>The next agreement should commit governments to take an active role in working with non-party stakeholders to build understanding of drought preparedness, response and recovery as a shared responsibility.</w:t>
            </w:r>
          </w:p>
        </w:tc>
      </w:tr>
      <w:tr w:rsidR="00A23A48" w:rsidRPr="0072782E" w14:paraId="402F3EDD" w14:textId="77777777" w:rsidTr="00DE6E14">
        <w:trPr>
          <w:cantSplit/>
        </w:trPr>
        <w:tc>
          <w:tcPr>
            <w:tcW w:w="1719" w:type="pct"/>
          </w:tcPr>
          <w:p w14:paraId="3479BDD7" w14:textId="5EDE7F46" w:rsidR="00A23A48" w:rsidRPr="009243D3" w:rsidRDefault="00A23A48" w:rsidP="00E15D73">
            <w:pPr>
              <w:pStyle w:val="TableText"/>
              <w:rPr>
                <w:rStyle w:val="Strong"/>
              </w:rPr>
            </w:pPr>
            <w:r w:rsidRPr="009243D3">
              <w:rPr>
                <w:rStyle w:val="Strong"/>
              </w:rPr>
              <w:t>Key issue 8</w:t>
            </w:r>
          </w:p>
        </w:tc>
        <w:tc>
          <w:tcPr>
            <w:tcW w:w="3281" w:type="pct"/>
          </w:tcPr>
          <w:p w14:paraId="3D74AD75" w14:textId="28658944" w:rsidR="00A23A48" w:rsidRPr="004E0B86" w:rsidRDefault="00A23A48" w:rsidP="00F07820">
            <w:pPr>
              <w:pStyle w:val="TableText"/>
              <w:rPr>
                <w:rStyle w:val="Strong"/>
              </w:rPr>
            </w:pPr>
            <w:r w:rsidRPr="004E0B86">
              <w:rPr>
                <w:rStyle w:val="Strong"/>
              </w:rPr>
              <w:t>First Nations people</w:t>
            </w:r>
          </w:p>
        </w:tc>
      </w:tr>
      <w:tr w:rsidR="00A23A48" w:rsidRPr="0072782E" w14:paraId="03E905ED" w14:textId="77777777" w:rsidTr="00DE6E14">
        <w:trPr>
          <w:cantSplit/>
        </w:trPr>
        <w:tc>
          <w:tcPr>
            <w:tcW w:w="1719" w:type="pct"/>
          </w:tcPr>
          <w:p w14:paraId="65853B5C" w14:textId="6B15D90E" w:rsidR="00A23A48" w:rsidRPr="00E15D73" w:rsidRDefault="00A23A48" w:rsidP="00E15D73">
            <w:pPr>
              <w:pStyle w:val="TableText"/>
            </w:pPr>
            <w:r>
              <w:t>Recommendation 19</w:t>
            </w:r>
          </w:p>
        </w:tc>
        <w:tc>
          <w:tcPr>
            <w:tcW w:w="3281" w:type="pct"/>
          </w:tcPr>
          <w:p w14:paraId="4343322F" w14:textId="45CB3573" w:rsidR="00A23A48" w:rsidRPr="00E15D73" w:rsidRDefault="00A23A48" w:rsidP="00F07820">
            <w:pPr>
              <w:pStyle w:val="TableText"/>
              <w:rPr>
                <w:lang w:eastAsia="ja-JP"/>
              </w:rPr>
            </w:pPr>
            <w:r>
              <w:rPr>
                <w:lang w:eastAsia="ja-JP"/>
              </w:rPr>
              <w:t xml:space="preserve">The next agreement should acknowledge First Nations people as the </w:t>
            </w:r>
            <w:r w:rsidR="00AC121C">
              <w:rPr>
                <w:lang w:eastAsia="ja-JP"/>
              </w:rPr>
              <w:t>T</w:t>
            </w:r>
            <w:r>
              <w:rPr>
                <w:lang w:eastAsia="ja-JP"/>
              </w:rPr>
              <w:t xml:space="preserve">raditional </w:t>
            </w:r>
            <w:r w:rsidR="00AC121C">
              <w:rPr>
                <w:lang w:eastAsia="ja-JP"/>
              </w:rPr>
              <w:t>O</w:t>
            </w:r>
            <w:r>
              <w:rPr>
                <w:lang w:eastAsia="ja-JP"/>
              </w:rPr>
              <w:t xml:space="preserve">wners of </w:t>
            </w:r>
            <w:r w:rsidR="00AC121C">
              <w:rPr>
                <w:lang w:eastAsia="ja-JP"/>
              </w:rPr>
              <w:t>C</w:t>
            </w:r>
            <w:r>
              <w:rPr>
                <w:lang w:eastAsia="ja-JP"/>
              </w:rPr>
              <w:t>ountry throughout Australia and their continuing connection to land, sea and community, and recognise that their social, cultural, environmental and economic interests intersect with drought in Australia.</w:t>
            </w:r>
          </w:p>
        </w:tc>
      </w:tr>
      <w:tr w:rsidR="00A23A48" w:rsidRPr="0072782E" w14:paraId="0CAC4F16" w14:textId="77777777" w:rsidTr="00DE6E14">
        <w:trPr>
          <w:cantSplit/>
        </w:trPr>
        <w:tc>
          <w:tcPr>
            <w:tcW w:w="1719" w:type="pct"/>
          </w:tcPr>
          <w:p w14:paraId="1656D3CF" w14:textId="474D99BC" w:rsidR="00A23A48" w:rsidRPr="00E15D73" w:rsidRDefault="00A23A48" w:rsidP="00E15D73">
            <w:pPr>
              <w:pStyle w:val="TableText"/>
            </w:pPr>
            <w:r>
              <w:t>Recommendation 20</w:t>
            </w:r>
          </w:p>
        </w:tc>
        <w:tc>
          <w:tcPr>
            <w:tcW w:w="3281" w:type="pct"/>
          </w:tcPr>
          <w:p w14:paraId="1C087CE6" w14:textId="75BD30B3" w:rsidR="00A23A48" w:rsidRPr="00E15D73" w:rsidRDefault="00A23A48" w:rsidP="00F07820">
            <w:pPr>
              <w:pStyle w:val="TableText"/>
              <w:rPr>
                <w:lang w:eastAsia="ja-JP"/>
              </w:rPr>
            </w:pPr>
            <w:r>
              <w:rPr>
                <w:lang w:eastAsia="ja-JP"/>
              </w:rPr>
              <w:t>The next agreement should include a principle for drought related program and policy development to consider First Nations interests.</w:t>
            </w:r>
          </w:p>
        </w:tc>
      </w:tr>
      <w:tr w:rsidR="00A23A48" w:rsidRPr="0072782E" w14:paraId="62B0F0CF" w14:textId="77777777" w:rsidTr="00DE6E14">
        <w:trPr>
          <w:cantSplit/>
        </w:trPr>
        <w:tc>
          <w:tcPr>
            <w:tcW w:w="1719" w:type="pct"/>
          </w:tcPr>
          <w:p w14:paraId="563B71E5" w14:textId="7B9D0C72" w:rsidR="00A23A48" w:rsidRPr="009243D3" w:rsidRDefault="00A23A48" w:rsidP="00E15D73">
            <w:pPr>
              <w:pStyle w:val="TableText"/>
              <w:rPr>
                <w:rStyle w:val="Strong"/>
              </w:rPr>
            </w:pPr>
            <w:r w:rsidRPr="009243D3">
              <w:rPr>
                <w:rStyle w:val="Strong"/>
              </w:rPr>
              <w:t>Key issue 9</w:t>
            </w:r>
          </w:p>
        </w:tc>
        <w:tc>
          <w:tcPr>
            <w:tcW w:w="3281" w:type="pct"/>
          </w:tcPr>
          <w:p w14:paraId="418D3ED9" w14:textId="5A4FC80C" w:rsidR="00A23A48" w:rsidRPr="004E0B86" w:rsidRDefault="00A23A48" w:rsidP="00F07820">
            <w:pPr>
              <w:pStyle w:val="TableText"/>
              <w:rPr>
                <w:rStyle w:val="Strong"/>
              </w:rPr>
            </w:pPr>
            <w:r w:rsidRPr="004E0B86">
              <w:rPr>
                <w:rStyle w:val="Strong"/>
              </w:rPr>
              <w:t>Intersecting policy areas</w:t>
            </w:r>
          </w:p>
        </w:tc>
      </w:tr>
      <w:tr w:rsidR="00A23A48" w:rsidRPr="0072782E" w14:paraId="5941C4C0" w14:textId="77777777" w:rsidTr="00DE6E14">
        <w:trPr>
          <w:cantSplit/>
        </w:trPr>
        <w:tc>
          <w:tcPr>
            <w:tcW w:w="1719" w:type="pct"/>
          </w:tcPr>
          <w:p w14:paraId="1D60F95D" w14:textId="5F6BF6CD" w:rsidR="00A23A48" w:rsidRPr="00E15D73" w:rsidRDefault="00A23A48" w:rsidP="00E15D73">
            <w:pPr>
              <w:pStyle w:val="TableText"/>
            </w:pPr>
            <w:r>
              <w:t>Recommendation 21</w:t>
            </w:r>
          </w:p>
        </w:tc>
        <w:tc>
          <w:tcPr>
            <w:tcW w:w="3281" w:type="pct"/>
          </w:tcPr>
          <w:p w14:paraId="2C4B211B" w14:textId="72B239E7" w:rsidR="00A23A48" w:rsidRPr="00E15D73" w:rsidRDefault="00A23A48" w:rsidP="00F07820">
            <w:pPr>
              <w:pStyle w:val="TableText"/>
              <w:rPr>
                <w:lang w:eastAsia="ja-JP"/>
              </w:rPr>
            </w:pPr>
            <w:r>
              <w:rPr>
                <w:lang w:eastAsia="ja-JP"/>
              </w:rPr>
              <w:t>The next agreement should acknowledge the significant breadth of intersecting policy activity that the NDA operates within, while retaining a focus on agriculture and the impact that drought has on farm businesses, farming families and farming communities.</w:t>
            </w:r>
          </w:p>
        </w:tc>
      </w:tr>
      <w:tr w:rsidR="00A23A48" w:rsidRPr="0072782E" w14:paraId="6B72DA09" w14:textId="77777777" w:rsidTr="00DE6E14">
        <w:trPr>
          <w:cantSplit/>
        </w:trPr>
        <w:tc>
          <w:tcPr>
            <w:tcW w:w="1719" w:type="pct"/>
          </w:tcPr>
          <w:p w14:paraId="21B9C090" w14:textId="212DE2DC" w:rsidR="00A23A48" w:rsidRPr="00E15D73" w:rsidRDefault="00A23A48" w:rsidP="00E15D73">
            <w:pPr>
              <w:pStyle w:val="TableText"/>
            </w:pPr>
            <w:r>
              <w:t>Recommendation 22</w:t>
            </w:r>
          </w:p>
        </w:tc>
        <w:tc>
          <w:tcPr>
            <w:tcW w:w="3281" w:type="pct"/>
          </w:tcPr>
          <w:p w14:paraId="6E1D0C6E" w14:textId="1E3134AD" w:rsidR="00A23A48" w:rsidRPr="00E15D73" w:rsidRDefault="00A23A48" w:rsidP="00F07820">
            <w:pPr>
              <w:pStyle w:val="TableText"/>
              <w:rPr>
                <w:lang w:eastAsia="ja-JP"/>
              </w:rPr>
            </w:pPr>
            <w:r>
              <w:rPr>
                <w:lang w:eastAsia="ja-JP"/>
              </w:rPr>
              <w:t>The next agreement should include a principle for aligning drought policy and programs with intersecting policy activity, such as climate change, water, soils and biodiversity, where practicable.</w:t>
            </w:r>
          </w:p>
        </w:tc>
      </w:tr>
      <w:tr w:rsidR="00A23A48" w:rsidRPr="0072782E" w14:paraId="024DB312" w14:textId="77777777" w:rsidTr="00DE6E14">
        <w:trPr>
          <w:cantSplit/>
        </w:trPr>
        <w:tc>
          <w:tcPr>
            <w:tcW w:w="1719" w:type="pct"/>
          </w:tcPr>
          <w:p w14:paraId="21D53012" w14:textId="4E687B0B" w:rsidR="00A23A48" w:rsidRPr="004150F4" w:rsidRDefault="00A23A48" w:rsidP="00732748">
            <w:pPr>
              <w:pStyle w:val="TableText"/>
              <w:rPr>
                <w:rStyle w:val="Strong"/>
              </w:rPr>
            </w:pPr>
            <w:r w:rsidRPr="004150F4">
              <w:rPr>
                <w:rStyle w:val="Strong"/>
              </w:rPr>
              <w:lastRenderedPageBreak/>
              <w:t>Key issue 10</w:t>
            </w:r>
          </w:p>
        </w:tc>
        <w:tc>
          <w:tcPr>
            <w:tcW w:w="3281" w:type="pct"/>
          </w:tcPr>
          <w:p w14:paraId="0AA1F557" w14:textId="72475066" w:rsidR="00A23A48" w:rsidRPr="004150F4" w:rsidRDefault="00DE6E14" w:rsidP="00E15D73">
            <w:pPr>
              <w:pStyle w:val="TableText"/>
              <w:rPr>
                <w:rStyle w:val="Strong"/>
              </w:rPr>
            </w:pPr>
            <w:r>
              <w:rPr>
                <w:rStyle w:val="Strong"/>
              </w:rPr>
              <w:t>P</w:t>
            </w:r>
            <w:r w:rsidR="00A23A48" w:rsidRPr="004150F4">
              <w:rPr>
                <w:rStyle w:val="Strong"/>
              </w:rPr>
              <w:t>rinciples</w:t>
            </w:r>
          </w:p>
        </w:tc>
      </w:tr>
      <w:tr w:rsidR="00A23A48" w:rsidRPr="0072782E" w14:paraId="7968C64A" w14:textId="77777777" w:rsidTr="00DE6E14">
        <w:trPr>
          <w:cantSplit/>
        </w:trPr>
        <w:tc>
          <w:tcPr>
            <w:tcW w:w="1719" w:type="pct"/>
          </w:tcPr>
          <w:p w14:paraId="2DB17EFF" w14:textId="0EE610A0" w:rsidR="00A23A48" w:rsidRPr="00E15D73" w:rsidRDefault="00A23A48" w:rsidP="00E15D73">
            <w:pPr>
              <w:pStyle w:val="TableText"/>
            </w:pPr>
            <w:r>
              <w:t>Recommendation 23</w:t>
            </w:r>
          </w:p>
        </w:tc>
        <w:tc>
          <w:tcPr>
            <w:tcW w:w="3281" w:type="pct"/>
          </w:tcPr>
          <w:p w14:paraId="0D61BBA8" w14:textId="2CCF4023" w:rsidR="00A23A48" w:rsidRPr="00E15D73" w:rsidRDefault="00A23A48" w:rsidP="002C1247">
            <w:pPr>
              <w:pStyle w:val="TableText"/>
              <w:rPr>
                <w:lang w:eastAsia="ja-JP"/>
              </w:rPr>
            </w:pPr>
            <w:r>
              <w:rPr>
                <w:lang w:eastAsia="ja-JP"/>
              </w:rPr>
              <w:t>The principles are a key aspect of the NDA and need to be retained as central to the new agreement.</w:t>
            </w:r>
          </w:p>
        </w:tc>
      </w:tr>
      <w:tr w:rsidR="00A23A48" w:rsidRPr="0072782E" w14:paraId="7DDC8499" w14:textId="77777777" w:rsidTr="00DE6E14">
        <w:trPr>
          <w:cantSplit/>
        </w:trPr>
        <w:tc>
          <w:tcPr>
            <w:tcW w:w="1719" w:type="pct"/>
          </w:tcPr>
          <w:p w14:paraId="33F94489" w14:textId="63C5A391" w:rsidR="00A23A48" w:rsidRPr="00E15D73" w:rsidRDefault="00A23A48" w:rsidP="00E15D73">
            <w:pPr>
              <w:pStyle w:val="TableText"/>
            </w:pPr>
            <w:r>
              <w:t>Recommendation 24</w:t>
            </w:r>
          </w:p>
        </w:tc>
        <w:tc>
          <w:tcPr>
            <w:tcW w:w="3281" w:type="pct"/>
          </w:tcPr>
          <w:p w14:paraId="7CC71E26" w14:textId="16A4D4F1" w:rsidR="00A23A48" w:rsidRPr="00E15D73" w:rsidRDefault="00A23A48" w:rsidP="002C1247">
            <w:pPr>
              <w:pStyle w:val="TableText"/>
              <w:rPr>
                <w:lang w:eastAsia="ja-JP"/>
              </w:rPr>
            </w:pPr>
            <w:r>
              <w:rPr>
                <w:lang w:eastAsia="ja-JP"/>
              </w:rPr>
              <w:t>They should be incorporated into the main body of the agreement rather than being attachments and should be consolidated into a single set of principles for clarity and ease of use.</w:t>
            </w:r>
          </w:p>
        </w:tc>
      </w:tr>
      <w:tr w:rsidR="00A23A48" w:rsidRPr="0072782E" w14:paraId="70E9077F" w14:textId="77777777" w:rsidTr="00DE6E14">
        <w:trPr>
          <w:cantSplit/>
        </w:trPr>
        <w:tc>
          <w:tcPr>
            <w:tcW w:w="1719" w:type="pct"/>
          </w:tcPr>
          <w:p w14:paraId="7BA654CA" w14:textId="776B3EC2" w:rsidR="00A23A48" w:rsidRPr="00E15D73" w:rsidRDefault="00A23A48" w:rsidP="00E15D73">
            <w:pPr>
              <w:pStyle w:val="TableText"/>
            </w:pPr>
            <w:r>
              <w:t>Recommendation 25</w:t>
            </w:r>
          </w:p>
        </w:tc>
        <w:tc>
          <w:tcPr>
            <w:tcW w:w="3281" w:type="pct"/>
          </w:tcPr>
          <w:p w14:paraId="53DA600F" w14:textId="77777777" w:rsidR="00A23A48" w:rsidRDefault="00A23A48" w:rsidP="002C1247">
            <w:pPr>
              <w:pStyle w:val="TableText"/>
              <w:rPr>
                <w:lang w:eastAsia="ja-JP"/>
              </w:rPr>
            </w:pPr>
            <w:r>
              <w:rPr>
                <w:lang w:eastAsia="ja-JP"/>
              </w:rPr>
              <w:t>The following list of updated principles should be used as the basis for drafting the principles for the new agreement, though remain subject to further iteration in response to stakeholder consultation and deliberation by the parties.</w:t>
            </w:r>
          </w:p>
          <w:p w14:paraId="6DC337AE" w14:textId="3288B965" w:rsidR="00A23A48" w:rsidRDefault="00A23A48" w:rsidP="0082122D">
            <w:pPr>
              <w:pStyle w:val="TableText"/>
              <w:rPr>
                <w:lang w:eastAsia="ja-JP"/>
              </w:rPr>
            </w:pPr>
            <w:r>
              <w:rPr>
                <w:lang w:eastAsia="ja-JP"/>
              </w:rPr>
              <w:t xml:space="preserve">a) </w:t>
            </w:r>
            <w:r w:rsidR="00914B63">
              <w:rPr>
                <w:lang w:eastAsia="ja-JP"/>
              </w:rPr>
              <w:t>The new agreement should r</w:t>
            </w:r>
            <w:r w:rsidRPr="007B6CFF">
              <w:rPr>
                <w:lang w:eastAsia="ja-JP"/>
              </w:rPr>
              <w:t>ecognise that farming businesses, farming families and farming communities operate within a multi-hazard environment and drought is one of a number of business risks that they actively prepare for.</w:t>
            </w:r>
          </w:p>
          <w:p w14:paraId="7629FBD9" w14:textId="7C39B50C" w:rsidR="00A23A48" w:rsidRDefault="00A23A48" w:rsidP="0082122D">
            <w:pPr>
              <w:pStyle w:val="TableText"/>
              <w:rPr>
                <w:lang w:eastAsia="ja-JP"/>
              </w:rPr>
            </w:pPr>
            <w:r>
              <w:rPr>
                <w:lang w:eastAsia="ja-JP"/>
              </w:rPr>
              <w:t xml:space="preserve">b) </w:t>
            </w:r>
            <w:r w:rsidRPr="007B6CFF">
              <w:rPr>
                <w:lang w:eastAsia="ja-JP"/>
              </w:rPr>
              <w:t>Government policies and programs should support farming businesses, farming families and farming communities to prepare for drought and climate variability and enhance their long-term sustainability and resilience.</w:t>
            </w:r>
          </w:p>
          <w:p w14:paraId="423F185C" w14:textId="63E4C944" w:rsidR="00A23A48" w:rsidRDefault="00A23A48" w:rsidP="0082122D">
            <w:pPr>
              <w:pStyle w:val="TableText"/>
              <w:rPr>
                <w:lang w:eastAsia="ja-JP"/>
              </w:rPr>
            </w:pPr>
            <w:r>
              <w:rPr>
                <w:lang w:eastAsia="ja-JP"/>
              </w:rPr>
              <w:t xml:space="preserve">c) </w:t>
            </w:r>
            <w:r w:rsidRPr="007B6CFF">
              <w:rPr>
                <w:lang w:eastAsia="ja-JP"/>
              </w:rPr>
              <w:t>Drought policies and programs should</w:t>
            </w:r>
          </w:p>
          <w:p w14:paraId="2E8D17D3" w14:textId="5EC1AF07" w:rsidR="00A23A48" w:rsidRDefault="00A23A48" w:rsidP="009337B7">
            <w:pPr>
              <w:pStyle w:val="TableText"/>
              <w:ind w:left="720"/>
              <w:rPr>
                <w:lang w:eastAsia="ja-JP"/>
              </w:rPr>
            </w:pPr>
            <w:r>
              <w:rPr>
                <w:lang w:eastAsia="ja-JP"/>
              </w:rPr>
              <w:t>i) recognise the important role of farming businesses as the nation’s food and fibre producers, and export revenue earners, which are vital to strong and cohesive rural communities</w:t>
            </w:r>
          </w:p>
          <w:p w14:paraId="75D7CCF8" w14:textId="590D8EBC" w:rsidR="00A23A48" w:rsidRDefault="00A23A48" w:rsidP="009337B7">
            <w:pPr>
              <w:pStyle w:val="TableText"/>
              <w:ind w:left="720"/>
              <w:rPr>
                <w:lang w:eastAsia="ja-JP"/>
              </w:rPr>
            </w:pPr>
            <w:r>
              <w:rPr>
                <w:lang w:eastAsia="ja-JP"/>
              </w:rPr>
              <w:t>ii) recognise the importance of maintaining and supporting the natural resource base and safeguarding animal welfare</w:t>
            </w:r>
          </w:p>
          <w:p w14:paraId="72DF45B2" w14:textId="7972D600" w:rsidR="00A23A48" w:rsidRDefault="00A23A48" w:rsidP="009337B7">
            <w:pPr>
              <w:pStyle w:val="TableText"/>
              <w:ind w:left="720"/>
              <w:rPr>
                <w:lang w:eastAsia="ja-JP"/>
              </w:rPr>
            </w:pPr>
            <w:r>
              <w:rPr>
                <w:lang w:eastAsia="ja-JP"/>
              </w:rPr>
              <w:t>iii) align with intersecting policies and programs wherever practicable, including but not limited to those related to climate, water, soils, and biodiversity</w:t>
            </w:r>
          </w:p>
          <w:p w14:paraId="7A81A463" w14:textId="0EDF4E01" w:rsidR="00A23A48" w:rsidRDefault="00A23A48" w:rsidP="009337B7">
            <w:pPr>
              <w:pStyle w:val="TableText"/>
              <w:ind w:left="720"/>
              <w:rPr>
                <w:lang w:eastAsia="ja-JP"/>
              </w:rPr>
            </w:pPr>
            <w:r>
              <w:rPr>
                <w:lang w:eastAsia="ja-JP"/>
              </w:rPr>
              <w:t>iv) occur where there is a clear role for government and deliver a public benefit</w:t>
            </w:r>
          </w:p>
          <w:p w14:paraId="5A8C6B5D" w14:textId="27C044AC" w:rsidR="00A23A48" w:rsidRDefault="00A23A48" w:rsidP="009337B7">
            <w:pPr>
              <w:pStyle w:val="TableText"/>
              <w:ind w:left="720"/>
              <w:rPr>
                <w:lang w:eastAsia="ja-JP"/>
              </w:rPr>
            </w:pPr>
            <w:r>
              <w:rPr>
                <w:lang w:eastAsia="ja-JP"/>
              </w:rPr>
              <w:t>v) consider the interests of First Nations people and communities</w:t>
            </w:r>
          </w:p>
          <w:p w14:paraId="57FFC34C" w14:textId="6EF6D892" w:rsidR="00A23A48" w:rsidRDefault="00A23A48" w:rsidP="009337B7">
            <w:pPr>
              <w:pStyle w:val="TableText"/>
              <w:ind w:left="720"/>
              <w:rPr>
                <w:lang w:eastAsia="ja-JP"/>
              </w:rPr>
            </w:pPr>
            <w:r>
              <w:rPr>
                <w:lang w:eastAsia="ja-JP"/>
              </w:rPr>
              <w:t>vi) be planned and delivered with non-party stakeholders, as appropriate to context and place</w:t>
            </w:r>
          </w:p>
          <w:p w14:paraId="1B7A0E58" w14:textId="0798CB0B" w:rsidR="00A23A48" w:rsidRDefault="00A23A48" w:rsidP="009337B7">
            <w:pPr>
              <w:pStyle w:val="TableText"/>
              <w:ind w:left="720"/>
              <w:rPr>
                <w:lang w:eastAsia="ja-JP"/>
              </w:rPr>
            </w:pPr>
            <w:r>
              <w:rPr>
                <w:lang w:eastAsia="ja-JP"/>
              </w:rPr>
              <w:t>vii) be streamlined and efficient to deliver timely assistance that is responsive to peoples’ experiences as end-users.</w:t>
            </w:r>
          </w:p>
          <w:p w14:paraId="3272BBBC" w14:textId="35E6CE70" w:rsidR="00A23A48" w:rsidRDefault="00A23A48" w:rsidP="0082122D">
            <w:pPr>
              <w:pStyle w:val="TableText"/>
              <w:rPr>
                <w:lang w:eastAsia="ja-JP"/>
              </w:rPr>
            </w:pPr>
            <w:r>
              <w:rPr>
                <w:lang w:eastAsia="ja-JP"/>
              </w:rPr>
              <w:t xml:space="preserve">d) </w:t>
            </w:r>
            <w:r w:rsidRPr="007B6CFF">
              <w:rPr>
                <w:lang w:eastAsia="ja-JP"/>
              </w:rPr>
              <w:t>Parties and non-party stakeholders have a shared responsibility to work together for a holistic and integrated approach to drought efforts.</w:t>
            </w:r>
          </w:p>
          <w:p w14:paraId="10DD8DB5" w14:textId="44EB10B3" w:rsidR="00A23A48" w:rsidRDefault="00A23A48" w:rsidP="0082122D">
            <w:pPr>
              <w:pStyle w:val="TableText"/>
              <w:rPr>
                <w:lang w:eastAsia="ja-JP"/>
              </w:rPr>
            </w:pPr>
            <w:r>
              <w:rPr>
                <w:lang w:eastAsia="ja-JP"/>
              </w:rPr>
              <w:t xml:space="preserve">e) </w:t>
            </w:r>
            <w:r w:rsidRPr="007B6CFF">
              <w:rPr>
                <w:lang w:eastAsia="ja-JP"/>
              </w:rPr>
              <w:t>Parties should collaborate proactively when planning drought preparedness policies and programs.</w:t>
            </w:r>
          </w:p>
          <w:p w14:paraId="3DFBB902" w14:textId="6D1041CB" w:rsidR="00A23A48" w:rsidRDefault="00A23A48" w:rsidP="0082122D">
            <w:pPr>
              <w:pStyle w:val="TableText"/>
              <w:rPr>
                <w:lang w:eastAsia="ja-JP"/>
              </w:rPr>
            </w:pPr>
            <w:r>
              <w:rPr>
                <w:lang w:eastAsia="ja-JP"/>
              </w:rPr>
              <w:t xml:space="preserve">f) </w:t>
            </w:r>
            <w:r w:rsidRPr="007B6CFF">
              <w:rPr>
                <w:lang w:eastAsia="ja-JP"/>
              </w:rPr>
              <w:t>Parties should work towards improved and sustained coordination of in-drought response efforts, which avoids duplication and enables links with other measures or between service providers to best serve the interests and needs of end-users.</w:t>
            </w:r>
          </w:p>
          <w:p w14:paraId="241D1C3E" w14:textId="00690487" w:rsidR="00A23A48" w:rsidRDefault="00A23A48" w:rsidP="0082122D">
            <w:pPr>
              <w:pStyle w:val="TableText"/>
              <w:rPr>
                <w:lang w:eastAsia="ja-JP"/>
              </w:rPr>
            </w:pPr>
            <w:r>
              <w:rPr>
                <w:lang w:eastAsia="ja-JP"/>
              </w:rPr>
              <w:t xml:space="preserve">g) </w:t>
            </w:r>
            <w:r w:rsidRPr="007B6CFF">
              <w:rPr>
                <w:lang w:eastAsia="ja-JP"/>
              </w:rPr>
              <w:t>Decisions by parties should seek to avoid creating adverse outcomes for stakeholders, including those in other jurisdictions.</w:t>
            </w:r>
          </w:p>
          <w:p w14:paraId="370FB6EA" w14:textId="07A23BA8" w:rsidR="00A23A48" w:rsidRPr="00E15D73" w:rsidRDefault="00A23A48" w:rsidP="0082122D">
            <w:pPr>
              <w:pStyle w:val="TableText"/>
              <w:rPr>
                <w:lang w:eastAsia="ja-JP"/>
              </w:rPr>
            </w:pPr>
            <w:r>
              <w:rPr>
                <w:lang w:eastAsia="ja-JP"/>
              </w:rPr>
              <w:t xml:space="preserve">h) </w:t>
            </w:r>
            <w:r w:rsidRPr="007B6CFF">
              <w:rPr>
                <w:lang w:eastAsia="ja-JP"/>
              </w:rPr>
              <w:t>Support needs are highly variable, and eligibility should be based on need, not activated by drought declarations.</w:t>
            </w:r>
          </w:p>
        </w:tc>
      </w:tr>
      <w:tr w:rsidR="00A23A48" w:rsidRPr="0072782E" w14:paraId="57991A34" w14:textId="77777777" w:rsidTr="00DE6E14">
        <w:trPr>
          <w:cantSplit/>
        </w:trPr>
        <w:tc>
          <w:tcPr>
            <w:tcW w:w="1719" w:type="pct"/>
          </w:tcPr>
          <w:p w14:paraId="00703245" w14:textId="673AFDCE" w:rsidR="00A23A48" w:rsidRPr="004150F4" w:rsidRDefault="00A23A48" w:rsidP="00E15D73">
            <w:pPr>
              <w:pStyle w:val="TableText"/>
              <w:rPr>
                <w:rStyle w:val="Strong"/>
              </w:rPr>
            </w:pPr>
            <w:r w:rsidRPr="004150F4">
              <w:rPr>
                <w:rStyle w:val="Strong"/>
              </w:rPr>
              <w:t>Key issue 11</w:t>
            </w:r>
          </w:p>
        </w:tc>
        <w:tc>
          <w:tcPr>
            <w:tcW w:w="3281" w:type="pct"/>
          </w:tcPr>
          <w:p w14:paraId="6B452B40" w14:textId="51BA21B6" w:rsidR="00A23A48" w:rsidRPr="004150F4" w:rsidRDefault="00A23A48" w:rsidP="004150F4">
            <w:pPr>
              <w:pStyle w:val="TableText"/>
              <w:rPr>
                <w:rStyle w:val="Strong"/>
                <w:lang w:eastAsia="ja-JP"/>
              </w:rPr>
            </w:pPr>
            <w:r w:rsidRPr="004150F4">
              <w:rPr>
                <w:rStyle w:val="Strong"/>
              </w:rPr>
              <w:t>Monitoring, evaluation, learning and reporting</w:t>
            </w:r>
          </w:p>
        </w:tc>
      </w:tr>
      <w:tr w:rsidR="00A23A48" w:rsidRPr="0072782E" w14:paraId="512BE6BB" w14:textId="77777777" w:rsidTr="00DE6E14">
        <w:trPr>
          <w:cantSplit/>
        </w:trPr>
        <w:tc>
          <w:tcPr>
            <w:tcW w:w="1719" w:type="pct"/>
          </w:tcPr>
          <w:p w14:paraId="0EB19B8E" w14:textId="570FFD63" w:rsidR="00A23A48" w:rsidRDefault="00A23A48" w:rsidP="00E15D73">
            <w:pPr>
              <w:pStyle w:val="TableText"/>
            </w:pPr>
            <w:r>
              <w:t>Recommendation 26</w:t>
            </w:r>
          </w:p>
        </w:tc>
        <w:tc>
          <w:tcPr>
            <w:tcW w:w="3281" w:type="pct"/>
          </w:tcPr>
          <w:p w14:paraId="4EA954ED" w14:textId="32567F45" w:rsidR="00A23A48" w:rsidRPr="00E15D73" w:rsidRDefault="00A23A48" w:rsidP="004150F4">
            <w:pPr>
              <w:pStyle w:val="TableText"/>
              <w:rPr>
                <w:lang w:eastAsia="ja-JP"/>
              </w:rPr>
            </w:pPr>
            <w:r>
              <w:rPr>
                <w:lang w:eastAsia="ja-JP"/>
              </w:rPr>
              <w:t>Continue to provide annual reporting through AGSOC and the AMM.</w:t>
            </w:r>
          </w:p>
        </w:tc>
      </w:tr>
      <w:tr w:rsidR="00A23A48" w:rsidRPr="0072782E" w14:paraId="1AEAA817" w14:textId="77777777" w:rsidTr="00DE6E14">
        <w:trPr>
          <w:cantSplit/>
        </w:trPr>
        <w:tc>
          <w:tcPr>
            <w:tcW w:w="1719" w:type="pct"/>
          </w:tcPr>
          <w:p w14:paraId="023DCE09" w14:textId="7C4E8B38" w:rsidR="00A23A48" w:rsidRDefault="00A23A48" w:rsidP="00E15D73">
            <w:pPr>
              <w:pStyle w:val="TableText"/>
            </w:pPr>
            <w:r>
              <w:lastRenderedPageBreak/>
              <w:t>Recommendation 27</w:t>
            </w:r>
          </w:p>
        </w:tc>
        <w:tc>
          <w:tcPr>
            <w:tcW w:w="3281" w:type="pct"/>
          </w:tcPr>
          <w:p w14:paraId="000AC09D" w14:textId="77777777" w:rsidR="00A23A48" w:rsidRDefault="00A23A48" w:rsidP="004150F4">
            <w:pPr>
              <w:pStyle w:val="TableText"/>
              <w:rPr>
                <w:lang w:eastAsia="ja-JP"/>
              </w:rPr>
            </w:pPr>
            <w:r>
              <w:rPr>
                <w:lang w:eastAsia="ja-JP"/>
              </w:rPr>
              <w:t>Establish a monitoring, evaluation, learning and reporting framework</w:t>
            </w:r>
          </w:p>
          <w:p w14:paraId="16A4E399" w14:textId="14279168" w:rsidR="00A23A48" w:rsidRDefault="00A23A48" w:rsidP="00810608">
            <w:pPr>
              <w:pStyle w:val="TableText"/>
              <w:rPr>
                <w:lang w:eastAsia="ja-JP"/>
              </w:rPr>
            </w:pPr>
            <w:r>
              <w:rPr>
                <w:lang w:eastAsia="ja-JP"/>
              </w:rPr>
              <w:t xml:space="preserve">a) </w:t>
            </w:r>
            <w:r w:rsidRPr="007B6CFF">
              <w:rPr>
                <w:lang w:eastAsia="ja-JP"/>
              </w:rPr>
              <w:t>at the same time as drafting the agreement itself</w:t>
            </w:r>
          </w:p>
          <w:p w14:paraId="64B6242A" w14:textId="130CA67F" w:rsidR="00A23A48" w:rsidRDefault="00A23A48" w:rsidP="00810608">
            <w:pPr>
              <w:pStyle w:val="TableText"/>
              <w:rPr>
                <w:lang w:eastAsia="ja-JP"/>
              </w:rPr>
            </w:pPr>
            <w:r>
              <w:rPr>
                <w:lang w:eastAsia="ja-JP"/>
              </w:rPr>
              <w:t xml:space="preserve">b) </w:t>
            </w:r>
            <w:r w:rsidRPr="007B6CFF">
              <w:rPr>
                <w:lang w:eastAsia="ja-JP"/>
              </w:rPr>
              <w:t>which is fit-for-purpose for the NDA as an intergovernmental</w:t>
            </w:r>
            <w:r>
              <w:rPr>
                <w:lang w:eastAsia="ja-JP"/>
              </w:rPr>
              <w:t xml:space="preserve"> </w:t>
            </w:r>
            <w:r w:rsidRPr="007B6CFF">
              <w:rPr>
                <w:lang w:eastAsia="ja-JP"/>
              </w:rPr>
              <w:t>agreement, as distinct from a program</w:t>
            </w:r>
          </w:p>
          <w:p w14:paraId="002D5D0C" w14:textId="71D70216" w:rsidR="00A23A48" w:rsidRDefault="00A23A48" w:rsidP="00810608">
            <w:pPr>
              <w:pStyle w:val="TableText"/>
              <w:rPr>
                <w:lang w:eastAsia="ja-JP"/>
              </w:rPr>
            </w:pPr>
            <w:r>
              <w:rPr>
                <w:lang w:eastAsia="ja-JP"/>
              </w:rPr>
              <w:t xml:space="preserve">c) </w:t>
            </w:r>
            <w:r w:rsidRPr="007B6CFF">
              <w:rPr>
                <w:lang w:eastAsia="ja-JP"/>
              </w:rPr>
              <w:t>which includes a focus not just on monitoring and reporting, but</w:t>
            </w:r>
            <w:r>
              <w:rPr>
                <w:lang w:eastAsia="ja-JP"/>
              </w:rPr>
              <w:t xml:space="preserve"> </w:t>
            </w:r>
            <w:r w:rsidRPr="007B6CFF">
              <w:rPr>
                <w:lang w:eastAsia="ja-JP"/>
              </w:rPr>
              <w:t>also on learning</w:t>
            </w:r>
          </w:p>
          <w:p w14:paraId="0AB1464E" w14:textId="4237A6C5" w:rsidR="00A23A48" w:rsidRDefault="00A23A48" w:rsidP="00810608">
            <w:pPr>
              <w:pStyle w:val="TableText"/>
              <w:rPr>
                <w:lang w:eastAsia="ja-JP"/>
              </w:rPr>
            </w:pPr>
            <w:r>
              <w:rPr>
                <w:lang w:eastAsia="ja-JP"/>
              </w:rPr>
              <w:t xml:space="preserve">d) </w:t>
            </w:r>
            <w:r w:rsidRPr="007B6CFF">
              <w:rPr>
                <w:lang w:eastAsia="ja-JP"/>
              </w:rPr>
              <w:t>which includes a forward-looking component about future priorities</w:t>
            </w:r>
          </w:p>
          <w:p w14:paraId="1815E479" w14:textId="3E00979E" w:rsidR="00A23A48" w:rsidRPr="004150F4" w:rsidRDefault="00A23A48" w:rsidP="00810608">
            <w:pPr>
              <w:pStyle w:val="TableText"/>
              <w:rPr>
                <w:lang w:eastAsia="ja-JP"/>
              </w:rPr>
            </w:pPr>
            <w:r>
              <w:rPr>
                <w:lang w:eastAsia="ja-JP"/>
              </w:rPr>
              <w:t xml:space="preserve">e) </w:t>
            </w:r>
            <w:r w:rsidRPr="007B6CFF">
              <w:rPr>
                <w:lang w:eastAsia="ja-JP"/>
              </w:rPr>
              <w:t>which considers timing of reporting to better align with AMM</w:t>
            </w:r>
            <w:r>
              <w:rPr>
                <w:lang w:eastAsia="ja-JP"/>
              </w:rPr>
              <w:t xml:space="preserve"> </w:t>
            </w:r>
            <w:r w:rsidRPr="007B6CFF">
              <w:rPr>
                <w:lang w:eastAsia="ja-JP"/>
              </w:rPr>
              <w:t>schedules.</w:t>
            </w:r>
          </w:p>
        </w:tc>
      </w:tr>
      <w:tr w:rsidR="00A23A48" w:rsidRPr="0072782E" w14:paraId="364A7A9A" w14:textId="77777777" w:rsidTr="00DE6E14">
        <w:trPr>
          <w:cantSplit/>
        </w:trPr>
        <w:tc>
          <w:tcPr>
            <w:tcW w:w="1719" w:type="pct"/>
          </w:tcPr>
          <w:p w14:paraId="452CF8ED" w14:textId="6B70935D" w:rsidR="00A23A48" w:rsidRDefault="00A23A48" w:rsidP="00E15D73">
            <w:pPr>
              <w:pStyle w:val="TableText"/>
            </w:pPr>
            <w:r>
              <w:t>Recommendation 28</w:t>
            </w:r>
          </w:p>
        </w:tc>
        <w:tc>
          <w:tcPr>
            <w:tcW w:w="3281" w:type="pct"/>
          </w:tcPr>
          <w:p w14:paraId="69567EC7" w14:textId="482D98EF" w:rsidR="00A23A48" w:rsidRPr="00E15D73" w:rsidRDefault="00A23A48" w:rsidP="004150F4">
            <w:pPr>
              <w:pStyle w:val="TableText"/>
              <w:rPr>
                <w:lang w:eastAsia="ja-JP"/>
              </w:rPr>
            </w:pPr>
            <w:r>
              <w:rPr>
                <w:lang w:eastAsia="ja-JP"/>
              </w:rPr>
              <w:t>Future efforts should not seek to measure or evaluate the collective impact of drought initiatives. While well intentioned, such efforts would prove difficult and costly to undertake and would be unlikely to realise proportionate benefits. The importance of evaluation is key to continuous improvement, but more targeted and effective efforts should be prioritised.</w:t>
            </w:r>
          </w:p>
        </w:tc>
      </w:tr>
      <w:tr w:rsidR="00A23A48" w:rsidRPr="0072782E" w14:paraId="1C747616" w14:textId="77777777" w:rsidTr="00DE6E14">
        <w:trPr>
          <w:cantSplit/>
        </w:trPr>
        <w:tc>
          <w:tcPr>
            <w:tcW w:w="1719" w:type="pct"/>
          </w:tcPr>
          <w:p w14:paraId="68487E26" w14:textId="15DC16A1" w:rsidR="00A23A48" w:rsidRDefault="00A23A48" w:rsidP="00E15D73">
            <w:pPr>
              <w:pStyle w:val="TableText"/>
            </w:pPr>
            <w:r>
              <w:t>Recommendation 29</w:t>
            </w:r>
          </w:p>
        </w:tc>
        <w:tc>
          <w:tcPr>
            <w:tcW w:w="3281" w:type="pct"/>
          </w:tcPr>
          <w:p w14:paraId="401C65A6" w14:textId="3C6B2CEC" w:rsidR="00A23A48" w:rsidRPr="00E15D73" w:rsidRDefault="00A23A48" w:rsidP="004150F4">
            <w:pPr>
              <w:pStyle w:val="TableText"/>
              <w:rPr>
                <w:lang w:eastAsia="ja-JP"/>
              </w:rPr>
            </w:pPr>
            <w:r>
              <w:rPr>
                <w:lang w:eastAsia="ja-JP"/>
              </w:rPr>
              <w:t>Include a joint responsibility which commits all jurisdictions to undertake appropriate monitoring and evaluation for all relevant initiatives, and to make the replicable learnings from these public.</w:t>
            </w:r>
          </w:p>
        </w:tc>
      </w:tr>
      <w:tr w:rsidR="00A23A48" w:rsidRPr="0072782E" w14:paraId="4C26D7AD" w14:textId="77777777" w:rsidTr="00DE6E14">
        <w:trPr>
          <w:cantSplit/>
        </w:trPr>
        <w:tc>
          <w:tcPr>
            <w:tcW w:w="1719" w:type="pct"/>
          </w:tcPr>
          <w:p w14:paraId="58645A24" w14:textId="0045D304" w:rsidR="00A23A48" w:rsidRDefault="00A23A48" w:rsidP="00E15D73">
            <w:pPr>
              <w:pStyle w:val="TableText"/>
            </w:pPr>
            <w:r>
              <w:t>Recommendation 30</w:t>
            </w:r>
          </w:p>
        </w:tc>
        <w:tc>
          <w:tcPr>
            <w:tcW w:w="3281" w:type="pct"/>
          </w:tcPr>
          <w:p w14:paraId="753BCDBA" w14:textId="77777777" w:rsidR="00A23A48" w:rsidRDefault="00A23A48" w:rsidP="004150F4">
            <w:pPr>
              <w:pStyle w:val="TableText"/>
              <w:rPr>
                <w:lang w:eastAsia="ja-JP"/>
              </w:rPr>
            </w:pPr>
            <w:r>
              <w:rPr>
                <w:lang w:eastAsia="ja-JP"/>
              </w:rPr>
              <w:t>Utilise the interjurisdictional coordination mechanism (see recommendation 8) to progress efforts that can contribute to improved monitoring, evaluation and learning over time, such as:</w:t>
            </w:r>
          </w:p>
          <w:p w14:paraId="6E05AFAF" w14:textId="4195707C" w:rsidR="00A23A48" w:rsidRDefault="00A23A48" w:rsidP="00810608">
            <w:pPr>
              <w:pStyle w:val="TableText"/>
              <w:rPr>
                <w:lang w:eastAsia="ja-JP"/>
              </w:rPr>
            </w:pPr>
            <w:r>
              <w:rPr>
                <w:lang w:eastAsia="ja-JP"/>
              </w:rPr>
              <w:t xml:space="preserve">a) </w:t>
            </w:r>
            <w:r w:rsidRPr="007B6CFF">
              <w:rPr>
                <w:lang w:eastAsia="ja-JP"/>
              </w:rPr>
              <w:t>prioritise key targeted evaluation pieces to progress together</w:t>
            </w:r>
            <w:r>
              <w:rPr>
                <w:lang w:eastAsia="ja-JP"/>
              </w:rPr>
              <w:t xml:space="preserve"> </w:t>
            </w:r>
            <w:r w:rsidRPr="007B6CFF">
              <w:rPr>
                <w:lang w:eastAsia="ja-JP"/>
              </w:rPr>
              <w:t>(for example, how to understand and measure progress in drought resilience)</w:t>
            </w:r>
          </w:p>
          <w:p w14:paraId="66C33DA1" w14:textId="2EC2517B" w:rsidR="00A23A48" w:rsidRDefault="00A23A48" w:rsidP="00810608">
            <w:pPr>
              <w:pStyle w:val="TableText"/>
              <w:rPr>
                <w:lang w:eastAsia="ja-JP"/>
              </w:rPr>
            </w:pPr>
            <w:r>
              <w:rPr>
                <w:lang w:eastAsia="ja-JP"/>
              </w:rPr>
              <w:t xml:space="preserve">b) </w:t>
            </w:r>
            <w:r w:rsidRPr="007B6CFF">
              <w:rPr>
                <w:lang w:eastAsia="ja-JP"/>
              </w:rPr>
              <w:t>explore improved data capabilities for monitoring, evaluation, learning and reporting purposes (including use of data from industry and the financial sector)</w:t>
            </w:r>
          </w:p>
          <w:p w14:paraId="1CE30440" w14:textId="5FCEFF5B" w:rsidR="00A23A48" w:rsidRPr="00E15D73" w:rsidRDefault="00A23A48" w:rsidP="00810608">
            <w:pPr>
              <w:pStyle w:val="TableText"/>
              <w:rPr>
                <w:lang w:eastAsia="ja-JP"/>
              </w:rPr>
            </w:pPr>
            <w:r>
              <w:rPr>
                <w:lang w:eastAsia="ja-JP"/>
              </w:rPr>
              <w:t xml:space="preserve">c) </w:t>
            </w:r>
            <w:r w:rsidRPr="007B6CFF">
              <w:rPr>
                <w:lang w:eastAsia="ja-JP"/>
              </w:rPr>
              <w:t>consider options to better facilitate sharing between parties, particularly as it relates to real-time information and lessons and evidence to support future policy and program design.</w:t>
            </w:r>
          </w:p>
        </w:tc>
      </w:tr>
      <w:tr w:rsidR="00A23A48" w:rsidRPr="0072782E" w14:paraId="1DF7ABA7" w14:textId="77777777" w:rsidTr="00DE6E14">
        <w:trPr>
          <w:cantSplit/>
        </w:trPr>
        <w:tc>
          <w:tcPr>
            <w:tcW w:w="1719" w:type="pct"/>
          </w:tcPr>
          <w:p w14:paraId="112FCD5C" w14:textId="1A14958F" w:rsidR="00A23A48" w:rsidRDefault="00A23A48" w:rsidP="00E15D73">
            <w:pPr>
              <w:pStyle w:val="TableText"/>
            </w:pPr>
            <w:r>
              <w:t>Recommendation 31</w:t>
            </w:r>
          </w:p>
        </w:tc>
        <w:tc>
          <w:tcPr>
            <w:tcW w:w="3281" w:type="pct"/>
          </w:tcPr>
          <w:p w14:paraId="71E5F512" w14:textId="5B6A7F6F" w:rsidR="00A23A48" w:rsidRPr="00E15D73" w:rsidRDefault="00A23A48" w:rsidP="004150F4">
            <w:pPr>
              <w:pStyle w:val="TableText"/>
              <w:rPr>
                <w:lang w:eastAsia="ja-JP"/>
              </w:rPr>
            </w:pPr>
            <w:r>
              <w:rPr>
                <w:lang w:eastAsia="ja-JP"/>
              </w:rPr>
              <w:t>The new agreement should retain the requirement for a review of the NDA to commence at least 2 years prior to its expiry date.</w:t>
            </w:r>
          </w:p>
        </w:tc>
      </w:tr>
      <w:tr w:rsidR="00A23A48" w:rsidRPr="0072782E" w14:paraId="684D8160" w14:textId="77777777" w:rsidTr="00DE6E14">
        <w:trPr>
          <w:cantSplit/>
        </w:trPr>
        <w:tc>
          <w:tcPr>
            <w:tcW w:w="1719" w:type="pct"/>
          </w:tcPr>
          <w:p w14:paraId="081EC24F" w14:textId="5F0E03BD" w:rsidR="00A23A48" w:rsidRPr="00747DA6" w:rsidRDefault="00A23A48" w:rsidP="00E15D73">
            <w:pPr>
              <w:pStyle w:val="TableText"/>
              <w:rPr>
                <w:rStyle w:val="Strong"/>
              </w:rPr>
            </w:pPr>
            <w:r w:rsidRPr="00747DA6">
              <w:rPr>
                <w:rStyle w:val="Strong"/>
              </w:rPr>
              <w:t>Key issue 12</w:t>
            </w:r>
          </w:p>
        </w:tc>
        <w:tc>
          <w:tcPr>
            <w:tcW w:w="3281" w:type="pct"/>
          </w:tcPr>
          <w:p w14:paraId="1F10F32B" w14:textId="1D6BB5E3" w:rsidR="00A23A48" w:rsidRPr="00747DA6" w:rsidRDefault="00A23A48" w:rsidP="00E15D73">
            <w:pPr>
              <w:pStyle w:val="TableText"/>
              <w:rPr>
                <w:rStyle w:val="Strong"/>
              </w:rPr>
            </w:pPr>
            <w:r w:rsidRPr="00747DA6">
              <w:rPr>
                <w:rStyle w:val="Strong"/>
              </w:rPr>
              <w:t>Readability</w:t>
            </w:r>
          </w:p>
        </w:tc>
      </w:tr>
      <w:tr w:rsidR="00A23A48" w:rsidRPr="0072782E" w14:paraId="6E0384BF" w14:textId="77777777" w:rsidTr="00DE6E14">
        <w:trPr>
          <w:cantSplit/>
        </w:trPr>
        <w:tc>
          <w:tcPr>
            <w:tcW w:w="1719" w:type="pct"/>
          </w:tcPr>
          <w:p w14:paraId="4967D9AD" w14:textId="508BCC5D" w:rsidR="00A23A48" w:rsidRDefault="00A23A48" w:rsidP="00E15D73">
            <w:pPr>
              <w:pStyle w:val="TableText"/>
            </w:pPr>
            <w:r>
              <w:t>Recommendation 32</w:t>
            </w:r>
          </w:p>
        </w:tc>
        <w:tc>
          <w:tcPr>
            <w:tcW w:w="3281" w:type="pct"/>
          </w:tcPr>
          <w:p w14:paraId="3016994A" w14:textId="50066A2E" w:rsidR="00A23A48" w:rsidRPr="00E15D73" w:rsidRDefault="00A23A48" w:rsidP="00747DA6">
            <w:pPr>
              <w:pStyle w:val="TableText"/>
              <w:rPr>
                <w:lang w:eastAsia="ja-JP"/>
              </w:rPr>
            </w:pPr>
            <w:r>
              <w:rPr>
                <w:lang w:eastAsia="ja-JP"/>
              </w:rPr>
              <w:t>An editorial approach should be taken to the new agreement to make sure that there is not duplication between different sections and that readability and useability of the agreement as a whole is maximised. This will assist with comprehension and translation of the agreement into action.</w:t>
            </w:r>
          </w:p>
        </w:tc>
      </w:tr>
      <w:tr w:rsidR="00A23A48" w:rsidRPr="0072782E" w14:paraId="399FAF80" w14:textId="77777777" w:rsidTr="00DE6E14">
        <w:trPr>
          <w:cantSplit/>
        </w:trPr>
        <w:tc>
          <w:tcPr>
            <w:tcW w:w="1719" w:type="pct"/>
          </w:tcPr>
          <w:p w14:paraId="154BA921" w14:textId="17904038" w:rsidR="00A23A48" w:rsidRDefault="00A23A48" w:rsidP="00E15D73">
            <w:pPr>
              <w:pStyle w:val="TableText"/>
            </w:pPr>
            <w:r>
              <w:t>Recommendation 33</w:t>
            </w:r>
          </w:p>
        </w:tc>
        <w:tc>
          <w:tcPr>
            <w:tcW w:w="3281" w:type="pct"/>
          </w:tcPr>
          <w:p w14:paraId="12A406A5" w14:textId="647094BA" w:rsidR="00A23A48" w:rsidRPr="00E15D73" w:rsidRDefault="00A23A48" w:rsidP="00747DA6">
            <w:pPr>
              <w:pStyle w:val="TableText"/>
              <w:rPr>
                <w:lang w:eastAsia="ja-JP"/>
              </w:rPr>
            </w:pPr>
            <w:r>
              <w:rPr>
                <w:lang w:eastAsia="ja-JP"/>
              </w:rPr>
              <w:t>Attention should be given to strengthen the logic between objectives and outcomes, and ensuring that the objectives and outcomes align with the purpose of the NDA as an intergovernmental agreement.</w:t>
            </w:r>
          </w:p>
        </w:tc>
      </w:tr>
    </w:tbl>
    <w:p w14:paraId="454C989F" w14:textId="18ED357E" w:rsidR="00764D6A" w:rsidRDefault="00764D6A" w:rsidP="006D2088">
      <w:pPr>
        <w:pStyle w:val="ListNumber2"/>
        <w:numPr>
          <w:ilvl w:val="0"/>
          <w:numId w:val="0"/>
        </w:numPr>
      </w:pPr>
    </w:p>
    <w:sectPr w:rsidR="00764D6A" w:rsidSect="00B827DF">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669E" w14:textId="77777777" w:rsidR="00551E54" w:rsidRDefault="00551E54">
      <w:r>
        <w:separator/>
      </w:r>
    </w:p>
    <w:p w14:paraId="7D8E7CCF" w14:textId="77777777" w:rsidR="00551E54" w:rsidRDefault="00551E54"/>
    <w:p w14:paraId="5E5700FE" w14:textId="77777777" w:rsidR="00551E54" w:rsidRDefault="00551E54"/>
  </w:endnote>
  <w:endnote w:type="continuationSeparator" w:id="0">
    <w:p w14:paraId="58A6ABB0" w14:textId="77777777" w:rsidR="00551E54" w:rsidRDefault="00551E54">
      <w:r>
        <w:continuationSeparator/>
      </w:r>
    </w:p>
    <w:p w14:paraId="0D156E36" w14:textId="77777777" w:rsidR="00551E54" w:rsidRDefault="00551E54"/>
    <w:p w14:paraId="0A31B6FB" w14:textId="77777777" w:rsidR="00551E54" w:rsidRDefault="00551E54"/>
  </w:endnote>
  <w:endnote w:type="continuationNotice" w:id="1">
    <w:p w14:paraId="743A097A" w14:textId="77777777" w:rsidR="00551E54" w:rsidRDefault="00551E54">
      <w:pPr>
        <w:pStyle w:val="Footer"/>
      </w:pPr>
    </w:p>
    <w:p w14:paraId="718A75B1" w14:textId="77777777" w:rsidR="00551E54" w:rsidRDefault="00551E54"/>
    <w:p w14:paraId="67D2088D" w14:textId="77777777" w:rsidR="00551E54" w:rsidRDefault="00551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8BC9" w14:textId="6B862400" w:rsidR="007A4C06" w:rsidRDefault="007A4C06" w:rsidP="007A4C06">
    <w:pPr>
      <w:pStyle w:val="Footer"/>
    </w:pPr>
    <w:r w:rsidRPr="008A6BBE">
      <w:t>Parties to the National Drought Agreement</w:t>
    </w:r>
  </w:p>
  <w:p w14:paraId="2DEBCF11" w14:textId="0EF7BFCF" w:rsidR="00B861B4" w:rsidRDefault="007A4C06" w:rsidP="007A4C06">
    <w:pPr>
      <w:pStyle w:val="Footer"/>
    </w:pPr>
    <w:r>
      <w:fldChar w:fldCharType="begin"/>
    </w:r>
    <w:r>
      <w:instrText xml:space="preserve"> PAGE   \* MERGEFORMAT </w:instrText>
    </w:r>
    <w:r>
      <w:fldChar w:fldCharType="separate"/>
    </w:r>
    <w:r>
      <w:t>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80E11" w14:textId="77777777" w:rsidR="00551E54" w:rsidRDefault="00551E54">
      <w:r>
        <w:separator/>
      </w:r>
    </w:p>
    <w:p w14:paraId="70A0AE5D" w14:textId="77777777" w:rsidR="00551E54" w:rsidRDefault="00551E54"/>
    <w:p w14:paraId="5F4E204B" w14:textId="77777777" w:rsidR="00551E54" w:rsidRDefault="00551E54"/>
  </w:footnote>
  <w:footnote w:type="continuationSeparator" w:id="0">
    <w:p w14:paraId="681A99B2" w14:textId="77777777" w:rsidR="00551E54" w:rsidRDefault="00551E54">
      <w:r>
        <w:continuationSeparator/>
      </w:r>
    </w:p>
    <w:p w14:paraId="5F873C05" w14:textId="77777777" w:rsidR="00551E54" w:rsidRDefault="00551E54"/>
    <w:p w14:paraId="62167D68" w14:textId="77777777" w:rsidR="00551E54" w:rsidRDefault="00551E54"/>
  </w:footnote>
  <w:footnote w:type="continuationNotice" w:id="1">
    <w:p w14:paraId="10008520" w14:textId="77777777" w:rsidR="00551E54" w:rsidRDefault="00551E54">
      <w:pPr>
        <w:pStyle w:val="Footer"/>
      </w:pPr>
    </w:p>
    <w:p w14:paraId="7EFFC828" w14:textId="77777777" w:rsidR="00551E54" w:rsidRDefault="00551E54"/>
    <w:p w14:paraId="35AE94D4" w14:textId="77777777" w:rsidR="00551E54" w:rsidRDefault="00551E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6D63" w14:textId="620A7B6B" w:rsidR="00B861B4" w:rsidRDefault="004951C0">
    <w:pPr>
      <w:pStyle w:val="Header"/>
    </w:pPr>
    <w:r w:rsidRPr="004951C0">
      <w:t xml:space="preserve">Review of the </w:t>
    </w:r>
    <w:r w:rsidR="0072782E" w:rsidRPr="004951C0">
      <w:t>National Drought Agreement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DAB1E" w14:textId="7290560E" w:rsidR="00B861B4" w:rsidRDefault="00B861B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3E34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0795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4148AD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5C41D2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BF2EB82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7" w15:restartNumberingAfterBreak="0">
    <w:nsid w:val="21A328D5"/>
    <w:multiLevelType w:val="multilevel"/>
    <w:tmpl w:val="F2D80E38"/>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568"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8"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94A15FE"/>
    <w:multiLevelType w:val="multilevel"/>
    <w:tmpl w:val="F36C17E8"/>
    <w:numStyleLink w:val="Headinglist"/>
  </w:abstractNum>
  <w:abstractNum w:abstractNumId="1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3"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1560"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404451164">
    <w:abstractNumId w:val="10"/>
  </w:num>
  <w:num w:numId="2" w16cid:durableId="1666787524">
    <w:abstractNumId w:val="6"/>
  </w:num>
  <w:num w:numId="3" w16cid:durableId="381057155">
    <w:abstractNumId w:val="13"/>
  </w:num>
  <w:num w:numId="4" w16cid:durableId="1639215797">
    <w:abstractNumId w:val="14"/>
  </w:num>
  <w:num w:numId="5" w16cid:durableId="1643265712">
    <w:abstractNumId w:val="8"/>
  </w:num>
  <w:num w:numId="6" w16cid:durableId="793717093">
    <w:abstractNumId w:val="9"/>
  </w:num>
  <w:num w:numId="7" w16cid:durableId="1314063411">
    <w:abstractNumId w:val="12"/>
  </w:num>
  <w:num w:numId="8" w16cid:durableId="626202022">
    <w:abstractNumId w:val="11"/>
  </w:num>
  <w:num w:numId="9" w16cid:durableId="866915021">
    <w:abstractNumId w:val="5"/>
  </w:num>
  <w:num w:numId="10" w16cid:durableId="1399399050">
    <w:abstractNumId w:val="7"/>
  </w:num>
  <w:num w:numId="11" w16cid:durableId="1319112314">
    <w:abstractNumId w:val="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9790791">
    <w:abstractNumId w:val="4"/>
  </w:num>
  <w:num w:numId="13" w16cid:durableId="1346248502">
    <w:abstractNumId w:val="3"/>
  </w:num>
  <w:num w:numId="14" w16cid:durableId="1049258381">
    <w:abstractNumId w:val="2"/>
  </w:num>
  <w:num w:numId="15" w16cid:durableId="1876770442">
    <w:abstractNumId w:val="1"/>
  </w:num>
  <w:num w:numId="16" w16cid:durableId="547645314">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54"/>
    <w:rsid w:val="00006A32"/>
    <w:rsid w:val="000113EB"/>
    <w:rsid w:val="000451CB"/>
    <w:rsid w:val="000507F7"/>
    <w:rsid w:val="000771C6"/>
    <w:rsid w:val="000869AB"/>
    <w:rsid w:val="0008749F"/>
    <w:rsid w:val="000942EE"/>
    <w:rsid w:val="00097FA8"/>
    <w:rsid w:val="000A7AAF"/>
    <w:rsid w:val="000C42A7"/>
    <w:rsid w:val="000C7BAB"/>
    <w:rsid w:val="000D0E46"/>
    <w:rsid w:val="000F5CDE"/>
    <w:rsid w:val="000F65F8"/>
    <w:rsid w:val="00100D7D"/>
    <w:rsid w:val="00102FBC"/>
    <w:rsid w:val="0010661F"/>
    <w:rsid w:val="00106EAE"/>
    <w:rsid w:val="00115D42"/>
    <w:rsid w:val="0013447E"/>
    <w:rsid w:val="001454EA"/>
    <w:rsid w:val="001641A3"/>
    <w:rsid w:val="001647FF"/>
    <w:rsid w:val="00164E77"/>
    <w:rsid w:val="00176594"/>
    <w:rsid w:val="0017699C"/>
    <w:rsid w:val="00180ADD"/>
    <w:rsid w:val="00182677"/>
    <w:rsid w:val="00183B32"/>
    <w:rsid w:val="00194649"/>
    <w:rsid w:val="001975E2"/>
    <w:rsid w:val="001B248F"/>
    <w:rsid w:val="001C1865"/>
    <w:rsid w:val="001D0F04"/>
    <w:rsid w:val="001D4A8B"/>
    <w:rsid w:val="001F20A2"/>
    <w:rsid w:val="00215C94"/>
    <w:rsid w:val="00222137"/>
    <w:rsid w:val="00222FD9"/>
    <w:rsid w:val="00232632"/>
    <w:rsid w:val="00232D62"/>
    <w:rsid w:val="00244CA3"/>
    <w:rsid w:val="0026535A"/>
    <w:rsid w:val="00274FFC"/>
    <w:rsid w:val="00275257"/>
    <w:rsid w:val="00281BB6"/>
    <w:rsid w:val="00284C5A"/>
    <w:rsid w:val="00284D14"/>
    <w:rsid w:val="00286307"/>
    <w:rsid w:val="00292EDF"/>
    <w:rsid w:val="002932DD"/>
    <w:rsid w:val="00295367"/>
    <w:rsid w:val="00296EB1"/>
    <w:rsid w:val="0029754F"/>
    <w:rsid w:val="002A7062"/>
    <w:rsid w:val="002B66C3"/>
    <w:rsid w:val="002C1247"/>
    <w:rsid w:val="002C6858"/>
    <w:rsid w:val="002D4B1B"/>
    <w:rsid w:val="002D5B0A"/>
    <w:rsid w:val="002E560E"/>
    <w:rsid w:val="002E574E"/>
    <w:rsid w:val="002F1457"/>
    <w:rsid w:val="0030120D"/>
    <w:rsid w:val="003024BD"/>
    <w:rsid w:val="003028A1"/>
    <w:rsid w:val="00307E08"/>
    <w:rsid w:val="0031382A"/>
    <w:rsid w:val="00314A2B"/>
    <w:rsid w:val="003214B3"/>
    <w:rsid w:val="00324BD0"/>
    <w:rsid w:val="0033269B"/>
    <w:rsid w:val="00341111"/>
    <w:rsid w:val="00341C6D"/>
    <w:rsid w:val="003425F5"/>
    <w:rsid w:val="003537AD"/>
    <w:rsid w:val="00354FD0"/>
    <w:rsid w:val="00360039"/>
    <w:rsid w:val="00364A4A"/>
    <w:rsid w:val="00366FAB"/>
    <w:rsid w:val="00386CC7"/>
    <w:rsid w:val="00387A8B"/>
    <w:rsid w:val="00394E87"/>
    <w:rsid w:val="00395407"/>
    <w:rsid w:val="003A1BE8"/>
    <w:rsid w:val="003B6798"/>
    <w:rsid w:val="003C0297"/>
    <w:rsid w:val="003C20FF"/>
    <w:rsid w:val="003C3EBD"/>
    <w:rsid w:val="003C67B0"/>
    <w:rsid w:val="003D1BA5"/>
    <w:rsid w:val="003D4E15"/>
    <w:rsid w:val="003E3E37"/>
    <w:rsid w:val="003E5D8E"/>
    <w:rsid w:val="003F50B8"/>
    <w:rsid w:val="003F7B1E"/>
    <w:rsid w:val="004012FE"/>
    <w:rsid w:val="00401C60"/>
    <w:rsid w:val="00407A63"/>
    <w:rsid w:val="00410B27"/>
    <w:rsid w:val="004119A5"/>
    <w:rsid w:val="00412481"/>
    <w:rsid w:val="00414321"/>
    <w:rsid w:val="004150F4"/>
    <w:rsid w:val="0042662E"/>
    <w:rsid w:val="00432172"/>
    <w:rsid w:val="00436B8B"/>
    <w:rsid w:val="00441255"/>
    <w:rsid w:val="00442761"/>
    <w:rsid w:val="00452FD1"/>
    <w:rsid w:val="004539C0"/>
    <w:rsid w:val="00461957"/>
    <w:rsid w:val="00462355"/>
    <w:rsid w:val="00462527"/>
    <w:rsid w:val="00466E80"/>
    <w:rsid w:val="004734DF"/>
    <w:rsid w:val="004816B7"/>
    <w:rsid w:val="00491E5F"/>
    <w:rsid w:val="00492C69"/>
    <w:rsid w:val="00493882"/>
    <w:rsid w:val="004951C0"/>
    <w:rsid w:val="00496D0B"/>
    <w:rsid w:val="004A3E5B"/>
    <w:rsid w:val="004B1D54"/>
    <w:rsid w:val="004B5163"/>
    <w:rsid w:val="004B5B7A"/>
    <w:rsid w:val="004B7D3E"/>
    <w:rsid w:val="004E0B86"/>
    <w:rsid w:val="004E0F77"/>
    <w:rsid w:val="004E602F"/>
    <w:rsid w:val="004F3936"/>
    <w:rsid w:val="004F3F2A"/>
    <w:rsid w:val="005043EB"/>
    <w:rsid w:val="005120EF"/>
    <w:rsid w:val="00517A68"/>
    <w:rsid w:val="00523F2D"/>
    <w:rsid w:val="0052406E"/>
    <w:rsid w:val="0054335F"/>
    <w:rsid w:val="005473B2"/>
    <w:rsid w:val="00551E54"/>
    <w:rsid w:val="00563E1A"/>
    <w:rsid w:val="00563F1B"/>
    <w:rsid w:val="00565029"/>
    <w:rsid w:val="0057424B"/>
    <w:rsid w:val="00575C1D"/>
    <w:rsid w:val="00580C26"/>
    <w:rsid w:val="0058131E"/>
    <w:rsid w:val="00592EE0"/>
    <w:rsid w:val="005A32B2"/>
    <w:rsid w:val="005A7193"/>
    <w:rsid w:val="005B238A"/>
    <w:rsid w:val="005B3AF9"/>
    <w:rsid w:val="005B7A07"/>
    <w:rsid w:val="005C21B6"/>
    <w:rsid w:val="005C24A5"/>
    <w:rsid w:val="005D3790"/>
    <w:rsid w:val="005D3934"/>
    <w:rsid w:val="005E25BD"/>
    <w:rsid w:val="00607587"/>
    <w:rsid w:val="00607D37"/>
    <w:rsid w:val="006138D1"/>
    <w:rsid w:val="00631BD3"/>
    <w:rsid w:val="00634846"/>
    <w:rsid w:val="0063670A"/>
    <w:rsid w:val="00643C78"/>
    <w:rsid w:val="006440A9"/>
    <w:rsid w:val="006455F4"/>
    <w:rsid w:val="006459F9"/>
    <w:rsid w:val="006514E3"/>
    <w:rsid w:val="00671E89"/>
    <w:rsid w:val="00672909"/>
    <w:rsid w:val="00673F83"/>
    <w:rsid w:val="00680970"/>
    <w:rsid w:val="00681910"/>
    <w:rsid w:val="006A2863"/>
    <w:rsid w:val="006B222A"/>
    <w:rsid w:val="006C16FF"/>
    <w:rsid w:val="006C261F"/>
    <w:rsid w:val="006C5145"/>
    <w:rsid w:val="006D2088"/>
    <w:rsid w:val="006E27B3"/>
    <w:rsid w:val="006F6049"/>
    <w:rsid w:val="007032F9"/>
    <w:rsid w:val="00704905"/>
    <w:rsid w:val="0070670B"/>
    <w:rsid w:val="0072782E"/>
    <w:rsid w:val="00732748"/>
    <w:rsid w:val="00732CD6"/>
    <w:rsid w:val="00745DE7"/>
    <w:rsid w:val="00747DA6"/>
    <w:rsid w:val="007507B6"/>
    <w:rsid w:val="00754291"/>
    <w:rsid w:val="007567E2"/>
    <w:rsid w:val="007576E4"/>
    <w:rsid w:val="00761FCF"/>
    <w:rsid w:val="00764D6A"/>
    <w:rsid w:val="0077032A"/>
    <w:rsid w:val="00773056"/>
    <w:rsid w:val="00785381"/>
    <w:rsid w:val="007A17B2"/>
    <w:rsid w:val="007A4C06"/>
    <w:rsid w:val="007A5D10"/>
    <w:rsid w:val="007B157F"/>
    <w:rsid w:val="007B2530"/>
    <w:rsid w:val="007B6CFF"/>
    <w:rsid w:val="007B7E13"/>
    <w:rsid w:val="007C358A"/>
    <w:rsid w:val="007C5767"/>
    <w:rsid w:val="007D0E00"/>
    <w:rsid w:val="007D4CA5"/>
    <w:rsid w:val="007E0937"/>
    <w:rsid w:val="007E3B10"/>
    <w:rsid w:val="007E5F80"/>
    <w:rsid w:val="007E7955"/>
    <w:rsid w:val="007F0C68"/>
    <w:rsid w:val="007F4777"/>
    <w:rsid w:val="00805D60"/>
    <w:rsid w:val="00810608"/>
    <w:rsid w:val="00813026"/>
    <w:rsid w:val="00814124"/>
    <w:rsid w:val="00814CB1"/>
    <w:rsid w:val="00820F04"/>
    <w:rsid w:val="0082122D"/>
    <w:rsid w:val="00830CF2"/>
    <w:rsid w:val="0083414F"/>
    <w:rsid w:val="0083540F"/>
    <w:rsid w:val="00836A53"/>
    <w:rsid w:val="008437E4"/>
    <w:rsid w:val="00843C23"/>
    <w:rsid w:val="00847B55"/>
    <w:rsid w:val="008518A6"/>
    <w:rsid w:val="00852EF4"/>
    <w:rsid w:val="00860BA1"/>
    <w:rsid w:val="00863135"/>
    <w:rsid w:val="008634F4"/>
    <w:rsid w:val="00864449"/>
    <w:rsid w:val="00872F63"/>
    <w:rsid w:val="00873421"/>
    <w:rsid w:val="00880290"/>
    <w:rsid w:val="00881A59"/>
    <w:rsid w:val="00887610"/>
    <w:rsid w:val="00890542"/>
    <w:rsid w:val="00892CC1"/>
    <w:rsid w:val="00897B06"/>
    <w:rsid w:val="00897C46"/>
    <w:rsid w:val="008A0EE3"/>
    <w:rsid w:val="008A6BBE"/>
    <w:rsid w:val="008B6CDA"/>
    <w:rsid w:val="008D273D"/>
    <w:rsid w:val="008D563B"/>
    <w:rsid w:val="008D619B"/>
    <w:rsid w:val="008E1326"/>
    <w:rsid w:val="008E3158"/>
    <w:rsid w:val="008E722F"/>
    <w:rsid w:val="00900B2C"/>
    <w:rsid w:val="009020C3"/>
    <w:rsid w:val="00905ACB"/>
    <w:rsid w:val="00914B63"/>
    <w:rsid w:val="0091774F"/>
    <w:rsid w:val="00920DC5"/>
    <w:rsid w:val="00923CC9"/>
    <w:rsid w:val="009243D3"/>
    <w:rsid w:val="009337B7"/>
    <w:rsid w:val="00936C67"/>
    <w:rsid w:val="00947504"/>
    <w:rsid w:val="00964729"/>
    <w:rsid w:val="00966274"/>
    <w:rsid w:val="009A16D2"/>
    <w:rsid w:val="009B628D"/>
    <w:rsid w:val="009D275E"/>
    <w:rsid w:val="009D5007"/>
    <w:rsid w:val="009D6CE9"/>
    <w:rsid w:val="009E2407"/>
    <w:rsid w:val="009E2823"/>
    <w:rsid w:val="00A02F94"/>
    <w:rsid w:val="00A23A48"/>
    <w:rsid w:val="00A26C5C"/>
    <w:rsid w:val="00A26EC1"/>
    <w:rsid w:val="00A34297"/>
    <w:rsid w:val="00A34B7F"/>
    <w:rsid w:val="00A45FD0"/>
    <w:rsid w:val="00A518CB"/>
    <w:rsid w:val="00A54C08"/>
    <w:rsid w:val="00A578C7"/>
    <w:rsid w:val="00A65EF0"/>
    <w:rsid w:val="00A75E9F"/>
    <w:rsid w:val="00A82833"/>
    <w:rsid w:val="00A842C0"/>
    <w:rsid w:val="00A91307"/>
    <w:rsid w:val="00AA2B61"/>
    <w:rsid w:val="00AA3FA0"/>
    <w:rsid w:val="00AA6FD3"/>
    <w:rsid w:val="00AB05BB"/>
    <w:rsid w:val="00AB2626"/>
    <w:rsid w:val="00AB7911"/>
    <w:rsid w:val="00AC121C"/>
    <w:rsid w:val="00AC35F5"/>
    <w:rsid w:val="00AC549C"/>
    <w:rsid w:val="00AD32FC"/>
    <w:rsid w:val="00AE4237"/>
    <w:rsid w:val="00AE661D"/>
    <w:rsid w:val="00AE7892"/>
    <w:rsid w:val="00AF4E5E"/>
    <w:rsid w:val="00B01E99"/>
    <w:rsid w:val="00B02B9B"/>
    <w:rsid w:val="00B032B4"/>
    <w:rsid w:val="00B040A3"/>
    <w:rsid w:val="00B078B0"/>
    <w:rsid w:val="00B21204"/>
    <w:rsid w:val="00B45578"/>
    <w:rsid w:val="00B46C13"/>
    <w:rsid w:val="00B52782"/>
    <w:rsid w:val="00B54C32"/>
    <w:rsid w:val="00B5740E"/>
    <w:rsid w:val="00B62DFD"/>
    <w:rsid w:val="00B65F33"/>
    <w:rsid w:val="00B725C6"/>
    <w:rsid w:val="00B76A72"/>
    <w:rsid w:val="00B80BCF"/>
    <w:rsid w:val="00B827DF"/>
    <w:rsid w:val="00B84485"/>
    <w:rsid w:val="00B84957"/>
    <w:rsid w:val="00B861B4"/>
    <w:rsid w:val="00B87251"/>
    <w:rsid w:val="00B9127B"/>
    <w:rsid w:val="00B92882"/>
    <w:rsid w:val="00B97AD9"/>
    <w:rsid w:val="00B97E61"/>
    <w:rsid w:val="00BA5A91"/>
    <w:rsid w:val="00BB1960"/>
    <w:rsid w:val="00BC1616"/>
    <w:rsid w:val="00BC2468"/>
    <w:rsid w:val="00BC2C0A"/>
    <w:rsid w:val="00BD19AC"/>
    <w:rsid w:val="00BD55E3"/>
    <w:rsid w:val="00BE4EEB"/>
    <w:rsid w:val="00BE561A"/>
    <w:rsid w:val="00BE5BE7"/>
    <w:rsid w:val="00BF4E55"/>
    <w:rsid w:val="00C003C5"/>
    <w:rsid w:val="00C00C7B"/>
    <w:rsid w:val="00C02519"/>
    <w:rsid w:val="00C10665"/>
    <w:rsid w:val="00C12ACE"/>
    <w:rsid w:val="00C15346"/>
    <w:rsid w:val="00C17923"/>
    <w:rsid w:val="00C205EF"/>
    <w:rsid w:val="00C33358"/>
    <w:rsid w:val="00C416EC"/>
    <w:rsid w:val="00C42133"/>
    <w:rsid w:val="00C463A6"/>
    <w:rsid w:val="00C472C0"/>
    <w:rsid w:val="00C63078"/>
    <w:rsid w:val="00C63222"/>
    <w:rsid w:val="00C708F5"/>
    <w:rsid w:val="00C74E23"/>
    <w:rsid w:val="00C808F5"/>
    <w:rsid w:val="00C80B44"/>
    <w:rsid w:val="00C8102C"/>
    <w:rsid w:val="00C85C62"/>
    <w:rsid w:val="00C877AD"/>
    <w:rsid w:val="00C93415"/>
    <w:rsid w:val="00CA0FBE"/>
    <w:rsid w:val="00CA4699"/>
    <w:rsid w:val="00CA6D2D"/>
    <w:rsid w:val="00CB35F6"/>
    <w:rsid w:val="00CB3670"/>
    <w:rsid w:val="00CF0A75"/>
    <w:rsid w:val="00CF4F5E"/>
    <w:rsid w:val="00CF5514"/>
    <w:rsid w:val="00D015B7"/>
    <w:rsid w:val="00D03853"/>
    <w:rsid w:val="00D0493E"/>
    <w:rsid w:val="00D07F7D"/>
    <w:rsid w:val="00D1032B"/>
    <w:rsid w:val="00D12EC5"/>
    <w:rsid w:val="00D31ABE"/>
    <w:rsid w:val="00D466F4"/>
    <w:rsid w:val="00D47121"/>
    <w:rsid w:val="00D47D27"/>
    <w:rsid w:val="00D515CE"/>
    <w:rsid w:val="00D63DC0"/>
    <w:rsid w:val="00D65CD1"/>
    <w:rsid w:val="00D6626A"/>
    <w:rsid w:val="00D72255"/>
    <w:rsid w:val="00D86F1C"/>
    <w:rsid w:val="00D91073"/>
    <w:rsid w:val="00D96AE0"/>
    <w:rsid w:val="00DA71B8"/>
    <w:rsid w:val="00DA7A31"/>
    <w:rsid w:val="00DB31A5"/>
    <w:rsid w:val="00DB6D57"/>
    <w:rsid w:val="00DC32DC"/>
    <w:rsid w:val="00DC4CE6"/>
    <w:rsid w:val="00DD1469"/>
    <w:rsid w:val="00DD2D52"/>
    <w:rsid w:val="00DD554A"/>
    <w:rsid w:val="00DE056D"/>
    <w:rsid w:val="00DE0AAE"/>
    <w:rsid w:val="00DE6E14"/>
    <w:rsid w:val="00E11829"/>
    <w:rsid w:val="00E15D73"/>
    <w:rsid w:val="00E17E46"/>
    <w:rsid w:val="00E20810"/>
    <w:rsid w:val="00E30859"/>
    <w:rsid w:val="00E31B23"/>
    <w:rsid w:val="00E35715"/>
    <w:rsid w:val="00E35BFC"/>
    <w:rsid w:val="00E41ADD"/>
    <w:rsid w:val="00E42130"/>
    <w:rsid w:val="00E66D96"/>
    <w:rsid w:val="00E8722D"/>
    <w:rsid w:val="00E878A5"/>
    <w:rsid w:val="00E91D72"/>
    <w:rsid w:val="00EC40D3"/>
    <w:rsid w:val="00EE0F4D"/>
    <w:rsid w:val="00EE38AB"/>
    <w:rsid w:val="00EE4833"/>
    <w:rsid w:val="00EF2B3F"/>
    <w:rsid w:val="00EF55CC"/>
    <w:rsid w:val="00F0084D"/>
    <w:rsid w:val="00F041E5"/>
    <w:rsid w:val="00F04729"/>
    <w:rsid w:val="00F07820"/>
    <w:rsid w:val="00F14772"/>
    <w:rsid w:val="00F173C9"/>
    <w:rsid w:val="00F31435"/>
    <w:rsid w:val="00F32B4E"/>
    <w:rsid w:val="00F4006A"/>
    <w:rsid w:val="00F446C6"/>
    <w:rsid w:val="00F567B3"/>
    <w:rsid w:val="00F572A6"/>
    <w:rsid w:val="00F672D4"/>
    <w:rsid w:val="00F67333"/>
    <w:rsid w:val="00F82F27"/>
    <w:rsid w:val="00F86C95"/>
    <w:rsid w:val="00F86D26"/>
    <w:rsid w:val="00F94ECB"/>
    <w:rsid w:val="00FA2743"/>
    <w:rsid w:val="00FB33F5"/>
    <w:rsid w:val="00FB5FE2"/>
    <w:rsid w:val="00FC1759"/>
    <w:rsid w:val="00FC6403"/>
    <w:rsid w:val="00FC730E"/>
    <w:rsid w:val="00FD385E"/>
    <w:rsid w:val="00FE274C"/>
    <w:rsid w:val="00FE3CBC"/>
    <w:rsid w:val="00FE64BC"/>
    <w:rsid w:val="00FF14D8"/>
    <w:rsid w:val="00FF1A7B"/>
    <w:rsid w:val="00FF4AF9"/>
    <w:rsid w:val="00FF4FC8"/>
    <w:rsid w:val="00FF73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F4BF4"/>
  <w15:docId w15:val="{E075A2DB-62AD-4D56-BAEC-37ED3DAA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B2"/>
    <w:pPr>
      <w:spacing w:after="200" w:line="276" w:lineRule="auto"/>
    </w:pPr>
    <w:rPr>
      <w:rFonts w:ascii="Calibri" w:eastAsiaTheme="minorHAnsi" w:hAnsi="Calibr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pPr>
      <w:pageBreakBefore/>
      <w:numPr>
        <w:numId w:val="6"/>
      </w:numPr>
      <w:spacing w:after="240" w:line="240" w:lineRule="auto"/>
      <w:outlineLvl w:val="1"/>
    </w:pPr>
    <w:rPr>
      <w:rFonts w:eastAsiaTheme="minorEastAsia"/>
      <w:bCs/>
      <w:color w:val="000000"/>
      <w:sz w:val="5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after="0" w:line="240" w:lineRule="auto"/>
      <w:outlineLvl w:val="4"/>
    </w:pPr>
    <w:rPr>
      <w:b/>
    </w:rPr>
  </w:style>
  <w:style w:type="paragraph" w:styleId="Heading6">
    <w:name w:val="heading 6"/>
    <w:basedOn w:val="Normal"/>
    <w:next w:val="Normal"/>
    <w:link w:val="Heading6Char"/>
    <w:uiPriority w:val="9"/>
    <w:semiHidden/>
    <w:qFormat/>
    <w:rsid w:val="005473B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sz w:val="18"/>
    </w:rPr>
  </w:style>
  <w:style w:type="paragraph" w:styleId="Subtitle">
    <w:name w:val="Subtitle"/>
    <w:basedOn w:val="Heading1"/>
    <w:next w:val="Normal"/>
    <w:link w:val="SubtitleChar"/>
    <w:uiPriority w:val="23"/>
    <w:qFormat/>
    <w:pPr>
      <w:spacing w:before="120"/>
    </w:pPr>
    <w:rPr>
      <w:b w:val="0"/>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10"/>
      </w:numPr>
      <w:tabs>
        <w:tab w:val="left" w:pos="142"/>
      </w:tabs>
      <w:spacing w:before="120" w:after="120"/>
    </w:pPr>
  </w:style>
  <w:style w:type="paragraph" w:styleId="ListNumber2">
    <w:name w:val="List Number 2"/>
    <w:uiPriority w:val="10"/>
    <w:qFormat/>
    <w:rsid w:val="00890542"/>
    <w:pPr>
      <w:numPr>
        <w:ilvl w:val="1"/>
        <w:numId w:val="10"/>
      </w:numPr>
      <w:spacing w:before="120" w:after="120" w:line="264" w:lineRule="auto"/>
      <w:ind w:left="850" w:hanging="425"/>
    </w:pPr>
    <w:rPr>
      <w:rFonts w:ascii="Calibri" w:eastAsia="Times New Roman" w:hAnsi="Calibri"/>
      <w:sz w:val="22"/>
      <w:szCs w:val="24"/>
      <w:lang w:eastAsia="en-US"/>
    </w:rPr>
  </w:style>
  <w:style w:type="paragraph" w:styleId="ListNumber3">
    <w:name w:val="List Number 3"/>
    <w:uiPriority w:val="11"/>
    <w:qFormat/>
    <w:rsid w:val="00C877AD"/>
    <w:pPr>
      <w:numPr>
        <w:ilvl w:val="2"/>
        <w:numId w:val="10"/>
      </w:numPr>
      <w:spacing w:before="120" w:after="120" w:line="264" w:lineRule="auto"/>
    </w:pPr>
    <w:rPr>
      <w:rFonts w:ascii="Calibri" w:eastAsia="Times New Roman" w:hAnsi="Calibri"/>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rsid w:val="008A6BBE"/>
    <w:pPr>
      <w:spacing w:after="120" w:line="276" w:lineRule="auto"/>
    </w:pPr>
    <w:rPr>
      <w:rFonts w:ascii="Calibri" w:eastAsiaTheme="minorHAnsi" w:hAnsi="Calibri" w:cstheme="minorBidi"/>
      <w:sz w:val="18"/>
      <w:szCs w:val="18"/>
      <w:lang w:eastAsia="en-US"/>
    </w:rPr>
  </w:style>
  <w:style w:type="paragraph" w:styleId="ListBullet3">
    <w:name w:val="List Bullet 3"/>
    <w:basedOn w:val="Normal"/>
    <w:uiPriority w:val="99"/>
    <w:semiHidden/>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8A6BBE"/>
    <w:pPr>
      <w:numPr>
        <w:numId w:val="7"/>
      </w:numPr>
      <w:spacing w:before="60" w:after="60"/>
      <w:ind w:left="403"/>
      <w:contextualSpacing/>
    </w:pPr>
    <w:rPr>
      <w:rFonts w:ascii="Calibri" w:eastAsia="Calibri" w:hAnsi="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9"/>
      </w:numPr>
      <w:tabs>
        <w:tab w:val="num" w:pos="284"/>
      </w:tabs>
      <w:ind w:left="568" w:hanging="284"/>
    </w:pPr>
  </w:style>
  <w:style w:type="numbering" w:customStyle="1" w:styleId="TableBulletlist">
    <w:name w:val="Table Bullet list"/>
    <w:uiPriority w:val="99"/>
    <w:pPr>
      <w:numPr>
        <w:numId w:val="8"/>
      </w:numPr>
    </w:pPr>
  </w:style>
  <w:style w:type="character" w:styleId="UnresolvedMention">
    <w:name w:val="Unresolved Mention"/>
    <w:basedOn w:val="DefaultParagraphFont"/>
    <w:uiPriority w:val="99"/>
    <w:semiHidden/>
    <w:unhideWhenUsed/>
    <w:rsid w:val="00EE4833"/>
    <w:rPr>
      <w:color w:val="605E5C"/>
      <w:shd w:val="clear" w:color="auto" w:fill="E1DFDD"/>
    </w:rPr>
  </w:style>
  <w:style w:type="paragraph" w:styleId="Revision">
    <w:name w:val="Revision"/>
    <w:hidden/>
    <w:uiPriority w:val="99"/>
    <w:semiHidden/>
    <w:rsid w:val="006A2863"/>
    <w:rPr>
      <w:rFonts w:eastAsiaTheme="minorHAnsi" w:cstheme="minorBidi"/>
      <w:sz w:val="22"/>
      <w:szCs w:val="22"/>
      <w:lang w:eastAsia="en-US"/>
    </w:rPr>
  </w:style>
  <w:style w:type="character" w:customStyle="1" w:styleId="Heading6Char">
    <w:name w:val="Heading 6 Char"/>
    <w:basedOn w:val="DefaultParagraphFont"/>
    <w:link w:val="Heading6"/>
    <w:uiPriority w:val="9"/>
    <w:semiHidden/>
    <w:rsid w:val="005473B2"/>
    <w:rPr>
      <w:rFonts w:asciiTheme="majorHAnsi" w:eastAsiaTheme="majorEastAsia" w:hAnsiTheme="majorHAnsi" w:cstheme="majorBidi"/>
      <w:color w:val="243F60" w:themeColor="accent1" w:themeShade="7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270424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95490">
      <w:bodyDiv w:val="1"/>
      <w:marLeft w:val="0"/>
      <w:marRight w:val="0"/>
      <w:marTop w:val="0"/>
      <w:marBottom w:val="0"/>
      <w:divBdr>
        <w:top w:val="none" w:sz="0" w:space="0" w:color="auto"/>
        <w:left w:val="none" w:sz="0" w:space="0" w:color="auto"/>
        <w:bottom w:val="none" w:sz="0" w:space="0" w:color="auto"/>
        <w:right w:val="none" w:sz="0" w:space="0" w:color="auto"/>
      </w:divBdr>
    </w:div>
    <w:div w:id="87235619">
      <w:bodyDiv w:val="1"/>
      <w:marLeft w:val="0"/>
      <w:marRight w:val="0"/>
      <w:marTop w:val="0"/>
      <w:marBottom w:val="0"/>
      <w:divBdr>
        <w:top w:val="none" w:sz="0" w:space="0" w:color="auto"/>
        <w:left w:val="none" w:sz="0" w:space="0" w:color="auto"/>
        <w:bottom w:val="none" w:sz="0" w:space="0" w:color="auto"/>
        <w:right w:val="none" w:sz="0" w:space="0" w:color="auto"/>
      </w:divBdr>
    </w:div>
    <w:div w:id="141623618">
      <w:bodyDiv w:val="1"/>
      <w:marLeft w:val="0"/>
      <w:marRight w:val="0"/>
      <w:marTop w:val="0"/>
      <w:marBottom w:val="0"/>
      <w:divBdr>
        <w:top w:val="none" w:sz="0" w:space="0" w:color="auto"/>
        <w:left w:val="none" w:sz="0" w:space="0" w:color="auto"/>
        <w:bottom w:val="none" w:sz="0" w:space="0" w:color="auto"/>
        <w:right w:val="none" w:sz="0" w:space="0" w:color="auto"/>
      </w:divBdr>
    </w:div>
    <w:div w:id="146940067">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221673350">
      <w:bodyDiv w:val="1"/>
      <w:marLeft w:val="0"/>
      <w:marRight w:val="0"/>
      <w:marTop w:val="0"/>
      <w:marBottom w:val="0"/>
      <w:divBdr>
        <w:top w:val="none" w:sz="0" w:space="0" w:color="auto"/>
        <w:left w:val="none" w:sz="0" w:space="0" w:color="auto"/>
        <w:bottom w:val="none" w:sz="0" w:space="0" w:color="auto"/>
        <w:right w:val="none" w:sz="0" w:space="0" w:color="auto"/>
      </w:divBdr>
    </w:div>
    <w:div w:id="263727621">
      <w:bodyDiv w:val="1"/>
      <w:marLeft w:val="0"/>
      <w:marRight w:val="0"/>
      <w:marTop w:val="0"/>
      <w:marBottom w:val="0"/>
      <w:divBdr>
        <w:top w:val="none" w:sz="0" w:space="0" w:color="auto"/>
        <w:left w:val="none" w:sz="0" w:space="0" w:color="auto"/>
        <w:bottom w:val="none" w:sz="0" w:space="0" w:color="auto"/>
        <w:right w:val="none" w:sz="0" w:space="0" w:color="auto"/>
      </w:divBdr>
    </w:div>
    <w:div w:id="337733726">
      <w:bodyDiv w:val="1"/>
      <w:marLeft w:val="0"/>
      <w:marRight w:val="0"/>
      <w:marTop w:val="0"/>
      <w:marBottom w:val="0"/>
      <w:divBdr>
        <w:top w:val="none" w:sz="0" w:space="0" w:color="auto"/>
        <w:left w:val="none" w:sz="0" w:space="0" w:color="auto"/>
        <w:bottom w:val="none" w:sz="0" w:space="0" w:color="auto"/>
        <w:right w:val="none" w:sz="0" w:space="0" w:color="auto"/>
      </w:divBdr>
    </w:div>
    <w:div w:id="345910048">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4548887">
      <w:bodyDiv w:val="1"/>
      <w:marLeft w:val="0"/>
      <w:marRight w:val="0"/>
      <w:marTop w:val="0"/>
      <w:marBottom w:val="0"/>
      <w:divBdr>
        <w:top w:val="none" w:sz="0" w:space="0" w:color="auto"/>
        <w:left w:val="none" w:sz="0" w:space="0" w:color="auto"/>
        <w:bottom w:val="none" w:sz="0" w:space="0" w:color="auto"/>
        <w:right w:val="none" w:sz="0" w:space="0" w:color="auto"/>
      </w:divBdr>
    </w:div>
    <w:div w:id="399406116">
      <w:bodyDiv w:val="1"/>
      <w:marLeft w:val="0"/>
      <w:marRight w:val="0"/>
      <w:marTop w:val="0"/>
      <w:marBottom w:val="0"/>
      <w:divBdr>
        <w:top w:val="none" w:sz="0" w:space="0" w:color="auto"/>
        <w:left w:val="none" w:sz="0" w:space="0" w:color="auto"/>
        <w:bottom w:val="none" w:sz="0" w:space="0" w:color="auto"/>
        <w:right w:val="none" w:sz="0" w:space="0" w:color="auto"/>
      </w:divBdr>
    </w:div>
    <w:div w:id="410932165">
      <w:bodyDiv w:val="1"/>
      <w:marLeft w:val="0"/>
      <w:marRight w:val="0"/>
      <w:marTop w:val="0"/>
      <w:marBottom w:val="0"/>
      <w:divBdr>
        <w:top w:val="none" w:sz="0" w:space="0" w:color="auto"/>
        <w:left w:val="none" w:sz="0" w:space="0" w:color="auto"/>
        <w:bottom w:val="none" w:sz="0" w:space="0" w:color="auto"/>
        <w:right w:val="none" w:sz="0" w:space="0" w:color="auto"/>
      </w:divBdr>
    </w:div>
    <w:div w:id="414938561">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0030742">
      <w:bodyDiv w:val="1"/>
      <w:marLeft w:val="0"/>
      <w:marRight w:val="0"/>
      <w:marTop w:val="0"/>
      <w:marBottom w:val="0"/>
      <w:divBdr>
        <w:top w:val="none" w:sz="0" w:space="0" w:color="auto"/>
        <w:left w:val="none" w:sz="0" w:space="0" w:color="auto"/>
        <w:bottom w:val="none" w:sz="0" w:space="0" w:color="auto"/>
        <w:right w:val="none" w:sz="0" w:space="0" w:color="auto"/>
      </w:divBdr>
    </w:div>
    <w:div w:id="421538153">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3722826">
      <w:bodyDiv w:val="1"/>
      <w:marLeft w:val="0"/>
      <w:marRight w:val="0"/>
      <w:marTop w:val="0"/>
      <w:marBottom w:val="0"/>
      <w:divBdr>
        <w:top w:val="none" w:sz="0" w:space="0" w:color="auto"/>
        <w:left w:val="none" w:sz="0" w:space="0" w:color="auto"/>
        <w:bottom w:val="none" w:sz="0" w:space="0" w:color="auto"/>
        <w:right w:val="none" w:sz="0" w:space="0" w:color="auto"/>
      </w:divBdr>
    </w:div>
    <w:div w:id="433794194">
      <w:bodyDiv w:val="1"/>
      <w:marLeft w:val="0"/>
      <w:marRight w:val="0"/>
      <w:marTop w:val="0"/>
      <w:marBottom w:val="0"/>
      <w:divBdr>
        <w:top w:val="none" w:sz="0" w:space="0" w:color="auto"/>
        <w:left w:val="none" w:sz="0" w:space="0" w:color="auto"/>
        <w:bottom w:val="none" w:sz="0" w:space="0" w:color="auto"/>
        <w:right w:val="none" w:sz="0" w:space="0" w:color="auto"/>
      </w:divBdr>
    </w:div>
    <w:div w:id="441192265">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670306">
      <w:bodyDiv w:val="1"/>
      <w:marLeft w:val="0"/>
      <w:marRight w:val="0"/>
      <w:marTop w:val="0"/>
      <w:marBottom w:val="0"/>
      <w:divBdr>
        <w:top w:val="none" w:sz="0" w:space="0" w:color="auto"/>
        <w:left w:val="none" w:sz="0" w:space="0" w:color="auto"/>
        <w:bottom w:val="none" w:sz="0" w:space="0" w:color="auto"/>
        <w:right w:val="none" w:sz="0" w:space="0" w:color="auto"/>
      </w:divBdr>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5854203">
      <w:bodyDiv w:val="1"/>
      <w:marLeft w:val="0"/>
      <w:marRight w:val="0"/>
      <w:marTop w:val="0"/>
      <w:marBottom w:val="0"/>
      <w:divBdr>
        <w:top w:val="none" w:sz="0" w:space="0" w:color="auto"/>
        <w:left w:val="none" w:sz="0" w:space="0" w:color="auto"/>
        <w:bottom w:val="none" w:sz="0" w:space="0" w:color="auto"/>
        <w:right w:val="none" w:sz="0" w:space="0" w:color="auto"/>
      </w:divBdr>
    </w:div>
    <w:div w:id="527255214">
      <w:bodyDiv w:val="1"/>
      <w:marLeft w:val="0"/>
      <w:marRight w:val="0"/>
      <w:marTop w:val="0"/>
      <w:marBottom w:val="0"/>
      <w:divBdr>
        <w:top w:val="none" w:sz="0" w:space="0" w:color="auto"/>
        <w:left w:val="none" w:sz="0" w:space="0" w:color="auto"/>
        <w:bottom w:val="none" w:sz="0" w:space="0" w:color="auto"/>
        <w:right w:val="none" w:sz="0" w:space="0" w:color="auto"/>
      </w:divBdr>
    </w:div>
    <w:div w:id="543101427">
      <w:bodyDiv w:val="1"/>
      <w:marLeft w:val="0"/>
      <w:marRight w:val="0"/>
      <w:marTop w:val="0"/>
      <w:marBottom w:val="0"/>
      <w:divBdr>
        <w:top w:val="none" w:sz="0" w:space="0" w:color="auto"/>
        <w:left w:val="none" w:sz="0" w:space="0" w:color="auto"/>
        <w:bottom w:val="none" w:sz="0" w:space="0" w:color="auto"/>
        <w:right w:val="none" w:sz="0" w:space="0" w:color="auto"/>
      </w:divBdr>
    </w:div>
    <w:div w:id="548497753">
      <w:bodyDiv w:val="1"/>
      <w:marLeft w:val="0"/>
      <w:marRight w:val="0"/>
      <w:marTop w:val="0"/>
      <w:marBottom w:val="0"/>
      <w:divBdr>
        <w:top w:val="none" w:sz="0" w:space="0" w:color="auto"/>
        <w:left w:val="none" w:sz="0" w:space="0" w:color="auto"/>
        <w:bottom w:val="none" w:sz="0" w:space="0" w:color="auto"/>
        <w:right w:val="none" w:sz="0" w:space="0" w:color="auto"/>
      </w:divBdr>
    </w:div>
    <w:div w:id="599946106">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366160">
      <w:bodyDiv w:val="1"/>
      <w:marLeft w:val="0"/>
      <w:marRight w:val="0"/>
      <w:marTop w:val="0"/>
      <w:marBottom w:val="0"/>
      <w:divBdr>
        <w:top w:val="none" w:sz="0" w:space="0" w:color="auto"/>
        <w:left w:val="none" w:sz="0" w:space="0" w:color="auto"/>
        <w:bottom w:val="none" w:sz="0" w:space="0" w:color="auto"/>
        <w:right w:val="none" w:sz="0" w:space="0" w:color="auto"/>
      </w:divBdr>
    </w:div>
    <w:div w:id="645165615">
      <w:bodyDiv w:val="1"/>
      <w:marLeft w:val="0"/>
      <w:marRight w:val="0"/>
      <w:marTop w:val="0"/>
      <w:marBottom w:val="0"/>
      <w:divBdr>
        <w:top w:val="none" w:sz="0" w:space="0" w:color="auto"/>
        <w:left w:val="none" w:sz="0" w:space="0" w:color="auto"/>
        <w:bottom w:val="none" w:sz="0" w:space="0" w:color="auto"/>
        <w:right w:val="none" w:sz="0" w:space="0" w:color="auto"/>
      </w:divBdr>
    </w:div>
    <w:div w:id="656036460">
      <w:bodyDiv w:val="1"/>
      <w:marLeft w:val="0"/>
      <w:marRight w:val="0"/>
      <w:marTop w:val="0"/>
      <w:marBottom w:val="0"/>
      <w:divBdr>
        <w:top w:val="none" w:sz="0" w:space="0" w:color="auto"/>
        <w:left w:val="none" w:sz="0" w:space="0" w:color="auto"/>
        <w:bottom w:val="none" w:sz="0" w:space="0" w:color="auto"/>
        <w:right w:val="none" w:sz="0" w:space="0" w:color="auto"/>
      </w:divBdr>
    </w:div>
    <w:div w:id="66998943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728952">
      <w:bodyDiv w:val="1"/>
      <w:marLeft w:val="0"/>
      <w:marRight w:val="0"/>
      <w:marTop w:val="0"/>
      <w:marBottom w:val="0"/>
      <w:divBdr>
        <w:top w:val="none" w:sz="0" w:space="0" w:color="auto"/>
        <w:left w:val="none" w:sz="0" w:space="0" w:color="auto"/>
        <w:bottom w:val="none" w:sz="0" w:space="0" w:color="auto"/>
        <w:right w:val="none" w:sz="0" w:space="0" w:color="auto"/>
      </w:divBdr>
    </w:div>
    <w:div w:id="693387238">
      <w:bodyDiv w:val="1"/>
      <w:marLeft w:val="0"/>
      <w:marRight w:val="0"/>
      <w:marTop w:val="0"/>
      <w:marBottom w:val="0"/>
      <w:divBdr>
        <w:top w:val="none" w:sz="0" w:space="0" w:color="auto"/>
        <w:left w:val="none" w:sz="0" w:space="0" w:color="auto"/>
        <w:bottom w:val="none" w:sz="0" w:space="0" w:color="auto"/>
        <w:right w:val="none" w:sz="0" w:space="0" w:color="auto"/>
      </w:divBdr>
    </w:div>
    <w:div w:id="720060731">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5489">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4471701">
      <w:bodyDiv w:val="1"/>
      <w:marLeft w:val="0"/>
      <w:marRight w:val="0"/>
      <w:marTop w:val="0"/>
      <w:marBottom w:val="0"/>
      <w:divBdr>
        <w:top w:val="none" w:sz="0" w:space="0" w:color="auto"/>
        <w:left w:val="none" w:sz="0" w:space="0" w:color="auto"/>
        <w:bottom w:val="none" w:sz="0" w:space="0" w:color="auto"/>
        <w:right w:val="none" w:sz="0" w:space="0" w:color="auto"/>
      </w:divBdr>
    </w:div>
    <w:div w:id="834029513">
      <w:bodyDiv w:val="1"/>
      <w:marLeft w:val="0"/>
      <w:marRight w:val="0"/>
      <w:marTop w:val="0"/>
      <w:marBottom w:val="0"/>
      <w:divBdr>
        <w:top w:val="none" w:sz="0" w:space="0" w:color="auto"/>
        <w:left w:val="none" w:sz="0" w:space="0" w:color="auto"/>
        <w:bottom w:val="none" w:sz="0" w:space="0" w:color="auto"/>
        <w:right w:val="none" w:sz="0" w:space="0" w:color="auto"/>
      </w:divBdr>
    </w:div>
    <w:div w:id="83522151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004364">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01982151">
      <w:bodyDiv w:val="1"/>
      <w:marLeft w:val="0"/>
      <w:marRight w:val="0"/>
      <w:marTop w:val="0"/>
      <w:marBottom w:val="0"/>
      <w:divBdr>
        <w:top w:val="none" w:sz="0" w:space="0" w:color="auto"/>
        <w:left w:val="none" w:sz="0" w:space="0" w:color="auto"/>
        <w:bottom w:val="none" w:sz="0" w:space="0" w:color="auto"/>
        <w:right w:val="none" w:sz="0" w:space="0" w:color="auto"/>
      </w:divBdr>
    </w:div>
    <w:div w:id="906458865">
      <w:bodyDiv w:val="1"/>
      <w:marLeft w:val="0"/>
      <w:marRight w:val="0"/>
      <w:marTop w:val="0"/>
      <w:marBottom w:val="0"/>
      <w:divBdr>
        <w:top w:val="none" w:sz="0" w:space="0" w:color="auto"/>
        <w:left w:val="none" w:sz="0" w:space="0" w:color="auto"/>
        <w:bottom w:val="none" w:sz="0" w:space="0" w:color="auto"/>
        <w:right w:val="none" w:sz="0" w:space="0" w:color="auto"/>
      </w:divBdr>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0555966">
      <w:bodyDiv w:val="1"/>
      <w:marLeft w:val="0"/>
      <w:marRight w:val="0"/>
      <w:marTop w:val="0"/>
      <w:marBottom w:val="0"/>
      <w:divBdr>
        <w:top w:val="none" w:sz="0" w:space="0" w:color="auto"/>
        <w:left w:val="none" w:sz="0" w:space="0" w:color="auto"/>
        <w:bottom w:val="none" w:sz="0" w:space="0" w:color="auto"/>
        <w:right w:val="none" w:sz="0" w:space="0" w:color="auto"/>
      </w:divBdr>
    </w:div>
    <w:div w:id="98593718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195734">
      <w:bodyDiv w:val="1"/>
      <w:marLeft w:val="0"/>
      <w:marRight w:val="0"/>
      <w:marTop w:val="0"/>
      <w:marBottom w:val="0"/>
      <w:divBdr>
        <w:top w:val="none" w:sz="0" w:space="0" w:color="auto"/>
        <w:left w:val="none" w:sz="0" w:space="0" w:color="auto"/>
        <w:bottom w:val="none" w:sz="0" w:space="0" w:color="auto"/>
        <w:right w:val="none" w:sz="0" w:space="0" w:color="auto"/>
      </w:divBdr>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56272584">
      <w:bodyDiv w:val="1"/>
      <w:marLeft w:val="0"/>
      <w:marRight w:val="0"/>
      <w:marTop w:val="0"/>
      <w:marBottom w:val="0"/>
      <w:divBdr>
        <w:top w:val="none" w:sz="0" w:space="0" w:color="auto"/>
        <w:left w:val="none" w:sz="0" w:space="0" w:color="auto"/>
        <w:bottom w:val="none" w:sz="0" w:space="0" w:color="auto"/>
        <w:right w:val="none" w:sz="0" w:space="0" w:color="auto"/>
      </w:divBdr>
    </w:div>
    <w:div w:id="107979429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9083118">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190545">
      <w:bodyDiv w:val="1"/>
      <w:marLeft w:val="0"/>
      <w:marRight w:val="0"/>
      <w:marTop w:val="0"/>
      <w:marBottom w:val="0"/>
      <w:divBdr>
        <w:top w:val="none" w:sz="0" w:space="0" w:color="auto"/>
        <w:left w:val="none" w:sz="0" w:space="0" w:color="auto"/>
        <w:bottom w:val="none" w:sz="0" w:space="0" w:color="auto"/>
        <w:right w:val="none" w:sz="0" w:space="0" w:color="auto"/>
      </w:divBdr>
    </w:div>
    <w:div w:id="1169560105">
      <w:bodyDiv w:val="1"/>
      <w:marLeft w:val="0"/>
      <w:marRight w:val="0"/>
      <w:marTop w:val="0"/>
      <w:marBottom w:val="0"/>
      <w:divBdr>
        <w:top w:val="none" w:sz="0" w:space="0" w:color="auto"/>
        <w:left w:val="none" w:sz="0" w:space="0" w:color="auto"/>
        <w:bottom w:val="none" w:sz="0" w:space="0" w:color="auto"/>
        <w:right w:val="none" w:sz="0" w:space="0" w:color="auto"/>
      </w:divBdr>
    </w:div>
    <w:div w:id="1185747249">
      <w:bodyDiv w:val="1"/>
      <w:marLeft w:val="0"/>
      <w:marRight w:val="0"/>
      <w:marTop w:val="0"/>
      <w:marBottom w:val="0"/>
      <w:divBdr>
        <w:top w:val="none" w:sz="0" w:space="0" w:color="auto"/>
        <w:left w:val="none" w:sz="0" w:space="0" w:color="auto"/>
        <w:bottom w:val="none" w:sz="0" w:space="0" w:color="auto"/>
        <w:right w:val="none" w:sz="0" w:space="0" w:color="auto"/>
      </w:divBdr>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05290533">
      <w:bodyDiv w:val="1"/>
      <w:marLeft w:val="0"/>
      <w:marRight w:val="0"/>
      <w:marTop w:val="0"/>
      <w:marBottom w:val="0"/>
      <w:divBdr>
        <w:top w:val="none" w:sz="0" w:space="0" w:color="auto"/>
        <w:left w:val="none" w:sz="0" w:space="0" w:color="auto"/>
        <w:bottom w:val="none" w:sz="0" w:space="0" w:color="auto"/>
        <w:right w:val="none" w:sz="0" w:space="0" w:color="auto"/>
      </w:divBdr>
    </w:div>
    <w:div w:id="1256475020">
      <w:bodyDiv w:val="1"/>
      <w:marLeft w:val="0"/>
      <w:marRight w:val="0"/>
      <w:marTop w:val="0"/>
      <w:marBottom w:val="0"/>
      <w:divBdr>
        <w:top w:val="none" w:sz="0" w:space="0" w:color="auto"/>
        <w:left w:val="none" w:sz="0" w:space="0" w:color="auto"/>
        <w:bottom w:val="none" w:sz="0" w:space="0" w:color="auto"/>
        <w:right w:val="none" w:sz="0" w:space="0" w:color="auto"/>
      </w:divBdr>
    </w:div>
    <w:div w:id="1258977950">
      <w:bodyDiv w:val="1"/>
      <w:marLeft w:val="0"/>
      <w:marRight w:val="0"/>
      <w:marTop w:val="0"/>
      <w:marBottom w:val="0"/>
      <w:divBdr>
        <w:top w:val="none" w:sz="0" w:space="0" w:color="auto"/>
        <w:left w:val="none" w:sz="0" w:space="0" w:color="auto"/>
        <w:bottom w:val="none" w:sz="0" w:space="0" w:color="auto"/>
        <w:right w:val="none" w:sz="0" w:space="0" w:color="auto"/>
      </w:divBdr>
    </w:div>
    <w:div w:id="1260944588">
      <w:bodyDiv w:val="1"/>
      <w:marLeft w:val="0"/>
      <w:marRight w:val="0"/>
      <w:marTop w:val="0"/>
      <w:marBottom w:val="0"/>
      <w:divBdr>
        <w:top w:val="none" w:sz="0" w:space="0" w:color="auto"/>
        <w:left w:val="none" w:sz="0" w:space="0" w:color="auto"/>
        <w:bottom w:val="none" w:sz="0" w:space="0" w:color="auto"/>
        <w:right w:val="none" w:sz="0" w:space="0" w:color="auto"/>
      </w:divBdr>
    </w:div>
    <w:div w:id="1261524383">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47708135">
      <w:bodyDiv w:val="1"/>
      <w:marLeft w:val="0"/>
      <w:marRight w:val="0"/>
      <w:marTop w:val="0"/>
      <w:marBottom w:val="0"/>
      <w:divBdr>
        <w:top w:val="none" w:sz="0" w:space="0" w:color="auto"/>
        <w:left w:val="none" w:sz="0" w:space="0" w:color="auto"/>
        <w:bottom w:val="none" w:sz="0" w:space="0" w:color="auto"/>
        <w:right w:val="none" w:sz="0" w:space="0" w:color="auto"/>
      </w:divBdr>
    </w:div>
    <w:div w:id="1358774667">
      <w:bodyDiv w:val="1"/>
      <w:marLeft w:val="0"/>
      <w:marRight w:val="0"/>
      <w:marTop w:val="0"/>
      <w:marBottom w:val="0"/>
      <w:divBdr>
        <w:top w:val="none" w:sz="0" w:space="0" w:color="auto"/>
        <w:left w:val="none" w:sz="0" w:space="0" w:color="auto"/>
        <w:bottom w:val="none" w:sz="0" w:space="0" w:color="auto"/>
        <w:right w:val="none" w:sz="0" w:space="0" w:color="auto"/>
      </w:divBdr>
    </w:div>
    <w:div w:id="136505718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764434">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66138290">
      <w:bodyDiv w:val="1"/>
      <w:marLeft w:val="0"/>
      <w:marRight w:val="0"/>
      <w:marTop w:val="0"/>
      <w:marBottom w:val="0"/>
      <w:divBdr>
        <w:top w:val="none" w:sz="0" w:space="0" w:color="auto"/>
        <w:left w:val="none" w:sz="0" w:space="0" w:color="auto"/>
        <w:bottom w:val="none" w:sz="0" w:space="0" w:color="auto"/>
        <w:right w:val="none" w:sz="0" w:space="0" w:color="auto"/>
      </w:divBdr>
    </w:div>
    <w:div w:id="1578326155">
      <w:bodyDiv w:val="1"/>
      <w:marLeft w:val="0"/>
      <w:marRight w:val="0"/>
      <w:marTop w:val="0"/>
      <w:marBottom w:val="0"/>
      <w:divBdr>
        <w:top w:val="none" w:sz="0" w:space="0" w:color="auto"/>
        <w:left w:val="none" w:sz="0" w:space="0" w:color="auto"/>
        <w:bottom w:val="none" w:sz="0" w:space="0" w:color="auto"/>
        <w:right w:val="none" w:sz="0" w:space="0" w:color="auto"/>
      </w:divBdr>
    </w:div>
    <w:div w:id="1645813630">
      <w:bodyDiv w:val="1"/>
      <w:marLeft w:val="0"/>
      <w:marRight w:val="0"/>
      <w:marTop w:val="0"/>
      <w:marBottom w:val="0"/>
      <w:divBdr>
        <w:top w:val="none" w:sz="0" w:space="0" w:color="auto"/>
        <w:left w:val="none" w:sz="0" w:space="0" w:color="auto"/>
        <w:bottom w:val="none" w:sz="0" w:space="0" w:color="auto"/>
        <w:right w:val="none" w:sz="0" w:space="0" w:color="auto"/>
      </w:divBdr>
    </w:div>
    <w:div w:id="165472207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116452">
      <w:bodyDiv w:val="1"/>
      <w:marLeft w:val="0"/>
      <w:marRight w:val="0"/>
      <w:marTop w:val="0"/>
      <w:marBottom w:val="0"/>
      <w:divBdr>
        <w:top w:val="none" w:sz="0" w:space="0" w:color="auto"/>
        <w:left w:val="none" w:sz="0" w:space="0" w:color="auto"/>
        <w:bottom w:val="none" w:sz="0" w:space="0" w:color="auto"/>
        <w:right w:val="none" w:sz="0" w:space="0" w:color="auto"/>
      </w:divBdr>
    </w:div>
    <w:div w:id="1769232802">
      <w:bodyDiv w:val="1"/>
      <w:marLeft w:val="0"/>
      <w:marRight w:val="0"/>
      <w:marTop w:val="0"/>
      <w:marBottom w:val="0"/>
      <w:divBdr>
        <w:top w:val="none" w:sz="0" w:space="0" w:color="auto"/>
        <w:left w:val="none" w:sz="0" w:space="0" w:color="auto"/>
        <w:bottom w:val="none" w:sz="0" w:space="0" w:color="auto"/>
        <w:right w:val="none" w:sz="0" w:space="0" w:color="auto"/>
      </w:divBdr>
    </w:div>
    <w:div w:id="1781877182">
      <w:bodyDiv w:val="1"/>
      <w:marLeft w:val="0"/>
      <w:marRight w:val="0"/>
      <w:marTop w:val="0"/>
      <w:marBottom w:val="0"/>
      <w:divBdr>
        <w:top w:val="none" w:sz="0" w:space="0" w:color="auto"/>
        <w:left w:val="none" w:sz="0" w:space="0" w:color="auto"/>
        <w:bottom w:val="none" w:sz="0" w:space="0" w:color="auto"/>
        <w:right w:val="none" w:sz="0" w:space="0" w:color="auto"/>
      </w:divBdr>
    </w:div>
    <w:div w:id="1792939481">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451373">
      <w:bodyDiv w:val="1"/>
      <w:marLeft w:val="0"/>
      <w:marRight w:val="0"/>
      <w:marTop w:val="0"/>
      <w:marBottom w:val="0"/>
      <w:divBdr>
        <w:top w:val="none" w:sz="0" w:space="0" w:color="auto"/>
        <w:left w:val="none" w:sz="0" w:space="0" w:color="auto"/>
        <w:bottom w:val="none" w:sz="0" w:space="0" w:color="auto"/>
        <w:right w:val="none" w:sz="0" w:space="0" w:color="auto"/>
      </w:divBdr>
    </w:div>
    <w:div w:id="1929843933">
      <w:bodyDiv w:val="1"/>
      <w:marLeft w:val="0"/>
      <w:marRight w:val="0"/>
      <w:marTop w:val="0"/>
      <w:marBottom w:val="0"/>
      <w:divBdr>
        <w:top w:val="none" w:sz="0" w:space="0" w:color="auto"/>
        <w:left w:val="none" w:sz="0" w:space="0" w:color="auto"/>
        <w:bottom w:val="none" w:sz="0" w:space="0" w:color="auto"/>
        <w:right w:val="none" w:sz="0" w:space="0" w:color="auto"/>
      </w:divBdr>
    </w:div>
    <w:div w:id="1944150236">
      <w:bodyDiv w:val="1"/>
      <w:marLeft w:val="0"/>
      <w:marRight w:val="0"/>
      <w:marTop w:val="0"/>
      <w:marBottom w:val="0"/>
      <w:divBdr>
        <w:top w:val="none" w:sz="0" w:space="0" w:color="auto"/>
        <w:left w:val="none" w:sz="0" w:space="0" w:color="auto"/>
        <w:bottom w:val="none" w:sz="0" w:space="0" w:color="auto"/>
        <w:right w:val="none" w:sz="0" w:space="0" w:color="auto"/>
      </w:divBdr>
    </w:div>
    <w:div w:id="2027052712">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riculture.gov.au/agriculture-land/farm-food-drought/drought/drought-policy/national-drought-agreement" TargetMode="Externa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footer" Target="footer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agriculture.gov.au/agriculture-land/farm-food-drought/drought/drought-policy/national-drought-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agriculture.gov.au/" TargetMode="External"/><Relationship Id="rId23" Type="http://schemas.openxmlformats.org/officeDocument/2006/relationships/hyperlink" Target="https://haveyoursay.agriculture.gov.au/national-drought-agreement-review" TargetMode="Externa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agriculture-land/farm-food-drought/drought/drought-policy/national-drought-agreement" TargetMode="External"/><Relationship Id="rId22" Type="http://schemas.openxmlformats.org/officeDocument/2006/relationships/hyperlink" Target="https://haveyoursay.agriculture.gov.au/national-drought-agreement-review"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www.w3.org/XML/1998/namespace"/>
    <ds:schemaRef ds:uri="http://schemas.microsoft.com/office/2006/documentManagement/types"/>
    <ds:schemaRef ds:uri="c527c9b7-9ec8-4c5f-a515-89657b782942"/>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F8B0500-0A90-481E-9C05-80A357EB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24</Pages>
  <Words>8129</Words>
  <Characters>46340</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Review of the National Drought Agreement</vt:lpstr>
    </vt:vector>
  </TitlesOfParts>
  <Company/>
  <LinksUpToDate>false</LinksUpToDate>
  <CharactersWithSpaces>54361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National Drought Agreement</dc:title>
  <dc:creator>Department of Agriculture, Fisheries and Forestry</dc:creator>
  <cp:lastModifiedBy>Nov, Amanda</cp:lastModifiedBy>
  <cp:revision>4</cp:revision>
  <cp:lastPrinted>2013-10-18T05:59:00Z</cp:lastPrinted>
  <dcterms:created xsi:type="dcterms:W3CDTF">2022-12-07T01:54:00Z</dcterms:created>
  <dcterms:modified xsi:type="dcterms:W3CDTF">2022-12-07T04:13:00Z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