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6D67D" w14:textId="0480B312" w:rsidR="00E362EF" w:rsidRPr="00A16700" w:rsidRDefault="00D17DB6" w:rsidP="00A16700">
      <w:pPr>
        <w:pStyle w:val="Heading1"/>
      </w:pPr>
      <w:r>
        <w:t xml:space="preserve">National Drought Agreement </w:t>
      </w:r>
      <w:r w:rsidR="001F3F4D">
        <w:t xml:space="preserve">2024 to 2029: </w:t>
      </w:r>
      <w:r w:rsidR="00AB654D">
        <w:t>Outcomes Reporting Framework</w:t>
      </w:r>
    </w:p>
    <w:p w14:paraId="15A9DF0B" w14:textId="77777777" w:rsidR="008F2BB3" w:rsidRDefault="008F2BB3"/>
    <w:p w14:paraId="55905D1F" w14:textId="4723BC7D" w:rsidR="00E362EF" w:rsidRDefault="00AB654D">
      <w:r w:rsidRPr="00AB654D">
        <w:t>The NDA is the intergovernmental agreement that guides Australia’s drought efforts, signed by first ministers from the Australian Government, states and territories. This shared approach to drought policy by the parties dates back to the early 1990s and continues to evolve. Regular reviews have focus</w:t>
      </w:r>
      <w:r w:rsidR="002D2C97">
        <w:t>ed</w:t>
      </w:r>
      <w:r w:rsidRPr="00AB654D">
        <w:t xml:space="preserve"> on improving on achievements from previous agreements and learning over time</w:t>
      </w:r>
      <w:r w:rsidR="007C5B94">
        <w:t>.</w:t>
      </w:r>
    </w:p>
    <w:p w14:paraId="61306DDB" w14:textId="2431AC71" w:rsidR="00E362EF" w:rsidRDefault="00D2568F" w:rsidP="00D2568F">
      <w:pPr>
        <w:pStyle w:val="Heading2"/>
        <w:numPr>
          <w:ilvl w:val="0"/>
          <w:numId w:val="0"/>
        </w:numPr>
        <w:ind w:left="720" w:hanging="720"/>
      </w:pPr>
      <w:r>
        <w:t>About the</w:t>
      </w:r>
      <w:r w:rsidR="008F2BB3">
        <w:t xml:space="preserve"> f</w:t>
      </w:r>
      <w:r>
        <w:t>ramework</w:t>
      </w:r>
    </w:p>
    <w:p w14:paraId="345F0407" w14:textId="11BF3253" w:rsidR="009B4254" w:rsidRDefault="009B4254" w:rsidP="009B4254">
      <w:r>
        <w:t>The framework describes how the NDA will be monitored and reported on</w:t>
      </w:r>
      <w:r w:rsidR="002D2C97">
        <w:t xml:space="preserve"> by the parties</w:t>
      </w:r>
      <w:r>
        <w:t>, as an intergovernmental agreement, and how</w:t>
      </w:r>
      <w:r w:rsidR="002D2C97">
        <w:t xml:space="preserve"> parties will share</w:t>
      </w:r>
      <w:r>
        <w:t xml:space="preserve"> learnings. </w:t>
      </w:r>
    </w:p>
    <w:p w14:paraId="3C539BE2" w14:textId="77777777" w:rsidR="009B4254" w:rsidRDefault="009B4254" w:rsidP="009B4254">
      <w:r>
        <w:t>The framework:</w:t>
      </w:r>
    </w:p>
    <w:p w14:paraId="6E8FFC26" w14:textId="25C9A21F" w:rsidR="009B4254" w:rsidRDefault="001F3F4D" w:rsidP="00CE2D9B">
      <w:pPr>
        <w:pStyle w:val="ListBullet"/>
      </w:pPr>
      <w:r>
        <w:t>o</w:t>
      </w:r>
      <w:r w:rsidR="009B4254">
        <w:t xml:space="preserve">utlines the ways that the parties will demonstrate how outcomes are achieved over the duration of the </w:t>
      </w:r>
      <w:r w:rsidR="009B4254" w:rsidRPr="008F2BB3">
        <w:t>NDA</w:t>
      </w:r>
      <w:r w:rsidR="009B4254">
        <w:t xml:space="preserve"> </w:t>
      </w:r>
    </w:p>
    <w:p w14:paraId="24C92FD9" w14:textId="435D526F" w:rsidR="009B4254" w:rsidRDefault="001F3F4D" w:rsidP="00CE2D9B">
      <w:pPr>
        <w:pStyle w:val="ListBullet"/>
      </w:pPr>
      <w:r>
        <w:t>s</w:t>
      </w:r>
      <w:r w:rsidR="009B4254">
        <w:t>upports continuous improvement, and informs future priorities</w:t>
      </w:r>
    </w:p>
    <w:p w14:paraId="553D5CFD" w14:textId="6E3037A0" w:rsidR="009B4254" w:rsidRDefault="001F3F4D" w:rsidP="00CE2D9B">
      <w:pPr>
        <w:pStyle w:val="ListBullet"/>
      </w:pPr>
      <w:r>
        <w:t>e</w:t>
      </w:r>
      <w:r w:rsidR="009B4254">
        <w:t>nsures that the parties have a shared understanding of how outcomes will be monitored</w:t>
      </w:r>
    </w:p>
    <w:p w14:paraId="2E2548DA" w14:textId="4AD2E405" w:rsidR="009B4254" w:rsidRDefault="001F3F4D" w:rsidP="00CE2D9B">
      <w:pPr>
        <w:pStyle w:val="ListBullet"/>
      </w:pPr>
      <w:r>
        <w:t>p</w:t>
      </w:r>
      <w:r w:rsidR="009B4254">
        <w:t>rovides transparency to non-party stakeholders.</w:t>
      </w:r>
    </w:p>
    <w:p w14:paraId="33AC5BFF" w14:textId="77777777" w:rsidR="009B4254" w:rsidRDefault="009B4254" w:rsidP="009B4254">
      <w:r>
        <w:t>The reporting will inform:</w:t>
      </w:r>
    </w:p>
    <w:p w14:paraId="76521E46" w14:textId="72F3CC23" w:rsidR="009B4254" w:rsidRDefault="001F3F4D" w:rsidP="00CE2D9B">
      <w:pPr>
        <w:pStyle w:val="ListBullet"/>
      </w:pPr>
      <w:r>
        <w:t>t</w:t>
      </w:r>
      <w:r w:rsidR="009B4254">
        <w:t>o what extent the parties achieved the outcomes listed in the NDA, and why or why not</w:t>
      </w:r>
    </w:p>
    <w:p w14:paraId="47605F10" w14:textId="2387A544" w:rsidR="009B4254" w:rsidRDefault="001F3F4D" w:rsidP="00CE2D9B">
      <w:pPr>
        <w:pStyle w:val="ListBullet"/>
      </w:pPr>
      <w:r>
        <w:t>w</w:t>
      </w:r>
      <w:r w:rsidR="009B4254">
        <w:t>hat, if any, unintended outcomes resulted</w:t>
      </w:r>
    </w:p>
    <w:p w14:paraId="19F35BDA" w14:textId="0015AB2C" w:rsidR="00E362EF" w:rsidRDefault="001F3F4D" w:rsidP="00CE2D9B">
      <w:pPr>
        <w:pStyle w:val="ListBullet"/>
      </w:pPr>
      <w:r>
        <w:t>w</w:t>
      </w:r>
      <w:r w:rsidR="009B4254">
        <w:t xml:space="preserve">hat future priorities and opportunities </w:t>
      </w:r>
      <w:r w:rsidR="002D2C97">
        <w:t xml:space="preserve">exist </w:t>
      </w:r>
      <w:r w:rsidR="009B4254">
        <w:t>through trends identified, lessons learned, or outcomes achieved</w:t>
      </w:r>
      <w:r>
        <w:t>.</w:t>
      </w:r>
    </w:p>
    <w:p w14:paraId="05F14F66" w14:textId="17EAE21D" w:rsidR="00E02CE0" w:rsidRDefault="00E02CE0" w:rsidP="009B4254">
      <w:r w:rsidRPr="00E02CE0">
        <w:t>Non-party stakeholders may also use this framework to understand the roles and responsibilities of the parties in reporting, and how the parties will demonstrate delivery of the NDA outcomes for the duration of the NDA.</w:t>
      </w:r>
    </w:p>
    <w:p w14:paraId="28178640" w14:textId="2A206601" w:rsidR="00E362EF" w:rsidRDefault="00E02CE0" w:rsidP="00D2568F">
      <w:pPr>
        <w:pStyle w:val="Heading2"/>
        <w:numPr>
          <w:ilvl w:val="0"/>
          <w:numId w:val="0"/>
        </w:numPr>
        <w:ind w:left="720" w:hanging="720"/>
      </w:pPr>
      <w:r>
        <w:t>Scope</w:t>
      </w:r>
      <w:r w:rsidR="00D2568F">
        <w:t xml:space="preserve"> inclusions</w:t>
      </w:r>
    </w:p>
    <w:p w14:paraId="755C4A0A" w14:textId="3005A0AE" w:rsidR="00E02CE0" w:rsidRPr="00E02CE0" w:rsidRDefault="00E02CE0" w:rsidP="00CE2D9B">
      <w:pPr>
        <w:pStyle w:val="ListBullet"/>
        <w:rPr>
          <w:b/>
        </w:rPr>
      </w:pPr>
      <w:r w:rsidRPr="00E02CE0">
        <w:t>Roles and responsibilities between and across jurisdictions</w:t>
      </w:r>
    </w:p>
    <w:p w14:paraId="70915120" w14:textId="1D98D753" w:rsidR="00E02CE0" w:rsidRPr="00E02CE0" w:rsidRDefault="00E02CE0" w:rsidP="00CE2D9B">
      <w:pPr>
        <w:pStyle w:val="ListBullet"/>
        <w:rPr>
          <w:b/>
        </w:rPr>
      </w:pPr>
      <w:r w:rsidRPr="00E02CE0">
        <w:t>Reporting schedule</w:t>
      </w:r>
    </w:p>
    <w:p w14:paraId="11E21D42" w14:textId="3116FD9C" w:rsidR="00E02CE0" w:rsidRPr="00E02CE0" w:rsidRDefault="00E02CE0" w:rsidP="00CE2D9B">
      <w:pPr>
        <w:pStyle w:val="ListBullet"/>
        <w:rPr>
          <w:b/>
        </w:rPr>
      </w:pPr>
      <w:r w:rsidRPr="00E02CE0">
        <w:t>Indicators and measures to determine whether the NDA outcomes have been delivered</w:t>
      </w:r>
    </w:p>
    <w:p w14:paraId="2A891E5B" w14:textId="61A5D570" w:rsidR="00E02CE0" w:rsidRPr="00E02CE0" w:rsidRDefault="00E02CE0" w:rsidP="00CE2D9B">
      <w:pPr>
        <w:pStyle w:val="ListBullet"/>
        <w:rPr>
          <w:b/>
        </w:rPr>
      </w:pPr>
      <w:r w:rsidRPr="00E02CE0">
        <w:lastRenderedPageBreak/>
        <w:t>Opportunities and challenges for improvement and learning</w:t>
      </w:r>
    </w:p>
    <w:p w14:paraId="634D1703" w14:textId="3AB162E2" w:rsidR="00E02CE0" w:rsidRPr="00E02CE0" w:rsidRDefault="00D2568F" w:rsidP="00D2568F">
      <w:pPr>
        <w:pStyle w:val="Heading2"/>
        <w:numPr>
          <w:ilvl w:val="0"/>
          <w:numId w:val="0"/>
        </w:numPr>
        <w:ind w:left="720" w:hanging="720"/>
        <w:rPr>
          <w:b/>
        </w:rPr>
      </w:pPr>
      <w:r>
        <w:t>Scope exclusions</w:t>
      </w:r>
    </w:p>
    <w:p w14:paraId="1F78B831" w14:textId="74564F0C" w:rsidR="00E02CE0" w:rsidRPr="00E02CE0" w:rsidRDefault="00E02CE0" w:rsidP="00CE2D9B">
      <w:pPr>
        <w:pStyle w:val="ListBullet"/>
        <w:rPr>
          <w:b/>
        </w:rPr>
      </w:pPr>
      <w:r w:rsidRPr="00E02CE0">
        <w:t xml:space="preserve">Collective impact of drought initiatives, </w:t>
      </w:r>
      <w:proofErr w:type="gramStart"/>
      <w:r w:rsidR="002D2C97" w:rsidRPr="00E02CE0">
        <w:t>policies</w:t>
      </w:r>
      <w:proofErr w:type="gramEnd"/>
      <w:r w:rsidRPr="00E02CE0">
        <w:t xml:space="preserve"> and programs</w:t>
      </w:r>
    </w:p>
    <w:p w14:paraId="753EEB11" w14:textId="60541E19" w:rsidR="00E02CE0" w:rsidRPr="00E02CE0" w:rsidRDefault="00E02CE0" w:rsidP="00CE2D9B">
      <w:pPr>
        <w:pStyle w:val="ListBullet"/>
        <w:rPr>
          <w:b/>
        </w:rPr>
      </w:pPr>
      <w:r w:rsidRPr="00E02CE0">
        <w:t>Individual government drought measures</w:t>
      </w:r>
    </w:p>
    <w:p w14:paraId="21FF465B" w14:textId="191D3DBD" w:rsidR="00E02CE0" w:rsidRDefault="008F2BB3" w:rsidP="008F2BB3">
      <w:r>
        <w:t>T</w:t>
      </w:r>
      <w:r w:rsidR="00E02CE0" w:rsidRPr="00E02CE0">
        <w:t xml:space="preserve">he 2022 NDA review recommended that future efforts should not seek to measure or evaluate the collective impact of drought initiatives, given it would be unlikely to realise the benefits of this complex work. Doing so would also not align with the intent of the NDA, which is primarily focused on </w:t>
      </w:r>
      <w:r w:rsidR="00E02CE0" w:rsidRPr="00C26F7D">
        <w:t>parties working together.</w:t>
      </w:r>
      <w:r w:rsidR="00E02CE0" w:rsidRPr="00E02CE0">
        <w:t xml:space="preserve"> </w:t>
      </w:r>
    </w:p>
    <w:p w14:paraId="15BD5110" w14:textId="38E1B1C0" w:rsidR="00E362EF" w:rsidRDefault="00E02CE0" w:rsidP="00C26F7D">
      <w:pPr>
        <w:pStyle w:val="Heading2"/>
        <w:numPr>
          <w:ilvl w:val="0"/>
          <w:numId w:val="0"/>
        </w:numPr>
        <w:ind w:left="720" w:hanging="720"/>
      </w:pPr>
      <w:r>
        <w:t>Responsibilities</w:t>
      </w:r>
    </w:p>
    <w:p w14:paraId="2AFA2CEF" w14:textId="77777777" w:rsidR="00E02CE0" w:rsidRDefault="00E02CE0" w:rsidP="00E02CE0">
      <w:r>
        <w:t xml:space="preserve">The joint responsibilities contained within the NDA note the requirement of all parties to monitor drought policy and programs, to share information, to draw learnings, and endeavour to make these lessons learned public, where </w:t>
      </w:r>
      <w:r w:rsidRPr="00C26F7D">
        <w:t>relevant.</w:t>
      </w:r>
      <w:r>
        <w:t xml:space="preserve"> </w:t>
      </w:r>
    </w:p>
    <w:p w14:paraId="773B38FB" w14:textId="4085CD1F" w:rsidR="00E02CE0" w:rsidRDefault="00E02CE0" w:rsidP="00E02CE0">
      <w:r>
        <w:t xml:space="preserve">The Commonwealth is responsible for coordinating monitoring, evaluation, </w:t>
      </w:r>
      <w:proofErr w:type="gramStart"/>
      <w:r>
        <w:t>learning</w:t>
      </w:r>
      <w:proofErr w:type="gramEnd"/>
      <w:r>
        <w:t xml:space="preserve"> and reporting efforts including the compilation and delivery of the NDA annual report, noting however that this requires input and involvement from all parties.</w:t>
      </w:r>
    </w:p>
    <w:p w14:paraId="1ADB8278" w14:textId="1A9A5F53" w:rsidR="00E362EF" w:rsidRDefault="00E02CE0" w:rsidP="00E02CE0">
      <w:r>
        <w:t>All parties are responsible for reviewing the effectiveness of individual programs and policies, contributing data towards reporting, and actively sharing lessons learned to improve clarity, decisions, and policy and programs.</w:t>
      </w:r>
    </w:p>
    <w:p w14:paraId="760766F2" w14:textId="03C185F9" w:rsidR="00E02CE0" w:rsidRDefault="00E02CE0" w:rsidP="00D2568F">
      <w:pPr>
        <w:pStyle w:val="Heading2"/>
        <w:numPr>
          <w:ilvl w:val="0"/>
          <w:numId w:val="0"/>
        </w:numPr>
        <w:ind w:left="720" w:hanging="720"/>
      </w:pPr>
      <w:r>
        <w:t xml:space="preserve">What </w:t>
      </w:r>
      <w:r w:rsidR="00C05C05">
        <w:t xml:space="preserve">is </w:t>
      </w:r>
      <w:r>
        <w:t>need</w:t>
      </w:r>
      <w:r w:rsidR="00C05C05">
        <w:t>ed</w:t>
      </w:r>
      <w:r>
        <w:t xml:space="preserve"> to achieve the outcomes</w:t>
      </w:r>
    </w:p>
    <w:p w14:paraId="07BBFF9E" w14:textId="70553F46" w:rsidR="00E02CE0" w:rsidRDefault="00E02CE0" w:rsidP="00CE2D9B">
      <w:pPr>
        <w:pStyle w:val="ListBullet"/>
      </w:pPr>
      <w:r>
        <w:t>Parties remain committed to working together for the time</w:t>
      </w:r>
      <w:r w:rsidR="00C26F7D">
        <w:t>frame</w:t>
      </w:r>
      <w:r>
        <w:t xml:space="preserve"> of the NDA (2024</w:t>
      </w:r>
      <w:r w:rsidR="00D33285">
        <w:t xml:space="preserve"> to </w:t>
      </w:r>
      <w:r>
        <w:t>2029) and to make a positive difference towards management of drought in Australia</w:t>
      </w:r>
      <w:r w:rsidR="00956048">
        <w:t>.</w:t>
      </w:r>
    </w:p>
    <w:p w14:paraId="7D890E46" w14:textId="14027E22" w:rsidR="00E02CE0" w:rsidRDefault="00E02CE0" w:rsidP="00CE2D9B">
      <w:pPr>
        <w:pStyle w:val="ListBullet"/>
      </w:pPr>
      <w:r>
        <w:t>Parties continue to share their policies and programs, and lessons learned with each other in the spirit of collaboratio</w:t>
      </w:r>
      <w:r w:rsidR="00CE2D9B">
        <w:t>n</w:t>
      </w:r>
      <w:r w:rsidR="00956048">
        <w:t>.</w:t>
      </w:r>
    </w:p>
    <w:p w14:paraId="2266D16E" w14:textId="54B8CD6C" w:rsidR="00E02CE0" w:rsidRDefault="00E02CE0" w:rsidP="00CE2D9B">
      <w:pPr>
        <w:pStyle w:val="ListBullet"/>
      </w:pPr>
      <w:r>
        <w:t>Parties provide adequate resourcing and funding to enable adherence to NDA principles</w:t>
      </w:r>
      <w:r w:rsidR="00956048">
        <w:t>.</w:t>
      </w:r>
    </w:p>
    <w:p w14:paraId="2553D3DE" w14:textId="40E372D6" w:rsidR="00E02CE0" w:rsidRDefault="00E02CE0" w:rsidP="00CE2D9B">
      <w:pPr>
        <w:pStyle w:val="ListBullet"/>
      </w:pPr>
      <w:r>
        <w:t>Parties share replicable lessons</w:t>
      </w:r>
      <w:r w:rsidR="00956048">
        <w:t>.</w:t>
      </w:r>
    </w:p>
    <w:p w14:paraId="6FC716C8" w14:textId="6F32128C" w:rsidR="00E02CE0" w:rsidRDefault="00E02CE0" w:rsidP="00CE2D9B">
      <w:pPr>
        <w:pStyle w:val="ListBullet"/>
      </w:pPr>
      <w:r>
        <w:t xml:space="preserve">Sufficient and accessible networks, forums, </w:t>
      </w:r>
      <w:proofErr w:type="gramStart"/>
      <w:r>
        <w:t>groups</w:t>
      </w:r>
      <w:proofErr w:type="gramEnd"/>
      <w:r>
        <w:t xml:space="preserve"> and platforms exist to enable effective sharing of information with non-party stakeholders</w:t>
      </w:r>
      <w:r w:rsidR="00956048">
        <w:t>.</w:t>
      </w:r>
    </w:p>
    <w:p w14:paraId="1A1A27A9" w14:textId="6BADB4C2" w:rsidR="00E02CE0" w:rsidRDefault="00E02CE0" w:rsidP="00E02CE0">
      <w:pPr>
        <w:pStyle w:val="ListBullet"/>
      </w:pPr>
      <w:r>
        <w:t>Non-party stakeholders are motivated to access drought information, tools and lessons learned.</w:t>
      </w:r>
    </w:p>
    <w:p w14:paraId="7228FD26" w14:textId="08680CEE" w:rsidR="00F65DFD" w:rsidRDefault="00D63B87" w:rsidP="00D63B87">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E02CE0">
        <w:t xml:space="preserve">Reporting </w:t>
      </w:r>
      <w:r>
        <w:t>f</w:t>
      </w:r>
      <w:r w:rsidR="00E02CE0">
        <w:t>ramework</w:t>
      </w:r>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843"/>
        <w:gridCol w:w="2409"/>
        <w:gridCol w:w="2409"/>
        <w:gridCol w:w="2409"/>
      </w:tblGrid>
      <w:tr w:rsidR="004B6E91" w:rsidRPr="000C2543" w14:paraId="442FD057" w14:textId="77777777" w:rsidTr="00724A2B">
        <w:trPr>
          <w:cantSplit/>
          <w:tblHeader/>
        </w:trPr>
        <w:tc>
          <w:tcPr>
            <w:tcW w:w="1016" w:type="pct"/>
            <w:tcMar>
              <w:left w:w="108" w:type="dxa"/>
              <w:right w:w="108" w:type="dxa"/>
            </w:tcMar>
          </w:tcPr>
          <w:p w14:paraId="4404447E" w14:textId="58B1C717" w:rsidR="004B6E91" w:rsidRPr="000C2543" w:rsidRDefault="000C2543" w:rsidP="000C2543">
            <w:pPr>
              <w:pStyle w:val="TableHeading"/>
            </w:pPr>
            <w:bookmarkStart w:id="0" w:name="Title_1"/>
            <w:bookmarkEnd w:id="0"/>
            <w:r w:rsidRPr="000C2543">
              <w:t>Outcomes</w:t>
            </w:r>
          </w:p>
        </w:tc>
        <w:tc>
          <w:tcPr>
            <w:tcW w:w="1328" w:type="pct"/>
            <w:tcMar>
              <w:left w:w="108" w:type="dxa"/>
              <w:right w:w="108" w:type="dxa"/>
            </w:tcMar>
          </w:tcPr>
          <w:p w14:paraId="72C45D67" w14:textId="3771B6BD" w:rsidR="004B6E91" w:rsidRPr="000C2543" w:rsidRDefault="000C2543" w:rsidP="000C2543">
            <w:pPr>
              <w:pStyle w:val="TableHeading"/>
            </w:pPr>
            <w:r w:rsidRPr="000C2543">
              <w:t>Indicators</w:t>
            </w:r>
          </w:p>
        </w:tc>
        <w:tc>
          <w:tcPr>
            <w:tcW w:w="1328" w:type="pct"/>
            <w:tcMar>
              <w:left w:w="108" w:type="dxa"/>
              <w:right w:w="108" w:type="dxa"/>
            </w:tcMar>
          </w:tcPr>
          <w:p w14:paraId="72402B21" w14:textId="3D33CE2B" w:rsidR="004B6E91" w:rsidRPr="000C2543" w:rsidRDefault="000C2543" w:rsidP="000C2543">
            <w:pPr>
              <w:pStyle w:val="TableHeading"/>
            </w:pPr>
            <w:r w:rsidRPr="000C2543">
              <w:t>Reporting measures</w:t>
            </w:r>
          </w:p>
        </w:tc>
        <w:tc>
          <w:tcPr>
            <w:tcW w:w="1328" w:type="pct"/>
            <w:tcMar>
              <w:left w:w="108" w:type="dxa"/>
              <w:right w:w="108" w:type="dxa"/>
            </w:tcMar>
          </w:tcPr>
          <w:p w14:paraId="22C394CA" w14:textId="5CE63DA8" w:rsidR="004B6E91" w:rsidRPr="000C2543" w:rsidRDefault="000C2543" w:rsidP="000C2543">
            <w:pPr>
              <w:pStyle w:val="TableHeading"/>
            </w:pPr>
            <w:r w:rsidRPr="000C2543">
              <w:t>Data sources</w:t>
            </w:r>
            <w:r w:rsidR="00106E52">
              <w:t xml:space="preserve"> </w:t>
            </w:r>
            <w:r w:rsidR="00106E52" w:rsidRPr="00106E52">
              <w:rPr>
                <w:vertAlign w:val="superscript"/>
              </w:rPr>
              <w:t>a</w:t>
            </w:r>
          </w:p>
        </w:tc>
      </w:tr>
      <w:tr w:rsidR="000C2543" w:rsidRPr="000C2543" w14:paraId="3BE9BA3E" w14:textId="77777777" w:rsidTr="00724A2B">
        <w:tc>
          <w:tcPr>
            <w:tcW w:w="1016" w:type="pct"/>
            <w:tcMar>
              <w:left w:w="108" w:type="dxa"/>
              <w:right w:w="108" w:type="dxa"/>
            </w:tcMar>
          </w:tcPr>
          <w:p w14:paraId="795873F7" w14:textId="4199440D" w:rsidR="000C2543" w:rsidRPr="000C2543" w:rsidRDefault="000C2543" w:rsidP="000C2543">
            <w:pPr>
              <w:pStyle w:val="TableText"/>
            </w:pPr>
            <w:r w:rsidRPr="000C2543">
              <w:t>Outcome 1 Government drought policies and programs are aligned nationally, and consistent with the NDA principles.</w:t>
            </w:r>
          </w:p>
        </w:tc>
        <w:tc>
          <w:tcPr>
            <w:tcW w:w="1328" w:type="pct"/>
            <w:tcMar>
              <w:left w:w="108" w:type="dxa"/>
              <w:right w:w="108" w:type="dxa"/>
            </w:tcMar>
          </w:tcPr>
          <w:p w14:paraId="3055FEC8" w14:textId="77777777" w:rsidR="000C2543" w:rsidRDefault="000C2543" w:rsidP="000C2543">
            <w:pPr>
              <w:pStyle w:val="TableBullet"/>
            </w:pPr>
            <w:r>
              <w:t>New and existing drought policies and programs in each jurisdiction are aligned and meet the NDA principles and responsibilities.</w:t>
            </w:r>
          </w:p>
          <w:p w14:paraId="5165CD2E" w14:textId="7EC775DF" w:rsidR="000C2543" w:rsidRPr="000C2543" w:rsidRDefault="000C2543" w:rsidP="000C2543">
            <w:pPr>
              <w:pStyle w:val="TableBullet"/>
            </w:pPr>
            <w:r>
              <w:lastRenderedPageBreak/>
              <w:t>AMM W</w:t>
            </w:r>
            <w:r w:rsidR="00724A2B">
              <w:t xml:space="preserve">orking </w:t>
            </w:r>
            <w:r>
              <w:t>G</w:t>
            </w:r>
            <w:r w:rsidR="00724A2B">
              <w:t>roup</w:t>
            </w:r>
            <w:r>
              <w:t xml:space="preserve"> on Drought have an annual workplan to progress implementation of the NDA.</w:t>
            </w:r>
          </w:p>
        </w:tc>
        <w:tc>
          <w:tcPr>
            <w:tcW w:w="1328" w:type="pct"/>
            <w:tcMar>
              <w:left w:w="108" w:type="dxa"/>
              <w:right w:w="108" w:type="dxa"/>
            </w:tcMar>
          </w:tcPr>
          <w:p w14:paraId="497D40B1" w14:textId="5B860AB0" w:rsidR="000C2543" w:rsidRPr="000C2543" w:rsidRDefault="000C2543" w:rsidP="000C2543">
            <w:pPr>
              <w:pStyle w:val="TableText"/>
            </w:pPr>
            <w:r>
              <w:lastRenderedPageBreak/>
              <w:t xml:space="preserve">Jurisdictional self-assessment and peer review, reported in the NDA </w:t>
            </w:r>
            <w:r w:rsidR="00724A2B">
              <w:t>a</w:t>
            </w:r>
            <w:r>
              <w:t xml:space="preserve">nnual </w:t>
            </w:r>
            <w:r w:rsidR="00724A2B">
              <w:t>r</w:t>
            </w:r>
            <w:r>
              <w:t>eport.</w:t>
            </w:r>
          </w:p>
        </w:tc>
        <w:tc>
          <w:tcPr>
            <w:tcW w:w="1328" w:type="pct"/>
            <w:tcMar>
              <w:left w:w="108" w:type="dxa"/>
              <w:right w:w="108" w:type="dxa"/>
            </w:tcMar>
          </w:tcPr>
          <w:p w14:paraId="788F600F" w14:textId="77777777" w:rsidR="000C2543" w:rsidRDefault="000C2543" w:rsidP="000C2543">
            <w:pPr>
              <w:pStyle w:val="TableBullet"/>
            </w:pPr>
            <w:r>
              <w:t>Jurisdictional drought-related policy and program lists</w:t>
            </w:r>
          </w:p>
          <w:p w14:paraId="2F6524E6" w14:textId="77777777" w:rsidR="000C2543" w:rsidRDefault="000C2543" w:rsidP="000C2543">
            <w:pPr>
              <w:pStyle w:val="TableBullet"/>
            </w:pPr>
            <w:r>
              <w:t xml:space="preserve">Jurisdiction self-assessment against principles matrix </w:t>
            </w:r>
          </w:p>
          <w:p w14:paraId="5645525C" w14:textId="77777777" w:rsidR="000C2543" w:rsidRDefault="000C2543" w:rsidP="000C2543">
            <w:pPr>
              <w:pStyle w:val="TableBullet"/>
            </w:pPr>
            <w:r>
              <w:lastRenderedPageBreak/>
              <w:t>Case studies</w:t>
            </w:r>
          </w:p>
          <w:p w14:paraId="65279E1D" w14:textId="3C758636" w:rsidR="000C2543" w:rsidRPr="000C2543" w:rsidRDefault="000C2543" w:rsidP="000C2543">
            <w:pPr>
              <w:pStyle w:val="TableBullet"/>
            </w:pPr>
            <w:r>
              <w:t>AMM/AGSOC workplan and updates</w:t>
            </w:r>
          </w:p>
        </w:tc>
      </w:tr>
      <w:tr w:rsidR="000C2543" w:rsidRPr="000C2543" w14:paraId="4BF42F96" w14:textId="77777777" w:rsidTr="00724A2B">
        <w:tc>
          <w:tcPr>
            <w:tcW w:w="1016" w:type="pct"/>
            <w:tcMar>
              <w:left w:w="108" w:type="dxa"/>
              <w:right w:w="108" w:type="dxa"/>
            </w:tcMar>
          </w:tcPr>
          <w:p w14:paraId="109AB218" w14:textId="53270259" w:rsidR="000C2543" w:rsidRPr="000C2543" w:rsidRDefault="000C2543" w:rsidP="000C2543">
            <w:pPr>
              <w:pStyle w:val="TableText"/>
            </w:pPr>
            <w:r w:rsidRPr="000C2543">
              <w:lastRenderedPageBreak/>
              <w:t>Outcome 2 Government responses across the drought cycle (preparedness, response, and recovery) reflect a focus on preparedness and the ability to respond and recover quickly from drought.</w:t>
            </w:r>
          </w:p>
        </w:tc>
        <w:tc>
          <w:tcPr>
            <w:tcW w:w="1328" w:type="pct"/>
            <w:tcMar>
              <w:left w:w="108" w:type="dxa"/>
              <w:right w:w="108" w:type="dxa"/>
            </w:tcMar>
          </w:tcPr>
          <w:p w14:paraId="6AA5D120" w14:textId="7208CADC" w:rsidR="000C2543" w:rsidRPr="000C2543" w:rsidRDefault="000C2543" w:rsidP="000C2543">
            <w:pPr>
              <w:pStyle w:val="TableText"/>
            </w:pPr>
            <w:r>
              <w:t>Government responses and actual spending is reflective of the NDA principles and conditions and impacts experienced over the reporting period.</w:t>
            </w:r>
          </w:p>
        </w:tc>
        <w:tc>
          <w:tcPr>
            <w:tcW w:w="1328" w:type="pct"/>
            <w:tcMar>
              <w:left w:w="108" w:type="dxa"/>
              <w:right w:w="108" w:type="dxa"/>
            </w:tcMar>
          </w:tcPr>
          <w:p w14:paraId="765497DB" w14:textId="55D3B28F" w:rsidR="000C2543" w:rsidRPr="000C2543" w:rsidRDefault="000C2543" w:rsidP="000C2543">
            <w:pPr>
              <w:pStyle w:val="TableText"/>
            </w:pPr>
            <w:r>
              <w:t>Jurisdictional self-assessment reported in the NDA Annual Report.</w:t>
            </w:r>
          </w:p>
        </w:tc>
        <w:tc>
          <w:tcPr>
            <w:tcW w:w="1328" w:type="pct"/>
            <w:tcMar>
              <w:left w:w="108" w:type="dxa"/>
              <w:right w:w="108" w:type="dxa"/>
            </w:tcMar>
          </w:tcPr>
          <w:p w14:paraId="18841737" w14:textId="1921D46A" w:rsidR="000C2543" w:rsidRDefault="000C2543" w:rsidP="000C2543">
            <w:pPr>
              <w:pStyle w:val="TableBullet"/>
            </w:pPr>
            <w:r>
              <w:t>Jurisdictional expenditure for drought-related programs</w:t>
            </w:r>
          </w:p>
          <w:p w14:paraId="2652A798" w14:textId="1E7B47E3" w:rsidR="000C2543" w:rsidRPr="000C2543" w:rsidRDefault="000C2543" w:rsidP="000C2543">
            <w:pPr>
              <w:pStyle w:val="TableBullet"/>
            </w:pPr>
            <w:r>
              <w:t>Case studies</w:t>
            </w:r>
          </w:p>
        </w:tc>
      </w:tr>
      <w:tr w:rsidR="000C2543" w:rsidRPr="004B6E91" w14:paraId="024F343B" w14:textId="77777777" w:rsidTr="00724A2B">
        <w:tc>
          <w:tcPr>
            <w:tcW w:w="1016" w:type="pct"/>
            <w:tcMar>
              <w:left w:w="108" w:type="dxa"/>
              <w:right w:w="108" w:type="dxa"/>
            </w:tcMar>
          </w:tcPr>
          <w:p w14:paraId="71D25E43" w14:textId="5FDB2E08" w:rsidR="000C2543" w:rsidRPr="004B6E91" w:rsidRDefault="000C2543" w:rsidP="000C2543">
            <w:pPr>
              <w:pStyle w:val="TableText"/>
            </w:pPr>
            <w:r w:rsidRPr="000C2543">
              <w:t>Outcome 3 Information, tools and lessons learned are actively shared to improve clarity, decisions, and policy and programs, for parties and non-party stakeholders.</w:t>
            </w:r>
          </w:p>
        </w:tc>
        <w:tc>
          <w:tcPr>
            <w:tcW w:w="1328" w:type="pct"/>
            <w:tcMar>
              <w:left w:w="108" w:type="dxa"/>
              <w:right w:w="108" w:type="dxa"/>
            </w:tcMar>
          </w:tcPr>
          <w:p w14:paraId="2E772933" w14:textId="7F548604" w:rsidR="000C2543" w:rsidRPr="004B6E91" w:rsidRDefault="000C2543" w:rsidP="000C2543">
            <w:pPr>
              <w:pStyle w:val="TableText"/>
            </w:pPr>
            <w:r>
              <w:t>Opportunities are utilised and networks exist for information sharing between parties, and between parties and non-parties.</w:t>
            </w:r>
          </w:p>
        </w:tc>
        <w:tc>
          <w:tcPr>
            <w:tcW w:w="1328" w:type="pct"/>
            <w:tcMar>
              <w:left w:w="108" w:type="dxa"/>
              <w:right w:w="108" w:type="dxa"/>
            </w:tcMar>
          </w:tcPr>
          <w:p w14:paraId="232C24A3" w14:textId="56ED178B" w:rsidR="000C2543" w:rsidRPr="000C2543" w:rsidRDefault="000C2543" w:rsidP="000C2543">
            <w:pPr>
              <w:pStyle w:val="TableBullet"/>
            </w:pPr>
            <w:r w:rsidRPr="000C2543">
              <w:t>Number of AMM W</w:t>
            </w:r>
            <w:r w:rsidR="00724A2B">
              <w:t xml:space="preserve">orking </w:t>
            </w:r>
            <w:r w:rsidRPr="000C2543">
              <w:t>G</w:t>
            </w:r>
            <w:r w:rsidR="00724A2B">
              <w:t>roup</w:t>
            </w:r>
            <w:r w:rsidRPr="000C2543">
              <w:t xml:space="preserve"> on Drought meetings and a summary of high-level agenda items, reported in the NDA </w:t>
            </w:r>
            <w:r w:rsidR="00724A2B">
              <w:t>a</w:t>
            </w:r>
            <w:r w:rsidRPr="000C2543">
              <w:t xml:space="preserve">nnual </w:t>
            </w:r>
            <w:r w:rsidR="00724A2B">
              <w:t>r</w:t>
            </w:r>
            <w:r w:rsidRPr="000C2543">
              <w:t>eport.</w:t>
            </w:r>
          </w:p>
          <w:p w14:paraId="6F865548" w14:textId="272EA871" w:rsidR="000C2543" w:rsidRPr="000C2543" w:rsidRDefault="000C2543" w:rsidP="000C2543">
            <w:pPr>
              <w:pStyle w:val="TableBullet"/>
            </w:pPr>
            <w:r w:rsidRPr="000C2543">
              <w:t>Number of National Drought Network meetings, number of participants and associated meeting notes.</w:t>
            </w:r>
          </w:p>
          <w:p w14:paraId="2C7462EB" w14:textId="0F82A3B8" w:rsidR="000C2543" w:rsidRPr="004B6E91" w:rsidRDefault="000C2543" w:rsidP="000C2543">
            <w:pPr>
              <w:pStyle w:val="TableBullet"/>
            </w:pPr>
            <w:r w:rsidRPr="000C2543">
              <w:t>Jurisdictional evaluations are shared, where undertaken.</w:t>
            </w:r>
          </w:p>
        </w:tc>
        <w:tc>
          <w:tcPr>
            <w:tcW w:w="1328" w:type="pct"/>
            <w:tcMar>
              <w:left w:w="108" w:type="dxa"/>
              <w:right w:w="108" w:type="dxa"/>
            </w:tcMar>
          </w:tcPr>
          <w:p w14:paraId="31CCF2BE" w14:textId="77777777" w:rsidR="000C2543" w:rsidRDefault="000C2543" w:rsidP="000C2543">
            <w:pPr>
              <w:pStyle w:val="TableBullet"/>
            </w:pPr>
            <w:r>
              <w:t>Case studies</w:t>
            </w:r>
          </w:p>
          <w:p w14:paraId="1E892B42" w14:textId="77777777" w:rsidR="000C2543" w:rsidRDefault="000C2543" w:rsidP="000C2543">
            <w:pPr>
              <w:pStyle w:val="TableBullet"/>
            </w:pPr>
            <w:r>
              <w:t>Meeting records</w:t>
            </w:r>
          </w:p>
          <w:p w14:paraId="0F4D3A5A" w14:textId="77777777" w:rsidR="000C2543" w:rsidRDefault="000C2543" w:rsidP="000C2543">
            <w:pPr>
              <w:pStyle w:val="TableBullet"/>
            </w:pPr>
            <w:r>
              <w:t>Meeting notes</w:t>
            </w:r>
          </w:p>
          <w:p w14:paraId="5CC4BB38" w14:textId="20C44B17" w:rsidR="000C2543" w:rsidRPr="004B6E91" w:rsidRDefault="000C2543" w:rsidP="000C2543">
            <w:pPr>
              <w:pStyle w:val="TableBullet"/>
            </w:pPr>
            <w:r>
              <w:t>AMM/AGSOC workplan and updates</w:t>
            </w:r>
          </w:p>
        </w:tc>
      </w:tr>
    </w:tbl>
    <w:p w14:paraId="3F1564F1" w14:textId="59F487C7" w:rsidR="004B6E91" w:rsidRPr="004B6E91" w:rsidRDefault="00106E52" w:rsidP="00106E52">
      <w:pPr>
        <w:pStyle w:val="FigureTableNoteSource"/>
      </w:pPr>
      <w:r w:rsidRPr="00106E52">
        <w:rPr>
          <w:rStyle w:val="Strong"/>
        </w:rPr>
        <w:t>a</w:t>
      </w:r>
      <w:r>
        <w:t xml:space="preserve"> Commonwealth to lead as Secretariat. All jurisdictions to contribute towards these data sources.</w:t>
      </w:r>
      <w:r w:rsidR="00724A2B">
        <w:t xml:space="preserve"> </w:t>
      </w:r>
      <w:r w:rsidR="00724A2B" w:rsidRPr="00C26F7D">
        <w:rPr>
          <w:rStyle w:val="Strong"/>
        </w:rPr>
        <w:t>AMM</w:t>
      </w:r>
      <w:r w:rsidR="00724A2B">
        <w:t xml:space="preserve"> Agriculture Ministers’ Meeting. </w:t>
      </w:r>
      <w:r w:rsidR="00724A2B" w:rsidRPr="00C26F7D">
        <w:rPr>
          <w:rStyle w:val="Strong"/>
        </w:rPr>
        <w:t>AGSOC</w:t>
      </w:r>
      <w:r w:rsidR="00724A2B">
        <w:t xml:space="preserve"> Agriculture Senior Officials Committee.</w:t>
      </w:r>
    </w:p>
    <w:p w14:paraId="7427B899" w14:textId="671B80A7" w:rsidR="00D43960" w:rsidRDefault="00C26F7D" w:rsidP="00C05C05">
      <w:pPr>
        <w:pStyle w:val="Heading2"/>
        <w:numPr>
          <w:ilvl w:val="0"/>
          <w:numId w:val="0"/>
        </w:numPr>
        <w:ind w:left="720" w:hanging="720"/>
      </w:pPr>
      <w:r>
        <w:t xml:space="preserve">Reporting </w:t>
      </w:r>
      <w:r w:rsidR="00A41383">
        <w:t>s</w:t>
      </w:r>
      <w:r>
        <w:t>chedule</w:t>
      </w:r>
    </w:p>
    <w:p w14:paraId="32E1C7A9" w14:textId="7520F685" w:rsidR="00D43960" w:rsidRDefault="00D43960" w:rsidP="00D43960">
      <w:r>
        <w:t>As outlined in the NDA 2024</w:t>
      </w:r>
      <w:r w:rsidR="001F3F4D">
        <w:t xml:space="preserve"> to 20</w:t>
      </w:r>
      <w:r>
        <w:t>29:</w:t>
      </w:r>
    </w:p>
    <w:p w14:paraId="1AB55E76" w14:textId="7727ACB7" w:rsidR="00D43960" w:rsidRDefault="00D43960" w:rsidP="00C26F7D">
      <w:pPr>
        <w:pStyle w:val="ListBullet"/>
      </w:pPr>
      <w:r>
        <w:t>The parties will report against the outcomes of this agreement annually to the Agriculture Senior Officials Committee (AGSOC) and as agreed by all parties.</w:t>
      </w:r>
    </w:p>
    <w:p w14:paraId="3AF593F5" w14:textId="5795DF1D" w:rsidR="00D43960" w:rsidRPr="00C26F7D" w:rsidRDefault="00D43960" w:rsidP="00C26F7D">
      <w:pPr>
        <w:pStyle w:val="ListBullet"/>
      </w:pPr>
      <w:r>
        <w:t xml:space="preserve">The AGSOC members, or their </w:t>
      </w:r>
      <w:r w:rsidRPr="00C26F7D">
        <w:t xml:space="preserve">representatives, will discuss this agreement annually, or as agreed by all parties, to ensure effective and efficient execution of the agreement. </w:t>
      </w:r>
    </w:p>
    <w:p w14:paraId="7A39F598" w14:textId="71369396" w:rsidR="00D43960" w:rsidRPr="00C26F7D" w:rsidRDefault="00D43960" w:rsidP="00C26F7D">
      <w:pPr>
        <w:pStyle w:val="ListBullet"/>
      </w:pPr>
      <w:r w:rsidRPr="00C26F7D">
        <w:t>AGSOC will report annually to the Agriculture Ministers</w:t>
      </w:r>
      <w:r w:rsidR="00B52BC5" w:rsidRPr="00C26F7D">
        <w:t>’</w:t>
      </w:r>
      <w:r w:rsidRPr="00C26F7D">
        <w:t xml:space="preserve"> Meeting (AMM) and as required, on progress against the outcomes of this agreement. </w:t>
      </w:r>
    </w:p>
    <w:p w14:paraId="6B6AEDD0" w14:textId="00722973" w:rsidR="00C83138" w:rsidRDefault="00D43960" w:rsidP="00C83138">
      <w:pPr>
        <w:pStyle w:val="ListBullet"/>
      </w:pPr>
      <w:r>
        <w:t xml:space="preserve">Parties will produce an annual update to be </w:t>
      </w:r>
      <w:proofErr w:type="gramStart"/>
      <w:r>
        <w:t>publicly released</w:t>
      </w:r>
      <w:proofErr w:type="gramEnd"/>
      <w:r>
        <w:t xml:space="preserve"> by AMM, in line with the Outcomes Reporting Framework. Reporting will focus on progress against the outcomes of this agreement.</w:t>
      </w:r>
    </w:p>
    <w:p w14:paraId="77EF1005" w14:textId="210675DF" w:rsidR="00D43960" w:rsidRDefault="00D63B87" w:rsidP="00D63B87">
      <w:pPr>
        <w:pStyle w:val="Caption"/>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D43960">
        <w:t xml:space="preserve">Reporting </w:t>
      </w:r>
      <w:r>
        <w:t>s</w:t>
      </w:r>
      <w:r w:rsidR="00D43960">
        <w:t>chedule</w:t>
      </w:r>
    </w:p>
    <w:tbl>
      <w:tblPr>
        <w:tblW w:w="468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703"/>
        <w:gridCol w:w="4818"/>
        <w:gridCol w:w="1985"/>
      </w:tblGrid>
      <w:tr w:rsidR="00D43960" w:rsidRPr="005448BB" w14:paraId="1D44C8B5" w14:textId="77777777" w:rsidTr="00D43960">
        <w:trPr>
          <w:cantSplit/>
          <w:tblHeader/>
        </w:trPr>
        <w:tc>
          <w:tcPr>
            <w:tcW w:w="1001" w:type="pct"/>
            <w:tcMar>
              <w:left w:w="108" w:type="dxa"/>
              <w:right w:w="108" w:type="dxa"/>
            </w:tcMar>
          </w:tcPr>
          <w:p w14:paraId="104FA154" w14:textId="41125E3B" w:rsidR="00D43960" w:rsidRPr="005448BB" w:rsidRDefault="00D43960" w:rsidP="00C26F7D">
            <w:pPr>
              <w:pStyle w:val="TableHeading"/>
            </w:pPr>
            <w:bookmarkStart w:id="1" w:name="Title_2"/>
            <w:bookmarkEnd w:id="1"/>
            <w:r w:rsidRPr="005448BB">
              <w:t>Reporting</w:t>
            </w:r>
          </w:p>
        </w:tc>
        <w:tc>
          <w:tcPr>
            <w:tcW w:w="2832" w:type="pct"/>
            <w:tcMar>
              <w:left w:w="108" w:type="dxa"/>
              <w:right w:w="108" w:type="dxa"/>
            </w:tcMar>
          </w:tcPr>
          <w:p w14:paraId="69B505CD" w14:textId="6A82B19E" w:rsidR="00D43960" w:rsidRPr="005448BB" w:rsidRDefault="00D43960" w:rsidP="00C26F7D">
            <w:pPr>
              <w:pStyle w:val="TableHeading"/>
            </w:pPr>
            <w:r w:rsidRPr="005448BB">
              <w:t>Purpose</w:t>
            </w:r>
          </w:p>
        </w:tc>
        <w:tc>
          <w:tcPr>
            <w:tcW w:w="1167" w:type="pct"/>
            <w:tcMar>
              <w:left w:w="108" w:type="dxa"/>
              <w:right w:w="108" w:type="dxa"/>
            </w:tcMar>
          </w:tcPr>
          <w:p w14:paraId="513C9C4B" w14:textId="189D9A05" w:rsidR="00D43960" w:rsidRPr="005448BB" w:rsidRDefault="00D43960" w:rsidP="00C26F7D">
            <w:pPr>
              <w:pStyle w:val="TableHeading"/>
            </w:pPr>
            <w:r w:rsidRPr="005448BB">
              <w:t>Timing</w:t>
            </w:r>
          </w:p>
        </w:tc>
      </w:tr>
      <w:tr w:rsidR="00D43960" w14:paraId="0159F882" w14:textId="77777777" w:rsidTr="00D43960">
        <w:tc>
          <w:tcPr>
            <w:tcW w:w="1001" w:type="pct"/>
            <w:tcMar>
              <w:left w:w="108" w:type="dxa"/>
              <w:right w:w="108" w:type="dxa"/>
            </w:tcMar>
          </w:tcPr>
          <w:p w14:paraId="5A325281" w14:textId="4D64BFFC" w:rsidR="00D43960" w:rsidRPr="005448BB" w:rsidRDefault="00D43960" w:rsidP="00C26F7D">
            <w:pPr>
              <w:pStyle w:val="TableText"/>
            </w:pPr>
            <w:r w:rsidRPr="005448BB">
              <w:t>Jurisdictional input</w:t>
            </w:r>
          </w:p>
        </w:tc>
        <w:tc>
          <w:tcPr>
            <w:tcW w:w="2832" w:type="pct"/>
            <w:tcMar>
              <w:left w:w="108" w:type="dxa"/>
              <w:right w:w="108" w:type="dxa"/>
            </w:tcMar>
          </w:tcPr>
          <w:p w14:paraId="579400B8" w14:textId="523E3066" w:rsidR="00D43960" w:rsidRPr="005448BB" w:rsidRDefault="00D43960" w:rsidP="00C26F7D">
            <w:pPr>
              <w:pStyle w:val="TableText"/>
            </w:pPr>
            <w:r w:rsidRPr="005448BB">
              <w:t>Each jurisdiction provides input from their respective regions, enabling monitoring of progress and lessons learned.</w:t>
            </w:r>
          </w:p>
        </w:tc>
        <w:tc>
          <w:tcPr>
            <w:tcW w:w="1167" w:type="pct"/>
            <w:tcMar>
              <w:left w:w="108" w:type="dxa"/>
              <w:right w:w="108" w:type="dxa"/>
            </w:tcMar>
          </w:tcPr>
          <w:p w14:paraId="63EC7539" w14:textId="3794641B" w:rsidR="00D43960" w:rsidRPr="005448BB" w:rsidRDefault="00D43960" w:rsidP="00C26F7D">
            <w:pPr>
              <w:pStyle w:val="TableText"/>
            </w:pPr>
            <w:r w:rsidRPr="005448BB">
              <w:t>As required</w:t>
            </w:r>
          </w:p>
        </w:tc>
      </w:tr>
      <w:tr w:rsidR="00D43960" w14:paraId="03B351F9" w14:textId="77777777" w:rsidTr="00D43960">
        <w:tc>
          <w:tcPr>
            <w:tcW w:w="1001" w:type="pct"/>
            <w:tcMar>
              <w:left w:w="108" w:type="dxa"/>
              <w:right w:w="108" w:type="dxa"/>
            </w:tcMar>
          </w:tcPr>
          <w:p w14:paraId="1D13662D" w14:textId="399C94F3" w:rsidR="00D43960" w:rsidRPr="005448BB" w:rsidRDefault="00D43960" w:rsidP="00C26F7D">
            <w:pPr>
              <w:pStyle w:val="TableText"/>
            </w:pPr>
            <w:r w:rsidRPr="005448BB">
              <w:t xml:space="preserve">NDA </w:t>
            </w:r>
            <w:r w:rsidR="005448BB">
              <w:t>a</w:t>
            </w:r>
            <w:r w:rsidRPr="005448BB">
              <w:t xml:space="preserve">nnual </w:t>
            </w:r>
            <w:r w:rsidR="005448BB">
              <w:t>r</w:t>
            </w:r>
            <w:r w:rsidRPr="005448BB">
              <w:t>eport</w:t>
            </w:r>
          </w:p>
        </w:tc>
        <w:tc>
          <w:tcPr>
            <w:tcW w:w="2832" w:type="pct"/>
            <w:tcMar>
              <w:left w:w="108" w:type="dxa"/>
              <w:right w:w="108" w:type="dxa"/>
            </w:tcMar>
          </w:tcPr>
          <w:p w14:paraId="0C438E70" w14:textId="36D38B7A" w:rsidR="00D43960" w:rsidRPr="005448BB" w:rsidRDefault="00D43960" w:rsidP="00C26F7D">
            <w:pPr>
              <w:pStyle w:val="TableText"/>
            </w:pPr>
            <w:r w:rsidRPr="005448BB">
              <w:t>Jurisdictions provide input from their respective regions which provides detail on the collective progress and performance against the agreed indicators, and opportunity to summarise learnings and focus for future priorities.</w:t>
            </w:r>
          </w:p>
        </w:tc>
        <w:tc>
          <w:tcPr>
            <w:tcW w:w="1167" w:type="pct"/>
            <w:tcMar>
              <w:left w:w="108" w:type="dxa"/>
              <w:right w:w="108" w:type="dxa"/>
            </w:tcMar>
          </w:tcPr>
          <w:p w14:paraId="64073619" w14:textId="6E5697EF" w:rsidR="00D43960" w:rsidRPr="005448BB" w:rsidRDefault="00D43960" w:rsidP="00C26F7D">
            <w:pPr>
              <w:pStyle w:val="TableText"/>
            </w:pPr>
            <w:r w:rsidRPr="005448BB">
              <w:t>Published by December each year</w:t>
            </w:r>
            <w:r w:rsidR="005448BB" w:rsidRPr="005448BB">
              <w:t xml:space="preserve"> </w:t>
            </w:r>
            <w:r w:rsidR="00EA2962" w:rsidRPr="005448BB">
              <w:rPr>
                <w:vertAlign w:val="superscript"/>
              </w:rPr>
              <w:t>a</w:t>
            </w:r>
          </w:p>
        </w:tc>
      </w:tr>
      <w:tr w:rsidR="00D43960" w14:paraId="04DECF2A" w14:textId="77777777" w:rsidTr="00D43960">
        <w:tc>
          <w:tcPr>
            <w:tcW w:w="1001" w:type="pct"/>
            <w:tcMar>
              <w:left w:w="108" w:type="dxa"/>
              <w:right w:w="108" w:type="dxa"/>
            </w:tcMar>
          </w:tcPr>
          <w:p w14:paraId="3F3776B7" w14:textId="277F945F" w:rsidR="00D43960" w:rsidRPr="005448BB" w:rsidRDefault="00D43960" w:rsidP="00C26F7D">
            <w:pPr>
              <w:pStyle w:val="TableText"/>
            </w:pPr>
            <w:r w:rsidRPr="005448BB">
              <w:t xml:space="preserve">2027 NDA </w:t>
            </w:r>
            <w:r w:rsidR="005448BB">
              <w:t>r</w:t>
            </w:r>
            <w:r w:rsidRPr="005448BB">
              <w:t>eview</w:t>
            </w:r>
          </w:p>
        </w:tc>
        <w:tc>
          <w:tcPr>
            <w:tcW w:w="2832" w:type="pct"/>
            <w:tcMar>
              <w:left w:w="108" w:type="dxa"/>
              <w:right w:w="108" w:type="dxa"/>
            </w:tcMar>
          </w:tcPr>
          <w:p w14:paraId="10B15C02" w14:textId="01F7B563" w:rsidR="00D43960" w:rsidRPr="005448BB" w:rsidRDefault="00D43960" w:rsidP="00C26F7D">
            <w:pPr>
              <w:pStyle w:val="TableText"/>
            </w:pPr>
            <w:r w:rsidRPr="005448BB">
              <w:t>Building on NDA outcomes reporting, the review will include external consultation and provide recommendations to inform future agreements.</w:t>
            </w:r>
          </w:p>
        </w:tc>
        <w:tc>
          <w:tcPr>
            <w:tcW w:w="1167" w:type="pct"/>
            <w:tcMar>
              <w:left w:w="108" w:type="dxa"/>
              <w:right w:w="108" w:type="dxa"/>
            </w:tcMar>
          </w:tcPr>
          <w:p w14:paraId="4E9352DD" w14:textId="223FE2A6" w:rsidR="00D43960" w:rsidRPr="005448BB" w:rsidRDefault="00D43960" w:rsidP="00C26F7D">
            <w:pPr>
              <w:pStyle w:val="TableText"/>
            </w:pPr>
            <w:r w:rsidRPr="005448BB">
              <w:t>Published December 2027</w:t>
            </w:r>
          </w:p>
        </w:tc>
      </w:tr>
      <w:tr w:rsidR="00D43960" w14:paraId="7998DD98" w14:textId="77777777" w:rsidTr="00D43960">
        <w:tc>
          <w:tcPr>
            <w:tcW w:w="1001" w:type="pct"/>
            <w:tcMar>
              <w:left w:w="108" w:type="dxa"/>
              <w:right w:w="108" w:type="dxa"/>
            </w:tcMar>
          </w:tcPr>
          <w:p w14:paraId="63F76F2B" w14:textId="78804273" w:rsidR="00D43960" w:rsidRPr="005448BB" w:rsidRDefault="00D43960" w:rsidP="00C26F7D">
            <w:pPr>
              <w:pStyle w:val="TableText"/>
            </w:pPr>
            <w:r w:rsidRPr="005448BB">
              <w:t xml:space="preserve">NDA Outcomes Reporting </w:t>
            </w:r>
            <w:r w:rsidR="005448BB">
              <w:t>F</w:t>
            </w:r>
            <w:r w:rsidRPr="005448BB">
              <w:t>ramework review</w:t>
            </w:r>
          </w:p>
        </w:tc>
        <w:tc>
          <w:tcPr>
            <w:tcW w:w="2832" w:type="pct"/>
            <w:tcMar>
              <w:left w:w="108" w:type="dxa"/>
              <w:right w:w="108" w:type="dxa"/>
            </w:tcMar>
          </w:tcPr>
          <w:p w14:paraId="2670B457" w14:textId="150701E4" w:rsidR="00D43960" w:rsidRPr="005448BB" w:rsidRDefault="00D43960" w:rsidP="00C26F7D">
            <w:pPr>
              <w:pStyle w:val="TableText"/>
            </w:pPr>
            <w:r w:rsidRPr="005448BB">
              <w:t>Informal internal review to be completed by the AMMWG to ensure Outcomes Reporting framework remains fit for purpose and incorporates improvements based on ongoing learning.</w:t>
            </w:r>
          </w:p>
        </w:tc>
        <w:tc>
          <w:tcPr>
            <w:tcW w:w="1167" w:type="pct"/>
            <w:tcMar>
              <w:left w:w="108" w:type="dxa"/>
              <w:right w:w="108" w:type="dxa"/>
            </w:tcMar>
          </w:tcPr>
          <w:p w14:paraId="4CC340C7" w14:textId="53F39363" w:rsidR="00D43960" w:rsidRPr="005448BB" w:rsidRDefault="00D43960" w:rsidP="00C26F7D">
            <w:pPr>
              <w:pStyle w:val="TableText"/>
            </w:pPr>
            <w:r w:rsidRPr="005448BB">
              <w:t xml:space="preserve">February 2026 following </w:t>
            </w:r>
            <w:r w:rsidR="005448BB">
              <w:t>2</w:t>
            </w:r>
            <w:r w:rsidRPr="005448BB">
              <w:t xml:space="preserve"> NDA annual reporting cycles</w:t>
            </w:r>
          </w:p>
        </w:tc>
      </w:tr>
    </w:tbl>
    <w:p w14:paraId="6B087346" w14:textId="1EB38CDA" w:rsidR="00D43960" w:rsidRDefault="00EA2962" w:rsidP="00723E20">
      <w:pPr>
        <w:pStyle w:val="FigureTableNoteSource"/>
      </w:pPr>
      <w:r w:rsidRPr="00EA2962">
        <w:rPr>
          <w:b/>
          <w:bCs/>
        </w:rPr>
        <w:t>a</w:t>
      </w:r>
      <w:r w:rsidRPr="00EA2962">
        <w:t xml:space="preserve"> </w:t>
      </w:r>
      <w:r>
        <w:t xml:space="preserve">‘Each year’ means yearly for the duration of the NDA 2024 to </w:t>
      </w:r>
      <w:r w:rsidRPr="00956048">
        <w:t>2029.</w:t>
      </w:r>
      <w:r>
        <w:t xml:space="preserve"> </w:t>
      </w:r>
      <w:r w:rsidR="005448BB" w:rsidRPr="00C26F7D">
        <w:rPr>
          <w:rStyle w:val="Strong"/>
        </w:rPr>
        <w:t>AMMWG</w:t>
      </w:r>
      <w:r w:rsidR="005448BB">
        <w:t xml:space="preserve"> Agriculture Ministers’ Meeting Working Group.</w:t>
      </w:r>
    </w:p>
    <w:p w14:paraId="44A1922F" w14:textId="5E9BB7B5" w:rsidR="00723E20" w:rsidRDefault="00723E20" w:rsidP="00D63B87">
      <w:pPr>
        <w:pStyle w:val="Heading2"/>
        <w:numPr>
          <w:ilvl w:val="0"/>
          <w:numId w:val="0"/>
        </w:numPr>
      </w:pPr>
      <w:r>
        <w:t xml:space="preserve">How learnings </w:t>
      </w:r>
      <w:r w:rsidR="004F0AFC">
        <w:t xml:space="preserve">are </w:t>
      </w:r>
      <w:r>
        <w:t>shared and how they</w:t>
      </w:r>
      <w:r w:rsidR="00D63B87">
        <w:t xml:space="preserve"> </w:t>
      </w:r>
      <w:r w:rsidRPr="00C83138">
        <w:t>contribute to</w:t>
      </w:r>
      <w:r w:rsidR="00D2568F" w:rsidRPr="00C83138">
        <w:t xml:space="preserve"> </w:t>
      </w:r>
      <w:r w:rsidRPr="00C83138">
        <w:t>improvement</w:t>
      </w:r>
      <w:r>
        <w:t xml:space="preserve"> </w:t>
      </w:r>
    </w:p>
    <w:p w14:paraId="01AD58BE" w14:textId="56C846B4" w:rsidR="00723E20" w:rsidRDefault="00723E20" w:rsidP="00723E20">
      <w:r>
        <w:t xml:space="preserve">The parties will use information derived from reporting activities to monitor and determine progress against achieving the outcomes. </w:t>
      </w:r>
      <w:r w:rsidR="002D2C97">
        <w:t>The parties will also use it</w:t>
      </w:r>
      <w:r>
        <w:t xml:space="preserve"> to inform continuous improvement in a variety of ways, including:</w:t>
      </w:r>
    </w:p>
    <w:p w14:paraId="72320F97" w14:textId="2FD5724E" w:rsidR="00723E20" w:rsidRPr="00CE2D9B" w:rsidRDefault="001F3F4D" w:rsidP="00CE2D9B">
      <w:pPr>
        <w:pStyle w:val="ListBullet"/>
      </w:pPr>
      <w:r>
        <w:t>t</w:t>
      </w:r>
      <w:r w:rsidR="00723E20" w:rsidRPr="00CE2D9B">
        <w:t xml:space="preserve">hrough </w:t>
      </w:r>
      <w:r w:rsidR="005448BB">
        <w:t xml:space="preserve">the </w:t>
      </w:r>
      <w:r w:rsidR="00723E20" w:rsidRPr="00CE2D9B">
        <w:t>AMM</w:t>
      </w:r>
      <w:r w:rsidR="00724A2B">
        <w:t xml:space="preserve"> </w:t>
      </w:r>
      <w:r w:rsidR="00723E20" w:rsidRPr="00CE2D9B">
        <w:t>W</w:t>
      </w:r>
      <w:r w:rsidR="00724A2B">
        <w:t xml:space="preserve">orking </w:t>
      </w:r>
      <w:r w:rsidR="00723E20" w:rsidRPr="00CE2D9B">
        <w:t>G</w:t>
      </w:r>
      <w:r w:rsidR="00724A2B">
        <w:t>roup on Drought</w:t>
      </w:r>
      <w:r w:rsidR="00723E20" w:rsidRPr="00CE2D9B">
        <w:t xml:space="preserve"> – reviewing jurisdictional evaluations (where performed), observing trends, and sharing examples of lessons learned to inform work on policies and programs </w:t>
      </w:r>
      <w:proofErr w:type="gramStart"/>
      <w:r w:rsidR="00723E20" w:rsidRPr="00CE2D9B">
        <w:t>being developed</w:t>
      </w:r>
      <w:proofErr w:type="gramEnd"/>
      <w:r w:rsidR="00723E20" w:rsidRPr="00CE2D9B">
        <w:t xml:space="preserve"> across the jurisdictions</w:t>
      </w:r>
    </w:p>
    <w:p w14:paraId="058D1843" w14:textId="38238672" w:rsidR="00723E20" w:rsidRPr="00CE2D9B" w:rsidRDefault="001F3F4D" w:rsidP="00CE2D9B">
      <w:pPr>
        <w:pStyle w:val="ListBullet"/>
      </w:pPr>
      <w:r>
        <w:t>m</w:t>
      </w:r>
      <w:r w:rsidR="00723E20" w:rsidRPr="00CE2D9B">
        <w:t>aking replicable learnings</w:t>
      </w:r>
      <w:r w:rsidR="00D63B87">
        <w:t xml:space="preserve"> public</w:t>
      </w:r>
      <w:r w:rsidR="00723E20" w:rsidRPr="00CE2D9B">
        <w:t>, where appropriate and relevant – for example</w:t>
      </w:r>
      <w:r w:rsidR="00D63B87">
        <w:t>,</w:t>
      </w:r>
      <w:r w:rsidR="00723E20" w:rsidRPr="00CE2D9B">
        <w:t xml:space="preserve"> through the National Drought Network, or </w:t>
      </w:r>
      <w:r w:rsidR="00723E20" w:rsidRPr="00C83138">
        <w:t>publishing information on websites</w:t>
      </w:r>
      <w:r w:rsidR="00723E20" w:rsidRPr="00CE2D9B">
        <w:t xml:space="preserve"> </w:t>
      </w:r>
    </w:p>
    <w:p w14:paraId="7DD40580" w14:textId="544F3FF9" w:rsidR="00D43960" w:rsidRPr="00CE2D9B" w:rsidRDefault="001F3F4D" w:rsidP="00CE2D9B">
      <w:pPr>
        <w:pStyle w:val="ListBullet"/>
      </w:pPr>
      <w:r>
        <w:t>t</w:t>
      </w:r>
      <w:r w:rsidR="00723E20" w:rsidRPr="00CE2D9B">
        <w:t xml:space="preserve">hrough formal NDA reporting including the NDA </w:t>
      </w:r>
      <w:r w:rsidR="00D63B87">
        <w:t>a</w:t>
      </w:r>
      <w:r w:rsidR="00723E20" w:rsidRPr="00CE2D9B">
        <w:t xml:space="preserve">nnual </w:t>
      </w:r>
      <w:r w:rsidR="00D63B87">
        <w:t>r</w:t>
      </w:r>
      <w:r w:rsidR="00723E20" w:rsidRPr="00CE2D9B">
        <w:t xml:space="preserve">eports and the 2027 NDA </w:t>
      </w:r>
      <w:r w:rsidR="00D63B87">
        <w:t>r</w:t>
      </w:r>
      <w:r w:rsidR="00723E20" w:rsidRPr="00CE2D9B">
        <w:t>eview.</w:t>
      </w:r>
    </w:p>
    <w:p w14:paraId="3C8F01E7" w14:textId="07DA79EA" w:rsidR="008D1B48" w:rsidRDefault="008D1B48" w:rsidP="008D1B48">
      <w:pPr>
        <w:pStyle w:val="Normalsmall"/>
      </w:pPr>
      <w:bookmarkStart w:id="2" w:name="_Appendix_A:_Statistical"/>
      <w:bookmarkEnd w:id="2"/>
      <w:r>
        <w:rPr>
          <w:rStyle w:val="Strong"/>
        </w:rPr>
        <w:t>Acknowledgement of Country</w:t>
      </w:r>
    </w:p>
    <w:p w14:paraId="5548CFA9"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655370F1" w14:textId="77777777" w:rsidR="00262394" w:rsidRDefault="00262394" w:rsidP="00262394">
      <w:pPr>
        <w:pStyle w:val="Normalsmall"/>
        <w:spacing w:before="360"/>
      </w:pPr>
      <w:r>
        <w:t>© Commonwealth of Australia 202</w:t>
      </w:r>
      <w:r w:rsidR="00CF7FF8">
        <w:t>4</w:t>
      </w:r>
    </w:p>
    <w:p w14:paraId="4D20B2A1"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7A71A599"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4EAD9F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1B26" w14:textId="77777777" w:rsidR="00144CD3" w:rsidRDefault="00144CD3">
      <w:r>
        <w:separator/>
      </w:r>
    </w:p>
    <w:p w14:paraId="3AAF3E8C" w14:textId="77777777" w:rsidR="00144CD3" w:rsidRDefault="00144CD3"/>
    <w:p w14:paraId="6FFF4E1C" w14:textId="77777777" w:rsidR="00144CD3" w:rsidRDefault="00144CD3"/>
  </w:endnote>
  <w:endnote w:type="continuationSeparator" w:id="0">
    <w:p w14:paraId="17A06CF0" w14:textId="77777777" w:rsidR="00144CD3" w:rsidRDefault="00144CD3">
      <w:r>
        <w:continuationSeparator/>
      </w:r>
    </w:p>
    <w:p w14:paraId="007FF6C7" w14:textId="77777777" w:rsidR="00144CD3" w:rsidRDefault="00144CD3"/>
    <w:p w14:paraId="482ADDA0" w14:textId="77777777" w:rsidR="00144CD3" w:rsidRDefault="00144CD3"/>
  </w:endnote>
  <w:endnote w:type="continuationNotice" w:id="1">
    <w:p w14:paraId="2016F3FB" w14:textId="77777777" w:rsidR="00144CD3" w:rsidRDefault="00144CD3">
      <w:pPr>
        <w:pStyle w:val="Footer"/>
      </w:pPr>
    </w:p>
    <w:p w14:paraId="2B9AB209" w14:textId="77777777" w:rsidR="00144CD3" w:rsidRDefault="00144CD3"/>
    <w:p w14:paraId="68ACD28B" w14:textId="77777777" w:rsidR="00144CD3" w:rsidRDefault="0014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FF418" w14:textId="77777777" w:rsidR="00C30975" w:rsidRDefault="00D61857">
    <w:pPr>
      <w:pStyle w:val="Footer"/>
    </w:pPr>
    <w:r>
      <w:rPr>
        <w:noProof/>
      </w:rPr>
      <mc:AlternateContent>
        <mc:Choice Requires="wps">
          <w:drawing>
            <wp:anchor distT="0" distB="0" distL="0" distR="0" simplePos="0" relativeHeight="251657728" behindDoc="0" locked="0" layoutInCell="1" allowOverlap="1" wp14:anchorId="4EB0CB27" wp14:editId="6F6E6E62">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319D8A"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0CB27"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1D319D8A"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3B8E8" w14:textId="24CF522F" w:rsidR="002A193C" w:rsidRDefault="00C83138" w:rsidP="00C83138">
    <w:pPr>
      <w:pStyle w:val="Footer"/>
    </w:pPr>
    <w:r>
      <w:t>Parties to the National Drought Agreement</w:t>
    </w:r>
    <w:r w:rsidR="00D63B8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7039" w14:textId="26B960A6" w:rsidR="002A193C" w:rsidRPr="001F3F4D" w:rsidRDefault="008F2BB3" w:rsidP="00C83138">
    <w:pPr>
      <w:pStyle w:val="Footer"/>
    </w:pPr>
    <w:r>
      <w:t xml:space="preserve"> Parties to the National Drought Agreement</w:t>
    </w:r>
    <w:r w:rsidR="002A193C" w:rsidRPr="001F3F4D">
      <w:fldChar w:fldCharType="begin"/>
    </w:r>
    <w:r w:rsidR="002A193C" w:rsidRPr="001F3F4D">
      <w:instrText xml:space="preserve"> PAGE   \* MERGEFORMAT </w:instrText>
    </w:r>
    <w:r w:rsidR="002A193C" w:rsidRPr="001F3F4D">
      <w:fldChar w:fldCharType="separate"/>
    </w:r>
    <w:proofErr w:type="gramStart"/>
    <w:r w:rsidR="002A193C" w:rsidRPr="00DA229D">
      <w:t>1</w:t>
    </w:r>
    <w:proofErr w:type="gramEnd"/>
    <w:r w:rsidR="002A193C" w:rsidRPr="00DA22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37DB" w14:textId="77777777" w:rsidR="00144CD3" w:rsidRDefault="00144CD3">
      <w:r>
        <w:separator/>
      </w:r>
    </w:p>
    <w:p w14:paraId="6E16808E" w14:textId="77777777" w:rsidR="00144CD3" w:rsidRDefault="00144CD3"/>
    <w:p w14:paraId="704ECA09" w14:textId="77777777" w:rsidR="00144CD3" w:rsidRDefault="00144CD3"/>
  </w:footnote>
  <w:footnote w:type="continuationSeparator" w:id="0">
    <w:p w14:paraId="1B28D525" w14:textId="77777777" w:rsidR="00144CD3" w:rsidRDefault="00144CD3">
      <w:r>
        <w:continuationSeparator/>
      </w:r>
    </w:p>
    <w:p w14:paraId="0885A265" w14:textId="77777777" w:rsidR="00144CD3" w:rsidRDefault="00144CD3"/>
    <w:p w14:paraId="09B3A7C7" w14:textId="77777777" w:rsidR="00144CD3" w:rsidRDefault="00144CD3"/>
  </w:footnote>
  <w:footnote w:type="continuationNotice" w:id="1">
    <w:p w14:paraId="254049E2" w14:textId="77777777" w:rsidR="00144CD3" w:rsidRDefault="00144CD3">
      <w:pPr>
        <w:pStyle w:val="Footer"/>
      </w:pPr>
    </w:p>
    <w:p w14:paraId="2E5F2DBB" w14:textId="77777777" w:rsidR="00144CD3" w:rsidRDefault="00144CD3"/>
    <w:p w14:paraId="146A357B" w14:textId="77777777" w:rsidR="00144CD3" w:rsidRDefault="00144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78146" w14:textId="7E334B92" w:rsidR="002A193C" w:rsidRDefault="00D61857">
    <w:pPr>
      <w:pStyle w:val="Header"/>
    </w:pPr>
    <w:r>
      <w:rPr>
        <w:noProof/>
        <w:lang w:val="en-US"/>
      </w:rPr>
      <mc:AlternateContent>
        <mc:Choice Requires="wps">
          <w:drawing>
            <wp:anchor distT="0" distB="0" distL="0" distR="0" simplePos="0" relativeHeight="251656704" behindDoc="0" locked="0" layoutInCell="1" allowOverlap="1" wp14:anchorId="79463813" wp14:editId="15E22545">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D1B1E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463813"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4D1B1E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0E41" w14:textId="3BB5270F" w:rsidR="001F3F4D" w:rsidRDefault="001F3F4D">
    <w:pPr>
      <w:pStyle w:val="Header"/>
    </w:pPr>
    <w:r w:rsidRPr="001F3F4D">
      <w:t>National Drought Agreement 2024 to 2029: Outcomes Reporting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298F" w14:textId="7A0DCB0B" w:rsidR="002A193C" w:rsidRDefault="002A193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1"/>
  </w:num>
  <w:num w:numId="14" w16cid:durableId="1361395064">
    <w:abstractNumId w:val="10"/>
  </w:num>
  <w:num w:numId="15" w16cid:durableId="236869232">
    <w:abstractNumId w:val="4"/>
  </w:num>
  <w:num w:numId="16" w16cid:durableId="1019426410">
    <w:abstractNumId w:val="7"/>
  </w:num>
  <w:num w:numId="17" w16cid:durableId="13269793">
    <w:abstractNumId w:val="1"/>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AU" w:vendorID="64" w:dllVersion="0" w:nlCheck="1" w:checkStyle="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D3"/>
    <w:rsid w:val="00047CF6"/>
    <w:rsid w:val="00071927"/>
    <w:rsid w:val="000C2543"/>
    <w:rsid w:val="000D6DD8"/>
    <w:rsid w:val="00106E52"/>
    <w:rsid w:val="00112B86"/>
    <w:rsid w:val="001329C3"/>
    <w:rsid w:val="00134E1D"/>
    <w:rsid w:val="00144CD3"/>
    <w:rsid w:val="001450BA"/>
    <w:rsid w:val="001567E9"/>
    <w:rsid w:val="00183612"/>
    <w:rsid w:val="001A1F79"/>
    <w:rsid w:val="001B1009"/>
    <w:rsid w:val="001C2D0A"/>
    <w:rsid w:val="001C3583"/>
    <w:rsid w:val="001D77BC"/>
    <w:rsid w:val="001E1C4C"/>
    <w:rsid w:val="001F10FE"/>
    <w:rsid w:val="001F3F4D"/>
    <w:rsid w:val="00201500"/>
    <w:rsid w:val="002072BE"/>
    <w:rsid w:val="00222B30"/>
    <w:rsid w:val="00236BA8"/>
    <w:rsid w:val="00262394"/>
    <w:rsid w:val="00274C12"/>
    <w:rsid w:val="002A193C"/>
    <w:rsid w:val="002A45F9"/>
    <w:rsid w:val="002D2C97"/>
    <w:rsid w:val="003005B7"/>
    <w:rsid w:val="00305911"/>
    <w:rsid w:val="00340820"/>
    <w:rsid w:val="00357095"/>
    <w:rsid w:val="00362353"/>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C20"/>
    <w:rsid w:val="00490E7F"/>
    <w:rsid w:val="004B6E91"/>
    <w:rsid w:val="004C03FB"/>
    <w:rsid w:val="004C6362"/>
    <w:rsid w:val="004C6C47"/>
    <w:rsid w:val="004F0AFC"/>
    <w:rsid w:val="005448BB"/>
    <w:rsid w:val="0059380F"/>
    <w:rsid w:val="005C3A5D"/>
    <w:rsid w:val="005C6CAC"/>
    <w:rsid w:val="005F0E4D"/>
    <w:rsid w:val="005F7ED2"/>
    <w:rsid w:val="00611DA7"/>
    <w:rsid w:val="006416D4"/>
    <w:rsid w:val="00664298"/>
    <w:rsid w:val="00697BD2"/>
    <w:rsid w:val="006B5C01"/>
    <w:rsid w:val="006E1CF5"/>
    <w:rsid w:val="006E5C2D"/>
    <w:rsid w:val="006F20EA"/>
    <w:rsid w:val="00704CE7"/>
    <w:rsid w:val="00723E20"/>
    <w:rsid w:val="00724A2B"/>
    <w:rsid w:val="007371D8"/>
    <w:rsid w:val="007405CB"/>
    <w:rsid w:val="00762C3E"/>
    <w:rsid w:val="007B1F92"/>
    <w:rsid w:val="007C5B94"/>
    <w:rsid w:val="008003E1"/>
    <w:rsid w:val="008153FE"/>
    <w:rsid w:val="00821DA2"/>
    <w:rsid w:val="0082249A"/>
    <w:rsid w:val="00826753"/>
    <w:rsid w:val="00833933"/>
    <w:rsid w:val="00835E9D"/>
    <w:rsid w:val="00862997"/>
    <w:rsid w:val="008A3190"/>
    <w:rsid w:val="008D1B48"/>
    <w:rsid w:val="008F2BB3"/>
    <w:rsid w:val="0090774C"/>
    <w:rsid w:val="0091234C"/>
    <w:rsid w:val="00923802"/>
    <w:rsid w:val="00956048"/>
    <w:rsid w:val="009679F4"/>
    <w:rsid w:val="00991227"/>
    <w:rsid w:val="00996A46"/>
    <w:rsid w:val="009A1E6B"/>
    <w:rsid w:val="009B4254"/>
    <w:rsid w:val="009F00C4"/>
    <w:rsid w:val="009F6E1F"/>
    <w:rsid w:val="00A16700"/>
    <w:rsid w:val="00A26D23"/>
    <w:rsid w:val="00A27706"/>
    <w:rsid w:val="00A336EC"/>
    <w:rsid w:val="00A41383"/>
    <w:rsid w:val="00A52203"/>
    <w:rsid w:val="00A7401B"/>
    <w:rsid w:val="00A87C92"/>
    <w:rsid w:val="00A9002C"/>
    <w:rsid w:val="00AA70E3"/>
    <w:rsid w:val="00AB0FBE"/>
    <w:rsid w:val="00AB654D"/>
    <w:rsid w:val="00AC333D"/>
    <w:rsid w:val="00AF1EB9"/>
    <w:rsid w:val="00AF5211"/>
    <w:rsid w:val="00B01FB8"/>
    <w:rsid w:val="00B35721"/>
    <w:rsid w:val="00B43A41"/>
    <w:rsid w:val="00B52BC5"/>
    <w:rsid w:val="00B5453F"/>
    <w:rsid w:val="00B62D07"/>
    <w:rsid w:val="00B97EBA"/>
    <w:rsid w:val="00BA0AFF"/>
    <w:rsid w:val="00BB6ACE"/>
    <w:rsid w:val="00BC6BA3"/>
    <w:rsid w:val="00BD2275"/>
    <w:rsid w:val="00C00AAC"/>
    <w:rsid w:val="00C01247"/>
    <w:rsid w:val="00C05C05"/>
    <w:rsid w:val="00C05EA8"/>
    <w:rsid w:val="00C06619"/>
    <w:rsid w:val="00C26F7D"/>
    <w:rsid w:val="00C30975"/>
    <w:rsid w:val="00C51E35"/>
    <w:rsid w:val="00C66AD2"/>
    <w:rsid w:val="00C759F8"/>
    <w:rsid w:val="00C83138"/>
    <w:rsid w:val="00C92F0F"/>
    <w:rsid w:val="00CB43FE"/>
    <w:rsid w:val="00CD42BC"/>
    <w:rsid w:val="00CE2D9B"/>
    <w:rsid w:val="00CF7FF8"/>
    <w:rsid w:val="00D06356"/>
    <w:rsid w:val="00D17DB6"/>
    <w:rsid w:val="00D2568F"/>
    <w:rsid w:val="00D33285"/>
    <w:rsid w:val="00D36729"/>
    <w:rsid w:val="00D43960"/>
    <w:rsid w:val="00D45274"/>
    <w:rsid w:val="00D45E0E"/>
    <w:rsid w:val="00D61857"/>
    <w:rsid w:val="00D63B87"/>
    <w:rsid w:val="00D666DC"/>
    <w:rsid w:val="00D818D9"/>
    <w:rsid w:val="00D833EE"/>
    <w:rsid w:val="00D912A7"/>
    <w:rsid w:val="00DA229D"/>
    <w:rsid w:val="00DC4D87"/>
    <w:rsid w:val="00E02CE0"/>
    <w:rsid w:val="00E05D92"/>
    <w:rsid w:val="00E16917"/>
    <w:rsid w:val="00E223F4"/>
    <w:rsid w:val="00E3145C"/>
    <w:rsid w:val="00E362EF"/>
    <w:rsid w:val="00E732BE"/>
    <w:rsid w:val="00E86770"/>
    <w:rsid w:val="00E96E54"/>
    <w:rsid w:val="00EA2519"/>
    <w:rsid w:val="00EA2962"/>
    <w:rsid w:val="00EC1479"/>
    <w:rsid w:val="00ED796E"/>
    <w:rsid w:val="00F1447E"/>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857"/>
  <w15:docId w15:val="{64F3E451-473E-4CE9-B669-DFFB4AA0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5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D17DB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EEAC4333-60E8-4B66-B2C1-61C366316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c527c9b7-9ec8-4c5f-a515-89657b782942"/>
    <ds:schemaRef ds:uri="http://www.w3.org/XML/1998/namespace"/>
    <ds:schemaRef ds:uri="http://purl.org/dc/elements/1.1/"/>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168</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National Drought Agreement 2024 to 2029: Outcomes Reporting Framework</vt:lpstr>
    </vt:vector>
  </TitlesOfParts>
  <Company/>
  <LinksUpToDate>false</LinksUpToDate>
  <CharactersWithSpaces>9407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Agreement 2024 to 2029: Outcomes Reporting Framework</dc:title>
  <dc:creator>Parties to the National Drought Agreement</dc:creator>
  <cp:lastModifiedBy>Sheehan, Stephanie</cp:lastModifiedBy>
  <cp:revision>20</cp:revision>
  <cp:lastPrinted>2019-02-13T02:42:00Z</cp:lastPrinted>
  <dcterms:created xsi:type="dcterms:W3CDTF">2024-11-06T03:08:00Z</dcterms:created>
  <dcterms:modified xsi:type="dcterms:W3CDTF">2024-12-09T21:44:00Z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