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120" w:rsidRPr="003B5120" w:rsidRDefault="006F1D29" w:rsidP="003B5120">
      <w:pPr>
        <w:pStyle w:val="Heading1"/>
        <w:shd w:val="clear" w:color="auto" w:fill="4F81BD" w:themeFill="accent1"/>
        <w:spacing w:after="360"/>
        <w:rPr>
          <w:color w:val="FFFFFF" w:themeColor="background1"/>
          <w:sz w:val="36"/>
          <w:szCs w:val="36"/>
        </w:rPr>
      </w:pPr>
      <w:bookmarkStart w:id="0" w:name="_Toc422395865"/>
      <w:r>
        <w:rPr>
          <w:color w:val="FFFFFF" w:themeColor="background1"/>
          <w:sz w:val="36"/>
          <w:szCs w:val="36"/>
        </w:rPr>
        <w:t xml:space="preserve">National clean air agreement - </w:t>
      </w:r>
      <w:r w:rsidR="003B5120" w:rsidRPr="003B5120">
        <w:rPr>
          <w:color w:val="FFFFFF" w:themeColor="background1"/>
          <w:sz w:val="36"/>
          <w:szCs w:val="36"/>
        </w:rPr>
        <w:t>WORK PLAN</w:t>
      </w:r>
      <w:bookmarkEnd w:id="0"/>
    </w:p>
    <w:p w:rsidR="003B5120" w:rsidRDefault="003B5120" w:rsidP="003B5120">
      <w:r>
        <w:t xml:space="preserve">The National Clean Air Agreement provides for a rolling </w:t>
      </w:r>
      <w:proofErr w:type="spellStart"/>
      <w:r>
        <w:t>programme</w:t>
      </w:r>
      <w:proofErr w:type="spellEnd"/>
      <w:r>
        <w:t xml:space="preserve"> of activities, as specified in the work plan, to respond to air quality priorities.</w:t>
      </w:r>
    </w:p>
    <w:p w:rsidR="003B5120" w:rsidRDefault="003B5120" w:rsidP="003B5120">
      <w:r w:rsidRPr="008B7CBB">
        <w:t xml:space="preserve">The work plan will be formally reviewed by Environment Ministers every two years, to ensure that actions under the Agreement remain relevant and </w:t>
      </w:r>
      <w:r>
        <w:t>to maintain accountability for delivery</w:t>
      </w:r>
      <w:r w:rsidRPr="008B7CBB">
        <w:t xml:space="preserve">. This does not preclude an action being completed or implemented ahead of this timeframe, nor priorities being identified </w:t>
      </w:r>
      <w:r>
        <w:t>for potential inclusion</w:t>
      </w:r>
      <w:r w:rsidRPr="008B7CBB">
        <w:t xml:space="preserve"> in the work plan in the interim. The agreed work plan, including updates, will be made publicly a</w:t>
      </w:r>
      <w:r>
        <w:t>vailable</w:t>
      </w:r>
      <w:r w:rsidRPr="008B7CBB">
        <w:t xml:space="preserve">. </w:t>
      </w:r>
    </w:p>
    <w:p w:rsidR="003B5120" w:rsidRPr="003B5120" w:rsidRDefault="001A78E9" w:rsidP="003B5120">
      <w:pPr>
        <w:pStyle w:val="Heading2"/>
        <w:shd w:val="clear" w:color="auto" w:fill="DBE5F1" w:themeFill="accent1" w:themeFillTint="33"/>
        <w:rPr>
          <w:b w:val="0"/>
          <w:caps/>
          <w:sz w:val="22"/>
          <w:szCs w:val="22"/>
        </w:rPr>
      </w:pPr>
      <w:bookmarkStart w:id="1" w:name="_Toc422142099"/>
      <w:bookmarkStart w:id="2" w:name="_Toc422395866"/>
      <w:r>
        <w:rPr>
          <w:b w:val="0"/>
          <w:sz w:val="22"/>
          <w:szCs w:val="22"/>
        </w:rPr>
        <w:t>Initial work plan – December 2015 to December</w:t>
      </w:r>
      <w:r w:rsidR="003B5120" w:rsidRPr="003B5120">
        <w:rPr>
          <w:b w:val="0"/>
          <w:sz w:val="22"/>
          <w:szCs w:val="22"/>
        </w:rPr>
        <w:t xml:space="preserve"> 2017</w:t>
      </w:r>
      <w:bookmarkEnd w:id="1"/>
      <w:bookmarkEnd w:id="2"/>
    </w:p>
    <w:p w:rsidR="003B5120" w:rsidRDefault="003B5120" w:rsidP="003B5120">
      <w:pPr>
        <w:sectPr w:rsidR="003B5120" w:rsidSect="003B5120">
          <w:headerReference w:type="even" r:id="rId7"/>
          <w:footerReference w:type="default" r:id="rId8"/>
          <w:headerReference w:type="first" r:id="rId9"/>
          <w:pgSz w:w="11906" w:h="16838"/>
          <w:pgMar w:top="1418" w:right="1276" w:bottom="567" w:left="1418" w:header="425" w:footer="425" w:gutter="0"/>
          <w:pgNumType w:start="1"/>
          <w:cols w:space="708"/>
          <w:titlePg/>
          <w:docGrid w:linePitch="360"/>
        </w:sectPr>
      </w:pPr>
      <w:r>
        <w:t xml:space="preserve">The initial </w:t>
      </w:r>
      <w:r w:rsidRPr="007D5AC4">
        <w:t>work plan</w:t>
      </w:r>
      <w:r>
        <w:t>,</w:t>
      </w:r>
      <w:r w:rsidRPr="007D5AC4">
        <w:t xml:space="preserve"> </w:t>
      </w:r>
      <w:r>
        <w:t xml:space="preserve">agreed by Environment Ministers, is focused on implementing decisions taken by Ministers to address a number of long-standing air quality priorities as well as supporting delivery of a number of new initiatives and scoping projects regarding emerging air </w:t>
      </w:r>
      <w:proofErr w:type="gramStart"/>
      <w:r>
        <w:t>quality</w:t>
      </w:r>
      <w:proofErr w:type="gramEnd"/>
      <w:r>
        <w:t xml:space="preserve"> issues (refer to Table 1).</w:t>
      </w:r>
    </w:p>
    <w:p w:rsidR="003B5120" w:rsidRPr="007B03E2" w:rsidRDefault="003B5120" w:rsidP="003B5120">
      <w:pPr>
        <w:pStyle w:val="Caption"/>
        <w:rPr>
          <w:rFonts w:ascii="Verdana" w:hAnsi="Verdana"/>
          <w:color w:val="24211C"/>
          <w:sz w:val="22"/>
          <w:szCs w:val="22"/>
        </w:rPr>
      </w:pPr>
      <w:bookmarkStart w:id="3" w:name="_Toc422395024"/>
      <w:proofErr w:type="gramStart"/>
      <w:r w:rsidRPr="007B03E2">
        <w:rPr>
          <w:sz w:val="22"/>
          <w:szCs w:val="22"/>
        </w:rPr>
        <w:lastRenderedPageBreak/>
        <w:t xml:space="preserve">Table </w:t>
      </w:r>
      <w:r w:rsidR="004B66E2" w:rsidRPr="007B03E2">
        <w:rPr>
          <w:sz w:val="22"/>
          <w:szCs w:val="22"/>
        </w:rPr>
        <w:fldChar w:fldCharType="begin"/>
      </w:r>
      <w:r w:rsidRPr="007B03E2">
        <w:rPr>
          <w:sz w:val="22"/>
          <w:szCs w:val="22"/>
        </w:rPr>
        <w:instrText xml:space="preserve"> SEQ Table \* ARABIC </w:instrText>
      </w:r>
      <w:r w:rsidR="004B66E2" w:rsidRPr="007B03E2">
        <w:rPr>
          <w:sz w:val="22"/>
          <w:szCs w:val="22"/>
        </w:rPr>
        <w:fldChar w:fldCharType="separate"/>
      </w:r>
      <w:r w:rsidRPr="007B03E2">
        <w:rPr>
          <w:noProof/>
          <w:sz w:val="22"/>
          <w:szCs w:val="22"/>
        </w:rPr>
        <w:t>1</w:t>
      </w:r>
      <w:r w:rsidR="004B66E2" w:rsidRPr="007B03E2">
        <w:rPr>
          <w:sz w:val="22"/>
          <w:szCs w:val="22"/>
        </w:rPr>
        <w:fldChar w:fldCharType="end"/>
      </w:r>
      <w:r w:rsidRPr="007B03E2">
        <w:rPr>
          <w:sz w:val="22"/>
          <w:szCs w:val="22"/>
        </w:rPr>
        <w:t>.</w:t>
      </w:r>
      <w:proofErr w:type="gramEnd"/>
      <w:r w:rsidRPr="007B03E2">
        <w:rPr>
          <w:sz w:val="22"/>
          <w:szCs w:val="22"/>
        </w:rPr>
        <w:t xml:space="preserve"> Initial Work Plan 2015-2017</w:t>
      </w:r>
      <w:bookmarkEnd w:id="3"/>
    </w:p>
    <w:tbl>
      <w:tblPr>
        <w:tblStyle w:val="TableGrid"/>
        <w:tblW w:w="14700" w:type="dxa"/>
        <w:tblInd w:w="369" w:type="dxa"/>
        <w:tblLayout w:type="fixed"/>
        <w:tblLook w:val="04A0"/>
      </w:tblPr>
      <w:tblGrid>
        <w:gridCol w:w="1582"/>
        <w:gridCol w:w="4253"/>
        <w:gridCol w:w="1134"/>
        <w:gridCol w:w="7731"/>
      </w:tblGrid>
      <w:tr w:rsidR="003B5120" w:rsidRPr="000B2BD3" w:rsidTr="006F1D29">
        <w:trPr>
          <w:cnfStyle w:val="100000000000"/>
          <w:tblHeader/>
        </w:trPr>
        <w:tc>
          <w:tcPr>
            <w:tcW w:w="1582" w:type="dxa"/>
            <w:shd w:val="clear" w:color="auto" w:fill="95B3D7" w:themeFill="accent1" w:themeFillTint="99"/>
          </w:tcPr>
          <w:p w:rsidR="003B5120" w:rsidRPr="000B2BD3" w:rsidRDefault="003B5120" w:rsidP="00D175A3">
            <w:pPr>
              <w:pStyle w:val="ListBullet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Cs w:val="24"/>
              </w:rPr>
            </w:pPr>
            <w:r w:rsidRPr="000B2BD3">
              <w:rPr>
                <w:b/>
                <w:szCs w:val="24"/>
              </w:rPr>
              <w:t>Approach</w:t>
            </w:r>
          </w:p>
        </w:tc>
        <w:tc>
          <w:tcPr>
            <w:tcW w:w="4253" w:type="dxa"/>
            <w:shd w:val="clear" w:color="auto" w:fill="95B3D7" w:themeFill="accent1" w:themeFillTint="99"/>
          </w:tcPr>
          <w:p w:rsidR="003B5120" w:rsidRPr="000B2BD3" w:rsidRDefault="003B5120" w:rsidP="00D175A3">
            <w:pPr>
              <w:pStyle w:val="ListBullet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Cs w:val="24"/>
              </w:rPr>
            </w:pPr>
            <w:r w:rsidRPr="000B2BD3">
              <w:rPr>
                <w:b/>
                <w:szCs w:val="24"/>
              </w:rPr>
              <w:t>Priority areas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3B5120" w:rsidRPr="000B2BD3" w:rsidRDefault="003B5120" w:rsidP="00D175A3">
            <w:pPr>
              <w:pStyle w:val="ListBullet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Cs w:val="24"/>
              </w:rPr>
            </w:pPr>
            <w:r w:rsidRPr="000B2BD3">
              <w:rPr>
                <w:b/>
                <w:szCs w:val="24"/>
              </w:rPr>
              <w:t>Role</w:t>
            </w:r>
          </w:p>
        </w:tc>
        <w:tc>
          <w:tcPr>
            <w:tcW w:w="7731" w:type="dxa"/>
            <w:shd w:val="clear" w:color="auto" w:fill="95B3D7" w:themeFill="accent1" w:themeFillTint="99"/>
          </w:tcPr>
          <w:p w:rsidR="003B5120" w:rsidRPr="000B2BD3" w:rsidRDefault="003B5120" w:rsidP="00D175A3">
            <w:pPr>
              <w:pStyle w:val="ListBullet"/>
              <w:numPr>
                <w:ilvl w:val="0"/>
                <w:numId w:val="0"/>
              </w:numPr>
              <w:spacing w:before="0"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Action/Timeframe</w:t>
            </w:r>
          </w:p>
        </w:tc>
      </w:tr>
      <w:tr w:rsidR="003B5120" w:rsidRPr="000B2BD3" w:rsidTr="006F1D29">
        <w:trPr>
          <w:cnfStyle w:val="000000100000"/>
          <w:trHeight w:val="771"/>
        </w:trPr>
        <w:tc>
          <w:tcPr>
            <w:tcW w:w="1582" w:type="dxa"/>
            <w:vMerge w:val="restart"/>
            <w:shd w:val="clear" w:color="auto" w:fill="B8CCE4" w:themeFill="accent1" w:themeFillTint="66"/>
          </w:tcPr>
          <w:p w:rsidR="003B5120" w:rsidRPr="000B2BD3" w:rsidRDefault="003B5120" w:rsidP="00D175A3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szCs w:val="24"/>
              </w:rPr>
            </w:pPr>
            <w:r w:rsidRPr="000B2BD3">
              <w:rPr>
                <w:szCs w:val="24"/>
              </w:rPr>
              <w:t xml:space="preserve">Standards </w:t>
            </w:r>
          </w:p>
        </w:tc>
        <w:tc>
          <w:tcPr>
            <w:tcW w:w="4253" w:type="dxa"/>
            <w:shd w:val="clear" w:color="auto" w:fill="auto"/>
          </w:tcPr>
          <w:p w:rsidR="003B5120" w:rsidRPr="000B2BD3" w:rsidRDefault="003B5120" w:rsidP="00D175A3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szCs w:val="24"/>
              </w:rPr>
            </w:pPr>
            <w:r w:rsidRPr="000B2BD3">
              <w:rPr>
                <w:szCs w:val="24"/>
              </w:rPr>
              <w:t>Vary National Environment Protection (Ambient Air Quality) Measure to strengthen particle reporting standards</w:t>
            </w:r>
          </w:p>
        </w:tc>
        <w:tc>
          <w:tcPr>
            <w:tcW w:w="1134" w:type="dxa"/>
            <w:shd w:val="clear" w:color="auto" w:fill="auto"/>
          </w:tcPr>
          <w:p w:rsidR="003B5120" w:rsidRPr="000B2BD3" w:rsidRDefault="003B5120" w:rsidP="00D175A3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szCs w:val="24"/>
              </w:rPr>
            </w:pPr>
            <w:r w:rsidRPr="000B2BD3">
              <w:rPr>
                <w:szCs w:val="24"/>
              </w:rPr>
              <w:t>NSW lead</w:t>
            </w:r>
          </w:p>
        </w:tc>
        <w:tc>
          <w:tcPr>
            <w:tcW w:w="7731" w:type="dxa"/>
            <w:shd w:val="clear" w:color="auto" w:fill="auto"/>
          </w:tcPr>
          <w:p w:rsidR="003B5120" w:rsidRPr="000B2BD3" w:rsidRDefault="003B5120" w:rsidP="00D175A3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szCs w:val="24"/>
              </w:rPr>
            </w:pPr>
            <w:r w:rsidRPr="000B2BD3">
              <w:rPr>
                <w:szCs w:val="24"/>
              </w:rPr>
              <w:t xml:space="preserve">All jurisdictions implement strengthened particle reporting standards agreed to by the National Environment Protection Council </w:t>
            </w:r>
            <w:r>
              <w:rPr>
                <w:szCs w:val="24"/>
              </w:rPr>
              <w:t xml:space="preserve">by </w:t>
            </w:r>
            <w:r w:rsidR="001A78E9">
              <w:rPr>
                <w:szCs w:val="24"/>
              </w:rPr>
              <w:t>mid-2016</w:t>
            </w:r>
            <w:r w:rsidRPr="000B2BD3">
              <w:rPr>
                <w:szCs w:val="24"/>
              </w:rPr>
              <w:t>.</w:t>
            </w:r>
          </w:p>
          <w:p w:rsidR="003B5120" w:rsidRPr="000B2BD3" w:rsidRDefault="003B5120" w:rsidP="00D175A3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szCs w:val="24"/>
              </w:rPr>
            </w:pPr>
          </w:p>
        </w:tc>
      </w:tr>
      <w:tr w:rsidR="003B5120" w:rsidRPr="000B2BD3" w:rsidTr="006F1D29">
        <w:trPr>
          <w:cnfStyle w:val="000000010000"/>
          <w:trHeight w:val="861"/>
        </w:trPr>
        <w:tc>
          <w:tcPr>
            <w:tcW w:w="1582" w:type="dxa"/>
            <w:vMerge/>
            <w:shd w:val="clear" w:color="auto" w:fill="B8CCE4" w:themeFill="accent1" w:themeFillTint="66"/>
          </w:tcPr>
          <w:p w:rsidR="003B5120" w:rsidRDefault="003B5120" w:rsidP="00D175A3">
            <w:pPr>
              <w:pStyle w:val="ListBullet"/>
              <w:numPr>
                <w:ilvl w:val="0"/>
                <w:numId w:val="0"/>
              </w:numPr>
              <w:spacing w:before="0" w:after="0" w:line="240" w:lineRule="auto"/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3B5120" w:rsidRPr="000B2BD3" w:rsidRDefault="003B5120" w:rsidP="00D175A3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szCs w:val="24"/>
              </w:rPr>
            </w:pPr>
            <w:r w:rsidRPr="000B2BD3">
              <w:rPr>
                <w:szCs w:val="24"/>
              </w:rPr>
              <w:t>Review National Environment Protection (Ambient Air Quality) Measure for sulfur dioxide, nitrogen dioxide and ozone towards strengthening the standards</w:t>
            </w:r>
          </w:p>
        </w:tc>
        <w:tc>
          <w:tcPr>
            <w:tcW w:w="1134" w:type="dxa"/>
            <w:shd w:val="clear" w:color="auto" w:fill="auto"/>
          </w:tcPr>
          <w:p w:rsidR="003B5120" w:rsidRPr="000B2BD3" w:rsidRDefault="003B5120" w:rsidP="00D175A3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szCs w:val="24"/>
              </w:rPr>
            </w:pPr>
            <w:r w:rsidRPr="000B2BD3">
              <w:rPr>
                <w:szCs w:val="24"/>
              </w:rPr>
              <w:t>VIC lead</w:t>
            </w:r>
          </w:p>
        </w:tc>
        <w:tc>
          <w:tcPr>
            <w:tcW w:w="7731" w:type="dxa"/>
            <w:shd w:val="clear" w:color="auto" w:fill="auto"/>
          </w:tcPr>
          <w:p w:rsidR="003B5120" w:rsidRPr="000B2BD3" w:rsidRDefault="003B5120" w:rsidP="00D175A3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szCs w:val="24"/>
              </w:rPr>
            </w:pPr>
            <w:r w:rsidRPr="000B2BD3">
              <w:rPr>
                <w:szCs w:val="24"/>
              </w:rPr>
              <w:t xml:space="preserve">NEPC takes decision whether to form </w:t>
            </w:r>
            <w:proofErr w:type="gramStart"/>
            <w:r w:rsidRPr="000B2BD3">
              <w:rPr>
                <w:szCs w:val="24"/>
              </w:rPr>
              <w:t>an intent</w:t>
            </w:r>
            <w:proofErr w:type="gramEnd"/>
            <w:r w:rsidRPr="000B2BD3">
              <w:rPr>
                <w:szCs w:val="24"/>
              </w:rPr>
              <w:t xml:space="preserve"> to vary sulfur dioxide, nitrogen dioxide and ozone reporting standards by </w:t>
            </w:r>
            <w:r>
              <w:rPr>
                <w:szCs w:val="24"/>
              </w:rPr>
              <w:t>mid-2016</w:t>
            </w:r>
            <w:r w:rsidRPr="000B2BD3">
              <w:rPr>
                <w:szCs w:val="24"/>
              </w:rPr>
              <w:t xml:space="preserve">. </w:t>
            </w:r>
          </w:p>
          <w:p w:rsidR="003B5120" w:rsidRPr="000B2BD3" w:rsidRDefault="003B5120" w:rsidP="00D175A3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szCs w:val="24"/>
              </w:rPr>
            </w:pPr>
          </w:p>
        </w:tc>
      </w:tr>
      <w:tr w:rsidR="003B5120" w:rsidRPr="000B2BD3" w:rsidTr="006F1D29">
        <w:trPr>
          <w:cnfStyle w:val="000000100000"/>
          <w:trHeight w:val="261"/>
        </w:trPr>
        <w:tc>
          <w:tcPr>
            <w:tcW w:w="1582" w:type="dxa"/>
            <w:vMerge/>
            <w:shd w:val="clear" w:color="auto" w:fill="B8CCE4" w:themeFill="accent1" w:themeFillTint="66"/>
          </w:tcPr>
          <w:p w:rsidR="003B5120" w:rsidRPr="000B2BD3" w:rsidRDefault="003B5120" w:rsidP="00D175A3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3B5120" w:rsidRPr="000B2BD3" w:rsidRDefault="003B5120" w:rsidP="00D175A3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szCs w:val="24"/>
              </w:rPr>
            </w:pPr>
            <w:r w:rsidRPr="000B2BD3">
              <w:rPr>
                <w:szCs w:val="24"/>
              </w:rPr>
              <w:t xml:space="preserve">Review </w:t>
            </w:r>
            <w:r w:rsidRPr="000B2BD3">
              <w:rPr>
                <w:i/>
                <w:szCs w:val="24"/>
              </w:rPr>
              <w:t>Fuel Quality Standards Act 2000</w:t>
            </w:r>
          </w:p>
        </w:tc>
        <w:tc>
          <w:tcPr>
            <w:tcW w:w="1134" w:type="dxa"/>
            <w:shd w:val="clear" w:color="auto" w:fill="auto"/>
          </w:tcPr>
          <w:p w:rsidR="003B5120" w:rsidRPr="000B2BD3" w:rsidRDefault="003B5120" w:rsidP="00D175A3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szCs w:val="24"/>
              </w:rPr>
            </w:pPr>
            <w:proofErr w:type="spellStart"/>
            <w:r w:rsidRPr="000B2BD3">
              <w:rPr>
                <w:szCs w:val="24"/>
              </w:rPr>
              <w:t>Cth</w:t>
            </w:r>
            <w:proofErr w:type="spellEnd"/>
          </w:p>
        </w:tc>
        <w:tc>
          <w:tcPr>
            <w:tcW w:w="7731" w:type="dxa"/>
            <w:shd w:val="clear" w:color="auto" w:fill="auto"/>
          </w:tcPr>
          <w:p w:rsidR="003B5120" w:rsidRPr="000B2BD3" w:rsidRDefault="003B5120" w:rsidP="00BA0F73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Review report </w:t>
            </w:r>
            <w:proofErr w:type="spellStart"/>
            <w:r>
              <w:rPr>
                <w:szCs w:val="24"/>
              </w:rPr>
              <w:t>finalised</w:t>
            </w:r>
            <w:proofErr w:type="spellEnd"/>
            <w:r>
              <w:rPr>
                <w:szCs w:val="24"/>
              </w:rPr>
              <w:t xml:space="preserve"> by </w:t>
            </w:r>
            <w:r w:rsidR="00BA0F73" w:rsidRPr="00BA0F73">
              <w:rPr>
                <w:szCs w:val="24"/>
              </w:rPr>
              <w:t>mid 2016</w:t>
            </w:r>
            <w:r w:rsidRPr="008B17F5">
              <w:rPr>
                <w:szCs w:val="24"/>
              </w:rPr>
              <w:t>.</w:t>
            </w:r>
            <w:r w:rsidRPr="000B2BD3">
              <w:rPr>
                <w:szCs w:val="24"/>
              </w:rPr>
              <w:t xml:space="preserve"> </w:t>
            </w:r>
          </w:p>
        </w:tc>
      </w:tr>
      <w:tr w:rsidR="003B5120" w:rsidRPr="000B2BD3" w:rsidTr="006F1D29">
        <w:trPr>
          <w:cnfStyle w:val="000000010000"/>
          <w:trHeight w:val="518"/>
        </w:trPr>
        <w:tc>
          <w:tcPr>
            <w:tcW w:w="1582" w:type="dxa"/>
            <w:vMerge/>
            <w:shd w:val="clear" w:color="auto" w:fill="B8CCE4" w:themeFill="accent1" w:themeFillTint="66"/>
          </w:tcPr>
          <w:p w:rsidR="003B5120" w:rsidRPr="000B2BD3" w:rsidRDefault="003B5120" w:rsidP="00D175A3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3B5120" w:rsidRPr="000B2BD3" w:rsidRDefault="003B5120" w:rsidP="00D175A3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szCs w:val="24"/>
              </w:rPr>
            </w:pPr>
            <w:r w:rsidRPr="000B2BD3">
              <w:rPr>
                <w:szCs w:val="24"/>
              </w:rPr>
              <w:t>Review need for Air Toxics and Diesel Vehicles NEPMs</w:t>
            </w:r>
          </w:p>
        </w:tc>
        <w:tc>
          <w:tcPr>
            <w:tcW w:w="1134" w:type="dxa"/>
            <w:shd w:val="clear" w:color="auto" w:fill="auto"/>
          </w:tcPr>
          <w:p w:rsidR="003B5120" w:rsidRPr="000B2BD3" w:rsidRDefault="003B5120" w:rsidP="00D175A3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szCs w:val="24"/>
              </w:rPr>
            </w:pPr>
            <w:proofErr w:type="spellStart"/>
            <w:r w:rsidRPr="000B2BD3">
              <w:rPr>
                <w:szCs w:val="24"/>
              </w:rPr>
              <w:t>Cth</w:t>
            </w:r>
            <w:proofErr w:type="spellEnd"/>
            <w:r w:rsidRPr="000B2BD3">
              <w:rPr>
                <w:szCs w:val="24"/>
              </w:rPr>
              <w:t xml:space="preserve"> </w:t>
            </w:r>
          </w:p>
          <w:p w:rsidR="003B5120" w:rsidRDefault="006F1D29" w:rsidP="00D175A3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szCs w:val="24"/>
              </w:rPr>
            </w:pPr>
            <w:r w:rsidRPr="000B2BD3">
              <w:rPr>
                <w:szCs w:val="24"/>
              </w:rPr>
              <w:t>L</w:t>
            </w:r>
            <w:r w:rsidR="003B5120" w:rsidRPr="000B2BD3">
              <w:rPr>
                <w:szCs w:val="24"/>
              </w:rPr>
              <w:t>ead</w:t>
            </w:r>
          </w:p>
          <w:p w:rsidR="006F1D29" w:rsidRPr="000B2BD3" w:rsidRDefault="006F1D29" w:rsidP="00D175A3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szCs w:val="24"/>
              </w:rPr>
            </w:pPr>
          </w:p>
        </w:tc>
        <w:tc>
          <w:tcPr>
            <w:tcW w:w="7731" w:type="dxa"/>
            <w:shd w:val="clear" w:color="auto" w:fill="auto"/>
          </w:tcPr>
          <w:p w:rsidR="003B5120" w:rsidRPr="000B2BD3" w:rsidRDefault="003B5120" w:rsidP="00352661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szCs w:val="24"/>
              </w:rPr>
            </w:pPr>
            <w:r w:rsidRPr="000B2BD3">
              <w:rPr>
                <w:szCs w:val="24"/>
              </w:rPr>
              <w:t xml:space="preserve">Complete review of </w:t>
            </w:r>
            <w:r w:rsidR="00352661">
              <w:rPr>
                <w:szCs w:val="24"/>
              </w:rPr>
              <w:t xml:space="preserve">the </w:t>
            </w:r>
            <w:r w:rsidR="001A78E9">
              <w:rPr>
                <w:szCs w:val="24"/>
              </w:rPr>
              <w:t xml:space="preserve">need for </w:t>
            </w:r>
            <w:r w:rsidRPr="000B2BD3">
              <w:rPr>
                <w:szCs w:val="24"/>
              </w:rPr>
              <w:t xml:space="preserve">Air Toxics and Diesel </w:t>
            </w:r>
            <w:r w:rsidRPr="00947DF1">
              <w:rPr>
                <w:szCs w:val="24"/>
              </w:rPr>
              <w:t xml:space="preserve">NEPMs </w:t>
            </w:r>
            <w:r w:rsidR="00352661" w:rsidRPr="00947DF1">
              <w:rPr>
                <w:szCs w:val="24"/>
              </w:rPr>
              <w:t>in</w:t>
            </w:r>
            <w:r w:rsidRPr="00947DF1">
              <w:rPr>
                <w:szCs w:val="24"/>
              </w:rPr>
              <w:t xml:space="preserve"> 2016.</w:t>
            </w:r>
          </w:p>
        </w:tc>
      </w:tr>
      <w:tr w:rsidR="003B5120" w:rsidRPr="000B2BD3" w:rsidTr="006F1D29">
        <w:trPr>
          <w:cnfStyle w:val="000000100000"/>
          <w:trHeight w:val="615"/>
        </w:trPr>
        <w:tc>
          <w:tcPr>
            <w:tcW w:w="1582" w:type="dxa"/>
            <w:vMerge w:val="restart"/>
            <w:shd w:val="clear" w:color="auto" w:fill="B8CCE4" w:themeFill="accent1" w:themeFillTint="66"/>
          </w:tcPr>
          <w:p w:rsidR="003B5120" w:rsidRPr="000B2BD3" w:rsidRDefault="003B5120" w:rsidP="00D175A3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szCs w:val="24"/>
              </w:rPr>
            </w:pPr>
            <w:r w:rsidRPr="000B2BD3">
              <w:rPr>
                <w:szCs w:val="24"/>
              </w:rPr>
              <w:t>Emission reduction measures</w:t>
            </w:r>
          </w:p>
        </w:tc>
        <w:tc>
          <w:tcPr>
            <w:tcW w:w="4253" w:type="dxa"/>
            <w:shd w:val="clear" w:color="auto" w:fill="auto"/>
          </w:tcPr>
          <w:p w:rsidR="003B5120" w:rsidRPr="000B2BD3" w:rsidRDefault="003B5120" w:rsidP="00D175A3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szCs w:val="24"/>
              </w:rPr>
            </w:pPr>
            <w:r w:rsidRPr="000B2BD3">
              <w:rPr>
                <w:szCs w:val="24"/>
              </w:rPr>
              <w:t>Reduce emissions from non-road spark ignition engines and equipment</w:t>
            </w:r>
          </w:p>
        </w:tc>
        <w:tc>
          <w:tcPr>
            <w:tcW w:w="1134" w:type="dxa"/>
            <w:shd w:val="clear" w:color="auto" w:fill="auto"/>
          </w:tcPr>
          <w:p w:rsidR="003B5120" w:rsidRPr="000B2BD3" w:rsidRDefault="003B5120" w:rsidP="00D175A3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szCs w:val="24"/>
              </w:rPr>
            </w:pPr>
            <w:proofErr w:type="spellStart"/>
            <w:r w:rsidRPr="000B2BD3">
              <w:rPr>
                <w:szCs w:val="24"/>
              </w:rPr>
              <w:t>Cth</w:t>
            </w:r>
            <w:proofErr w:type="spellEnd"/>
            <w:r w:rsidRPr="000B2BD3">
              <w:rPr>
                <w:szCs w:val="24"/>
              </w:rPr>
              <w:t xml:space="preserve"> lead</w:t>
            </w:r>
          </w:p>
        </w:tc>
        <w:tc>
          <w:tcPr>
            <w:tcW w:w="7731" w:type="dxa"/>
            <w:shd w:val="clear" w:color="auto" w:fill="auto"/>
          </w:tcPr>
          <w:p w:rsidR="003B5120" w:rsidRPr="000B2BD3" w:rsidRDefault="003B5120" w:rsidP="001A78E9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szCs w:val="24"/>
              </w:rPr>
            </w:pPr>
            <w:r w:rsidRPr="000B2BD3">
              <w:rPr>
                <w:szCs w:val="24"/>
              </w:rPr>
              <w:t xml:space="preserve">Implement decisions taken by Environment Ministers </w:t>
            </w:r>
            <w:r w:rsidR="001A78E9">
              <w:rPr>
                <w:szCs w:val="24"/>
              </w:rPr>
              <w:t xml:space="preserve">with the aim of </w:t>
            </w:r>
            <w:r w:rsidRPr="000B2BD3">
              <w:rPr>
                <w:szCs w:val="24"/>
              </w:rPr>
              <w:t>establish</w:t>
            </w:r>
            <w:r w:rsidR="001A78E9">
              <w:rPr>
                <w:szCs w:val="24"/>
              </w:rPr>
              <w:t>ing</w:t>
            </w:r>
            <w:r w:rsidRPr="000B2BD3">
              <w:rPr>
                <w:szCs w:val="24"/>
              </w:rPr>
              <w:t xml:space="preserve"> emissi</w:t>
            </w:r>
            <w:r>
              <w:rPr>
                <w:szCs w:val="24"/>
              </w:rPr>
              <w:t xml:space="preserve">on standards by </w:t>
            </w:r>
            <w:r w:rsidRPr="000B2BD3">
              <w:rPr>
                <w:szCs w:val="24"/>
              </w:rPr>
              <w:t>2017.</w:t>
            </w:r>
            <w:r w:rsidRPr="000B2BD3" w:rsidDel="00250059">
              <w:rPr>
                <w:szCs w:val="24"/>
              </w:rPr>
              <w:t xml:space="preserve"> </w:t>
            </w:r>
          </w:p>
        </w:tc>
      </w:tr>
      <w:tr w:rsidR="003B5120" w:rsidRPr="000B2BD3" w:rsidTr="006F1D29">
        <w:trPr>
          <w:cnfStyle w:val="000000010000"/>
          <w:trHeight w:val="363"/>
        </w:trPr>
        <w:tc>
          <w:tcPr>
            <w:tcW w:w="1582" w:type="dxa"/>
            <w:vMerge/>
            <w:shd w:val="clear" w:color="auto" w:fill="B8CCE4" w:themeFill="accent1" w:themeFillTint="66"/>
          </w:tcPr>
          <w:p w:rsidR="003B5120" w:rsidRPr="000B2BD3" w:rsidRDefault="003B5120" w:rsidP="00D175A3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3B5120" w:rsidRPr="000B2BD3" w:rsidRDefault="003B5120" w:rsidP="00D175A3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szCs w:val="24"/>
              </w:rPr>
            </w:pPr>
            <w:r w:rsidRPr="000B2BD3">
              <w:rPr>
                <w:szCs w:val="24"/>
              </w:rPr>
              <w:t>Reduce emissions from wood heaters</w:t>
            </w:r>
          </w:p>
        </w:tc>
        <w:tc>
          <w:tcPr>
            <w:tcW w:w="1134" w:type="dxa"/>
            <w:shd w:val="clear" w:color="auto" w:fill="auto"/>
          </w:tcPr>
          <w:p w:rsidR="003B5120" w:rsidRPr="000B2BD3" w:rsidRDefault="003B5120" w:rsidP="00D175A3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szCs w:val="24"/>
              </w:rPr>
            </w:pPr>
            <w:r w:rsidRPr="000B2BD3">
              <w:rPr>
                <w:szCs w:val="24"/>
              </w:rPr>
              <w:t>All</w:t>
            </w:r>
          </w:p>
        </w:tc>
        <w:tc>
          <w:tcPr>
            <w:tcW w:w="7731" w:type="dxa"/>
            <w:shd w:val="clear" w:color="auto" w:fill="auto"/>
          </w:tcPr>
          <w:p w:rsidR="003B5120" w:rsidRPr="00272A13" w:rsidRDefault="003B5120" w:rsidP="00352661">
            <w:pPr>
              <w:spacing w:before="0" w:after="0"/>
              <w:rPr>
                <w:iCs/>
                <w:color w:val="17365D" w:themeColor="text2" w:themeShade="BF"/>
                <w:szCs w:val="24"/>
              </w:rPr>
            </w:pPr>
            <w:r>
              <w:rPr>
                <w:iCs/>
                <w:szCs w:val="24"/>
              </w:rPr>
              <w:t xml:space="preserve">Implement decisions taken by Environment Ministers to address wood heater </w:t>
            </w:r>
            <w:r w:rsidRPr="00947DF1">
              <w:rPr>
                <w:iCs/>
                <w:szCs w:val="24"/>
              </w:rPr>
              <w:t xml:space="preserve">emissions </w:t>
            </w:r>
            <w:r w:rsidR="00352661" w:rsidRPr="00947DF1">
              <w:rPr>
                <w:iCs/>
                <w:szCs w:val="24"/>
              </w:rPr>
              <w:t>commencing in</w:t>
            </w:r>
            <w:r w:rsidRPr="00947DF1">
              <w:rPr>
                <w:iCs/>
                <w:szCs w:val="24"/>
              </w:rPr>
              <w:t xml:space="preserve"> 2017.</w:t>
            </w:r>
          </w:p>
        </w:tc>
      </w:tr>
      <w:tr w:rsidR="003B5120" w:rsidRPr="000B2BD3" w:rsidTr="006F1D29">
        <w:trPr>
          <w:cnfStyle w:val="000000100000"/>
          <w:trHeight w:val="615"/>
        </w:trPr>
        <w:tc>
          <w:tcPr>
            <w:tcW w:w="1582" w:type="dxa"/>
            <w:vMerge/>
            <w:shd w:val="clear" w:color="auto" w:fill="B8CCE4" w:themeFill="accent1" w:themeFillTint="66"/>
          </w:tcPr>
          <w:p w:rsidR="003B5120" w:rsidRPr="000B2BD3" w:rsidRDefault="003B5120" w:rsidP="00D175A3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szCs w:val="24"/>
              </w:rPr>
            </w:pPr>
          </w:p>
        </w:tc>
        <w:tc>
          <w:tcPr>
            <w:tcW w:w="4253" w:type="dxa"/>
            <w:vMerge w:val="restart"/>
            <w:shd w:val="clear" w:color="auto" w:fill="auto"/>
          </w:tcPr>
          <w:p w:rsidR="003B5120" w:rsidRPr="000B2BD3" w:rsidRDefault="003B5120" w:rsidP="00D175A3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szCs w:val="24"/>
              </w:rPr>
            </w:pPr>
            <w:r>
              <w:rPr>
                <w:szCs w:val="24"/>
              </w:rPr>
              <w:t>M</w:t>
            </w:r>
            <w:r w:rsidRPr="000B2BD3">
              <w:rPr>
                <w:szCs w:val="24"/>
              </w:rPr>
              <w:t>anagement of non-road diesel engines emissions</w:t>
            </w:r>
          </w:p>
          <w:p w:rsidR="003B5120" w:rsidRPr="000B2BD3" w:rsidRDefault="003B5120" w:rsidP="00D175A3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B5120" w:rsidRPr="000B2BD3" w:rsidRDefault="003B5120" w:rsidP="00D175A3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szCs w:val="24"/>
              </w:rPr>
            </w:pPr>
            <w:r>
              <w:rPr>
                <w:szCs w:val="24"/>
              </w:rPr>
              <w:t>NSW</w:t>
            </w:r>
          </w:p>
        </w:tc>
        <w:tc>
          <w:tcPr>
            <w:tcW w:w="7731" w:type="dxa"/>
            <w:shd w:val="clear" w:color="auto" w:fill="auto"/>
          </w:tcPr>
          <w:p w:rsidR="003B5120" w:rsidRPr="000B2BD3" w:rsidRDefault="003B5120" w:rsidP="00D175A3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szCs w:val="24"/>
              </w:rPr>
            </w:pPr>
            <w:r w:rsidRPr="000B2BD3">
              <w:rPr>
                <w:szCs w:val="24"/>
              </w:rPr>
              <w:t>NSW EPA’s Diesel and Marine Emissions Strategy implemented by 2016.</w:t>
            </w:r>
          </w:p>
          <w:p w:rsidR="003B5120" w:rsidRPr="000B2BD3" w:rsidRDefault="003B5120" w:rsidP="00D175A3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szCs w:val="24"/>
              </w:rPr>
            </w:pPr>
          </w:p>
          <w:p w:rsidR="003B5120" w:rsidRPr="000B2BD3" w:rsidRDefault="003B5120" w:rsidP="00D175A3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szCs w:val="24"/>
              </w:rPr>
            </w:pPr>
          </w:p>
        </w:tc>
      </w:tr>
      <w:tr w:rsidR="003B5120" w:rsidRPr="000B2BD3" w:rsidTr="006F1D29">
        <w:trPr>
          <w:cnfStyle w:val="000000010000"/>
          <w:trHeight w:val="615"/>
        </w:trPr>
        <w:tc>
          <w:tcPr>
            <w:tcW w:w="1582" w:type="dxa"/>
            <w:vMerge/>
            <w:shd w:val="clear" w:color="auto" w:fill="B8CCE4" w:themeFill="accent1" w:themeFillTint="66"/>
          </w:tcPr>
          <w:p w:rsidR="003B5120" w:rsidRPr="000B2BD3" w:rsidRDefault="003B5120" w:rsidP="00D175A3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3B5120" w:rsidRPr="000B2BD3" w:rsidRDefault="003B5120" w:rsidP="00D175A3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B5120" w:rsidRPr="000B2BD3" w:rsidRDefault="003B5120" w:rsidP="00D175A3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szCs w:val="24"/>
              </w:rPr>
            </w:pPr>
            <w:proofErr w:type="spellStart"/>
            <w:r w:rsidRPr="000B2BD3">
              <w:rPr>
                <w:szCs w:val="24"/>
              </w:rPr>
              <w:t>Cth</w:t>
            </w:r>
            <w:proofErr w:type="spellEnd"/>
            <w:r w:rsidRPr="000B2BD3">
              <w:rPr>
                <w:szCs w:val="24"/>
              </w:rPr>
              <w:t xml:space="preserve"> and NSW co-lead</w:t>
            </w:r>
          </w:p>
        </w:tc>
        <w:tc>
          <w:tcPr>
            <w:tcW w:w="7731" w:type="dxa"/>
            <w:shd w:val="clear" w:color="auto" w:fill="auto"/>
          </w:tcPr>
          <w:p w:rsidR="003B5120" w:rsidRPr="000B2BD3" w:rsidRDefault="003B5120" w:rsidP="00D175A3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szCs w:val="24"/>
              </w:rPr>
            </w:pPr>
            <w:r w:rsidRPr="000B2BD3">
              <w:rPr>
                <w:szCs w:val="24"/>
              </w:rPr>
              <w:t xml:space="preserve">Evaluate potential for a national approach to manage non-road diesel </w:t>
            </w:r>
            <w:r>
              <w:rPr>
                <w:szCs w:val="24"/>
              </w:rPr>
              <w:t xml:space="preserve">and marine </w:t>
            </w:r>
            <w:r w:rsidRPr="000B2BD3">
              <w:rPr>
                <w:szCs w:val="24"/>
              </w:rPr>
              <w:t>engine emissions under priority setting process</w:t>
            </w:r>
            <w:r>
              <w:rPr>
                <w:szCs w:val="24"/>
              </w:rPr>
              <w:t xml:space="preserve"> by 2016.</w:t>
            </w:r>
          </w:p>
        </w:tc>
      </w:tr>
    </w:tbl>
    <w:p w:rsidR="003B5120" w:rsidRDefault="003B5120" w:rsidP="003B5120"/>
    <w:p w:rsidR="003B5120" w:rsidRDefault="003B5120" w:rsidP="003B5120"/>
    <w:p w:rsidR="006F1D29" w:rsidRDefault="006F1D29" w:rsidP="003B5120"/>
    <w:tbl>
      <w:tblPr>
        <w:tblStyle w:val="TableGrid"/>
        <w:tblW w:w="14700" w:type="dxa"/>
        <w:tblInd w:w="369" w:type="dxa"/>
        <w:tblLayout w:type="fixed"/>
        <w:tblLook w:val="04A0"/>
      </w:tblPr>
      <w:tblGrid>
        <w:gridCol w:w="1582"/>
        <w:gridCol w:w="4536"/>
        <w:gridCol w:w="1134"/>
        <w:gridCol w:w="7448"/>
      </w:tblGrid>
      <w:tr w:rsidR="003B5120" w:rsidRPr="005643B6" w:rsidTr="00D175A3">
        <w:trPr>
          <w:cnfStyle w:val="100000000000"/>
          <w:trHeight w:val="410"/>
        </w:trPr>
        <w:tc>
          <w:tcPr>
            <w:tcW w:w="1582" w:type="dxa"/>
            <w:shd w:val="clear" w:color="auto" w:fill="95B3D7" w:themeFill="accent1" w:themeFillTint="99"/>
          </w:tcPr>
          <w:p w:rsidR="003B5120" w:rsidRPr="005643B6" w:rsidRDefault="003B5120" w:rsidP="00D175A3">
            <w:pPr>
              <w:pStyle w:val="ListBullet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b/>
                <w:szCs w:val="24"/>
              </w:rPr>
            </w:pPr>
            <w:r w:rsidRPr="005643B6">
              <w:rPr>
                <w:b/>
                <w:szCs w:val="24"/>
              </w:rPr>
              <w:t>Approach</w:t>
            </w:r>
          </w:p>
        </w:tc>
        <w:tc>
          <w:tcPr>
            <w:tcW w:w="4536" w:type="dxa"/>
            <w:shd w:val="clear" w:color="auto" w:fill="95B3D7" w:themeFill="accent1" w:themeFillTint="99"/>
          </w:tcPr>
          <w:p w:rsidR="003B5120" w:rsidRPr="005643B6" w:rsidRDefault="003B5120" w:rsidP="00D175A3">
            <w:pPr>
              <w:pStyle w:val="ListBullet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b/>
                <w:szCs w:val="24"/>
              </w:rPr>
            </w:pPr>
            <w:r w:rsidRPr="005643B6">
              <w:rPr>
                <w:b/>
                <w:szCs w:val="24"/>
              </w:rPr>
              <w:t>Priority Areas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3B5120" w:rsidRPr="005643B6" w:rsidRDefault="003B5120" w:rsidP="00D175A3">
            <w:pPr>
              <w:pStyle w:val="ListBullet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b/>
                <w:szCs w:val="24"/>
              </w:rPr>
            </w:pPr>
            <w:r w:rsidRPr="005643B6">
              <w:rPr>
                <w:b/>
                <w:szCs w:val="24"/>
              </w:rPr>
              <w:t>Role</w:t>
            </w:r>
          </w:p>
        </w:tc>
        <w:tc>
          <w:tcPr>
            <w:tcW w:w="7448" w:type="dxa"/>
            <w:shd w:val="clear" w:color="auto" w:fill="95B3D7" w:themeFill="accent1" w:themeFillTint="99"/>
          </w:tcPr>
          <w:p w:rsidR="003B5120" w:rsidRPr="005643B6" w:rsidRDefault="003B5120" w:rsidP="00D175A3">
            <w:pPr>
              <w:pStyle w:val="ListBullet"/>
              <w:numPr>
                <w:ilvl w:val="0"/>
                <w:numId w:val="0"/>
              </w:numPr>
              <w:spacing w:before="0"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Action/</w:t>
            </w:r>
            <w:r w:rsidRPr="005643B6">
              <w:rPr>
                <w:b/>
                <w:szCs w:val="24"/>
              </w:rPr>
              <w:t>Timeframe</w:t>
            </w:r>
          </w:p>
        </w:tc>
      </w:tr>
      <w:tr w:rsidR="003B5120" w:rsidRPr="000B2BD3" w:rsidTr="003B5120">
        <w:trPr>
          <w:cnfStyle w:val="000000100000"/>
          <w:trHeight w:val="841"/>
        </w:trPr>
        <w:tc>
          <w:tcPr>
            <w:tcW w:w="1582" w:type="dxa"/>
            <w:vMerge w:val="restart"/>
            <w:shd w:val="clear" w:color="auto" w:fill="B8CCE4" w:themeFill="accent1" w:themeFillTint="66"/>
          </w:tcPr>
          <w:p w:rsidR="003B5120" w:rsidRPr="000B2BD3" w:rsidRDefault="003B5120" w:rsidP="00D175A3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szCs w:val="24"/>
              </w:rPr>
            </w:pPr>
            <w:r w:rsidRPr="000B2BD3">
              <w:rPr>
                <w:szCs w:val="24"/>
              </w:rPr>
              <w:t>Partnerships and cooperation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3B5120" w:rsidRPr="000B2BD3" w:rsidRDefault="003B5120" w:rsidP="00D175A3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szCs w:val="24"/>
              </w:rPr>
            </w:pPr>
            <w:r w:rsidRPr="000B2BD3">
              <w:rPr>
                <w:szCs w:val="24"/>
              </w:rPr>
              <w:t>Explore partnerships with non-government stakeholders to positively influence air quality outcomes</w:t>
            </w:r>
          </w:p>
        </w:tc>
        <w:tc>
          <w:tcPr>
            <w:tcW w:w="1134" w:type="dxa"/>
            <w:shd w:val="clear" w:color="auto" w:fill="auto"/>
          </w:tcPr>
          <w:p w:rsidR="003B5120" w:rsidRPr="000B2BD3" w:rsidRDefault="003B5120" w:rsidP="00D175A3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szCs w:val="24"/>
              </w:rPr>
            </w:pPr>
            <w:r w:rsidRPr="000B2BD3">
              <w:rPr>
                <w:szCs w:val="24"/>
              </w:rPr>
              <w:t>All</w:t>
            </w:r>
          </w:p>
          <w:p w:rsidR="003B5120" w:rsidRDefault="003B5120" w:rsidP="00D175A3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szCs w:val="24"/>
              </w:rPr>
            </w:pPr>
          </w:p>
          <w:p w:rsidR="003B5120" w:rsidRPr="000B2BD3" w:rsidRDefault="003B5120" w:rsidP="00D175A3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szCs w:val="24"/>
              </w:rPr>
            </w:pPr>
          </w:p>
        </w:tc>
        <w:tc>
          <w:tcPr>
            <w:tcW w:w="7448" w:type="dxa"/>
            <w:shd w:val="clear" w:color="auto" w:fill="auto"/>
          </w:tcPr>
          <w:p w:rsidR="003B5120" w:rsidRPr="000B2BD3" w:rsidRDefault="003B5120" w:rsidP="00D175A3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szCs w:val="24"/>
              </w:rPr>
            </w:pPr>
            <w:r w:rsidRPr="000B2BD3">
              <w:rPr>
                <w:szCs w:val="24"/>
              </w:rPr>
              <w:t xml:space="preserve">Engagement with non-government sector to </w:t>
            </w:r>
            <w:r>
              <w:rPr>
                <w:szCs w:val="24"/>
              </w:rPr>
              <w:t>identify</w:t>
            </w:r>
            <w:r w:rsidRPr="000B2BD3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effective </w:t>
            </w:r>
            <w:r w:rsidRPr="000B2BD3">
              <w:rPr>
                <w:szCs w:val="24"/>
              </w:rPr>
              <w:t>non-regulatory approaches to managing air quality (ongoing)</w:t>
            </w:r>
            <w:r>
              <w:rPr>
                <w:szCs w:val="24"/>
              </w:rPr>
              <w:t>.</w:t>
            </w:r>
          </w:p>
        </w:tc>
      </w:tr>
      <w:tr w:rsidR="003B5120" w:rsidRPr="000B2BD3" w:rsidTr="00D175A3">
        <w:trPr>
          <w:cnfStyle w:val="000000010000"/>
          <w:trHeight w:val="923"/>
        </w:trPr>
        <w:tc>
          <w:tcPr>
            <w:tcW w:w="1582" w:type="dxa"/>
            <w:vMerge/>
            <w:shd w:val="clear" w:color="auto" w:fill="B8CCE4" w:themeFill="accent1" w:themeFillTint="66"/>
          </w:tcPr>
          <w:p w:rsidR="003B5120" w:rsidRPr="000B2BD3" w:rsidRDefault="003B5120" w:rsidP="00D175A3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3B5120" w:rsidRPr="000B2BD3" w:rsidRDefault="003B5120" w:rsidP="00D175A3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B5120" w:rsidRPr="000B2BD3" w:rsidRDefault="003B5120" w:rsidP="00D175A3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szCs w:val="24"/>
              </w:rPr>
            </w:pPr>
            <w:proofErr w:type="spellStart"/>
            <w:r w:rsidRPr="000B2BD3">
              <w:rPr>
                <w:szCs w:val="24"/>
              </w:rPr>
              <w:t>Cth</w:t>
            </w:r>
            <w:proofErr w:type="spellEnd"/>
            <w:r w:rsidRPr="000B2BD3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lead with </w:t>
            </w:r>
            <w:r w:rsidRPr="000B2BD3">
              <w:rPr>
                <w:szCs w:val="24"/>
              </w:rPr>
              <w:t>relevant groups</w:t>
            </w:r>
          </w:p>
        </w:tc>
        <w:tc>
          <w:tcPr>
            <w:tcW w:w="7448" w:type="dxa"/>
            <w:shd w:val="clear" w:color="auto" w:fill="auto"/>
          </w:tcPr>
          <w:p w:rsidR="003B5120" w:rsidRPr="000B2BD3" w:rsidRDefault="003B5120" w:rsidP="00D175A3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szCs w:val="24"/>
              </w:rPr>
            </w:pPr>
            <w:r w:rsidRPr="000B2BD3">
              <w:rPr>
                <w:szCs w:val="24"/>
              </w:rPr>
              <w:t>Engagement with key sectors to examine ways to better integrate air quality management in new infrastructure developments and upgrades (e.g. with Infrastructure Sustainability</w:t>
            </w:r>
            <w:r>
              <w:rPr>
                <w:szCs w:val="24"/>
              </w:rPr>
              <w:t xml:space="preserve"> Council of Australia) (ongoing from mid-</w:t>
            </w:r>
            <w:r w:rsidRPr="000B2BD3">
              <w:rPr>
                <w:szCs w:val="24"/>
              </w:rPr>
              <w:t>2015</w:t>
            </w:r>
            <w:r w:rsidR="001A78E9">
              <w:rPr>
                <w:szCs w:val="24"/>
              </w:rPr>
              <w:t>)</w:t>
            </w:r>
            <w:r w:rsidRPr="000B2BD3">
              <w:rPr>
                <w:szCs w:val="24"/>
              </w:rPr>
              <w:t>.</w:t>
            </w:r>
          </w:p>
        </w:tc>
      </w:tr>
      <w:tr w:rsidR="003B5120" w:rsidRPr="000B2BD3" w:rsidTr="006F1D29">
        <w:trPr>
          <w:cnfStyle w:val="000000100000"/>
          <w:trHeight w:val="732"/>
        </w:trPr>
        <w:tc>
          <w:tcPr>
            <w:tcW w:w="1582" w:type="dxa"/>
            <w:vMerge/>
            <w:shd w:val="clear" w:color="auto" w:fill="B8CCE4" w:themeFill="accent1" w:themeFillTint="66"/>
          </w:tcPr>
          <w:p w:rsidR="003B5120" w:rsidRPr="000B2BD3" w:rsidRDefault="003B5120" w:rsidP="00D175A3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3B5120" w:rsidRPr="000B2BD3" w:rsidRDefault="003B5120" w:rsidP="00D175A3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B5120" w:rsidRPr="000B2BD3" w:rsidRDefault="003B5120" w:rsidP="00D175A3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szCs w:val="24"/>
              </w:rPr>
            </w:pPr>
            <w:proofErr w:type="spellStart"/>
            <w:r w:rsidRPr="000B2BD3">
              <w:rPr>
                <w:szCs w:val="24"/>
              </w:rPr>
              <w:t>Cth</w:t>
            </w:r>
            <w:proofErr w:type="spellEnd"/>
          </w:p>
        </w:tc>
        <w:tc>
          <w:tcPr>
            <w:tcW w:w="7448" w:type="dxa"/>
            <w:shd w:val="clear" w:color="auto" w:fill="auto"/>
          </w:tcPr>
          <w:p w:rsidR="003B5120" w:rsidRPr="000B2BD3" w:rsidRDefault="003B5120" w:rsidP="00D175A3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szCs w:val="24"/>
              </w:rPr>
            </w:pPr>
            <w:r w:rsidRPr="000B2BD3">
              <w:rPr>
                <w:szCs w:val="24"/>
              </w:rPr>
              <w:t>Clean Air Champions initiative – raise awareness and engage industry and community on clean air issues. A one-year initiative to mid-2016.</w:t>
            </w:r>
          </w:p>
        </w:tc>
      </w:tr>
      <w:tr w:rsidR="003B5120" w:rsidRPr="000B2BD3" w:rsidTr="00D175A3">
        <w:trPr>
          <w:cnfStyle w:val="000000010000"/>
          <w:trHeight w:val="798"/>
        </w:trPr>
        <w:tc>
          <w:tcPr>
            <w:tcW w:w="1582" w:type="dxa"/>
            <w:vMerge/>
            <w:shd w:val="clear" w:color="auto" w:fill="B8CCE4" w:themeFill="accent1" w:themeFillTint="66"/>
          </w:tcPr>
          <w:p w:rsidR="003B5120" w:rsidRPr="000B2BD3" w:rsidRDefault="003B5120" w:rsidP="00D175A3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B5120" w:rsidRPr="000B2BD3" w:rsidRDefault="003B5120" w:rsidP="00D175A3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szCs w:val="24"/>
              </w:rPr>
            </w:pPr>
            <w:r w:rsidRPr="000B2BD3">
              <w:rPr>
                <w:szCs w:val="24"/>
              </w:rPr>
              <w:t>Improve exchange of information</w:t>
            </w:r>
            <w:r>
              <w:rPr>
                <w:szCs w:val="24"/>
              </w:rPr>
              <w:t xml:space="preserve"> and </w:t>
            </w:r>
            <w:r w:rsidRPr="000B2BD3">
              <w:rPr>
                <w:szCs w:val="24"/>
              </w:rPr>
              <w:t>experiences in implementing air quality management/monitoring tools across jurisdictions</w:t>
            </w:r>
          </w:p>
        </w:tc>
        <w:tc>
          <w:tcPr>
            <w:tcW w:w="1134" w:type="dxa"/>
            <w:shd w:val="clear" w:color="auto" w:fill="auto"/>
          </w:tcPr>
          <w:p w:rsidR="003B5120" w:rsidRPr="000B2BD3" w:rsidRDefault="003B5120" w:rsidP="00D175A3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szCs w:val="24"/>
              </w:rPr>
            </w:pPr>
            <w:r w:rsidRPr="000B2BD3">
              <w:rPr>
                <w:szCs w:val="24"/>
              </w:rPr>
              <w:t>All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7448" w:type="dxa"/>
            <w:shd w:val="clear" w:color="auto" w:fill="auto"/>
          </w:tcPr>
          <w:p w:rsidR="003B5120" w:rsidRPr="000B2BD3" w:rsidRDefault="003B5120" w:rsidP="00D175A3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szCs w:val="24"/>
              </w:rPr>
            </w:pPr>
            <w:r>
              <w:rPr>
                <w:szCs w:val="24"/>
              </w:rPr>
              <w:t>Proposed inclusion of i</w:t>
            </w:r>
            <w:r w:rsidRPr="000B2BD3">
              <w:rPr>
                <w:szCs w:val="24"/>
              </w:rPr>
              <w:t>nfor</w:t>
            </w:r>
            <w:r>
              <w:rPr>
                <w:szCs w:val="24"/>
              </w:rPr>
              <w:t xml:space="preserve">mation exchange as a standing item in key forums, potentially through Heads of EPA Australia and New Zealand and other appropriate future forums. </w:t>
            </w:r>
          </w:p>
          <w:p w:rsidR="003B5120" w:rsidRPr="000B2BD3" w:rsidRDefault="003B5120" w:rsidP="00D175A3">
            <w:pPr>
              <w:spacing w:before="0" w:after="0"/>
              <w:rPr>
                <w:szCs w:val="24"/>
              </w:rPr>
            </w:pPr>
          </w:p>
        </w:tc>
      </w:tr>
      <w:tr w:rsidR="003B5120" w:rsidRPr="000B2BD3" w:rsidTr="00D175A3">
        <w:trPr>
          <w:cnfStyle w:val="000000100000"/>
          <w:trHeight w:val="1160"/>
        </w:trPr>
        <w:tc>
          <w:tcPr>
            <w:tcW w:w="1582" w:type="dxa"/>
            <w:vMerge w:val="restart"/>
            <w:shd w:val="clear" w:color="auto" w:fill="B8CCE4" w:themeFill="accent1" w:themeFillTint="66"/>
          </w:tcPr>
          <w:p w:rsidR="003B5120" w:rsidRPr="000B2BD3" w:rsidRDefault="003B5120" w:rsidP="00D175A3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szCs w:val="24"/>
              </w:rPr>
            </w:pPr>
            <w:r>
              <w:rPr>
                <w:szCs w:val="24"/>
              </w:rPr>
              <w:t>Better k</w:t>
            </w:r>
            <w:r w:rsidRPr="000B2BD3">
              <w:rPr>
                <w:szCs w:val="24"/>
              </w:rPr>
              <w:t>nowledge, education and awareness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3B5120" w:rsidRPr="000B2BD3" w:rsidRDefault="003B5120" w:rsidP="00D175A3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szCs w:val="24"/>
              </w:rPr>
            </w:pPr>
            <w:r w:rsidRPr="000B2BD3">
              <w:rPr>
                <w:szCs w:val="24"/>
              </w:rPr>
              <w:t>Improve access to reliable air quality information for researchers, policy makers and the community</w:t>
            </w:r>
          </w:p>
        </w:tc>
        <w:tc>
          <w:tcPr>
            <w:tcW w:w="1134" w:type="dxa"/>
            <w:shd w:val="clear" w:color="auto" w:fill="auto"/>
          </w:tcPr>
          <w:p w:rsidR="003B5120" w:rsidRPr="000B2BD3" w:rsidRDefault="003B5120" w:rsidP="00D175A3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szCs w:val="24"/>
              </w:rPr>
            </w:pPr>
            <w:proofErr w:type="spellStart"/>
            <w:r>
              <w:rPr>
                <w:szCs w:val="24"/>
              </w:rPr>
              <w:t>BoM</w:t>
            </w:r>
            <w:proofErr w:type="spellEnd"/>
            <w:r>
              <w:rPr>
                <w:szCs w:val="24"/>
              </w:rPr>
              <w:t xml:space="preserve"> lead</w:t>
            </w:r>
          </w:p>
        </w:tc>
        <w:tc>
          <w:tcPr>
            <w:tcW w:w="7448" w:type="dxa"/>
            <w:shd w:val="clear" w:color="auto" w:fill="auto"/>
          </w:tcPr>
          <w:p w:rsidR="003B5120" w:rsidRPr="000B2BD3" w:rsidRDefault="003B5120" w:rsidP="00D175A3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szCs w:val="24"/>
              </w:rPr>
            </w:pPr>
            <w:r w:rsidRPr="000B2BD3">
              <w:rPr>
                <w:szCs w:val="24"/>
              </w:rPr>
              <w:t xml:space="preserve">Proposed National Air Quality Data Service (Bureau of Meteorology) – </w:t>
            </w:r>
            <w:r>
              <w:rPr>
                <w:szCs w:val="24"/>
              </w:rPr>
              <w:t>delivering nationally consistent air quality data and statistics four times per year (ongoing from mid-2017).</w:t>
            </w:r>
          </w:p>
        </w:tc>
      </w:tr>
      <w:tr w:rsidR="003B5120" w:rsidRPr="000B2BD3" w:rsidTr="00D175A3">
        <w:trPr>
          <w:cnfStyle w:val="000000010000"/>
          <w:trHeight w:val="836"/>
        </w:trPr>
        <w:tc>
          <w:tcPr>
            <w:tcW w:w="1582" w:type="dxa"/>
            <w:vMerge/>
            <w:shd w:val="clear" w:color="auto" w:fill="B8CCE4" w:themeFill="accent1" w:themeFillTint="66"/>
          </w:tcPr>
          <w:p w:rsidR="003B5120" w:rsidRPr="000B2BD3" w:rsidRDefault="003B5120" w:rsidP="00D175A3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3B5120" w:rsidRPr="000B2BD3" w:rsidRDefault="003B5120" w:rsidP="00D175A3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B5120" w:rsidRPr="00B725DD" w:rsidRDefault="003B5120" w:rsidP="00D175A3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szCs w:val="24"/>
              </w:rPr>
            </w:pPr>
            <w:proofErr w:type="spellStart"/>
            <w:r w:rsidRPr="00B725DD">
              <w:rPr>
                <w:szCs w:val="24"/>
              </w:rPr>
              <w:t>Cth</w:t>
            </w:r>
            <w:proofErr w:type="spellEnd"/>
            <w:r w:rsidRPr="00B725DD">
              <w:rPr>
                <w:szCs w:val="24"/>
              </w:rPr>
              <w:t xml:space="preserve"> lead</w:t>
            </w:r>
          </w:p>
        </w:tc>
        <w:tc>
          <w:tcPr>
            <w:tcW w:w="7448" w:type="dxa"/>
            <w:shd w:val="clear" w:color="auto" w:fill="auto"/>
          </w:tcPr>
          <w:p w:rsidR="003B5120" w:rsidRPr="000B2BD3" w:rsidRDefault="003B5120" w:rsidP="00D175A3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szCs w:val="24"/>
              </w:rPr>
            </w:pPr>
            <w:r w:rsidRPr="000B2BD3">
              <w:rPr>
                <w:szCs w:val="24"/>
              </w:rPr>
              <w:t>National Environmental Science Programme – Clean Air and Urban La</w:t>
            </w:r>
            <w:r>
              <w:rPr>
                <w:szCs w:val="24"/>
              </w:rPr>
              <w:t xml:space="preserve">ndscapes Hub. A six-year funded </w:t>
            </w:r>
            <w:proofErr w:type="spellStart"/>
            <w:r>
              <w:rPr>
                <w:szCs w:val="24"/>
              </w:rPr>
              <w:t>programme</w:t>
            </w:r>
            <w:proofErr w:type="spellEnd"/>
            <w:r>
              <w:rPr>
                <w:szCs w:val="24"/>
              </w:rPr>
              <w:t xml:space="preserve"> with hubs commencing early 2015</w:t>
            </w:r>
            <w:r w:rsidRPr="000B2BD3">
              <w:rPr>
                <w:szCs w:val="24"/>
              </w:rPr>
              <w:t xml:space="preserve">. </w:t>
            </w:r>
          </w:p>
        </w:tc>
      </w:tr>
      <w:tr w:rsidR="003B5120" w:rsidRPr="000B2BD3" w:rsidTr="00D175A3">
        <w:trPr>
          <w:cnfStyle w:val="000000100000"/>
          <w:trHeight w:val="1131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3B5120" w:rsidRPr="000B2BD3" w:rsidRDefault="003B5120" w:rsidP="00D175A3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3B5120" w:rsidRPr="000B2BD3" w:rsidRDefault="003B5120" w:rsidP="00D175A3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szCs w:val="24"/>
              </w:rPr>
            </w:pPr>
            <w:r w:rsidRPr="00272A13">
              <w:rPr>
                <w:szCs w:val="24"/>
              </w:rPr>
              <w:t>National Pollutant Inventory reforms</w:t>
            </w:r>
          </w:p>
        </w:tc>
        <w:tc>
          <w:tcPr>
            <w:tcW w:w="1134" w:type="dxa"/>
            <w:shd w:val="clear" w:color="auto" w:fill="auto"/>
          </w:tcPr>
          <w:p w:rsidR="003B5120" w:rsidRPr="000B2BD3" w:rsidRDefault="003B5120" w:rsidP="00D175A3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szCs w:val="24"/>
                <w:highlight w:val="yellow"/>
              </w:rPr>
            </w:pPr>
            <w:proofErr w:type="spellStart"/>
            <w:r w:rsidRPr="000B2BD3">
              <w:rPr>
                <w:szCs w:val="24"/>
              </w:rPr>
              <w:t>Cth</w:t>
            </w:r>
            <w:proofErr w:type="spellEnd"/>
            <w:r w:rsidRPr="000B2BD3">
              <w:rPr>
                <w:szCs w:val="24"/>
              </w:rPr>
              <w:t xml:space="preserve"> lead</w:t>
            </w:r>
          </w:p>
        </w:tc>
        <w:tc>
          <w:tcPr>
            <w:tcW w:w="7448" w:type="dxa"/>
            <w:shd w:val="clear" w:color="auto" w:fill="auto"/>
          </w:tcPr>
          <w:p w:rsidR="003B5120" w:rsidRPr="000B2BD3" w:rsidRDefault="003B5120" w:rsidP="00D175A3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szCs w:val="24"/>
                <w:highlight w:val="yellow"/>
              </w:rPr>
            </w:pPr>
            <w:r>
              <w:rPr>
                <w:szCs w:val="24"/>
              </w:rPr>
              <w:t>I</w:t>
            </w:r>
            <w:r w:rsidRPr="00272A13">
              <w:rPr>
                <w:szCs w:val="24"/>
              </w:rPr>
              <w:t>mprove efficiencies for government, streamline processes and reduce burden on business by improving data availability and usefulness.</w:t>
            </w:r>
            <w:r>
              <w:rPr>
                <w:szCs w:val="24"/>
              </w:rPr>
              <w:t xml:space="preserve"> A two-year initiative to mid-2016.</w:t>
            </w:r>
          </w:p>
        </w:tc>
      </w:tr>
      <w:tr w:rsidR="003B5120" w:rsidRPr="000B2BD3" w:rsidTr="00D175A3">
        <w:trPr>
          <w:cnfStyle w:val="000000010000"/>
          <w:trHeight w:val="810"/>
        </w:trPr>
        <w:tc>
          <w:tcPr>
            <w:tcW w:w="1582" w:type="dxa"/>
            <w:shd w:val="clear" w:color="auto" w:fill="auto"/>
          </w:tcPr>
          <w:p w:rsidR="003B5120" w:rsidRPr="00F2227F" w:rsidRDefault="003B5120" w:rsidP="00D175A3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szCs w:val="24"/>
              </w:rPr>
            </w:pPr>
            <w:r w:rsidRPr="00F2227F">
              <w:rPr>
                <w:szCs w:val="24"/>
              </w:rPr>
              <w:lastRenderedPageBreak/>
              <w:t>Priority setting</w:t>
            </w:r>
          </w:p>
        </w:tc>
        <w:tc>
          <w:tcPr>
            <w:tcW w:w="4536" w:type="dxa"/>
            <w:shd w:val="clear" w:color="auto" w:fill="auto"/>
          </w:tcPr>
          <w:p w:rsidR="003B5120" w:rsidRPr="00F2227F" w:rsidRDefault="003B5120" w:rsidP="00D175A3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szCs w:val="24"/>
              </w:rPr>
            </w:pPr>
            <w:r w:rsidRPr="00F2227F">
              <w:rPr>
                <w:szCs w:val="24"/>
              </w:rPr>
              <w:t xml:space="preserve">Establishment and implementation of priority setting process and work plan. </w:t>
            </w:r>
          </w:p>
        </w:tc>
        <w:tc>
          <w:tcPr>
            <w:tcW w:w="1134" w:type="dxa"/>
            <w:shd w:val="clear" w:color="auto" w:fill="auto"/>
          </w:tcPr>
          <w:p w:rsidR="003B5120" w:rsidRPr="00F2227F" w:rsidRDefault="003B5120" w:rsidP="00D175A3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szCs w:val="24"/>
              </w:rPr>
            </w:pPr>
            <w:r w:rsidRPr="00F2227F">
              <w:rPr>
                <w:szCs w:val="24"/>
              </w:rPr>
              <w:t>All</w:t>
            </w:r>
          </w:p>
        </w:tc>
        <w:tc>
          <w:tcPr>
            <w:tcW w:w="7448" w:type="dxa"/>
            <w:shd w:val="clear" w:color="auto" w:fill="auto"/>
          </w:tcPr>
          <w:p w:rsidR="003B5120" w:rsidRPr="00F2227F" w:rsidRDefault="003B5120" w:rsidP="001A78E9">
            <w:pPr>
              <w:pStyle w:val="ListBullet"/>
              <w:numPr>
                <w:ilvl w:val="0"/>
                <w:numId w:val="0"/>
              </w:numPr>
              <w:spacing w:before="0" w:after="0"/>
              <w:rPr>
                <w:szCs w:val="24"/>
              </w:rPr>
            </w:pPr>
            <w:r w:rsidRPr="00F2227F">
              <w:rPr>
                <w:szCs w:val="24"/>
              </w:rPr>
              <w:t xml:space="preserve">Air Project Management Group established second half of 2015. Priority setting process </w:t>
            </w:r>
            <w:r w:rsidR="001A78E9">
              <w:rPr>
                <w:szCs w:val="24"/>
              </w:rPr>
              <w:t>established first half of 2016. O</w:t>
            </w:r>
            <w:r w:rsidRPr="00F2227F">
              <w:rPr>
                <w:szCs w:val="24"/>
              </w:rPr>
              <w:t xml:space="preserve">ngoing </w:t>
            </w:r>
            <w:r>
              <w:rPr>
                <w:szCs w:val="24"/>
              </w:rPr>
              <w:t xml:space="preserve">from </w:t>
            </w:r>
            <w:r w:rsidR="001A78E9">
              <w:rPr>
                <w:szCs w:val="24"/>
              </w:rPr>
              <w:t>mid-2016</w:t>
            </w:r>
            <w:r w:rsidRPr="00F2227F">
              <w:rPr>
                <w:szCs w:val="24"/>
              </w:rPr>
              <w:t>.</w:t>
            </w:r>
          </w:p>
        </w:tc>
      </w:tr>
    </w:tbl>
    <w:p w:rsidR="006B14DB" w:rsidRPr="00EF53FF" w:rsidRDefault="006B14DB" w:rsidP="006F1D29"/>
    <w:sectPr w:rsidR="006B14DB" w:rsidRPr="00EF53FF" w:rsidSect="006F1D29">
      <w:pgSz w:w="16838" w:h="11906" w:orient="landscape"/>
      <w:pgMar w:top="993" w:right="1418" w:bottom="1276" w:left="567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120" w:rsidRDefault="003B5120" w:rsidP="00A60185">
      <w:pPr>
        <w:spacing w:after="0" w:line="240" w:lineRule="auto"/>
      </w:pPr>
      <w:r>
        <w:separator/>
      </w:r>
    </w:p>
  </w:endnote>
  <w:endnote w:type="continuationSeparator" w:id="0">
    <w:p w:rsidR="003B5120" w:rsidRDefault="003B5120" w:rsidP="00A60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120" w:rsidRDefault="003B5120" w:rsidP="00A60185">
      <w:pPr>
        <w:spacing w:after="0" w:line="240" w:lineRule="auto"/>
      </w:pPr>
      <w:r>
        <w:separator/>
      </w:r>
    </w:p>
  </w:footnote>
  <w:footnote w:type="continuationSeparator" w:id="0">
    <w:p w:rsidR="003B5120" w:rsidRDefault="003B5120" w:rsidP="00A60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4B66E2" w:rsidP="00E45765">
    <w:pPr>
      <w:pStyle w:val="Classification"/>
    </w:pPr>
    <w:fldSimple w:instr=" DOCPROPERTY SecurityClassification \* MERGEFORMAT ">
      <w:r w:rsidR="00100BEF">
        <w:t>Cabinet-in-Confidence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3BE" w:rsidRDefault="003F03BE" w:rsidP="003F03BE">
    <w:pPr>
      <w:pStyle w:val="Header"/>
      <w:jc w:val="center"/>
    </w:pPr>
    <w:r>
      <w:rPr>
        <w:noProof/>
        <w:lang w:val="en-AU" w:eastAsia="en-AU" w:bidi="ar-SA"/>
      </w:rPr>
      <w:drawing>
        <wp:inline distT="0" distB="0" distL="0" distR="0">
          <wp:extent cx="2362200" cy="819150"/>
          <wp:effectExtent l="19050" t="0" r="0" b="0"/>
          <wp:docPr id="1" name="Picture 0" descr="AustGov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tGov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22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D68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>
    <w:nsid w:val="05EC64B3"/>
    <w:multiLevelType w:val="multilevel"/>
    <w:tmpl w:val="E5E89F92"/>
    <w:numStyleLink w:val="BulletList"/>
  </w:abstractNum>
  <w:abstractNum w:abstractNumId="12">
    <w:nsid w:val="073123A7"/>
    <w:multiLevelType w:val="hybridMultilevel"/>
    <w:tmpl w:val="0C09000F"/>
    <w:lvl w:ilvl="0" w:tplc="95706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42DD4A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3329D6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64522F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FDCB4C0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DDE6527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189C8CA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1D6AD1D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48BA8832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0DCC7901"/>
    <w:multiLevelType w:val="hybridMultilevel"/>
    <w:tmpl w:val="F97493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AB21CC"/>
    <w:multiLevelType w:val="multilevel"/>
    <w:tmpl w:val="E898CC72"/>
    <w:numStyleLink w:val="KeyPoints"/>
  </w:abstractNum>
  <w:abstractNum w:abstractNumId="15">
    <w:nsid w:val="1784511A"/>
    <w:multiLevelType w:val="multilevel"/>
    <w:tmpl w:val="E898CC72"/>
    <w:numStyleLink w:val="KeyPoints"/>
  </w:abstractNum>
  <w:abstractNum w:abstractNumId="16">
    <w:nsid w:val="198F4124"/>
    <w:multiLevelType w:val="hybridMultilevel"/>
    <w:tmpl w:val="929E3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291970"/>
    <w:multiLevelType w:val="multilevel"/>
    <w:tmpl w:val="E898CC72"/>
    <w:numStyleLink w:val="KeyPoints"/>
  </w:abstractNum>
  <w:abstractNum w:abstractNumId="18">
    <w:nsid w:val="1F745BC2"/>
    <w:multiLevelType w:val="multilevel"/>
    <w:tmpl w:val="E5E89F92"/>
    <w:numStyleLink w:val="BulletList"/>
  </w:abstractNum>
  <w:abstractNum w:abstractNumId="19">
    <w:nsid w:val="29253B4A"/>
    <w:multiLevelType w:val="multilevel"/>
    <w:tmpl w:val="E898CC72"/>
    <w:numStyleLink w:val="KeyPoints"/>
  </w:abstractNum>
  <w:abstractNum w:abstractNumId="20">
    <w:nsid w:val="2C1B4F6C"/>
    <w:multiLevelType w:val="multilevel"/>
    <w:tmpl w:val="E898CC72"/>
    <w:numStyleLink w:val="KeyPoints"/>
  </w:abstractNum>
  <w:abstractNum w:abstractNumId="21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2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8816F9C"/>
    <w:multiLevelType w:val="multilevel"/>
    <w:tmpl w:val="E5E89F92"/>
    <w:numStyleLink w:val="BulletList"/>
  </w:abstractNum>
  <w:abstractNum w:abstractNumId="25">
    <w:nsid w:val="3B351B82"/>
    <w:multiLevelType w:val="multilevel"/>
    <w:tmpl w:val="E5E89F92"/>
    <w:numStyleLink w:val="BulletList"/>
  </w:abstractNum>
  <w:abstractNum w:abstractNumId="26">
    <w:nsid w:val="48B871CF"/>
    <w:multiLevelType w:val="multilevel"/>
    <w:tmpl w:val="E5E89F92"/>
    <w:numStyleLink w:val="BulletList"/>
  </w:abstractNum>
  <w:abstractNum w:abstractNumId="27">
    <w:nsid w:val="49016841"/>
    <w:multiLevelType w:val="multilevel"/>
    <w:tmpl w:val="E5E89F92"/>
    <w:numStyleLink w:val="BulletList"/>
  </w:abstractNum>
  <w:abstractNum w:abstractNumId="28">
    <w:nsid w:val="51A44175"/>
    <w:multiLevelType w:val="multilevel"/>
    <w:tmpl w:val="E5E89F92"/>
    <w:numStyleLink w:val="BulletList"/>
  </w:abstractNum>
  <w:abstractNum w:abstractNumId="29">
    <w:nsid w:val="59683F9E"/>
    <w:multiLevelType w:val="hybridMultilevel"/>
    <w:tmpl w:val="AA84FF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456429"/>
    <w:multiLevelType w:val="multilevel"/>
    <w:tmpl w:val="E898CC72"/>
    <w:numStyleLink w:val="KeyPoints"/>
  </w:abstractNum>
  <w:abstractNum w:abstractNumId="31">
    <w:nsid w:val="672E0C2A"/>
    <w:multiLevelType w:val="multilevel"/>
    <w:tmpl w:val="E5E89F92"/>
    <w:numStyleLink w:val="BulletList"/>
  </w:abstractNum>
  <w:abstractNum w:abstractNumId="32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3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A823B13"/>
    <w:multiLevelType w:val="multilevel"/>
    <w:tmpl w:val="E5E89F92"/>
    <w:numStyleLink w:val="BulletList"/>
  </w:abstractNum>
  <w:abstractNum w:abstractNumId="35">
    <w:nsid w:val="6DF2198A"/>
    <w:multiLevelType w:val="multilevel"/>
    <w:tmpl w:val="E5E89F92"/>
    <w:numStyleLink w:val="BulletList"/>
  </w:abstractNum>
  <w:abstractNum w:abstractNumId="36">
    <w:nsid w:val="6F032444"/>
    <w:multiLevelType w:val="multilevel"/>
    <w:tmpl w:val="E5E89F92"/>
    <w:numStyleLink w:val="BulletList"/>
  </w:abstractNum>
  <w:abstractNum w:abstractNumId="37">
    <w:nsid w:val="6F5C7C61"/>
    <w:multiLevelType w:val="hybridMultilevel"/>
    <w:tmpl w:val="D58E6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7D6BDE"/>
    <w:multiLevelType w:val="hybridMultilevel"/>
    <w:tmpl w:val="E1006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C700E0"/>
    <w:multiLevelType w:val="multilevel"/>
    <w:tmpl w:val="E898CC72"/>
    <w:numStyleLink w:val="KeyPoints"/>
  </w:abstractNum>
  <w:abstractNum w:abstractNumId="4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1">
    <w:nsid w:val="788260C9"/>
    <w:multiLevelType w:val="multilevel"/>
    <w:tmpl w:val="E898CC72"/>
    <w:numStyleLink w:val="KeyPoints"/>
  </w:abstractNum>
  <w:abstractNum w:abstractNumId="42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7C314760"/>
    <w:multiLevelType w:val="hybridMultilevel"/>
    <w:tmpl w:val="6F9C46BE"/>
    <w:lvl w:ilvl="0" w:tplc="2D70B12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3708B3"/>
    <w:multiLevelType w:val="multilevel"/>
    <w:tmpl w:val="E5E89F92"/>
    <w:numStyleLink w:val="BulletList"/>
  </w:abstractNum>
  <w:num w:numId="1">
    <w:abstractNumId w:val="40"/>
  </w:num>
  <w:num w:numId="2">
    <w:abstractNumId w:val="15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>
    <w:abstractNumId w:val="10"/>
  </w:num>
  <w:num w:numId="4">
    <w:abstractNumId w:val="26"/>
  </w:num>
  <w:num w:numId="5">
    <w:abstractNumId w:val="37"/>
  </w:num>
  <w:num w:numId="6">
    <w:abstractNumId w:val="38"/>
  </w:num>
  <w:num w:numId="7">
    <w:abstractNumId w:val="33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3"/>
  </w:num>
  <w:num w:numId="15">
    <w:abstractNumId w:val="16"/>
  </w:num>
  <w:num w:numId="16">
    <w:abstractNumId w:val="42"/>
  </w:num>
  <w:num w:numId="17">
    <w:abstractNumId w:val="12"/>
  </w:num>
  <w:num w:numId="18">
    <w:abstractNumId w:val="31"/>
  </w:num>
  <w:num w:numId="19">
    <w:abstractNumId w:val="11"/>
  </w:num>
  <w:num w:numId="20">
    <w:abstractNumId w:val="20"/>
  </w:num>
  <w:num w:numId="21">
    <w:abstractNumId w:val="14"/>
  </w:num>
  <w:num w:numId="22">
    <w:abstractNumId w:val="19"/>
  </w:num>
  <w:num w:numId="23">
    <w:abstractNumId w:val="27"/>
  </w:num>
  <w:num w:numId="24">
    <w:abstractNumId w:val="36"/>
  </w:num>
  <w:num w:numId="25">
    <w:abstractNumId w:val="32"/>
  </w:num>
  <w:num w:numId="26">
    <w:abstractNumId w:val="25"/>
  </w:num>
  <w:num w:numId="27">
    <w:abstractNumId w:val="39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4"/>
  </w:num>
  <w:num w:numId="31">
    <w:abstractNumId w:val="35"/>
  </w:num>
  <w:num w:numId="32">
    <w:abstractNumId w:val="32"/>
  </w:num>
  <w:num w:numId="33">
    <w:abstractNumId w:val="28"/>
  </w:num>
  <w:num w:numId="34">
    <w:abstractNumId w:val="17"/>
  </w:num>
  <w:num w:numId="35">
    <w:abstractNumId w:val="29"/>
  </w:num>
  <w:num w:numId="36">
    <w:abstractNumId w:val="43"/>
  </w:num>
  <w:num w:numId="37">
    <w:abstractNumId w:val="43"/>
    <w:lvlOverride w:ilvl="0">
      <w:startOverride w:val="1"/>
    </w:lvlOverride>
  </w:num>
  <w:num w:numId="38">
    <w:abstractNumId w:val="8"/>
  </w:num>
  <w:num w:numId="39">
    <w:abstractNumId w:val="22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41"/>
  </w:num>
  <w:num w:numId="45">
    <w:abstractNumId w:val="34"/>
  </w:num>
  <w:num w:numId="46">
    <w:abstractNumId w:val="44"/>
  </w:num>
  <w:num w:numId="47">
    <w:abstractNumId w:val="30"/>
  </w:num>
  <w:num w:numId="4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6F1D29"/>
    <w:rsid w:val="00004AEE"/>
    <w:rsid w:val="00005CAA"/>
    <w:rsid w:val="00010210"/>
    <w:rsid w:val="00012D66"/>
    <w:rsid w:val="0001360F"/>
    <w:rsid w:val="0001371E"/>
    <w:rsid w:val="00015ADA"/>
    <w:rsid w:val="00020C99"/>
    <w:rsid w:val="00020D1A"/>
    <w:rsid w:val="0002707B"/>
    <w:rsid w:val="00036F96"/>
    <w:rsid w:val="000467FD"/>
    <w:rsid w:val="0005148E"/>
    <w:rsid w:val="00072C5A"/>
    <w:rsid w:val="000759E5"/>
    <w:rsid w:val="00084AC6"/>
    <w:rsid w:val="00091608"/>
    <w:rsid w:val="0009333C"/>
    <w:rsid w:val="00093FC0"/>
    <w:rsid w:val="0009704F"/>
    <w:rsid w:val="000A0F11"/>
    <w:rsid w:val="000A125A"/>
    <w:rsid w:val="000A57CD"/>
    <w:rsid w:val="000B3758"/>
    <w:rsid w:val="000B7681"/>
    <w:rsid w:val="000B7B42"/>
    <w:rsid w:val="000C02B7"/>
    <w:rsid w:val="000C5100"/>
    <w:rsid w:val="000C5342"/>
    <w:rsid w:val="000C706A"/>
    <w:rsid w:val="000D2434"/>
    <w:rsid w:val="000D2887"/>
    <w:rsid w:val="000D6D63"/>
    <w:rsid w:val="000D7833"/>
    <w:rsid w:val="000E0081"/>
    <w:rsid w:val="000E07CF"/>
    <w:rsid w:val="000E31C1"/>
    <w:rsid w:val="000F2CF2"/>
    <w:rsid w:val="00100BEF"/>
    <w:rsid w:val="00111326"/>
    <w:rsid w:val="0011498E"/>
    <w:rsid w:val="00117A45"/>
    <w:rsid w:val="001224AE"/>
    <w:rsid w:val="00130C0C"/>
    <w:rsid w:val="001337D4"/>
    <w:rsid w:val="00135C56"/>
    <w:rsid w:val="001404C9"/>
    <w:rsid w:val="001472A5"/>
    <w:rsid w:val="00147C12"/>
    <w:rsid w:val="001527A1"/>
    <w:rsid w:val="001530DC"/>
    <w:rsid w:val="00154989"/>
    <w:rsid w:val="00155141"/>
    <w:rsid w:val="00155A9F"/>
    <w:rsid w:val="00160262"/>
    <w:rsid w:val="00160D33"/>
    <w:rsid w:val="0016780A"/>
    <w:rsid w:val="00167C66"/>
    <w:rsid w:val="001713FA"/>
    <w:rsid w:val="00173EBF"/>
    <w:rsid w:val="001754C8"/>
    <w:rsid w:val="00175ED3"/>
    <w:rsid w:val="001842A2"/>
    <w:rsid w:val="00187FA8"/>
    <w:rsid w:val="00192939"/>
    <w:rsid w:val="00192F5E"/>
    <w:rsid w:val="00197772"/>
    <w:rsid w:val="001A51C8"/>
    <w:rsid w:val="001A78E9"/>
    <w:rsid w:val="001B4CA8"/>
    <w:rsid w:val="001B5EA1"/>
    <w:rsid w:val="001C12ED"/>
    <w:rsid w:val="001C4F3D"/>
    <w:rsid w:val="001D0CDC"/>
    <w:rsid w:val="001D1D82"/>
    <w:rsid w:val="001E1182"/>
    <w:rsid w:val="00201C39"/>
    <w:rsid w:val="00202C90"/>
    <w:rsid w:val="00212BFA"/>
    <w:rsid w:val="00213DE8"/>
    <w:rsid w:val="00216118"/>
    <w:rsid w:val="002209AB"/>
    <w:rsid w:val="00221D2C"/>
    <w:rsid w:val="002251E3"/>
    <w:rsid w:val="00227A95"/>
    <w:rsid w:val="002316BD"/>
    <w:rsid w:val="002453C4"/>
    <w:rsid w:val="002473FC"/>
    <w:rsid w:val="00252E3C"/>
    <w:rsid w:val="00252FEC"/>
    <w:rsid w:val="00261130"/>
    <w:rsid w:val="00262198"/>
    <w:rsid w:val="00282004"/>
    <w:rsid w:val="00285F1B"/>
    <w:rsid w:val="00292B81"/>
    <w:rsid w:val="002B18AE"/>
    <w:rsid w:val="002C1C93"/>
    <w:rsid w:val="002C5066"/>
    <w:rsid w:val="002C5813"/>
    <w:rsid w:val="002C6E59"/>
    <w:rsid w:val="002D4AAC"/>
    <w:rsid w:val="002E3B70"/>
    <w:rsid w:val="002F045A"/>
    <w:rsid w:val="0030039D"/>
    <w:rsid w:val="0030326F"/>
    <w:rsid w:val="00303477"/>
    <w:rsid w:val="00310701"/>
    <w:rsid w:val="00315980"/>
    <w:rsid w:val="00316F7F"/>
    <w:rsid w:val="003218E8"/>
    <w:rsid w:val="0032306C"/>
    <w:rsid w:val="00325E34"/>
    <w:rsid w:val="00330DCE"/>
    <w:rsid w:val="00331E11"/>
    <w:rsid w:val="00331EB5"/>
    <w:rsid w:val="00334761"/>
    <w:rsid w:val="00337EBC"/>
    <w:rsid w:val="00341DCD"/>
    <w:rsid w:val="0034563E"/>
    <w:rsid w:val="003509AB"/>
    <w:rsid w:val="003518D6"/>
    <w:rsid w:val="00352661"/>
    <w:rsid w:val="0035460C"/>
    <w:rsid w:val="003556BD"/>
    <w:rsid w:val="00365147"/>
    <w:rsid w:val="0037016E"/>
    <w:rsid w:val="00372908"/>
    <w:rsid w:val="00383020"/>
    <w:rsid w:val="00394431"/>
    <w:rsid w:val="00394D7E"/>
    <w:rsid w:val="003975FD"/>
    <w:rsid w:val="003A4D32"/>
    <w:rsid w:val="003B057D"/>
    <w:rsid w:val="003B5120"/>
    <w:rsid w:val="003B60CC"/>
    <w:rsid w:val="003C1B25"/>
    <w:rsid w:val="003C2443"/>
    <w:rsid w:val="003C5DA3"/>
    <w:rsid w:val="003D27C3"/>
    <w:rsid w:val="003D4BCD"/>
    <w:rsid w:val="003D6C2B"/>
    <w:rsid w:val="003E01D8"/>
    <w:rsid w:val="003E2100"/>
    <w:rsid w:val="003F03BE"/>
    <w:rsid w:val="003F29DE"/>
    <w:rsid w:val="003F6F5B"/>
    <w:rsid w:val="0040342D"/>
    <w:rsid w:val="004111CB"/>
    <w:rsid w:val="0041192D"/>
    <w:rsid w:val="00413EE1"/>
    <w:rsid w:val="00416953"/>
    <w:rsid w:val="0042128E"/>
    <w:rsid w:val="00432B60"/>
    <w:rsid w:val="00440698"/>
    <w:rsid w:val="004540E2"/>
    <w:rsid w:val="00454454"/>
    <w:rsid w:val="004555E5"/>
    <w:rsid w:val="00467924"/>
    <w:rsid w:val="004712A5"/>
    <w:rsid w:val="004723FC"/>
    <w:rsid w:val="0047266F"/>
    <w:rsid w:val="00476D6B"/>
    <w:rsid w:val="00477260"/>
    <w:rsid w:val="00492C16"/>
    <w:rsid w:val="004A0678"/>
    <w:rsid w:val="004A3F9C"/>
    <w:rsid w:val="004A48A3"/>
    <w:rsid w:val="004B0D92"/>
    <w:rsid w:val="004B0EC0"/>
    <w:rsid w:val="004B66E2"/>
    <w:rsid w:val="004B66F1"/>
    <w:rsid w:val="004C114F"/>
    <w:rsid w:val="004C1212"/>
    <w:rsid w:val="004C3EA0"/>
    <w:rsid w:val="004D10BF"/>
    <w:rsid w:val="004E0168"/>
    <w:rsid w:val="004E3FA5"/>
    <w:rsid w:val="004F6D76"/>
    <w:rsid w:val="004F7169"/>
    <w:rsid w:val="00500D66"/>
    <w:rsid w:val="00511AEE"/>
    <w:rsid w:val="00514C8E"/>
    <w:rsid w:val="00531DBF"/>
    <w:rsid w:val="0054080E"/>
    <w:rsid w:val="00545759"/>
    <w:rsid w:val="00545BE0"/>
    <w:rsid w:val="00546930"/>
    <w:rsid w:val="0055263A"/>
    <w:rsid w:val="00554C6A"/>
    <w:rsid w:val="00562E85"/>
    <w:rsid w:val="0056332F"/>
    <w:rsid w:val="005719B3"/>
    <w:rsid w:val="0057295E"/>
    <w:rsid w:val="00581C39"/>
    <w:rsid w:val="00585054"/>
    <w:rsid w:val="005903B6"/>
    <w:rsid w:val="005A0247"/>
    <w:rsid w:val="005A088C"/>
    <w:rsid w:val="005A126E"/>
    <w:rsid w:val="005A452F"/>
    <w:rsid w:val="005B140D"/>
    <w:rsid w:val="005C1FEA"/>
    <w:rsid w:val="005C3495"/>
    <w:rsid w:val="005E3DFC"/>
    <w:rsid w:val="005E5942"/>
    <w:rsid w:val="005E60AF"/>
    <w:rsid w:val="005F1DEA"/>
    <w:rsid w:val="00606CA3"/>
    <w:rsid w:val="00607FC9"/>
    <w:rsid w:val="006157DB"/>
    <w:rsid w:val="00622FE1"/>
    <w:rsid w:val="0062521C"/>
    <w:rsid w:val="006259C9"/>
    <w:rsid w:val="00630A2B"/>
    <w:rsid w:val="00632DC7"/>
    <w:rsid w:val="006357FB"/>
    <w:rsid w:val="006406FC"/>
    <w:rsid w:val="00640E57"/>
    <w:rsid w:val="00646122"/>
    <w:rsid w:val="00647E57"/>
    <w:rsid w:val="00653E16"/>
    <w:rsid w:val="00657220"/>
    <w:rsid w:val="00657362"/>
    <w:rsid w:val="00660742"/>
    <w:rsid w:val="0066104B"/>
    <w:rsid w:val="006655EE"/>
    <w:rsid w:val="006665B8"/>
    <w:rsid w:val="00667C10"/>
    <w:rsid w:val="00667EF4"/>
    <w:rsid w:val="006734BF"/>
    <w:rsid w:val="00676FCA"/>
    <w:rsid w:val="00677177"/>
    <w:rsid w:val="0068246C"/>
    <w:rsid w:val="00683CCC"/>
    <w:rsid w:val="0068612E"/>
    <w:rsid w:val="00687C92"/>
    <w:rsid w:val="0069534E"/>
    <w:rsid w:val="0069669C"/>
    <w:rsid w:val="006A1200"/>
    <w:rsid w:val="006A4F4E"/>
    <w:rsid w:val="006A661E"/>
    <w:rsid w:val="006A6C23"/>
    <w:rsid w:val="006B14DB"/>
    <w:rsid w:val="006B21C4"/>
    <w:rsid w:val="006B3541"/>
    <w:rsid w:val="006C4A1A"/>
    <w:rsid w:val="006D0393"/>
    <w:rsid w:val="006D1A83"/>
    <w:rsid w:val="006D493C"/>
    <w:rsid w:val="006D618D"/>
    <w:rsid w:val="006E1CFE"/>
    <w:rsid w:val="006F10C4"/>
    <w:rsid w:val="006F1D29"/>
    <w:rsid w:val="006F40E9"/>
    <w:rsid w:val="006F5603"/>
    <w:rsid w:val="006F7B87"/>
    <w:rsid w:val="00701400"/>
    <w:rsid w:val="007037CF"/>
    <w:rsid w:val="00710C4B"/>
    <w:rsid w:val="007167C0"/>
    <w:rsid w:val="00720481"/>
    <w:rsid w:val="0073257F"/>
    <w:rsid w:val="00733193"/>
    <w:rsid w:val="00744DDA"/>
    <w:rsid w:val="00745E03"/>
    <w:rsid w:val="0075732A"/>
    <w:rsid w:val="007600F8"/>
    <w:rsid w:val="00760262"/>
    <w:rsid w:val="0076310C"/>
    <w:rsid w:val="00766522"/>
    <w:rsid w:val="0076744F"/>
    <w:rsid w:val="00767BCE"/>
    <w:rsid w:val="00767EFC"/>
    <w:rsid w:val="007707DE"/>
    <w:rsid w:val="00770B5D"/>
    <w:rsid w:val="007743A3"/>
    <w:rsid w:val="007752F1"/>
    <w:rsid w:val="00776768"/>
    <w:rsid w:val="0078187A"/>
    <w:rsid w:val="00786F04"/>
    <w:rsid w:val="00794ED8"/>
    <w:rsid w:val="00795DD0"/>
    <w:rsid w:val="007A2573"/>
    <w:rsid w:val="007A65D6"/>
    <w:rsid w:val="007B0DE8"/>
    <w:rsid w:val="007B106C"/>
    <w:rsid w:val="007B1A4E"/>
    <w:rsid w:val="007B3D05"/>
    <w:rsid w:val="007B5503"/>
    <w:rsid w:val="007B7F4C"/>
    <w:rsid w:val="007C179C"/>
    <w:rsid w:val="007C6BB3"/>
    <w:rsid w:val="007D14B4"/>
    <w:rsid w:val="007D3AD7"/>
    <w:rsid w:val="007D70F0"/>
    <w:rsid w:val="007E24F6"/>
    <w:rsid w:val="007E6F5B"/>
    <w:rsid w:val="007F0AAD"/>
    <w:rsid w:val="007F35D5"/>
    <w:rsid w:val="00800F64"/>
    <w:rsid w:val="00801050"/>
    <w:rsid w:val="00802F0B"/>
    <w:rsid w:val="00810A67"/>
    <w:rsid w:val="00833CF7"/>
    <w:rsid w:val="00834CDE"/>
    <w:rsid w:val="00834F6A"/>
    <w:rsid w:val="00842464"/>
    <w:rsid w:val="00845601"/>
    <w:rsid w:val="00855C5C"/>
    <w:rsid w:val="0086627B"/>
    <w:rsid w:val="00884AC9"/>
    <w:rsid w:val="00897322"/>
    <w:rsid w:val="008A3C96"/>
    <w:rsid w:val="008A50A5"/>
    <w:rsid w:val="008B17F5"/>
    <w:rsid w:val="008B4019"/>
    <w:rsid w:val="008B65C9"/>
    <w:rsid w:val="008C2D4A"/>
    <w:rsid w:val="008D3900"/>
    <w:rsid w:val="008D542E"/>
    <w:rsid w:val="008D6E1D"/>
    <w:rsid w:val="008F39B4"/>
    <w:rsid w:val="008F4162"/>
    <w:rsid w:val="00903E02"/>
    <w:rsid w:val="00907EF0"/>
    <w:rsid w:val="00913175"/>
    <w:rsid w:val="00916EDB"/>
    <w:rsid w:val="00920861"/>
    <w:rsid w:val="00922B13"/>
    <w:rsid w:val="009242EF"/>
    <w:rsid w:val="00932291"/>
    <w:rsid w:val="00932861"/>
    <w:rsid w:val="0093408E"/>
    <w:rsid w:val="00947DF1"/>
    <w:rsid w:val="00952DDF"/>
    <w:rsid w:val="00955523"/>
    <w:rsid w:val="009610A3"/>
    <w:rsid w:val="00963B6A"/>
    <w:rsid w:val="00970950"/>
    <w:rsid w:val="009812D4"/>
    <w:rsid w:val="009920D8"/>
    <w:rsid w:val="009952F5"/>
    <w:rsid w:val="009A7E86"/>
    <w:rsid w:val="009B38BE"/>
    <w:rsid w:val="009C3D0F"/>
    <w:rsid w:val="009D69D7"/>
    <w:rsid w:val="009E1B19"/>
    <w:rsid w:val="009E1F12"/>
    <w:rsid w:val="009F35E2"/>
    <w:rsid w:val="009F65F9"/>
    <w:rsid w:val="009F68BA"/>
    <w:rsid w:val="00A06277"/>
    <w:rsid w:val="00A079DC"/>
    <w:rsid w:val="00A111C2"/>
    <w:rsid w:val="00A20448"/>
    <w:rsid w:val="00A338E7"/>
    <w:rsid w:val="00A35CAA"/>
    <w:rsid w:val="00A36E7F"/>
    <w:rsid w:val="00A41E65"/>
    <w:rsid w:val="00A43E0A"/>
    <w:rsid w:val="00A530C7"/>
    <w:rsid w:val="00A53259"/>
    <w:rsid w:val="00A55F5B"/>
    <w:rsid w:val="00A60185"/>
    <w:rsid w:val="00A644C6"/>
    <w:rsid w:val="00A661EA"/>
    <w:rsid w:val="00A74FD2"/>
    <w:rsid w:val="00A830E5"/>
    <w:rsid w:val="00A83FBE"/>
    <w:rsid w:val="00A87135"/>
    <w:rsid w:val="00A93280"/>
    <w:rsid w:val="00A951EA"/>
    <w:rsid w:val="00AA2548"/>
    <w:rsid w:val="00AA3A6E"/>
    <w:rsid w:val="00AA58C4"/>
    <w:rsid w:val="00AA7003"/>
    <w:rsid w:val="00AB11C8"/>
    <w:rsid w:val="00AC08A8"/>
    <w:rsid w:val="00AC3890"/>
    <w:rsid w:val="00AD56C8"/>
    <w:rsid w:val="00AD58F2"/>
    <w:rsid w:val="00AD592D"/>
    <w:rsid w:val="00AE06E8"/>
    <w:rsid w:val="00AE2981"/>
    <w:rsid w:val="00B01BFB"/>
    <w:rsid w:val="00B0512A"/>
    <w:rsid w:val="00B0529F"/>
    <w:rsid w:val="00B1418B"/>
    <w:rsid w:val="00B21195"/>
    <w:rsid w:val="00B2136C"/>
    <w:rsid w:val="00B24B22"/>
    <w:rsid w:val="00B25310"/>
    <w:rsid w:val="00B32F8F"/>
    <w:rsid w:val="00B3492A"/>
    <w:rsid w:val="00B54DE9"/>
    <w:rsid w:val="00B553EC"/>
    <w:rsid w:val="00B55E3F"/>
    <w:rsid w:val="00B57C01"/>
    <w:rsid w:val="00B63C1E"/>
    <w:rsid w:val="00B93DD0"/>
    <w:rsid w:val="00B97732"/>
    <w:rsid w:val="00BA0F73"/>
    <w:rsid w:val="00BA39B0"/>
    <w:rsid w:val="00BA65A8"/>
    <w:rsid w:val="00BA6D19"/>
    <w:rsid w:val="00BA7461"/>
    <w:rsid w:val="00BA7DA9"/>
    <w:rsid w:val="00BB47C8"/>
    <w:rsid w:val="00BC4215"/>
    <w:rsid w:val="00BC5A01"/>
    <w:rsid w:val="00BC7692"/>
    <w:rsid w:val="00BD1A6F"/>
    <w:rsid w:val="00BD7DF5"/>
    <w:rsid w:val="00BE6D3C"/>
    <w:rsid w:val="00BE7852"/>
    <w:rsid w:val="00BF7CEE"/>
    <w:rsid w:val="00C03880"/>
    <w:rsid w:val="00C135CF"/>
    <w:rsid w:val="00C17AC0"/>
    <w:rsid w:val="00C2683F"/>
    <w:rsid w:val="00C3184D"/>
    <w:rsid w:val="00C4714E"/>
    <w:rsid w:val="00C51CCA"/>
    <w:rsid w:val="00C525B6"/>
    <w:rsid w:val="00C5504F"/>
    <w:rsid w:val="00C57B55"/>
    <w:rsid w:val="00C63376"/>
    <w:rsid w:val="00C74F97"/>
    <w:rsid w:val="00C824C9"/>
    <w:rsid w:val="00C8276E"/>
    <w:rsid w:val="00C842AC"/>
    <w:rsid w:val="00C96688"/>
    <w:rsid w:val="00CA0723"/>
    <w:rsid w:val="00CB1690"/>
    <w:rsid w:val="00CB2EDB"/>
    <w:rsid w:val="00CB3EFE"/>
    <w:rsid w:val="00CB4FF1"/>
    <w:rsid w:val="00CB53C6"/>
    <w:rsid w:val="00CC4365"/>
    <w:rsid w:val="00CD11B0"/>
    <w:rsid w:val="00CE71C2"/>
    <w:rsid w:val="00CF34E9"/>
    <w:rsid w:val="00CF42D5"/>
    <w:rsid w:val="00CF4EDA"/>
    <w:rsid w:val="00D00D0F"/>
    <w:rsid w:val="00D021CB"/>
    <w:rsid w:val="00D10F1A"/>
    <w:rsid w:val="00D116F8"/>
    <w:rsid w:val="00D17596"/>
    <w:rsid w:val="00D21D54"/>
    <w:rsid w:val="00D22640"/>
    <w:rsid w:val="00D227B4"/>
    <w:rsid w:val="00D26D3A"/>
    <w:rsid w:val="00D3036A"/>
    <w:rsid w:val="00D45EE3"/>
    <w:rsid w:val="00D50618"/>
    <w:rsid w:val="00D509E9"/>
    <w:rsid w:val="00D51EF9"/>
    <w:rsid w:val="00D53B1C"/>
    <w:rsid w:val="00D554EF"/>
    <w:rsid w:val="00D5712D"/>
    <w:rsid w:val="00D60A61"/>
    <w:rsid w:val="00D62336"/>
    <w:rsid w:val="00D66790"/>
    <w:rsid w:val="00D77221"/>
    <w:rsid w:val="00D82FBF"/>
    <w:rsid w:val="00DA1B12"/>
    <w:rsid w:val="00DA54C9"/>
    <w:rsid w:val="00DA6739"/>
    <w:rsid w:val="00DA6CAE"/>
    <w:rsid w:val="00DB1A9E"/>
    <w:rsid w:val="00DB31D6"/>
    <w:rsid w:val="00DB4005"/>
    <w:rsid w:val="00DC34EB"/>
    <w:rsid w:val="00DD118C"/>
    <w:rsid w:val="00DE4ECD"/>
    <w:rsid w:val="00DF1E5B"/>
    <w:rsid w:val="00DF2275"/>
    <w:rsid w:val="00DF3F5E"/>
    <w:rsid w:val="00DF5653"/>
    <w:rsid w:val="00DF5E28"/>
    <w:rsid w:val="00DF6A86"/>
    <w:rsid w:val="00E0596E"/>
    <w:rsid w:val="00E06F66"/>
    <w:rsid w:val="00E33441"/>
    <w:rsid w:val="00E356E5"/>
    <w:rsid w:val="00E36F81"/>
    <w:rsid w:val="00E4361A"/>
    <w:rsid w:val="00E45765"/>
    <w:rsid w:val="00E5098C"/>
    <w:rsid w:val="00E522C8"/>
    <w:rsid w:val="00E60213"/>
    <w:rsid w:val="00E661B2"/>
    <w:rsid w:val="00E71100"/>
    <w:rsid w:val="00E74D29"/>
    <w:rsid w:val="00E7556D"/>
    <w:rsid w:val="00E77A4F"/>
    <w:rsid w:val="00E83C74"/>
    <w:rsid w:val="00E83CEE"/>
    <w:rsid w:val="00E91F18"/>
    <w:rsid w:val="00E9226D"/>
    <w:rsid w:val="00EA06EE"/>
    <w:rsid w:val="00EA416C"/>
    <w:rsid w:val="00EA5941"/>
    <w:rsid w:val="00EA793A"/>
    <w:rsid w:val="00EB0CA1"/>
    <w:rsid w:val="00EB4707"/>
    <w:rsid w:val="00EB60CE"/>
    <w:rsid w:val="00EB7D53"/>
    <w:rsid w:val="00EC5671"/>
    <w:rsid w:val="00ED275C"/>
    <w:rsid w:val="00ED2BCA"/>
    <w:rsid w:val="00EE3146"/>
    <w:rsid w:val="00EF50BB"/>
    <w:rsid w:val="00EF53FF"/>
    <w:rsid w:val="00EF5847"/>
    <w:rsid w:val="00F00192"/>
    <w:rsid w:val="00F01DF6"/>
    <w:rsid w:val="00F0340D"/>
    <w:rsid w:val="00F05042"/>
    <w:rsid w:val="00F059A6"/>
    <w:rsid w:val="00F17BA8"/>
    <w:rsid w:val="00F23756"/>
    <w:rsid w:val="00F2523A"/>
    <w:rsid w:val="00F25FFA"/>
    <w:rsid w:val="00F310D2"/>
    <w:rsid w:val="00F36F3D"/>
    <w:rsid w:val="00F477BD"/>
    <w:rsid w:val="00F53491"/>
    <w:rsid w:val="00F65A1C"/>
    <w:rsid w:val="00F66F50"/>
    <w:rsid w:val="00F75B7C"/>
    <w:rsid w:val="00F82FF8"/>
    <w:rsid w:val="00F8330D"/>
    <w:rsid w:val="00F83FFA"/>
    <w:rsid w:val="00F84305"/>
    <w:rsid w:val="00F8485C"/>
    <w:rsid w:val="00F87149"/>
    <w:rsid w:val="00F87FFE"/>
    <w:rsid w:val="00F954C9"/>
    <w:rsid w:val="00FA12A1"/>
    <w:rsid w:val="00FA4CF0"/>
    <w:rsid w:val="00FA61AA"/>
    <w:rsid w:val="00FA69A4"/>
    <w:rsid w:val="00FB1279"/>
    <w:rsid w:val="00FB1495"/>
    <w:rsid w:val="00FD1694"/>
    <w:rsid w:val="00FD7636"/>
    <w:rsid w:val="00FE3229"/>
    <w:rsid w:val="00FE74C3"/>
    <w:rsid w:val="00FF215C"/>
    <w:rsid w:val="00FF49E8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120"/>
    <w:pPr>
      <w:spacing w:before="200" w:after="200" w:line="276" w:lineRule="auto"/>
    </w:pPr>
    <w:rPr>
      <w:rFonts w:asciiTheme="minorHAnsi" w:eastAsiaTheme="minorEastAsia" w:hAnsiTheme="minorHAnsi" w:cstheme="minorBidi"/>
      <w:sz w:val="24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pPr>
      <w:spacing w:line="240" w:lineRule="auto"/>
    </w:pPr>
    <w:rPr>
      <w:rFonts w:eastAsia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rsid w:val="003556BD"/>
    <w:pPr>
      <w:numPr>
        <w:numId w:val="39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after="0"/>
    </w:pPr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styleId="Caption">
    <w:name w:val="caption"/>
    <w:basedOn w:val="Normal"/>
    <w:next w:val="Normal"/>
    <w:uiPriority w:val="35"/>
    <w:unhideWhenUsed/>
    <w:qFormat/>
    <w:rsid w:val="003B5120"/>
    <w:rPr>
      <w:b/>
      <w:bCs/>
      <w:color w:val="365F91" w:themeColor="accent1" w:themeShade="BF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655</Words>
  <Characters>3836</Characters>
  <Application>Microsoft Office Word</Application>
  <DocSecurity>0</DocSecurity>
  <Lines>71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Company>DEWHA</Company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Clean Air Agreement - work plan</dc:title>
  <dc:creator>Australian Government Department of the Environment</dc:creator>
  <cp:lastModifiedBy>a01081</cp:lastModifiedBy>
  <cp:revision>2</cp:revision>
  <dcterms:created xsi:type="dcterms:W3CDTF">2015-12-15T06:09:00Z</dcterms:created>
  <dcterms:modified xsi:type="dcterms:W3CDTF">2015-12-15T06:09:00Z</dcterms:modified>
</cp:coreProperties>
</file>