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9F2AA" w14:textId="582D8CA5" w:rsidR="007817E3" w:rsidRDefault="00CD714C" w:rsidP="007817E3">
      <w:pPr>
        <w:pStyle w:val="Heading1"/>
      </w:pPr>
      <w:r>
        <w:t>National Animal Hea</w:t>
      </w:r>
      <w:r w:rsidR="00176E94">
        <w:t>l</w:t>
      </w:r>
      <w:r>
        <w:t>th Diagnostics Business Plan 2021 to 2026</w:t>
      </w:r>
      <w:r w:rsidR="00CD6BC4">
        <w:t>:</w:t>
      </w:r>
      <w:r w:rsidR="007817E3">
        <w:t xml:space="preserve"> </w:t>
      </w:r>
      <w:r w:rsidR="00E46510">
        <w:t>p</w:t>
      </w:r>
      <w:r w:rsidR="00471DDF">
        <w:t xml:space="preserve">roject </w:t>
      </w:r>
      <w:r w:rsidR="00E46510" w:rsidRPr="00C7714E">
        <w:t>u</w:t>
      </w:r>
      <w:r w:rsidR="00471DDF" w:rsidRPr="00C7714E">
        <w:t>pdates</w:t>
      </w:r>
      <w:r w:rsidR="007817E3" w:rsidRPr="00C7714E">
        <w:t xml:space="preserve"> </w:t>
      </w:r>
      <w:r w:rsidR="007817E3" w:rsidRPr="00DA3D90">
        <w:t>November 2024</w:t>
      </w:r>
    </w:p>
    <w:p w14:paraId="58D5B10C" w14:textId="77777777" w:rsidR="00764D6A" w:rsidRDefault="00E91D72">
      <w:pPr>
        <w:pStyle w:val="Normalsmall"/>
      </w:pPr>
      <w:r>
        <w:br w:type="page"/>
      </w:r>
      <w:r>
        <w:lastRenderedPageBreak/>
        <w:t xml:space="preserve">© Commonwealth of Australia </w:t>
      </w:r>
      <w:r w:rsidR="00B97E61">
        <w:t>202</w:t>
      </w:r>
      <w:r w:rsidR="0071381A">
        <w:t>4</w:t>
      </w:r>
    </w:p>
    <w:p w14:paraId="18F5EC9B" w14:textId="77777777" w:rsidR="00764D6A" w:rsidRDefault="00E91D72">
      <w:pPr>
        <w:pStyle w:val="Normalsmall"/>
        <w:rPr>
          <w:rStyle w:val="Strong"/>
        </w:rPr>
      </w:pPr>
      <w:r>
        <w:rPr>
          <w:rStyle w:val="Strong"/>
        </w:rPr>
        <w:t>Ownership of intellectual property rights</w:t>
      </w:r>
    </w:p>
    <w:p w14:paraId="2D82C895"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0D55C08B" w14:textId="77777777" w:rsidR="00764D6A" w:rsidRDefault="00E91D72">
      <w:pPr>
        <w:pStyle w:val="Normalsmall"/>
        <w:rPr>
          <w:rStyle w:val="Strong"/>
        </w:rPr>
      </w:pPr>
      <w:r>
        <w:rPr>
          <w:rStyle w:val="Strong"/>
        </w:rPr>
        <w:t>Creative Commons licence</w:t>
      </w:r>
    </w:p>
    <w:p w14:paraId="2DC841C1" w14:textId="77777777" w:rsidR="00764D6A" w:rsidRDefault="00E91D72">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768F57DC" w14:textId="77777777" w:rsidR="00764D6A" w:rsidRPr="00364A4A" w:rsidRDefault="00E91D72">
      <w:pPr>
        <w:pStyle w:val="Normalsmall"/>
      </w:pPr>
      <w:r w:rsidRPr="00364A4A">
        <w:rPr>
          <w:noProof/>
          <w:lang w:eastAsia="en-AU"/>
        </w:rPr>
        <w:drawing>
          <wp:inline distT="0" distB="0" distL="0" distR="0" wp14:anchorId="67EFFA49" wp14:editId="7C61BC0D">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742A8F73" w14:textId="77777777" w:rsidR="00764D6A" w:rsidRPr="00364A4A" w:rsidRDefault="00E91D72">
      <w:pPr>
        <w:pStyle w:val="Normalsmall"/>
        <w:rPr>
          <w:rStyle w:val="Strong"/>
        </w:rPr>
      </w:pPr>
      <w:r w:rsidRPr="00364A4A">
        <w:rPr>
          <w:rStyle w:val="Strong"/>
        </w:rPr>
        <w:t>Cataloguing data</w:t>
      </w:r>
    </w:p>
    <w:p w14:paraId="1FCE2AC9" w14:textId="257640EE" w:rsidR="00764D6A" w:rsidRPr="00737027" w:rsidRDefault="00E91D72" w:rsidP="00737027">
      <w:pPr>
        <w:pStyle w:val="Normalsmall"/>
        <w:rPr>
          <w:i/>
          <w:iCs/>
        </w:rPr>
      </w:pPr>
      <w:r w:rsidRPr="00364A4A">
        <w:t xml:space="preserve">This publication (and any material sourced from it) should be attributed as: </w:t>
      </w:r>
      <w:r w:rsidR="00150AF0">
        <w:t>Australian Government</w:t>
      </w:r>
      <w:r w:rsidR="00C7714E">
        <w:t xml:space="preserve"> 2024</w:t>
      </w:r>
      <w:r w:rsidR="00CD6BC4">
        <w:t xml:space="preserve">, </w:t>
      </w:r>
      <w:r w:rsidR="00737027" w:rsidRPr="00737027">
        <w:rPr>
          <w:i/>
          <w:iCs/>
        </w:rPr>
        <w:t>National Animal Hea</w:t>
      </w:r>
      <w:r w:rsidR="00840889">
        <w:rPr>
          <w:i/>
          <w:iCs/>
        </w:rPr>
        <w:t>l</w:t>
      </w:r>
      <w:r w:rsidR="00737027" w:rsidRPr="00737027">
        <w:rPr>
          <w:i/>
          <w:iCs/>
        </w:rPr>
        <w:t>th Diagnostics Business Plan 2021 to 2026</w:t>
      </w:r>
      <w:r w:rsidR="00840889">
        <w:rPr>
          <w:i/>
          <w:iCs/>
        </w:rPr>
        <w:t>:</w:t>
      </w:r>
      <w:r w:rsidR="00737027" w:rsidRPr="00737027">
        <w:rPr>
          <w:i/>
          <w:iCs/>
        </w:rPr>
        <w:t xml:space="preserve"> </w:t>
      </w:r>
      <w:r w:rsidR="00176E94">
        <w:rPr>
          <w:i/>
          <w:iCs/>
        </w:rPr>
        <w:t>p</w:t>
      </w:r>
      <w:r w:rsidR="00737027" w:rsidRPr="00737027">
        <w:rPr>
          <w:i/>
          <w:iCs/>
        </w:rPr>
        <w:t xml:space="preserve">roject </w:t>
      </w:r>
      <w:r w:rsidR="00176E94">
        <w:rPr>
          <w:i/>
          <w:iCs/>
        </w:rPr>
        <w:t>u</w:t>
      </w:r>
      <w:r w:rsidR="00737027" w:rsidRPr="00737027">
        <w:rPr>
          <w:i/>
          <w:iCs/>
        </w:rPr>
        <w:t>pdates</w:t>
      </w:r>
      <w:r w:rsidR="00840889">
        <w:rPr>
          <w:i/>
          <w:iCs/>
        </w:rPr>
        <w:t xml:space="preserve"> </w:t>
      </w:r>
      <w:r w:rsidR="00876840">
        <w:rPr>
          <w:i/>
          <w:iCs/>
        </w:rPr>
        <w:t xml:space="preserve">November </w:t>
      </w:r>
      <w:r w:rsidR="00840889">
        <w:rPr>
          <w:i/>
          <w:iCs/>
        </w:rPr>
        <w:t>2024</w:t>
      </w:r>
      <w:r w:rsidR="007817E3" w:rsidRPr="007817E3">
        <w:t>, Department of Agriculture, Fisheries and Forestry, Canberra,</w:t>
      </w:r>
      <w:r w:rsidR="007817E3" w:rsidRPr="00840889">
        <w:t xml:space="preserve"> </w:t>
      </w:r>
      <w:r w:rsidR="00840889" w:rsidRPr="00876840">
        <w:t>November</w:t>
      </w:r>
      <w:r w:rsidR="00840889">
        <w:t>.</w:t>
      </w:r>
      <w:r w:rsidR="007817E3" w:rsidRPr="007817E3">
        <w:t xml:space="preserve"> </w:t>
      </w:r>
      <w:r>
        <w:t>CC BY 4.0.</w:t>
      </w:r>
    </w:p>
    <w:p w14:paraId="5C4774F1" w14:textId="77777777" w:rsidR="00DE0AAE" w:rsidRDefault="00DE0AAE">
      <w:pPr>
        <w:pStyle w:val="Normalsmall"/>
        <w:spacing w:after="0"/>
      </w:pPr>
      <w:r w:rsidRPr="00DE0AAE">
        <w:t>Department of Agriculture, Fisheries and Forestry</w:t>
      </w:r>
    </w:p>
    <w:p w14:paraId="3C5E1D0A" w14:textId="77777777" w:rsidR="00764D6A" w:rsidRPr="00364A4A" w:rsidRDefault="00E91D72">
      <w:pPr>
        <w:pStyle w:val="Normalsmall"/>
        <w:spacing w:after="0"/>
      </w:pPr>
      <w:r w:rsidRPr="00364A4A">
        <w:t>GPO Box 858 Canberra ACT 2601</w:t>
      </w:r>
    </w:p>
    <w:p w14:paraId="018CDA29" w14:textId="77777777" w:rsidR="00764D6A" w:rsidRPr="00364A4A" w:rsidRDefault="00E91D72">
      <w:pPr>
        <w:pStyle w:val="Normalsmall"/>
        <w:spacing w:after="0"/>
      </w:pPr>
      <w:r w:rsidRPr="00364A4A">
        <w:t>Telephone 1800 900 090</w:t>
      </w:r>
    </w:p>
    <w:p w14:paraId="1399FBFD" w14:textId="77777777" w:rsidR="00764D6A" w:rsidRPr="00364A4A" w:rsidRDefault="00E91D72">
      <w:pPr>
        <w:pStyle w:val="Normalsmall"/>
      </w:pPr>
      <w:r w:rsidRPr="00364A4A">
        <w:t xml:space="preserve">Web </w:t>
      </w:r>
      <w:hyperlink r:id="rId13" w:history="1">
        <w:r w:rsidR="00DE0AAE" w:rsidRPr="00364A4A">
          <w:rPr>
            <w:rStyle w:val="Hyperlink"/>
          </w:rPr>
          <w:t>agriculture.gov.au</w:t>
        </w:r>
      </w:hyperlink>
    </w:p>
    <w:p w14:paraId="1564C905" w14:textId="77777777" w:rsidR="007C358A" w:rsidRDefault="007C358A">
      <w:pPr>
        <w:pStyle w:val="Normalsmall"/>
      </w:pPr>
      <w:r w:rsidRPr="00364A4A">
        <w:rPr>
          <w:rStyle w:val="Strong"/>
        </w:rPr>
        <w:t>Disclaimer</w:t>
      </w:r>
    </w:p>
    <w:p w14:paraId="568074F5" w14:textId="77777777" w:rsidR="00764D6A" w:rsidRDefault="00E91D72">
      <w:pPr>
        <w:pStyle w:val="Normalsmall"/>
      </w:pPr>
      <w:r>
        <w:t xml:space="preserve">The Australian Government acting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p w14:paraId="1913BCAD" w14:textId="77777777" w:rsidR="00764D6A" w:rsidRPr="007817E3" w:rsidRDefault="00E91D72">
      <w:pPr>
        <w:pStyle w:val="Normalsmall"/>
        <w:rPr>
          <w:rStyle w:val="Strong"/>
        </w:rPr>
      </w:pPr>
      <w:r w:rsidRPr="007817E3">
        <w:rPr>
          <w:rStyle w:val="Strong"/>
        </w:rPr>
        <w:t>Acknowledgements</w:t>
      </w:r>
    </w:p>
    <w:p w14:paraId="7A244650" w14:textId="7ADB24A5" w:rsidR="007817E3" w:rsidRDefault="007817E3" w:rsidP="00B02B9B">
      <w:pPr>
        <w:pStyle w:val="Normalsmall"/>
      </w:pPr>
      <w:r w:rsidRPr="007817E3">
        <w:t>The authors thank stakeholders for their input into this</w:t>
      </w:r>
      <w:r w:rsidR="0028169A">
        <w:t xml:space="preserve"> project update</w:t>
      </w:r>
      <w:r w:rsidRPr="007817E3">
        <w:t xml:space="preserve"> report.</w:t>
      </w:r>
    </w:p>
    <w:p w14:paraId="3BB5CC1B" w14:textId="27E0E7AB" w:rsidR="00B02B9B" w:rsidRDefault="00B02B9B" w:rsidP="00B02B9B">
      <w:pPr>
        <w:pStyle w:val="Normalsmall"/>
        <w:rPr>
          <w:rStyle w:val="Strong"/>
        </w:rPr>
      </w:pPr>
      <w:r>
        <w:rPr>
          <w:rStyle w:val="Strong"/>
        </w:rPr>
        <w:t>Acknowledgement of Country</w:t>
      </w:r>
    </w:p>
    <w:p w14:paraId="31D06271" w14:textId="0D16F19D" w:rsidR="00A61961" w:rsidRPr="00A61961" w:rsidRDefault="00A61961" w:rsidP="00A61961">
      <w:pPr>
        <w:pStyle w:val="Normalsmall"/>
      </w:pPr>
      <w:r w:rsidRPr="00A61961">
        <w:t>We acknowledge the continuous connection of First Nations Traditional Owners and Custodians to the lands, seas and waters of Australia. We recognise their care for and cultivation of Country. We pay respect to Elders past and present, and recognise their knowledge and contribution to the productivity, innovation and sustainability of Australia’s agriculture, fisheries and forestry industries.</w:t>
      </w:r>
    </w:p>
    <w:p w14:paraId="4C80183F" w14:textId="77777777" w:rsidR="007817E3" w:rsidRDefault="007817E3">
      <w:pPr>
        <w:spacing w:after="0" w:line="240" w:lineRule="auto"/>
        <w:rPr>
          <w:rFonts w:ascii="Cambria" w:hAnsi="Cambria"/>
          <w:b/>
          <w:noProof/>
        </w:rPr>
      </w:pPr>
      <w:r>
        <w:rPr>
          <w:rFonts w:ascii="Cambria" w:hAnsi="Cambria"/>
          <w:b/>
          <w:bCs/>
          <w:noProof/>
        </w:rPr>
        <w:br w:type="page"/>
      </w:r>
    </w:p>
    <w:sdt>
      <w:sdtPr>
        <w:rPr>
          <w:rFonts w:ascii="Cambria" w:eastAsiaTheme="minorHAnsi" w:hAnsi="Cambria"/>
          <w:b/>
          <w:bCs w:val="0"/>
          <w:noProof/>
          <w:sz w:val="22"/>
          <w:szCs w:val="22"/>
          <w:lang w:eastAsia="en-US"/>
        </w:rPr>
        <w:id w:val="-760297017"/>
        <w:docPartObj>
          <w:docPartGallery w:val="Table of Contents"/>
          <w:docPartUnique/>
        </w:docPartObj>
      </w:sdtPr>
      <w:sdtEndPr>
        <w:rPr>
          <w:rFonts w:asciiTheme="minorHAnsi" w:hAnsiTheme="minorHAnsi"/>
          <w:highlight w:val="green"/>
        </w:rPr>
      </w:sdtEndPr>
      <w:sdtContent>
        <w:p w14:paraId="4C825691" w14:textId="5305B00E" w:rsidR="00764D6A" w:rsidRPr="004E5FE6" w:rsidRDefault="00E91D72">
          <w:pPr>
            <w:pStyle w:val="TOCHeading"/>
          </w:pPr>
          <w:r w:rsidRPr="004E5FE6">
            <w:t>Contents</w:t>
          </w:r>
        </w:p>
        <w:p w14:paraId="598BB46E" w14:textId="2972A0B4" w:rsidR="003C6BCB" w:rsidRDefault="00E91D72">
          <w:pPr>
            <w:pStyle w:val="TOC1"/>
            <w:rPr>
              <w:rFonts w:eastAsiaTheme="minorEastAsia"/>
              <w:b w:val="0"/>
              <w:kern w:val="2"/>
              <w:sz w:val="24"/>
              <w:szCs w:val="24"/>
              <w:lang w:eastAsia="en-AU"/>
              <w14:ligatures w14:val="standardContextual"/>
            </w:rPr>
          </w:pPr>
          <w:r w:rsidRPr="00CD6BC4">
            <w:rPr>
              <w:b w:val="0"/>
              <w:highlight w:val="green"/>
            </w:rPr>
            <w:fldChar w:fldCharType="begin"/>
          </w:r>
          <w:r w:rsidRPr="00CD6BC4">
            <w:rPr>
              <w:b w:val="0"/>
              <w:highlight w:val="green"/>
            </w:rPr>
            <w:instrText xml:space="preserve"> TOC \h \z \u \t "Heading 2,1,Heading 3,2,Style1,2,TOA Heading,1" </w:instrText>
          </w:r>
          <w:r w:rsidRPr="00CD6BC4">
            <w:rPr>
              <w:b w:val="0"/>
              <w:highlight w:val="green"/>
            </w:rPr>
            <w:fldChar w:fldCharType="separate"/>
          </w:r>
          <w:hyperlink w:anchor="_Toc185243961" w:history="1">
            <w:r w:rsidR="003C6BCB" w:rsidRPr="00642F2F">
              <w:rPr>
                <w:rStyle w:val="Hyperlink"/>
              </w:rPr>
              <w:t>Introduction</w:t>
            </w:r>
            <w:r w:rsidR="003C6BCB">
              <w:rPr>
                <w:webHidden/>
              </w:rPr>
              <w:tab/>
            </w:r>
            <w:r w:rsidR="003C6BCB">
              <w:rPr>
                <w:webHidden/>
              </w:rPr>
              <w:fldChar w:fldCharType="begin"/>
            </w:r>
            <w:r w:rsidR="003C6BCB">
              <w:rPr>
                <w:webHidden/>
              </w:rPr>
              <w:instrText xml:space="preserve"> PAGEREF _Toc185243961 \h </w:instrText>
            </w:r>
            <w:r w:rsidR="003C6BCB">
              <w:rPr>
                <w:webHidden/>
              </w:rPr>
            </w:r>
            <w:r w:rsidR="003C6BCB">
              <w:rPr>
                <w:webHidden/>
              </w:rPr>
              <w:fldChar w:fldCharType="separate"/>
            </w:r>
            <w:r w:rsidR="009C1315">
              <w:rPr>
                <w:webHidden/>
              </w:rPr>
              <w:t>4</w:t>
            </w:r>
            <w:r w:rsidR="003C6BCB">
              <w:rPr>
                <w:webHidden/>
              </w:rPr>
              <w:fldChar w:fldCharType="end"/>
            </w:r>
          </w:hyperlink>
        </w:p>
        <w:p w14:paraId="5F95B9E0" w14:textId="5EE302AB" w:rsidR="003C6BCB" w:rsidRDefault="003C6BCB">
          <w:pPr>
            <w:pStyle w:val="TOC1"/>
            <w:rPr>
              <w:rFonts w:eastAsiaTheme="minorEastAsia"/>
              <w:b w:val="0"/>
              <w:kern w:val="2"/>
              <w:sz w:val="24"/>
              <w:szCs w:val="24"/>
              <w:lang w:eastAsia="en-AU"/>
              <w14:ligatures w14:val="standardContextual"/>
            </w:rPr>
          </w:pPr>
          <w:hyperlink w:anchor="_Toc185243962" w:history="1">
            <w:r w:rsidRPr="00642F2F">
              <w:rPr>
                <w:rStyle w:val="Hyperlink"/>
              </w:rPr>
              <w:t>Objective 1</w:t>
            </w:r>
            <w:r>
              <w:rPr>
                <w:webHidden/>
              </w:rPr>
              <w:tab/>
            </w:r>
            <w:r>
              <w:rPr>
                <w:webHidden/>
              </w:rPr>
              <w:fldChar w:fldCharType="begin"/>
            </w:r>
            <w:r>
              <w:rPr>
                <w:webHidden/>
              </w:rPr>
              <w:instrText xml:space="preserve"> PAGEREF _Toc185243962 \h </w:instrText>
            </w:r>
            <w:r>
              <w:rPr>
                <w:webHidden/>
              </w:rPr>
            </w:r>
            <w:r>
              <w:rPr>
                <w:webHidden/>
              </w:rPr>
              <w:fldChar w:fldCharType="separate"/>
            </w:r>
            <w:r w:rsidR="009C1315">
              <w:rPr>
                <w:webHidden/>
              </w:rPr>
              <w:t>5</w:t>
            </w:r>
            <w:r>
              <w:rPr>
                <w:webHidden/>
              </w:rPr>
              <w:fldChar w:fldCharType="end"/>
            </w:r>
          </w:hyperlink>
        </w:p>
        <w:p w14:paraId="0E08B606" w14:textId="448A9988" w:rsidR="003C6BCB" w:rsidRDefault="003C6BCB">
          <w:pPr>
            <w:pStyle w:val="TOC1"/>
            <w:rPr>
              <w:rFonts w:eastAsiaTheme="minorEastAsia"/>
              <w:b w:val="0"/>
              <w:kern w:val="2"/>
              <w:sz w:val="24"/>
              <w:szCs w:val="24"/>
              <w:lang w:eastAsia="en-AU"/>
              <w14:ligatures w14:val="standardContextual"/>
            </w:rPr>
          </w:pPr>
          <w:hyperlink w:anchor="_Toc185243963" w:history="1">
            <w:r w:rsidRPr="00642F2F">
              <w:rPr>
                <w:rStyle w:val="Hyperlink"/>
              </w:rPr>
              <w:t>Objective 2</w:t>
            </w:r>
            <w:r>
              <w:rPr>
                <w:webHidden/>
              </w:rPr>
              <w:tab/>
            </w:r>
            <w:r>
              <w:rPr>
                <w:webHidden/>
              </w:rPr>
              <w:fldChar w:fldCharType="begin"/>
            </w:r>
            <w:r>
              <w:rPr>
                <w:webHidden/>
              </w:rPr>
              <w:instrText xml:space="preserve"> PAGEREF _Toc185243963 \h </w:instrText>
            </w:r>
            <w:r>
              <w:rPr>
                <w:webHidden/>
              </w:rPr>
            </w:r>
            <w:r>
              <w:rPr>
                <w:webHidden/>
              </w:rPr>
              <w:fldChar w:fldCharType="separate"/>
            </w:r>
            <w:r w:rsidR="009C1315">
              <w:rPr>
                <w:webHidden/>
              </w:rPr>
              <w:t>7</w:t>
            </w:r>
            <w:r>
              <w:rPr>
                <w:webHidden/>
              </w:rPr>
              <w:fldChar w:fldCharType="end"/>
            </w:r>
          </w:hyperlink>
        </w:p>
        <w:p w14:paraId="7F3BAA04" w14:textId="2F0DF9EE" w:rsidR="003C6BCB" w:rsidRDefault="003C6BCB">
          <w:pPr>
            <w:pStyle w:val="TOC1"/>
            <w:rPr>
              <w:rFonts w:eastAsiaTheme="minorEastAsia"/>
              <w:b w:val="0"/>
              <w:kern w:val="2"/>
              <w:sz w:val="24"/>
              <w:szCs w:val="24"/>
              <w:lang w:eastAsia="en-AU"/>
              <w14:ligatures w14:val="standardContextual"/>
            </w:rPr>
          </w:pPr>
          <w:hyperlink w:anchor="_Toc185243964" w:history="1">
            <w:r w:rsidRPr="00642F2F">
              <w:rPr>
                <w:rStyle w:val="Hyperlink"/>
              </w:rPr>
              <w:t>Objective 3</w:t>
            </w:r>
            <w:r>
              <w:rPr>
                <w:webHidden/>
              </w:rPr>
              <w:tab/>
            </w:r>
            <w:r>
              <w:rPr>
                <w:webHidden/>
              </w:rPr>
              <w:fldChar w:fldCharType="begin"/>
            </w:r>
            <w:r>
              <w:rPr>
                <w:webHidden/>
              </w:rPr>
              <w:instrText xml:space="preserve"> PAGEREF _Toc185243964 \h </w:instrText>
            </w:r>
            <w:r>
              <w:rPr>
                <w:webHidden/>
              </w:rPr>
            </w:r>
            <w:r>
              <w:rPr>
                <w:webHidden/>
              </w:rPr>
              <w:fldChar w:fldCharType="separate"/>
            </w:r>
            <w:r w:rsidR="009C1315">
              <w:rPr>
                <w:webHidden/>
              </w:rPr>
              <w:t>9</w:t>
            </w:r>
            <w:r>
              <w:rPr>
                <w:webHidden/>
              </w:rPr>
              <w:fldChar w:fldCharType="end"/>
            </w:r>
          </w:hyperlink>
        </w:p>
        <w:p w14:paraId="2EF6513E" w14:textId="39C1A946" w:rsidR="003C6BCB" w:rsidRDefault="003C6BCB">
          <w:pPr>
            <w:pStyle w:val="TOC1"/>
            <w:rPr>
              <w:rFonts w:eastAsiaTheme="minorEastAsia"/>
              <w:b w:val="0"/>
              <w:kern w:val="2"/>
              <w:sz w:val="24"/>
              <w:szCs w:val="24"/>
              <w:lang w:eastAsia="en-AU"/>
              <w14:ligatures w14:val="standardContextual"/>
            </w:rPr>
          </w:pPr>
          <w:hyperlink w:anchor="_Toc185243965" w:history="1">
            <w:r w:rsidRPr="00642F2F">
              <w:rPr>
                <w:rStyle w:val="Hyperlink"/>
              </w:rPr>
              <w:t>Objective 4</w:t>
            </w:r>
            <w:r>
              <w:rPr>
                <w:webHidden/>
              </w:rPr>
              <w:tab/>
            </w:r>
            <w:r>
              <w:rPr>
                <w:webHidden/>
              </w:rPr>
              <w:fldChar w:fldCharType="begin"/>
            </w:r>
            <w:r>
              <w:rPr>
                <w:webHidden/>
              </w:rPr>
              <w:instrText xml:space="preserve"> PAGEREF _Toc185243965 \h </w:instrText>
            </w:r>
            <w:r>
              <w:rPr>
                <w:webHidden/>
              </w:rPr>
            </w:r>
            <w:r>
              <w:rPr>
                <w:webHidden/>
              </w:rPr>
              <w:fldChar w:fldCharType="separate"/>
            </w:r>
            <w:r w:rsidR="009C1315">
              <w:rPr>
                <w:webHidden/>
              </w:rPr>
              <w:t>13</w:t>
            </w:r>
            <w:r>
              <w:rPr>
                <w:webHidden/>
              </w:rPr>
              <w:fldChar w:fldCharType="end"/>
            </w:r>
          </w:hyperlink>
        </w:p>
        <w:p w14:paraId="3A977FAE" w14:textId="52881DA9" w:rsidR="003C6BCB" w:rsidRDefault="003C6BCB">
          <w:pPr>
            <w:pStyle w:val="TOC1"/>
            <w:rPr>
              <w:rFonts w:eastAsiaTheme="minorEastAsia"/>
              <w:b w:val="0"/>
              <w:kern w:val="2"/>
              <w:sz w:val="24"/>
              <w:szCs w:val="24"/>
              <w:lang w:eastAsia="en-AU"/>
              <w14:ligatures w14:val="standardContextual"/>
            </w:rPr>
          </w:pPr>
          <w:hyperlink w:anchor="_Toc185243966" w:history="1">
            <w:r w:rsidRPr="00642F2F">
              <w:rPr>
                <w:rStyle w:val="Hyperlink"/>
              </w:rPr>
              <w:t>Objective 5</w:t>
            </w:r>
            <w:r>
              <w:rPr>
                <w:webHidden/>
              </w:rPr>
              <w:tab/>
            </w:r>
            <w:r>
              <w:rPr>
                <w:webHidden/>
              </w:rPr>
              <w:fldChar w:fldCharType="begin"/>
            </w:r>
            <w:r>
              <w:rPr>
                <w:webHidden/>
              </w:rPr>
              <w:instrText xml:space="preserve"> PAGEREF _Toc185243966 \h </w:instrText>
            </w:r>
            <w:r>
              <w:rPr>
                <w:webHidden/>
              </w:rPr>
            </w:r>
            <w:r>
              <w:rPr>
                <w:webHidden/>
              </w:rPr>
              <w:fldChar w:fldCharType="separate"/>
            </w:r>
            <w:r w:rsidR="009C1315">
              <w:rPr>
                <w:webHidden/>
              </w:rPr>
              <w:t>14</w:t>
            </w:r>
            <w:r>
              <w:rPr>
                <w:webHidden/>
              </w:rPr>
              <w:fldChar w:fldCharType="end"/>
            </w:r>
          </w:hyperlink>
        </w:p>
        <w:p w14:paraId="610A0CFA" w14:textId="123732F6" w:rsidR="003C6BCB" w:rsidRDefault="003C6BCB">
          <w:pPr>
            <w:pStyle w:val="TOC1"/>
            <w:rPr>
              <w:rFonts w:eastAsiaTheme="minorEastAsia"/>
              <w:b w:val="0"/>
              <w:kern w:val="2"/>
              <w:sz w:val="24"/>
              <w:szCs w:val="24"/>
              <w:lang w:eastAsia="en-AU"/>
              <w14:ligatures w14:val="standardContextual"/>
            </w:rPr>
          </w:pPr>
          <w:hyperlink w:anchor="_Toc185243967" w:history="1">
            <w:r w:rsidRPr="00642F2F">
              <w:rPr>
                <w:rStyle w:val="Hyperlink"/>
              </w:rPr>
              <w:t>Glossary</w:t>
            </w:r>
            <w:r>
              <w:rPr>
                <w:webHidden/>
              </w:rPr>
              <w:tab/>
            </w:r>
            <w:r>
              <w:rPr>
                <w:webHidden/>
              </w:rPr>
              <w:fldChar w:fldCharType="begin"/>
            </w:r>
            <w:r>
              <w:rPr>
                <w:webHidden/>
              </w:rPr>
              <w:instrText xml:space="preserve"> PAGEREF _Toc185243967 \h </w:instrText>
            </w:r>
            <w:r>
              <w:rPr>
                <w:webHidden/>
              </w:rPr>
            </w:r>
            <w:r>
              <w:rPr>
                <w:webHidden/>
              </w:rPr>
              <w:fldChar w:fldCharType="separate"/>
            </w:r>
            <w:r w:rsidR="009C1315">
              <w:rPr>
                <w:webHidden/>
              </w:rPr>
              <w:t>15</w:t>
            </w:r>
            <w:r>
              <w:rPr>
                <w:webHidden/>
              </w:rPr>
              <w:fldChar w:fldCharType="end"/>
            </w:r>
          </w:hyperlink>
        </w:p>
        <w:p w14:paraId="3376345E" w14:textId="59A0B9B2" w:rsidR="00764D6A" w:rsidRPr="00CD6BC4" w:rsidRDefault="00E91D72" w:rsidP="004B3F30">
          <w:pPr>
            <w:pStyle w:val="TOC1"/>
            <w:rPr>
              <w:highlight w:val="green"/>
            </w:rPr>
          </w:pPr>
          <w:r w:rsidRPr="00CD6BC4">
            <w:rPr>
              <w:b w:val="0"/>
              <w:highlight w:val="green"/>
            </w:rPr>
            <w:fldChar w:fldCharType="end"/>
          </w:r>
        </w:p>
      </w:sdtContent>
    </w:sdt>
    <w:p w14:paraId="58C3CDB1" w14:textId="77777777" w:rsidR="00764D6A" w:rsidRPr="004E5FE6" w:rsidRDefault="00E91D72" w:rsidP="009622CD">
      <w:pPr>
        <w:pStyle w:val="TOCHeading2"/>
        <w:rPr>
          <w:rStyle w:val="Strong"/>
          <w:b/>
          <w:bCs w:val="0"/>
        </w:rPr>
      </w:pPr>
      <w:r w:rsidRPr="004E5FE6">
        <w:rPr>
          <w:rStyle w:val="Strong"/>
          <w:b/>
          <w:bCs w:val="0"/>
        </w:rPr>
        <w:t>Tables</w:t>
      </w:r>
    </w:p>
    <w:p w14:paraId="266EA917" w14:textId="7D3573D7" w:rsidR="003C6BCB" w:rsidRDefault="00E91D72">
      <w:pPr>
        <w:pStyle w:val="TableofFigures"/>
        <w:tabs>
          <w:tab w:val="right" w:leader="dot" w:pos="9060"/>
        </w:tabs>
        <w:rPr>
          <w:rFonts w:eastAsiaTheme="minorEastAsia"/>
          <w:noProof/>
          <w:kern w:val="2"/>
          <w:sz w:val="24"/>
          <w:szCs w:val="24"/>
          <w:lang w:eastAsia="en-AU"/>
          <w14:ligatures w14:val="standardContextual"/>
        </w:rPr>
      </w:pPr>
      <w:r w:rsidRPr="00CD6BC4">
        <w:rPr>
          <w:rStyle w:val="Hyperlink"/>
          <w:highlight w:val="green"/>
        </w:rPr>
        <w:fldChar w:fldCharType="begin"/>
      </w:r>
      <w:r w:rsidRPr="00CD6BC4">
        <w:rPr>
          <w:rStyle w:val="Hyperlink"/>
          <w:noProof/>
          <w:highlight w:val="green"/>
        </w:rPr>
        <w:instrText xml:space="preserve"> TOC \h \z \c "Table" </w:instrText>
      </w:r>
      <w:r w:rsidRPr="00CD6BC4">
        <w:rPr>
          <w:rStyle w:val="Hyperlink"/>
          <w:highlight w:val="green"/>
        </w:rPr>
        <w:fldChar w:fldCharType="separate"/>
      </w:r>
      <w:hyperlink w:anchor="_Toc185243968" w:history="1">
        <w:r w:rsidR="003C6BCB" w:rsidRPr="003D7FD8">
          <w:rPr>
            <w:rStyle w:val="Hyperlink"/>
            <w:noProof/>
          </w:rPr>
          <w:t>Table 1 Objective 1 projects</w:t>
        </w:r>
        <w:r w:rsidR="003C6BCB">
          <w:rPr>
            <w:noProof/>
            <w:webHidden/>
          </w:rPr>
          <w:tab/>
        </w:r>
        <w:r w:rsidR="003C6BCB">
          <w:rPr>
            <w:noProof/>
            <w:webHidden/>
          </w:rPr>
          <w:fldChar w:fldCharType="begin"/>
        </w:r>
        <w:r w:rsidR="003C6BCB">
          <w:rPr>
            <w:noProof/>
            <w:webHidden/>
          </w:rPr>
          <w:instrText xml:space="preserve"> PAGEREF _Toc185243968 \h </w:instrText>
        </w:r>
        <w:r w:rsidR="003C6BCB">
          <w:rPr>
            <w:noProof/>
            <w:webHidden/>
          </w:rPr>
        </w:r>
        <w:r w:rsidR="003C6BCB">
          <w:rPr>
            <w:noProof/>
            <w:webHidden/>
          </w:rPr>
          <w:fldChar w:fldCharType="separate"/>
        </w:r>
        <w:r w:rsidR="009C1315">
          <w:rPr>
            <w:noProof/>
            <w:webHidden/>
          </w:rPr>
          <w:t>5</w:t>
        </w:r>
        <w:r w:rsidR="003C6BCB">
          <w:rPr>
            <w:noProof/>
            <w:webHidden/>
          </w:rPr>
          <w:fldChar w:fldCharType="end"/>
        </w:r>
      </w:hyperlink>
    </w:p>
    <w:p w14:paraId="7E59AB7F" w14:textId="426C6EC1" w:rsidR="003C6BCB" w:rsidRDefault="003C6BCB">
      <w:pPr>
        <w:pStyle w:val="TableofFigures"/>
        <w:tabs>
          <w:tab w:val="right" w:leader="dot" w:pos="9060"/>
        </w:tabs>
        <w:rPr>
          <w:rFonts w:eastAsiaTheme="minorEastAsia"/>
          <w:noProof/>
          <w:kern w:val="2"/>
          <w:sz w:val="24"/>
          <w:szCs w:val="24"/>
          <w:lang w:eastAsia="en-AU"/>
          <w14:ligatures w14:val="standardContextual"/>
        </w:rPr>
      </w:pPr>
      <w:hyperlink w:anchor="_Toc185243969" w:history="1">
        <w:r w:rsidRPr="003D7FD8">
          <w:rPr>
            <w:rStyle w:val="Hyperlink"/>
            <w:noProof/>
          </w:rPr>
          <w:t>Table 2 Objective 2 projects</w:t>
        </w:r>
        <w:r>
          <w:rPr>
            <w:noProof/>
            <w:webHidden/>
          </w:rPr>
          <w:tab/>
        </w:r>
        <w:r>
          <w:rPr>
            <w:noProof/>
            <w:webHidden/>
          </w:rPr>
          <w:fldChar w:fldCharType="begin"/>
        </w:r>
        <w:r>
          <w:rPr>
            <w:noProof/>
            <w:webHidden/>
          </w:rPr>
          <w:instrText xml:space="preserve"> PAGEREF _Toc185243969 \h </w:instrText>
        </w:r>
        <w:r>
          <w:rPr>
            <w:noProof/>
            <w:webHidden/>
          </w:rPr>
        </w:r>
        <w:r>
          <w:rPr>
            <w:noProof/>
            <w:webHidden/>
          </w:rPr>
          <w:fldChar w:fldCharType="separate"/>
        </w:r>
        <w:r w:rsidR="009C1315">
          <w:rPr>
            <w:noProof/>
            <w:webHidden/>
          </w:rPr>
          <w:t>7</w:t>
        </w:r>
        <w:r>
          <w:rPr>
            <w:noProof/>
            <w:webHidden/>
          </w:rPr>
          <w:fldChar w:fldCharType="end"/>
        </w:r>
      </w:hyperlink>
    </w:p>
    <w:p w14:paraId="511526AA" w14:textId="732AEEDA" w:rsidR="003C6BCB" w:rsidRDefault="003C6BCB">
      <w:pPr>
        <w:pStyle w:val="TableofFigures"/>
        <w:tabs>
          <w:tab w:val="right" w:leader="dot" w:pos="9060"/>
        </w:tabs>
        <w:rPr>
          <w:rFonts w:eastAsiaTheme="minorEastAsia"/>
          <w:noProof/>
          <w:kern w:val="2"/>
          <w:sz w:val="24"/>
          <w:szCs w:val="24"/>
          <w:lang w:eastAsia="en-AU"/>
          <w14:ligatures w14:val="standardContextual"/>
        </w:rPr>
      </w:pPr>
      <w:hyperlink w:anchor="_Toc185243970" w:history="1">
        <w:r w:rsidRPr="003D7FD8">
          <w:rPr>
            <w:rStyle w:val="Hyperlink"/>
            <w:noProof/>
          </w:rPr>
          <w:t>Table 3 Objective 3 projects</w:t>
        </w:r>
        <w:r>
          <w:rPr>
            <w:noProof/>
            <w:webHidden/>
          </w:rPr>
          <w:tab/>
        </w:r>
        <w:r>
          <w:rPr>
            <w:noProof/>
            <w:webHidden/>
          </w:rPr>
          <w:fldChar w:fldCharType="begin"/>
        </w:r>
        <w:r>
          <w:rPr>
            <w:noProof/>
            <w:webHidden/>
          </w:rPr>
          <w:instrText xml:space="preserve"> PAGEREF _Toc185243970 \h </w:instrText>
        </w:r>
        <w:r>
          <w:rPr>
            <w:noProof/>
            <w:webHidden/>
          </w:rPr>
        </w:r>
        <w:r>
          <w:rPr>
            <w:noProof/>
            <w:webHidden/>
          </w:rPr>
          <w:fldChar w:fldCharType="separate"/>
        </w:r>
        <w:r w:rsidR="009C1315">
          <w:rPr>
            <w:noProof/>
            <w:webHidden/>
          </w:rPr>
          <w:t>9</w:t>
        </w:r>
        <w:r>
          <w:rPr>
            <w:noProof/>
            <w:webHidden/>
          </w:rPr>
          <w:fldChar w:fldCharType="end"/>
        </w:r>
      </w:hyperlink>
    </w:p>
    <w:p w14:paraId="33792798" w14:textId="72327B37" w:rsidR="003C6BCB" w:rsidRDefault="003C6BCB">
      <w:pPr>
        <w:pStyle w:val="TableofFigures"/>
        <w:tabs>
          <w:tab w:val="right" w:leader="dot" w:pos="9060"/>
        </w:tabs>
        <w:rPr>
          <w:rFonts w:eastAsiaTheme="minorEastAsia"/>
          <w:noProof/>
          <w:kern w:val="2"/>
          <w:sz w:val="24"/>
          <w:szCs w:val="24"/>
          <w:lang w:eastAsia="en-AU"/>
          <w14:ligatures w14:val="standardContextual"/>
        </w:rPr>
      </w:pPr>
      <w:hyperlink w:anchor="_Toc185243971" w:history="1">
        <w:r w:rsidRPr="003D7FD8">
          <w:rPr>
            <w:rStyle w:val="Hyperlink"/>
            <w:noProof/>
          </w:rPr>
          <w:t>Table 4 Objective 4 projects</w:t>
        </w:r>
        <w:r>
          <w:rPr>
            <w:noProof/>
            <w:webHidden/>
          </w:rPr>
          <w:tab/>
        </w:r>
        <w:r>
          <w:rPr>
            <w:noProof/>
            <w:webHidden/>
          </w:rPr>
          <w:fldChar w:fldCharType="begin"/>
        </w:r>
        <w:r>
          <w:rPr>
            <w:noProof/>
            <w:webHidden/>
          </w:rPr>
          <w:instrText xml:space="preserve"> PAGEREF _Toc185243971 \h </w:instrText>
        </w:r>
        <w:r>
          <w:rPr>
            <w:noProof/>
            <w:webHidden/>
          </w:rPr>
        </w:r>
        <w:r>
          <w:rPr>
            <w:noProof/>
            <w:webHidden/>
          </w:rPr>
          <w:fldChar w:fldCharType="separate"/>
        </w:r>
        <w:r w:rsidR="009C1315">
          <w:rPr>
            <w:noProof/>
            <w:webHidden/>
          </w:rPr>
          <w:t>13</w:t>
        </w:r>
        <w:r>
          <w:rPr>
            <w:noProof/>
            <w:webHidden/>
          </w:rPr>
          <w:fldChar w:fldCharType="end"/>
        </w:r>
      </w:hyperlink>
    </w:p>
    <w:p w14:paraId="773699E5" w14:textId="49F0B1E8" w:rsidR="00764D6A" w:rsidRPr="009622CD" w:rsidRDefault="00E91D72" w:rsidP="00450445">
      <w:pPr>
        <w:pStyle w:val="TableofFigures"/>
        <w:tabs>
          <w:tab w:val="right" w:leader="dot" w:pos="9060"/>
        </w:tabs>
        <w:rPr>
          <w:rStyle w:val="Strong"/>
          <w:b w:val="0"/>
          <w:bCs w:val="0"/>
        </w:rPr>
      </w:pPr>
      <w:r w:rsidRPr="00CD6BC4">
        <w:rPr>
          <w:noProof/>
          <w:highlight w:val="green"/>
        </w:rPr>
        <w:fldChar w:fldCharType="end"/>
      </w:r>
    </w:p>
    <w:p w14:paraId="22C51D51" w14:textId="7018FAFB" w:rsidR="00764D6A" w:rsidRDefault="00764D6A" w:rsidP="004631D2">
      <w:pPr>
        <w:pStyle w:val="Heading2"/>
        <w:numPr>
          <w:ilvl w:val="0"/>
          <w:numId w:val="0"/>
        </w:numPr>
        <w:sectPr w:rsidR="00764D6A" w:rsidSect="00CD6BC4">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418" w:header="567" w:footer="283" w:gutter="0"/>
          <w:pgNumType w:fmt="lowerRoman" w:start="1"/>
          <w:cols w:space="708"/>
          <w:titlePg/>
          <w:docGrid w:linePitch="360"/>
        </w:sectPr>
      </w:pPr>
    </w:p>
    <w:p w14:paraId="7F02667E" w14:textId="77777777" w:rsidR="00764D6A" w:rsidRDefault="00E91D72" w:rsidP="004631D2">
      <w:pPr>
        <w:pStyle w:val="Heading2"/>
        <w:numPr>
          <w:ilvl w:val="0"/>
          <w:numId w:val="0"/>
        </w:numPr>
      </w:pPr>
      <w:bookmarkStart w:id="0" w:name="_Toc430782150"/>
      <w:bookmarkStart w:id="1" w:name="_Toc183777448"/>
      <w:bookmarkStart w:id="2" w:name="_Toc185243961"/>
      <w:r w:rsidRPr="00DB71A3">
        <w:lastRenderedPageBreak/>
        <w:t>Introduction</w:t>
      </w:r>
      <w:bookmarkEnd w:id="0"/>
      <w:bookmarkEnd w:id="1"/>
      <w:bookmarkEnd w:id="2"/>
    </w:p>
    <w:p w14:paraId="26429310" w14:textId="1B6A199F" w:rsidR="006A314D" w:rsidRDefault="006A314D" w:rsidP="006A314D">
      <w:pPr>
        <w:rPr>
          <w:lang w:eastAsia="ja-JP"/>
        </w:rPr>
      </w:pPr>
      <w:r>
        <w:rPr>
          <w:lang w:eastAsia="ja-JP"/>
        </w:rPr>
        <w:t>The National Animal Health Diagnostics Business Plan 2021 to 2026</w:t>
      </w:r>
      <w:r w:rsidR="00CD6BC4">
        <w:rPr>
          <w:lang w:eastAsia="ja-JP"/>
        </w:rPr>
        <w:t xml:space="preserve"> (NAHDBP)</w:t>
      </w:r>
      <w:r>
        <w:rPr>
          <w:lang w:eastAsia="ja-JP"/>
        </w:rPr>
        <w:t xml:space="preserve"> </w:t>
      </w:r>
      <w:r w:rsidR="00B85677">
        <w:rPr>
          <w:lang w:eastAsia="ja-JP"/>
        </w:rPr>
        <w:t>aims</w:t>
      </w:r>
      <w:r>
        <w:rPr>
          <w:lang w:eastAsia="ja-JP"/>
        </w:rPr>
        <w:t xml:space="preserve"> to further develop and strengthen the animal health diagnostics component of Australia’s animal health system</w:t>
      </w:r>
      <w:r w:rsidR="00791ED3">
        <w:rPr>
          <w:lang w:eastAsia="ja-JP"/>
        </w:rPr>
        <w:t>.</w:t>
      </w:r>
      <w:r w:rsidR="00CD6BC4">
        <w:rPr>
          <w:lang w:eastAsia="ja-JP"/>
        </w:rPr>
        <w:t xml:space="preserve"> </w:t>
      </w:r>
      <w:r w:rsidR="00791ED3">
        <w:rPr>
          <w:lang w:eastAsia="ja-JP"/>
        </w:rPr>
        <w:t>A</w:t>
      </w:r>
      <w:r>
        <w:rPr>
          <w:lang w:eastAsia="ja-JP"/>
        </w:rPr>
        <w:t xml:space="preserve">nimal health professionals and diagnostic experts from governments, private laboratories and the </w:t>
      </w:r>
      <w:r w:rsidRPr="001E6AE2">
        <w:rPr>
          <w:lang w:eastAsia="ja-JP"/>
        </w:rPr>
        <w:t>university sector</w:t>
      </w:r>
      <w:r w:rsidR="00791ED3">
        <w:rPr>
          <w:lang w:eastAsia="ja-JP"/>
        </w:rPr>
        <w:t xml:space="preserve"> collaborated to develop the NAHDBP.</w:t>
      </w:r>
    </w:p>
    <w:p w14:paraId="63108EF9" w14:textId="6AFEE28D" w:rsidR="006A314D" w:rsidRDefault="006A314D" w:rsidP="006A314D">
      <w:pPr>
        <w:rPr>
          <w:lang w:eastAsia="ja-JP"/>
        </w:rPr>
      </w:pPr>
      <w:r>
        <w:rPr>
          <w:lang w:eastAsia="ja-JP"/>
        </w:rPr>
        <w:t xml:space="preserve">The NAHDBP </w:t>
      </w:r>
      <w:r w:rsidR="00791ED3">
        <w:rPr>
          <w:lang w:eastAsia="ja-JP"/>
        </w:rPr>
        <w:t>guides</w:t>
      </w:r>
      <w:r>
        <w:rPr>
          <w:lang w:eastAsia="ja-JP"/>
        </w:rPr>
        <w:t xml:space="preserve"> the efficient and effective delivery of nationally coordinated activities to maintain and continually improve our national diagnostic capability and capacity. </w:t>
      </w:r>
      <w:r w:rsidR="00791ED3">
        <w:rPr>
          <w:lang w:eastAsia="ja-JP"/>
        </w:rPr>
        <w:t>It is</w:t>
      </w:r>
      <w:r>
        <w:rPr>
          <w:lang w:eastAsia="ja-JP"/>
        </w:rPr>
        <w:t xml:space="preserve"> consistent with nationally agreed principles and objectives for biosecurity as defined under </w:t>
      </w:r>
      <w:hyperlink r:id="rId20" w:anchor="reducing-impediments-to-maintaining-and-growing-market-access" w:history="1">
        <w:r w:rsidRPr="00397BFB">
          <w:rPr>
            <w:rStyle w:val="Hyperlink"/>
            <w:lang w:eastAsia="ja-JP"/>
          </w:rPr>
          <w:t>Australia’s Intergovernmental Agreement on Biosecurity</w:t>
        </w:r>
      </w:hyperlink>
      <w:r w:rsidR="009145D6" w:rsidRPr="001E6AE2">
        <w:rPr>
          <w:lang w:eastAsia="ja-JP"/>
        </w:rPr>
        <w:t xml:space="preserve"> </w:t>
      </w:r>
      <w:r w:rsidRPr="001E6AE2">
        <w:rPr>
          <w:lang w:eastAsia="ja-JP"/>
        </w:rPr>
        <w:t>and</w:t>
      </w:r>
      <w:r w:rsidR="001E6AE2">
        <w:rPr>
          <w:lang w:eastAsia="ja-JP"/>
        </w:rPr>
        <w:t>,</w:t>
      </w:r>
      <w:r w:rsidRPr="001E6AE2">
        <w:rPr>
          <w:lang w:eastAsia="ja-JP"/>
        </w:rPr>
        <w:t xml:space="preserve"> importantly</w:t>
      </w:r>
      <w:r w:rsidR="001E6AE2">
        <w:rPr>
          <w:lang w:eastAsia="ja-JP"/>
        </w:rPr>
        <w:t>,</w:t>
      </w:r>
      <w:r w:rsidRPr="001E6AE2">
        <w:rPr>
          <w:lang w:eastAsia="ja-JP"/>
        </w:rPr>
        <w:t xml:space="preserve"> it complements </w:t>
      </w:r>
      <w:r w:rsidR="00397BFB">
        <w:rPr>
          <w:lang w:eastAsia="ja-JP"/>
        </w:rPr>
        <w:t xml:space="preserve">the </w:t>
      </w:r>
      <w:hyperlink r:id="rId21" w:history="1">
        <w:r w:rsidRPr="001E6AE2">
          <w:rPr>
            <w:rStyle w:val="Hyperlink"/>
            <w:lang w:eastAsia="ja-JP"/>
          </w:rPr>
          <w:t>Animalplan 2022 to 2027</w:t>
        </w:r>
      </w:hyperlink>
      <w:r w:rsidRPr="001E6AE2">
        <w:rPr>
          <w:lang w:eastAsia="ja-JP"/>
        </w:rPr>
        <w:t>.</w:t>
      </w:r>
    </w:p>
    <w:p w14:paraId="44F5C55F" w14:textId="49220E11" w:rsidR="00547331" w:rsidRDefault="006A314D">
      <w:pPr>
        <w:rPr>
          <w:lang w:eastAsia="ja-JP"/>
        </w:rPr>
      </w:pPr>
      <w:r>
        <w:rPr>
          <w:lang w:eastAsia="ja-JP"/>
        </w:rPr>
        <w:t>Responsibility for implementing elements within the NAHDBP resides with the Subcommittee on Animal Health Laboratory Standards (SCAHLS), with guidance and oversight from the Animal Health Committee (AHC), support from livestock industries through Animal Health Australia</w:t>
      </w:r>
      <w:r w:rsidR="009145D6">
        <w:rPr>
          <w:lang w:eastAsia="ja-JP"/>
        </w:rPr>
        <w:t xml:space="preserve"> </w:t>
      </w:r>
      <w:r>
        <w:rPr>
          <w:lang w:eastAsia="ja-JP"/>
        </w:rPr>
        <w:t>and funding identified through various sources</w:t>
      </w:r>
      <w:r w:rsidR="00547331">
        <w:rPr>
          <w:lang w:eastAsia="ja-JP"/>
        </w:rPr>
        <w:t>.</w:t>
      </w:r>
    </w:p>
    <w:p w14:paraId="6242950E" w14:textId="6E5DCA91" w:rsidR="00CB721C" w:rsidRDefault="00CB721C">
      <w:pPr>
        <w:rPr>
          <w:lang w:eastAsia="ja-JP"/>
        </w:rPr>
      </w:pPr>
      <w:r w:rsidRPr="00CB721C">
        <w:rPr>
          <w:lang w:eastAsia="ja-JP"/>
        </w:rPr>
        <w:t xml:space="preserve">This report </w:t>
      </w:r>
      <w:r>
        <w:rPr>
          <w:lang w:eastAsia="ja-JP"/>
        </w:rPr>
        <w:t>provides</w:t>
      </w:r>
      <w:r w:rsidRPr="00CB721C">
        <w:rPr>
          <w:lang w:eastAsia="ja-JP"/>
        </w:rPr>
        <w:t xml:space="preserve"> an </w:t>
      </w:r>
      <w:r w:rsidRPr="00397BFB">
        <w:rPr>
          <w:lang w:eastAsia="ja-JP"/>
        </w:rPr>
        <w:t>overview o</w:t>
      </w:r>
      <w:r w:rsidR="00397BFB" w:rsidRPr="0024566C">
        <w:rPr>
          <w:lang w:eastAsia="ja-JP"/>
        </w:rPr>
        <w:t>n</w:t>
      </w:r>
      <w:r w:rsidRPr="00397BFB">
        <w:rPr>
          <w:lang w:eastAsia="ja-JP"/>
        </w:rPr>
        <w:t xml:space="preserve"> the progress of </w:t>
      </w:r>
      <w:r w:rsidR="00397BFB" w:rsidRPr="0024566C">
        <w:rPr>
          <w:lang w:eastAsia="ja-JP"/>
        </w:rPr>
        <w:t xml:space="preserve">each </w:t>
      </w:r>
      <w:r w:rsidRPr="00397BFB">
        <w:rPr>
          <w:lang w:eastAsia="ja-JP"/>
        </w:rPr>
        <w:t>project linked</w:t>
      </w:r>
      <w:r w:rsidRPr="00CB721C">
        <w:rPr>
          <w:lang w:eastAsia="ja-JP"/>
        </w:rPr>
        <w:t xml:space="preserve"> to </w:t>
      </w:r>
      <w:r w:rsidR="00397BFB">
        <w:rPr>
          <w:lang w:eastAsia="ja-JP"/>
        </w:rPr>
        <w:t>a</w:t>
      </w:r>
      <w:r w:rsidRPr="00CB721C">
        <w:rPr>
          <w:lang w:eastAsia="ja-JP"/>
        </w:rPr>
        <w:t xml:space="preserve"> NAHDBP objective. It summari</w:t>
      </w:r>
      <w:r w:rsidR="00176E94">
        <w:rPr>
          <w:lang w:eastAsia="ja-JP"/>
        </w:rPr>
        <w:t>s</w:t>
      </w:r>
      <w:r w:rsidRPr="00CB721C">
        <w:rPr>
          <w:lang w:eastAsia="ja-JP"/>
        </w:rPr>
        <w:t xml:space="preserve">es the project activities supported by the </w:t>
      </w:r>
      <w:r w:rsidR="00B85677">
        <w:rPr>
          <w:lang w:eastAsia="ja-JP"/>
        </w:rPr>
        <w:t>d</w:t>
      </w:r>
      <w:r w:rsidRPr="00CB721C">
        <w:rPr>
          <w:lang w:eastAsia="ja-JP"/>
        </w:rPr>
        <w:t>epartment. However, it does not cover all activities conducted under the NAHDBP from 2021 to 2026</w:t>
      </w:r>
      <w:r>
        <w:rPr>
          <w:lang w:eastAsia="ja-JP"/>
        </w:rPr>
        <w:t>.</w:t>
      </w:r>
      <w:r w:rsidR="00181F15">
        <w:rPr>
          <w:lang w:eastAsia="ja-JP"/>
        </w:rPr>
        <w:t xml:space="preserve"> Future </w:t>
      </w:r>
      <w:r w:rsidR="003F407D">
        <w:rPr>
          <w:lang w:eastAsia="ja-JP"/>
        </w:rPr>
        <w:t>reports</w:t>
      </w:r>
      <w:r w:rsidR="00181F15">
        <w:rPr>
          <w:lang w:eastAsia="ja-JP"/>
        </w:rPr>
        <w:t xml:space="preserve"> may </w:t>
      </w:r>
      <w:r w:rsidR="00244FFE">
        <w:rPr>
          <w:lang w:eastAsia="ja-JP"/>
        </w:rPr>
        <w:t>include activities</w:t>
      </w:r>
      <w:r w:rsidR="003F407D">
        <w:rPr>
          <w:lang w:eastAsia="ja-JP"/>
        </w:rPr>
        <w:t xml:space="preserve"> across additional stakeholder groups.</w:t>
      </w:r>
    </w:p>
    <w:p w14:paraId="32F09FAD" w14:textId="3A1C27A7" w:rsidR="002F6243" w:rsidRDefault="00547331" w:rsidP="002F6243">
      <w:pPr>
        <w:rPr>
          <w:lang w:eastAsia="ja-JP"/>
        </w:rPr>
        <w:sectPr w:rsidR="002F6243" w:rsidSect="00876840">
          <w:pgSz w:w="11906" w:h="16838"/>
          <w:pgMar w:top="1418" w:right="1418" w:bottom="1418" w:left="1418" w:header="567" w:footer="283" w:gutter="0"/>
          <w:cols w:space="708"/>
          <w:docGrid w:linePitch="360"/>
        </w:sectPr>
      </w:pPr>
      <w:r w:rsidRPr="00EF4F11">
        <w:rPr>
          <w:lang w:eastAsia="ja-JP"/>
        </w:rPr>
        <w:t xml:space="preserve">For further information </w:t>
      </w:r>
      <w:r w:rsidR="00EC1FF1">
        <w:rPr>
          <w:lang w:eastAsia="ja-JP"/>
        </w:rPr>
        <w:t>on</w:t>
      </w:r>
      <w:r w:rsidRPr="00EF4F11">
        <w:rPr>
          <w:lang w:eastAsia="ja-JP"/>
        </w:rPr>
        <w:t xml:space="preserve"> the listed projects, </w:t>
      </w:r>
      <w:r w:rsidR="00B85677">
        <w:rPr>
          <w:lang w:eastAsia="ja-JP"/>
        </w:rPr>
        <w:t>email</w:t>
      </w:r>
      <w:r w:rsidRPr="00EF4F11">
        <w:rPr>
          <w:lang w:eastAsia="ja-JP"/>
        </w:rPr>
        <w:t xml:space="preserve"> </w:t>
      </w:r>
      <w:hyperlink r:id="rId22" w:history="1">
        <w:r w:rsidRPr="00EF4F11">
          <w:rPr>
            <w:rStyle w:val="Hyperlink"/>
            <w:lang w:eastAsia="ja-JP"/>
          </w:rPr>
          <w:t>animalhealthlaboratories@aff.gov.au</w:t>
        </w:r>
      </w:hyperlink>
      <w:r w:rsidRPr="00EF4F11">
        <w:rPr>
          <w:lang w:eastAsia="ja-JP"/>
        </w:rPr>
        <w:t>.</w:t>
      </w:r>
      <w:bookmarkStart w:id="3" w:name="_Toc183777449"/>
    </w:p>
    <w:p w14:paraId="24F62DC9" w14:textId="77777777" w:rsidR="00F751C8" w:rsidRDefault="00BF2208" w:rsidP="003F407D">
      <w:pPr>
        <w:pStyle w:val="Heading2"/>
        <w:pageBreakBefore w:val="0"/>
        <w:numPr>
          <w:ilvl w:val="0"/>
          <w:numId w:val="0"/>
        </w:numPr>
        <w:ind w:left="720" w:hanging="720"/>
      </w:pPr>
      <w:bookmarkStart w:id="4" w:name="_Toc185243962"/>
      <w:bookmarkEnd w:id="3"/>
      <w:r w:rsidRPr="00FC2DD4">
        <w:t>Objective 1</w:t>
      </w:r>
      <w:bookmarkEnd w:id="4"/>
    </w:p>
    <w:p w14:paraId="733901AE" w14:textId="0ECF35FE" w:rsidR="001C7FCB" w:rsidRPr="00F751C8" w:rsidRDefault="000405B1" w:rsidP="003F407D">
      <w:bookmarkStart w:id="5" w:name="_Toc183777450"/>
      <w:r w:rsidRPr="00F751C8">
        <w:t>T</w:t>
      </w:r>
      <w:r w:rsidR="00BF2208" w:rsidRPr="00F751C8">
        <w:t xml:space="preserve">o enable </w:t>
      </w:r>
      <w:r w:rsidR="0028169A" w:rsidRPr="00F751C8">
        <w:t>high-</w:t>
      </w:r>
      <w:r w:rsidR="00E10A2A" w:rsidRPr="00F751C8">
        <w:t>throughput</w:t>
      </w:r>
      <w:r w:rsidR="0028169A" w:rsidRPr="00F751C8">
        <w:t xml:space="preserve"> </w:t>
      </w:r>
      <w:r w:rsidR="00E10A2A" w:rsidRPr="00F751C8">
        <w:t xml:space="preserve">sequencing </w:t>
      </w:r>
      <w:r w:rsidR="007F5332" w:rsidRPr="00F751C8">
        <w:t xml:space="preserve">(HTS) </w:t>
      </w:r>
      <w:r w:rsidR="00BF2208" w:rsidRPr="00F751C8">
        <w:t xml:space="preserve">usage and the application of </w:t>
      </w:r>
      <w:r w:rsidR="007F5332" w:rsidRPr="00F751C8">
        <w:t xml:space="preserve">HTS </w:t>
      </w:r>
      <w:r w:rsidR="00BF2208" w:rsidRPr="00F751C8">
        <w:t>data to enhance animal disease investigations</w:t>
      </w:r>
      <w:bookmarkEnd w:id="5"/>
      <w:r w:rsidR="00F751C8">
        <w:t>.</w:t>
      </w:r>
    </w:p>
    <w:p w14:paraId="0F866ED3" w14:textId="3CFDD696" w:rsidR="00471DDF" w:rsidRDefault="00471DDF" w:rsidP="00BF2208">
      <w:pPr>
        <w:pStyle w:val="Caption"/>
      </w:pPr>
      <w:bookmarkStart w:id="6" w:name="_Toc185243968"/>
      <w:r>
        <w:t xml:space="preserve">Table </w:t>
      </w:r>
      <w:r>
        <w:fldChar w:fldCharType="begin"/>
      </w:r>
      <w:r>
        <w:instrText xml:space="preserve"> SEQ Table \* ARABIC </w:instrText>
      </w:r>
      <w:r>
        <w:fldChar w:fldCharType="separate"/>
      </w:r>
      <w:r w:rsidR="009C1315">
        <w:rPr>
          <w:noProof/>
        </w:rPr>
        <w:t>1</w:t>
      </w:r>
      <w:r>
        <w:fldChar w:fldCharType="end"/>
      </w:r>
      <w:r>
        <w:t xml:space="preserve"> </w:t>
      </w:r>
      <w:r w:rsidR="00F751C8">
        <w:t>Objective 1 p</w:t>
      </w:r>
      <w:r w:rsidR="001C7FCB">
        <w:t>rojects</w:t>
      </w:r>
      <w:bookmarkEnd w:id="6"/>
    </w:p>
    <w:tbl>
      <w:tblPr>
        <w:tblW w:w="5000" w:type="pct"/>
        <w:tblBorders>
          <w:top w:val="single" w:sz="4" w:space="0" w:color="auto"/>
          <w:bottom w:val="single" w:sz="4" w:space="0" w:color="auto"/>
          <w:insideH w:val="single" w:sz="4" w:space="0" w:color="auto"/>
        </w:tblBorders>
        <w:tblLayout w:type="fixed"/>
        <w:tblCellMar>
          <w:left w:w="40" w:type="dxa"/>
          <w:right w:w="40" w:type="dxa"/>
        </w:tblCellMar>
        <w:tblLook w:val="0000" w:firstRow="0" w:lastRow="0" w:firstColumn="0" w:lastColumn="0" w:noHBand="0" w:noVBand="0"/>
      </w:tblPr>
      <w:tblGrid>
        <w:gridCol w:w="2286"/>
        <w:gridCol w:w="1543"/>
        <w:gridCol w:w="3685"/>
        <w:gridCol w:w="991"/>
        <w:gridCol w:w="2694"/>
        <w:gridCol w:w="2803"/>
      </w:tblGrid>
      <w:tr w:rsidR="00E31589" w:rsidRPr="009A501D" w14:paraId="5CE0FC0D" w14:textId="77777777" w:rsidTr="003F407D">
        <w:trPr>
          <w:cantSplit/>
          <w:tblHeader/>
        </w:trPr>
        <w:tc>
          <w:tcPr>
            <w:tcW w:w="816" w:type="pct"/>
            <w:tcMar>
              <w:left w:w="108" w:type="dxa"/>
              <w:right w:w="108" w:type="dxa"/>
            </w:tcMar>
          </w:tcPr>
          <w:p w14:paraId="071F0727" w14:textId="58EC228B" w:rsidR="00942744" w:rsidRPr="009A501D" w:rsidRDefault="00942744" w:rsidP="00364387">
            <w:pPr>
              <w:pStyle w:val="TableHeading"/>
            </w:pPr>
            <w:bookmarkStart w:id="7" w:name="Title_1"/>
            <w:bookmarkEnd w:id="7"/>
            <w:r>
              <w:t>Project title</w:t>
            </w:r>
          </w:p>
        </w:tc>
        <w:tc>
          <w:tcPr>
            <w:tcW w:w="551" w:type="pct"/>
            <w:tcMar>
              <w:left w:w="108" w:type="dxa"/>
              <w:right w:w="108" w:type="dxa"/>
            </w:tcMar>
          </w:tcPr>
          <w:p w14:paraId="4C620DBA" w14:textId="7C5409C5" w:rsidR="00942744" w:rsidRPr="009A501D" w:rsidRDefault="00942744" w:rsidP="00364387">
            <w:pPr>
              <w:pStyle w:val="TableHeading"/>
            </w:pPr>
            <w:r>
              <w:t>Lead and key collaborators</w:t>
            </w:r>
          </w:p>
        </w:tc>
        <w:tc>
          <w:tcPr>
            <w:tcW w:w="1316" w:type="pct"/>
            <w:tcMar>
              <w:left w:w="108" w:type="dxa"/>
              <w:right w:w="108" w:type="dxa"/>
            </w:tcMar>
          </w:tcPr>
          <w:p w14:paraId="14EFEC70" w14:textId="2984B31B" w:rsidR="00942744" w:rsidRPr="009A501D" w:rsidRDefault="00942744" w:rsidP="00364387">
            <w:pPr>
              <w:pStyle w:val="TableHeading"/>
            </w:pPr>
            <w:r>
              <w:t>Description</w:t>
            </w:r>
          </w:p>
        </w:tc>
        <w:tc>
          <w:tcPr>
            <w:tcW w:w="354" w:type="pct"/>
            <w:tcMar>
              <w:left w:w="108" w:type="dxa"/>
              <w:right w:w="108" w:type="dxa"/>
            </w:tcMar>
          </w:tcPr>
          <w:p w14:paraId="534E4CB1" w14:textId="10B28D13" w:rsidR="00942744" w:rsidRPr="009A501D" w:rsidRDefault="00942744" w:rsidP="00364387">
            <w:pPr>
              <w:pStyle w:val="TableHeading"/>
            </w:pPr>
            <w:r>
              <w:t>Status</w:t>
            </w:r>
          </w:p>
        </w:tc>
        <w:tc>
          <w:tcPr>
            <w:tcW w:w="962" w:type="pct"/>
            <w:tcMar>
              <w:left w:w="108" w:type="dxa"/>
              <w:right w:w="108" w:type="dxa"/>
            </w:tcMar>
          </w:tcPr>
          <w:p w14:paraId="7DE1117E" w14:textId="612EBC43" w:rsidR="00942744" w:rsidRPr="009A501D" w:rsidRDefault="00942744" w:rsidP="00364387">
            <w:pPr>
              <w:pStyle w:val="TableHeading"/>
            </w:pPr>
            <w:r>
              <w:t>Progress update</w:t>
            </w:r>
          </w:p>
        </w:tc>
        <w:tc>
          <w:tcPr>
            <w:tcW w:w="1001" w:type="pct"/>
            <w:tcMar>
              <w:left w:w="108" w:type="dxa"/>
              <w:right w:w="108" w:type="dxa"/>
            </w:tcMar>
          </w:tcPr>
          <w:p w14:paraId="3E68FDE4" w14:textId="6AABC707" w:rsidR="00942744" w:rsidRPr="009A501D" w:rsidRDefault="00942744" w:rsidP="00364387">
            <w:pPr>
              <w:pStyle w:val="TableHeading"/>
            </w:pPr>
            <w:r>
              <w:t>Next steps</w:t>
            </w:r>
          </w:p>
        </w:tc>
      </w:tr>
      <w:tr w:rsidR="00E31589" w:rsidRPr="009A501D" w14:paraId="17B4B1EF" w14:textId="77777777" w:rsidTr="003F407D">
        <w:trPr>
          <w:cantSplit/>
        </w:trPr>
        <w:tc>
          <w:tcPr>
            <w:tcW w:w="816" w:type="pct"/>
            <w:tcMar>
              <w:left w:w="108" w:type="dxa"/>
              <w:right w:w="108" w:type="dxa"/>
            </w:tcMar>
          </w:tcPr>
          <w:p w14:paraId="3E3271F6" w14:textId="7C431782" w:rsidR="00364387" w:rsidRPr="009A501D" w:rsidRDefault="00364387" w:rsidP="00364387">
            <w:pPr>
              <w:pStyle w:val="TableText"/>
            </w:pPr>
            <w:r w:rsidRPr="00341FDB">
              <w:t>Australian Biosecurity Genomic Database</w:t>
            </w:r>
            <w:r w:rsidR="00105A05">
              <w:t xml:space="preserve"> </w:t>
            </w:r>
            <w:r w:rsidR="000521D2">
              <w:t xml:space="preserve">(ABGD) </w:t>
            </w:r>
            <w:r w:rsidRPr="00341FDB">
              <w:t>for notifiable terrestrial animal viruses</w:t>
            </w:r>
            <w:r w:rsidR="00D34AFA">
              <w:t>: Phase 1</w:t>
            </w:r>
          </w:p>
        </w:tc>
        <w:tc>
          <w:tcPr>
            <w:tcW w:w="551" w:type="pct"/>
            <w:tcMar>
              <w:left w:w="108" w:type="dxa"/>
              <w:right w:w="108" w:type="dxa"/>
            </w:tcMar>
          </w:tcPr>
          <w:p w14:paraId="29DE1596" w14:textId="68F43A7F" w:rsidR="00364387" w:rsidRDefault="00D62CD2" w:rsidP="003F407D">
            <w:pPr>
              <w:pStyle w:val="TableBullet"/>
            </w:pPr>
            <w:r>
              <w:t>AgriBio</w:t>
            </w:r>
            <w:r w:rsidR="003B7424">
              <w:t xml:space="preserve"> (Victoria)</w:t>
            </w:r>
          </w:p>
          <w:p w14:paraId="304AD225" w14:textId="36DD4B33" w:rsidR="00D62CD2" w:rsidRPr="009A501D" w:rsidRDefault="00DE0804" w:rsidP="003F407D">
            <w:pPr>
              <w:pStyle w:val="TableBullet"/>
            </w:pPr>
            <w:r>
              <w:t>Department of Agriculture, Fisheries and Forestry (</w:t>
            </w:r>
            <w:r w:rsidR="00D62CD2">
              <w:t>DAFF</w:t>
            </w:r>
            <w:r>
              <w:t>)</w:t>
            </w:r>
          </w:p>
        </w:tc>
        <w:tc>
          <w:tcPr>
            <w:tcW w:w="1316" w:type="pct"/>
            <w:tcMar>
              <w:left w:w="108" w:type="dxa"/>
              <w:right w:w="108" w:type="dxa"/>
            </w:tcMar>
          </w:tcPr>
          <w:p w14:paraId="7F17AB26" w14:textId="3C25EAB3" w:rsidR="00364387" w:rsidRPr="009A501D" w:rsidRDefault="00D62CD2" w:rsidP="00364387">
            <w:pPr>
              <w:pStyle w:val="TableText"/>
            </w:pPr>
            <w:r w:rsidRPr="00D62CD2">
              <w:t>This project develop</w:t>
            </w:r>
            <w:r>
              <w:t>ed</w:t>
            </w:r>
            <w:r w:rsidRPr="00D62CD2">
              <w:t xml:space="preserve"> a </w:t>
            </w:r>
            <w:r w:rsidR="001C7FCB">
              <w:t xml:space="preserve">verified </w:t>
            </w:r>
            <w:r w:rsidRPr="00D62CD2">
              <w:t xml:space="preserve">genomic database of notifiable terrestrial animal disease viruses in Australia to facilitate a more robust and efficient application of </w:t>
            </w:r>
            <w:r w:rsidR="007F5332">
              <w:t>HTS</w:t>
            </w:r>
            <w:r w:rsidRPr="00D62CD2">
              <w:t xml:space="preserve"> for Australian biosecurity surveillance and disease detection</w:t>
            </w:r>
            <w:r w:rsidR="00AD6C4E">
              <w:t>.</w:t>
            </w:r>
          </w:p>
        </w:tc>
        <w:tc>
          <w:tcPr>
            <w:tcW w:w="354" w:type="pct"/>
            <w:tcMar>
              <w:left w:w="108" w:type="dxa"/>
              <w:right w:w="108" w:type="dxa"/>
            </w:tcMar>
          </w:tcPr>
          <w:p w14:paraId="4A0DBE59" w14:textId="6AD3D124" w:rsidR="00364387" w:rsidRPr="009A501D" w:rsidRDefault="00364387" w:rsidP="00364387">
            <w:pPr>
              <w:pStyle w:val="TableText"/>
            </w:pPr>
            <w:r w:rsidRPr="00341FDB">
              <w:t>Complete</w:t>
            </w:r>
          </w:p>
        </w:tc>
        <w:tc>
          <w:tcPr>
            <w:tcW w:w="962" w:type="pct"/>
            <w:tcMar>
              <w:left w:w="108" w:type="dxa"/>
              <w:right w:w="108" w:type="dxa"/>
            </w:tcMar>
          </w:tcPr>
          <w:p w14:paraId="0C4C4BC1" w14:textId="5B57F1CD" w:rsidR="00364387" w:rsidRPr="009A501D" w:rsidRDefault="00364387" w:rsidP="00364387">
            <w:pPr>
              <w:pStyle w:val="TableText"/>
            </w:pPr>
            <w:r w:rsidRPr="00341FDB">
              <w:t>Nil</w:t>
            </w:r>
          </w:p>
        </w:tc>
        <w:tc>
          <w:tcPr>
            <w:tcW w:w="1001" w:type="pct"/>
            <w:tcMar>
              <w:left w:w="108" w:type="dxa"/>
              <w:right w:w="108" w:type="dxa"/>
            </w:tcMar>
          </w:tcPr>
          <w:p w14:paraId="6602E269" w14:textId="65DFAE3E" w:rsidR="00364387" w:rsidRPr="009A501D" w:rsidRDefault="00364387" w:rsidP="00364387">
            <w:pPr>
              <w:pStyle w:val="TableText"/>
            </w:pPr>
            <w:r w:rsidRPr="00341FDB">
              <w:t>Nil</w:t>
            </w:r>
          </w:p>
        </w:tc>
      </w:tr>
      <w:tr w:rsidR="00DE0804" w:rsidRPr="009A501D" w14:paraId="085987BD" w14:textId="77777777" w:rsidTr="003F407D">
        <w:trPr>
          <w:cantSplit/>
        </w:trPr>
        <w:tc>
          <w:tcPr>
            <w:tcW w:w="816" w:type="pct"/>
            <w:tcMar>
              <w:left w:w="108" w:type="dxa"/>
              <w:right w:w="108" w:type="dxa"/>
            </w:tcMar>
          </w:tcPr>
          <w:p w14:paraId="212A8A01" w14:textId="2142BBB9" w:rsidR="00DE0804" w:rsidRPr="00341FDB" w:rsidRDefault="00D34AFA" w:rsidP="00364387">
            <w:pPr>
              <w:pStyle w:val="TableText"/>
            </w:pPr>
            <w:r>
              <w:t>ABGD for notifiable animal pathogens: Phase 2</w:t>
            </w:r>
          </w:p>
        </w:tc>
        <w:tc>
          <w:tcPr>
            <w:tcW w:w="551" w:type="pct"/>
            <w:tcMar>
              <w:left w:w="108" w:type="dxa"/>
              <w:right w:w="108" w:type="dxa"/>
            </w:tcMar>
          </w:tcPr>
          <w:p w14:paraId="7E03870A" w14:textId="77777777" w:rsidR="00DE0804" w:rsidRDefault="00DE0804" w:rsidP="00DE0804">
            <w:pPr>
              <w:pStyle w:val="TableBullet"/>
            </w:pPr>
            <w:r>
              <w:t>AgriBio (Victoria)</w:t>
            </w:r>
          </w:p>
          <w:p w14:paraId="77FD086D" w14:textId="68608F7B" w:rsidR="00DE0804" w:rsidRDefault="00DE0804" w:rsidP="00DE0804">
            <w:pPr>
              <w:pStyle w:val="TableBullet"/>
            </w:pPr>
            <w:r>
              <w:t>DAFF</w:t>
            </w:r>
          </w:p>
        </w:tc>
        <w:tc>
          <w:tcPr>
            <w:tcW w:w="1316" w:type="pct"/>
            <w:tcMar>
              <w:left w:w="108" w:type="dxa"/>
              <w:right w:w="108" w:type="dxa"/>
            </w:tcMar>
          </w:tcPr>
          <w:p w14:paraId="4139230D" w14:textId="578312C9" w:rsidR="00DE0804" w:rsidRPr="00D62CD2" w:rsidRDefault="00537286" w:rsidP="00364387">
            <w:pPr>
              <w:pStyle w:val="TableText"/>
            </w:pPr>
            <w:r w:rsidRPr="00537286">
              <w:t>This project buil</w:t>
            </w:r>
            <w:r>
              <w:t>t upon ABGD Phase 1 by expanding the database to include</w:t>
            </w:r>
            <w:r w:rsidR="00D34AFA" w:rsidRPr="00D34AFA">
              <w:t xml:space="preserve"> </w:t>
            </w:r>
            <w:r w:rsidR="00CF20A8">
              <w:t>verified</w:t>
            </w:r>
            <w:r w:rsidR="00CF20A8" w:rsidRPr="00D34AFA">
              <w:t xml:space="preserve"> </w:t>
            </w:r>
            <w:r w:rsidR="00D34AFA" w:rsidRPr="00D34AFA">
              <w:t xml:space="preserve">sequences </w:t>
            </w:r>
            <w:r w:rsidR="005E6651">
              <w:t>from</w:t>
            </w:r>
            <w:r w:rsidR="00D34AFA" w:rsidRPr="00D34AFA">
              <w:t xml:space="preserve"> viruses associated </w:t>
            </w:r>
            <w:r w:rsidR="00CE77CE">
              <w:t xml:space="preserve">with </w:t>
            </w:r>
            <w:r w:rsidR="00CE77CE" w:rsidRPr="00CE77CE">
              <w:t xml:space="preserve">Australia's </w:t>
            </w:r>
            <w:r w:rsidR="00CE77CE">
              <w:t>n</w:t>
            </w:r>
            <w:r w:rsidR="00CE77CE" w:rsidRPr="00CE77CE">
              <w:t xml:space="preserve">ational </w:t>
            </w:r>
            <w:r w:rsidR="00CE77CE">
              <w:t>l</w:t>
            </w:r>
            <w:r w:rsidR="00CE77CE" w:rsidRPr="00CE77CE">
              <w:t xml:space="preserve">ist of </w:t>
            </w:r>
            <w:r w:rsidR="00CE77CE">
              <w:t>r</w:t>
            </w:r>
            <w:r w:rsidR="00CE77CE" w:rsidRPr="00CE77CE">
              <w:t xml:space="preserve">eportable </w:t>
            </w:r>
            <w:r w:rsidR="00CE77CE">
              <w:t>d</w:t>
            </w:r>
            <w:r w:rsidR="00CE77CE" w:rsidRPr="00CE77CE">
              <w:t xml:space="preserve">iseases of </w:t>
            </w:r>
            <w:r w:rsidR="00CE77CE">
              <w:t>a</w:t>
            </w:r>
            <w:r w:rsidR="00CE77CE" w:rsidRPr="00CE77CE">
              <w:t xml:space="preserve">quatic </w:t>
            </w:r>
            <w:r w:rsidR="00CE77CE">
              <w:t>a</w:t>
            </w:r>
            <w:r w:rsidR="00CE77CE" w:rsidRPr="00CE77CE">
              <w:t>nimals</w:t>
            </w:r>
            <w:r w:rsidR="00D34AFA">
              <w:t xml:space="preserve">. </w:t>
            </w:r>
            <w:r w:rsidR="00CF20A8">
              <w:t>In addition,</w:t>
            </w:r>
            <w:r w:rsidR="00D34AFA" w:rsidRPr="00D34AFA">
              <w:t xml:space="preserve"> </w:t>
            </w:r>
            <w:r w:rsidR="00D34AFA">
              <w:t>10</w:t>
            </w:r>
            <w:r w:rsidR="00D34AFA" w:rsidRPr="00D34AFA">
              <w:t xml:space="preserve"> new verified whole genome sequences from recent</w:t>
            </w:r>
            <w:r w:rsidR="00A03226">
              <w:t xml:space="preserve"> local</w:t>
            </w:r>
            <w:r w:rsidR="00CE77CE">
              <w:t xml:space="preserve"> terrestrial and aquatic</w:t>
            </w:r>
            <w:r w:rsidR="00D34AFA" w:rsidRPr="00D34AFA">
              <w:t xml:space="preserve"> outbreaks </w:t>
            </w:r>
            <w:r w:rsidR="00CE77CE">
              <w:t>were</w:t>
            </w:r>
            <w:r w:rsidR="00D34AFA" w:rsidRPr="00D34AFA">
              <w:t xml:space="preserve"> uploaded </w:t>
            </w:r>
            <w:r w:rsidR="00CF20A8">
              <w:t>improving utility of the database</w:t>
            </w:r>
            <w:r w:rsidR="00CE77CE">
              <w:t>.</w:t>
            </w:r>
          </w:p>
        </w:tc>
        <w:tc>
          <w:tcPr>
            <w:tcW w:w="354" w:type="pct"/>
            <w:tcMar>
              <w:left w:w="108" w:type="dxa"/>
              <w:right w:w="108" w:type="dxa"/>
            </w:tcMar>
          </w:tcPr>
          <w:p w14:paraId="48028177" w14:textId="554E1A0C" w:rsidR="00DE0804" w:rsidRPr="00341FDB" w:rsidRDefault="00395164" w:rsidP="00364387">
            <w:pPr>
              <w:pStyle w:val="TableText"/>
            </w:pPr>
            <w:r>
              <w:t>Complete</w:t>
            </w:r>
          </w:p>
        </w:tc>
        <w:tc>
          <w:tcPr>
            <w:tcW w:w="962" w:type="pct"/>
            <w:tcMar>
              <w:left w:w="108" w:type="dxa"/>
              <w:right w:w="108" w:type="dxa"/>
            </w:tcMar>
          </w:tcPr>
          <w:p w14:paraId="232D809C" w14:textId="3B001831" w:rsidR="00DE0804" w:rsidRPr="00341FDB" w:rsidRDefault="00395164" w:rsidP="00364387">
            <w:pPr>
              <w:pStyle w:val="TableText"/>
            </w:pPr>
            <w:r>
              <w:t>Nil</w:t>
            </w:r>
          </w:p>
        </w:tc>
        <w:tc>
          <w:tcPr>
            <w:tcW w:w="1001" w:type="pct"/>
            <w:tcMar>
              <w:left w:w="108" w:type="dxa"/>
              <w:right w:w="108" w:type="dxa"/>
            </w:tcMar>
          </w:tcPr>
          <w:p w14:paraId="23AB9400" w14:textId="4FE76D5D" w:rsidR="00DE0804" w:rsidRPr="00341FDB" w:rsidRDefault="00395164" w:rsidP="00364387">
            <w:pPr>
              <w:pStyle w:val="TableText"/>
            </w:pPr>
            <w:r>
              <w:t>Nil</w:t>
            </w:r>
          </w:p>
        </w:tc>
      </w:tr>
      <w:tr w:rsidR="00E31589" w:rsidRPr="009A501D" w14:paraId="1470D52A" w14:textId="77777777" w:rsidTr="003F407D">
        <w:trPr>
          <w:cantSplit/>
        </w:trPr>
        <w:tc>
          <w:tcPr>
            <w:tcW w:w="816" w:type="pct"/>
            <w:tcMar>
              <w:left w:w="108" w:type="dxa"/>
              <w:right w:w="108" w:type="dxa"/>
            </w:tcMar>
          </w:tcPr>
          <w:p w14:paraId="454310F9" w14:textId="49B602EB" w:rsidR="00942744" w:rsidRPr="009A501D" w:rsidRDefault="00C628AE" w:rsidP="00364387">
            <w:pPr>
              <w:pStyle w:val="TableText"/>
            </w:pPr>
            <w:r w:rsidRPr="00C628AE">
              <w:t xml:space="preserve">Developing lumpy skin disease </w:t>
            </w:r>
            <w:r w:rsidR="00442051">
              <w:t xml:space="preserve">(LSD) </w:t>
            </w:r>
            <w:r w:rsidRPr="00C628AE">
              <w:t>and African horse sickness whole genome sequencing workflows</w:t>
            </w:r>
          </w:p>
        </w:tc>
        <w:tc>
          <w:tcPr>
            <w:tcW w:w="551" w:type="pct"/>
            <w:tcMar>
              <w:left w:w="108" w:type="dxa"/>
              <w:right w:w="108" w:type="dxa"/>
            </w:tcMar>
          </w:tcPr>
          <w:p w14:paraId="75DB7BE1" w14:textId="7E1AD263" w:rsidR="00942744" w:rsidRDefault="00893228" w:rsidP="009B52D9">
            <w:pPr>
              <w:pStyle w:val="TableBullet"/>
            </w:pPr>
            <w:r>
              <w:t>CSIRO</w:t>
            </w:r>
            <w:r w:rsidR="009B52D9">
              <w:t xml:space="preserve"> </w:t>
            </w:r>
            <w:r w:rsidR="009C6847" w:rsidRPr="00F751C8">
              <w:t>Australian</w:t>
            </w:r>
            <w:r w:rsidR="009C6847">
              <w:t xml:space="preserve"> Centre for Disease Preparedness </w:t>
            </w:r>
            <w:r w:rsidR="006144B8">
              <w:t>(</w:t>
            </w:r>
            <w:r>
              <w:t>ACDP</w:t>
            </w:r>
            <w:r w:rsidR="006144B8">
              <w:t>)</w:t>
            </w:r>
          </w:p>
          <w:p w14:paraId="38EF07A2" w14:textId="128383A5" w:rsidR="00893228" w:rsidRPr="009A501D" w:rsidRDefault="00893228" w:rsidP="003F407D">
            <w:pPr>
              <w:pStyle w:val="TableBullet"/>
            </w:pPr>
            <w:r>
              <w:t>DAFF</w:t>
            </w:r>
          </w:p>
        </w:tc>
        <w:tc>
          <w:tcPr>
            <w:tcW w:w="1316" w:type="pct"/>
            <w:tcMar>
              <w:left w:w="108" w:type="dxa"/>
              <w:right w:w="108" w:type="dxa"/>
            </w:tcMar>
          </w:tcPr>
          <w:p w14:paraId="5FEACF15" w14:textId="5C1728AB" w:rsidR="00942744" w:rsidRPr="009A501D" w:rsidRDefault="00893228" w:rsidP="00364387">
            <w:pPr>
              <w:pStyle w:val="TableText"/>
            </w:pPr>
            <w:r w:rsidRPr="00893228">
              <w:t>This project develop</w:t>
            </w:r>
            <w:r>
              <w:t>ed</w:t>
            </w:r>
            <w:r w:rsidRPr="00893228">
              <w:t xml:space="preserve"> robust whole genome sequencing procedures for both </w:t>
            </w:r>
            <w:r w:rsidR="00442051">
              <w:t>LSD</w:t>
            </w:r>
            <w:r w:rsidR="001C7FCB">
              <w:t xml:space="preserve"> virus</w:t>
            </w:r>
            <w:r w:rsidRPr="00893228">
              <w:t xml:space="preserve"> and African horse sickness </w:t>
            </w:r>
            <w:r w:rsidR="002A09BF" w:rsidRPr="00893228">
              <w:t>virus</w:t>
            </w:r>
            <w:r w:rsidRPr="00893228">
              <w:t xml:space="preserve"> to mitigate the consequences of their outbreaks in Australia. The genomic sequencing probes and procedures, now available at </w:t>
            </w:r>
            <w:r w:rsidR="00D71490">
              <w:t>ACDP</w:t>
            </w:r>
            <w:r w:rsidRPr="00893228">
              <w:t xml:space="preserve">, will be an invaluable resource in the event of </w:t>
            </w:r>
            <w:r w:rsidR="002E4454" w:rsidRPr="00893228">
              <w:t>an</w:t>
            </w:r>
            <w:r w:rsidRPr="00893228">
              <w:t xml:space="preserve"> </w:t>
            </w:r>
            <w:r w:rsidR="00D71490">
              <w:t>LSD</w:t>
            </w:r>
            <w:r w:rsidRPr="00893228">
              <w:t xml:space="preserve"> outbreak in Australia.</w:t>
            </w:r>
          </w:p>
        </w:tc>
        <w:tc>
          <w:tcPr>
            <w:tcW w:w="354" w:type="pct"/>
            <w:tcMar>
              <w:left w:w="108" w:type="dxa"/>
              <w:right w:w="108" w:type="dxa"/>
            </w:tcMar>
          </w:tcPr>
          <w:p w14:paraId="4E17432D" w14:textId="279261EE" w:rsidR="00942744" w:rsidRPr="009A501D" w:rsidRDefault="00C628AE" w:rsidP="00364387">
            <w:pPr>
              <w:pStyle w:val="TableText"/>
            </w:pPr>
            <w:r>
              <w:t>Complete</w:t>
            </w:r>
          </w:p>
        </w:tc>
        <w:tc>
          <w:tcPr>
            <w:tcW w:w="962" w:type="pct"/>
            <w:tcMar>
              <w:left w:w="108" w:type="dxa"/>
              <w:right w:w="108" w:type="dxa"/>
            </w:tcMar>
          </w:tcPr>
          <w:p w14:paraId="6D78FA6C" w14:textId="40B5E99A" w:rsidR="00942744" w:rsidRPr="009A501D" w:rsidRDefault="00F517D7" w:rsidP="00364387">
            <w:pPr>
              <w:pStyle w:val="TableText"/>
            </w:pPr>
            <w:r>
              <w:t>Nil</w:t>
            </w:r>
          </w:p>
        </w:tc>
        <w:tc>
          <w:tcPr>
            <w:tcW w:w="1001" w:type="pct"/>
            <w:tcMar>
              <w:left w:w="108" w:type="dxa"/>
              <w:right w:w="108" w:type="dxa"/>
            </w:tcMar>
          </w:tcPr>
          <w:p w14:paraId="552C02B6" w14:textId="40299D7D" w:rsidR="00942744" w:rsidRPr="009A501D" w:rsidRDefault="00F517D7" w:rsidP="00364387">
            <w:pPr>
              <w:pStyle w:val="TableText"/>
            </w:pPr>
            <w:r>
              <w:t>Nil</w:t>
            </w:r>
          </w:p>
        </w:tc>
      </w:tr>
      <w:tr w:rsidR="00E31589" w14:paraId="5229C296" w14:textId="77777777" w:rsidTr="003F407D">
        <w:trPr>
          <w:cantSplit/>
        </w:trPr>
        <w:tc>
          <w:tcPr>
            <w:tcW w:w="816" w:type="pct"/>
            <w:tcMar>
              <w:left w:w="108" w:type="dxa"/>
              <w:right w:w="108" w:type="dxa"/>
            </w:tcMar>
          </w:tcPr>
          <w:p w14:paraId="0C643374" w14:textId="5D6408EB" w:rsidR="0016431B" w:rsidRPr="0077390F" w:rsidRDefault="0016431B" w:rsidP="0016431B">
            <w:pPr>
              <w:pStyle w:val="TableText"/>
            </w:pPr>
            <w:r w:rsidRPr="006075F5">
              <w:t>Northern Australia biosecurity sequencing (</w:t>
            </w:r>
            <w:proofErr w:type="spellStart"/>
            <w:r w:rsidRPr="006075F5">
              <w:t>NABSeq</w:t>
            </w:r>
            <w:proofErr w:type="spellEnd"/>
            <w:r w:rsidRPr="006075F5">
              <w:t xml:space="preserve">): </w:t>
            </w:r>
            <w:r w:rsidR="00442051">
              <w:t>HTS</w:t>
            </w:r>
            <w:r w:rsidRPr="006075F5">
              <w:t xml:space="preserve"> network and facility to enhance northern Australian biosecurity</w:t>
            </w:r>
          </w:p>
        </w:tc>
        <w:tc>
          <w:tcPr>
            <w:tcW w:w="551" w:type="pct"/>
            <w:tcMar>
              <w:left w:w="108" w:type="dxa"/>
              <w:right w:w="108" w:type="dxa"/>
            </w:tcMar>
          </w:tcPr>
          <w:p w14:paraId="18003EA4" w14:textId="3503D0BD" w:rsidR="0016431B" w:rsidRDefault="0016431B" w:rsidP="003F407D">
            <w:pPr>
              <w:pStyle w:val="TableBullet"/>
            </w:pPr>
            <w:r>
              <w:t>B</w:t>
            </w:r>
            <w:r w:rsidR="006144B8">
              <w:t>errimah Veterinary Laboratory</w:t>
            </w:r>
            <w:r w:rsidR="003B7424">
              <w:t xml:space="preserve"> (Northern Territory)</w:t>
            </w:r>
          </w:p>
          <w:p w14:paraId="5C6FD645" w14:textId="66060B8F" w:rsidR="0016431B" w:rsidRDefault="003B7424" w:rsidP="009B52D9">
            <w:pPr>
              <w:pStyle w:val="TableBullet"/>
            </w:pPr>
            <w:r>
              <w:t>CSIRO</w:t>
            </w:r>
            <w:r w:rsidR="009B52D9">
              <w:t xml:space="preserve"> </w:t>
            </w:r>
            <w:r w:rsidR="0016431B">
              <w:t>ACDP</w:t>
            </w:r>
          </w:p>
          <w:p w14:paraId="7B16A155" w14:textId="497BF3DA" w:rsidR="0016431B" w:rsidRDefault="0016431B" w:rsidP="003F407D">
            <w:pPr>
              <w:pStyle w:val="TableBullet"/>
            </w:pPr>
            <w:r>
              <w:t>DAFF</w:t>
            </w:r>
          </w:p>
        </w:tc>
        <w:tc>
          <w:tcPr>
            <w:tcW w:w="1316" w:type="pct"/>
            <w:tcMar>
              <w:left w:w="108" w:type="dxa"/>
              <w:right w:w="108" w:type="dxa"/>
            </w:tcMar>
          </w:tcPr>
          <w:p w14:paraId="2E3842ED" w14:textId="5C7A4807" w:rsidR="0016431B" w:rsidRPr="00785A84" w:rsidRDefault="00D76AAA" w:rsidP="0016431B">
            <w:pPr>
              <w:pStyle w:val="TableText"/>
            </w:pPr>
            <w:r w:rsidRPr="00D76AAA">
              <w:t>This project aims to improve northern Australia’s ability to identify and respond to future biosecurity challenges; and provide more effective biosecurity risk management through modernisation of disease detection resources and surveillance in the region</w:t>
            </w:r>
            <w:r>
              <w:t>.</w:t>
            </w:r>
          </w:p>
        </w:tc>
        <w:tc>
          <w:tcPr>
            <w:tcW w:w="354" w:type="pct"/>
            <w:tcMar>
              <w:left w:w="108" w:type="dxa"/>
              <w:right w:w="108" w:type="dxa"/>
            </w:tcMar>
          </w:tcPr>
          <w:p w14:paraId="3F6C3A1E" w14:textId="3346C36B" w:rsidR="0016431B" w:rsidRDefault="0016431B" w:rsidP="0016431B">
            <w:pPr>
              <w:pStyle w:val="TableText"/>
            </w:pPr>
            <w:r>
              <w:t>Delayed</w:t>
            </w:r>
          </w:p>
        </w:tc>
        <w:tc>
          <w:tcPr>
            <w:tcW w:w="962" w:type="pct"/>
            <w:tcMar>
              <w:left w:w="108" w:type="dxa"/>
              <w:right w:w="108" w:type="dxa"/>
            </w:tcMar>
          </w:tcPr>
          <w:p w14:paraId="35FE5755" w14:textId="0FC4272B" w:rsidR="0016431B" w:rsidRDefault="00442051" w:rsidP="0016431B">
            <w:pPr>
              <w:pStyle w:val="TableText"/>
            </w:pPr>
            <w:r>
              <w:t>NABseq</w:t>
            </w:r>
            <w:r w:rsidR="0016431B" w:rsidRPr="00B63F42">
              <w:t xml:space="preserve"> </w:t>
            </w:r>
            <w:r w:rsidR="001A76E4">
              <w:t>continues</w:t>
            </w:r>
            <w:r w:rsidR="0016431B" w:rsidRPr="00B63F42">
              <w:t xml:space="preserve"> to </w:t>
            </w:r>
            <w:r w:rsidR="001A76E4">
              <w:t>enhance</w:t>
            </w:r>
            <w:r w:rsidR="0016431B" w:rsidRPr="00B63F42">
              <w:t xml:space="preserve"> northern Australia’s ability to respond to biosecurity challenges and develop a collaborative HTS facility and network, based at the Berrimah Farm Science Precinct. </w:t>
            </w:r>
            <w:r w:rsidR="002A09BF">
              <w:t>Outbreak responses have delayed this project.</w:t>
            </w:r>
          </w:p>
        </w:tc>
        <w:tc>
          <w:tcPr>
            <w:tcW w:w="1001" w:type="pct"/>
            <w:tcMar>
              <w:left w:w="108" w:type="dxa"/>
              <w:right w:w="108" w:type="dxa"/>
            </w:tcMar>
          </w:tcPr>
          <w:p w14:paraId="796927D3" w14:textId="3820510A" w:rsidR="0016431B" w:rsidRDefault="0016431B" w:rsidP="0016431B">
            <w:pPr>
              <w:pStyle w:val="TableText"/>
            </w:pPr>
            <w:r w:rsidRPr="00444B43">
              <w:t xml:space="preserve">The next milestone report will be rescheduled to </w:t>
            </w:r>
            <w:r w:rsidR="001A76E4">
              <w:t>accommodate</w:t>
            </w:r>
            <w:r w:rsidRPr="00444B43">
              <w:t xml:space="preserve"> delays experienced, and it is anticipated the project will be completed by September 2025</w:t>
            </w:r>
            <w:r>
              <w:t>.</w:t>
            </w:r>
          </w:p>
        </w:tc>
      </w:tr>
      <w:tr w:rsidR="00CA4E14" w14:paraId="65E2600A" w14:textId="77777777" w:rsidTr="003F407D">
        <w:trPr>
          <w:cantSplit/>
        </w:trPr>
        <w:tc>
          <w:tcPr>
            <w:tcW w:w="816" w:type="pct"/>
            <w:tcMar>
              <w:left w:w="108" w:type="dxa"/>
              <w:right w:w="108" w:type="dxa"/>
            </w:tcMar>
          </w:tcPr>
          <w:p w14:paraId="20BC6BE1" w14:textId="61B6FFA7" w:rsidR="00CA4E14" w:rsidRPr="0077390F" w:rsidRDefault="00CA4E14" w:rsidP="00CA4E14">
            <w:pPr>
              <w:pStyle w:val="TableText"/>
            </w:pPr>
            <w:r w:rsidRPr="002B445D">
              <w:t>Quality assurance for HTS as an infectious agent discovery tool</w:t>
            </w:r>
          </w:p>
        </w:tc>
        <w:tc>
          <w:tcPr>
            <w:tcW w:w="551" w:type="pct"/>
            <w:tcMar>
              <w:left w:w="108" w:type="dxa"/>
              <w:right w:w="108" w:type="dxa"/>
            </w:tcMar>
          </w:tcPr>
          <w:p w14:paraId="6504FE7D" w14:textId="10F666DC" w:rsidR="003B7424" w:rsidRDefault="003B7424" w:rsidP="009B52D9">
            <w:pPr>
              <w:pStyle w:val="TableBullet"/>
            </w:pPr>
            <w:r>
              <w:t>CSIRO</w:t>
            </w:r>
            <w:r w:rsidR="009B52D9">
              <w:t xml:space="preserve"> </w:t>
            </w:r>
            <w:r>
              <w:t>ACDP</w:t>
            </w:r>
          </w:p>
          <w:p w14:paraId="7783664F" w14:textId="0BA400B8" w:rsidR="00CA4E14" w:rsidRDefault="003B7424" w:rsidP="003F407D">
            <w:pPr>
              <w:pStyle w:val="TableBullet"/>
            </w:pPr>
            <w:r>
              <w:t>DAFF</w:t>
            </w:r>
          </w:p>
        </w:tc>
        <w:tc>
          <w:tcPr>
            <w:tcW w:w="1316" w:type="pct"/>
            <w:tcMar>
              <w:left w:w="108" w:type="dxa"/>
              <w:right w:w="108" w:type="dxa"/>
            </w:tcMar>
          </w:tcPr>
          <w:p w14:paraId="06F8E129" w14:textId="17BBBCA6" w:rsidR="00CA4E14" w:rsidRPr="00785A84" w:rsidRDefault="00B65198" w:rsidP="00CA4E14">
            <w:pPr>
              <w:pStyle w:val="TableText"/>
            </w:pPr>
            <w:r w:rsidRPr="000A7E36">
              <w:t>This project aims to establish standardised workflows for the use of HTS in infectious agent discovery. It will support relevant national diagnostic HTS operating guidelines and improve overall quality assurance</w:t>
            </w:r>
            <w:r w:rsidR="001A76E4">
              <w:t xml:space="preserve">, allowing </w:t>
            </w:r>
            <w:r w:rsidR="00143C52">
              <w:t>for</w:t>
            </w:r>
            <w:r w:rsidRPr="000A7E36">
              <w:t xml:space="preserve"> high confidence </w:t>
            </w:r>
            <w:r w:rsidR="00143C52">
              <w:t>when</w:t>
            </w:r>
            <w:r w:rsidRPr="000A7E36">
              <w:t xml:space="preserve"> interpreting HTS results</w:t>
            </w:r>
            <w:r>
              <w:t>.</w:t>
            </w:r>
          </w:p>
        </w:tc>
        <w:tc>
          <w:tcPr>
            <w:tcW w:w="354" w:type="pct"/>
            <w:tcMar>
              <w:left w:w="108" w:type="dxa"/>
              <w:right w:w="108" w:type="dxa"/>
            </w:tcMar>
          </w:tcPr>
          <w:p w14:paraId="14E28A22" w14:textId="6C9F3E8B" w:rsidR="00CA4E14" w:rsidRDefault="00ED504D" w:rsidP="00CA4E14">
            <w:pPr>
              <w:pStyle w:val="TableText"/>
            </w:pPr>
            <w:r>
              <w:t>Delayed</w:t>
            </w:r>
          </w:p>
        </w:tc>
        <w:tc>
          <w:tcPr>
            <w:tcW w:w="962" w:type="pct"/>
            <w:tcMar>
              <w:left w:w="108" w:type="dxa"/>
              <w:right w:w="108" w:type="dxa"/>
            </w:tcMar>
          </w:tcPr>
          <w:p w14:paraId="51DA0295" w14:textId="351B310E" w:rsidR="00CA4E14" w:rsidRDefault="001A76E4" w:rsidP="00CA4E14">
            <w:pPr>
              <w:pStyle w:val="TableText"/>
            </w:pPr>
            <w:r>
              <w:t>O</w:t>
            </w:r>
            <w:r w:rsidR="00CA4E14" w:rsidRPr="000A7E36">
              <w:t xml:space="preserve">utbreak responses </w:t>
            </w:r>
            <w:r>
              <w:t>have delayed this project.</w:t>
            </w:r>
          </w:p>
        </w:tc>
        <w:tc>
          <w:tcPr>
            <w:tcW w:w="1001" w:type="pct"/>
            <w:tcMar>
              <w:left w:w="108" w:type="dxa"/>
              <w:right w:w="108" w:type="dxa"/>
            </w:tcMar>
          </w:tcPr>
          <w:p w14:paraId="33A1EBDE" w14:textId="6F35B31C" w:rsidR="00CA4E14" w:rsidRDefault="00CA4E14" w:rsidP="00CA4E14">
            <w:pPr>
              <w:pStyle w:val="TableText"/>
            </w:pPr>
            <w:r w:rsidRPr="000960EB">
              <w:t>The final milestone report will provide evidence of optimised HTS workflows and ACDP approved standard operating procedures. These will be submitted to SCAHLS for evaluation and national approval, and subsequent adoption by the</w:t>
            </w:r>
            <w:r w:rsidR="00832C9A">
              <w:t xml:space="preserve"> Laboratories for E</w:t>
            </w:r>
            <w:r w:rsidR="00143C52">
              <w:t xml:space="preserve">mergency </w:t>
            </w:r>
            <w:r w:rsidR="00832C9A">
              <w:t>A</w:t>
            </w:r>
            <w:r w:rsidR="00143C52">
              <w:t xml:space="preserve">nimal </w:t>
            </w:r>
            <w:r w:rsidR="00832C9A">
              <w:t>D</w:t>
            </w:r>
            <w:r w:rsidR="00143C52">
              <w:t>isease</w:t>
            </w:r>
            <w:r w:rsidR="00832C9A">
              <w:t xml:space="preserve"> Diagnosis and Response</w:t>
            </w:r>
            <w:r w:rsidRPr="000960EB">
              <w:t xml:space="preserve"> </w:t>
            </w:r>
            <w:r w:rsidR="00832C9A">
              <w:t>(</w:t>
            </w:r>
            <w:r w:rsidRPr="000960EB">
              <w:t>LEADDR</w:t>
            </w:r>
            <w:r w:rsidR="00832C9A">
              <w:t>)</w:t>
            </w:r>
            <w:r w:rsidRPr="000960EB">
              <w:t xml:space="preserve"> network</w:t>
            </w:r>
            <w:r w:rsidR="007C13E4">
              <w:t>.</w:t>
            </w:r>
          </w:p>
        </w:tc>
      </w:tr>
      <w:tr w:rsidR="00CA4E14" w14:paraId="10812448" w14:textId="77777777" w:rsidTr="003F407D">
        <w:trPr>
          <w:cantSplit/>
        </w:trPr>
        <w:tc>
          <w:tcPr>
            <w:tcW w:w="816" w:type="pct"/>
            <w:tcMar>
              <w:left w:w="108" w:type="dxa"/>
              <w:right w:w="108" w:type="dxa"/>
            </w:tcMar>
          </w:tcPr>
          <w:p w14:paraId="235C0DE2" w14:textId="042E1763" w:rsidR="00CA4E14" w:rsidRPr="0077390F" w:rsidRDefault="00D34AFA" w:rsidP="00CA4E14">
            <w:pPr>
              <w:pStyle w:val="TableText"/>
            </w:pPr>
            <w:r>
              <w:t xml:space="preserve">ABGD </w:t>
            </w:r>
            <w:r w:rsidR="00CA4E14" w:rsidRPr="004839E2">
              <w:t>: Phase 3</w:t>
            </w:r>
          </w:p>
        </w:tc>
        <w:tc>
          <w:tcPr>
            <w:tcW w:w="551" w:type="pct"/>
            <w:tcMar>
              <w:left w:w="108" w:type="dxa"/>
              <w:right w:w="108" w:type="dxa"/>
            </w:tcMar>
          </w:tcPr>
          <w:p w14:paraId="04571DE2" w14:textId="77777777" w:rsidR="003B7424" w:rsidRDefault="003B7424" w:rsidP="003F407D">
            <w:pPr>
              <w:pStyle w:val="TableBullet"/>
            </w:pPr>
            <w:r>
              <w:t>AgriBio (Victoria)</w:t>
            </w:r>
          </w:p>
          <w:p w14:paraId="1D8D4D94" w14:textId="1D222C7D" w:rsidR="00CA4E14" w:rsidRDefault="003B7424" w:rsidP="003F407D">
            <w:pPr>
              <w:pStyle w:val="TableBullet"/>
            </w:pPr>
            <w:r>
              <w:t>DAFF</w:t>
            </w:r>
          </w:p>
        </w:tc>
        <w:tc>
          <w:tcPr>
            <w:tcW w:w="1316" w:type="pct"/>
            <w:tcMar>
              <w:left w:w="108" w:type="dxa"/>
              <w:right w:w="108" w:type="dxa"/>
            </w:tcMar>
          </w:tcPr>
          <w:p w14:paraId="50E5DC44" w14:textId="662CC993" w:rsidR="00CA4E14" w:rsidRPr="00785A84" w:rsidRDefault="00D80661" w:rsidP="00CA4E14">
            <w:pPr>
              <w:pStyle w:val="TableText"/>
            </w:pPr>
            <w:r w:rsidRPr="008807CE">
              <w:t xml:space="preserve">This project builds on </w:t>
            </w:r>
            <w:r>
              <w:t xml:space="preserve">previous </w:t>
            </w:r>
            <w:r w:rsidR="00615BFA">
              <w:t>phases of the ABGD pr</w:t>
            </w:r>
            <w:r w:rsidR="003B7424">
              <w:t>oject. Phase 3</w:t>
            </w:r>
            <w:r w:rsidRPr="008807CE">
              <w:t xml:space="preserve"> aims to add additional viral subtypes, expand to state based notifiable diseases, trial the inclusion of bacterial pathogens, and determine a long-term solution for database maintenance</w:t>
            </w:r>
            <w:r w:rsidR="002C0A6B">
              <w:t>.</w:t>
            </w:r>
          </w:p>
        </w:tc>
        <w:tc>
          <w:tcPr>
            <w:tcW w:w="354" w:type="pct"/>
            <w:tcMar>
              <w:left w:w="108" w:type="dxa"/>
              <w:right w:w="108" w:type="dxa"/>
            </w:tcMar>
          </w:tcPr>
          <w:p w14:paraId="1D3FEAB5" w14:textId="048102F3" w:rsidR="00CA4E14" w:rsidRDefault="003C6BCB" w:rsidP="00CA4E14">
            <w:pPr>
              <w:pStyle w:val="TableText"/>
            </w:pPr>
            <w:r>
              <w:t>On track</w:t>
            </w:r>
          </w:p>
        </w:tc>
        <w:tc>
          <w:tcPr>
            <w:tcW w:w="962" w:type="pct"/>
            <w:tcMar>
              <w:left w:w="108" w:type="dxa"/>
              <w:right w:w="108" w:type="dxa"/>
            </w:tcMar>
          </w:tcPr>
          <w:p w14:paraId="381BD89A" w14:textId="14A7B5A3" w:rsidR="00CA4E14" w:rsidRDefault="00CA4E14" w:rsidP="00CA4E14">
            <w:pPr>
              <w:pStyle w:val="TableText"/>
            </w:pPr>
            <w:r w:rsidRPr="008807CE">
              <w:t xml:space="preserve">Since commencement, more pathogens have been added to the database and a </w:t>
            </w:r>
            <w:hyperlink r:id="rId23" w:history="1">
              <w:r w:rsidRPr="003F407D">
                <w:rPr>
                  <w:rStyle w:val="Hyperlink"/>
                </w:rPr>
                <w:t>manuscript</w:t>
              </w:r>
            </w:hyperlink>
            <w:r w:rsidRPr="008807CE">
              <w:t xml:space="preserve"> has been accepted into the journal </w:t>
            </w:r>
            <w:r w:rsidR="003F407D" w:rsidRPr="003F407D">
              <w:rPr>
                <w:rStyle w:val="Emphasis"/>
              </w:rPr>
              <w:t>Database: The Journal of Biological Databases and Curation</w:t>
            </w:r>
            <w:r w:rsidR="00341449" w:rsidRPr="003F407D">
              <w:rPr>
                <w:rStyle w:val="Emphasis"/>
              </w:rPr>
              <w:t>.</w:t>
            </w:r>
          </w:p>
        </w:tc>
        <w:tc>
          <w:tcPr>
            <w:tcW w:w="1001" w:type="pct"/>
            <w:tcMar>
              <w:left w:w="108" w:type="dxa"/>
              <w:right w:w="108" w:type="dxa"/>
            </w:tcMar>
          </w:tcPr>
          <w:p w14:paraId="1F51644A" w14:textId="4D6A4CFF" w:rsidR="00CA4E14" w:rsidRDefault="00CA4E14" w:rsidP="00CA4E14">
            <w:pPr>
              <w:pStyle w:val="TableText"/>
            </w:pPr>
            <w:r w:rsidRPr="00B257E7">
              <w:t xml:space="preserve">The next milestone report is due in </w:t>
            </w:r>
            <w:r w:rsidR="00A03226">
              <w:t xml:space="preserve">late November </w:t>
            </w:r>
            <w:r w:rsidRPr="00B257E7">
              <w:t>2024. Project deliverables include an improved ABGD, an eLearning module, and a published webpage on an appropriate website that can be maintained long term.</w:t>
            </w:r>
          </w:p>
        </w:tc>
      </w:tr>
    </w:tbl>
    <w:p w14:paraId="28F44FC6" w14:textId="77777777" w:rsidR="00923835" w:rsidRDefault="001309AE" w:rsidP="003F407D">
      <w:pPr>
        <w:pStyle w:val="Heading2"/>
        <w:numPr>
          <w:ilvl w:val="0"/>
          <w:numId w:val="0"/>
        </w:numPr>
        <w:ind w:left="720" w:hanging="720"/>
      </w:pPr>
      <w:bookmarkStart w:id="8" w:name="_Toc185243963"/>
      <w:bookmarkStart w:id="9" w:name="_Toc183777451"/>
      <w:r>
        <w:t>Objective 2</w:t>
      </w:r>
      <w:bookmarkEnd w:id="8"/>
    </w:p>
    <w:p w14:paraId="544DDEEE" w14:textId="67ADACE8" w:rsidR="001309AE" w:rsidRPr="00923835" w:rsidRDefault="00DD2976" w:rsidP="003F407D">
      <w:pPr>
        <w:spacing w:before="120"/>
      </w:pPr>
      <w:r w:rsidRPr="00923835">
        <w:t xml:space="preserve">To scope and improve the national surge capacity of laboratory networks, including both government and non-government laboratories, during </w:t>
      </w:r>
      <w:r w:rsidR="00702081" w:rsidRPr="00923835">
        <w:t>emergency animal disease (</w:t>
      </w:r>
      <w:r w:rsidRPr="00923835">
        <w:t>EAD</w:t>
      </w:r>
      <w:r w:rsidR="00702081" w:rsidRPr="00923835">
        <w:t>)</w:t>
      </w:r>
      <w:r w:rsidRPr="00923835">
        <w:t xml:space="preserve"> responses</w:t>
      </w:r>
      <w:bookmarkEnd w:id="9"/>
      <w:r w:rsidR="00923835">
        <w:t>.</w:t>
      </w:r>
    </w:p>
    <w:p w14:paraId="68D2801D" w14:textId="0F19523B" w:rsidR="00E31589" w:rsidRDefault="00E31589" w:rsidP="00E31589">
      <w:pPr>
        <w:pStyle w:val="Caption"/>
      </w:pPr>
      <w:bookmarkStart w:id="10" w:name="_Toc185243969"/>
      <w:r>
        <w:t xml:space="preserve">Table </w:t>
      </w:r>
      <w:r>
        <w:fldChar w:fldCharType="begin"/>
      </w:r>
      <w:r>
        <w:instrText xml:space="preserve"> SEQ Table \* ARABIC </w:instrText>
      </w:r>
      <w:r>
        <w:fldChar w:fldCharType="separate"/>
      </w:r>
      <w:r w:rsidR="009C1315">
        <w:rPr>
          <w:noProof/>
        </w:rPr>
        <w:t>2</w:t>
      </w:r>
      <w:r>
        <w:fldChar w:fldCharType="end"/>
      </w:r>
      <w:r>
        <w:t xml:space="preserve"> </w:t>
      </w:r>
      <w:r w:rsidR="00923835">
        <w:t>Objective 2 p</w:t>
      </w:r>
      <w:r w:rsidR="00143C52">
        <w:t>rojects</w:t>
      </w:r>
      <w:bookmarkEnd w:id="10"/>
    </w:p>
    <w:tbl>
      <w:tblPr>
        <w:tblW w:w="5000" w:type="pct"/>
        <w:tblBorders>
          <w:top w:val="single" w:sz="4" w:space="0" w:color="auto"/>
          <w:bottom w:val="single" w:sz="4" w:space="0" w:color="auto"/>
          <w:insideH w:val="single" w:sz="4" w:space="0" w:color="auto"/>
        </w:tblBorders>
        <w:tblLayout w:type="fixed"/>
        <w:tblCellMar>
          <w:left w:w="40" w:type="dxa"/>
          <w:right w:w="40" w:type="dxa"/>
        </w:tblCellMar>
        <w:tblLook w:val="0000" w:firstRow="0" w:lastRow="0" w:firstColumn="0" w:lastColumn="0" w:noHBand="0" w:noVBand="0"/>
      </w:tblPr>
      <w:tblGrid>
        <w:gridCol w:w="2285"/>
        <w:gridCol w:w="1826"/>
        <w:gridCol w:w="3120"/>
        <w:gridCol w:w="1557"/>
        <w:gridCol w:w="2411"/>
        <w:gridCol w:w="2803"/>
      </w:tblGrid>
      <w:tr w:rsidR="00E31589" w:rsidRPr="009A501D" w14:paraId="55E2BCE1" w14:textId="77777777" w:rsidTr="00923835">
        <w:trPr>
          <w:cantSplit/>
          <w:tblHeader/>
        </w:trPr>
        <w:tc>
          <w:tcPr>
            <w:tcW w:w="816" w:type="pct"/>
            <w:tcMar>
              <w:left w:w="108" w:type="dxa"/>
              <w:right w:w="108" w:type="dxa"/>
            </w:tcMar>
          </w:tcPr>
          <w:p w14:paraId="6E89CA93" w14:textId="77777777" w:rsidR="00E31589" w:rsidRPr="009A501D" w:rsidRDefault="00E31589" w:rsidP="00C8529E">
            <w:pPr>
              <w:pStyle w:val="TableHeading"/>
            </w:pPr>
            <w:bookmarkStart w:id="11" w:name="Title_2"/>
            <w:bookmarkEnd w:id="11"/>
            <w:r>
              <w:t>Project title</w:t>
            </w:r>
          </w:p>
        </w:tc>
        <w:tc>
          <w:tcPr>
            <w:tcW w:w="652" w:type="pct"/>
            <w:tcMar>
              <w:left w:w="108" w:type="dxa"/>
              <w:right w:w="108" w:type="dxa"/>
            </w:tcMar>
          </w:tcPr>
          <w:p w14:paraId="372D54C7" w14:textId="77777777" w:rsidR="00E31589" w:rsidRPr="009A501D" w:rsidRDefault="00E31589" w:rsidP="00C8529E">
            <w:pPr>
              <w:pStyle w:val="TableHeading"/>
            </w:pPr>
            <w:r>
              <w:t>Lead and key collaborators</w:t>
            </w:r>
          </w:p>
        </w:tc>
        <w:tc>
          <w:tcPr>
            <w:tcW w:w="1114" w:type="pct"/>
            <w:tcMar>
              <w:left w:w="108" w:type="dxa"/>
              <w:right w:w="108" w:type="dxa"/>
            </w:tcMar>
          </w:tcPr>
          <w:p w14:paraId="611A1502" w14:textId="77777777" w:rsidR="00E31589" w:rsidRPr="009A501D" w:rsidRDefault="00E31589" w:rsidP="00C8529E">
            <w:pPr>
              <w:pStyle w:val="TableHeading"/>
            </w:pPr>
            <w:r>
              <w:t>Description</w:t>
            </w:r>
          </w:p>
        </w:tc>
        <w:tc>
          <w:tcPr>
            <w:tcW w:w="556" w:type="pct"/>
            <w:tcMar>
              <w:left w:w="108" w:type="dxa"/>
              <w:right w:w="108" w:type="dxa"/>
            </w:tcMar>
          </w:tcPr>
          <w:p w14:paraId="40A4C8D7" w14:textId="77777777" w:rsidR="00E31589" w:rsidRPr="009A501D" w:rsidRDefault="00E31589" w:rsidP="00C8529E">
            <w:pPr>
              <w:pStyle w:val="TableHeading"/>
            </w:pPr>
            <w:r>
              <w:t>Status</w:t>
            </w:r>
          </w:p>
        </w:tc>
        <w:tc>
          <w:tcPr>
            <w:tcW w:w="861" w:type="pct"/>
            <w:tcMar>
              <w:left w:w="108" w:type="dxa"/>
              <w:right w:w="108" w:type="dxa"/>
            </w:tcMar>
          </w:tcPr>
          <w:p w14:paraId="0CB9B527" w14:textId="77777777" w:rsidR="00E31589" w:rsidRPr="009A501D" w:rsidRDefault="00E31589" w:rsidP="00C8529E">
            <w:pPr>
              <w:pStyle w:val="TableHeading"/>
            </w:pPr>
            <w:r>
              <w:t>Progress update</w:t>
            </w:r>
          </w:p>
        </w:tc>
        <w:tc>
          <w:tcPr>
            <w:tcW w:w="1001" w:type="pct"/>
            <w:tcMar>
              <w:left w:w="108" w:type="dxa"/>
              <w:right w:w="108" w:type="dxa"/>
            </w:tcMar>
          </w:tcPr>
          <w:p w14:paraId="4B6752DD" w14:textId="77777777" w:rsidR="00E31589" w:rsidRPr="009A501D" w:rsidRDefault="00E31589" w:rsidP="00C8529E">
            <w:pPr>
              <w:pStyle w:val="TableHeading"/>
            </w:pPr>
            <w:r>
              <w:t>Next steps</w:t>
            </w:r>
          </w:p>
        </w:tc>
      </w:tr>
      <w:tr w:rsidR="002B03D6" w:rsidRPr="009A501D" w14:paraId="24BEF2E9" w14:textId="77777777" w:rsidTr="00923835">
        <w:trPr>
          <w:cantSplit/>
        </w:trPr>
        <w:tc>
          <w:tcPr>
            <w:tcW w:w="816" w:type="pct"/>
            <w:tcMar>
              <w:left w:w="108" w:type="dxa"/>
              <w:right w:w="108" w:type="dxa"/>
            </w:tcMar>
          </w:tcPr>
          <w:p w14:paraId="7674E059" w14:textId="74BEDDEB" w:rsidR="002B03D6" w:rsidRPr="009A501D" w:rsidRDefault="002B03D6" w:rsidP="002B03D6">
            <w:pPr>
              <w:pStyle w:val="TableText"/>
            </w:pPr>
            <w:r w:rsidRPr="0016431B">
              <w:t>Sample Tracking and Reporting System (STARS) enhancement</w:t>
            </w:r>
          </w:p>
        </w:tc>
        <w:tc>
          <w:tcPr>
            <w:tcW w:w="652" w:type="pct"/>
            <w:tcMar>
              <w:left w:w="108" w:type="dxa"/>
              <w:right w:w="108" w:type="dxa"/>
            </w:tcMar>
          </w:tcPr>
          <w:p w14:paraId="32B4EDFD" w14:textId="57D4CDB4" w:rsidR="002B03D6" w:rsidRDefault="002B03D6" w:rsidP="009B52D9">
            <w:pPr>
              <w:pStyle w:val="TableBullet"/>
            </w:pPr>
            <w:r>
              <w:t>CSIRO</w:t>
            </w:r>
            <w:r w:rsidR="009B52D9">
              <w:t xml:space="preserve"> </w:t>
            </w:r>
            <w:r>
              <w:t>ACDP</w:t>
            </w:r>
          </w:p>
          <w:p w14:paraId="44C6181B" w14:textId="621ACE70" w:rsidR="002B03D6" w:rsidRPr="009A501D" w:rsidRDefault="002B03D6" w:rsidP="003F407D">
            <w:pPr>
              <w:pStyle w:val="TableBullet"/>
            </w:pPr>
            <w:r>
              <w:t>DAFF</w:t>
            </w:r>
          </w:p>
        </w:tc>
        <w:tc>
          <w:tcPr>
            <w:tcW w:w="1114" w:type="pct"/>
            <w:tcMar>
              <w:left w:w="108" w:type="dxa"/>
              <w:right w:w="108" w:type="dxa"/>
            </w:tcMar>
          </w:tcPr>
          <w:p w14:paraId="7E97A6EF" w14:textId="19E066D5" w:rsidR="002B03D6" w:rsidRPr="009A501D" w:rsidRDefault="002B03D6" w:rsidP="002B03D6">
            <w:pPr>
              <w:pStyle w:val="TableText"/>
            </w:pPr>
            <w:r w:rsidRPr="0016431B">
              <w:t xml:space="preserve">This project </w:t>
            </w:r>
            <w:r>
              <w:t>redeveloped</w:t>
            </w:r>
            <w:r w:rsidRPr="0016431B">
              <w:t xml:space="preserve"> the CSIRO-STARS network for enhanced biosecurity and laboratory management system interoperability at both national and jurisdictional levels. The expansion of software capability and improved performance to facilitate integration of a wider group of users to the network will improve Australia’s ability to respond to EAD outbreaks</w:t>
            </w:r>
            <w:r w:rsidR="00146868">
              <w:t>.</w:t>
            </w:r>
          </w:p>
        </w:tc>
        <w:tc>
          <w:tcPr>
            <w:tcW w:w="556" w:type="pct"/>
            <w:tcMar>
              <w:left w:w="108" w:type="dxa"/>
              <w:right w:w="108" w:type="dxa"/>
            </w:tcMar>
          </w:tcPr>
          <w:p w14:paraId="1AEC2AF1" w14:textId="6055DAB1" w:rsidR="002B03D6" w:rsidRPr="009A501D" w:rsidRDefault="002B03D6" w:rsidP="002B03D6">
            <w:pPr>
              <w:pStyle w:val="TableText"/>
            </w:pPr>
            <w:r>
              <w:t>Complete</w:t>
            </w:r>
          </w:p>
        </w:tc>
        <w:tc>
          <w:tcPr>
            <w:tcW w:w="861" w:type="pct"/>
            <w:tcMar>
              <w:left w:w="108" w:type="dxa"/>
              <w:right w:w="108" w:type="dxa"/>
            </w:tcMar>
          </w:tcPr>
          <w:p w14:paraId="71382CCD" w14:textId="58B3A2C6" w:rsidR="002B03D6" w:rsidRPr="009A501D" w:rsidRDefault="002B03D6" w:rsidP="002B03D6">
            <w:pPr>
              <w:pStyle w:val="TableText"/>
            </w:pPr>
            <w:r>
              <w:t>Nil</w:t>
            </w:r>
          </w:p>
        </w:tc>
        <w:tc>
          <w:tcPr>
            <w:tcW w:w="1001" w:type="pct"/>
            <w:tcMar>
              <w:left w:w="108" w:type="dxa"/>
              <w:right w:w="108" w:type="dxa"/>
            </w:tcMar>
          </w:tcPr>
          <w:p w14:paraId="131B98BB" w14:textId="7E786409" w:rsidR="002B03D6" w:rsidRPr="009A501D" w:rsidRDefault="002B03D6" w:rsidP="002B03D6">
            <w:pPr>
              <w:pStyle w:val="TableText"/>
            </w:pPr>
            <w:r>
              <w:t>Nil</w:t>
            </w:r>
          </w:p>
        </w:tc>
      </w:tr>
      <w:tr w:rsidR="00F03C6E" w:rsidRPr="009A501D" w14:paraId="3D19041A" w14:textId="77777777" w:rsidTr="00923835">
        <w:trPr>
          <w:cantSplit/>
        </w:trPr>
        <w:tc>
          <w:tcPr>
            <w:tcW w:w="816" w:type="pct"/>
            <w:tcMar>
              <w:left w:w="108" w:type="dxa"/>
              <w:right w:w="108" w:type="dxa"/>
            </w:tcMar>
          </w:tcPr>
          <w:p w14:paraId="4C34F7B4" w14:textId="596168D7" w:rsidR="00F03C6E" w:rsidRPr="00364387" w:rsidRDefault="00F03C6E" w:rsidP="00F03C6E">
            <w:pPr>
              <w:pStyle w:val="TableText"/>
            </w:pPr>
            <w:r w:rsidRPr="00AE4BD6">
              <w:t>National laboratory simulation exercise planning</w:t>
            </w:r>
          </w:p>
        </w:tc>
        <w:tc>
          <w:tcPr>
            <w:tcW w:w="652" w:type="pct"/>
            <w:tcMar>
              <w:left w:w="108" w:type="dxa"/>
              <w:right w:w="108" w:type="dxa"/>
            </w:tcMar>
          </w:tcPr>
          <w:p w14:paraId="029B9B1C" w14:textId="7D251D9B" w:rsidR="00F03C6E" w:rsidRDefault="00146868" w:rsidP="003F407D">
            <w:pPr>
              <w:pStyle w:val="TableBullet"/>
            </w:pPr>
            <w:r>
              <w:t>SCAHLS</w:t>
            </w:r>
          </w:p>
          <w:p w14:paraId="269A40B7" w14:textId="77777777" w:rsidR="00F03C6E" w:rsidRDefault="00F03C6E" w:rsidP="003F407D">
            <w:pPr>
              <w:pStyle w:val="TableBullet"/>
            </w:pPr>
            <w:r>
              <w:t>DAFF</w:t>
            </w:r>
          </w:p>
          <w:p w14:paraId="270F9041" w14:textId="06B16129" w:rsidR="00F03C6E" w:rsidRDefault="00F03C6E" w:rsidP="003F407D">
            <w:pPr>
              <w:pStyle w:val="TableBullet"/>
            </w:pPr>
            <w:r>
              <w:t>All jurisdictional animal health laboratories</w:t>
            </w:r>
          </w:p>
        </w:tc>
        <w:tc>
          <w:tcPr>
            <w:tcW w:w="1114" w:type="pct"/>
            <w:tcMar>
              <w:left w:w="108" w:type="dxa"/>
              <w:right w:w="108" w:type="dxa"/>
            </w:tcMar>
          </w:tcPr>
          <w:p w14:paraId="1B1DDB9E" w14:textId="34285636" w:rsidR="00F03C6E" w:rsidRDefault="00146868" w:rsidP="00F03C6E">
            <w:pPr>
              <w:pStyle w:val="TableText"/>
            </w:pPr>
            <w:r>
              <w:t>SCAHLS</w:t>
            </w:r>
            <w:r w:rsidR="00F03C6E" w:rsidRPr="00CD28CF">
              <w:t xml:space="preserve">, through leadership of DAFF and an expert consultant, have completed the process of finalising a business plan to guide the roadmap for a national laboratory-focused simulation exercise. This exercise will assist in the identification of training and means by which to improve the surge capacity of Australian animal health laboratory networks in response to major </w:t>
            </w:r>
            <w:r>
              <w:t>EAD</w:t>
            </w:r>
            <w:r w:rsidR="00F03C6E" w:rsidRPr="00CD28CF">
              <w:t xml:space="preserve"> outbreaks</w:t>
            </w:r>
            <w:r w:rsidR="00E83B08">
              <w:t>.</w:t>
            </w:r>
          </w:p>
        </w:tc>
        <w:tc>
          <w:tcPr>
            <w:tcW w:w="556" w:type="pct"/>
            <w:tcMar>
              <w:left w:w="108" w:type="dxa"/>
              <w:right w:w="108" w:type="dxa"/>
            </w:tcMar>
          </w:tcPr>
          <w:p w14:paraId="637EF33E" w14:textId="5394DBC9" w:rsidR="00F03C6E" w:rsidRDefault="00F03C6E" w:rsidP="00F03C6E">
            <w:pPr>
              <w:pStyle w:val="TableText"/>
            </w:pPr>
            <w:r>
              <w:t>Complete</w:t>
            </w:r>
          </w:p>
        </w:tc>
        <w:tc>
          <w:tcPr>
            <w:tcW w:w="861" w:type="pct"/>
            <w:tcMar>
              <w:left w:w="108" w:type="dxa"/>
              <w:right w:w="108" w:type="dxa"/>
            </w:tcMar>
          </w:tcPr>
          <w:p w14:paraId="1846903B" w14:textId="10C08311" w:rsidR="00F03C6E" w:rsidRPr="000176DD" w:rsidRDefault="00F03C6E" w:rsidP="00F03C6E">
            <w:pPr>
              <w:pStyle w:val="TableText"/>
            </w:pPr>
            <w:r>
              <w:t>Nil</w:t>
            </w:r>
          </w:p>
        </w:tc>
        <w:tc>
          <w:tcPr>
            <w:tcW w:w="1001" w:type="pct"/>
            <w:tcMar>
              <w:left w:w="108" w:type="dxa"/>
              <w:right w:w="108" w:type="dxa"/>
            </w:tcMar>
          </w:tcPr>
          <w:p w14:paraId="6617E0D4" w14:textId="4470DCDF" w:rsidR="00F03C6E" w:rsidRPr="000176DD" w:rsidRDefault="00F03C6E" w:rsidP="00F03C6E">
            <w:pPr>
              <w:pStyle w:val="TableText"/>
            </w:pPr>
            <w:r>
              <w:t>Nil</w:t>
            </w:r>
          </w:p>
        </w:tc>
      </w:tr>
      <w:tr w:rsidR="00F03C6E" w:rsidRPr="009A501D" w14:paraId="7ECDBE81" w14:textId="77777777" w:rsidTr="00923835">
        <w:trPr>
          <w:cantSplit/>
        </w:trPr>
        <w:tc>
          <w:tcPr>
            <w:tcW w:w="816" w:type="pct"/>
            <w:tcMar>
              <w:left w:w="108" w:type="dxa"/>
              <w:right w:w="108" w:type="dxa"/>
            </w:tcMar>
          </w:tcPr>
          <w:p w14:paraId="1A6BF2FE" w14:textId="0D334F0B" w:rsidR="00F03C6E" w:rsidRPr="00364387" w:rsidRDefault="00F03C6E" w:rsidP="00F03C6E">
            <w:pPr>
              <w:pStyle w:val="TableText"/>
            </w:pPr>
            <w:r w:rsidRPr="0089510F">
              <w:t>National laboratory simulation exercise (Exercise Waterhole)</w:t>
            </w:r>
          </w:p>
        </w:tc>
        <w:tc>
          <w:tcPr>
            <w:tcW w:w="652" w:type="pct"/>
            <w:tcMar>
              <w:left w:w="108" w:type="dxa"/>
              <w:right w:w="108" w:type="dxa"/>
            </w:tcMar>
          </w:tcPr>
          <w:p w14:paraId="0B53B5EC" w14:textId="77777777" w:rsidR="00F03C6E" w:rsidRDefault="00F03C6E" w:rsidP="003F407D">
            <w:pPr>
              <w:pStyle w:val="TableBullet"/>
            </w:pPr>
            <w:r>
              <w:t>SCAHLS</w:t>
            </w:r>
          </w:p>
          <w:p w14:paraId="2576E5B2" w14:textId="77777777" w:rsidR="00F03C6E" w:rsidRDefault="00F03C6E" w:rsidP="003F407D">
            <w:pPr>
              <w:pStyle w:val="TableBullet"/>
            </w:pPr>
            <w:r>
              <w:t>DAFF</w:t>
            </w:r>
          </w:p>
          <w:p w14:paraId="3A55AA01" w14:textId="5D5691AA" w:rsidR="00F03C6E" w:rsidRDefault="00F03C6E" w:rsidP="003F407D">
            <w:pPr>
              <w:pStyle w:val="TableBullet"/>
            </w:pPr>
            <w:r>
              <w:t>All jurisdictional animal health laboratories</w:t>
            </w:r>
          </w:p>
        </w:tc>
        <w:tc>
          <w:tcPr>
            <w:tcW w:w="1114" w:type="pct"/>
            <w:tcMar>
              <w:left w:w="108" w:type="dxa"/>
              <w:right w:w="108" w:type="dxa"/>
            </w:tcMar>
          </w:tcPr>
          <w:p w14:paraId="0367B6E4" w14:textId="4CA0F35E" w:rsidR="00F03C6E" w:rsidRDefault="00F03C6E" w:rsidP="00F03C6E">
            <w:pPr>
              <w:pStyle w:val="TableText"/>
            </w:pPr>
            <w:r>
              <w:t xml:space="preserve">Following a scoping report completed in 2022, Exercise Waterhole </w:t>
            </w:r>
            <w:r w:rsidR="00D12A7C">
              <w:t>included</w:t>
            </w:r>
            <w:r>
              <w:t xml:space="preserve"> a series of discussion workshops over September</w:t>
            </w:r>
            <w:r w:rsidR="00341449">
              <w:t xml:space="preserve"> and </w:t>
            </w:r>
            <w:r>
              <w:t>October 2023 and conclude</w:t>
            </w:r>
            <w:r w:rsidR="00143C52">
              <w:t>d</w:t>
            </w:r>
            <w:r>
              <w:t xml:space="preserve"> with a functional exercise in early November 2023. The exercise activities test</w:t>
            </w:r>
            <w:r w:rsidR="00341449">
              <w:t>ed</w:t>
            </w:r>
            <w:r>
              <w:t xml:space="preserve"> and evaluate</w:t>
            </w:r>
            <w:r w:rsidR="00341449">
              <w:t>d</w:t>
            </w:r>
            <w:r>
              <w:t xml:space="preserve"> national laboratory preparedness for a major emergency animal disease incursion across the spectrum of laboratory services in </w:t>
            </w:r>
            <w:r w:rsidR="00372133">
              <w:t>Australia</w:t>
            </w:r>
            <w:r w:rsidR="001573D8">
              <w:t>.</w:t>
            </w:r>
            <w:r w:rsidR="00372133">
              <w:t xml:space="preserve"> </w:t>
            </w:r>
            <w:r w:rsidR="001573D8">
              <w:t>A</w:t>
            </w:r>
            <w:r>
              <w:t xml:space="preserve"> dual disease scenario</w:t>
            </w:r>
            <w:r w:rsidR="001573D8">
              <w:t xml:space="preserve"> was simulated</w:t>
            </w:r>
            <w:r>
              <w:t xml:space="preserve"> involving a primary outbreak of </w:t>
            </w:r>
            <w:r w:rsidR="00372133">
              <w:t>LSD</w:t>
            </w:r>
            <w:r>
              <w:t xml:space="preserve"> in northern Australia, and a concurrent outbreak of highly pathogenic avian influenza (HPAI) in southern Australia.</w:t>
            </w:r>
          </w:p>
        </w:tc>
        <w:tc>
          <w:tcPr>
            <w:tcW w:w="556" w:type="pct"/>
            <w:tcMar>
              <w:left w:w="108" w:type="dxa"/>
              <w:right w:w="108" w:type="dxa"/>
            </w:tcMar>
          </w:tcPr>
          <w:p w14:paraId="3CE00A17" w14:textId="1479B5EC" w:rsidR="00F03C6E" w:rsidRDefault="00F03C6E" w:rsidP="00F03C6E">
            <w:pPr>
              <w:pStyle w:val="TableText"/>
            </w:pPr>
            <w:r>
              <w:t>Complete</w:t>
            </w:r>
          </w:p>
        </w:tc>
        <w:tc>
          <w:tcPr>
            <w:tcW w:w="861" w:type="pct"/>
            <w:tcMar>
              <w:left w:w="108" w:type="dxa"/>
              <w:right w:w="108" w:type="dxa"/>
            </w:tcMar>
          </w:tcPr>
          <w:p w14:paraId="79EFF635" w14:textId="1C44CBB2" w:rsidR="00F03C6E" w:rsidRPr="000176DD" w:rsidRDefault="00F03C6E" w:rsidP="00F03C6E">
            <w:pPr>
              <w:pStyle w:val="TableText"/>
            </w:pPr>
            <w:r>
              <w:t>Nil</w:t>
            </w:r>
          </w:p>
        </w:tc>
        <w:tc>
          <w:tcPr>
            <w:tcW w:w="1001" w:type="pct"/>
            <w:tcMar>
              <w:left w:w="108" w:type="dxa"/>
              <w:right w:w="108" w:type="dxa"/>
            </w:tcMar>
          </w:tcPr>
          <w:p w14:paraId="05C55800" w14:textId="16471E8B" w:rsidR="00F03C6E" w:rsidRPr="000176DD" w:rsidRDefault="00F03C6E" w:rsidP="00F03C6E">
            <w:pPr>
              <w:pStyle w:val="TableText"/>
            </w:pPr>
            <w:r>
              <w:t>Nil</w:t>
            </w:r>
          </w:p>
        </w:tc>
      </w:tr>
      <w:tr w:rsidR="00FC5DCB" w:rsidRPr="009A501D" w14:paraId="72FBAC48" w14:textId="77777777" w:rsidTr="00923835">
        <w:trPr>
          <w:cantSplit/>
        </w:trPr>
        <w:tc>
          <w:tcPr>
            <w:tcW w:w="816" w:type="pct"/>
            <w:tcMar>
              <w:left w:w="108" w:type="dxa"/>
              <w:right w:w="108" w:type="dxa"/>
            </w:tcMar>
          </w:tcPr>
          <w:p w14:paraId="46112ABE" w14:textId="376B817F" w:rsidR="00FC5DCB" w:rsidRPr="0016431B" w:rsidRDefault="00FC5DCB" w:rsidP="00FC5DCB">
            <w:pPr>
              <w:pStyle w:val="TableText"/>
            </w:pPr>
            <w:r w:rsidRPr="0016431B">
              <w:t>Building a sustainable national sample identification system for animal diagnostics - A pilot study using pre-barcoded sample collection tubes</w:t>
            </w:r>
          </w:p>
        </w:tc>
        <w:tc>
          <w:tcPr>
            <w:tcW w:w="652" w:type="pct"/>
            <w:tcMar>
              <w:left w:w="108" w:type="dxa"/>
              <w:right w:w="108" w:type="dxa"/>
            </w:tcMar>
          </w:tcPr>
          <w:p w14:paraId="7CD2E36F" w14:textId="77777777" w:rsidR="0035656C" w:rsidRDefault="0035656C" w:rsidP="00923835">
            <w:pPr>
              <w:pStyle w:val="TableBullet"/>
            </w:pPr>
            <w:r>
              <w:t>AgriBio (Victoria)</w:t>
            </w:r>
          </w:p>
          <w:p w14:paraId="089B61E7" w14:textId="19E44CAF" w:rsidR="00406F69" w:rsidRDefault="00406F69" w:rsidP="003F407D">
            <w:pPr>
              <w:pStyle w:val="TableBullet"/>
            </w:pPr>
            <w:r>
              <w:t>CSIRO</w:t>
            </w:r>
            <w:r w:rsidR="003F407D">
              <w:t xml:space="preserve"> </w:t>
            </w:r>
            <w:r>
              <w:t>ACDP</w:t>
            </w:r>
          </w:p>
          <w:p w14:paraId="1910FA56" w14:textId="5337F5F3" w:rsidR="00406F69" w:rsidRDefault="00B75F2C" w:rsidP="00923835">
            <w:pPr>
              <w:pStyle w:val="TableBullet"/>
            </w:pPr>
            <w:r>
              <w:t>Gribbles Veterinary Laboratory – Department of Primary Industries</w:t>
            </w:r>
            <w:r w:rsidR="00406F69">
              <w:t xml:space="preserve"> </w:t>
            </w:r>
            <w:r w:rsidR="00BF4C31">
              <w:t xml:space="preserve">and Regions </w:t>
            </w:r>
            <w:r w:rsidR="00406F69">
              <w:t>(South Australia)</w:t>
            </w:r>
          </w:p>
          <w:p w14:paraId="1BA186B4" w14:textId="416C2657" w:rsidR="00FC5DCB" w:rsidRDefault="0035656C" w:rsidP="00923835">
            <w:pPr>
              <w:pStyle w:val="TableBullet"/>
            </w:pPr>
            <w:r>
              <w:t>DAFF</w:t>
            </w:r>
          </w:p>
        </w:tc>
        <w:tc>
          <w:tcPr>
            <w:tcW w:w="1114" w:type="pct"/>
            <w:tcMar>
              <w:left w:w="108" w:type="dxa"/>
              <w:right w:w="108" w:type="dxa"/>
            </w:tcMar>
          </w:tcPr>
          <w:p w14:paraId="1EB96C67" w14:textId="353FDA00" w:rsidR="00FC5DCB" w:rsidRPr="0016431B" w:rsidRDefault="00DC1A0E" w:rsidP="00FC5DCB">
            <w:pPr>
              <w:pStyle w:val="TableText"/>
            </w:pPr>
            <w:r w:rsidRPr="00E31589">
              <w:t>This project will investigate pre-barcoded sample tubes to mitigate the bottleneck of manual labelling in disease outbreak responses</w:t>
            </w:r>
            <w:r>
              <w:t xml:space="preserve">. </w:t>
            </w:r>
            <w:r w:rsidRPr="00E31589">
              <w:t xml:space="preserve">It includes researching technologies and suppliers of pre-barcoded </w:t>
            </w:r>
            <w:r w:rsidR="001573D8">
              <w:t xml:space="preserve">sample collection </w:t>
            </w:r>
            <w:r w:rsidRPr="00E31589">
              <w:t>tubes</w:t>
            </w:r>
            <w:r w:rsidR="001573D8">
              <w:t>.</w:t>
            </w:r>
            <w:r w:rsidRPr="00E31589">
              <w:t xml:space="preserve"> </w:t>
            </w:r>
            <w:r w:rsidR="00341449">
              <w:t>AgriBio conducted</w:t>
            </w:r>
            <w:r w:rsidR="001573D8">
              <w:t xml:space="preserve"> s</w:t>
            </w:r>
            <w:r w:rsidRPr="00E31589">
              <w:t xml:space="preserve">everal pilot </w:t>
            </w:r>
            <w:r w:rsidR="001573D8">
              <w:t xml:space="preserve">trials of selected sample tubes from the field to </w:t>
            </w:r>
            <w:r w:rsidRPr="00E31589">
              <w:t>the lab</w:t>
            </w:r>
            <w:r w:rsidR="001573D8">
              <w:t>oratory</w:t>
            </w:r>
            <w:r w:rsidR="00341449">
              <w:t xml:space="preserve">. </w:t>
            </w:r>
            <w:r w:rsidRPr="00E31589">
              <w:t>A trial will also be conducted with the South Australian animal health laboratory service and ACDP to test its potential for use as a national system</w:t>
            </w:r>
            <w:r w:rsidR="00AC46D9">
              <w:t>.</w:t>
            </w:r>
          </w:p>
        </w:tc>
        <w:tc>
          <w:tcPr>
            <w:tcW w:w="556" w:type="pct"/>
            <w:tcMar>
              <w:left w:w="108" w:type="dxa"/>
              <w:right w:w="108" w:type="dxa"/>
            </w:tcMar>
          </w:tcPr>
          <w:p w14:paraId="4A806A0F" w14:textId="265EDAF3" w:rsidR="00FC5DCB" w:rsidRDefault="00A03226" w:rsidP="00FC5DCB">
            <w:pPr>
              <w:pStyle w:val="TableText"/>
            </w:pPr>
            <w:r>
              <w:t>Delayed</w:t>
            </w:r>
          </w:p>
        </w:tc>
        <w:tc>
          <w:tcPr>
            <w:tcW w:w="861" w:type="pct"/>
            <w:tcMar>
              <w:left w:w="108" w:type="dxa"/>
              <w:right w:w="108" w:type="dxa"/>
            </w:tcMar>
          </w:tcPr>
          <w:p w14:paraId="3B719598" w14:textId="718408EA" w:rsidR="00FC5DCB" w:rsidRDefault="00FC5DCB" w:rsidP="00FC5DCB">
            <w:pPr>
              <w:pStyle w:val="TableText"/>
            </w:pPr>
            <w:r w:rsidRPr="00E31589">
              <w:t>Since commencement, potential suppliers have been selected and initial trials have commenced.</w:t>
            </w:r>
          </w:p>
        </w:tc>
        <w:tc>
          <w:tcPr>
            <w:tcW w:w="1001" w:type="pct"/>
            <w:tcMar>
              <w:left w:w="108" w:type="dxa"/>
              <w:right w:w="108" w:type="dxa"/>
            </w:tcMar>
          </w:tcPr>
          <w:p w14:paraId="0F84C163" w14:textId="045AB0CE" w:rsidR="00FC5DCB" w:rsidRDefault="00FC5DCB" w:rsidP="00FC5DCB">
            <w:pPr>
              <w:pStyle w:val="TableText"/>
            </w:pPr>
            <w:r w:rsidRPr="0016431B">
              <w:t xml:space="preserve">The next milestone report was rescheduled for completion in </w:t>
            </w:r>
            <w:r w:rsidR="00A03226">
              <w:t xml:space="preserve">late </w:t>
            </w:r>
            <w:r w:rsidRPr="0016431B">
              <w:t>November 2024 and will include findings from the initial small trials and agreement on large-scale trial design</w:t>
            </w:r>
            <w:r w:rsidR="00406F69">
              <w:t>.</w:t>
            </w:r>
          </w:p>
        </w:tc>
      </w:tr>
    </w:tbl>
    <w:p w14:paraId="061FC5C7" w14:textId="77777777" w:rsidR="00923835" w:rsidRDefault="001309AE" w:rsidP="003F407D">
      <w:pPr>
        <w:pStyle w:val="Heading2"/>
        <w:numPr>
          <w:ilvl w:val="0"/>
          <w:numId w:val="0"/>
        </w:numPr>
        <w:ind w:left="720" w:hanging="720"/>
      </w:pPr>
      <w:bookmarkStart w:id="12" w:name="_Toc185243964"/>
      <w:bookmarkStart w:id="13" w:name="_Toc183777452"/>
      <w:r>
        <w:t>Objective 3</w:t>
      </w:r>
      <w:bookmarkEnd w:id="12"/>
    </w:p>
    <w:p w14:paraId="49D2489A" w14:textId="3E4D547E" w:rsidR="001309AE" w:rsidRPr="00923835" w:rsidRDefault="001F0E93" w:rsidP="003F407D">
      <w:pPr>
        <w:spacing w:before="120"/>
      </w:pPr>
      <w:r w:rsidRPr="00923835">
        <w:t>Introduce a suite of validated diagnostic assays to LEADDR laboratories targeting priority disease threats to Australian animal species</w:t>
      </w:r>
      <w:bookmarkEnd w:id="13"/>
      <w:r w:rsidR="00923835">
        <w:t>.</w:t>
      </w:r>
    </w:p>
    <w:p w14:paraId="561735D9" w14:textId="1681CEAE" w:rsidR="00E31589" w:rsidRDefault="00E31589" w:rsidP="00E31589">
      <w:pPr>
        <w:pStyle w:val="Caption"/>
      </w:pPr>
      <w:bookmarkStart w:id="14" w:name="_Toc185243970"/>
      <w:r>
        <w:t xml:space="preserve">Table </w:t>
      </w:r>
      <w:r>
        <w:fldChar w:fldCharType="begin"/>
      </w:r>
      <w:r>
        <w:instrText xml:space="preserve"> SEQ Table \* ARABIC </w:instrText>
      </w:r>
      <w:r>
        <w:fldChar w:fldCharType="separate"/>
      </w:r>
      <w:r w:rsidR="009C1315">
        <w:rPr>
          <w:noProof/>
        </w:rPr>
        <w:t>3</w:t>
      </w:r>
      <w:r>
        <w:fldChar w:fldCharType="end"/>
      </w:r>
      <w:r>
        <w:t xml:space="preserve"> </w:t>
      </w:r>
      <w:r w:rsidR="002E29A2">
        <w:t>Objective 3 p</w:t>
      </w:r>
      <w:r w:rsidR="001573D8">
        <w:t>rojects</w:t>
      </w:r>
      <w:bookmarkEnd w:id="14"/>
    </w:p>
    <w:tbl>
      <w:tblPr>
        <w:tblW w:w="5000" w:type="pct"/>
        <w:tblBorders>
          <w:top w:val="single" w:sz="4" w:space="0" w:color="auto"/>
          <w:bottom w:val="single" w:sz="4" w:space="0" w:color="auto"/>
          <w:insideH w:val="single" w:sz="4" w:space="0" w:color="auto"/>
        </w:tblBorders>
        <w:tblLayout w:type="fixed"/>
        <w:tblCellMar>
          <w:left w:w="40" w:type="dxa"/>
          <w:right w:w="40" w:type="dxa"/>
        </w:tblCellMar>
        <w:tblLook w:val="0000" w:firstRow="0" w:lastRow="0" w:firstColumn="0" w:lastColumn="0" w:noHBand="0" w:noVBand="0"/>
      </w:tblPr>
      <w:tblGrid>
        <w:gridCol w:w="2285"/>
        <w:gridCol w:w="1969"/>
        <w:gridCol w:w="2268"/>
        <w:gridCol w:w="991"/>
        <w:gridCol w:w="3260"/>
        <w:gridCol w:w="3229"/>
      </w:tblGrid>
      <w:tr w:rsidR="00E31589" w:rsidRPr="009A501D" w14:paraId="6015CA84" w14:textId="77777777" w:rsidTr="003F407D">
        <w:trPr>
          <w:cantSplit/>
          <w:tblHeader/>
        </w:trPr>
        <w:tc>
          <w:tcPr>
            <w:tcW w:w="816" w:type="pct"/>
            <w:tcMar>
              <w:left w:w="108" w:type="dxa"/>
              <w:right w:w="108" w:type="dxa"/>
            </w:tcMar>
          </w:tcPr>
          <w:p w14:paraId="5379B447" w14:textId="77777777" w:rsidR="00E31589" w:rsidRPr="009A501D" w:rsidRDefault="00E31589" w:rsidP="00C8529E">
            <w:pPr>
              <w:pStyle w:val="TableHeading"/>
            </w:pPr>
            <w:bookmarkStart w:id="15" w:name="Title_3"/>
            <w:bookmarkEnd w:id="15"/>
            <w:r>
              <w:t>Project title</w:t>
            </w:r>
          </w:p>
        </w:tc>
        <w:tc>
          <w:tcPr>
            <w:tcW w:w="703" w:type="pct"/>
            <w:tcMar>
              <w:left w:w="108" w:type="dxa"/>
              <w:right w:w="108" w:type="dxa"/>
            </w:tcMar>
          </w:tcPr>
          <w:p w14:paraId="7F05D797" w14:textId="77777777" w:rsidR="00E31589" w:rsidRPr="009A501D" w:rsidRDefault="00E31589" w:rsidP="00C8529E">
            <w:pPr>
              <w:pStyle w:val="TableHeading"/>
            </w:pPr>
            <w:r>
              <w:t>Lead and key collaborators</w:t>
            </w:r>
          </w:p>
        </w:tc>
        <w:tc>
          <w:tcPr>
            <w:tcW w:w="810" w:type="pct"/>
            <w:tcMar>
              <w:left w:w="108" w:type="dxa"/>
              <w:right w:w="108" w:type="dxa"/>
            </w:tcMar>
          </w:tcPr>
          <w:p w14:paraId="1E2CA6DB" w14:textId="77777777" w:rsidR="00E31589" w:rsidRPr="009A501D" w:rsidRDefault="00E31589" w:rsidP="00C8529E">
            <w:pPr>
              <w:pStyle w:val="TableHeading"/>
            </w:pPr>
            <w:r>
              <w:t>Description</w:t>
            </w:r>
          </w:p>
        </w:tc>
        <w:tc>
          <w:tcPr>
            <w:tcW w:w="354" w:type="pct"/>
            <w:tcMar>
              <w:left w:w="108" w:type="dxa"/>
              <w:right w:w="108" w:type="dxa"/>
            </w:tcMar>
          </w:tcPr>
          <w:p w14:paraId="3209E1B9" w14:textId="77777777" w:rsidR="00E31589" w:rsidRPr="009A501D" w:rsidRDefault="00E31589" w:rsidP="00C8529E">
            <w:pPr>
              <w:pStyle w:val="TableHeading"/>
            </w:pPr>
            <w:r>
              <w:t>Status</w:t>
            </w:r>
          </w:p>
        </w:tc>
        <w:tc>
          <w:tcPr>
            <w:tcW w:w="1164" w:type="pct"/>
            <w:tcMar>
              <w:left w:w="108" w:type="dxa"/>
              <w:right w:w="108" w:type="dxa"/>
            </w:tcMar>
          </w:tcPr>
          <w:p w14:paraId="40253898" w14:textId="77777777" w:rsidR="00E31589" w:rsidRPr="009A501D" w:rsidRDefault="00E31589" w:rsidP="00C8529E">
            <w:pPr>
              <w:pStyle w:val="TableHeading"/>
            </w:pPr>
            <w:r>
              <w:t>Progress update</w:t>
            </w:r>
          </w:p>
        </w:tc>
        <w:tc>
          <w:tcPr>
            <w:tcW w:w="1153" w:type="pct"/>
            <w:tcMar>
              <w:left w:w="108" w:type="dxa"/>
              <w:right w:w="108" w:type="dxa"/>
            </w:tcMar>
          </w:tcPr>
          <w:p w14:paraId="6EF8F682" w14:textId="77777777" w:rsidR="00E31589" w:rsidRPr="009A501D" w:rsidRDefault="00E31589" w:rsidP="00C8529E">
            <w:pPr>
              <w:pStyle w:val="TableHeading"/>
            </w:pPr>
            <w:r>
              <w:t>Next steps</w:t>
            </w:r>
          </w:p>
        </w:tc>
      </w:tr>
      <w:tr w:rsidR="002B03D6" w:rsidRPr="009A501D" w14:paraId="75A489BB" w14:textId="77777777" w:rsidTr="003F407D">
        <w:trPr>
          <w:cantSplit/>
        </w:trPr>
        <w:tc>
          <w:tcPr>
            <w:tcW w:w="816" w:type="pct"/>
            <w:tcMar>
              <w:left w:w="108" w:type="dxa"/>
              <w:right w:w="108" w:type="dxa"/>
            </w:tcMar>
          </w:tcPr>
          <w:p w14:paraId="3F071C5E" w14:textId="22B177A6" w:rsidR="002B03D6" w:rsidRPr="009A501D" w:rsidRDefault="002B03D6" w:rsidP="002B03D6">
            <w:pPr>
              <w:pStyle w:val="TableText"/>
            </w:pPr>
            <w:r w:rsidRPr="00364387">
              <w:t>Evaluation of antibody-detecting immunoassays for LSD in cattle and buffalo</w:t>
            </w:r>
          </w:p>
        </w:tc>
        <w:tc>
          <w:tcPr>
            <w:tcW w:w="703" w:type="pct"/>
            <w:tcMar>
              <w:left w:w="108" w:type="dxa"/>
              <w:right w:w="108" w:type="dxa"/>
            </w:tcMar>
          </w:tcPr>
          <w:p w14:paraId="32449C9A" w14:textId="665E8454" w:rsidR="002B03D6" w:rsidRDefault="002B03D6" w:rsidP="003F407D">
            <w:pPr>
              <w:pStyle w:val="TableBullet"/>
            </w:pPr>
            <w:r>
              <w:t>CSIRO</w:t>
            </w:r>
            <w:r w:rsidR="003F407D">
              <w:t xml:space="preserve"> </w:t>
            </w:r>
            <w:r>
              <w:t>ACDP</w:t>
            </w:r>
          </w:p>
          <w:p w14:paraId="0ED82A01" w14:textId="0D388316" w:rsidR="002B03D6" w:rsidRPr="009A501D" w:rsidRDefault="002B03D6" w:rsidP="003F407D">
            <w:pPr>
              <w:pStyle w:val="TableBullet"/>
            </w:pPr>
            <w:r>
              <w:t>DAFF</w:t>
            </w:r>
          </w:p>
        </w:tc>
        <w:tc>
          <w:tcPr>
            <w:tcW w:w="810" w:type="pct"/>
            <w:tcMar>
              <w:left w:w="108" w:type="dxa"/>
              <w:right w:w="108" w:type="dxa"/>
            </w:tcMar>
          </w:tcPr>
          <w:p w14:paraId="15D01267" w14:textId="43778CFA" w:rsidR="002B03D6" w:rsidRPr="009A501D" w:rsidRDefault="002B03D6" w:rsidP="002B03D6">
            <w:pPr>
              <w:pStyle w:val="TableText"/>
            </w:pPr>
            <w:r>
              <w:t>T</w:t>
            </w:r>
            <w:r w:rsidRPr="003A6119">
              <w:t xml:space="preserve">his project will evaluate the suitability of 3 antibody detection </w:t>
            </w:r>
            <w:r w:rsidR="00B10336">
              <w:t>e</w:t>
            </w:r>
            <w:r w:rsidRPr="003A6119">
              <w:t>nzyme-linked immunosorbent assays (ELISAs) for</w:t>
            </w:r>
            <w:r w:rsidR="00B10336">
              <w:t xml:space="preserve"> LSD</w:t>
            </w:r>
            <w:r w:rsidRPr="003A6119">
              <w:t xml:space="preserve"> surveillance, and proof-of-freedom testing, in cattle and buffalo in Australia. The ELISA kits will be made available for use by Australian laboratories via the LEADDR</w:t>
            </w:r>
            <w:r w:rsidR="0044123D">
              <w:t xml:space="preserve"> </w:t>
            </w:r>
            <w:r w:rsidRPr="003A6119">
              <w:t>network.</w:t>
            </w:r>
          </w:p>
        </w:tc>
        <w:tc>
          <w:tcPr>
            <w:tcW w:w="354" w:type="pct"/>
            <w:tcMar>
              <w:left w:w="108" w:type="dxa"/>
              <w:right w:w="108" w:type="dxa"/>
            </w:tcMar>
          </w:tcPr>
          <w:p w14:paraId="6A5EA912" w14:textId="256E5BD2" w:rsidR="002B03D6" w:rsidRPr="009A501D" w:rsidRDefault="002B03D6" w:rsidP="002B03D6">
            <w:pPr>
              <w:pStyle w:val="TableText"/>
            </w:pPr>
            <w:r>
              <w:t>Delayed</w:t>
            </w:r>
          </w:p>
        </w:tc>
        <w:tc>
          <w:tcPr>
            <w:tcW w:w="1164" w:type="pct"/>
            <w:tcMar>
              <w:left w:w="108" w:type="dxa"/>
              <w:right w:w="108" w:type="dxa"/>
            </w:tcMar>
          </w:tcPr>
          <w:p w14:paraId="4C890575" w14:textId="4BCB461D" w:rsidR="002B03D6" w:rsidRPr="009A501D" w:rsidRDefault="002B03D6" w:rsidP="002B03D6">
            <w:pPr>
              <w:pStyle w:val="TableText"/>
            </w:pPr>
            <w:r w:rsidRPr="000176DD">
              <w:t xml:space="preserve">This project continues to evaluate the suitability of 3 </w:t>
            </w:r>
            <w:r w:rsidR="00015E20">
              <w:t xml:space="preserve">ELISAs </w:t>
            </w:r>
            <w:r w:rsidRPr="000176DD">
              <w:t xml:space="preserve">for LSD testing in cattle and buffalo in Australia. Reference positive and negative serum samples, sourced overseas and in Australia, </w:t>
            </w:r>
            <w:r w:rsidR="0062448B">
              <w:t>will</w:t>
            </w:r>
            <w:r w:rsidRPr="000176DD">
              <w:t xml:space="preserve"> be further analysed this year using an upscaled commercial partner-supplied indirect ELISA, alongside existing ELISA capabilities. The ELISA kits will be made available for use by Australian laboratories via the </w:t>
            </w:r>
            <w:r w:rsidR="0044123D">
              <w:t>LEADDR</w:t>
            </w:r>
            <w:r w:rsidRPr="000176DD">
              <w:t xml:space="preserve"> network. The launch is anticipated for late 2024.</w:t>
            </w:r>
          </w:p>
        </w:tc>
        <w:tc>
          <w:tcPr>
            <w:tcW w:w="1153" w:type="pct"/>
            <w:tcMar>
              <w:left w:w="108" w:type="dxa"/>
              <w:right w:w="108" w:type="dxa"/>
            </w:tcMar>
          </w:tcPr>
          <w:p w14:paraId="3FA34540" w14:textId="6D58FD59" w:rsidR="002B03D6" w:rsidRPr="009A501D" w:rsidRDefault="002B03D6" w:rsidP="002B03D6">
            <w:pPr>
              <w:pStyle w:val="TableText"/>
            </w:pPr>
            <w:r w:rsidRPr="000176DD">
              <w:t xml:space="preserve">Additional samples from northern Australian and southeast Asia </w:t>
            </w:r>
            <w:r w:rsidR="0062448B">
              <w:t>will</w:t>
            </w:r>
            <w:r w:rsidRPr="000176DD">
              <w:t xml:space="preserve"> be </w:t>
            </w:r>
            <w:r w:rsidR="0062448B">
              <w:t>tested at</w:t>
            </w:r>
            <w:r w:rsidRPr="000176DD">
              <w:t xml:space="preserve"> ACDP or in country-of-origin. The project is </w:t>
            </w:r>
            <w:r w:rsidR="0062448B">
              <w:t xml:space="preserve">due for completion </w:t>
            </w:r>
            <w:r w:rsidRPr="000176DD">
              <w:t>by February 2025.</w:t>
            </w:r>
          </w:p>
        </w:tc>
      </w:tr>
      <w:tr w:rsidR="002B03D6" w:rsidRPr="009A501D" w14:paraId="1D6CA309" w14:textId="77777777" w:rsidTr="003F407D">
        <w:trPr>
          <w:cantSplit/>
        </w:trPr>
        <w:tc>
          <w:tcPr>
            <w:tcW w:w="816" w:type="pct"/>
            <w:tcMar>
              <w:left w:w="108" w:type="dxa"/>
              <w:right w:w="108" w:type="dxa"/>
            </w:tcMar>
          </w:tcPr>
          <w:p w14:paraId="4F414861" w14:textId="0D47D8C0" w:rsidR="002B03D6" w:rsidRPr="009A501D" w:rsidRDefault="002B03D6" w:rsidP="002B03D6">
            <w:pPr>
              <w:pStyle w:val="TableText"/>
            </w:pPr>
            <w:r w:rsidRPr="0077390F">
              <w:t>Establishing networked serological testing capability for African Swine Fever</w:t>
            </w:r>
          </w:p>
        </w:tc>
        <w:tc>
          <w:tcPr>
            <w:tcW w:w="703" w:type="pct"/>
            <w:tcMar>
              <w:left w:w="108" w:type="dxa"/>
              <w:right w:w="108" w:type="dxa"/>
            </w:tcMar>
          </w:tcPr>
          <w:p w14:paraId="572AEE13" w14:textId="77777777" w:rsidR="002B03D6" w:rsidRDefault="002B03D6" w:rsidP="003F407D">
            <w:pPr>
              <w:pStyle w:val="TableBullet"/>
            </w:pPr>
            <w:r>
              <w:t>The LEADDR network</w:t>
            </w:r>
          </w:p>
          <w:p w14:paraId="24FC2632" w14:textId="5307718B" w:rsidR="002B03D6" w:rsidRDefault="002B03D6" w:rsidP="003F407D">
            <w:pPr>
              <w:pStyle w:val="TableBullet"/>
            </w:pPr>
            <w:r>
              <w:t>CSIRO</w:t>
            </w:r>
            <w:r w:rsidR="003F407D">
              <w:t xml:space="preserve"> </w:t>
            </w:r>
            <w:r>
              <w:t>ACDP</w:t>
            </w:r>
          </w:p>
          <w:p w14:paraId="16829B7D" w14:textId="78521717" w:rsidR="002B03D6" w:rsidRPr="009A501D" w:rsidRDefault="002B03D6" w:rsidP="003F407D">
            <w:pPr>
              <w:pStyle w:val="TableBullet"/>
            </w:pPr>
            <w:r>
              <w:t>DAFF</w:t>
            </w:r>
          </w:p>
        </w:tc>
        <w:tc>
          <w:tcPr>
            <w:tcW w:w="810" w:type="pct"/>
            <w:tcMar>
              <w:left w:w="108" w:type="dxa"/>
              <w:right w:w="108" w:type="dxa"/>
            </w:tcMar>
          </w:tcPr>
          <w:p w14:paraId="2B93D39E" w14:textId="004CBFC6" w:rsidR="002B03D6" w:rsidRPr="009A501D" w:rsidRDefault="002B03D6" w:rsidP="002B03D6">
            <w:pPr>
              <w:pStyle w:val="TableText"/>
            </w:pPr>
            <w:r w:rsidRPr="00785A84">
              <w:t>This project</w:t>
            </w:r>
            <w:r>
              <w:t xml:space="preserve"> </w:t>
            </w:r>
            <w:r w:rsidRPr="00785A84">
              <w:t>establish</w:t>
            </w:r>
            <w:r>
              <w:t>ed</w:t>
            </w:r>
            <w:r w:rsidRPr="00785A84">
              <w:t xml:space="preserve"> an improved serological testing capability for African swine fever in Australia by harmonising quality assurance processes and antibody-detection ELISA capability via the LEADDR network.</w:t>
            </w:r>
          </w:p>
        </w:tc>
        <w:tc>
          <w:tcPr>
            <w:tcW w:w="354" w:type="pct"/>
            <w:tcMar>
              <w:left w:w="108" w:type="dxa"/>
              <w:right w:w="108" w:type="dxa"/>
            </w:tcMar>
          </w:tcPr>
          <w:p w14:paraId="612A19A1" w14:textId="1B65D07F" w:rsidR="002B03D6" w:rsidRPr="009A501D" w:rsidRDefault="002B03D6" w:rsidP="002B03D6">
            <w:pPr>
              <w:pStyle w:val="TableText"/>
            </w:pPr>
            <w:r>
              <w:t>Complete</w:t>
            </w:r>
          </w:p>
        </w:tc>
        <w:tc>
          <w:tcPr>
            <w:tcW w:w="1164" w:type="pct"/>
            <w:tcMar>
              <w:left w:w="108" w:type="dxa"/>
              <w:right w:w="108" w:type="dxa"/>
            </w:tcMar>
          </w:tcPr>
          <w:p w14:paraId="27262F66" w14:textId="2BFC4925" w:rsidR="002B03D6" w:rsidRPr="009A501D" w:rsidRDefault="002B03D6" w:rsidP="002B03D6">
            <w:pPr>
              <w:pStyle w:val="TableText"/>
            </w:pPr>
            <w:r>
              <w:t>Nil</w:t>
            </w:r>
          </w:p>
        </w:tc>
        <w:tc>
          <w:tcPr>
            <w:tcW w:w="1153" w:type="pct"/>
            <w:tcMar>
              <w:left w:w="108" w:type="dxa"/>
              <w:right w:w="108" w:type="dxa"/>
            </w:tcMar>
          </w:tcPr>
          <w:p w14:paraId="7EF523D5" w14:textId="088ECA5D" w:rsidR="002B03D6" w:rsidRPr="009A501D" w:rsidRDefault="002B03D6" w:rsidP="002B03D6">
            <w:pPr>
              <w:pStyle w:val="TableText"/>
            </w:pPr>
            <w:r>
              <w:t>Nil</w:t>
            </w:r>
          </w:p>
        </w:tc>
      </w:tr>
      <w:tr w:rsidR="002B3523" w:rsidRPr="009A501D" w14:paraId="5F9E00EC" w14:textId="77777777" w:rsidTr="003F407D">
        <w:trPr>
          <w:cantSplit/>
        </w:trPr>
        <w:tc>
          <w:tcPr>
            <w:tcW w:w="816" w:type="pct"/>
            <w:tcMar>
              <w:left w:w="108" w:type="dxa"/>
              <w:right w:w="108" w:type="dxa"/>
            </w:tcMar>
          </w:tcPr>
          <w:p w14:paraId="177C1C9F" w14:textId="1852EF21" w:rsidR="002B3523" w:rsidRPr="0077390F" w:rsidRDefault="002B3523" w:rsidP="002B3523">
            <w:pPr>
              <w:pStyle w:val="TableText"/>
            </w:pPr>
            <w:r w:rsidRPr="00190699">
              <w:t>LSD testing capacity building in the LEADDR network</w:t>
            </w:r>
          </w:p>
        </w:tc>
        <w:tc>
          <w:tcPr>
            <w:tcW w:w="703" w:type="pct"/>
            <w:tcMar>
              <w:left w:w="108" w:type="dxa"/>
              <w:right w:w="108" w:type="dxa"/>
            </w:tcMar>
          </w:tcPr>
          <w:p w14:paraId="0A253549" w14:textId="77777777" w:rsidR="00664578" w:rsidRDefault="00664578" w:rsidP="003F407D">
            <w:pPr>
              <w:pStyle w:val="TableBullet"/>
            </w:pPr>
            <w:r>
              <w:t>The LEADDR network</w:t>
            </w:r>
          </w:p>
          <w:p w14:paraId="5079DCAD" w14:textId="5F9BB1F8" w:rsidR="00664578" w:rsidRDefault="00664578" w:rsidP="003F407D">
            <w:pPr>
              <w:pStyle w:val="TableBullet"/>
            </w:pPr>
            <w:r>
              <w:t>CSIRO</w:t>
            </w:r>
            <w:r w:rsidR="003F407D">
              <w:t xml:space="preserve"> </w:t>
            </w:r>
            <w:r>
              <w:t>ACDP</w:t>
            </w:r>
          </w:p>
          <w:p w14:paraId="0F62CFB7" w14:textId="09FC2EE7" w:rsidR="002B3523" w:rsidRDefault="00664578" w:rsidP="003F407D">
            <w:pPr>
              <w:pStyle w:val="TableBullet"/>
            </w:pPr>
            <w:r>
              <w:t>DAFF</w:t>
            </w:r>
          </w:p>
        </w:tc>
        <w:tc>
          <w:tcPr>
            <w:tcW w:w="810" w:type="pct"/>
            <w:tcMar>
              <w:left w:w="108" w:type="dxa"/>
              <w:right w:w="108" w:type="dxa"/>
            </w:tcMar>
          </w:tcPr>
          <w:p w14:paraId="5CC74BB0" w14:textId="43A8F591" w:rsidR="002B3523" w:rsidRPr="00785A84" w:rsidRDefault="002B3523" w:rsidP="002B3523">
            <w:pPr>
              <w:pStyle w:val="TableText"/>
            </w:pPr>
            <w:r>
              <w:t>T</w:t>
            </w:r>
            <w:r w:rsidRPr="009D31B6">
              <w:t xml:space="preserve">his project will reinforce and extend Australia’s </w:t>
            </w:r>
            <w:r w:rsidR="00961DA4">
              <w:t>LSD</w:t>
            </w:r>
            <w:r w:rsidRPr="009D31B6">
              <w:t xml:space="preserve"> testing capability by strengthening the capability of ACDP to participate in international proficiency testing</w:t>
            </w:r>
            <w:r w:rsidR="002D7B6F">
              <w:t xml:space="preserve"> (PT)</w:t>
            </w:r>
            <w:r w:rsidRPr="009D31B6">
              <w:t xml:space="preserve"> and facilitating a robust and quality-assured national capability through implementation of </w:t>
            </w:r>
            <w:r w:rsidR="0062448B">
              <w:t>PT</w:t>
            </w:r>
            <w:r w:rsidRPr="009D31B6">
              <w:t xml:space="preserve"> and monitoring for the disease via </w:t>
            </w:r>
            <w:r w:rsidR="0062448B">
              <w:t xml:space="preserve">the </w:t>
            </w:r>
            <w:r w:rsidRPr="009D31B6">
              <w:t>LEADDR Network</w:t>
            </w:r>
            <w:r w:rsidR="00407648">
              <w:t>.</w:t>
            </w:r>
          </w:p>
        </w:tc>
        <w:tc>
          <w:tcPr>
            <w:tcW w:w="354" w:type="pct"/>
            <w:tcMar>
              <w:left w:w="108" w:type="dxa"/>
              <w:right w:w="108" w:type="dxa"/>
            </w:tcMar>
          </w:tcPr>
          <w:p w14:paraId="64AF7F38" w14:textId="20BE0888" w:rsidR="002B3523" w:rsidRDefault="003C6BCB" w:rsidP="002B3523">
            <w:pPr>
              <w:pStyle w:val="TableText"/>
            </w:pPr>
            <w:r>
              <w:t>Delayed</w:t>
            </w:r>
          </w:p>
        </w:tc>
        <w:tc>
          <w:tcPr>
            <w:tcW w:w="1164" w:type="pct"/>
            <w:tcMar>
              <w:left w:w="108" w:type="dxa"/>
              <w:right w:w="108" w:type="dxa"/>
            </w:tcMar>
          </w:tcPr>
          <w:p w14:paraId="3BB070D8" w14:textId="26799E0F" w:rsidR="002B3523" w:rsidRDefault="002B3523" w:rsidP="002B3523">
            <w:pPr>
              <w:pStyle w:val="TableText"/>
            </w:pPr>
            <w:r w:rsidRPr="00320773">
              <w:t xml:space="preserve">This project continues to progress the roll-out of molecular, real-time </w:t>
            </w:r>
            <w:r w:rsidR="00C60FA7">
              <w:t>quantitative</w:t>
            </w:r>
            <w:r w:rsidRPr="00320773">
              <w:t xml:space="preserve"> polymerase chain reaction (qPCR) and serological, ELISA capabilities to the LEADDR network as planned.</w:t>
            </w:r>
          </w:p>
        </w:tc>
        <w:tc>
          <w:tcPr>
            <w:tcW w:w="1153" w:type="pct"/>
            <w:tcMar>
              <w:left w:w="108" w:type="dxa"/>
              <w:right w:w="108" w:type="dxa"/>
            </w:tcMar>
          </w:tcPr>
          <w:p w14:paraId="7AE5DEB7" w14:textId="2D5ACE56" w:rsidR="002B3523" w:rsidRDefault="003C6BCB" w:rsidP="002B3523">
            <w:pPr>
              <w:pStyle w:val="TableText"/>
            </w:pPr>
            <w:r w:rsidRPr="003C6BCB">
              <w:t xml:space="preserve">The next milestone report will be rescheduled to accommodate delays, and it is anticipated the project will be completed by </w:t>
            </w:r>
            <w:r>
              <w:t>June</w:t>
            </w:r>
            <w:r w:rsidRPr="003C6BCB">
              <w:t xml:space="preserve"> 2025</w:t>
            </w:r>
            <w:r w:rsidR="002B3523" w:rsidRPr="00AC13F0">
              <w:t xml:space="preserve">. This report will outline the outcomes of the first LEADDR </w:t>
            </w:r>
            <w:r w:rsidR="00146ABD">
              <w:t>PT</w:t>
            </w:r>
            <w:r w:rsidR="002B3523" w:rsidRPr="00AC13F0">
              <w:t xml:space="preserve"> round for qPCR and ELISA, and progress on the second round. This project is due for completion in March 202</w:t>
            </w:r>
            <w:r w:rsidR="00477978">
              <w:t>5</w:t>
            </w:r>
            <w:r w:rsidR="002B3523" w:rsidRPr="00AC13F0">
              <w:t>.</w:t>
            </w:r>
          </w:p>
        </w:tc>
      </w:tr>
      <w:tr w:rsidR="00B721E5" w:rsidRPr="009A501D" w14:paraId="61BF57E1" w14:textId="77777777" w:rsidTr="003F407D">
        <w:trPr>
          <w:cantSplit/>
        </w:trPr>
        <w:tc>
          <w:tcPr>
            <w:tcW w:w="816" w:type="pct"/>
            <w:tcMar>
              <w:left w:w="108" w:type="dxa"/>
              <w:right w:w="108" w:type="dxa"/>
            </w:tcMar>
          </w:tcPr>
          <w:p w14:paraId="5745EF09" w14:textId="6304711A" w:rsidR="00B721E5" w:rsidRPr="0077390F" w:rsidRDefault="00B721E5" w:rsidP="00B721E5">
            <w:pPr>
              <w:pStyle w:val="TableText"/>
            </w:pPr>
            <w:r w:rsidRPr="00753BA1">
              <w:t>MicroRNA biomarkers for improved detection of animal diseases in a Johne’s disease</w:t>
            </w:r>
            <w:r w:rsidR="00141940">
              <w:t xml:space="preserve"> (JD) </w:t>
            </w:r>
            <w:r w:rsidRPr="00753BA1">
              <w:t>model</w:t>
            </w:r>
          </w:p>
        </w:tc>
        <w:tc>
          <w:tcPr>
            <w:tcW w:w="703" w:type="pct"/>
            <w:tcMar>
              <w:left w:w="108" w:type="dxa"/>
              <w:right w:w="108" w:type="dxa"/>
            </w:tcMar>
          </w:tcPr>
          <w:p w14:paraId="4CCD91B0" w14:textId="73075414" w:rsidR="00B721E5" w:rsidRDefault="00B721E5" w:rsidP="003F407D">
            <w:pPr>
              <w:pStyle w:val="TableBullet"/>
            </w:pPr>
            <w:r>
              <w:t>CSIRO</w:t>
            </w:r>
            <w:r w:rsidR="003F407D">
              <w:t xml:space="preserve"> </w:t>
            </w:r>
            <w:r>
              <w:t>ACDP</w:t>
            </w:r>
          </w:p>
          <w:p w14:paraId="30F0195E" w14:textId="055AFB76" w:rsidR="00B721E5" w:rsidRDefault="00B721E5" w:rsidP="003F407D">
            <w:pPr>
              <w:pStyle w:val="TableBullet"/>
            </w:pPr>
            <w:r>
              <w:t>DAFF</w:t>
            </w:r>
          </w:p>
        </w:tc>
        <w:tc>
          <w:tcPr>
            <w:tcW w:w="810" w:type="pct"/>
            <w:tcMar>
              <w:left w:w="108" w:type="dxa"/>
              <w:right w:w="108" w:type="dxa"/>
            </w:tcMar>
          </w:tcPr>
          <w:p w14:paraId="0609F09C" w14:textId="43E187F4" w:rsidR="00B721E5" w:rsidRPr="00785A84" w:rsidRDefault="00B721E5" w:rsidP="00B721E5">
            <w:pPr>
              <w:pStyle w:val="TableText"/>
            </w:pPr>
            <w:r w:rsidRPr="005B7190">
              <w:t xml:space="preserve">This project will evaluate the use of host microRNA for detection of </w:t>
            </w:r>
            <w:r w:rsidR="00141940">
              <w:t>JD</w:t>
            </w:r>
            <w:r w:rsidRPr="005B7190">
              <w:t xml:space="preserve"> in cattle and will provide a proof of concept for the potential extension of this approach to other EADs</w:t>
            </w:r>
            <w:r>
              <w:t>.</w:t>
            </w:r>
          </w:p>
        </w:tc>
        <w:tc>
          <w:tcPr>
            <w:tcW w:w="354" w:type="pct"/>
            <w:tcMar>
              <w:left w:w="108" w:type="dxa"/>
              <w:right w:w="108" w:type="dxa"/>
            </w:tcMar>
          </w:tcPr>
          <w:p w14:paraId="466052C2" w14:textId="1BF7D3F2" w:rsidR="00B721E5" w:rsidRDefault="00B721E5" w:rsidP="00B721E5">
            <w:pPr>
              <w:pStyle w:val="TableText"/>
            </w:pPr>
            <w:r>
              <w:t>Delayed</w:t>
            </w:r>
          </w:p>
        </w:tc>
        <w:tc>
          <w:tcPr>
            <w:tcW w:w="1164" w:type="pct"/>
            <w:tcMar>
              <w:left w:w="108" w:type="dxa"/>
              <w:right w:w="108" w:type="dxa"/>
            </w:tcMar>
          </w:tcPr>
          <w:p w14:paraId="7853BE41" w14:textId="5708874E" w:rsidR="00B721E5" w:rsidRDefault="00B721E5" w:rsidP="00B721E5">
            <w:pPr>
              <w:pStyle w:val="TableText"/>
            </w:pPr>
            <w:r>
              <w:t>T</w:t>
            </w:r>
            <w:r w:rsidRPr="00EF5475">
              <w:t xml:space="preserve">he project has completed further sequencing for host microRNA in an expanded collection of </w:t>
            </w:r>
            <w:r w:rsidR="00C01CBE">
              <w:t>JD</w:t>
            </w:r>
            <w:r w:rsidRPr="00EF5475">
              <w:t xml:space="preserve"> reference material. Cattle microRNA biomarkers of </w:t>
            </w:r>
            <w:r w:rsidR="004E430E">
              <w:t>JD</w:t>
            </w:r>
            <w:r w:rsidRPr="00EF5475">
              <w:t xml:space="preserve"> continue to be characterised and selected for molecular assay development and assessment of diagnostic performance. A stakeholder workshop on </w:t>
            </w:r>
            <w:r w:rsidR="00C01CBE">
              <w:t xml:space="preserve">JD </w:t>
            </w:r>
            <w:r w:rsidRPr="00EF5475">
              <w:t>diagnostics was held at ACDP in September 2024.</w:t>
            </w:r>
          </w:p>
        </w:tc>
        <w:tc>
          <w:tcPr>
            <w:tcW w:w="1153" w:type="pct"/>
            <w:tcMar>
              <w:left w:w="108" w:type="dxa"/>
              <w:right w:w="108" w:type="dxa"/>
            </w:tcMar>
          </w:tcPr>
          <w:p w14:paraId="3FB6C564" w14:textId="482D506C" w:rsidR="00B721E5" w:rsidRDefault="00B721E5" w:rsidP="00B721E5">
            <w:pPr>
              <w:pStyle w:val="TableText"/>
            </w:pPr>
            <w:r w:rsidRPr="00F17EA3">
              <w:t xml:space="preserve">Further sequencing of selected reference material continues. A PCR based biomarker assay in calves and heifers will be assessed for analytical and diagnostic performance. This project </w:t>
            </w:r>
            <w:r w:rsidR="0062448B">
              <w:t>is due for completion</w:t>
            </w:r>
            <w:r w:rsidRPr="00F17EA3">
              <w:t xml:space="preserve"> in</w:t>
            </w:r>
            <w:r w:rsidR="003C6BCB">
              <w:t xml:space="preserve"> </w:t>
            </w:r>
            <w:r w:rsidR="008636C5">
              <w:t>January</w:t>
            </w:r>
            <w:r w:rsidRPr="00F17EA3">
              <w:t xml:space="preserve"> 2025</w:t>
            </w:r>
            <w:r>
              <w:t>.</w:t>
            </w:r>
          </w:p>
        </w:tc>
      </w:tr>
      <w:tr w:rsidR="00787C7E" w:rsidRPr="009A501D" w14:paraId="6216F3A9" w14:textId="77777777" w:rsidTr="003F407D">
        <w:trPr>
          <w:cantSplit/>
        </w:trPr>
        <w:tc>
          <w:tcPr>
            <w:tcW w:w="816" w:type="pct"/>
            <w:tcMar>
              <w:left w:w="108" w:type="dxa"/>
              <w:right w:w="108" w:type="dxa"/>
            </w:tcMar>
          </w:tcPr>
          <w:p w14:paraId="5121AFE1" w14:textId="5B4C47FC" w:rsidR="00787C7E" w:rsidRPr="00753BA1" w:rsidRDefault="00787C7E" w:rsidP="00787C7E">
            <w:pPr>
              <w:pStyle w:val="TableText"/>
            </w:pPr>
            <w:r w:rsidRPr="006C6185">
              <w:t>Developing immunohistochemistry</w:t>
            </w:r>
            <w:r w:rsidR="00207054">
              <w:t xml:space="preserve"> (IHC)</w:t>
            </w:r>
            <w:r w:rsidRPr="006C6185">
              <w:t xml:space="preserve"> test for </w:t>
            </w:r>
            <w:r w:rsidR="00207054">
              <w:t>LSD</w:t>
            </w:r>
          </w:p>
        </w:tc>
        <w:tc>
          <w:tcPr>
            <w:tcW w:w="703" w:type="pct"/>
            <w:tcMar>
              <w:left w:w="108" w:type="dxa"/>
              <w:right w:w="108" w:type="dxa"/>
            </w:tcMar>
          </w:tcPr>
          <w:p w14:paraId="38A1B7D9" w14:textId="7B316D10" w:rsidR="00787C7E" w:rsidRDefault="00787C7E" w:rsidP="003F407D">
            <w:pPr>
              <w:pStyle w:val="TableBullet"/>
            </w:pPr>
            <w:r>
              <w:t>CSIRO</w:t>
            </w:r>
            <w:r w:rsidR="003F407D">
              <w:t xml:space="preserve"> </w:t>
            </w:r>
            <w:r>
              <w:t>ACDP</w:t>
            </w:r>
          </w:p>
          <w:p w14:paraId="14651F43" w14:textId="2F16E24A" w:rsidR="00787C7E" w:rsidRDefault="00787C7E" w:rsidP="003F407D">
            <w:pPr>
              <w:pStyle w:val="TableBullet"/>
            </w:pPr>
            <w:r>
              <w:t>DAFF</w:t>
            </w:r>
          </w:p>
        </w:tc>
        <w:tc>
          <w:tcPr>
            <w:tcW w:w="810" w:type="pct"/>
            <w:tcMar>
              <w:left w:w="108" w:type="dxa"/>
              <w:right w:w="108" w:type="dxa"/>
            </w:tcMar>
          </w:tcPr>
          <w:p w14:paraId="066CFCA0" w14:textId="5AD69F64" w:rsidR="00787C7E" w:rsidRPr="005B7190" w:rsidRDefault="00787C7E" w:rsidP="00787C7E">
            <w:pPr>
              <w:pStyle w:val="TableText"/>
            </w:pPr>
            <w:r>
              <w:t>T</w:t>
            </w:r>
            <w:r w:rsidRPr="0087798E">
              <w:t xml:space="preserve">his Australian Centre for Disease Preparedness (ACDP) project </w:t>
            </w:r>
            <w:r>
              <w:t>developed and characterised</w:t>
            </w:r>
            <w:r w:rsidRPr="0087798E">
              <w:t xml:space="preserve"> an </w:t>
            </w:r>
            <w:r w:rsidR="00207054">
              <w:t>IHC</w:t>
            </w:r>
            <w:r w:rsidRPr="0087798E">
              <w:t xml:space="preserve"> test for the diagnosis and investigation of </w:t>
            </w:r>
            <w:r w:rsidR="00207054">
              <w:t>LSD</w:t>
            </w:r>
            <w:r w:rsidRPr="0087798E">
              <w:t xml:space="preserve"> virus</w:t>
            </w:r>
            <w:r w:rsidR="00207054">
              <w:t>.</w:t>
            </w:r>
          </w:p>
        </w:tc>
        <w:tc>
          <w:tcPr>
            <w:tcW w:w="354" w:type="pct"/>
            <w:tcMar>
              <w:left w:w="108" w:type="dxa"/>
              <w:right w:w="108" w:type="dxa"/>
            </w:tcMar>
          </w:tcPr>
          <w:p w14:paraId="1E242AD8" w14:textId="7A6F0258" w:rsidR="00787C7E" w:rsidRDefault="00787C7E" w:rsidP="00787C7E">
            <w:pPr>
              <w:pStyle w:val="TableText"/>
            </w:pPr>
            <w:r>
              <w:t>Complete</w:t>
            </w:r>
          </w:p>
        </w:tc>
        <w:tc>
          <w:tcPr>
            <w:tcW w:w="1164" w:type="pct"/>
            <w:tcMar>
              <w:left w:w="108" w:type="dxa"/>
              <w:right w:w="108" w:type="dxa"/>
            </w:tcMar>
          </w:tcPr>
          <w:p w14:paraId="6C8C5418" w14:textId="0FB9E348" w:rsidR="00787C7E" w:rsidRDefault="00787C7E" w:rsidP="00787C7E">
            <w:pPr>
              <w:pStyle w:val="TableText"/>
            </w:pPr>
            <w:r>
              <w:t>Nil</w:t>
            </w:r>
          </w:p>
        </w:tc>
        <w:tc>
          <w:tcPr>
            <w:tcW w:w="1153" w:type="pct"/>
            <w:tcMar>
              <w:left w:w="108" w:type="dxa"/>
              <w:right w:w="108" w:type="dxa"/>
            </w:tcMar>
          </w:tcPr>
          <w:p w14:paraId="5E82FC53" w14:textId="6950F7A0" w:rsidR="00787C7E" w:rsidRPr="00F17EA3" w:rsidRDefault="00787C7E" w:rsidP="00787C7E">
            <w:pPr>
              <w:pStyle w:val="TableText"/>
            </w:pPr>
            <w:r>
              <w:t>Nil</w:t>
            </w:r>
          </w:p>
        </w:tc>
      </w:tr>
      <w:tr w:rsidR="00F03C6E" w:rsidRPr="009A501D" w14:paraId="443DEBD7" w14:textId="77777777" w:rsidTr="003F407D">
        <w:trPr>
          <w:cantSplit/>
        </w:trPr>
        <w:tc>
          <w:tcPr>
            <w:tcW w:w="816" w:type="pct"/>
            <w:tcMar>
              <w:left w:w="108" w:type="dxa"/>
              <w:right w:w="108" w:type="dxa"/>
            </w:tcMar>
          </w:tcPr>
          <w:p w14:paraId="3C01623D" w14:textId="56F108CE" w:rsidR="00F03C6E" w:rsidRPr="00753BA1" w:rsidRDefault="00F03C6E" w:rsidP="00F03C6E">
            <w:pPr>
              <w:pStyle w:val="TableText"/>
            </w:pPr>
            <w:r w:rsidRPr="00685699">
              <w:t xml:space="preserve">Equine piroplasmosis </w:t>
            </w:r>
            <w:r w:rsidR="00676379">
              <w:t xml:space="preserve">(EP) </w:t>
            </w:r>
            <w:r w:rsidRPr="00685699">
              <w:t>diagnostic capability development</w:t>
            </w:r>
          </w:p>
        </w:tc>
        <w:tc>
          <w:tcPr>
            <w:tcW w:w="703" w:type="pct"/>
            <w:tcMar>
              <w:left w:w="108" w:type="dxa"/>
              <w:right w:w="108" w:type="dxa"/>
            </w:tcMar>
          </w:tcPr>
          <w:p w14:paraId="758960F5" w14:textId="3231EAEF" w:rsidR="001631D3" w:rsidRDefault="001631D3" w:rsidP="003F407D">
            <w:pPr>
              <w:pStyle w:val="TableBullet"/>
            </w:pPr>
            <w:r>
              <w:t>CSIRO</w:t>
            </w:r>
            <w:r w:rsidR="003F407D">
              <w:t xml:space="preserve"> </w:t>
            </w:r>
            <w:r>
              <w:t>ACDP</w:t>
            </w:r>
          </w:p>
          <w:p w14:paraId="1C2283EC" w14:textId="3259A059" w:rsidR="00F03C6E" w:rsidRDefault="001631D3" w:rsidP="003F407D">
            <w:pPr>
              <w:pStyle w:val="TableBullet"/>
            </w:pPr>
            <w:r>
              <w:t>DAFF</w:t>
            </w:r>
          </w:p>
        </w:tc>
        <w:tc>
          <w:tcPr>
            <w:tcW w:w="810" w:type="pct"/>
            <w:tcMar>
              <w:left w:w="108" w:type="dxa"/>
              <w:right w:w="108" w:type="dxa"/>
            </w:tcMar>
          </w:tcPr>
          <w:p w14:paraId="732BAC54" w14:textId="40667C28" w:rsidR="00F03C6E" w:rsidRPr="005B7190" w:rsidRDefault="000F540E" w:rsidP="00F03C6E">
            <w:pPr>
              <w:pStyle w:val="TableText"/>
            </w:pPr>
            <w:r w:rsidRPr="000F540E">
              <w:t>This project aims to enhance ACDPs serological diagnostic capabilities for</w:t>
            </w:r>
            <w:r w:rsidR="00676379">
              <w:t xml:space="preserve"> EP</w:t>
            </w:r>
            <w:r w:rsidRPr="000F540E">
              <w:t xml:space="preserve">, caused by </w:t>
            </w:r>
            <w:proofErr w:type="spellStart"/>
            <w:r w:rsidRPr="00454191">
              <w:rPr>
                <w:i/>
                <w:iCs/>
              </w:rPr>
              <w:t>Theileria</w:t>
            </w:r>
            <w:proofErr w:type="spellEnd"/>
            <w:r w:rsidRPr="00454191">
              <w:rPr>
                <w:i/>
                <w:iCs/>
              </w:rPr>
              <w:t xml:space="preserve"> </w:t>
            </w:r>
            <w:proofErr w:type="spellStart"/>
            <w:r w:rsidRPr="00454191">
              <w:rPr>
                <w:i/>
                <w:iCs/>
              </w:rPr>
              <w:t>equi</w:t>
            </w:r>
            <w:proofErr w:type="spellEnd"/>
            <w:r w:rsidRPr="000F540E">
              <w:t xml:space="preserve"> and </w:t>
            </w:r>
            <w:r w:rsidRPr="00454191">
              <w:rPr>
                <w:i/>
                <w:iCs/>
              </w:rPr>
              <w:t>Babesia caballi</w:t>
            </w:r>
            <w:r w:rsidRPr="000F540E">
              <w:t>.</w:t>
            </w:r>
          </w:p>
        </w:tc>
        <w:tc>
          <w:tcPr>
            <w:tcW w:w="354" w:type="pct"/>
            <w:tcMar>
              <w:left w:w="108" w:type="dxa"/>
              <w:right w:w="108" w:type="dxa"/>
            </w:tcMar>
          </w:tcPr>
          <w:p w14:paraId="6D7F0A2C" w14:textId="02BC7502" w:rsidR="00F03C6E" w:rsidRDefault="006653E6" w:rsidP="00F03C6E">
            <w:pPr>
              <w:pStyle w:val="TableText"/>
            </w:pPr>
            <w:r>
              <w:t>Delayed</w:t>
            </w:r>
          </w:p>
        </w:tc>
        <w:tc>
          <w:tcPr>
            <w:tcW w:w="1164" w:type="pct"/>
            <w:tcMar>
              <w:left w:w="108" w:type="dxa"/>
              <w:right w:w="108" w:type="dxa"/>
            </w:tcMar>
          </w:tcPr>
          <w:p w14:paraId="3DB63D56" w14:textId="66E84590" w:rsidR="00F03C6E" w:rsidRDefault="00F03C6E" w:rsidP="00F03C6E">
            <w:pPr>
              <w:pStyle w:val="TableText"/>
            </w:pPr>
            <w:r w:rsidRPr="005A49E7">
              <w:t xml:space="preserve">Testing and analysis of the </w:t>
            </w:r>
            <w:r w:rsidRPr="00201E31">
              <w:rPr>
                <w:i/>
                <w:iCs/>
              </w:rPr>
              <w:t xml:space="preserve">T. </w:t>
            </w:r>
            <w:proofErr w:type="spellStart"/>
            <w:r w:rsidRPr="00201E31">
              <w:rPr>
                <w:i/>
                <w:iCs/>
              </w:rPr>
              <w:t>equi</w:t>
            </w:r>
            <w:proofErr w:type="spellEnd"/>
            <w:r w:rsidRPr="005A49E7">
              <w:t xml:space="preserve"> competitive ELISA and </w:t>
            </w:r>
            <w:r w:rsidR="00676379" w:rsidRPr="004F7AB2">
              <w:t>immunofluorescence antibody test</w:t>
            </w:r>
            <w:r w:rsidR="00676379" w:rsidRPr="005A49E7">
              <w:t xml:space="preserve"> </w:t>
            </w:r>
            <w:r w:rsidR="00676379">
              <w:t>(</w:t>
            </w:r>
            <w:r w:rsidRPr="005A49E7">
              <w:t>IFAT</w:t>
            </w:r>
            <w:r w:rsidR="00676379">
              <w:t>)</w:t>
            </w:r>
            <w:r w:rsidRPr="005A49E7">
              <w:t xml:space="preserve">, and the </w:t>
            </w:r>
            <w:r w:rsidRPr="00676379">
              <w:rPr>
                <w:i/>
                <w:iCs/>
              </w:rPr>
              <w:t>B. caballi</w:t>
            </w:r>
            <w:r w:rsidRPr="005A49E7">
              <w:t xml:space="preserve"> </w:t>
            </w:r>
            <w:proofErr w:type="spellStart"/>
            <w:r w:rsidRPr="005A49E7">
              <w:t>cELISA</w:t>
            </w:r>
            <w:proofErr w:type="spellEnd"/>
            <w:r w:rsidRPr="005A49E7">
              <w:t xml:space="preserve"> is now complete. Optimisation of </w:t>
            </w:r>
            <w:r w:rsidRPr="00676379">
              <w:rPr>
                <w:i/>
                <w:iCs/>
              </w:rPr>
              <w:t>B. caballi</w:t>
            </w:r>
            <w:r w:rsidRPr="005A49E7">
              <w:t xml:space="preserve"> IFAT is ongoing.</w:t>
            </w:r>
          </w:p>
        </w:tc>
        <w:tc>
          <w:tcPr>
            <w:tcW w:w="1153" w:type="pct"/>
            <w:tcMar>
              <w:left w:w="108" w:type="dxa"/>
              <w:right w:w="108" w:type="dxa"/>
            </w:tcMar>
          </w:tcPr>
          <w:p w14:paraId="135BCFC1" w14:textId="24EC70C4" w:rsidR="00F03C6E" w:rsidRPr="00F17EA3" w:rsidRDefault="00F03C6E" w:rsidP="00F03C6E">
            <w:pPr>
              <w:pStyle w:val="TableText"/>
            </w:pPr>
            <w:r w:rsidRPr="002A00C3">
              <w:t xml:space="preserve">Milestone 4 is due in November 2024. The final report will cover the development and verification of the EP ELISA and IFAT, and the submission of accreditation documents to </w:t>
            </w:r>
            <w:r w:rsidR="00676379" w:rsidRPr="00FC5CDB">
              <w:t xml:space="preserve">National Association of Testing Authorities </w:t>
            </w:r>
            <w:r w:rsidR="00676379">
              <w:t>(</w:t>
            </w:r>
            <w:r w:rsidRPr="002A00C3">
              <w:t>NATA</w:t>
            </w:r>
            <w:r w:rsidR="00676379">
              <w:t>)</w:t>
            </w:r>
            <w:r>
              <w:t>.</w:t>
            </w:r>
          </w:p>
        </w:tc>
      </w:tr>
      <w:tr w:rsidR="00F03C6E" w:rsidRPr="009A501D" w14:paraId="77478669" w14:textId="77777777" w:rsidTr="003F407D">
        <w:trPr>
          <w:cantSplit/>
        </w:trPr>
        <w:tc>
          <w:tcPr>
            <w:tcW w:w="816" w:type="pct"/>
            <w:tcMar>
              <w:left w:w="108" w:type="dxa"/>
              <w:right w:w="108" w:type="dxa"/>
            </w:tcMar>
          </w:tcPr>
          <w:p w14:paraId="256CA3F2" w14:textId="0C73E0F6" w:rsidR="00F03C6E" w:rsidRPr="00753BA1" w:rsidRDefault="00F03C6E" w:rsidP="00F03C6E">
            <w:pPr>
              <w:pStyle w:val="TableText"/>
            </w:pPr>
            <w:r w:rsidRPr="00B53C6A">
              <w:t>Improve national diagnostic capability for glanders</w:t>
            </w:r>
          </w:p>
        </w:tc>
        <w:tc>
          <w:tcPr>
            <w:tcW w:w="703" w:type="pct"/>
            <w:tcMar>
              <w:left w:w="108" w:type="dxa"/>
              <w:right w:w="108" w:type="dxa"/>
            </w:tcMar>
          </w:tcPr>
          <w:p w14:paraId="6F6F9433" w14:textId="400EB0DC" w:rsidR="001631D3" w:rsidRDefault="001631D3" w:rsidP="003F407D">
            <w:pPr>
              <w:pStyle w:val="TableBullet"/>
            </w:pPr>
            <w:r>
              <w:t>CSIRO</w:t>
            </w:r>
            <w:r w:rsidR="003F407D">
              <w:t xml:space="preserve"> </w:t>
            </w:r>
            <w:r>
              <w:t>ACDP</w:t>
            </w:r>
          </w:p>
          <w:p w14:paraId="53DA4744" w14:textId="269552B4" w:rsidR="00F03C6E" w:rsidRDefault="001631D3" w:rsidP="003F407D">
            <w:pPr>
              <w:pStyle w:val="TableBullet"/>
            </w:pPr>
            <w:r>
              <w:t>DAFF</w:t>
            </w:r>
          </w:p>
        </w:tc>
        <w:tc>
          <w:tcPr>
            <w:tcW w:w="810" w:type="pct"/>
            <w:tcMar>
              <w:left w:w="108" w:type="dxa"/>
              <w:right w:w="108" w:type="dxa"/>
            </w:tcMar>
          </w:tcPr>
          <w:p w14:paraId="77ECD910" w14:textId="74DA5177" w:rsidR="00F03C6E" w:rsidRPr="005B7190" w:rsidRDefault="000E0F24" w:rsidP="00F03C6E">
            <w:pPr>
              <w:pStyle w:val="TableText"/>
            </w:pPr>
            <w:r w:rsidRPr="000E0F24">
              <w:t>This project</w:t>
            </w:r>
            <w:r>
              <w:t xml:space="preserve"> </w:t>
            </w:r>
            <w:r w:rsidRPr="000E0F24">
              <w:t xml:space="preserve">aims to enhance our national diagnostic capabilities for glanders, caused by the bacterium </w:t>
            </w:r>
            <w:proofErr w:type="spellStart"/>
            <w:r w:rsidRPr="000E0F24">
              <w:rPr>
                <w:i/>
                <w:iCs/>
              </w:rPr>
              <w:t>Burkholderia</w:t>
            </w:r>
            <w:proofErr w:type="spellEnd"/>
            <w:r w:rsidRPr="000E0F24">
              <w:rPr>
                <w:i/>
                <w:iCs/>
              </w:rPr>
              <w:t xml:space="preserve"> mallei</w:t>
            </w:r>
            <w:r>
              <w:t>.</w:t>
            </w:r>
          </w:p>
        </w:tc>
        <w:tc>
          <w:tcPr>
            <w:tcW w:w="354" w:type="pct"/>
            <w:tcMar>
              <w:left w:w="108" w:type="dxa"/>
              <w:right w:w="108" w:type="dxa"/>
            </w:tcMar>
          </w:tcPr>
          <w:p w14:paraId="54502117" w14:textId="15747818" w:rsidR="00F03C6E" w:rsidRDefault="00FE6600" w:rsidP="00F03C6E">
            <w:pPr>
              <w:pStyle w:val="TableText"/>
            </w:pPr>
            <w:r>
              <w:t>On track</w:t>
            </w:r>
          </w:p>
        </w:tc>
        <w:tc>
          <w:tcPr>
            <w:tcW w:w="1164" w:type="pct"/>
            <w:tcMar>
              <w:left w:w="108" w:type="dxa"/>
              <w:right w:w="108" w:type="dxa"/>
            </w:tcMar>
          </w:tcPr>
          <w:p w14:paraId="211246F3" w14:textId="59BF37EA" w:rsidR="00F03C6E" w:rsidRDefault="00702FE5" w:rsidP="00F03C6E">
            <w:pPr>
              <w:pStyle w:val="TableText"/>
            </w:pPr>
            <w:r>
              <w:t>Assessment and verification of</w:t>
            </w:r>
            <w:r w:rsidR="00F03C6E" w:rsidRPr="00FC5CDB">
              <w:t xml:space="preserve"> current commercial tests and developing a fit-for-purpose testing algorithm for the laboratory diagnosis of glanders</w:t>
            </w:r>
            <w:r>
              <w:t xml:space="preserve"> has commenced</w:t>
            </w:r>
            <w:r w:rsidR="00F03C6E" w:rsidRPr="00FC5CDB">
              <w:t xml:space="preserve">. The project team will also seek to gain </w:t>
            </w:r>
            <w:r w:rsidR="00676379">
              <w:t xml:space="preserve">NATA </w:t>
            </w:r>
            <w:r w:rsidR="00F03C6E" w:rsidRPr="00FC5CDB">
              <w:t>accreditation for the new diagnostic method</w:t>
            </w:r>
            <w:r w:rsidR="00F03C6E">
              <w:t>.</w:t>
            </w:r>
          </w:p>
        </w:tc>
        <w:tc>
          <w:tcPr>
            <w:tcW w:w="1153" w:type="pct"/>
            <w:tcMar>
              <w:left w:w="108" w:type="dxa"/>
              <w:right w:w="108" w:type="dxa"/>
            </w:tcMar>
          </w:tcPr>
          <w:p w14:paraId="553898B7" w14:textId="097FF26D" w:rsidR="00F03C6E" w:rsidRPr="00F17EA3" w:rsidRDefault="00F03C6E" w:rsidP="00F03C6E">
            <w:pPr>
              <w:pStyle w:val="TableText"/>
            </w:pPr>
            <w:r w:rsidRPr="00D829BB">
              <w:t>The next milestone report outlining verified procedures for ELISAs and PCR tests for glanders is due April 2025. The final project report providing evidence of documents submitted for NATA accreditation and is due June 2025.</w:t>
            </w:r>
          </w:p>
        </w:tc>
      </w:tr>
      <w:tr w:rsidR="00F03C6E" w:rsidRPr="009A501D" w14:paraId="0E8B71E4" w14:textId="77777777" w:rsidTr="003F407D">
        <w:trPr>
          <w:cantSplit/>
        </w:trPr>
        <w:tc>
          <w:tcPr>
            <w:tcW w:w="816" w:type="pct"/>
            <w:tcMar>
              <w:left w:w="108" w:type="dxa"/>
              <w:right w:w="108" w:type="dxa"/>
            </w:tcMar>
          </w:tcPr>
          <w:p w14:paraId="7A130ABF" w14:textId="37E73B7C" w:rsidR="00F03C6E" w:rsidRPr="00753BA1" w:rsidRDefault="00F03C6E" w:rsidP="00F03C6E">
            <w:pPr>
              <w:pStyle w:val="TableText"/>
            </w:pPr>
            <w:r w:rsidRPr="00D40B15">
              <w:t>Assessment and improvement of national bluetongue serological capability - a comparative study of commercial and in-house ELISAs</w:t>
            </w:r>
          </w:p>
        </w:tc>
        <w:tc>
          <w:tcPr>
            <w:tcW w:w="703" w:type="pct"/>
            <w:tcMar>
              <w:left w:w="108" w:type="dxa"/>
              <w:right w:w="108" w:type="dxa"/>
            </w:tcMar>
          </w:tcPr>
          <w:p w14:paraId="71949EB3" w14:textId="0EA3C031" w:rsidR="001631D3" w:rsidRDefault="001631D3" w:rsidP="003F407D">
            <w:pPr>
              <w:pStyle w:val="TableBullet"/>
            </w:pPr>
            <w:r>
              <w:t>CSIRO</w:t>
            </w:r>
            <w:r w:rsidR="003F407D">
              <w:t xml:space="preserve"> </w:t>
            </w:r>
            <w:r>
              <w:t>ACDP</w:t>
            </w:r>
          </w:p>
          <w:p w14:paraId="47904483" w14:textId="6D992B4A" w:rsidR="00F03C6E" w:rsidRDefault="001631D3" w:rsidP="003F407D">
            <w:pPr>
              <w:pStyle w:val="TableBullet"/>
            </w:pPr>
            <w:r>
              <w:t>DAFF</w:t>
            </w:r>
          </w:p>
        </w:tc>
        <w:tc>
          <w:tcPr>
            <w:tcW w:w="810" w:type="pct"/>
            <w:tcMar>
              <w:left w:w="108" w:type="dxa"/>
              <w:right w:w="108" w:type="dxa"/>
            </w:tcMar>
          </w:tcPr>
          <w:p w14:paraId="04A12AA3" w14:textId="1E2FD73D" w:rsidR="00F03C6E" w:rsidRPr="005B7190" w:rsidRDefault="00702FE5" w:rsidP="00F03C6E">
            <w:pPr>
              <w:pStyle w:val="TableText"/>
            </w:pPr>
            <w:r w:rsidRPr="00702FE5">
              <w:t>This project aims to measure, assess, and improve on current bluetongue virus (BTV) serological capabilities in Australia to support national BTV surveillance and response activities</w:t>
            </w:r>
            <w:r w:rsidR="00AA0843">
              <w:t>.</w:t>
            </w:r>
          </w:p>
        </w:tc>
        <w:tc>
          <w:tcPr>
            <w:tcW w:w="354" w:type="pct"/>
            <w:tcMar>
              <w:left w:w="108" w:type="dxa"/>
              <w:right w:w="108" w:type="dxa"/>
            </w:tcMar>
          </w:tcPr>
          <w:p w14:paraId="35ED68E9" w14:textId="45761D47" w:rsidR="00F03C6E" w:rsidRDefault="00FE6600" w:rsidP="00F03C6E">
            <w:pPr>
              <w:pStyle w:val="TableText"/>
            </w:pPr>
            <w:r>
              <w:t>On track</w:t>
            </w:r>
          </w:p>
        </w:tc>
        <w:tc>
          <w:tcPr>
            <w:tcW w:w="1164" w:type="pct"/>
            <w:tcMar>
              <w:left w:w="108" w:type="dxa"/>
              <w:right w:w="108" w:type="dxa"/>
            </w:tcMar>
          </w:tcPr>
          <w:p w14:paraId="6FDE873C" w14:textId="0D731E2C" w:rsidR="00F03C6E" w:rsidRDefault="00F03C6E" w:rsidP="00F03C6E">
            <w:pPr>
              <w:pStyle w:val="TableText"/>
            </w:pPr>
            <w:r w:rsidRPr="00873658">
              <w:t xml:space="preserve">BTV </w:t>
            </w:r>
            <w:r w:rsidRPr="007C3D04">
              <w:rPr>
                <w:i/>
                <w:iCs/>
              </w:rPr>
              <w:t>in-house</w:t>
            </w:r>
            <w:r w:rsidRPr="00873658">
              <w:t xml:space="preserve"> ELISAs are in final stages of development, and commercial ELISA kits have been procured. A </w:t>
            </w:r>
            <w:hyperlink r:id="rId24" w:history="1">
              <w:r w:rsidRPr="003F407D">
                <w:rPr>
                  <w:rStyle w:val="Hyperlink"/>
                </w:rPr>
                <w:t>manuscript</w:t>
              </w:r>
            </w:hyperlink>
            <w:r w:rsidRPr="00873658">
              <w:t xml:space="preserve"> </w:t>
            </w:r>
            <w:r w:rsidR="004E430E">
              <w:t xml:space="preserve">outlining the complexities of </w:t>
            </w:r>
            <w:r w:rsidR="004E430E" w:rsidRPr="004E430E">
              <w:t>BTV-</w:t>
            </w:r>
            <w:r w:rsidR="004E430E">
              <w:t>g</w:t>
            </w:r>
            <w:r w:rsidR="004E430E" w:rsidRPr="004E430E">
              <w:t xml:space="preserve">roup </w:t>
            </w:r>
            <w:r w:rsidR="004E430E">
              <w:t>s</w:t>
            </w:r>
            <w:r w:rsidR="004E430E" w:rsidRPr="004E430E">
              <w:t xml:space="preserve">pecific </w:t>
            </w:r>
            <w:r w:rsidR="004E430E">
              <w:t>s</w:t>
            </w:r>
            <w:r w:rsidR="004E430E" w:rsidRPr="004E430E">
              <w:t xml:space="preserve">erology </w:t>
            </w:r>
            <w:r w:rsidR="004E430E">
              <w:t>t</w:t>
            </w:r>
            <w:r w:rsidR="004E430E" w:rsidRPr="004E430E">
              <w:t xml:space="preserve">esting </w:t>
            </w:r>
            <w:r w:rsidR="004E430E">
              <w:t xml:space="preserve">has been published the </w:t>
            </w:r>
            <w:r w:rsidRPr="00873658">
              <w:t xml:space="preserve">peer-reviewed journal </w:t>
            </w:r>
            <w:r w:rsidR="003F407D" w:rsidRPr="003F407D">
              <w:rPr>
                <w:rStyle w:val="Emphasis"/>
              </w:rPr>
              <w:t>Viruses</w:t>
            </w:r>
            <w:r w:rsidRPr="00923835">
              <w:t>.</w:t>
            </w:r>
          </w:p>
        </w:tc>
        <w:tc>
          <w:tcPr>
            <w:tcW w:w="1153" w:type="pct"/>
            <w:tcMar>
              <w:left w:w="108" w:type="dxa"/>
              <w:right w:w="108" w:type="dxa"/>
            </w:tcMar>
          </w:tcPr>
          <w:p w14:paraId="46F70BC5" w14:textId="60AC63FD" w:rsidR="00F03C6E" w:rsidRPr="00F17EA3" w:rsidRDefault="00F03C6E" w:rsidP="00F03C6E">
            <w:pPr>
              <w:pStyle w:val="TableText"/>
            </w:pPr>
            <w:r w:rsidRPr="00727E1D">
              <w:t>The final milestone, due in June 2025 will include a final report detailing the evaluation of a fit-for-purpose diagnostic algorithm. The final milestone also includes evidence of documents submitted for NATA accreditation and</w:t>
            </w:r>
            <w:r w:rsidR="00923835">
              <w:t>,</w:t>
            </w:r>
            <w:r w:rsidRPr="00727E1D">
              <w:t xml:space="preserve"> where applicable</w:t>
            </w:r>
            <w:r w:rsidRPr="002979C6">
              <w:t>, a peer-review</w:t>
            </w:r>
            <w:r w:rsidR="00923835" w:rsidRPr="002979C6">
              <w:t>ed</w:t>
            </w:r>
            <w:r w:rsidRPr="002979C6">
              <w:t xml:space="preserve"> journal manuscript for publication.</w:t>
            </w:r>
          </w:p>
        </w:tc>
      </w:tr>
      <w:tr w:rsidR="00F03C6E" w:rsidRPr="009A501D" w14:paraId="0FCA8317" w14:textId="77777777" w:rsidTr="003F407D">
        <w:trPr>
          <w:cantSplit/>
        </w:trPr>
        <w:tc>
          <w:tcPr>
            <w:tcW w:w="816" w:type="pct"/>
            <w:tcMar>
              <w:left w:w="108" w:type="dxa"/>
              <w:right w:w="108" w:type="dxa"/>
            </w:tcMar>
          </w:tcPr>
          <w:p w14:paraId="03E58979" w14:textId="6A5E25F1" w:rsidR="00F03C6E" w:rsidRPr="00753BA1" w:rsidRDefault="00F03C6E" w:rsidP="00F03C6E">
            <w:pPr>
              <w:pStyle w:val="TableText"/>
            </w:pPr>
            <w:r w:rsidRPr="002239EB">
              <w:t>Improvement of serological testing for flaviviruses in Australian livestock</w:t>
            </w:r>
          </w:p>
        </w:tc>
        <w:tc>
          <w:tcPr>
            <w:tcW w:w="703" w:type="pct"/>
            <w:tcMar>
              <w:left w:w="108" w:type="dxa"/>
              <w:right w:w="108" w:type="dxa"/>
            </w:tcMar>
          </w:tcPr>
          <w:p w14:paraId="11E9DC1F" w14:textId="3B10CA3A" w:rsidR="001631D3" w:rsidRDefault="001631D3" w:rsidP="003F407D">
            <w:pPr>
              <w:pStyle w:val="TableBullet"/>
            </w:pPr>
            <w:r>
              <w:t>CSIRO</w:t>
            </w:r>
            <w:r w:rsidR="003F407D">
              <w:t xml:space="preserve"> </w:t>
            </w:r>
            <w:r>
              <w:t>ACDP</w:t>
            </w:r>
          </w:p>
          <w:p w14:paraId="17D79E2F" w14:textId="53AE5E4A" w:rsidR="00F03C6E" w:rsidRDefault="001631D3" w:rsidP="003F407D">
            <w:pPr>
              <w:pStyle w:val="TableBullet"/>
            </w:pPr>
            <w:r>
              <w:t>DAFF</w:t>
            </w:r>
          </w:p>
        </w:tc>
        <w:tc>
          <w:tcPr>
            <w:tcW w:w="810" w:type="pct"/>
            <w:tcMar>
              <w:left w:w="108" w:type="dxa"/>
              <w:right w:w="108" w:type="dxa"/>
            </w:tcMar>
          </w:tcPr>
          <w:p w14:paraId="45DC1F88" w14:textId="7EC6A36A" w:rsidR="00F03C6E" w:rsidRPr="005B7190" w:rsidRDefault="00881645" w:rsidP="00F03C6E">
            <w:pPr>
              <w:pStyle w:val="TableText"/>
            </w:pPr>
            <w:r w:rsidRPr="00AA27A6">
              <w:t>This project</w:t>
            </w:r>
            <w:r>
              <w:t xml:space="preserve"> </w:t>
            </w:r>
            <w:r w:rsidRPr="00AA27A6">
              <w:t>aims to develop a bead-based multiplexed serological (Luminex) assay for the differential diagnosis of various flaviviruses, suitable for use in pigs and horses</w:t>
            </w:r>
            <w:r>
              <w:t>.</w:t>
            </w:r>
            <w:r w:rsidR="000270EB" w:rsidRPr="00AA27A6">
              <w:t xml:space="preserve"> Successful uptake of this new serological approach </w:t>
            </w:r>
            <w:r w:rsidR="00A71674">
              <w:t>at</w:t>
            </w:r>
            <w:r w:rsidR="000270EB" w:rsidRPr="00AA27A6">
              <w:t xml:space="preserve"> ACDP will enable faster, higher-throughput</w:t>
            </w:r>
            <w:r w:rsidR="00A71674">
              <w:t xml:space="preserve"> testing,</w:t>
            </w:r>
            <w:r w:rsidR="000270EB" w:rsidRPr="00AA27A6">
              <w:t xml:space="preserve"> and more sensitive/specific testing for flaviviruses in relevant livestock species</w:t>
            </w:r>
            <w:r w:rsidR="00AA0843">
              <w:t>.</w:t>
            </w:r>
          </w:p>
        </w:tc>
        <w:tc>
          <w:tcPr>
            <w:tcW w:w="354" w:type="pct"/>
            <w:tcMar>
              <w:left w:w="108" w:type="dxa"/>
              <w:right w:w="108" w:type="dxa"/>
            </w:tcMar>
          </w:tcPr>
          <w:p w14:paraId="28B26F90" w14:textId="0F08FBF7" w:rsidR="00F03C6E" w:rsidRDefault="00FE6600" w:rsidP="00F03C6E">
            <w:pPr>
              <w:pStyle w:val="TableText"/>
            </w:pPr>
            <w:r>
              <w:t>On track</w:t>
            </w:r>
          </w:p>
        </w:tc>
        <w:tc>
          <w:tcPr>
            <w:tcW w:w="1164" w:type="pct"/>
            <w:tcMar>
              <w:left w:w="108" w:type="dxa"/>
              <w:right w:w="108" w:type="dxa"/>
            </w:tcMar>
          </w:tcPr>
          <w:p w14:paraId="606EA1E8" w14:textId="2139D8C2" w:rsidR="00F03C6E" w:rsidRDefault="00A71674" w:rsidP="00F03C6E">
            <w:pPr>
              <w:pStyle w:val="TableText"/>
            </w:pPr>
            <w:r>
              <w:t>The</w:t>
            </w:r>
            <w:r w:rsidR="00EF7B6D">
              <w:t xml:space="preserve"> </w:t>
            </w:r>
            <w:r w:rsidR="00AA0843">
              <w:t>procurement of reagents, reference sera, and known positive controls</w:t>
            </w:r>
            <w:r>
              <w:t>;</w:t>
            </w:r>
            <w:r w:rsidR="00AA0843">
              <w:t xml:space="preserve"> and standardisation of the gold-standard </w:t>
            </w:r>
            <w:r w:rsidR="00AA0B3B" w:rsidRPr="00AA0B3B">
              <w:t>plaque reduction neutralisation test</w:t>
            </w:r>
            <w:r w:rsidR="00AA0843">
              <w:t xml:space="preserve"> is complete.</w:t>
            </w:r>
            <w:r>
              <w:t xml:space="preserve"> Recombinant p</w:t>
            </w:r>
            <w:r w:rsidRPr="00A71674">
              <w:t>rotein manufacture at CSIRO</w:t>
            </w:r>
            <w:r>
              <w:t xml:space="preserve"> is ongoing.</w:t>
            </w:r>
          </w:p>
        </w:tc>
        <w:tc>
          <w:tcPr>
            <w:tcW w:w="1153" w:type="pct"/>
            <w:tcMar>
              <w:left w:w="108" w:type="dxa"/>
              <w:right w:w="108" w:type="dxa"/>
            </w:tcMar>
          </w:tcPr>
          <w:p w14:paraId="0F461CC6" w14:textId="20AAAE86" w:rsidR="00F03C6E" w:rsidRPr="00F17EA3" w:rsidRDefault="00F03C6E" w:rsidP="00F03C6E">
            <w:pPr>
              <w:pStyle w:val="TableText"/>
            </w:pPr>
            <w:r w:rsidRPr="00222B09">
              <w:t>The final milestone due in June 2025</w:t>
            </w:r>
            <w:r w:rsidR="00A71674">
              <w:t>. It</w:t>
            </w:r>
            <w:r w:rsidRPr="00222B09">
              <w:t xml:space="preserve"> will include the final project report on all activities described within the proposal, and a draft validation dossier document suitable for submission to SCAHLS for test evaluation.</w:t>
            </w:r>
          </w:p>
        </w:tc>
      </w:tr>
      <w:tr w:rsidR="00F03C6E" w:rsidRPr="009A501D" w14:paraId="417C3604" w14:textId="77777777" w:rsidTr="003F407D">
        <w:trPr>
          <w:cantSplit/>
        </w:trPr>
        <w:tc>
          <w:tcPr>
            <w:tcW w:w="816" w:type="pct"/>
            <w:tcMar>
              <w:left w:w="108" w:type="dxa"/>
              <w:right w:w="108" w:type="dxa"/>
            </w:tcMar>
          </w:tcPr>
          <w:p w14:paraId="5EFDD64B" w14:textId="459E73A1" w:rsidR="00F03C6E" w:rsidRPr="00753BA1" w:rsidRDefault="00F03C6E" w:rsidP="00F03C6E">
            <w:pPr>
              <w:pStyle w:val="TableText"/>
            </w:pPr>
            <w:r w:rsidRPr="00F85499">
              <w:t xml:space="preserve">Towards validation of a microRNA-based diagnostic test for </w:t>
            </w:r>
            <w:r w:rsidR="00C01CBE">
              <w:t>JD</w:t>
            </w:r>
          </w:p>
        </w:tc>
        <w:tc>
          <w:tcPr>
            <w:tcW w:w="703" w:type="pct"/>
            <w:tcMar>
              <w:left w:w="108" w:type="dxa"/>
              <w:right w:w="108" w:type="dxa"/>
            </w:tcMar>
          </w:tcPr>
          <w:p w14:paraId="48095E18" w14:textId="0E2AF647" w:rsidR="001631D3" w:rsidRDefault="001631D3" w:rsidP="003F407D">
            <w:pPr>
              <w:pStyle w:val="TableBullet"/>
            </w:pPr>
            <w:r>
              <w:t>CSIRO</w:t>
            </w:r>
            <w:r w:rsidR="003F407D">
              <w:t xml:space="preserve"> </w:t>
            </w:r>
            <w:r>
              <w:t>ACDP</w:t>
            </w:r>
          </w:p>
          <w:p w14:paraId="4B12E964" w14:textId="2A6BA0E0" w:rsidR="00F03C6E" w:rsidRDefault="001631D3" w:rsidP="003F407D">
            <w:pPr>
              <w:pStyle w:val="TableBullet"/>
            </w:pPr>
            <w:r>
              <w:t>DAFF</w:t>
            </w:r>
          </w:p>
        </w:tc>
        <w:tc>
          <w:tcPr>
            <w:tcW w:w="810" w:type="pct"/>
            <w:tcMar>
              <w:left w:w="108" w:type="dxa"/>
              <w:right w:w="108" w:type="dxa"/>
            </w:tcMar>
          </w:tcPr>
          <w:p w14:paraId="2F907B9E" w14:textId="540AF8B0" w:rsidR="00F03C6E" w:rsidRPr="005B7190" w:rsidRDefault="00867A5C" w:rsidP="00F03C6E">
            <w:pPr>
              <w:pStyle w:val="TableText"/>
            </w:pPr>
            <w:r>
              <w:t>This</w:t>
            </w:r>
            <w:r w:rsidR="00095EF6" w:rsidRPr="001E0CE9">
              <w:t xml:space="preserve"> project will further develop molecular assays using host microRNA biomarkers to improve detection of </w:t>
            </w:r>
            <w:r w:rsidR="00C01CBE">
              <w:t>JD</w:t>
            </w:r>
            <w:r w:rsidR="0062448B">
              <w:t>.</w:t>
            </w:r>
          </w:p>
        </w:tc>
        <w:tc>
          <w:tcPr>
            <w:tcW w:w="354" w:type="pct"/>
            <w:tcMar>
              <w:left w:w="108" w:type="dxa"/>
              <w:right w:w="108" w:type="dxa"/>
            </w:tcMar>
          </w:tcPr>
          <w:p w14:paraId="54E33184" w14:textId="619A73EC" w:rsidR="00F03C6E" w:rsidRDefault="00FE6600" w:rsidP="00F03C6E">
            <w:pPr>
              <w:pStyle w:val="TableText"/>
            </w:pPr>
            <w:r>
              <w:t>On track</w:t>
            </w:r>
          </w:p>
        </w:tc>
        <w:tc>
          <w:tcPr>
            <w:tcW w:w="1164" w:type="pct"/>
            <w:tcMar>
              <w:left w:w="108" w:type="dxa"/>
              <w:right w:w="108" w:type="dxa"/>
            </w:tcMar>
          </w:tcPr>
          <w:p w14:paraId="2AEF7BFB" w14:textId="1BCD8C07" w:rsidR="00F03C6E" w:rsidRDefault="00F03C6E" w:rsidP="00F03C6E">
            <w:pPr>
              <w:pStyle w:val="TableText"/>
            </w:pPr>
            <w:r w:rsidRPr="001E0CE9">
              <w:t>Networks for JD field sampling and testing have been established in Australia and N</w:t>
            </w:r>
            <w:r w:rsidR="00A71674">
              <w:t xml:space="preserve">ew </w:t>
            </w:r>
            <w:r w:rsidRPr="001E0CE9">
              <w:t>Z</w:t>
            </w:r>
            <w:r w:rsidR="00A71674">
              <w:t>ealand</w:t>
            </w:r>
            <w:r w:rsidRPr="001E0CE9">
              <w:t xml:space="preserve">. Assessment of microRNA biomarker analytical specificity and diagnostic sensitivity, and assessment of overseas/historic sample integrity is in progress. A stakeholder workshop on </w:t>
            </w:r>
            <w:r w:rsidR="00C01CBE">
              <w:t xml:space="preserve">JD </w:t>
            </w:r>
            <w:r w:rsidRPr="001E0CE9">
              <w:t>diagnostics was held at ACDP in September 2024.</w:t>
            </w:r>
          </w:p>
        </w:tc>
        <w:tc>
          <w:tcPr>
            <w:tcW w:w="1153" w:type="pct"/>
            <w:tcMar>
              <w:left w:w="108" w:type="dxa"/>
              <w:right w:w="108" w:type="dxa"/>
            </w:tcMar>
          </w:tcPr>
          <w:p w14:paraId="40741CA8" w14:textId="7A538697" w:rsidR="00F03C6E" w:rsidRPr="00F17EA3" w:rsidRDefault="00F03C6E" w:rsidP="00F03C6E">
            <w:pPr>
              <w:pStyle w:val="TableText"/>
            </w:pPr>
            <w:r w:rsidRPr="008154DB">
              <w:t>Milestone 2 report is due in April 2025. This will detail completion of the assessment of microRNA biomarker analytical specificity, and diagnostic sensitivity and specificity using a collection of relevant reference material from laboratory and field studies. It will also include completion of WOAH diagnostic validation stage 1-3 activities.</w:t>
            </w:r>
          </w:p>
        </w:tc>
      </w:tr>
      <w:tr w:rsidR="00F03C6E" w:rsidRPr="009A501D" w14:paraId="2D5D21D4" w14:textId="77777777" w:rsidTr="003F407D">
        <w:trPr>
          <w:cantSplit/>
        </w:trPr>
        <w:tc>
          <w:tcPr>
            <w:tcW w:w="816" w:type="pct"/>
            <w:tcMar>
              <w:left w:w="108" w:type="dxa"/>
              <w:right w:w="108" w:type="dxa"/>
            </w:tcMar>
          </w:tcPr>
          <w:p w14:paraId="5BC03986" w14:textId="68776837" w:rsidR="00F03C6E" w:rsidRPr="00753BA1" w:rsidRDefault="00F03C6E" w:rsidP="00F03C6E">
            <w:pPr>
              <w:pStyle w:val="TableText"/>
            </w:pPr>
            <w:r w:rsidRPr="003E6DC1">
              <w:t xml:space="preserve">Assessment of molecular DIVA capabilities for </w:t>
            </w:r>
            <w:r w:rsidR="00A17B08">
              <w:t xml:space="preserve">LSD </w:t>
            </w:r>
            <w:r w:rsidRPr="003E6DC1">
              <w:t>virus</w:t>
            </w:r>
          </w:p>
        </w:tc>
        <w:tc>
          <w:tcPr>
            <w:tcW w:w="703" w:type="pct"/>
            <w:tcMar>
              <w:left w:w="108" w:type="dxa"/>
              <w:right w:w="108" w:type="dxa"/>
            </w:tcMar>
          </w:tcPr>
          <w:p w14:paraId="5AA19BCD" w14:textId="2136C827" w:rsidR="008913A0" w:rsidRDefault="008913A0" w:rsidP="003F407D">
            <w:pPr>
              <w:pStyle w:val="TableBullet"/>
            </w:pPr>
            <w:r>
              <w:t>CSIRO</w:t>
            </w:r>
            <w:r w:rsidR="003F407D">
              <w:t xml:space="preserve"> </w:t>
            </w:r>
            <w:r>
              <w:t>ACDP</w:t>
            </w:r>
          </w:p>
          <w:p w14:paraId="786BA730" w14:textId="04E2E955" w:rsidR="00F03C6E" w:rsidRDefault="008913A0" w:rsidP="003F407D">
            <w:pPr>
              <w:pStyle w:val="TableBullet"/>
            </w:pPr>
            <w:r>
              <w:t>DAFF</w:t>
            </w:r>
          </w:p>
        </w:tc>
        <w:tc>
          <w:tcPr>
            <w:tcW w:w="810" w:type="pct"/>
            <w:tcMar>
              <w:left w:w="108" w:type="dxa"/>
              <w:right w:w="108" w:type="dxa"/>
            </w:tcMar>
          </w:tcPr>
          <w:p w14:paraId="54F9D0A6" w14:textId="145936C8" w:rsidR="00F03C6E" w:rsidRPr="005B7190" w:rsidRDefault="00867A5C" w:rsidP="00F03C6E">
            <w:pPr>
              <w:pStyle w:val="TableText"/>
            </w:pPr>
            <w:r w:rsidRPr="00867A5C">
              <w:t>This project commenced aims to assess existing molecular ‘Differentiating Infected from Vaccinated Animals’ (DIVA) assays that are based on real-time, or quantitative PCR, to determine if they are fit-for-purpose</w:t>
            </w:r>
            <w:r w:rsidR="008636C5">
              <w:t>.</w:t>
            </w:r>
          </w:p>
        </w:tc>
        <w:tc>
          <w:tcPr>
            <w:tcW w:w="354" w:type="pct"/>
            <w:tcMar>
              <w:left w:w="108" w:type="dxa"/>
              <w:right w:w="108" w:type="dxa"/>
            </w:tcMar>
          </w:tcPr>
          <w:p w14:paraId="0EC66605" w14:textId="6844996E" w:rsidR="00F03C6E" w:rsidRDefault="00FE6600" w:rsidP="00F03C6E">
            <w:pPr>
              <w:pStyle w:val="TableText"/>
            </w:pPr>
            <w:r>
              <w:t>On track</w:t>
            </w:r>
          </w:p>
        </w:tc>
        <w:tc>
          <w:tcPr>
            <w:tcW w:w="1164" w:type="pct"/>
            <w:tcMar>
              <w:left w:w="108" w:type="dxa"/>
              <w:right w:w="108" w:type="dxa"/>
            </w:tcMar>
          </w:tcPr>
          <w:p w14:paraId="6C448F00" w14:textId="231E62D9" w:rsidR="00F03C6E" w:rsidRDefault="00F03C6E" w:rsidP="00F03C6E">
            <w:pPr>
              <w:pStyle w:val="TableText"/>
            </w:pPr>
            <w:r w:rsidRPr="009E45E0">
              <w:t>Bioinformatic analysis is complete, and assay evaluation has commenced. A preferred LSD DIVA assay has been selected for further optimisation.</w:t>
            </w:r>
          </w:p>
        </w:tc>
        <w:tc>
          <w:tcPr>
            <w:tcW w:w="1153" w:type="pct"/>
            <w:tcMar>
              <w:left w:w="108" w:type="dxa"/>
              <w:right w:w="108" w:type="dxa"/>
            </w:tcMar>
          </w:tcPr>
          <w:p w14:paraId="1D2EF441" w14:textId="0FB40EA0" w:rsidR="00F03C6E" w:rsidRPr="00F17EA3" w:rsidRDefault="00F03C6E" w:rsidP="00F03C6E">
            <w:pPr>
              <w:pStyle w:val="TableText"/>
            </w:pPr>
            <w:r w:rsidRPr="00000D29">
              <w:t>The final milestone report due January 2025 will contain an evaluation and recommendation on DIVA assays to be used for diagnostics and roll out to the LEADDR network.</w:t>
            </w:r>
          </w:p>
        </w:tc>
      </w:tr>
    </w:tbl>
    <w:p w14:paraId="3AC392DC" w14:textId="77777777" w:rsidR="002E29A2" w:rsidRDefault="001309AE" w:rsidP="003F407D">
      <w:pPr>
        <w:pStyle w:val="Heading2"/>
        <w:numPr>
          <w:ilvl w:val="0"/>
          <w:numId w:val="0"/>
        </w:numPr>
        <w:ind w:left="720" w:hanging="720"/>
      </w:pPr>
      <w:bookmarkStart w:id="16" w:name="_Toc185243965"/>
      <w:bookmarkStart w:id="17" w:name="_Toc183777453"/>
      <w:r>
        <w:t>Objective 4</w:t>
      </w:r>
      <w:bookmarkEnd w:id="16"/>
    </w:p>
    <w:p w14:paraId="45747032" w14:textId="5C87735F" w:rsidR="001309AE" w:rsidRPr="002E29A2" w:rsidRDefault="004216F2" w:rsidP="003F407D">
      <w:pPr>
        <w:spacing w:before="120"/>
      </w:pPr>
      <w:r w:rsidRPr="002E29A2">
        <w:t xml:space="preserve">Pilot the validation template process for </w:t>
      </w:r>
      <w:r w:rsidR="00962C3F" w:rsidRPr="002E29A2">
        <w:t>point of care (</w:t>
      </w:r>
      <w:r w:rsidRPr="002E29A2">
        <w:t>POC</w:t>
      </w:r>
      <w:r w:rsidR="00962C3F" w:rsidRPr="002E29A2">
        <w:t>)</w:t>
      </w:r>
      <w:r w:rsidRPr="002E29A2">
        <w:t xml:space="preserve"> tests used for specific purposes</w:t>
      </w:r>
      <w:bookmarkEnd w:id="17"/>
      <w:r w:rsidR="002E29A2">
        <w:t>.</w:t>
      </w:r>
    </w:p>
    <w:p w14:paraId="5428C058" w14:textId="3557FED0" w:rsidR="00E31589" w:rsidRDefault="00E31589" w:rsidP="00E31589">
      <w:pPr>
        <w:pStyle w:val="Caption"/>
      </w:pPr>
      <w:bookmarkStart w:id="18" w:name="_Toc185243971"/>
      <w:r>
        <w:t xml:space="preserve">Table </w:t>
      </w:r>
      <w:r>
        <w:fldChar w:fldCharType="begin"/>
      </w:r>
      <w:r>
        <w:instrText xml:space="preserve"> SEQ Table \* ARABIC </w:instrText>
      </w:r>
      <w:r>
        <w:fldChar w:fldCharType="separate"/>
      </w:r>
      <w:r w:rsidR="009C1315">
        <w:rPr>
          <w:noProof/>
        </w:rPr>
        <w:t>4</w:t>
      </w:r>
      <w:r>
        <w:fldChar w:fldCharType="end"/>
      </w:r>
      <w:r>
        <w:t xml:space="preserve"> </w:t>
      </w:r>
      <w:r w:rsidR="00CE4A53">
        <w:t>Objective 4 p</w:t>
      </w:r>
      <w:r w:rsidR="00A71674">
        <w:t>rojects</w:t>
      </w:r>
      <w:bookmarkEnd w:id="18"/>
    </w:p>
    <w:tbl>
      <w:tblPr>
        <w:tblW w:w="5000" w:type="pct"/>
        <w:tblBorders>
          <w:top w:val="single" w:sz="4" w:space="0" w:color="auto"/>
          <w:bottom w:val="single" w:sz="4" w:space="0" w:color="auto"/>
          <w:insideH w:val="single" w:sz="4" w:space="0" w:color="auto"/>
        </w:tblBorders>
        <w:tblLayout w:type="fixed"/>
        <w:tblCellMar>
          <w:left w:w="40" w:type="dxa"/>
          <w:right w:w="40" w:type="dxa"/>
        </w:tblCellMar>
        <w:tblLook w:val="0000" w:firstRow="0" w:lastRow="0" w:firstColumn="0" w:lastColumn="0" w:noHBand="0" w:noVBand="0"/>
      </w:tblPr>
      <w:tblGrid>
        <w:gridCol w:w="2286"/>
        <w:gridCol w:w="1966"/>
        <w:gridCol w:w="2271"/>
        <w:gridCol w:w="991"/>
        <w:gridCol w:w="3685"/>
        <w:gridCol w:w="2803"/>
      </w:tblGrid>
      <w:tr w:rsidR="00E31589" w:rsidRPr="009A501D" w14:paraId="23FAD48A" w14:textId="77777777" w:rsidTr="003F407D">
        <w:trPr>
          <w:cantSplit/>
          <w:tblHeader/>
        </w:trPr>
        <w:tc>
          <w:tcPr>
            <w:tcW w:w="816" w:type="pct"/>
            <w:tcMar>
              <w:left w:w="108" w:type="dxa"/>
              <w:right w:w="108" w:type="dxa"/>
            </w:tcMar>
          </w:tcPr>
          <w:p w14:paraId="3A67DCC4" w14:textId="77777777" w:rsidR="00E31589" w:rsidRPr="009A501D" w:rsidRDefault="00E31589" w:rsidP="00C8529E">
            <w:pPr>
              <w:pStyle w:val="TableHeading"/>
            </w:pPr>
            <w:bookmarkStart w:id="19" w:name="Title_4"/>
            <w:bookmarkEnd w:id="19"/>
            <w:r>
              <w:t>Project title</w:t>
            </w:r>
          </w:p>
        </w:tc>
        <w:tc>
          <w:tcPr>
            <w:tcW w:w="702" w:type="pct"/>
            <w:tcMar>
              <w:left w:w="108" w:type="dxa"/>
              <w:right w:w="108" w:type="dxa"/>
            </w:tcMar>
          </w:tcPr>
          <w:p w14:paraId="3D8D1B27" w14:textId="77777777" w:rsidR="00E31589" w:rsidRPr="009A501D" w:rsidRDefault="00E31589" w:rsidP="00C8529E">
            <w:pPr>
              <w:pStyle w:val="TableHeading"/>
            </w:pPr>
            <w:r>
              <w:t>Lead and key collaborators</w:t>
            </w:r>
          </w:p>
        </w:tc>
        <w:tc>
          <w:tcPr>
            <w:tcW w:w="811" w:type="pct"/>
            <w:tcMar>
              <w:left w:w="108" w:type="dxa"/>
              <w:right w:w="108" w:type="dxa"/>
            </w:tcMar>
          </w:tcPr>
          <w:p w14:paraId="695779BD" w14:textId="77777777" w:rsidR="00E31589" w:rsidRPr="009A501D" w:rsidRDefault="00E31589" w:rsidP="00C8529E">
            <w:pPr>
              <w:pStyle w:val="TableHeading"/>
            </w:pPr>
            <w:r>
              <w:t>Description</w:t>
            </w:r>
          </w:p>
        </w:tc>
        <w:tc>
          <w:tcPr>
            <w:tcW w:w="354" w:type="pct"/>
            <w:tcMar>
              <w:left w:w="108" w:type="dxa"/>
              <w:right w:w="108" w:type="dxa"/>
            </w:tcMar>
          </w:tcPr>
          <w:p w14:paraId="5BE627F1" w14:textId="77777777" w:rsidR="00E31589" w:rsidRPr="009A501D" w:rsidRDefault="00E31589" w:rsidP="00C8529E">
            <w:pPr>
              <w:pStyle w:val="TableHeading"/>
            </w:pPr>
            <w:r>
              <w:t>Status</w:t>
            </w:r>
          </w:p>
        </w:tc>
        <w:tc>
          <w:tcPr>
            <w:tcW w:w="1316" w:type="pct"/>
            <w:tcMar>
              <w:left w:w="108" w:type="dxa"/>
              <w:right w:w="108" w:type="dxa"/>
            </w:tcMar>
          </w:tcPr>
          <w:p w14:paraId="2797320D" w14:textId="77777777" w:rsidR="00E31589" w:rsidRPr="009A501D" w:rsidRDefault="00E31589" w:rsidP="00C8529E">
            <w:pPr>
              <w:pStyle w:val="TableHeading"/>
            </w:pPr>
            <w:r>
              <w:t>Progress update</w:t>
            </w:r>
          </w:p>
        </w:tc>
        <w:tc>
          <w:tcPr>
            <w:tcW w:w="1001" w:type="pct"/>
            <w:tcMar>
              <w:left w:w="108" w:type="dxa"/>
              <w:right w:w="108" w:type="dxa"/>
            </w:tcMar>
          </w:tcPr>
          <w:p w14:paraId="6E67ECF8" w14:textId="77777777" w:rsidR="00E31589" w:rsidRPr="009A501D" w:rsidRDefault="00E31589" w:rsidP="00C8529E">
            <w:pPr>
              <w:pStyle w:val="TableHeading"/>
            </w:pPr>
            <w:r>
              <w:t>Next steps</w:t>
            </w:r>
          </w:p>
        </w:tc>
      </w:tr>
      <w:tr w:rsidR="00677539" w:rsidRPr="009A501D" w14:paraId="053CEF2D" w14:textId="77777777" w:rsidTr="003F407D">
        <w:tc>
          <w:tcPr>
            <w:tcW w:w="816" w:type="pct"/>
            <w:tcMar>
              <w:left w:w="108" w:type="dxa"/>
              <w:right w:w="108" w:type="dxa"/>
            </w:tcMar>
          </w:tcPr>
          <w:p w14:paraId="68B88214" w14:textId="513EECF8" w:rsidR="00677539" w:rsidRPr="009A501D" w:rsidRDefault="00677539" w:rsidP="00677539">
            <w:pPr>
              <w:pStyle w:val="TableText"/>
            </w:pPr>
            <w:r w:rsidRPr="00156505">
              <w:t xml:space="preserve">Development </w:t>
            </w:r>
            <w:r w:rsidR="00A71674">
              <w:t>and</w:t>
            </w:r>
            <w:r w:rsidRPr="00156505">
              <w:t xml:space="preserve"> evaluation of a</w:t>
            </w:r>
            <w:r w:rsidR="00962C3F">
              <w:t xml:space="preserve"> POC</w:t>
            </w:r>
            <w:r w:rsidRPr="00156505">
              <w:t xml:space="preserve"> test network for EAD diagnosis</w:t>
            </w:r>
          </w:p>
        </w:tc>
        <w:tc>
          <w:tcPr>
            <w:tcW w:w="702" w:type="pct"/>
            <w:tcMar>
              <w:left w:w="108" w:type="dxa"/>
              <w:right w:w="108" w:type="dxa"/>
            </w:tcMar>
          </w:tcPr>
          <w:p w14:paraId="190AFAD3" w14:textId="77777777" w:rsidR="008913A0" w:rsidRDefault="00677539" w:rsidP="003F407D">
            <w:pPr>
              <w:pStyle w:val="TableBullet"/>
            </w:pPr>
            <w:r>
              <w:t>EMAI</w:t>
            </w:r>
            <w:r w:rsidR="008913A0">
              <w:t xml:space="preserve"> (NSW)</w:t>
            </w:r>
          </w:p>
          <w:p w14:paraId="09633234" w14:textId="1CF5B41A" w:rsidR="00677539" w:rsidRPr="009A501D" w:rsidRDefault="00677539" w:rsidP="003F407D">
            <w:pPr>
              <w:pStyle w:val="TableBullet"/>
            </w:pPr>
            <w:r>
              <w:t>DAFF</w:t>
            </w:r>
          </w:p>
        </w:tc>
        <w:tc>
          <w:tcPr>
            <w:tcW w:w="811" w:type="pct"/>
            <w:tcMar>
              <w:left w:w="108" w:type="dxa"/>
              <w:right w:w="108" w:type="dxa"/>
            </w:tcMar>
          </w:tcPr>
          <w:p w14:paraId="3D89AED0" w14:textId="6C13DDDF" w:rsidR="00677539" w:rsidRPr="009A501D" w:rsidRDefault="00677539" w:rsidP="00677539">
            <w:pPr>
              <w:pStyle w:val="TableText"/>
            </w:pPr>
            <w:r w:rsidRPr="001E5FCF">
              <w:t>This project will develop a suite of tests on a portable, battery-operated multiplexing qPCR platform for the detection of major emergency diseases of cattle and pigs</w:t>
            </w:r>
            <w:r w:rsidR="003D129E">
              <w:t>. It aims to</w:t>
            </w:r>
            <w:r w:rsidRPr="001E5FCF">
              <w:t xml:space="preserve"> establish a proof-of-concept for multiplexing qPCR assays for emergency animal pathogens suitable for use under field conditions</w:t>
            </w:r>
            <w:r w:rsidR="005014A3">
              <w:t>.</w:t>
            </w:r>
          </w:p>
        </w:tc>
        <w:tc>
          <w:tcPr>
            <w:tcW w:w="354" w:type="pct"/>
            <w:tcMar>
              <w:left w:w="108" w:type="dxa"/>
              <w:right w:w="108" w:type="dxa"/>
            </w:tcMar>
          </w:tcPr>
          <w:p w14:paraId="660424B2" w14:textId="2FFAB7F1" w:rsidR="00677539" w:rsidRPr="009A501D" w:rsidRDefault="00677539" w:rsidP="00677539">
            <w:pPr>
              <w:pStyle w:val="TableText"/>
            </w:pPr>
            <w:r>
              <w:t>Delayed</w:t>
            </w:r>
          </w:p>
        </w:tc>
        <w:tc>
          <w:tcPr>
            <w:tcW w:w="1316" w:type="pct"/>
            <w:tcMar>
              <w:left w:w="108" w:type="dxa"/>
              <w:right w:w="108" w:type="dxa"/>
            </w:tcMar>
          </w:tcPr>
          <w:p w14:paraId="4800B746" w14:textId="041C14BD" w:rsidR="00677539" w:rsidRPr="009A501D" w:rsidRDefault="0062448B" w:rsidP="00677539">
            <w:pPr>
              <w:pStyle w:val="TableText"/>
            </w:pPr>
            <w:r w:rsidRPr="0062448B">
              <w:t>Outbreak responses have delayed this project</w:t>
            </w:r>
            <w:r>
              <w:t>.</w:t>
            </w:r>
          </w:p>
        </w:tc>
        <w:tc>
          <w:tcPr>
            <w:tcW w:w="1001" w:type="pct"/>
            <w:tcMar>
              <w:left w:w="108" w:type="dxa"/>
              <w:right w:w="108" w:type="dxa"/>
            </w:tcMar>
          </w:tcPr>
          <w:p w14:paraId="5E83E6DF" w14:textId="7A9C796A" w:rsidR="00677539" w:rsidRPr="009A501D" w:rsidRDefault="005014A3" w:rsidP="00677539">
            <w:pPr>
              <w:pStyle w:val="TableText"/>
            </w:pPr>
            <w:r w:rsidRPr="00FD0C9B">
              <w:t>The final laboratory and field validation trials of the POC platform is expected to be completed by December 2024</w:t>
            </w:r>
            <w:r>
              <w:t xml:space="preserve">. </w:t>
            </w:r>
            <w:r w:rsidR="00677539" w:rsidRPr="00452A1D">
              <w:t xml:space="preserve">A finalised dossier </w:t>
            </w:r>
            <w:r w:rsidR="003D129E">
              <w:t>describing the</w:t>
            </w:r>
            <w:r w:rsidR="00677539" w:rsidRPr="00452A1D">
              <w:t xml:space="preserve"> validation of porcine and bovine EAD field tests</w:t>
            </w:r>
            <w:r w:rsidR="003D129E">
              <w:t xml:space="preserve"> will be circulated </w:t>
            </w:r>
            <w:r w:rsidR="0062448B">
              <w:t xml:space="preserve">to </w:t>
            </w:r>
            <w:r w:rsidR="003D129E">
              <w:t>SCAHLS</w:t>
            </w:r>
            <w:r w:rsidR="00677539" w:rsidRPr="00452A1D">
              <w:t>.</w:t>
            </w:r>
          </w:p>
        </w:tc>
      </w:tr>
      <w:tr w:rsidR="00787C7E" w:rsidRPr="009A501D" w14:paraId="23FA971C" w14:textId="77777777" w:rsidTr="003F407D">
        <w:tc>
          <w:tcPr>
            <w:tcW w:w="816" w:type="pct"/>
            <w:tcMar>
              <w:left w:w="108" w:type="dxa"/>
              <w:right w:w="108" w:type="dxa"/>
            </w:tcMar>
          </w:tcPr>
          <w:p w14:paraId="350DAF2A" w14:textId="07EC5C2A" w:rsidR="00787C7E" w:rsidRPr="00156505" w:rsidRDefault="00787C7E" w:rsidP="00787C7E">
            <w:pPr>
              <w:pStyle w:val="TableText"/>
            </w:pPr>
            <w:r w:rsidRPr="004050B6">
              <w:t>Consultancy for policies, strategies and operating guidelines for POC testing for infectious disease</w:t>
            </w:r>
          </w:p>
        </w:tc>
        <w:tc>
          <w:tcPr>
            <w:tcW w:w="702" w:type="pct"/>
            <w:tcMar>
              <w:left w:w="108" w:type="dxa"/>
              <w:right w:w="108" w:type="dxa"/>
            </w:tcMar>
          </w:tcPr>
          <w:p w14:paraId="6905C0F0" w14:textId="77F83109" w:rsidR="00787C7E" w:rsidRDefault="008913A0" w:rsidP="003F407D">
            <w:pPr>
              <w:pStyle w:val="TableBullet"/>
            </w:pPr>
            <w:r>
              <w:t>DAFF</w:t>
            </w:r>
          </w:p>
        </w:tc>
        <w:tc>
          <w:tcPr>
            <w:tcW w:w="811" w:type="pct"/>
            <w:tcMar>
              <w:left w:w="108" w:type="dxa"/>
              <w:right w:w="108" w:type="dxa"/>
            </w:tcMar>
          </w:tcPr>
          <w:p w14:paraId="1CC7997F" w14:textId="1D8A6F4F" w:rsidR="00787C7E" w:rsidRPr="001E5FCF" w:rsidRDefault="00787C7E" w:rsidP="00787C7E">
            <w:pPr>
              <w:pStyle w:val="TableText"/>
            </w:pPr>
            <w:r w:rsidRPr="005A3A1A">
              <w:t>This project supports development of a nationally consistent management approach towards the use of POC tests specific for national notifiable and reportable diseases in terrestrial and aquatic animals in Australia</w:t>
            </w:r>
            <w:r>
              <w:t>.</w:t>
            </w:r>
          </w:p>
        </w:tc>
        <w:tc>
          <w:tcPr>
            <w:tcW w:w="354" w:type="pct"/>
            <w:tcMar>
              <w:left w:w="108" w:type="dxa"/>
              <w:right w:w="108" w:type="dxa"/>
            </w:tcMar>
          </w:tcPr>
          <w:p w14:paraId="30585C9A" w14:textId="10807D0B" w:rsidR="00787C7E" w:rsidRDefault="00787C7E" w:rsidP="00787C7E">
            <w:pPr>
              <w:pStyle w:val="TableText"/>
            </w:pPr>
            <w:r>
              <w:t>Complete</w:t>
            </w:r>
          </w:p>
        </w:tc>
        <w:tc>
          <w:tcPr>
            <w:tcW w:w="1316" w:type="pct"/>
            <w:tcMar>
              <w:left w:w="108" w:type="dxa"/>
              <w:right w:w="108" w:type="dxa"/>
            </w:tcMar>
          </w:tcPr>
          <w:p w14:paraId="48E55404" w14:textId="2C49DC2C" w:rsidR="00787C7E" w:rsidRPr="00FD0C9B" w:rsidRDefault="00787C7E" w:rsidP="00787C7E">
            <w:pPr>
              <w:pStyle w:val="TableText"/>
            </w:pPr>
            <w:r>
              <w:t>Nil</w:t>
            </w:r>
          </w:p>
        </w:tc>
        <w:tc>
          <w:tcPr>
            <w:tcW w:w="1001" w:type="pct"/>
            <w:tcMar>
              <w:left w:w="108" w:type="dxa"/>
              <w:right w:w="108" w:type="dxa"/>
            </w:tcMar>
          </w:tcPr>
          <w:p w14:paraId="20D4EFA7" w14:textId="28906146" w:rsidR="00787C7E" w:rsidRPr="00452A1D" w:rsidRDefault="00787C7E" w:rsidP="00787C7E">
            <w:pPr>
              <w:pStyle w:val="TableText"/>
            </w:pPr>
            <w:r>
              <w:t>Nil</w:t>
            </w:r>
          </w:p>
        </w:tc>
      </w:tr>
    </w:tbl>
    <w:p w14:paraId="59243FF8" w14:textId="77777777" w:rsidR="002E29A2" w:rsidRDefault="001309AE" w:rsidP="003F407D">
      <w:pPr>
        <w:pStyle w:val="Heading2"/>
        <w:numPr>
          <w:ilvl w:val="0"/>
          <w:numId w:val="0"/>
        </w:numPr>
        <w:ind w:left="720" w:hanging="720"/>
      </w:pPr>
      <w:bookmarkStart w:id="20" w:name="_Toc185243966"/>
      <w:bookmarkStart w:id="21" w:name="_Toc183777454"/>
      <w:r>
        <w:t>Objective 5</w:t>
      </w:r>
      <w:bookmarkEnd w:id="20"/>
    </w:p>
    <w:p w14:paraId="6CAE994F" w14:textId="4671BA94" w:rsidR="001309AE" w:rsidRPr="002E29A2" w:rsidRDefault="004466FC" w:rsidP="003F407D">
      <w:pPr>
        <w:spacing w:before="120"/>
      </w:pPr>
      <w:r w:rsidRPr="002E29A2">
        <w:t>Establish processes to develop and harmonise antimicrobial susceptibility-related diagnostic procedures across all relevant animal health laboratories</w:t>
      </w:r>
      <w:bookmarkEnd w:id="21"/>
    </w:p>
    <w:p w14:paraId="6FF9E76A" w14:textId="3C4C7584" w:rsidR="00764D6A" w:rsidRDefault="00D1011A" w:rsidP="00D1011A">
      <w:pPr>
        <w:sectPr w:rsidR="00764D6A">
          <w:pgSz w:w="16838" w:h="11906" w:orient="landscape"/>
          <w:pgMar w:top="1418" w:right="1418" w:bottom="1418" w:left="1418" w:header="567" w:footer="283" w:gutter="0"/>
          <w:cols w:space="708"/>
          <w:docGrid w:linePitch="360"/>
        </w:sectPr>
      </w:pPr>
      <w:bookmarkStart w:id="22" w:name="Title_B1"/>
      <w:bookmarkEnd w:id="22"/>
      <w:r>
        <w:t xml:space="preserve">No DAFF supported projects </w:t>
      </w:r>
      <w:r w:rsidR="00610E81">
        <w:t>address this objective.</w:t>
      </w:r>
    </w:p>
    <w:p w14:paraId="612FBB6D" w14:textId="77777777" w:rsidR="00764D6A" w:rsidRDefault="00E91D72" w:rsidP="007E39EF">
      <w:pPr>
        <w:pStyle w:val="Heading2"/>
        <w:numPr>
          <w:ilvl w:val="0"/>
          <w:numId w:val="0"/>
        </w:numPr>
        <w:ind w:left="720" w:hanging="720"/>
      </w:pPr>
      <w:bookmarkStart w:id="23" w:name="_Toc430782161"/>
      <w:bookmarkStart w:id="24" w:name="_Toc183777455"/>
      <w:bookmarkStart w:id="25" w:name="_Toc185243967"/>
      <w:r w:rsidRPr="0077773D">
        <w:t>Glossary</w:t>
      </w:r>
      <w:bookmarkEnd w:id="23"/>
      <w:bookmarkEnd w:id="24"/>
      <w:bookmarkEnd w:id="25"/>
    </w:p>
    <w:tbl>
      <w:tblPr>
        <w:tblW w:w="5000" w:type="pct"/>
        <w:tblBorders>
          <w:top w:val="single" w:sz="6"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2267"/>
        <w:gridCol w:w="6803"/>
      </w:tblGrid>
      <w:tr w:rsidR="00FE64BC" w14:paraId="735E68B8" w14:textId="77777777" w:rsidTr="00FE64BC">
        <w:trPr>
          <w:cantSplit/>
          <w:tblHeader/>
        </w:trPr>
        <w:tc>
          <w:tcPr>
            <w:tcW w:w="1250" w:type="pct"/>
            <w:tcMar>
              <w:left w:w="108" w:type="dxa"/>
              <w:right w:w="108" w:type="dxa"/>
            </w:tcMar>
          </w:tcPr>
          <w:p w14:paraId="7F36306A" w14:textId="77777777" w:rsidR="00FE64BC" w:rsidRPr="00FE64BC" w:rsidRDefault="00FE64BC" w:rsidP="00FE64BC">
            <w:pPr>
              <w:pStyle w:val="TableHeading"/>
            </w:pPr>
            <w:bookmarkStart w:id="26" w:name="Title_Glossary"/>
            <w:bookmarkEnd w:id="26"/>
            <w:r w:rsidRPr="00FE64BC">
              <w:t>Term</w:t>
            </w:r>
          </w:p>
        </w:tc>
        <w:tc>
          <w:tcPr>
            <w:tcW w:w="3750" w:type="pct"/>
            <w:tcMar>
              <w:left w:w="108" w:type="dxa"/>
              <w:right w:w="108" w:type="dxa"/>
            </w:tcMar>
          </w:tcPr>
          <w:p w14:paraId="5CEC6152" w14:textId="77777777" w:rsidR="00FE64BC" w:rsidRPr="00FE64BC" w:rsidRDefault="00FE64BC" w:rsidP="00FE64BC">
            <w:pPr>
              <w:pStyle w:val="TableHeading"/>
            </w:pPr>
            <w:r w:rsidRPr="00FE64BC">
              <w:t>Definition</w:t>
            </w:r>
          </w:p>
        </w:tc>
      </w:tr>
      <w:tr w:rsidR="00105A05" w14:paraId="1A113EC5" w14:textId="77777777" w:rsidTr="00CD7C54">
        <w:trPr>
          <w:tblHeader/>
        </w:trPr>
        <w:tc>
          <w:tcPr>
            <w:tcW w:w="1250" w:type="pct"/>
            <w:tcMar>
              <w:left w:w="108" w:type="dxa"/>
              <w:right w:w="108" w:type="dxa"/>
            </w:tcMar>
          </w:tcPr>
          <w:p w14:paraId="5EAB1383" w14:textId="23367347" w:rsidR="00105A05" w:rsidRPr="00105A05" w:rsidRDefault="00105A05" w:rsidP="00FE64BC">
            <w:pPr>
              <w:pStyle w:val="TableHeading"/>
              <w:rPr>
                <w:b w:val="0"/>
                <w:bCs/>
              </w:rPr>
            </w:pPr>
            <w:r w:rsidRPr="00105A05">
              <w:rPr>
                <w:b w:val="0"/>
                <w:bCs/>
              </w:rPr>
              <w:t>ABGD</w:t>
            </w:r>
          </w:p>
        </w:tc>
        <w:tc>
          <w:tcPr>
            <w:tcW w:w="3750" w:type="pct"/>
            <w:tcMar>
              <w:left w:w="108" w:type="dxa"/>
              <w:right w:w="108" w:type="dxa"/>
            </w:tcMar>
          </w:tcPr>
          <w:p w14:paraId="64187A1B" w14:textId="31C5BA8B" w:rsidR="00105A05" w:rsidRPr="00105A05" w:rsidRDefault="00105A05" w:rsidP="00FE64BC">
            <w:pPr>
              <w:pStyle w:val="TableHeading"/>
              <w:rPr>
                <w:b w:val="0"/>
                <w:bCs/>
              </w:rPr>
            </w:pPr>
            <w:r w:rsidRPr="00105A05">
              <w:rPr>
                <w:b w:val="0"/>
                <w:bCs/>
              </w:rPr>
              <w:t>Australian Biosecurity Genomic Database</w:t>
            </w:r>
          </w:p>
        </w:tc>
      </w:tr>
      <w:tr w:rsidR="00B91F1D" w14:paraId="31486753" w14:textId="77777777" w:rsidTr="00CD7C54">
        <w:tc>
          <w:tcPr>
            <w:tcW w:w="1250" w:type="pct"/>
            <w:tcMar>
              <w:left w:w="108" w:type="dxa"/>
              <w:right w:w="108" w:type="dxa"/>
            </w:tcMar>
          </w:tcPr>
          <w:p w14:paraId="44E11799" w14:textId="08A400B5" w:rsidR="00B91F1D" w:rsidRDefault="00B91F1D" w:rsidP="00B91F1D">
            <w:pPr>
              <w:pStyle w:val="TableText"/>
            </w:pPr>
            <w:r w:rsidRPr="004F7AB2">
              <w:t>ACDP</w:t>
            </w:r>
          </w:p>
        </w:tc>
        <w:tc>
          <w:tcPr>
            <w:tcW w:w="3750" w:type="pct"/>
            <w:tcMar>
              <w:left w:w="108" w:type="dxa"/>
              <w:right w:w="108" w:type="dxa"/>
            </w:tcMar>
          </w:tcPr>
          <w:p w14:paraId="0A531B3B" w14:textId="3C504AE0" w:rsidR="00B91F1D" w:rsidRDefault="00B91F1D" w:rsidP="00B91F1D">
            <w:pPr>
              <w:pStyle w:val="TableText"/>
            </w:pPr>
            <w:r w:rsidRPr="004F7AB2">
              <w:t>Australian Centre for Disease Preparedness</w:t>
            </w:r>
          </w:p>
        </w:tc>
      </w:tr>
      <w:tr w:rsidR="002A1F9C" w14:paraId="47861813" w14:textId="77777777" w:rsidTr="00CD7C54">
        <w:tc>
          <w:tcPr>
            <w:tcW w:w="1250" w:type="pct"/>
            <w:tcMar>
              <w:left w:w="108" w:type="dxa"/>
              <w:right w:w="108" w:type="dxa"/>
            </w:tcMar>
          </w:tcPr>
          <w:p w14:paraId="311699B5" w14:textId="520F25AB" w:rsidR="002A1F9C" w:rsidRPr="004F7AB2" w:rsidRDefault="002A1F9C" w:rsidP="00B91F1D">
            <w:pPr>
              <w:pStyle w:val="TableText"/>
            </w:pPr>
            <w:r>
              <w:t>AHC</w:t>
            </w:r>
          </w:p>
        </w:tc>
        <w:tc>
          <w:tcPr>
            <w:tcW w:w="3750" w:type="pct"/>
            <w:tcMar>
              <w:left w:w="108" w:type="dxa"/>
              <w:right w:w="108" w:type="dxa"/>
            </w:tcMar>
          </w:tcPr>
          <w:p w14:paraId="4B138946" w14:textId="44583F2E" w:rsidR="002A1F9C" w:rsidRPr="004F7AB2" w:rsidRDefault="002A1F9C" w:rsidP="00B91F1D">
            <w:pPr>
              <w:pStyle w:val="TableText"/>
            </w:pPr>
            <w:r>
              <w:t xml:space="preserve">Animal Health </w:t>
            </w:r>
            <w:r w:rsidR="007C3D04">
              <w:t>Committee</w:t>
            </w:r>
          </w:p>
        </w:tc>
      </w:tr>
      <w:tr w:rsidR="00B91F1D" w14:paraId="36807BA6" w14:textId="77777777" w:rsidTr="00CD7C54">
        <w:tc>
          <w:tcPr>
            <w:tcW w:w="1250" w:type="pct"/>
            <w:tcMar>
              <w:left w:w="108" w:type="dxa"/>
              <w:right w:w="108" w:type="dxa"/>
            </w:tcMar>
          </w:tcPr>
          <w:p w14:paraId="24A90BF9" w14:textId="0FA7335F" w:rsidR="00B91F1D" w:rsidRDefault="00B91F1D" w:rsidP="00B91F1D">
            <w:pPr>
              <w:pStyle w:val="TableText"/>
            </w:pPr>
            <w:r w:rsidRPr="004F7AB2">
              <w:t>BTV</w:t>
            </w:r>
          </w:p>
        </w:tc>
        <w:tc>
          <w:tcPr>
            <w:tcW w:w="3750" w:type="pct"/>
            <w:tcMar>
              <w:left w:w="108" w:type="dxa"/>
              <w:right w:w="108" w:type="dxa"/>
            </w:tcMar>
          </w:tcPr>
          <w:p w14:paraId="043D15F8" w14:textId="39B46CFB" w:rsidR="00B91F1D" w:rsidRDefault="00B91F1D" w:rsidP="00B91F1D">
            <w:pPr>
              <w:pStyle w:val="TableText"/>
            </w:pPr>
            <w:r w:rsidRPr="004F7AB2">
              <w:t>blue tongue virus</w:t>
            </w:r>
          </w:p>
        </w:tc>
      </w:tr>
      <w:tr w:rsidR="00B91F1D" w14:paraId="33C8A8A6" w14:textId="77777777" w:rsidTr="00CD7C54">
        <w:tc>
          <w:tcPr>
            <w:tcW w:w="1250" w:type="pct"/>
            <w:tcMar>
              <w:left w:w="108" w:type="dxa"/>
              <w:right w:w="108" w:type="dxa"/>
            </w:tcMar>
          </w:tcPr>
          <w:p w14:paraId="1AED5252" w14:textId="11B4B0B3" w:rsidR="00B91F1D" w:rsidRDefault="00B91F1D" w:rsidP="00B91F1D">
            <w:pPr>
              <w:pStyle w:val="TableText"/>
            </w:pPr>
            <w:r w:rsidRPr="004F7AB2">
              <w:t>DAFF</w:t>
            </w:r>
          </w:p>
        </w:tc>
        <w:tc>
          <w:tcPr>
            <w:tcW w:w="3750" w:type="pct"/>
            <w:tcMar>
              <w:left w:w="108" w:type="dxa"/>
              <w:right w:w="108" w:type="dxa"/>
            </w:tcMar>
          </w:tcPr>
          <w:p w14:paraId="1D7BDC8C" w14:textId="7195D6E6" w:rsidR="00B91F1D" w:rsidRDefault="00B91F1D" w:rsidP="00B91F1D">
            <w:pPr>
              <w:pStyle w:val="TableText"/>
            </w:pPr>
            <w:r w:rsidRPr="004F7AB2">
              <w:t>Department of Agriculture, Fisheries and Forestry</w:t>
            </w:r>
          </w:p>
        </w:tc>
      </w:tr>
      <w:tr w:rsidR="00B91F1D" w14:paraId="447D4602" w14:textId="77777777" w:rsidTr="00CD7C54">
        <w:tc>
          <w:tcPr>
            <w:tcW w:w="1250" w:type="pct"/>
            <w:tcMar>
              <w:left w:w="108" w:type="dxa"/>
              <w:right w:w="108" w:type="dxa"/>
            </w:tcMar>
          </w:tcPr>
          <w:p w14:paraId="33FAAE37" w14:textId="7A59D766" w:rsidR="00B91F1D" w:rsidRDefault="00B91F1D" w:rsidP="00B91F1D">
            <w:pPr>
              <w:pStyle w:val="TableText"/>
            </w:pPr>
            <w:r w:rsidRPr="004F7AB2">
              <w:t>DIVA</w:t>
            </w:r>
          </w:p>
        </w:tc>
        <w:tc>
          <w:tcPr>
            <w:tcW w:w="3750" w:type="pct"/>
            <w:tcMar>
              <w:left w:w="108" w:type="dxa"/>
              <w:right w:w="108" w:type="dxa"/>
            </w:tcMar>
          </w:tcPr>
          <w:p w14:paraId="32FA3984" w14:textId="739AB3C1" w:rsidR="00B91F1D" w:rsidRDefault="00B91F1D" w:rsidP="00B91F1D">
            <w:pPr>
              <w:pStyle w:val="TableText"/>
            </w:pPr>
            <w:r w:rsidRPr="004F7AB2">
              <w:t>differentiating infected from vaccinated animals</w:t>
            </w:r>
          </w:p>
        </w:tc>
      </w:tr>
      <w:tr w:rsidR="00B91F1D" w14:paraId="42F95825" w14:textId="77777777" w:rsidTr="00CD7C54">
        <w:tc>
          <w:tcPr>
            <w:tcW w:w="1250" w:type="pct"/>
            <w:tcMar>
              <w:left w:w="108" w:type="dxa"/>
              <w:right w:w="108" w:type="dxa"/>
            </w:tcMar>
          </w:tcPr>
          <w:p w14:paraId="14F39864" w14:textId="37CE7535" w:rsidR="00B91F1D" w:rsidRDefault="00B91F1D" w:rsidP="00B91F1D">
            <w:pPr>
              <w:pStyle w:val="TableText"/>
            </w:pPr>
            <w:r w:rsidRPr="004F7AB2">
              <w:t>EAD</w:t>
            </w:r>
          </w:p>
        </w:tc>
        <w:tc>
          <w:tcPr>
            <w:tcW w:w="3750" w:type="pct"/>
            <w:tcMar>
              <w:left w:w="108" w:type="dxa"/>
              <w:right w:w="108" w:type="dxa"/>
            </w:tcMar>
          </w:tcPr>
          <w:p w14:paraId="6029E9C0" w14:textId="10B6A0D5" w:rsidR="00B91F1D" w:rsidRDefault="00B91F1D" w:rsidP="00B91F1D">
            <w:pPr>
              <w:pStyle w:val="TableText"/>
            </w:pPr>
            <w:r w:rsidRPr="004F7AB2">
              <w:t>emergency animal disease</w:t>
            </w:r>
          </w:p>
        </w:tc>
      </w:tr>
      <w:tr w:rsidR="00B91F1D" w14:paraId="5BE44F9F" w14:textId="77777777" w:rsidTr="00CD7C54">
        <w:tc>
          <w:tcPr>
            <w:tcW w:w="1250" w:type="pct"/>
            <w:tcMar>
              <w:left w:w="108" w:type="dxa"/>
              <w:right w:w="108" w:type="dxa"/>
            </w:tcMar>
          </w:tcPr>
          <w:p w14:paraId="72B764C5" w14:textId="6F79F0C9" w:rsidR="00B91F1D" w:rsidRDefault="00B91F1D" w:rsidP="00B91F1D">
            <w:pPr>
              <w:pStyle w:val="TableText"/>
            </w:pPr>
            <w:r w:rsidRPr="004F7AB2">
              <w:t>ELISA</w:t>
            </w:r>
          </w:p>
        </w:tc>
        <w:tc>
          <w:tcPr>
            <w:tcW w:w="3750" w:type="pct"/>
            <w:tcMar>
              <w:left w:w="108" w:type="dxa"/>
              <w:right w:w="108" w:type="dxa"/>
            </w:tcMar>
          </w:tcPr>
          <w:p w14:paraId="00A1D7E6" w14:textId="7B784459" w:rsidR="00B91F1D" w:rsidRDefault="00B91F1D" w:rsidP="00B91F1D">
            <w:pPr>
              <w:pStyle w:val="TableText"/>
            </w:pPr>
            <w:r w:rsidRPr="004F7AB2">
              <w:t>enzyme linked immunosorbent assay</w:t>
            </w:r>
          </w:p>
        </w:tc>
      </w:tr>
      <w:tr w:rsidR="00B91F1D" w14:paraId="38D0BFED" w14:textId="77777777" w:rsidTr="00CD7C54">
        <w:tc>
          <w:tcPr>
            <w:tcW w:w="1250" w:type="pct"/>
            <w:tcMar>
              <w:left w:w="108" w:type="dxa"/>
              <w:right w:w="108" w:type="dxa"/>
            </w:tcMar>
          </w:tcPr>
          <w:p w14:paraId="60CF6206" w14:textId="520FB300" w:rsidR="00B91F1D" w:rsidRDefault="00B91F1D" w:rsidP="00B91F1D">
            <w:pPr>
              <w:pStyle w:val="TableText"/>
            </w:pPr>
            <w:r w:rsidRPr="004F7AB2">
              <w:t>EP</w:t>
            </w:r>
          </w:p>
        </w:tc>
        <w:tc>
          <w:tcPr>
            <w:tcW w:w="3750" w:type="pct"/>
            <w:tcMar>
              <w:left w:w="108" w:type="dxa"/>
              <w:right w:w="108" w:type="dxa"/>
            </w:tcMar>
          </w:tcPr>
          <w:p w14:paraId="0EF06EA1" w14:textId="685A975B" w:rsidR="00B91F1D" w:rsidRDefault="00B91F1D" w:rsidP="00B91F1D">
            <w:pPr>
              <w:pStyle w:val="TableText"/>
            </w:pPr>
            <w:r w:rsidRPr="004F7AB2">
              <w:t>equine piroplasmosis</w:t>
            </w:r>
          </w:p>
        </w:tc>
      </w:tr>
      <w:tr w:rsidR="00B91F1D" w14:paraId="30C5DCAC" w14:textId="77777777" w:rsidTr="00CD7C54">
        <w:tc>
          <w:tcPr>
            <w:tcW w:w="1250" w:type="pct"/>
            <w:tcMar>
              <w:left w:w="108" w:type="dxa"/>
              <w:right w:w="108" w:type="dxa"/>
            </w:tcMar>
          </w:tcPr>
          <w:p w14:paraId="6E3AD6E7" w14:textId="337D5B52" w:rsidR="00B91F1D" w:rsidRDefault="00B91F1D" w:rsidP="00B91F1D">
            <w:pPr>
              <w:pStyle w:val="TableText"/>
            </w:pPr>
            <w:r w:rsidRPr="004F7AB2">
              <w:t>HPAI</w:t>
            </w:r>
          </w:p>
        </w:tc>
        <w:tc>
          <w:tcPr>
            <w:tcW w:w="3750" w:type="pct"/>
            <w:tcMar>
              <w:left w:w="108" w:type="dxa"/>
              <w:right w:w="108" w:type="dxa"/>
            </w:tcMar>
          </w:tcPr>
          <w:p w14:paraId="62534D35" w14:textId="0BD22AA6" w:rsidR="00B91F1D" w:rsidRDefault="00B91F1D" w:rsidP="00B91F1D">
            <w:pPr>
              <w:pStyle w:val="TableText"/>
            </w:pPr>
            <w:r w:rsidRPr="004F7AB2">
              <w:t>high pathogenicity avian influenza</w:t>
            </w:r>
          </w:p>
        </w:tc>
      </w:tr>
      <w:tr w:rsidR="00B91F1D" w14:paraId="44CB9294" w14:textId="77777777" w:rsidTr="00CD7C54">
        <w:tc>
          <w:tcPr>
            <w:tcW w:w="1250" w:type="pct"/>
            <w:tcMar>
              <w:left w:w="108" w:type="dxa"/>
              <w:right w:w="108" w:type="dxa"/>
            </w:tcMar>
          </w:tcPr>
          <w:p w14:paraId="31AF73F9" w14:textId="52CAA9C6" w:rsidR="00B91F1D" w:rsidRDefault="00B91F1D" w:rsidP="00B91F1D">
            <w:pPr>
              <w:pStyle w:val="TableText"/>
            </w:pPr>
            <w:r w:rsidRPr="004F7AB2">
              <w:t>HTS</w:t>
            </w:r>
          </w:p>
        </w:tc>
        <w:tc>
          <w:tcPr>
            <w:tcW w:w="3750" w:type="pct"/>
            <w:tcMar>
              <w:left w:w="108" w:type="dxa"/>
              <w:right w:w="108" w:type="dxa"/>
            </w:tcMar>
          </w:tcPr>
          <w:p w14:paraId="3300E7DB" w14:textId="04436AF2" w:rsidR="00B91F1D" w:rsidRDefault="00B91F1D" w:rsidP="00B91F1D">
            <w:pPr>
              <w:pStyle w:val="TableText"/>
            </w:pPr>
            <w:r w:rsidRPr="004F7AB2">
              <w:t>high-throughput sequencing</w:t>
            </w:r>
          </w:p>
        </w:tc>
      </w:tr>
      <w:tr w:rsidR="00B91F1D" w14:paraId="1FFD9430" w14:textId="77777777" w:rsidTr="00CD7C54">
        <w:tc>
          <w:tcPr>
            <w:tcW w:w="1250" w:type="pct"/>
            <w:tcMar>
              <w:left w:w="108" w:type="dxa"/>
              <w:right w:w="108" w:type="dxa"/>
            </w:tcMar>
          </w:tcPr>
          <w:p w14:paraId="0EDF9006" w14:textId="720DE209" w:rsidR="00B91F1D" w:rsidRDefault="00B91F1D" w:rsidP="00B91F1D">
            <w:pPr>
              <w:pStyle w:val="TableText"/>
            </w:pPr>
            <w:r w:rsidRPr="004F7AB2">
              <w:t>IFAT</w:t>
            </w:r>
          </w:p>
        </w:tc>
        <w:tc>
          <w:tcPr>
            <w:tcW w:w="3750" w:type="pct"/>
            <w:tcMar>
              <w:left w:w="108" w:type="dxa"/>
              <w:right w:w="108" w:type="dxa"/>
            </w:tcMar>
          </w:tcPr>
          <w:p w14:paraId="31A4F2A6" w14:textId="79F889F6" w:rsidR="00B91F1D" w:rsidRDefault="00B91F1D" w:rsidP="00B91F1D">
            <w:pPr>
              <w:pStyle w:val="TableText"/>
            </w:pPr>
            <w:r w:rsidRPr="004F7AB2">
              <w:t>immunofluorescence antibody test</w:t>
            </w:r>
          </w:p>
        </w:tc>
      </w:tr>
      <w:tr w:rsidR="00B91F1D" w14:paraId="665E9D22" w14:textId="77777777" w:rsidTr="00CD7C54">
        <w:tc>
          <w:tcPr>
            <w:tcW w:w="1250" w:type="pct"/>
            <w:tcMar>
              <w:left w:w="108" w:type="dxa"/>
              <w:right w:w="108" w:type="dxa"/>
            </w:tcMar>
          </w:tcPr>
          <w:p w14:paraId="5E2AACA8" w14:textId="5A7376ED" w:rsidR="00B91F1D" w:rsidRDefault="00B91F1D" w:rsidP="00B91F1D">
            <w:pPr>
              <w:pStyle w:val="TableText"/>
            </w:pPr>
            <w:r w:rsidRPr="004F7AB2">
              <w:t>IHC</w:t>
            </w:r>
          </w:p>
        </w:tc>
        <w:tc>
          <w:tcPr>
            <w:tcW w:w="3750" w:type="pct"/>
            <w:tcMar>
              <w:left w:w="108" w:type="dxa"/>
              <w:right w:w="108" w:type="dxa"/>
            </w:tcMar>
          </w:tcPr>
          <w:p w14:paraId="262EA437" w14:textId="7910B86E" w:rsidR="00B91F1D" w:rsidRDefault="00B91F1D" w:rsidP="00B91F1D">
            <w:pPr>
              <w:pStyle w:val="TableText"/>
            </w:pPr>
            <w:r w:rsidRPr="004F7AB2">
              <w:t>immunohistochemistry</w:t>
            </w:r>
          </w:p>
        </w:tc>
      </w:tr>
      <w:tr w:rsidR="002A1F9C" w14:paraId="512A4C66" w14:textId="77777777" w:rsidTr="00CD7C54">
        <w:tc>
          <w:tcPr>
            <w:tcW w:w="1250" w:type="pct"/>
            <w:tcMar>
              <w:left w:w="108" w:type="dxa"/>
              <w:right w:w="108" w:type="dxa"/>
            </w:tcMar>
          </w:tcPr>
          <w:p w14:paraId="35EAB89F" w14:textId="4CA7E7A0" w:rsidR="002A1F9C" w:rsidRPr="004F7AB2" w:rsidRDefault="002A1F9C" w:rsidP="00B91F1D">
            <w:pPr>
              <w:pStyle w:val="TableText"/>
            </w:pPr>
            <w:r>
              <w:t>JD</w:t>
            </w:r>
          </w:p>
        </w:tc>
        <w:tc>
          <w:tcPr>
            <w:tcW w:w="3750" w:type="pct"/>
            <w:tcMar>
              <w:left w:w="108" w:type="dxa"/>
              <w:right w:w="108" w:type="dxa"/>
            </w:tcMar>
          </w:tcPr>
          <w:p w14:paraId="08B98B86" w14:textId="50441FA8" w:rsidR="002A1F9C" w:rsidRPr="004F7AB2" w:rsidRDefault="002A1F9C" w:rsidP="00B91F1D">
            <w:pPr>
              <w:pStyle w:val="TableText"/>
            </w:pPr>
            <w:r>
              <w:t>Johne’s disease</w:t>
            </w:r>
          </w:p>
        </w:tc>
      </w:tr>
      <w:tr w:rsidR="00B91F1D" w14:paraId="3BEB3EF6" w14:textId="77777777" w:rsidTr="00CD7C54">
        <w:tc>
          <w:tcPr>
            <w:tcW w:w="1250" w:type="pct"/>
            <w:tcMar>
              <w:left w:w="108" w:type="dxa"/>
              <w:right w:w="108" w:type="dxa"/>
            </w:tcMar>
          </w:tcPr>
          <w:p w14:paraId="56BF024F" w14:textId="02800890" w:rsidR="00B91F1D" w:rsidRDefault="00B91F1D" w:rsidP="00B91F1D">
            <w:pPr>
              <w:pStyle w:val="TableText"/>
            </w:pPr>
            <w:r w:rsidRPr="004F7AB2">
              <w:t>LEADDR</w:t>
            </w:r>
          </w:p>
        </w:tc>
        <w:tc>
          <w:tcPr>
            <w:tcW w:w="3750" w:type="pct"/>
            <w:tcMar>
              <w:left w:w="108" w:type="dxa"/>
              <w:right w:w="108" w:type="dxa"/>
            </w:tcMar>
          </w:tcPr>
          <w:p w14:paraId="78C86C2F" w14:textId="03773477" w:rsidR="00B91F1D" w:rsidRDefault="00B91F1D" w:rsidP="00B91F1D">
            <w:pPr>
              <w:pStyle w:val="TableText"/>
            </w:pPr>
            <w:r w:rsidRPr="004F7AB2">
              <w:t>Laboratories for EAD Diagnosis and Response</w:t>
            </w:r>
          </w:p>
        </w:tc>
      </w:tr>
      <w:tr w:rsidR="00B91F1D" w14:paraId="76E3517A" w14:textId="77777777" w:rsidTr="00CD7C54">
        <w:tc>
          <w:tcPr>
            <w:tcW w:w="1250" w:type="pct"/>
            <w:tcMar>
              <w:left w:w="108" w:type="dxa"/>
              <w:right w:w="108" w:type="dxa"/>
            </w:tcMar>
          </w:tcPr>
          <w:p w14:paraId="4ADB2ED2" w14:textId="016568BA" w:rsidR="00B91F1D" w:rsidRDefault="00B91F1D" w:rsidP="00B91F1D">
            <w:pPr>
              <w:pStyle w:val="TableText"/>
            </w:pPr>
            <w:r w:rsidRPr="004F7AB2">
              <w:t>LSD</w:t>
            </w:r>
          </w:p>
        </w:tc>
        <w:tc>
          <w:tcPr>
            <w:tcW w:w="3750" w:type="pct"/>
            <w:tcMar>
              <w:left w:w="108" w:type="dxa"/>
              <w:right w:w="108" w:type="dxa"/>
            </w:tcMar>
          </w:tcPr>
          <w:p w14:paraId="55A004C1" w14:textId="09EE309A" w:rsidR="00B91F1D" w:rsidRDefault="00B91F1D" w:rsidP="00B91F1D">
            <w:pPr>
              <w:pStyle w:val="TableText"/>
            </w:pPr>
            <w:r w:rsidRPr="004F7AB2">
              <w:t>lumpy skin disease</w:t>
            </w:r>
          </w:p>
        </w:tc>
      </w:tr>
      <w:tr w:rsidR="00442051" w14:paraId="38B5579F" w14:textId="77777777" w:rsidTr="00CD7C54">
        <w:tc>
          <w:tcPr>
            <w:tcW w:w="1250" w:type="pct"/>
            <w:tcMar>
              <w:left w:w="108" w:type="dxa"/>
              <w:right w:w="108" w:type="dxa"/>
            </w:tcMar>
          </w:tcPr>
          <w:p w14:paraId="63B649B4" w14:textId="6271E46B" w:rsidR="00442051" w:rsidRPr="004F7AB2" w:rsidRDefault="00442051" w:rsidP="00B91F1D">
            <w:pPr>
              <w:pStyle w:val="TableText"/>
            </w:pPr>
            <w:r>
              <w:t>NABseq</w:t>
            </w:r>
          </w:p>
        </w:tc>
        <w:tc>
          <w:tcPr>
            <w:tcW w:w="3750" w:type="pct"/>
            <w:tcMar>
              <w:left w:w="108" w:type="dxa"/>
              <w:right w:w="108" w:type="dxa"/>
            </w:tcMar>
          </w:tcPr>
          <w:p w14:paraId="6336645E" w14:textId="2ECA1329" w:rsidR="00442051" w:rsidRPr="004F7AB2" w:rsidRDefault="00442051" w:rsidP="00B91F1D">
            <w:pPr>
              <w:pStyle w:val="TableText"/>
            </w:pPr>
            <w:r w:rsidRPr="00442051">
              <w:t>Northern Australia biosecurity sequencing</w:t>
            </w:r>
          </w:p>
        </w:tc>
      </w:tr>
      <w:tr w:rsidR="00B91F1D" w14:paraId="6D9A5D08" w14:textId="77777777" w:rsidTr="00CD7C54">
        <w:tc>
          <w:tcPr>
            <w:tcW w:w="1250" w:type="pct"/>
            <w:tcMar>
              <w:left w:w="108" w:type="dxa"/>
              <w:right w:w="108" w:type="dxa"/>
            </w:tcMar>
          </w:tcPr>
          <w:p w14:paraId="09B9AEB5" w14:textId="3B1E7739" w:rsidR="00B91F1D" w:rsidRDefault="00B91F1D" w:rsidP="00B91F1D">
            <w:pPr>
              <w:pStyle w:val="TableText"/>
            </w:pPr>
            <w:r w:rsidRPr="004F7AB2">
              <w:t>NAHDBP</w:t>
            </w:r>
          </w:p>
        </w:tc>
        <w:tc>
          <w:tcPr>
            <w:tcW w:w="3750" w:type="pct"/>
            <w:tcMar>
              <w:left w:w="108" w:type="dxa"/>
              <w:right w:w="108" w:type="dxa"/>
            </w:tcMar>
          </w:tcPr>
          <w:p w14:paraId="3370131F" w14:textId="4FE046EE" w:rsidR="00B91F1D" w:rsidRDefault="00B91F1D" w:rsidP="00B91F1D">
            <w:pPr>
              <w:pStyle w:val="TableText"/>
            </w:pPr>
            <w:r w:rsidRPr="004F7AB2">
              <w:t>National Animal Health Diagnostics Business Plan</w:t>
            </w:r>
          </w:p>
        </w:tc>
      </w:tr>
      <w:tr w:rsidR="00B91F1D" w14:paraId="6A548171" w14:textId="77777777" w:rsidTr="00CD7C54">
        <w:tc>
          <w:tcPr>
            <w:tcW w:w="1250" w:type="pct"/>
            <w:tcMar>
              <w:left w:w="108" w:type="dxa"/>
              <w:right w:w="108" w:type="dxa"/>
            </w:tcMar>
          </w:tcPr>
          <w:p w14:paraId="55EFF4C4" w14:textId="348280BB" w:rsidR="00B91F1D" w:rsidRDefault="00B91F1D" w:rsidP="00B91F1D">
            <w:pPr>
              <w:pStyle w:val="TableText"/>
            </w:pPr>
            <w:r w:rsidRPr="004F7AB2">
              <w:t>NATA</w:t>
            </w:r>
          </w:p>
        </w:tc>
        <w:tc>
          <w:tcPr>
            <w:tcW w:w="3750" w:type="pct"/>
            <w:tcMar>
              <w:left w:w="108" w:type="dxa"/>
              <w:right w:w="108" w:type="dxa"/>
            </w:tcMar>
          </w:tcPr>
          <w:p w14:paraId="718DDC97" w14:textId="1C8A06D0" w:rsidR="00B91F1D" w:rsidRDefault="00B91F1D" w:rsidP="00B91F1D">
            <w:pPr>
              <w:pStyle w:val="TableText"/>
            </w:pPr>
            <w:r w:rsidRPr="004F7AB2">
              <w:t>National Association of Testing Authorities</w:t>
            </w:r>
          </w:p>
        </w:tc>
      </w:tr>
      <w:tr w:rsidR="00B91F1D" w14:paraId="70302576" w14:textId="77777777" w:rsidTr="00CD7C54">
        <w:tc>
          <w:tcPr>
            <w:tcW w:w="1250" w:type="pct"/>
            <w:tcMar>
              <w:left w:w="108" w:type="dxa"/>
              <w:right w:w="108" w:type="dxa"/>
            </w:tcMar>
          </w:tcPr>
          <w:p w14:paraId="46F6BE2B" w14:textId="46B9C0BC" w:rsidR="00B91F1D" w:rsidRDefault="00B91F1D" w:rsidP="00B91F1D">
            <w:pPr>
              <w:pStyle w:val="TableText"/>
            </w:pPr>
            <w:r w:rsidRPr="004F7AB2">
              <w:t>PCR</w:t>
            </w:r>
          </w:p>
        </w:tc>
        <w:tc>
          <w:tcPr>
            <w:tcW w:w="3750" w:type="pct"/>
            <w:tcMar>
              <w:left w:w="108" w:type="dxa"/>
              <w:right w:w="108" w:type="dxa"/>
            </w:tcMar>
          </w:tcPr>
          <w:p w14:paraId="02EA439A" w14:textId="7AAE7BCC" w:rsidR="00B91F1D" w:rsidRDefault="00B91F1D" w:rsidP="00B91F1D">
            <w:pPr>
              <w:pStyle w:val="TableText"/>
            </w:pPr>
            <w:r w:rsidRPr="004F7AB2">
              <w:t>polymerase chain reaction</w:t>
            </w:r>
          </w:p>
        </w:tc>
      </w:tr>
      <w:tr w:rsidR="00B91F1D" w14:paraId="7B60FEF0" w14:textId="77777777" w:rsidTr="00CD7C54">
        <w:tc>
          <w:tcPr>
            <w:tcW w:w="1250" w:type="pct"/>
            <w:tcMar>
              <w:left w:w="108" w:type="dxa"/>
              <w:right w:w="108" w:type="dxa"/>
            </w:tcMar>
          </w:tcPr>
          <w:p w14:paraId="021A1AC2" w14:textId="597AB66A" w:rsidR="00B91F1D" w:rsidRDefault="00B91F1D" w:rsidP="00B91F1D">
            <w:pPr>
              <w:pStyle w:val="TableText"/>
            </w:pPr>
            <w:r w:rsidRPr="004F7AB2">
              <w:t>POC</w:t>
            </w:r>
          </w:p>
        </w:tc>
        <w:tc>
          <w:tcPr>
            <w:tcW w:w="3750" w:type="pct"/>
            <w:tcMar>
              <w:left w:w="108" w:type="dxa"/>
              <w:right w:w="108" w:type="dxa"/>
            </w:tcMar>
          </w:tcPr>
          <w:p w14:paraId="3E812479" w14:textId="5C09BB6D" w:rsidR="00B91F1D" w:rsidRDefault="00B91F1D" w:rsidP="00B91F1D">
            <w:pPr>
              <w:pStyle w:val="TableText"/>
            </w:pPr>
            <w:r w:rsidRPr="004F7AB2">
              <w:t>point of care</w:t>
            </w:r>
          </w:p>
        </w:tc>
      </w:tr>
      <w:tr w:rsidR="00B91F1D" w14:paraId="0EA77482" w14:textId="77777777" w:rsidTr="00CD7C54">
        <w:tc>
          <w:tcPr>
            <w:tcW w:w="1250" w:type="pct"/>
            <w:tcMar>
              <w:left w:w="108" w:type="dxa"/>
              <w:right w:w="108" w:type="dxa"/>
            </w:tcMar>
          </w:tcPr>
          <w:p w14:paraId="0BBB7DC1" w14:textId="3E476FC1" w:rsidR="00B91F1D" w:rsidRDefault="00B91F1D" w:rsidP="00B91F1D">
            <w:pPr>
              <w:pStyle w:val="TableText"/>
            </w:pPr>
            <w:r w:rsidRPr="004F7AB2">
              <w:t>PT</w:t>
            </w:r>
          </w:p>
        </w:tc>
        <w:tc>
          <w:tcPr>
            <w:tcW w:w="3750" w:type="pct"/>
            <w:tcMar>
              <w:left w:w="108" w:type="dxa"/>
              <w:right w:w="108" w:type="dxa"/>
            </w:tcMar>
          </w:tcPr>
          <w:p w14:paraId="32D41E9E" w14:textId="229943D0" w:rsidR="00B91F1D" w:rsidRDefault="00B91F1D" w:rsidP="00B91F1D">
            <w:pPr>
              <w:pStyle w:val="TableText"/>
            </w:pPr>
            <w:r w:rsidRPr="004F7AB2">
              <w:t>proficiency testing</w:t>
            </w:r>
          </w:p>
        </w:tc>
      </w:tr>
      <w:tr w:rsidR="00B91F1D" w14:paraId="11FB6977" w14:textId="77777777" w:rsidTr="00CD7C54">
        <w:tc>
          <w:tcPr>
            <w:tcW w:w="1250" w:type="pct"/>
            <w:tcMar>
              <w:left w:w="108" w:type="dxa"/>
              <w:right w:w="108" w:type="dxa"/>
            </w:tcMar>
          </w:tcPr>
          <w:p w14:paraId="492D624A" w14:textId="4C99DBA6" w:rsidR="00B91F1D" w:rsidRDefault="00B91F1D" w:rsidP="00B91F1D">
            <w:pPr>
              <w:pStyle w:val="TableText"/>
            </w:pPr>
            <w:r w:rsidRPr="004F7AB2">
              <w:t>qPCR</w:t>
            </w:r>
          </w:p>
        </w:tc>
        <w:tc>
          <w:tcPr>
            <w:tcW w:w="3750" w:type="pct"/>
            <w:tcMar>
              <w:left w:w="108" w:type="dxa"/>
              <w:right w:w="108" w:type="dxa"/>
            </w:tcMar>
          </w:tcPr>
          <w:p w14:paraId="6D207A29" w14:textId="2FF0785C" w:rsidR="00B91F1D" w:rsidRDefault="00B91F1D" w:rsidP="00B91F1D">
            <w:pPr>
              <w:pStyle w:val="TableText"/>
            </w:pPr>
            <w:r w:rsidRPr="004F7AB2">
              <w:t>quantitative polymerase chain reaction</w:t>
            </w:r>
          </w:p>
        </w:tc>
      </w:tr>
      <w:tr w:rsidR="00B91F1D" w14:paraId="10C27C14" w14:textId="77777777" w:rsidTr="00CD7C54">
        <w:tc>
          <w:tcPr>
            <w:tcW w:w="1250" w:type="pct"/>
            <w:tcMar>
              <w:left w:w="108" w:type="dxa"/>
              <w:right w:w="108" w:type="dxa"/>
            </w:tcMar>
          </w:tcPr>
          <w:p w14:paraId="7509A35D" w14:textId="1948AE73" w:rsidR="00B91F1D" w:rsidRDefault="00B91F1D" w:rsidP="00B91F1D">
            <w:pPr>
              <w:pStyle w:val="TableText"/>
            </w:pPr>
            <w:r w:rsidRPr="004F7AB2">
              <w:t>SCAHLS</w:t>
            </w:r>
          </w:p>
        </w:tc>
        <w:tc>
          <w:tcPr>
            <w:tcW w:w="3750" w:type="pct"/>
            <w:tcMar>
              <w:left w:w="108" w:type="dxa"/>
              <w:right w:w="108" w:type="dxa"/>
            </w:tcMar>
          </w:tcPr>
          <w:p w14:paraId="0DCD1C47" w14:textId="3D63E45A" w:rsidR="00B91F1D" w:rsidRDefault="00B91F1D" w:rsidP="00B91F1D">
            <w:pPr>
              <w:pStyle w:val="TableText"/>
            </w:pPr>
            <w:r w:rsidRPr="004F7AB2">
              <w:t>Subcommittee on Animal Health Laboratory Standards</w:t>
            </w:r>
          </w:p>
        </w:tc>
      </w:tr>
    </w:tbl>
    <w:p w14:paraId="35BB27BB" w14:textId="352034B1" w:rsidR="00764D6A" w:rsidRDefault="00764D6A" w:rsidP="00284D14"/>
    <w:sectPr w:rsidR="00764D6A">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75D34" w14:textId="77777777" w:rsidR="00CA0811" w:rsidRDefault="00CA0811">
      <w:r>
        <w:separator/>
      </w:r>
    </w:p>
    <w:p w14:paraId="7D0F8AA6" w14:textId="77777777" w:rsidR="00CA0811" w:rsidRDefault="00CA0811"/>
    <w:p w14:paraId="5846FEC2" w14:textId="77777777" w:rsidR="00CA0811" w:rsidRDefault="00CA0811"/>
  </w:endnote>
  <w:endnote w:type="continuationSeparator" w:id="0">
    <w:p w14:paraId="71AFB047" w14:textId="77777777" w:rsidR="00CA0811" w:rsidRDefault="00CA0811">
      <w:r>
        <w:continuationSeparator/>
      </w:r>
    </w:p>
    <w:p w14:paraId="7C0A97E3" w14:textId="77777777" w:rsidR="00CA0811" w:rsidRDefault="00CA0811"/>
    <w:p w14:paraId="3D71E8A9" w14:textId="77777777" w:rsidR="00CA0811" w:rsidRDefault="00CA0811"/>
  </w:endnote>
  <w:endnote w:type="continuationNotice" w:id="1">
    <w:p w14:paraId="0EF7EBE4" w14:textId="77777777" w:rsidR="00CA0811" w:rsidRDefault="00CA0811" w:rsidP="00274B73">
      <w:pPr>
        <w:pStyle w:val="Footer"/>
      </w:pPr>
    </w:p>
    <w:p w14:paraId="58213429" w14:textId="77777777" w:rsidR="00CA0811" w:rsidRDefault="00CA0811"/>
    <w:p w14:paraId="0CDAFACA" w14:textId="77777777" w:rsidR="00CA0811" w:rsidRDefault="00CA08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3B82C" w14:textId="77777777" w:rsidR="00CA6C9D" w:rsidRDefault="009622CD" w:rsidP="00274B73">
    <w:pPr>
      <w:pStyle w:val="Footer"/>
    </w:pPr>
    <w:r>
      <w:rPr>
        <w:noProof/>
      </w:rPr>
      <mc:AlternateContent>
        <mc:Choice Requires="wps">
          <w:drawing>
            <wp:anchor distT="0" distB="0" distL="0" distR="0" simplePos="0" relativeHeight="251658240" behindDoc="0" locked="0" layoutInCell="1" allowOverlap="1" wp14:anchorId="256CB6A8" wp14:editId="56A80506">
              <wp:simplePos x="635" y="635"/>
              <wp:positionH relativeFrom="page">
                <wp:align>center</wp:align>
              </wp:positionH>
              <wp:positionV relativeFrom="page">
                <wp:align>bottom</wp:align>
              </wp:positionV>
              <wp:extent cx="551815" cy="404495"/>
              <wp:effectExtent l="0" t="0" r="635" b="0"/>
              <wp:wrapNone/>
              <wp:docPr id="200783568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E68DE9C"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6CB6A8"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1.8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7E68DE9C"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5C9D0" w14:textId="77777777" w:rsidR="00B861B4" w:rsidRDefault="009622CD" w:rsidP="00274B73">
    <w:pPr>
      <w:pStyle w:val="Footer"/>
    </w:pPr>
    <w:r>
      <w:rPr>
        <w:noProof/>
      </w:rPr>
      <mc:AlternateContent>
        <mc:Choice Requires="wps">
          <w:drawing>
            <wp:anchor distT="0" distB="0" distL="0" distR="0" simplePos="0" relativeHeight="251659264" behindDoc="0" locked="0" layoutInCell="1" allowOverlap="1" wp14:anchorId="06D5A7A7" wp14:editId="4D8D576E">
              <wp:simplePos x="901065" y="10053320"/>
              <wp:positionH relativeFrom="page">
                <wp:align>center</wp:align>
              </wp:positionH>
              <wp:positionV relativeFrom="page">
                <wp:align>bottom</wp:align>
              </wp:positionV>
              <wp:extent cx="551815" cy="404495"/>
              <wp:effectExtent l="0" t="0" r="635" b="0"/>
              <wp:wrapNone/>
              <wp:docPr id="101824829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AD07D56"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D5A7A7" id="_x0000_t202" coordsize="21600,21600" o:spt="202" path="m,l,21600r21600,l21600,xe">
              <v:stroke joinstyle="miter"/>
              <v:path gradientshapeok="t" o:connecttype="rect"/>
            </v:shapetype>
            <v:shape id="Text Box 6" o:spid="_x0000_s1028" type="#_x0000_t202" alt="OFFICIAL" style="position:absolute;left:0;text-align:left;margin-left:0;margin-top:0;width:43.45pt;height:31.8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2AD07D56"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r w:rsidR="00DE0AAE" w:rsidRPr="00DE0AAE">
      <w:t>Department of Agriculture, Fisheries and Forestry</w:t>
    </w:r>
    <w:r w:rsidR="00493F3C">
      <w:tab/>
    </w:r>
    <w:r w:rsidR="00B861B4">
      <w:fldChar w:fldCharType="begin"/>
    </w:r>
    <w:r w:rsidR="00B861B4">
      <w:instrText xml:space="preserve"> PAGE   \* MERGEFORMAT </w:instrText>
    </w:r>
    <w:r w:rsidR="00B861B4">
      <w:fldChar w:fldCharType="separate"/>
    </w:r>
    <w:r w:rsidR="005E25BD">
      <w:rPr>
        <w:noProof/>
      </w:rPr>
      <w:t>12</w:t>
    </w:r>
    <w:r w:rsidR="00B861B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78404" w14:textId="7E31440D" w:rsidR="007A4DDB" w:rsidRDefault="009622CD" w:rsidP="00274B73">
    <w:pPr>
      <w:pStyle w:val="Footer"/>
    </w:pPr>
    <w:r>
      <w:rPr>
        <w:noProof/>
      </w:rPr>
      <mc:AlternateContent>
        <mc:Choice Requires="wps">
          <w:drawing>
            <wp:anchor distT="0" distB="0" distL="0" distR="0" simplePos="0" relativeHeight="251657216" behindDoc="0" locked="0" layoutInCell="1" allowOverlap="1" wp14:anchorId="1B7A067D" wp14:editId="335797B8">
              <wp:simplePos x="899770" y="10051085"/>
              <wp:positionH relativeFrom="page">
                <wp:align>center</wp:align>
              </wp:positionH>
              <wp:positionV relativeFrom="page">
                <wp:align>bottom</wp:align>
              </wp:positionV>
              <wp:extent cx="551815" cy="404495"/>
              <wp:effectExtent l="0" t="0" r="635" b="0"/>
              <wp:wrapNone/>
              <wp:docPr id="152003226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218FE44"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7A067D" id="_x0000_t202" coordsize="21600,21600" o:spt="202" path="m,l,21600r21600,l21600,xe">
              <v:stroke joinstyle="miter"/>
              <v:path gradientshapeok="t" o:connecttype="rect"/>
            </v:shapetype>
            <v:shape id="Text Box 4" o:spid="_x0000_s1030" type="#_x0000_t202" alt="OFFICIAL" style="position:absolute;left:0;text-align:left;margin-left:0;margin-top:0;width:43.45pt;height:31.85pt;z-index:251657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m9DQ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" filled="f" stroked="f">
              <v:textbox style="mso-fit-shape-to-text:t" inset="0,0,0,15pt">
                <w:txbxContent>
                  <w:p w14:paraId="7218FE44"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68379" w14:textId="77777777" w:rsidR="00CA0811" w:rsidRDefault="00CA0811">
      <w:r>
        <w:separator/>
      </w:r>
    </w:p>
    <w:p w14:paraId="709E902C" w14:textId="77777777" w:rsidR="00CA0811" w:rsidRDefault="00CA0811"/>
    <w:p w14:paraId="0E0DD250" w14:textId="77777777" w:rsidR="00CA0811" w:rsidRDefault="00CA0811"/>
  </w:footnote>
  <w:footnote w:type="continuationSeparator" w:id="0">
    <w:p w14:paraId="06AD625D" w14:textId="77777777" w:rsidR="00CA0811" w:rsidRDefault="00CA0811">
      <w:r>
        <w:continuationSeparator/>
      </w:r>
    </w:p>
    <w:p w14:paraId="44A33338" w14:textId="77777777" w:rsidR="00CA0811" w:rsidRDefault="00CA0811"/>
    <w:p w14:paraId="43F0D657" w14:textId="77777777" w:rsidR="00CA0811" w:rsidRDefault="00CA0811"/>
  </w:footnote>
  <w:footnote w:type="continuationNotice" w:id="1">
    <w:p w14:paraId="1D80CABE" w14:textId="77777777" w:rsidR="00CA0811" w:rsidRDefault="00CA0811" w:rsidP="00274B73">
      <w:pPr>
        <w:pStyle w:val="Footer"/>
      </w:pPr>
    </w:p>
    <w:p w14:paraId="70EE8BF3" w14:textId="77777777" w:rsidR="00CA0811" w:rsidRDefault="00CA0811"/>
    <w:p w14:paraId="0A7BDA93" w14:textId="77777777" w:rsidR="00CA0811" w:rsidRDefault="00CA08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E4EAC" w14:textId="69D574E7" w:rsidR="00B861B4" w:rsidRDefault="009622CD">
    <w:pPr>
      <w:pStyle w:val="Header"/>
    </w:pPr>
    <w:r>
      <w:rPr>
        <w:noProof/>
        <w:lang w:val="en-US"/>
      </w:rPr>
      <mc:AlternateContent>
        <mc:Choice Requires="wps">
          <w:drawing>
            <wp:anchor distT="0" distB="0" distL="0" distR="0" simplePos="0" relativeHeight="251656192" behindDoc="0" locked="0" layoutInCell="1" allowOverlap="1" wp14:anchorId="61DCDDDF" wp14:editId="713892CB">
              <wp:simplePos x="635" y="635"/>
              <wp:positionH relativeFrom="page">
                <wp:align>center</wp:align>
              </wp:positionH>
              <wp:positionV relativeFrom="page">
                <wp:align>top</wp:align>
              </wp:positionV>
              <wp:extent cx="551815" cy="404495"/>
              <wp:effectExtent l="0" t="0" r="635" b="14605"/>
              <wp:wrapNone/>
              <wp:docPr id="31337870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2642B0F"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DCDDDF"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42642B0F"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05B9E" w14:textId="53954091" w:rsidR="00B861B4" w:rsidRDefault="00B85677">
    <w:pPr>
      <w:pStyle w:val="Header"/>
    </w:pPr>
    <w:r w:rsidRPr="00B85677">
      <w:t xml:space="preserve">National Animal Health Diagnostics Business Plan 2021 to 2026: project updates </w:t>
    </w:r>
    <w:r w:rsidR="00876840">
      <w:t xml:space="preserve">November </w:t>
    </w:r>
    <w:r w:rsidRPr="00B85677">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D66C5" w14:textId="69310C2F" w:rsidR="00B861B4" w:rsidRDefault="00150AF0" w:rsidP="007817E3">
    <w:pPr>
      <w:pStyle w:val="Header"/>
      <w:tabs>
        <w:tab w:val="clear" w:pos="4820"/>
        <w:tab w:val="left" w:pos="1275"/>
        <w:tab w:val="left" w:pos="2115"/>
      </w:tabs>
      <w:jc w:val="left"/>
    </w:pPr>
    <w:r>
      <w:rPr>
        <w:noProof/>
      </w:rPr>
      <w:drawing>
        <wp:inline distT="0" distB="0" distL="0" distR="0" wp14:anchorId="60296636" wp14:editId="26F129CA">
          <wp:extent cx="1533144" cy="890016"/>
          <wp:effectExtent l="0" t="0" r="0" b="5715"/>
          <wp:docPr id="1279211387" name="Picture 1" descr="A black and white logo with kangaroos and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211387" name="Picture 1" descr="A black and white logo with kangaroos and a shiel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3144" cy="890016"/>
                  </a:xfrm>
                  <a:prstGeom prst="rect">
                    <a:avLst/>
                  </a:prstGeom>
                </pic:spPr>
              </pic:pic>
            </a:graphicData>
          </a:graphic>
        </wp:inline>
      </w:drawing>
    </w:r>
    <w:r w:rsidR="009622CD">
      <w:rPr>
        <w:noProof/>
      </w:rPr>
      <mc:AlternateContent>
        <mc:Choice Requires="wps">
          <w:drawing>
            <wp:anchor distT="0" distB="0" distL="0" distR="0" simplePos="0" relativeHeight="251655168" behindDoc="0" locked="0" layoutInCell="1" allowOverlap="1" wp14:anchorId="0EE6C838" wp14:editId="3474D610">
              <wp:simplePos x="899770" y="358445"/>
              <wp:positionH relativeFrom="page">
                <wp:align>center</wp:align>
              </wp:positionH>
              <wp:positionV relativeFrom="page">
                <wp:align>top</wp:align>
              </wp:positionV>
              <wp:extent cx="551815" cy="404495"/>
              <wp:effectExtent l="0" t="0" r="635" b="14605"/>
              <wp:wrapNone/>
              <wp:docPr id="197945022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DCF9AB7"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E6C838" id="_x0000_t202" coordsize="21600,21600" o:spt="202" path="m,l,21600r21600,l21600,xe">
              <v:stroke joinstyle="miter"/>
              <v:path gradientshapeok="t" o:connecttype="rect"/>
            </v:shapetype>
            <v:shape id="Text Box 1" o:spid="_x0000_s1029" type="#_x0000_t202" alt="OFFICIAL" style="position:absolute;margin-left:0;margin-top:0;width:43.45pt;height:31.85pt;z-index:2516551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Az4LW5DgIAABwE&#10;AAAOAAAAAAAAAAAAAAAAAC4CAABkcnMvZTJvRG9jLnhtbFBLAQItABQABgAIAAAAIQD8pn6y2gAA&#10;AAMBAAAPAAAAAAAAAAAAAAAAAGgEAABkcnMvZG93bnJldi54bWxQSwUGAAAAAAQABADzAAAAbwUA&#10;AAAA&#10;" filled="f" stroked="f">
              <v:textbox style="mso-fit-shape-to-text:t" inset="0,15pt,0,0">
                <w:txbxContent>
                  <w:p w14:paraId="0DCF9AB7"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913EA"/>
    <w:multiLevelType w:val="multilevel"/>
    <w:tmpl w:val="7C4CE320"/>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6800B4"/>
    <w:multiLevelType w:val="multilevel"/>
    <w:tmpl w:val="A0241B28"/>
    <w:numStyleLink w:val="List1"/>
  </w:abstractNum>
  <w:abstractNum w:abstractNumId="4"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A8B541B"/>
    <w:multiLevelType w:val="multilevel"/>
    <w:tmpl w:val="6614A676"/>
    <w:lvl w:ilvl="0">
      <w:start w:val="1"/>
      <w:numFmt w:val="bullet"/>
      <w:pStyle w:val="Table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81057155">
    <w:abstractNumId w:val="7"/>
  </w:num>
  <w:num w:numId="2" w16cid:durableId="1639215797">
    <w:abstractNumId w:val="8"/>
  </w:num>
  <w:num w:numId="3" w16cid:durableId="1643265712">
    <w:abstractNumId w:val="2"/>
  </w:num>
  <w:num w:numId="4" w16cid:durableId="15689503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6202022">
    <w:abstractNumId w:val="5"/>
  </w:num>
  <w:num w:numId="6" w16cid:durableId="281765065">
    <w:abstractNumId w:val="6"/>
  </w:num>
  <w:num w:numId="7" w16cid:durableId="2092000146">
    <w:abstractNumId w:val="4"/>
  </w:num>
  <w:num w:numId="8" w16cid:durableId="864908900">
    <w:abstractNumId w:val="2"/>
    <w:lvlOverride w:ilvl="0">
      <w:lvl w:ilvl="0">
        <w:start w:val="1"/>
        <w:numFmt w:val="decimal"/>
        <w:pStyle w:val="Heading2"/>
        <w:lvlText w:val="%1"/>
        <w:lvlJc w:val="left"/>
        <w:pPr>
          <w:ind w:left="720" w:hanging="720"/>
        </w:pPr>
        <w:rPr>
          <w:color w:val="auto"/>
        </w:rPr>
      </w:lvl>
    </w:lvlOverride>
  </w:num>
  <w:num w:numId="9" w16cid:durableId="1469322956">
    <w:abstractNumId w:val="7"/>
  </w:num>
  <w:num w:numId="10" w16cid:durableId="1341661948">
    <w:abstractNumId w:val="8"/>
  </w:num>
  <w:num w:numId="11" w16cid:durableId="1983389004">
    <w:abstractNumId w:val="1"/>
  </w:num>
  <w:num w:numId="12" w16cid:durableId="435951209">
    <w:abstractNumId w:val="9"/>
  </w:num>
  <w:num w:numId="13" w16cid:durableId="1385720017">
    <w:abstractNumId w:val="11"/>
  </w:num>
  <w:num w:numId="14" w16cid:durableId="1361395064">
    <w:abstractNumId w:val="10"/>
  </w:num>
  <w:num w:numId="15" w16cid:durableId="2119637520">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activeWritingStyle w:appName="MSWord" w:lang="en-AU" w:vendorID="64" w:dllVersion="0" w:nlCheck="1" w:checkStyle="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2EB"/>
    <w:rsid w:val="00000D29"/>
    <w:rsid w:val="000032AD"/>
    <w:rsid w:val="00006D71"/>
    <w:rsid w:val="000112F8"/>
    <w:rsid w:val="00015E20"/>
    <w:rsid w:val="000176DD"/>
    <w:rsid w:val="000270EB"/>
    <w:rsid w:val="000303BD"/>
    <w:rsid w:val="00032789"/>
    <w:rsid w:val="00033E60"/>
    <w:rsid w:val="000373C5"/>
    <w:rsid w:val="000405B1"/>
    <w:rsid w:val="00043D85"/>
    <w:rsid w:val="000521D2"/>
    <w:rsid w:val="000542FF"/>
    <w:rsid w:val="00060AE0"/>
    <w:rsid w:val="0006159B"/>
    <w:rsid w:val="000651B8"/>
    <w:rsid w:val="00070F0D"/>
    <w:rsid w:val="00071927"/>
    <w:rsid w:val="000869AB"/>
    <w:rsid w:val="000942EE"/>
    <w:rsid w:val="00095774"/>
    <w:rsid w:val="00095EF6"/>
    <w:rsid w:val="000960EB"/>
    <w:rsid w:val="00097FA8"/>
    <w:rsid w:val="000A1447"/>
    <w:rsid w:val="000A5170"/>
    <w:rsid w:val="000A7AAF"/>
    <w:rsid w:val="000A7E36"/>
    <w:rsid w:val="000B0D01"/>
    <w:rsid w:val="000B5FA0"/>
    <w:rsid w:val="000B74FF"/>
    <w:rsid w:val="000C0F45"/>
    <w:rsid w:val="000E0F24"/>
    <w:rsid w:val="000E3C0F"/>
    <w:rsid w:val="000E53DF"/>
    <w:rsid w:val="000E6645"/>
    <w:rsid w:val="000F2F80"/>
    <w:rsid w:val="000F33B0"/>
    <w:rsid w:val="000F35C7"/>
    <w:rsid w:val="000F4675"/>
    <w:rsid w:val="000F540E"/>
    <w:rsid w:val="001001FB"/>
    <w:rsid w:val="001013AD"/>
    <w:rsid w:val="00105A05"/>
    <w:rsid w:val="001116C3"/>
    <w:rsid w:val="001169C2"/>
    <w:rsid w:val="001309AE"/>
    <w:rsid w:val="00131253"/>
    <w:rsid w:val="0013191B"/>
    <w:rsid w:val="00131B8E"/>
    <w:rsid w:val="00141940"/>
    <w:rsid w:val="00142155"/>
    <w:rsid w:val="00143C52"/>
    <w:rsid w:val="00146868"/>
    <w:rsid w:val="00146ABD"/>
    <w:rsid w:val="0015097E"/>
    <w:rsid w:val="00150AF0"/>
    <w:rsid w:val="0015123F"/>
    <w:rsid w:val="00156505"/>
    <w:rsid w:val="001573D8"/>
    <w:rsid w:val="00160013"/>
    <w:rsid w:val="0016201B"/>
    <w:rsid w:val="001631D3"/>
    <w:rsid w:val="001641A3"/>
    <w:rsid w:val="0016431B"/>
    <w:rsid w:val="001728AE"/>
    <w:rsid w:val="00176594"/>
    <w:rsid w:val="0017699C"/>
    <w:rsid w:val="00176E94"/>
    <w:rsid w:val="00181F15"/>
    <w:rsid w:val="001856B5"/>
    <w:rsid w:val="001868A1"/>
    <w:rsid w:val="00190699"/>
    <w:rsid w:val="001912BF"/>
    <w:rsid w:val="001950B7"/>
    <w:rsid w:val="001A76E4"/>
    <w:rsid w:val="001B62D1"/>
    <w:rsid w:val="001B69E5"/>
    <w:rsid w:val="001C1865"/>
    <w:rsid w:val="001C632F"/>
    <w:rsid w:val="001C759C"/>
    <w:rsid w:val="001C782B"/>
    <w:rsid w:val="001C7FCB"/>
    <w:rsid w:val="001E0CE9"/>
    <w:rsid w:val="001E50A9"/>
    <w:rsid w:val="001E5FCF"/>
    <w:rsid w:val="001E6AE2"/>
    <w:rsid w:val="001F0E93"/>
    <w:rsid w:val="001F73AF"/>
    <w:rsid w:val="002010AC"/>
    <w:rsid w:val="00201E31"/>
    <w:rsid w:val="00207054"/>
    <w:rsid w:val="00210A36"/>
    <w:rsid w:val="00215CF0"/>
    <w:rsid w:val="0021649B"/>
    <w:rsid w:val="00216882"/>
    <w:rsid w:val="00221835"/>
    <w:rsid w:val="00222137"/>
    <w:rsid w:val="00222B09"/>
    <w:rsid w:val="002239EB"/>
    <w:rsid w:val="00232F52"/>
    <w:rsid w:val="002356C3"/>
    <w:rsid w:val="00244FFE"/>
    <w:rsid w:val="0024566C"/>
    <w:rsid w:val="00247915"/>
    <w:rsid w:val="00263CB6"/>
    <w:rsid w:val="00265A2D"/>
    <w:rsid w:val="00265F09"/>
    <w:rsid w:val="00266B5E"/>
    <w:rsid w:val="00266C5A"/>
    <w:rsid w:val="00274B73"/>
    <w:rsid w:val="00274FFC"/>
    <w:rsid w:val="00275281"/>
    <w:rsid w:val="0028169A"/>
    <w:rsid w:val="00281BB6"/>
    <w:rsid w:val="00284363"/>
    <w:rsid w:val="00284C1E"/>
    <w:rsid w:val="00284C5A"/>
    <w:rsid w:val="00284D14"/>
    <w:rsid w:val="002861E1"/>
    <w:rsid w:val="00286307"/>
    <w:rsid w:val="00291D9E"/>
    <w:rsid w:val="002949CD"/>
    <w:rsid w:val="002979C6"/>
    <w:rsid w:val="002A00C3"/>
    <w:rsid w:val="002A09BF"/>
    <w:rsid w:val="002A19E3"/>
    <w:rsid w:val="002A1F9C"/>
    <w:rsid w:val="002B03D6"/>
    <w:rsid w:val="002B3523"/>
    <w:rsid w:val="002B445D"/>
    <w:rsid w:val="002C0A6B"/>
    <w:rsid w:val="002C2571"/>
    <w:rsid w:val="002C3B09"/>
    <w:rsid w:val="002D4BDA"/>
    <w:rsid w:val="002D5B0A"/>
    <w:rsid w:val="002D67C2"/>
    <w:rsid w:val="002D7B6F"/>
    <w:rsid w:val="002E172E"/>
    <w:rsid w:val="002E29A2"/>
    <w:rsid w:val="002E4454"/>
    <w:rsid w:val="002F1457"/>
    <w:rsid w:val="002F14CE"/>
    <w:rsid w:val="002F5989"/>
    <w:rsid w:val="002F5C83"/>
    <w:rsid w:val="002F6243"/>
    <w:rsid w:val="003024BD"/>
    <w:rsid w:val="00304AB4"/>
    <w:rsid w:val="0031016E"/>
    <w:rsid w:val="00314296"/>
    <w:rsid w:val="00320773"/>
    <w:rsid w:val="003214B3"/>
    <w:rsid w:val="00324BD0"/>
    <w:rsid w:val="00331322"/>
    <w:rsid w:val="00341111"/>
    <w:rsid w:val="00341449"/>
    <w:rsid w:val="00344162"/>
    <w:rsid w:val="003453FE"/>
    <w:rsid w:val="00350D80"/>
    <w:rsid w:val="003537AD"/>
    <w:rsid w:val="00354C6A"/>
    <w:rsid w:val="0035656C"/>
    <w:rsid w:val="00360039"/>
    <w:rsid w:val="00364387"/>
    <w:rsid w:val="003647F9"/>
    <w:rsid w:val="00364A4A"/>
    <w:rsid w:val="003654AC"/>
    <w:rsid w:val="0037073B"/>
    <w:rsid w:val="00372133"/>
    <w:rsid w:val="00382638"/>
    <w:rsid w:val="00382CF9"/>
    <w:rsid w:val="00395164"/>
    <w:rsid w:val="00395407"/>
    <w:rsid w:val="003971F9"/>
    <w:rsid w:val="00397BFB"/>
    <w:rsid w:val="003A6119"/>
    <w:rsid w:val="003A6F9D"/>
    <w:rsid w:val="003B1E29"/>
    <w:rsid w:val="003B5F22"/>
    <w:rsid w:val="003B7424"/>
    <w:rsid w:val="003C1FCE"/>
    <w:rsid w:val="003C6BCB"/>
    <w:rsid w:val="003D129E"/>
    <w:rsid w:val="003D4693"/>
    <w:rsid w:val="003E6BA8"/>
    <w:rsid w:val="003E6DC1"/>
    <w:rsid w:val="003F0145"/>
    <w:rsid w:val="003F407D"/>
    <w:rsid w:val="003F58F8"/>
    <w:rsid w:val="004050B6"/>
    <w:rsid w:val="00406F69"/>
    <w:rsid w:val="00407648"/>
    <w:rsid w:val="00410B27"/>
    <w:rsid w:val="004119A5"/>
    <w:rsid w:val="004216F2"/>
    <w:rsid w:val="0042443D"/>
    <w:rsid w:val="00432172"/>
    <w:rsid w:val="00437495"/>
    <w:rsid w:val="0044123D"/>
    <w:rsid w:val="00441BFD"/>
    <w:rsid w:val="00442051"/>
    <w:rsid w:val="00443E0B"/>
    <w:rsid w:val="00444B43"/>
    <w:rsid w:val="004466FC"/>
    <w:rsid w:val="00446881"/>
    <w:rsid w:val="00450445"/>
    <w:rsid w:val="00451B82"/>
    <w:rsid w:val="00452A1D"/>
    <w:rsid w:val="004534BD"/>
    <w:rsid w:val="00454191"/>
    <w:rsid w:val="00461957"/>
    <w:rsid w:val="004631D2"/>
    <w:rsid w:val="0046625C"/>
    <w:rsid w:val="00470C21"/>
    <w:rsid w:val="004713BD"/>
    <w:rsid w:val="00471DDF"/>
    <w:rsid w:val="00476C9E"/>
    <w:rsid w:val="004775D9"/>
    <w:rsid w:val="00477978"/>
    <w:rsid w:val="004811DC"/>
    <w:rsid w:val="00481813"/>
    <w:rsid w:val="004837D5"/>
    <w:rsid w:val="004839E2"/>
    <w:rsid w:val="004842AA"/>
    <w:rsid w:val="0048512C"/>
    <w:rsid w:val="00490BC2"/>
    <w:rsid w:val="00491E5F"/>
    <w:rsid w:val="00493F3C"/>
    <w:rsid w:val="00496D0B"/>
    <w:rsid w:val="004A775D"/>
    <w:rsid w:val="004A7B0A"/>
    <w:rsid w:val="004B1D54"/>
    <w:rsid w:val="004B3F30"/>
    <w:rsid w:val="004B51E6"/>
    <w:rsid w:val="004B6E01"/>
    <w:rsid w:val="004C320D"/>
    <w:rsid w:val="004D4FC1"/>
    <w:rsid w:val="004D6DD4"/>
    <w:rsid w:val="004D6FBF"/>
    <w:rsid w:val="004E0F77"/>
    <w:rsid w:val="004E430E"/>
    <w:rsid w:val="004E5FE6"/>
    <w:rsid w:val="004F3F2A"/>
    <w:rsid w:val="005014A3"/>
    <w:rsid w:val="005043EB"/>
    <w:rsid w:val="005134D2"/>
    <w:rsid w:val="00514A31"/>
    <w:rsid w:val="00517A68"/>
    <w:rsid w:val="00520571"/>
    <w:rsid w:val="00522D3B"/>
    <w:rsid w:val="00537286"/>
    <w:rsid w:val="00541544"/>
    <w:rsid w:val="00544064"/>
    <w:rsid w:val="00544F9D"/>
    <w:rsid w:val="00547331"/>
    <w:rsid w:val="00554D12"/>
    <w:rsid w:val="0055555B"/>
    <w:rsid w:val="005563B5"/>
    <w:rsid w:val="005676C6"/>
    <w:rsid w:val="00573746"/>
    <w:rsid w:val="00574557"/>
    <w:rsid w:val="00581D43"/>
    <w:rsid w:val="005854EB"/>
    <w:rsid w:val="0059148E"/>
    <w:rsid w:val="0059380F"/>
    <w:rsid w:val="00593D91"/>
    <w:rsid w:val="005A08B1"/>
    <w:rsid w:val="005A0D0D"/>
    <w:rsid w:val="005A0D76"/>
    <w:rsid w:val="005A3A1A"/>
    <w:rsid w:val="005A49E7"/>
    <w:rsid w:val="005A7193"/>
    <w:rsid w:val="005B29CD"/>
    <w:rsid w:val="005B3FE0"/>
    <w:rsid w:val="005B7190"/>
    <w:rsid w:val="005C0285"/>
    <w:rsid w:val="005C36F6"/>
    <w:rsid w:val="005D3790"/>
    <w:rsid w:val="005E25BD"/>
    <w:rsid w:val="005E6651"/>
    <w:rsid w:val="006063F8"/>
    <w:rsid w:val="006075F5"/>
    <w:rsid w:val="00610E81"/>
    <w:rsid w:val="006138D1"/>
    <w:rsid w:val="006144B8"/>
    <w:rsid w:val="00615BFA"/>
    <w:rsid w:val="00615FA5"/>
    <w:rsid w:val="00621254"/>
    <w:rsid w:val="0062448B"/>
    <w:rsid w:val="006331AE"/>
    <w:rsid w:val="00635C53"/>
    <w:rsid w:val="00643C78"/>
    <w:rsid w:val="006440A9"/>
    <w:rsid w:val="00653673"/>
    <w:rsid w:val="006615B1"/>
    <w:rsid w:val="00664578"/>
    <w:rsid w:val="006653E6"/>
    <w:rsid w:val="0066620C"/>
    <w:rsid w:val="006710B8"/>
    <w:rsid w:val="006713A7"/>
    <w:rsid w:val="00675660"/>
    <w:rsid w:val="00676379"/>
    <w:rsid w:val="00677539"/>
    <w:rsid w:val="00680970"/>
    <w:rsid w:val="00680ADB"/>
    <w:rsid w:val="00683ECC"/>
    <w:rsid w:val="00685699"/>
    <w:rsid w:val="006918FB"/>
    <w:rsid w:val="006A314D"/>
    <w:rsid w:val="006B222A"/>
    <w:rsid w:val="006B3546"/>
    <w:rsid w:val="006C16FF"/>
    <w:rsid w:val="006C261F"/>
    <w:rsid w:val="006C350D"/>
    <w:rsid w:val="006C4CB8"/>
    <w:rsid w:val="006C5145"/>
    <w:rsid w:val="006C6185"/>
    <w:rsid w:val="006D038D"/>
    <w:rsid w:val="006D1999"/>
    <w:rsid w:val="006E1A6F"/>
    <w:rsid w:val="006E6712"/>
    <w:rsid w:val="006F40D1"/>
    <w:rsid w:val="006F6656"/>
    <w:rsid w:val="007013C3"/>
    <w:rsid w:val="00702081"/>
    <w:rsid w:val="00702FE5"/>
    <w:rsid w:val="0071381A"/>
    <w:rsid w:val="007169D6"/>
    <w:rsid w:val="00727E1D"/>
    <w:rsid w:val="00734322"/>
    <w:rsid w:val="00737027"/>
    <w:rsid w:val="007411F5"/>
    <w:rsid w:val="007477D3"/>
    <w:rsid w:val="00753BA1"/>
    <w:rsid w:val="00756408"/>
    <w:rsid w:val="00761FCF"/>
    <w:rsid w:val="00764D6A"/>
    <w:rsid w:val="007668F1"/>
    <w:rsid w:val="00767209"/>
    <w:rsid w:val="00773056"/>
    <w:rsid w:val="0077390F"/>
    <w:rsid w:val="0077773D"/>
    <w:rsid w:val="007817E3"/>
    <w:rsid w:val="00783DCE"/>
    <w:rsid w:val="00785A84"/>
    <w:rsid w:val="007867F0"/>
    <w:rsid w:val="00787C7E"/>
    <w:rsid w:val="00787DC8"/>
    <w:rsid w:val="007904D6"/>
    <w:rsid w:val="00791ED3"/>
    <w:rsid w:val="00797460"/>
    <w:rsid w:val="007A02EB"/>
    <w:rsid w:val="007A1840"/>
    <w:rsid w:val="007A4DDB"/>
    <w:rsid w:val="007A5D10"/>
    <w:rsid w:val="007A675F"/>
    <w:rsid w:val="007B018C"/>
    <w:rsid w:val="007B66C4"/>
    <w:rsid w:val="007B7E13"/>
    <w:rsid w:val="007C13E4"/>
    <w:rsid w:val="007C358A"/>
    <w:rsid w:val="007C35B0"/>
    <w:rsid w:val="007C3D04"/>
    <w:rsid w:val="007D2F65"/>
    <w:rsid w:val="007E2BC6"/>
    <w:rsid w:val="007E39EF"/>
    <w:rsid w:val="007E62CB"/>
    <w:rsid w:val="007F410F"/>
    <w:rsid w:val="007F5332"/>
    <w:rsid w:val="00800FE1"/>
    <w:rsid w:val="00804C6C"/>
    <w:rsid w:val="008154DB"/>
    <w:rsid w:val="00815901"/>
    <w:rsid w:val="00820F04"/>
    <w:rsid w:val="00831DED"/>
    <w:rsid w:val="00832C9A"/>
    <w:rsid w:val="0083376F"/>
    <w:rsid w:val="00835DBE"/>
    <w:rsid w:val="0084011B"/>
    <w:rsid w:val="00840889"/>
    <w:rsid w:val="00841155"/>
    <w:rsid w:val="00852102"/>
    <w:rsid w:val="0085240F"/>
    <w:rsid w:val="008534F1"/>
    <w:rsid w:val="0085354F"/>
    <w:rsid w:val="00857F03"/>
    <w:rsid w:val="00863135"/>
    <w:rsid w:val="008636C5"/>
    <w:rsid w:val="00866AE9"/>
    <w:rsid w:val="00867A5C"/>
    <w:rsid w:val="00873658"/>
    <w:rsid w:val="0087658F"/>
    <w:rsid w:val="00876840"/>
    <w:rsid w:val="0087752B"/>
    <w:rsid w:val="0087798E"/>
    <w:rsid w:val="00880725"/>
    <w:rsid w:val="008807CE"/>
    <w:rsid w:val="00881645"/>
    <w:rsid w:val="008913A0"/>
    <w:rsid w:val="00892CC1"/>
    <w:rsid w:val="0089320B"/>
    <w:rsid w:val="00893228"/>
    <w:rsid w:val="0089510F"/>
    <w:rsid w:val="00897B06"/>
    <w:rsid w:val="008A0EE3"/>
    <w:rsid w:val="008A2041"/>
    <w:rsid w:val="008B14E1"/>
    <w:rsid w:val="008B34EE"/>
    <w:rsid w:val="008C46EF"/>
    <w:rsid w:val="008C584E"/>
    <w:rsid w:val="008D1A2F"/>
    <w:rsid w:val="008D619B"/>
    <w:rsid w:val="008E2231"/>
    <w:rsid w:val="008F5066"/>
    <w:rsid w:val="009020C3"/>
    <w:rsid w:val="009145D6"/>
    <w:rsid w:val="00920CE5"/>
    <w:rsid w:val="00923835"/>
    <w:rsid w:val="00923CC9"/>
    <w:rsid w:val="009407D8"/>
    <w:rsid w:val="00942744"/>
    <w:rsid w:val="00943CF5"/>
    <w:rsid w:val="00961DA4"/>
    <w:rsid w:val="009622CD"/>
    <w:rsid w:val="00962C3F"/>
    <w:rsid w:val="009630DA"/>
    <w:rsid w:val="0097615E"/>
    <w:rsid w:val="009771C5"/>
    <w:rsid w:val="009964F9"/>
    <w:rsid w:val="009A4D28"/>
    <w:rsid w:val="009A501D"/>
    <w:rsid w:val="009B0BC3"/>
    <w:rsid w:val="009B52D9"/>
    <w:rsid w:val="009B774A"/>
    <w:rsid w:val="009B790D"/>
    <w:rsid w:val="009C01B7"/>
    <w:rsid w:val="009C1315"/>
    <w:rsid w:val="009C2D57"/>
    <w:rsid w:val="009C6847"/>
    <w:rsid w:val="009D263F"/>
    <w:rsid w:val="009D31B6"/>
    <w:rsid w:val="009D5007"/>
    <w:rsid w:val="009D7757"/>
    <w:rsid w:val="009E2823"/>
    <w:rsid w:val="009E45E0"/>
    <w:rsid w:val="009F01D4"/>
    <w:rsid w:val="009F79C3"/>
    <w:rsid w:val="00A03226"/>
    <w:rsid w:val="00A10E17"/>
    <w:rsid w:val="00A13EAC"/>
    <w:rsid w:val="00A15F6C"/>
    <w:rsid w:val="00A17B08"/>
    <w:rsid w:val="00A2117A"/>
    <w:rsid w:val="00A22AEC"/>
    <w:rsid w:val="00A306C3"/>
    <w:rsid w:val="00A32E25"/>
    <w:rsid w:val="00A411A8"/>
    <w:rsid w:val="00A45B74"/>
    <w:rsid w:val="00A50543"/>
    <w:rsid w:val="00A50EBC"/>
    <w:rsid w:val="00A520C6"/>
    <w:rsid w:val="00A54E06"/>
    <w:rsid w:val="00A56838"/>
    <w:rsid w:val="00A61961"/>
    <w:rsid w:val="00A628BB"/>
    <w:rsid w:val="00A638B8"/>
    <w:rsid w:val="00A71674"/>
    <w:rsid w:val="00A812AF"/>
    <w:rsid w:val="00A8205C"/>
    <w:rsid w:val="00A91307"/>
    <w:rsid w:val="00A97DEA"/>
    <w:rsid w:val="00AA0843"/>
    <w:rsid w:val="00AA0B3B"/>
    <w:rsid w:val="00AA1D58"/>
    <w:rsid w:val="00AA27A6"/>
    <w:rsid w:val="00AA6670"/>
    <w:rsid w:val="00AB665C"/>
    <w:rsid w:val="00AB7911"/>
    <w:rsid w:val="00AC13F0"/>
    <w:rsid w:val="00AC35F5"/>
    <w:rsid w:val="00AC46D9"/>
    <w:rsid w:val="00AD6C4E"/>
    <w:rsid w:val="00AD6F5A"/>
    <w:rsid w:val="00AD73E0"/>
    <w:rsid w:val="00AE4237"/>
    <w:rsid w:val="00AE4BD6"/>
    <w:rsid w:val="00AF7997"/>
    <w:rsid w:val="00B012A8"/>
    <w:rsid w:val="00B02B9B"/>
    <w:rsid w:val="00B10336"/>
    <w:rsid w:val="00B2557D"/>
    <w:rsid w:val="00B257E7"/>
    <w:rsid w:val="00B2790F"/>
    <w:rsid w:val="00B33BDF"/>
    <w:rsid w:val="00B4124D"/>
    <w:rsid w:val="00B53C6A"/>
    <w:rsid w:val="00B54B30"/>
    <w:rsid w:val="00B558E6"/>
    <w:rsid w:val="00B55C4D"/>
    <w:rsid w:val="00B5740E"/>
    <w:rsid w:val="00B63B5D"/>
    <w:rsid w:val="00B63F42"/>
    <w:rsid w:val="00B65198"/>
    <w:rsid w:val="00B721E5"/>
    <w:rsid w:val="00B72B53"/>
    <w:rsid w:val="00B73050"/>
    <w:rsid w:val="00B75F2C"/>
    <w:rsid w:val="00B83E08"/>
    <w:rsid w:val="00B84485"/>
    <w:rsid w:val="00B85677"/>
    <w:rsid w:val="00B861B4"/>
    <w:rsid w:val="00B87D3E"/>
    <w:rsid w:val="00B91F1D"/>
    <w:rsid w:val="00B93C7A"/>
    <w:rsid w:val="00B97E61"/>
    <w:rsid w:val="00BA3325"/>
    <w:rsid w:val="00BA37AB"/>
    <w:rsid w:val="00BA5B0F"/>
    <w:rsid w:val="00BA7DEF"/>
    <w:rsid w:val="00BC1616"/>
    <w:rsid w:val="00BD671A"/>
    <w:rsid w:val="00BE561A"/>
    <w:rsid w:val="00BF2208"/>
    <w:rsid w:val="00BF4C31"/>
    <w:rsid w:val="00BF4D87"/>
    <w:rsid w:val="00BF4E55"/>
    <w:rsid w:val="00BF6B40"/>
    <w:rsid w:val="00C003C5"/>
    <w:rsid w:val="00C01CBE"/>
    <w:rsid w:val="00C02519"/>
    <w:rsid w:val="00C12ACE"/>
    <w:rsid w:val="00C1496C"/>
    <w:rsid w:val="00C21D1D"/>
    <w:rsid w:val="00C33358"/>
    <w:rsid w:val="00C3713E"/>
    <w:rsid w:val="00C416EC"/>
    <w:rsid w:val="00C526D6"/>
    <w:rsid w:val="00C60FA7"/>
    <w:rsid w:val="00C61609"/>
    <w:rsid w:val="00C628AE"/>
    <w:rsid w:val="00C63E3B"/>
    <w:rsid w:val="00C6496D"/>
    <w:rsid w:val="00C738FF"/>
    <w:rsid w:val="00C76A59"/>
    <w:rsid w:val="00C7714E"/>
    <w:rsid w:val="00C84903"/>
    <w:rsid w:val="00C859C9"/>
    <w:rsid w:val="00C85C62"/>
    <w:rsid w:val="00CA0811"/>
    <w:rsid w:val="00CA2EF2"/>
    <w:rsid w:val="00CA4E14"/>
    <w:rsid w:val="00CA64A9"/>
    <w:rsid w:val="00CA6C9D"/>
    <w:rsid w:val="00CB721C"/>
    <w:rsid w:val="00CC6717"/>
    <w:rsid w:val="00CD28CF"/>
    <w:rsid w:val="00CD6120"/>
    <w:rsid w:val="00CD6BC4"/>
    <w:rsid w:val="00CD714C"/>
    <w:rsid w:val="00CD7C54"/>
    <w:rsid w:val="00CE4A53"/>
    <w:rsid w:val="00CE77CE"/>
    <w:rsid w:val="00CF20A8"/>
    <w:rsid w:val="00CF4F5E"/>
    <w:rsid w:val="00CF52C1"/>
    <w:rsid w:val="00CF79E5"/>
    <w:rsid w:val="00D01BA5"/>
    <w:rsid w:val="00D07F7D"/>
    <w:rsid w:val="00D100E5"/>
    <w:rsid w:val="00D1011A"/>
    <w:rsid w:val="00D1032B"/>
    <w:rsid w:val="00D12A7C"/>
    <w:rsid w:val="00D20DAF"/>
    <w:rsid w:val="00D21CAE"/>
    <w:rsid w:val="00D24E5D"/>
    <w:rsid w:val="00D3054D"/>
    <w:rsid w:val="00D315A2"/>
    <w:rsid w:val="00D34AFA"/>
    <w:rsid w:val="00D40B15"/>
    <w:rsid w:val="00D41EF7"/>
    <w:rsid w:val="00D44478"/>
    <w:rsid w:val="00D46CA3"/>
    <w:rsid w:val="00D47121"/>
    <w:rsid w:val="00D54453"/>
    <w:rsid w:val="00D62CD2"/>
    <w:rsid w:val="00D6561B"/>
    <w:rsid w:val="00D65CD1"/>
    <w:rsid w:val="00D6626A"/>
    <w:rsid w:val="00D70891"/>
    <w:rsid w:val="00D71490"/>
    <w:rsid w:val="00D76AAA"/>
    <w:rsid w:val="00D80661"/>
    <w:rsid w:val="00D829BB"/>
    <w:rsid w:val="00D84415"/>
    <w:rsid w:val="00D960ED"/>
    <w:rsid w:val="00D979BA"/>
    <w:rsid w:val="00DA1F76"/>
    <w:rsid w:val="00DA3D90"/>
    <w:rsid w:val="00DA71B8"/>
    <w:rsid w:val="00DB15F3"/>
    <w:rsid w:val="00DB31EB"/>
    <w:rsid w:val="00DB583F"/>
    <w:rsid w:val="00DB71A3"/>
    <w:rsid w:val="00DB76B7"/>
    <w:rsid w:val="00DB775E"/>
    <w:rsid w:val="00DC1A0E"/>
    <w:rsid w:val="00DC41DE"/>
    <w:rsid w:val="00DC55BE"/>
    <w:rsid w:val="00DC7AA9"/>
    <w:rsid w:val="00DD1ACF"/>
    <w:rsid w:val="00DD2976"/>
    <w:rsid w:val="00DD38D4"/>
    <w:rsid w:val="00DD5F94"/>
    <w:rsid w:val="00DD7268"/>
    <w:rsid w:val="00DE0804"/>
    <w:rsid w:val="00DE0AAE"/>
    <w:rsid w:val="00DE7768"/>
    <w:rsid w:val="00E07CFE"/>
    <w:rsid w:val="00E10A2A"/>
    <w:rsid w:val="00E11AC7"/>
    <w:rsid w:val="00E137BC"/>
    <w:rsid w:val="00E20810"/>
    <w:rsid w:val="00E223F4"/>
    <w:rsid w:val="00E24C4F"/>
    <w:rsid w:val="00E25C98"/>
    <w:rsid w:val="00E26CB5"/>
    <w:rsid w:val="00E31589"/>
    <w:rsid w:val="00E411F6"/>
    <w:rsid w:val="00E46510"/>
    <w:rsid w:val="00E60946"/>
    <w:rsid w:val="00E83B08"/>
    <w:rsid w:val="00E83BAC"/>
    <w:rsid w:val="00E84F8D"/>
    <w:rsid w:val="00E87CEC"/>
    <w:rsid w:val="00E91B02"/>
    <w:rsid w:val="00E91D72"/>
    <w:rsid w:val="00E96971"/>
    <w:rsid w:val="00E97A75"/>
    <w:rsid w:val="00E97CE1"/>
    <w:rsid w:val="00E97F13"/>
    <w:rsid w:val="00EA3E22"/>
    <w:rsid w:val="00EA5678"/>
    <w:rsid w:val="00EC1FF1"/>
    <w:rsid w:val="00EC40D3"/>
    <w:rsid w:val="00ED01BB"/>
    <w:rsid w:val="00ED504D"/>
    <w:rsid w:val="00ED78A6"/>
    <w:rsid w:val="00EE4833"/>
    <w:rsid w:val="00EF4F11"/>
    <w:rsid w:val="00EF5475"/>
    <w:rsid w:val="00EF55CC"/>
    <w:rsid w:val="00EF7B6D"/>
    <w:rsid w:val="00F02EAA"/>
    <w:rsid w:val="00F03C6E"/>
    <w:rsid w:val="00F03D03"/>
    <w:rsid w:val="00F04729"/>
    <w:rsid w:val="00F17EA3"/>
    <w:rsid w:val="00F303AA"/>
    <w:rsid w:val="00F322BD"/>
    <w:rsid w:val="00F333E9"/>
    <w:rsid w:val="00F34310"/>
    <w:rsid w:val="00F517D7"/>
    <w:rsid w:val="00F5304F"/>
    <w:rsid w:val="00F5636E"/>
    <w:rsid w:val="00F672D4"/>
    <w:rsid w:val="00F67AFC"/>
    <w:rsid w:val="00F67E05"/>
    <w:rsid w:val="00F751C8"/>
    <w:rsid w:val="00F824CF"/>
    <w:rsid w:val="00F82F27"/>
    <w:rsid w:val="00F85499"/>
    <w:rsid w:val="00F86DF2"/>
    <w:rsid w:val="00FA0B2E"/>
    <w:rsid w:val="00FA237E"/>
    <w:rsid w:val="00FA2743"/>
    <w:rsid w:val="00FA6E20"/>
    <w:rsid w:val="00FA7534"/>
    <w:rsid w:val="00FB35E3"/>
    <w:rsid w:val="00FC1759"/>
    <w:rsid w:val="00FC2DD4"/>
    <w:rsid w:val="00FC5CDB"/>
    <w:rsid w:val="00FC5DCB"/>
    <w:rsid w:val="00FC74A5"/>
    <w:rsid w:val="00FD0C9B"/>
    <w:rsid w:val="00FD7468"/>
    <w:rsid w:val="00FE274C"/>
    <w:rsid w:val="00FE53D4"/>
    <w:rsid w:val="00FE64BC"/>
    <w:rsid w:val="00FE6600"/>
    <w:rsid w:val="00FF13B3"/>
    <w:rsid w:val="00FF1791"/>
    <w:rsid w:val="00FF3F68"/>
    <w:rsid w:val="00FF4FC8"/>
    <w:rsid w:val="00FF78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58922"/>
  <w15:docId w15:val="{7234027D-88E7-4480-A488-7F5D347B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ECC"/>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C320D"/>
    <w:pPr>
      <w:widowControl w:val="0"/>
      <w:spacing w:before="288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8"/>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0373C5"/>
    <w:pPr>
      <w:keepNext/>
      <w:keepLines/>
      <w:numPr>
        <w:ilvl w:val="1"/>
        <w:numId w:val="8"/>
      </w:numPr>
      <w:outlineLvl w:val="2"/>
    </w:pPr>
    <w:rPr>
      <w:rFonts w:ascii="Calibri" w:eastAsia="Times New Roman" w:hAnsi="Calibri"/>
      <w:b/>
      <w:bCs/>
      <w:sz w:val="40"/>
      <w:szCs w:val="24"/>
      <w:lang w:eastAsia="en-US"/>
    </w:rPr>
  </w:style>
  <w:style w:type="paragraph" w:styleId="Heading4">
    <w:name w:val="heading 4"/>
    <w:next w:val="Normal"/>
    <w:link w:val="Heading4Char"/>
    <w:uiPriority w:val="5"/>
    <w:qFormat/>
    <w:rsid w:val="000373C5"/>
    <w:pPr>
      <w:keepNext/>
      <w:numPr>
        <w:ilvl w:val="2"/>
        <w:numId w:val="8"/>
      </w:numPr>
      <w:outlineLvl w:val="3"/>
    </w:pPr>
    <w:rPr>
      <w:rFonts w:ascii="Calibri" w:eastAsia="Times New Roman" w:hAnsi="Calibri"/>
      <w:b/>
      <w:bCs/>
      <w:sz w:val="32"/>
      <w:szCs w:val="24"/>
      <w:lang w:eastAsia="en-US"/>
    </w:rPr>
  </w:style>
  <w:style w:type="paragraph" w:styleId="Heading5">
    <w:name w:val="heading 5"/>
    <w:basedOn w:val="Normal"/>
    <w:next w:val="Normal"/>
    <w:link w:val="Heading5Char"/>
    <w:uiPriority w:val="6"/>
    <w:rsid w:val="000373C5"/>
    <w:pPr>
      <w:keepNext/>
      <w:keepLines/>
      <w:spacing w:after="0" w:line="240" w:lineRule="auto"/>
      <w:outlineLvl w:val="4"/>
    </w:pPr>
    <w:rPr>
      <w:rFonts w:ascii="Calibri" w:hAnsi="Calibri"/>
      <w:b/>
      <w:sz w:val="28"/>
      <w:szCs w:val="24"/>
    </w:rPr>
  </w:style>
  <w:style w:type="paragraph" w:styleId="Heading6">
    <w:name w:val="heading 6"/>
    <w:basedOn w:val="Normal"/>
    <w:next w:val="Normal"/>
    <w:link w:val="Heading6Char"/>
    <w:uiPriority w:val="9"/>
    <w:semiHidden/>
    <w:qFormat/>
    <w:rsid w:val="000373C5"/>
    <w:pPr>
      <w:keepNext/>
      <w:keepLines/>
      <w:spacing w:before="40" w:after="0"/>
      <w:outlineLvl w:val="5"/>
    </w:pPr>
    <w:rPr>
      <w:rFonts w:eastAsiaTheme="majorEastAsia" w:cstheme="majorBidi"/>
      <w:b/>
      <w:i/>
      <w:sz w:val="24"/>
    </w:rPr>
  </w:style>
  <w:style w:type="paragraph" w:styleId="Heading7">
    <w:name w:val="heading 7"/>
    <w:basedOn w:val="Normal"/>
    <w:next w:val="Normal"/>
    <w:link w:val="Heading7Char"/>
    <w:uiPriority w:val="9"/>
    <w:semiHidden/>
    <w:qFormat/>
    <w:rsid w:val="00CD6120"/>
    <w:pPr>
      <w:keepNext/>
      <w:keepLines/>
      <w:spacing w:after="0"/>
      <w:outlineLvl w:val="6"/>
    </w:pPr>
    <w:rPr>
      <w:rFonts w:ascii="Calibri" w:eastAsiaTheme="majorEastAsia" w:hAnsi="Calibri" w:cstheme="majorBidi"/>
      <w:b/>
      <w:iCs/>
    </w:rPr>
  </w:style>
  <w:style w:type="paragraph" w:styleId="Heading8">
    <w:name w:val="heading 8"/>
    <w:basedOn w:val="Normal"/>
    <w:next w:val="Normal"/>
    <w:link w:val="Heading8Char"/>
    <w:uiPriority w:val="9"/>
    <w:semiHidden/>
    <w:qFormat/>
    <w:rsid w:val="00D01BA5"/>
    <w:pPr>
      <w:keepNext/>
      <w:keepLines/>
      <w:spacing w:before="40" w:after="0"/>
      <w:outlineLvl w:val="7"/>
    </w:pPr>
    <w:rPr>
      <w:rFonts w:ascii="Calibri" w:eastAsiaTheme="majorEastAsia" w:hAnsi="Calibri" w:cstheme="majorBidi"/>
      <w:b/>
      <w: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41BFD"/>
    <w:rPr>
      <w:sz w:val="20"/>
      <w:szCs w:val="20"/>
    </w:rPr>
  </w:style>
  <w:style w:type="character" w:customStyle="1" w:styleId="CommentTextChar">
    <w:name w:val="Comment Text Char"/>
    <w:basedOn w:val="DefaultParagraphFont"/>
    <w:link w:val="CommentText"/>
    <w:rsid w:val="00441BFD"/>
    <w:rPr>
      <w:rFonts w:asciiTheme="minorHAnsi" w:eastAsiaTheme="minorHAnsi" w:hAnsiTheme="minorHAnsi" w:cstheme="minorBidi"/>
      <w:lang w:eastAsia="en-US"/>
    </w:rPr>
  </w:style>
  <w:style w:type="paragraph" w:styleId="Header">
    <w:name w:val="header"/>
    <w:basedOn w:val="Normal"/>
    <w:link w:val="HeaderChar"/>
    <w:uiPriority w:val="26"/>
    <w:rsid w:val="00493F3C"/>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493F3C"/>
    <w:rPr>
      <w:rFonts w:ascii="Calibri" w:eastAsiaTheme="minorHAnsi" w:hAnsi="Calibri" w:cstheme="minorBidi"/>
      <w:szCs w:val="22"/>
      <w:lang w:eastAsia="en-US"/>
    </w:rPr>
  </w:style>
  <w:style w:type="paragraph" w:styleId="Footer">
    <w:name w:val="footer"/>
    <w:basedOn w:val="Normal"/>
    <w:link w:val="FooterChar"/>
    <w:uiPriority w:val="27"/>
    <w:rsid w:val="00274B7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274B7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4C320D"/>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0373C5"/>
    <w:rPr>
      <w:rFonts w:ascii="Calibri" w:eastAsia="Times New Roman" w:hAnsi="Calibri"/>
      <w:b/>
      <w:bCs/>
      <w:sz w:val="40"/>
      <w:szCs w:val="24"/>
      <w:lang w:eastAsia="en-US"/>
    </w:rPr>
  </w:style>
  <w:style w:type="character" w:customStyle="1" w:styleId="Heading4Char">
    <w:name w:val="Heading 4 Char"/>
    <w:basedOn w:val="DefaultParagraphFont"/>
    <w:link w:val="Heading4"/>
    <w:uiPriority w:val="5"/>
    <w:rsid w:val="000373C5"/>
    <w:rPr>
      <w:rFonts w:ascii="Calibri" w:eastAsia="Times New Roman" w:hAnsi="Calibri"/>
      <w:b/>
      <w:bCs/>
      <w:sz w:val="32"/>
      <w:szCs w:val="24"/>
      <w:lang w:eastAsia="en-US"/>
    </w:rPr>
  </w:style>
  <w:style w:type="character" w:customStyle="1" w:styleId="Heading5Char">
    <w:name w:val="Heading 5 Char"/>
    <w:basedOn w:val="DefaultParagraphFont"/>
    <w:link w:val="Heading5"/>
    <w:uiPriority w:val="6"/>
    <w:rsid w:val="000373C5"/>
    <w:rPr>
      <w:rFonts w:ascii="Calibri" w:eastAsiaTheme="minorHAnsi" w:hAnsi="Calibri" w:cstheme="minorBidi"/>
      <w:b/>
      <w:sz w:val="28"/>
      <w:szCs w:val="24"/>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CA6C9D"/>
    <w:pPr>
      <w:numPr>
        <w:numId w:val="9"/>
      </w:numPr>
      <w:spacing w:before="120" w:after="120"/>
      <w:ind w:left="454" w:hanging="454"/>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CA6C9D"/>
    <w:pPr>
      <w:numPr>
        <w:ilvl w:val="1"/>
        <w:numId w:val="9"/>
      </w:numPr>
      <w:spacing w:before="120" w:after="120"/>
      <w:ind w:left="908" w:hanging="454"/>
      <w:contextualSpacing/>
    </w:pPr>
  </w:style>
  <w:style w:type="paragraph" w:styleId="ListNumber">
    <w:name w:val="List Number"/>
    <w:basedOn w:val="Normal"/>
    <w:uiPriority w:val="9"/>
    <w:qFormat/>
    <w:rsid w:val="00CA6C9D"/>
    <w:pPr>
      <w:numPr>
        <w:numId w:val="10"/>
      </w:numPr>
      <w:tabs>
        <w:tab w:val="left" w:pos="142"/>
      </w:tabs>
      <w:spacing w:before="120" w:after="120"/>
      <w:ind w:left="454" w:hanging="454"/>
    </w:pPr>
  </w:style>
  <w:style w:type="paragraph" w:styleId="ListNumber2">
    <w:name w:val="List Number 2"/>
    <w:uiPriority w:val="10"/>
    <w:qFormat/>
    <w:rsid w:val="00CA6C9D"/>
    <w:pPr>
      <w:numPr>
        <w:ilvl w:val="1"/>
        <w:numId w:val="10"/>
      </w:numPr>
      <w:tabs>
        <w:tab w:val="left" w:pos="567"/>
      </w:tabs>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CA6C9D"/>
    <w:pPr>
      <w:numPr>
        <w:ilvl w:val="2"/>
        <w:numId w:val="10"/>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7"/>
      </w:numPr>
      <w:ind w:left="357" w:hanging="357"/>
    </w:pPr>
  </w:style>
  <w:style w:type="paragraph" w:customStyle="1" w:styleId="TableBullet">
    <w:name w:val="Table Bullet"/>
    <w:basedOn w:val="TableText"/>
    <w:uiPriority w:val="15"/>
    <w:qFormat/>
    <w:rsid w:val="00ED01BB"/>
    <w:pPr>
      <w:numPr>
        <w:numId w:val="6"/>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semiHidden/>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9622CD"/>
    <w:pPr>
      <w:spacing w:before="240"/>
    </w:pPr>
    <w:rPr>
      <w:rFonts w:ascii="Calibri Light" w:eastAsiaTheme="minorHAnsi" w:hAnsi="Calibri Light" w:cstheme="minorBidi"/>
      <w:b/>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9"/>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ListNumber">
    <w:name w:val="Table List Number"/>
    <w:uiPriority w:val="99"/>
    <w:qFormat/>
    <w:rsid w:val="0071381A"/>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
    <w:qFormat/>
    <w:rsid w:val="00ED01BB"/>
    <w:pPr>
      <w:numPr>
        <w:numId w:val="11"/>
      </w:numPr>
      <w:tabs>
        <w:tab w:val="num" w:pos="361"/>
      </w:tabs>
      <w:ind w:left="568" w:hanging="284"/>
    </w:pPr>
  </w:style>
  <w:style w:type="numbering" w:customStyle="1" w:styleId="TableBulletlist">
    <w:name w:val="Table Bullet list"/>
    <w:uiPriority w:val="99"/>
    <w:rsid w:val="00441BFD"/>
    <w:pPr>
      <w:numPr>
        <w:numId w:val="5"/>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basedOn w:val="Normal"/>
    <w:uiPriority w:val="34"/>
    <w:semiHidden/>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0373C5"/>
    <w:rPr>
      <w:rFonts w:asciiTheme="minorHAnsi" w:eastAsiaTheme="majorEastAsia" w:hAnsiTheme="minorHAnsi" w:cstheme="majorBidi"/>
      <w:b/>
      <w:i/>
      <w:sz w:val="24"/>
      <w:szCs w:val="22"/>
      <w:lang w:eastAsia="en-US"/>
    </w:rPr>
  </w:style>
  <w:style w:type="paragraph" w:customStyle="1" w:styleId="TableListNumber2">
    <w:name w:val="Table List Number 2"/>
    <w:basedOn w:val="TableText"/>
    <w:qFormat/>
    <w:rsid w:val="0071381A"/>
    <w:pPr>
      <w:numPr>
        <w:ilvl w:val="1"/>
        <w:numId w:val="13"/>
      </w:numPr>
    </w:pPr>
  </w:style>
  <w:style w:type="paragraph" w:customStyle="1" w:styleId="TableListNumber3">
    <w:name w:val="Table List Number 3"/>
    <w:basedOn w:val="TableText"/>
    <w:qFormat/>
    <w:rsid w:val="0071381A"/>
    <w:pPr>
      <w:numPr>
        <w:ilvl w:val="2"/>
        <w:numId w:val="13"/>
      </w:numPr>
    </w:pPr>
  </w:style>
  <w:style w:type="numbering" w:customStyle="1" w:styleId="Tablenumberedlists">
    <w:name w:val="Table numbered lists"/>
    <w:uiPriority w:val="99"/>
    <w:rsid w:val="0071381A"/>
    <w:pPr>
      <w:numPr>
        <w:numId w:val="13"/>
      </w:numPr>
    </w:pPr>
  </w:style>
  <w:style w:type="character" w:customStyle="1" w:styleId="Heading7Char">
    <w:name w:val="Heading 7 Char"/>
    <w:basedOn w:val="DefaultParagraphFont"/>
    <w:link w:val="Heading7"/>
    <w:uiPriority w:val="9"/>
    <w:semiHidden/>
    <w:rsid w:val="00CD6120"/>
    <w:rPr>
      <w:rFonts w:ascii="Calibri" w:eastAsiaTheme="majorEastAsia" w:hAnsi="Calibri" w:cstheme="majorBidi"/>
      <w:b/>
      <w:iCs/>
      <w:sz w:val="22"/>
      <w:szCs w:val="22"/>
      <w:lang w:eastAsia="en-US"/>
    </w:rPr>
  </w:style>
  <w:style w:type="character" w:customStyle="1" w:styleId="Heading8Char">
    <w:name w:val="Heading 8 Char"/>
    <w:basedOn w:val="DefaultParagraphFont"/>
    <w:link w:val="Heading8"/>
    <w:uiPriority w:val="9"/>
    <w:semiHidden/>
    <w:rsid w:val="00D01BA5"/>
    <w:rPr>
      <w:rFonts w:ascii="Calibri" w:eastAsiaTheme="majorEastAsia" w:hAnsi="Calibri" w:cstheme="majorBidi"/>
      <w:b/>
      <w:i/>
      <w:color w:val="272727" w:themeColor="text1" w:themeTint="D8"/>
      <w:sz w:val="22"/>
      <w:szCs w:val="21"/>
      <w:lang w:eastAsia="en-US"/>
    </w:rPr>
  </w:style>
  <w:style w:type="paragraph" w:customStyle="1" w:styleId="BoxTextNumber">
    <w:name w:val="Box Text Number"/>
    <w:basedOn w:val="BoxText"/>
    <w:qFormat/>
    <w:rsid w:val="009D263F"/>
    <w:pPr>
      <w:numPr>
        <w:numId w:val="15"/>
      </w:numPr>
    </w:pPr>
  </w:style>
  <w:style w:type="paragraph" w:styleId="Revision">
    <w:name w:val="Revision"/>
    <w:hidden/>
    <w:uiPriority w:val="99"/>
    <w:semiHidden/>
    <w:rsid w:val="001C7FC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griculture.gov.au/agriculture-land/animal/health/animal-plan"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griculture.gov.au/biosecurity-trade/policy/partnerships/nbc/intergovernmental-agreement-on-biosecur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24" Type="http://schemas.openxmlformats.org/officeDocument/2006/relationships/hyperlink" Target="https://doi.org/10.3390/v16121810"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academic.oup.com/database/article/doi/10.1093/database/baae084/7743274"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animalhealthlaboratories@aff.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Report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0D05DFA0-5E80-4989-8046-60302FB8CC60}"/>
</file>

<file path=customXml/itemProps3.xml><?xml version="1.0" encoding="utf-8"?>
<ds:datastoreItem xmlns:ds="http://schemas.openxmlformats.org/officeDocument/2006/customXml" ds:itemID="{9D1CAD33-3B39-4665-A5E6-666D035120E9}">
  <ds:schemaRefs>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c527c9b7-9ec8-4c5f-a515-89657b782942"/>
    <ds:schemaRef ds:uri="http://purl.org/dc/dcmitype/"/>
    <ds:schemaRef ds:uri="http://purl.org/dc/terms/"/>
  </ds:schemaRefs>
</ds:datastoreItem>
</file>

<file path=customXml/itemProps4.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Report_template_1</Template>
  <TotalTime>73</TotalTime>
  <Pages>15</Pages>
  <Words>3237</Words>
  <Characters>19552</Characters>
  <Application>Microsoft Office Word</Application>
  <DocSecurity>2</DocSecurity>
  <Lines>850</Lines>
  <Paragraphs>361</Paragraphs>
  <ScaleCrop>false</ScaleCrop>
  <HeadingPairs>
    <vt:vector size="2" baseType="variant">
      <vt:variant>
        <vt:lpstr>Title</vt:lpstr>
      </vt:variant>
      <vt:variant>
        <vt:i4>1</vt:i4>
      </vt:variant>
    </vt:vector>
  </HeadingPairs>
  <TitlesOfParts>
    <vt:vector size="1" baseType="lpstr">
      <vt:lpstr>National Animal Health Diagnostics Business Plan 2021 to 2026: project updates 2024</vt:lpstr>
    </vt:vector>
  </TitlesOfParts>
  <Company/>
  <LinksUpToDate>false</LinksUpToDate>
  <CharactersWithSpaces>22428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Animal Health Diagnostics Business Plan 2021 to 2026: project updates 2024</dc:title>
  <dc:creator>Australian Government</dc:creator>
  <cp:revision>7</cp:revision>
  <cp:lastPrinted>2024-12-16T07:12:00Z</cp:lastPrinted>
  <dcterms:created xsi:type="dcterms:W3CDTF">2024-12-16T05:57:00Z</dcterms:created>
  <dcterms:modified xsi:type="dcterms:W3CDTF">2024-12-16T07:12:00Z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ClassificationContentMarkingHeaderShapeIds">
    <vt:lpwstr>608e1b88,7444fd5b,75fc0370,12adc790,4af551bd</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8d70cd,f055d4a,5a99da05,77ad2429,3cb13c64</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2024-07-12T05:27:22Z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99b1a1e8-51bf-4650-b895-c4c5a219e14e</vt:lpwstr>
  </property>
  <property fmtid="{D5CDD505-2E9C-101B-9397-08002B2CF9AE}" pid="15" name="MSIP_Label_933d8be6-3c40-4052-87a2-9c2adcba8759_ContentBits">
    <vt:lpwstr>3</vt:lpwstr>
  </property>
  <property fmtid="{D5CDD505-2E9C-101B-9397-08002B2CF9AE}" pid="16" name="MediaServiceImageTags">
    <vt:lpwstr/>
  </property>
</Properties>
</file>