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DEBC" w14:textId="77777777" w:rsidR="00CB0D3F" w:rsidRPr="000223E5" w:rsidRDefault="00860685">
      <w:pPr>
        <w:pStyle w:val="Heading1"/>
      </w:pPr>
      <w:r>
        <w:rPr>
          <w:rStyle w:val="Emphasis"/>
        </w:rPr>
        <w:t>Monodon</w:t>
      </w:r>
      <w:r>
        <w:rPr>
          <w:rStyle w:val="Emphasis"/>
          <w:i w:val="0"/>
          <w:iCs w:val="0"/>
        </w:rPr>
        <w:t xml:space="preserve"> slow growth syndrome </w:t>
      </w:r>
      <w:r>
        <w:t>(MSGS)</w:t>
      </w:r>
    </w:p>
    <w:p w14:paraId="002FB462" w14:textId="77777777" w:rsidR="00CB0D3F" w:rsidRDefault="00860685">
      <w:pPr>
        <w:pStyle w:val="Subtitle"/>
      </w:pPr>
      <w:r>
        <w:rPr>
          <w:sz w:val="24"/>
          <w:szCs w:val="24"/>
        </w:rPr>
        <w:t>Including infection with Laem-Singh virus (LSNV)</w:t>
      </w:r>
    </w:p>
    <w:p w14:paraId="4127BE29" w14:textId="77777777" w:rsidR="00CB0D3F" w:rsidRDefault="00860685">
      <w:pPr>
        <w:pStyle w:val="Subtitle"/>
      </w:pPr>
      <w:r>
        <w:t xml:space="preserve">From </w:t>
      </w:r>
      <w:r>
        <w:rPr>
          <w:rStyle w:val="Emphasis"/>
        </w:rPr>
        <w:t>Aquatic animal diseases significant to Australia: identification field guide</w:t>
      </w:r>
      <w:r>
        <w:t>, 5th edition</w:t>
      </w:r>
    </w:p>
    <w:p w14:paraId="2CB70B55" w14:textId="19711D01" w:rsidR="00CB0D3F" w:rsidRDefault="00860685">
      <w:pPr>
        <w:pStyle w:val="Caption"/>
      </w:pPr>
      <w:r>
        <w:t xml:space="preserve">Figure </w:t>
      </w:r>
      <w:r>
        <w:rPr>
          <w:noProof/>
        </w:rPr>
        <w:fldChar w:fldCharType="begin"/>
      </w:r>
      <w:r>
        <w:rPr>
          <w:noProof/>
        </w:rPr>
        <w:instrText xml:space="preserve"> SEQ Figure \* ARABIC </w:instrText>
      </w:r>
      <w:r>
        <w:rPr>
          <w:noProof/>
        </w:rPr>
        <w:fldChar w:fldCharType="separate"/>
      </w:r>
      <w:r w:rsidR="00147299">
        <w:rPr>
          <w:noProof/>
        </w:rPr>
        <w:t>1</w:t>
      </w:r>
      <w:r>
        <w:rPr>
          <w:noProof/>
        </w:rPr>
        <w:fldChar w:fldCharType="end"/>
      </w:r>
      <w:r>
        <w:t xml:space="preserve"> </w:t>
      </w:r>
      <w:r w:rsidR="00D368C4">
        <w:t xml:space="preserve">Deformity </w:t>
      </w:r>
      <w:r>
        <w:t>of</w:t>
      </w:r>
      <w:r>
        <w:rPr>
          <w:rStyle w:val="Emphasis"/>
        </w:rPr>
        <w:t xml:space="preserve"> Penaeus monodon </w:t>
      </w:r>
      <w:r>
        <w:t>with</w:t>
      </w:r>
      <w:r w:rsidR="00D368C4">
        <w:t> </w:t>
      </w:r>
      <w:r w:rsidR="00F53737">
        <w:t>MSGS</w:t>
      </w:r>
    </w:p>
    <w:p w14:paraId="053A74FA" w14:textId="77777777" w:rsidR="00CB0D3F" w:rsidRDefault="00860685">
      <w:r>
        <w:rPr>
          <w:noProof/>
          <w:lang w:eastAsia="en-AU"/>
        </w:rPr>
        <w:drawing>
          <wp:inline distT="0" distB="0" distL="0" distR="0" wp14:anchorId="4703033F" wp14:editId="59A0714F">
            <wp:extent cx="3963107" cy="26239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1.jpg"/>
                    <pic:cNvPicPr/>
                  </pic:nvPicPr>
                  <pic:blipFill>
                    <a:blip r:embed="rId11" cstate="print">
                      <a:extLst>
                        <a:ext uri="{28A0092B-C50C-407E-A947-70E740481C1C}">
                          <a14:useLocalDpi xmlns:a14="http://schemas.microsoft.com/office/drawing/2010/main"/>
                        </a:ext>
                      </a:extLst>
                    </a:blip>
                    <a:stretch>
                      <a:fillRect/>
                    </a:stretch>
                  </pic:blipFill>
                  <pic:spPr>
                    <a:xfrm>
                      <a:off x="0" y="0"/>
                      <a:ext cx="3991493" cy="2642725"/>
                    </a:xfrm>
                    <a:prstGeom prst="rect">
                      <a:avLst/>
                    </a:prstGeom>
                  </pic:spPr>
                </pic:pic>
              </a:graphicData>
            </a:graphic>
          </wp:inline>
        </w:drawing>
      </w:r>
    </w:p>
    <w:p w14:paraId="786C31FD" w14:textId="77777777" w:rsidR="007C69F2" w:rsidRDefault="007C69F2" w:rsidP="007C69F2">
      <w:pPr>
        <w:pStyle w:val="FigureTableNoteSource"/>
      </w:pPr>
      <w:r>
        <w:t>Note: Stunted growth and bamboo shaped abdominal segments.</w:t>
      </w:r>
    </w:p>
    <w:p w14:paraId="3F723020" w14:textId="77777777" w:rsidR="00CB0D3F" w:rsidRDefault="00860685">
      <w:pPr>
        <w:pStyle w:val="FigureTableNoteSource"/>
      </w:pPr>
      <w:r>
        <w:t>Source: DV Lightner</w:t>
      </w:r>
    </w:p>
    <w:p w14:paraId="1AACFF96" w14:textId="200E652D" w:rsidR="00CB0D3F" w:rsidRDefault="00860685">
      <w:pPr>
        <w:pStyle w:val="Caption"/>
      </w:pPr>
      <w:r>
        <w:t xml:space="preserve">Figure </w:t>
      </w:r>
      <w:r>
        <w:rPr>
          <w:noProof/>
        </w:rPr>
        <w:fldChar w:fldCharType="begin"/>
      </w:r>
      <w:r>
        <w:rPr>
          <w:noProof/>
        </w:rPr>
        <w:instrText xml:space="preserve"> SEQ Figure \* ARABIC </w:instrText>
      </w:r>
      <w:r>
        <w:rPr>
          <w:noProof/>
        </w:rPr>
        <w:fldChar w:fldCharType="separate"/>
      </w:r>
      <w:r w:rsidR="00147299">
        <w:rPr>
          <w:noProof/>
        </w:rPr>
        <w:t>2</w:t>
      </w:r>
      <w:r>
        <w:rPr>
          <w:noProof/>
        </w:rPr>
        <w:fldChar w:fldCharType="end"/>
      </w:r>
      <w:r>
        <w:t xml:space="preserve"> </w:t>
      </w:r>
      <w:r w:rsidR="00D368C4">
        <w:t>H</w:t>
      </w:r>
      <w:r>
        <w:t xml:space="preserve">epatopancreas of </w:t>
      </w:r>
      <w:r>
        <w:rPr>
          <w:rStyle w:val="Emphasis"/>
        </w:rPr>
        <w:t>Penaeus</w:t>
      </w:r>
      <w:r w:rsidR="00A34130">
        <w:rPr>
          <w:rStyle w:val="Emphasis"/>
        </w:rPr>
        <w:t> </w:t>
      </w:r>
      <w:r>
        <w:rPr>
          <w:rStyle w:val="Emphasis"/>
        </w:rPr>
        <w:t xml:space="preserve">monodon </w:t>
      </w:r>
      <w:r>
        <w:rPr>
          <w:szCs w:val="22"/>
        </w:rPr>
        <w:t xml:space="preserve">with </w:t>
      </w:r>
      <w:r w:rsidR="00F53737">
        <w:rPr>
          <w:szCs w:val="22"/>
        </w:rPr>
        <w:t>MSGS</w:t>
      </w:r>
    </w:p>
    <w:p w14:paraId="79D5EDAA" w14:textId="77777777" w:rsidR="00CB0D3F" w:rsidRDefault="00860685">
      <w:r>
        <w:rPr>
          <w:noProof/>
          <w:lang w:eastAsia="en-AU"/>
        </w:rPr>
        <w:drawing>
          <wp:inline distT="0" distB="0" distL="0" distR="0" wp14:anchorId="7B27D357" wp14:editId="41E3A32C">
            <wp:extent cx="3969693" cy="2773017"/>
            <wp:effectExtent l="0" t="0" r="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2.jpg"/>
                    <pic:cNvPicPr/>
                  </pic:nvPicPr>
                  <pic:blipFill>
                    <a:blip r:embed="rId12" cstate="print">
                      <a:extLst>
                        <a:ext uri="{28A0092B-C50C-407E-A947-70E740481C1C}">
                          <a14:useLocalDpi xmlns:a14="http://schemas.microsoft.com/office/drawing/2010/main"/>
                        </a:ext>
                      </a:extLst>
                    </a:blip>
                    <a:stretch>
                      <a:fillRect/>
                    </a:stretch>
                  </pic:blipFill>
                  <pic:spPr>
                    <a:xfrm>
                      <a:off x="0" y="0"/>
                      <a:ext cx="4014981" cy="2804653"/>
                    </a:xfrm>
                    <a:prstGeom prst="rect">
                      <a:avLst/>
                    </a:prstGeom>
                  </pic:spPr>
                </pic:pic>
              </a:graphicData>
            </a:graphic>
          </wp:inline>
        </w:drawing>
      </w:r>
    </w:p>
    <w:p w14:paraId="1F0B7A3C" w14:textId="77777777" w:rsidR="00CB0D3F" w:rsidRDefault="00860685">
      <w:pPr>
        <w:pStyle w:val="FigureTableNoteSource"/>
      </w:pPr>
      <w:r>
        <w:t>Note: Carapace lifted to show abnormal hepatopancreas.</w:t>
      </w:r>
    </w:p>
    <w:p w14:paraId="165D23CB" w14:textId="77777777" w:rsidR="00CB0D3F" w:rsidRDefault="00860685">
      <w:pPr>
        <w:pStyle w:val="FigureTableNoteSource"/>
      </w:pPr>
      <w:r>
        <w:t>Source: DV Lightner</w:t>
      </w:r>
    </w:p>
    <w:p w14:paraId="0E32EDFA" w14:textId="010512E8" w:rsidR="00CB0D3F" w:rsidRDefault="00860685">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sidR="00147299">
        <w:rPr>
          <w:noProof/>
        </w:rPr>
        <w:t>3</w:t>
      </w:r>
      <w:r>
        <w:rPr>
          <w:noProof/>
        </w:rPr>
        <w:fldChar w:fldCharType="end"/>
      </w:r>
      <w:r w:rsidR="007C69F2">
        <w:t xml:space="preserve"> Unusual</w:t>
      </w:r>
      <w:r>
        <w:t xml:space="preserve"> markings on carapace of</w:t>
      </w:r>
      <w:r>
        <w:rPr>
          <w:rStyle w:val="Emphasis"/>
        </w:rPr>
        <w:t xml:space="preserve"> Penaeus</w:t>
      </w:r>
      <w:r w:rsidR="00A34130">
        <w:rPr>
          <w:rStyle w:val="Emphasis"/>
        </w:rPr>
        <w:t> </w:t>
      </w:r>
      <w:r>
        <w:rPr>
          <w:rStyle w:val="Emphasis"/>
        </w:rPr>
        <w:t xml:space="preserve">monodon </w:t>
      </w:r>
      <w:r>
        <w:t xml:space="preserve">with </w:t>
      </w:r>
      <w:r w:rsidR="00F53737">
        <w:t>MSGS</w:t>
      </w:r>
    </w:p>
    <w:p w14:paraId="52E05162" w14:textId="77777777" w:rsidR="00CB0D3F" w:rsidRDefault="00860685">
      <w:pPr>
        <w:ind w:right="-2"/>
      </w:pPr>
      <w:r>
        <w:rPr>
          <w:noProof/>
          <w:lang w:eastAsia="en-AU"/>
        </w:rPr>
        <w:drawing>
          <wp:inline distT="0" distB="0" distL="0" distR="0" wp14:anchorId="54F79E7B" wp14:editId="3A87CA2C">
            <wp:extent cx="3965713" cy="244205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3.jpg"/>
                    <pic:cNvPicPr/>
                  </pic:nvPicPr>
                  <pic:blipFill>
                    <a:blip r:embed="rId13" cstate="print">
                      <a:extLst>
                        <a:ext uri="{28A0092B-C50C-407E-A947-70E740481C1C}">
                          <a14:useLocalDpi xmlns:a14="http://schemas.microsoft.com/office/drawing/2010/main"/>
                        </a:ext>
                      </a:extLst>
                    </a:blip>
                    <a:stretch>
                      <a:fillRect/>
                    </a:stretch>
                  </pic:blipFill>
                  <pic:spPr>
                    <a:xfrm>
                      <a:off x="0" y="0"/>
                      <a:ext cx="3991280" cy="2457799"/>
                    </a:xfrm>
                    <a:prstGeom prst="rect">
                      <a:avLst/>
                    </a:prstGeom>
                  </pic:spPr>
                </pic:pic>
              </a:graphicData>
            </a:graphic>
          </wp:inline>
        </w:drawing>
      </w:r>
    </w:p>
    <w:p w14:paraId="5DCF49AB" w14:textId="77777777" w:rsidR="007C69F2" w:rsidRDefault="007C69F2" w:rsidP="007C69F2">
      <w:pPr>
        <w:pStyle w:val="FigureTableNoteSource"/>
      </w:pPr>
      <w:r>
        <w:t>Note: Bright yellow markings on near legs.</w:t>
      </w:r>
    </w:p>
    <w:p w14:paraId="270242FE" w14:textId="77777777" w:rsidR="00CB0D3F" w:rsidRDefault="00860685">
      <w:pPr>
        <w:pStyle w:val="FigureTableNoteSource"/>
      </w:pPr>
      <w:r>
        <w:t>Source: DV Lightner</w:t>
      </w:r>
    </w:p>
    <w:p w14:paraId="1CD0D236" w14:textId="77777777" w:rsidR="00CB0D3F" w:rsidRDefault="00860685">
      <w:pPr>
        <w:pStyle w:val="Heading2"/>
      </w:pPr>
      <w:bookmarkStart w:id="0" w:name="_Signs_of_disease"/>
      <w:bookmarkEnd w:id="0"/>
      <w:r>
        <w:t>Signs of disease</w:t>
      </w:r>
    </w:p>
    <w:p w14:paraId="121D141F" w14:textId="77777777" w:rsidR="00CB0D3F" w:rsidRDefault="00860685">
      <w:pPr>
        <w:rPr>
          <w:lang w:eastAsia="ja-JP"/>
        </w:rPr>
      </w:pPr>
      <w:r>
        <w:rPr>
          <w:lang w:eastAsia="ja-JP"/>
        </w:rPr>
        <w:t>Important: Animals with this disease may show one or more of these signs, but the pathogen may still be present in the absence of any signs.</w:t>
      </w:r>
    </w:p>
    <w:p w14:paraId="0099AD13" w14:textId="77777777" w:rsidR="00CB0D3F" w:rsidRDefault="00860685">
      <w:pPr>
        <w:rPr>
          <w:lang w:eastAsia="ja-JP"/>
        </w:rPr>
      </w:pPr>
      <w:r>
        <w:rPr>
          <w:lang w:eastAsia="ja-JP"/>
        </w:rPr>
        <w:t>Disease signs at the farm, tank or pond level are:</w:t>
      </w:r>
    </w:p>
    <w:p w14:paraId="22917424" w14:textId="77777777" w:rsidR="00CB0D3F" w:rsidRDefault="00860685">
      <w:pPr>
        <w:pStyle w:val="ListBullet"/>
      </w:pPr>
      <w:r>
        <w:t>abnormally slow growth, resulting in irregularly sized prawns</w:t>
      </w:r>
    </w:p>
    <w:p w14:paraId="4121526F" w14:textId="1DBF6723" w:rsidR="00CB0D3F" w:rsidRDefault="00860685">
      <w:pPr>
        <w:pStyle w:val="ListBullet"/>
      </w:pPr>
      <w:r>
        <w:t>low average daily weight gain of less than 0.1g/day at 4 months of age.</w:t>
      </w:r>
    </w:p>
    <w:p w14:paraId="36644AFF" w14:textId="77777777" w:rsidR="00CB0D3F" w:rsidRDefault="00860685">
      <w:pPr>
        <w:pStyle w:val="ListBullet"/>
        <w:numPr>
          <w:ilvl w:val="0"/>
          <w:numId w:val="0"/>
        </w:numPr>
        <w:ind w:left="425" w:hanging="425"/>
        <w:rPr>
          <w:lang w:eastAsia="ja-JP"/>
        </w:rPr>
      </w:pPr>
      <w:r>
        <w:rPr>
          <w:lang w:eastAsia="ja-JP"/>
        </w:rPr>
        <w:t>Gross pathological signs are:</w:t>
      </w:r>
    </w:p>
    <w:p w14:paraId="409DF28D" w14:textId="77777777" w:rsidR="00CB0D3F" w:rsidRDefault="00860685">
      <w:pPr>
        <w:pStyle w:val="ListBullet"/>
      </w:pPr>
      <w:r>
        <w:t>unusually dark colour</w:t>
      </w:r>
    </w:p>
    <w:p w14:paraId="066EE3DE" w14:textId="77777777" w:rsidR="00CB0D3F" w:rsidRDefault="00860685">
      <w:pPr>
        <w:pStyle w:val="ListBullet"/>
      </w:pPr>
      <w:r>
        <w:t>unusually bright yellow markings</w:t>
      </w:r>
    </w:p>
    <w:p w14:paraId="67286A8D" w14:textId="77777777" w:rsidR="00CB0D3F" w:rsidRDefault="00860685">
      <w:pPr>
        <w:pStyle w:val="ListBullet"/>
      </w:pPr>
      <w:r>
        <w:t>brittle antennae</w:t>
      </w:r>
    </w:p>
    <w:p w14:paraId="148C9830" w14:textId="77777777" w:rsidR="00CB0D3F" w:rsidRDefault="00860685">
      <w:pPr>
        <w:pStyle w:val="ListBullet"/>
      </w:pPr>
      <w:r>
        <w:t>bamboo-shaped abdominal segments.</w:t>
      </w:r>
    </w:p>
    <w:p w14:paraId="70B731AA" w14:textId="77777777" w:rsidR="00CB0D3F" w:rsidRDefault="00860685">
      <w:r>
        <w:rPr>
          <w:lang w:eastAsia="ja-JP"/>
        </w:rPr>
        <w:t>There are no definitive microscopic pathological signs.</w:t>
      </w:r>
    </w:p>
    <w:p w14:paraId="3EF94ADB" w14:textId="77777777" w:rsidR="00CB0D3F" w:rsidRDefault="00860685">
      <w:pPr>
        <w:pStyle w:val="Heading2"/>
      </w:pPr>
      <w:r>
        <w:t>Disease agent</w:t>
      </w:r>
    </w:p>
    <w:p w14:paraId="7CB99663" w14:textId="5DAF09FC" w:rsidR="00CB0D3F" w:rsidRDefault="00860685">
      <w:r>
        <w:t xml:space="preserve">MSGS is a disease associated with the Laem-Singh virus (LSNV). The complete aetiology for MSGS is uncertain and there is no clear case definition for this syndrome. A working case definition for surveillance and data gathering purposes is listed in the </w:t>
      </w:r>
      <w:hyperlink w:anchor="_Epidemiology" w:history="1">
        <w:r>
          <w:rPr>
            <w:rStyle w:val="Hyperlink"/>
          </w:rPr>
          <w:t>epidemiology</w:t>
        </w:r>
      </w:hyperlink>
      <w:r>
        <w:t xml:space="preserve"> section. A key component is the positive detection of LSNV by RT-PCR</w:t>
      </w:r>
      <w:r w:rsidR="007C69F2">
        <w:t>;</w:t>
      </w:r>
      <w:r>
        <w:t xml:space="preserve"> LSNV is considered a necessary but insufficient component cause. Known pathogens are unlikely to be the cause of MSGS. Previous trials have indicated that a filterable infectious agent is involved.</w:t>
      </w:r>
    </w:p>
    <w:p w14:paraId="76CB4434" w14:textId="77777777" w:rsidR="00CB0D3F" w:rsidRDefault="00860685" w:rsidP="008F1485">
      <w:pPr>
        <w:pStyle w:val="Heading2"/>
        <w:keepNext w:val="0"/>
        <w:pageBreakBefore/>
      </w:pPr>
      <w:r>
        <w:lastRenderedPageBreak/>
        <w:t>Host range</w:t>
      </w:r>
    </w:p>
    <w:p w14:paraId="6F0482FD" w14:textId="06914ABF" w:rsidR="00CB0D3F" w:rsidRDefault="00860685">
      <w:pPr>
        <w:pStyle w:val="Caption"/>
        <w:keepLines/>
      </w:pPr>
      <w:r>
        <w:t xml:space="preserve">Table </w:t>
      </w:r>
      <w:r>
        <w:rPr>
          <w:noProof/>
        </w:rPr>
        <w:fldChar w:fldCharType="begin"/>
      </w:r>
      <w:r>
        <w:rPr>
          <w:noProof/>
        </w:rPr>
        <w:instrText xml:space="preserve"> SEQ Table \* ARABIC </w:instrText>
      </w:r>
      <w:r>
        <w:rPr>
          <w:noProof/>
        </w:rPr>
        <w:fldChar w:fldCharType="separate"/>
      </w:r>
      <w:r w:rsidR="00147299">
        <w:rPr>
          <w:noProof/>
        </w:rPr>
        <w:t>1</w:t>
      </w:r>
      <w:r>
        <w:rPr>
          <w:noProof/>
        </w:rPr>
        <w:fldChar w:fldCharType="end"/>
      </w:r>
      <w:r>
        <w:t xml:space="preserve"> Species known to be susceptible to </w:t>
      </w:r>
      <w:r w:rsidR="00F53737">
        <w:t>MSGS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CB0D3F" w14:paraId="7F200B5F" w14:textId="77777777" w:rsidTr="00A34130">
        <w:trPr>
          <w:cantSplit/>
          <w:tblHeader/>
        </w:trPr>
        <w:tc>
          <w:tcPr>
            <w:tcW w:w="2500" w:type="pct"/>
            <w:tcBorders>
              <w:top w:val="single" w:sz="4" w:space="0" w:color="auto"/>
              <w:bottom w:val="single" w:sz="4" w:space="0" w:color="auto"/>
            </w:tcBorders>
            <w:noWrap/>
          </w:tcPr>
          <w:p w14:paraId="1B2206BE" w14:textId="77777777" w:rsidR="00CB0D3F" w:rsidRDefault="00860685">
            <w:pPr>
              <w:pStyle w:val="TableHeading"/>
            </w:pPr>
            <w:r>
              <w:t>Common name</w:t>
            </w:r>
          </w:p>
        </w:tc>
        <w:tc>
          <w:tcPr>
            <w:tcW w:w="2500" w:type="pct"/>
            <w:tcBorders>
              <w:top w:val="single" w:sz="4" w:space="0" w:color="auto"/>
              <w:bottom w:val="single" w:sz="4" w:space="0" w:color="auto"/>
            </w:tcBorders>
            <w:noWrap/>
          </w:tcPr>
          <w:p w14:paraId="036970FB" w14:textId="77777777" w:rsidR="00CB0D3F" w:rsidRDefault="00860685">
            <w:pPr>
              <w:pStyle w:val="TableHeading"/>
            </w:pPr>
            <w:r>
              <w:t>Scientific name</w:t>
            </w:r>
          </w:p>
        </w:tc>
      </w:tr>
      <w:tr w:rsidR="00CB0D3F" w14:paraId="213FF3C5" w14:textId="77777777">
        <w:trPr>
          <w:cantSplit/>
          <w:trHeight w:val="315"/>
        </w:trPr>
        <w:tc>
          <w:tcPr>
            <w:tcW w:w="2500" w:type="pct"/>
            <w:tcBorders>
              <w:top w:val="single" w:sz="4" w:space="0" w:color="auto"/>
            </w:tcBorders>
            <w:noWrap/>
          </w:tcPr>
          <w:p w14:paraId="0B613294" w14:textId="77777777" w:rsidR="00CB0D3F" w:rsidRDefault="00860685">
            <w:pPr>
              <w:pStyle w:val="TableText"/>
            </w:pPr>
            <w:r>
              <w:t>Black tiger prawn</w:t>
            </w:r>
          </w:p>
        </w:tc>
        <w:tc>
          <w:tcPr>
            <w:tcW w:w="2500" w:type="pct"/>
            <w:tcBorders>
              <w:top w:val="single" w:sz="4" w:space="0" w:color="auto"/>
            </w:tcBorders>
            <w:noWrap/>
          </w:tcPr>
          <w:p w14:paraId="2ADDFD02" w14:textId="77777777" w:rsidR="00CB0D3F" w:rsidRDefault="00860685">
            <w:pPr>
              <w:pStyle w:val="TableText"/>
              <w:rPr>
                <w:rStyle w:val="Emphasis"/>
              </w:rPr>
            </w:pPr>
            <w:r>
              <w:rPr>
                <w:rStyle w:val="Emphasis"/>
              </w:rPr>
              <w:t>Penaeus monodon</w:t>
            </w:r>
          </w:p>
        </w:tc>
      </w:tr>
    </w:tbl>
    <w:p w14:paraId="2D778F54" w14:textId="77777777" w:rsidR="00CB0D3F" w:rsidRDefault="00860685">
      <w:pPr>
        <w:pStyle w:val="FigureTableNoteSource"/>
      </w:pPr>
      <w:r>
        <w:rPr>
          <w:rStyle w:val="Strong"/>
        </w:rPr>
        <w:t>a</w:t>
      </w:r>
      <w:r>
        <w:t xml:space="preserve"> Naturally susceptible.</w:t>
      </w:r>
    </w:p>
    <w:p w14:paraId="5EC25D49" w14:textId="77777777" w:rsidR="00CB0D3F" w:rsidRDefault="00860685">
      <w:pPr>
        <w:pStyle w:val="Heading2"/>
      </w:pPr>
      <w:r>
        <w:t>Presence in Australia</w:t>
      </w:r>
    </w:p>
    <w:p w14:paraId="61819634" w14:textId="77777777" w:rsidR="00CB0D3F" w:rsidRDefault="00860685">
      <w:r>
        <w:t>Exotic disease—not recorded in Australia.</w:t>
      </w:r>
    </w:p>
    <w:p w14:paraId="436C3D2E" w14:textId="41F3E22F" w:rsidR="00CB0D3F" w:rsidRDefault="00860685">
      <w:pPr>
        <w:pStyle w:val="Caption"/>
      </w:pPr>
      <w:r>
        <w:t xml:space="preserve">Map </w:t>
      </w:r>
      <w:r>
        <w:rPr>
          <w:noProof/>
        </w:rPr>
        <w:fldChar w:fldCharType="begin"/>
      </w:r>
      <w:r>
        <w:rPr>
          <w:noProof/>
        </w:rPr>
        <w:instrText xml:space="preserve"> SEQ Map \* ARABIC </w:instrText>
      </w:r>
      <w:r>
        <w:rPr>
          <w:noProof/>
        </w:rPr>
        <w:fldChar w:fldCharType="separate"/>
      </w:r>
      <w:r w:rsidR="00147299">
        <w:rPr>
          <w:noProof/>
        </w:rPr>
        <w:t>1</w:t>
      </w:r>
      <w:r>
        <w:rPr>
          <w:noProof/>
        </w:rPr>
        <w:fldChar w:fldCharType="end"/>
      </w:r>
      <w:r>
        <w:t xml:space="preserve"> Presence of </w:t>
      </w:r>
      <w:r w:rsidR="00F53737">
        <w:t>MSGS</w:t>
      </w:r>
      <w:r>
        <w:t>, by jurisdiction</w:t>
      </w:r>
    </w:p>
    <w:p w14:paraId="2A73E3F4" w14:textId="77777777" w:rsidR="00CB0D3F" w:rsidRDefault="00860685">
      <w:r>
        <w:rPr>
          <w:noProof/>
          <w:lang w:eastAsia="en-AU"/>
        </w:rPr>
        <w:drawing>
          <wp:inline distT="0" distB="0" distL="0" distR="0" wp14:anchorId="0663CCA2" wp14:editId="3DAE23BD">
            <wp:extent cx="3616106" cy="25749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tic Disease - not recorded from Australia."/>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3616106" cy="2574945"/>
                    </a:xfrm>
                    <a:prstGeom prst="rect">
                      <a:avLst/>
                    </a:prstGeom>
                    <a:noFill/>
                    <a:ln>
                      <a:noFill/>
                    </a:ln>
                  </pic:spPr>
                </pic:pic>
              </a:graphicData>
            </a:graphic>
          </wp:inline>
        </w:drawing>
      </w:r>
    </w:p>
    <w:p w14:paraId="3AFCE41A" w14:textId="77777777" w:rsidR="00CB0D3F" w:rsidRDefault="00860685">
      <w:pPr>
        <w:pStyle w:val="Heading2"/>
      </w:pPr>
      <w:bookmarkStart w:id="1" w:name="_Epidemiology"/>
      <w:bookmarkEnd w:id="1"/>
      <w:r>
        <w:t>Epidemiology</w:t>
      </w:r>
    </w:p>
    <w:p w14:paraId="12C798D5" w14:textId="582C01D3" w:rsidR="00CB0D3F" w:rsidRDefault="00860685">
      <w:pPr>
        <w:pStyle w:val="ListBullet"/>
        <w:rPr>
          <w:lang w:eastAsia="ja-JP"/>
        </w:rPr>
      </w:pPr>
      <w:r>
        <w:rPr>
          <w:lang w:eastAsia="ja-JP"/>
        </w:rPr>
        <w:t>The cause of MSGS is uncertain, but a working case definition allows for suspected case data to be collected if the population:</w:t>
      </w:r>
    </w:p>
    <w:p w14:paraId="0E3EDFA0" w14:textId="77777777" w:rsidR="00CB0D3F" w:rsidRDefault="00860685">
      <w:pPr>
        <w:pStyle w:val="ListBullet2"/>
        <w:rPr>
          <w:lang w:eastAsia="ja-JP"/>
        </w:rPr>
      </w:pPr>
      <w:r>
        <w:rPr>
          <w:lang w:eastAsia="ja-JP"/>
        </w:rPr>
        <w:t>tests positive for Laem-Singh virus</w:t>
      </w:r>
    </w:p>
    <w:p w14:paraId="1D15B21A" w14:textId="2B4ED737" w:rsidR="00CB0D3F" w:rsidRDefault="00860685">
      <w:pPr>
        <w:pStyle w:val="ListBullet2"/>
        <w:rPr>
          <w:lang w:eastAsia="ja-JP"/>
        </w:rPr>
      </w:pPr>
      <w:r>
        <w:rPr>
          <w:lang w:eastAsia="ja-JP"/>
        </w:rPr>
        <w:t>has a coefficient of variation of more than 35% by weight</w:t>
      </w:r>
    </w:p>
    <w:p w14:paraId="645E5307" w14:textId="77777777" w:rsidR="00CB0D3F" w:rsidRDefault="00860685">
      <w:pPr>
        <w:pStyle w:val="ListBullet2"/>
        <w:rPr>
          <w:lang w:eastAsia="ja-JP"/>
        </w:rPr>
      </w:pPr>
      <w:r>
        <w:rPr>
          <w:lang w:eastAsia="ja-JP"/>
        </w:rPr>
        <w:t>is free from hepatopancreatic parvovirus infection or any other hepatopancreatic infection</w:t>
      </w:r>
    </w:p>
    <w:p w14:paraId="11A42D9B" w14:textId="31ADB64A" w:rsidR="00CB0D3F" w:rsidRDefault="00860685">
      <w:pPr>
        <w:pStyle w:val="ListBullet2"/>
        <w:rPr>
          <w:lang w:eastAsia="ja-JP"/>
        </w:rPr>
      </w:pPr>
      <w:r>
        <w:rPr>
          <w:lang w:eastAsia="ja-JP"/>
        </w:rPr>
        <w:t xml:space="preserve">shows 3 of the </w:t>
      </w:r>
      <w:hyperlink w:anchor="_Signs_of_disease" w:history="1">
        <w:r>
          <w:rPr>
            <w:rStyle w:val="Hyperlink"/>
            <w:lang w:eastAsia="ja-JP"/>
          </w:rPr>
          <w:t>signs of disease</w:t>
        </w:r>
      </w:hyperlink>
      <w:r>
        <w:rPr>
          <w:lang w:eastAsia="ja-JP"/>
        </w:rPr>
        <w:t xml:space="preserve"> listed here.</w:t>
      </w:r>
    </w:p>
    <w:p w14:paraId="627642A9" w14:textId="0AC9A60E" w:rsidR="00CB0D3F" w:rsidRDefault="00860685">
      <w:pPr>
        <w:pStyle w:val="ListBullet"/>
      </w:pPr>
      <w:r>
        <w:rPr>
          <w:lang w:eastAsia="ja-JP"/>
        </w:rPr>
        <w:t>In countries where the Pacific white shrimp (</w:t>
      </w:r>
      <w:r>
        <w:rPr>
          <w:rStyle w:val="Emphasis"/>
        </w:rPr>
        <w:t xml:space="preserve">Penaeus </w:t>
      </w:r>
      <w:r>
        <w:rPr>
          <w:rStyle w:val="Emphasis"/>
          <w:lang w:eastAsia="ja-JP"/>
        </w:rPr>
        <w:t>(</w:t>
      </w:r>
      <w:proofErr w:type="spellStart"/>
      <w:r>
        <w:rPr>
          <w:rStyle w:val="Emphasis"/>
          <w:lang w:eastAsia="ja-JP"/>
        </w:rPr>
        <w:t>Lito</w:t>
      </w:r>
      <w:r>
        <w:rPr>
          <w:rStyle w:val="Emphasis"/>
        </w:rPr>
        <w:t>penaeus</w:t>
      </w:r>
      <w:proofErr w:type="spellEnd"/>
      <w:r>
        <w:rPr>
          <w:rStyle w:val="Emphasis"/>
          <w:lang w:eastAsia="ja-JP"/>
        </w:rPr>
        <w:t xml:space="preserve">) </w:t>
      </w:r>
      <w:proofErr w:type="spellStart"/>
      <w:r>
        <w:rPr>
          <w:rStyle w:val="Emphasis"/>
          <w:lang w:eastAsia="ja-JP"/>
        </w:rPr>
        <w:t>vannamei</w:t>
      </w:r>
      <w:proofErr w:type="spellEnd"/>
      <w:r>
        <w:rPr>
          <w:lang w:eastAsia="ja-JP"/>
        </w:rPr>
        <w:t>) has already been introduced, Pacific white shrimp and black tiger prawns (</w:t>
      </w:r>
      <w:r>
        <w:rPr>
          <w:rStyle w:val="Emphasis"/>
        </w:rPr>
        <w:t>Penaeus</w:t>
      </w:r>
      <w:r w:rsidR="00A34130">
        <w:rPr>
          <w:rStyle w:val="Emphasis"/>
        </w:rPr>
        <w:t> </w:t>
      </w:r>
      <w:r>
        <w:rPr>
          <w:rStyle w:val="Emphasis"/>
        </w:rPr>
        <w:t>monodon</w:t>
      </w:r>
      <w:r>
        <w:rPr>
          <w:lang w:eastAsia="ja-JP"/>
        </w:rPr>
        <w:t>) should be reared separately. This is particularly important at the maturation and hatchery phases.</w:t>
      </w:r>
    </w:p>
    <w:p w14:paraId="6DE845CD" w14:textId="77777777" w:rsidR="00CB0D3F" w:rsidRDefault="00860685">
      <w:pPr>
        <w:pStyle w:val="Heading2"/>
      </w:pPr>
      <w:r>
        <w:t>Differential diagnosis</w:t>
      </w:r>
    </w:p>
    <w:p w14:paraId="380F6A86" w14:textId="02D06BD5" w:rsidR="00CB0D3F" w:rsidRDefault="00860685">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15257F" w:rsidRPr="0015257F">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276723F" w14:textId="77777777" w:rsidR="00CB0D3F" w:rsidRDefault="00860685">
      <w:pPr>
        <w:pStyle w:val="Heading2"/>
      </w:pPr>
      <w:bookmarkStart w:id="2" w:name="_Similar_diseases"/>
      <w:bookmarkEnd w:id="2"/>
      <w:r>
        <w:t>Similar diseases</w:t>
      </w:r>
    </w:p>
    <w:p w14:paraId="5509A404" w14:textId="77777777" w:rsidR="00CB0D3F" w:rsidRDefault="00860685">
      <w:r>
        <w:t xml:space="preserve">No diseases listed in this field guide are similar to </w:t>
      </w:r>
      <w:r>
        <w:rPr>
          <w:rStyle w:val="Emphasis"/>
        </w:rPr>
        <w:t>Monodon</w:t>
      </w:r>
      <w:r>
        <w:t xml:space="preserve"> slow growth syndrome.</w:t>
      </w:r>
    </w:p>
    <w:p w14:paraId="6DE61214" w14:textId="77777777" w:rsidR="00CB0D3F" w:rsidRDefault="00860685">
      <w:pPr>
        <w:pStyle w:val="Heading2"/>
      </w:pPr>
      <w:r>
        <w:lastRenderedPageBreak/>
        <w:t>Sample collection</w:t>
      </w:r>
    </w:p>
    <w:p w14:paraId="6263362A" w14:textId="77777777" w:rsidR="00CB0D3F" w:rsidRDefault="00A34130">
      <w:r w:rsidRPr="00A34130">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1321D502" w14:textId="77777777" w:rsidR="00CB0D3F" w:rsidRDefault="00860685">
      <w:pPr>
        <w:pStyle w:val="Heading2"/>
      </w:pPr>
      <w:r>
        <w:t>Emergency disease hotline</w:t>
      </w:r>
    </w:p>
    <w:p w14:paraId="13F568D9" w14:textId="77777777" w:rsidR="00CB0D3F" w:rsidRDefault="00860685">
      <w:r>
        <w:t>See something you think is this disease? Report it. Even if you’re not sure.</w:t>
      </w:r>
    </w:p>
    <w:p w14:paraId="48C40C5F" w14:textId="3AD0D1BA" w:rsidR="00CB0D3F" w:rsidRDefault="00860685">
      <w:r>
        <w:t xml:space="preserve">Call the Emergency Animal Disease Watch Hotline on </w:t>
      </w:r>
      <w:r w:rsidR="00364789">
        <w:rPr>
          <w:rStyle w:val="Strong"/>
        </w:rPr>
        <w:t>1800 675 888</w:t>
      </w:r>
      <w:r>
        <w:t>. They will refer you to the right state or territory agency.</w:t>
      </w:r>
    </w:p>
    <w:p w14:paraId="241B738D" w14:textId="77777777" w:rsidR="00CB0D3F" w:rsidRDefault="00860685">
      <w:pPr>
        <w:pStyle w:val="Heading2"/>
        <w:rPr>
          <w:rFonts w:ascii="Cambria" w:eastAsiaTheme="minorHAnsi" w:hAnsi="Cambria"/>
          <w:b w:val="0"/>
          <w:bCs w:val="0"/>
          <w:color w:val="auto"/>
          <w:sz w:val="22"/>
          <w:szCs w:val="22"/>
          <w:lang w:eastAsia="en-US"/>
        </w:rPr>
      </w:pPr>
      <w:r>
        <w:t>Further reading</w:t>
      </w:r>
    </w:p>
    <w:p w14:paraId="28FFCA9B" w14:textId="2A514440" w:rsidR="00CB0D3F" w:rsidRDefault="00860685">
      <w:pPr>
        <w:jc w:val="both"/>
      </w:pPr>
      <w:r>
        <w:t xml:space="preserve">Network of Aquaculture Centres in Asia-Pacific </w:t>
      </w:r>
      <w:hyperlink r:id="rId15" w:history="1">
        <w:r>
          <w:rPr>
            <w:rStyle w:val="Hyperlink"/>
            <w:rFonts w:ascii="Calibri" w:hAnsi="Calibri" w:cs="Arial"/>
            <w:bCs/>
            <w:lang w:val="en-US"/>
          </w:rPr>
          <w:t>‘</w:t>
        </w:r>
        <w:r>
          <w:rPr>
            <w:rStyle w:val="Hyperlink"/>
          </w:rPr>
          <w:t>Monodon’</w:t>
        </w:r>
        <w:r>
          <w:rPr>
            <w:rStyle w:val="Hyperlink"/>
            <w:rFonts w:ascii="Calibri" w:hAnsi="Calibri" w:cs="Arial"/>
            <w:bCs/>
            <w:lang w:val="en-US"/>
          </w:rPr>
          <w:t xml:space="preserve"> slow growth syndrome and Laem-Singh virus retinopathy: </w:t>
        </w:r>
        <w:r w:rsidR="00037A45">
          <w:rPr>
            <w:rStyle w:val="Hyperlink"/>
            <w:rFonts w:ascii="Calibri" w:hAnsi="Calibri" w:cs="Arial"/>
            <w:bCs/>
            <w:lang w:val="en-US"/>
          </w:rPr>
          <w:t>d</w:t>
        </w:r>
        <w:r>
          <w:rPr>
            <w:rStyle w:val="Hyperlink"/>
            <w:rFonts w:ascii="Calibri" w:hAnsi="Calibri" w:cs="Arial"/>
            <w:bCs/>
            <w:lang w:val="en-US"/>
          </w:rPr>
          <w:t>isease card</w:t>
        </w:r>
      </w:hyperlink>
    </w:p>
    <w:p w14:paraId="780C5613" w14:textId="52F620A1" w:rsidR="00CB0D3F" w:rsidRDefault="00860685">
      <w:r>
        <w:rPr>
          <w:lang w:val="en-US"/>
        </w:rPr>
        <w:t xml:space="preserve">Poornima, M, </w:t>
      </w:r>
      <w:proofErr w:type="spellStart"/>
      <w:r>
        <w:rPr>
          <w:lang w:val="en-US"/>
        </w:rPr>
        <w:t>Seetang</w:t>
      </w:r>
      <w:proofErr w:type="spellEnd"/>
      <w:r>
        <w:rPr>
          <w:lang w:val="en-US"/>
        </w:rPr>
        <w:t xml:space="preserve">-Nun, Y, </w:t>
      </w:r>
      <w:proofErr w:type="spellStart"/>
      <w:r>
        <w:rPr>
          <w:lang w:val="en-US"/>
        </w:rPr>
        <w:t>Alavandi</w:t>
      </w:r>
      <w:proofErr w:type="spellEnd"/>
      <w:r>
        <w:rPr>
          <w:lang w:val="en-US"/>
        </w:rPr>
        <w:t xml:space="preserve">, SV &amp; </w:t>
      </w:r>
      <w:proofErr w:type="spellStart"/>
      <w:r>
        <w:rPr>
          <w:lang w:val="en-US"/>
        </w:rPr>
        <w:t>Dayal</w:t>
      </w:r>
      <w:proofErr w:type="spellEnd"/>
      <w:r>
        <w:rPr>
          <w:lang w:val="en-US"/>
        </w:rPr>
        <w:t xml:space="preserve">, J 2012, </w:t>
      </w:r>
      <w:hyperlink r:id="rId16" w:history="1">
        <w:r>
          <w:rPr>
            <w:rStyle w:val="Hyperlink"/>
            <w:rFonts w:ascii="Calibri" w:hAnsi="Calibri" w:cs="Arial"/>
            <w:iCs/>
            <w:lang w:val="en-US"/>
          </w:rPr>
          <w:t>Laem-Singh virus: A probable etiological agent associated with Monodon slow growth syndrome in farmed black tiger shrimp (‘Penaeus monodon’)</w:t>
        </w:r>
      </w:hyperlink>
      <w:r>
        <w:rPr>
          <w:iCs/>
          <w:lang w:val="en-US"/>
        </w:rPr>
        <w:t xml:space="preserve">, </w:t>
      </w:r>
      <w:r>
        <w:rPr>
          <w:rStyle w:val="Emphasis"/>
        </w:rPr>
        <w:t>Indian Journal of Virology</w:t>
      </w:r>
      <w:r>
        <w:rPr>
          <w:iCs/>
          <w:lang w:val="en-US"/>
        </w:rPr>
        <w:t>, vol. 23.</w:t>
      </w:r>
    </w:p>
    <w:p w14:paraId="0C4F18D5" w14:textId="474EA484" w:rsidR="00CB0D3F" w:rsidRDefault="00860685">
      <w:r>
        <w:t>These hyperlinks were correct at the time of publication.</w:t>
      </w:r>
    </w:p>
    <w:p w14:paraId="517855A8" w14:textId="77777777" w:rsidR="00CB0D3F" w:rsidRDefault="00860685">
      <w:pPr>
        <w:pStyle w:val="Heading2"/>
        <w:ind w:left="0" w:firstLine="0"/>
      </w:pPr>
      <w:r>
        <w:t>Contact details</w:t>
      </w:r>
    </w:p>
    <w:p w14:paraId="107AE34E" w14:textId="77777777" w:rsidR="00CB0D3F" w:rsidRDefault="00860685">
      <w:pPr>
        <w:spacing w:after="0"/>
      </w:pPr>
      <w:r>
        <w:t>Emergency Animal Disease Watch Hotline 1800 675 888</w:t>
      </w:r>
    </w:p>
    <w:p w14:paraId="556ECF92" w14:textId="77777777" w:rsidR="00CB0D3F" w:rsidRDefault="00860685">
      <w:r>
        <w:t xml:space="preserve">Email </w:t>
      </w:r>
      <w:hyperlink r:id="rId17" w:history="1">
        <w:r>
          <w:rPr>
            <w:rStyle w:val="Hyperlink"/>
          </w:rPr>
          <w:t>AAH@agriculture.gov.au</w:t>
        </w:r>
      </w:hyperlink>
      <w:r>
        <w:cr/>
        <w:t xml:space="preserve">Website </w:t>
      </w:r>
      <w:hyperlink r:id="rId18" w:history="1">
        <w:r>
          <w:rPr>
            <w:rStyle w:val="Hyperlink"/>
          </w:rPr>
          <w:t>agriculture.gov.au/pests-diseases-weeds/aquatic</w:t>
        </w:r>
      </w:hyperlink>
    </w:p>
    <w:p w14:paraId="171E02A3" w14:textId="1775C0AD" w:rsidR="00CB0D3F" w:rsidRDefault="00860685">
      <w:pPr>
        <w:pStyle w:val="Normalsmall"/>
      </w:pPr>
      <w:r>
        <w:t>© Commonwealth of Australia 20</w:t>
      </w:r>
      <w:r w:rsidR="005B6037">
        <w:t>20</w:t>
      </w:r>
    </w:p>
    <w:p w14:paraId="7557DE95" w14:textId="77777777" w:rsidR="00CB0D3F" w:rsidRDefault="00860685">
      <w:pPr>
        <w:pStyle w:val="Normalsmall"/>
      </w:pPr>
      <w:r>
        <w:t>This work is copyright. It may be reproduced in whole or in part subject to the inclusion of an acknowledgement of the source and no commercial usage or sale.</w:t>
      </w:r>
    </w:p>
    <w:sectPr w:rsidR="00CB0D3F">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FFAF" w14:textId="77777777" w:rsidR="00CB0D3F" w:rsidRDefault="00860685">
      <w:r>
        <w:separator/>
      </w:r>
    </w:p>
    <w:p w14:paraId="6A99AAB9" w14:textId="77777777" w:rsidR="00CB0D3F" w:rsidRDefault="00CB0D3F"/>
    <w:p w14:paraId="2437665B" w14:textId="77777777" w:rsidR="00CB0D3F" w:rsidRDefault="00CB0D3F"/>
  </w:endnote>
  <w:endnote w:type="continuationSeparator" w:id="0">
    <w:p w14:paraId="508DBC0A" w14:textId="77777777" w:rsidR="00CB0D3F" w:rsidRDefault="00860685">
      <w:r>
        <w:continuationSeparator/>
      </w:r>
    </w:p>
    <w:p w14:paraId="6873A3AC" w14:textId="77777777" w:rsidR="00CB0D3F" w:rsidRDefault="00CB0D3F"/>
    <w:p w14:paraId="375AE7BC" w14:textId="77777777" w:rsidR="00CB0D3F" w:rsidRDefault="00CB0D3F"/>
  </w:endnote>
  <w:endnote w:type="continuationNotice" w:id="1">
    <w:p w14:paraId="79497A18" w14:textId="77777777" w:rsidR="00CB0D3F" w:rsidRDefault="00CB0D3F">
      <w:pPr>
        <w:pStyle w:val="Footer"/>
      </w:pPr>
    </w:p>
    <w:p w14:paraId="12DDE4A1" w14:textId="77777777" w:rsidR="00CB0D3F" w:rsidRDefault="00CB0D3F"/>
    <w:p w14:paraId="6598BC58" w14:textId="77777777" w:rsidR="00CB0D3F" w:rsidRDefault="00CB0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12AB" w14:textId="77777777" w:rsidR="005B6037" w:rsidRDefault="005B6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A4B8" w14:textId="3607B9AC" w:rsidR="00CB0D3F" w:rsidRDefault="005B6037">
    <w:pPr>
      <w:pStyle w:val="Footer"/>
    </w:pPr>
    <w:bookmarkStart w:id="3" w:name="_GoBack"/>
    <w:bookmarkEnd w:id="3"/>
    <w:r>
      <w:t>Department of Agriculture, Water and the Environment</w:t>
    </w:r>
  </w:p>
  <w:p w14:paraId="5491EF39" w14:textId="77777777" w:rsidR="00CB0D3F" w:rsidRDefault="00860685">
    <w:pPr>
      <w:pStyle w:val="Footer"/>
    </w:pPr>
    <w:r>
      <w:fldChar w:fldCharType="begin"/>
    </w:r>
    <w:r>
      <w:instrText xml:space="preserve"> PAGE   \* MERGEFORMAT </w:instrText>
    </w:r>
    <w:r>
      <w:fldChar w:fldCharType="separate"/>
    </w:r>
    <w:r w:rsidR="000223E5">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FF01" w14:textId="77777777" w:rsidR="005B6037" w:rsidRDefault="005B6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CEE3" w14:textId="77777777" w:rsidR="00CB0D3F" w:rsidRDefault="00860685">
      <w:r>
        <w:separator/>
      </w:r>
    </w:p>
    <w:p w14:paraId="28F092F7" w14:textId="77777777" w:rsidR="00CB0D3F" w:rsidRDefault="00CB0D3F"/>
    <w:p w14:paraId="3042D690" w14:textId="77777777" w:rsidR="00CB0D3F" w:rsidRDefault="00CB0D3F"/>
  </w:footnote>
  <w:footnote w:type="continuationSeparator" w:id="0">
    <w:p w14:paraId="76D14353" w14:textId="77777777" w:rsidR="00CB0D3F" w:rsidRDefault="00860685">
      <w:r>
        <w:continuationSeparator/>
      </w:r>
    </w:p>
    <w:p w14:paraId="5510B36C" w14:textId="77777777" w:rsidR="00CB0D3F" w:rsidRDefault="00CB0D3F"/>
    <w:p w14:paraId="7CC02234" w14:textId="77777777" w:rsidR="00CB0D3F" w:rsidRDefault="00CB0D3F"/>
  </w:footnote>
  <w:footnote w:type="continuationNotice" w:id="1">
    <w:p w14:paraId="303C4C55" w14:textId="77777777" w:rsidR="00CB0D3F" w:rsidRDefault="00CB0D3F">
      <w:pPr>
        <w:pStyle w:val="Footer"/>
      </w:pPr>
    </w:p>
    <w:p w14:paraId="1449351E" w14:textId="77777777" w:rsidR="00CB0D3F" w:rsidRDefault="00CB0D3F"/>
    <w:p w14:paraId="57878A60" w14:textId="77777777" w:rsidR="00CB0D3F" w:rsidRDefault="00CB0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7F87" w14:textId="77777777" w:rsidR="005B6037" w:rsidRDefault="005B6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4B12" w14:textId="77777777" w:rsidR="00CB0D3F" w:rsidRDefault="00860685">
    <w:pPr>
      <w:pStyle w:val="Header"/>
    </w:pPr>
    <w:r>
      <w:rPr>
        <w:rStyle w:val="Emphasis"/>
      </w:rPr>
      <w:t>Monodon</w:t>
    </w:r>
    <w:r>
      <w:rPr>
        <w:rStyle w:val="Emphasis"/>
        <w:i w:val="0"/>
        <w:iCs w:val="0"/>
      </w:rPr>
      <w:t xml:space="preserve"> slow growth syndrome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E8C1" w14:textId="77777777" w:rsidR="00CB0D3F" w:rsidRDefault="00860685">
    <w:pPr>
      <w:pStyle w:val="Header"/>
      <w:jc w:val="left"/>
    </w:pPr>
    <w:r>
      <w:rPr>
        <w:noProof/>
        <w:lang w:eastAsia="en-AU"/>
      </w:rPr>
      <w:drawing>
        <wp:anchor distT="0" distB="0" distL="114300" distR="114300" simplePos="0" relativeHeight="251659264" behindDoc="1" locked="0" layoutInCell="1" allowOverlap="1" wp14:anchorId="61E635D0" wp14:editId="30CF6D76">
          <wp:simplePos x="0" y="0"/>
          <wp:positionH relativeFrom="page">
            <wp:align>left</wp:align>
          </wp:positionH>
          <wp:positionV relativeFrom="paragraph">
            <wp:posOffset>-362309</wp:posOffset>
          </wp:positionV>
          <wp:extent cx="7579637" cy="162391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637" cy="1623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 w:numId="3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F"/>
    <w:rsid w:val="000223E5"/>
    <w:rsid w:val="00037A45"/>
    <w:rsid w:val="00147299"/>
    <w:rsid w:val="0015257F"/>
    <w:rsid w:val="0016140B"/>
    <w:rsid w:val="00364789"/>
    <w:rsid w:val="005B6037"/>
    <w:rsid w:val="005E3961"/>
    <w:rsid w:val="006238EF"/>
    <w:rsid w:val="007C69F2"/>
    <w:rsid w:val="00860685"/>
    <w:rsid w:val="00865D75"/>
    <w:rsid w:val="008F1485"/>
    <w:rsid w:val="00A34130"/>
    <w:rsid w:val="00CB0D3F"/>
    <w:rsid w:val="00D368C4"/>
    <w:rsid w:val="00E75ACD"/>
    <w:rsid w:val="00F53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31D179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 w:type="paragraph" w:customStyle="1" w:styleId="NormalbodytextChar">
    <w:name w:val="Normal body text Char"/>
    <w:basedOn w:val="Normal"/>
    <w:pPr>
      <w:spacing w:before="120" w:after="240" w:line="320" w:lineRule="atLeast"/>
      <w:jc w:val="both"/>
    </w:pPr>
    <w:rPr>
      <w:rFonts w:eastAsia="Times New Roman"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514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830933">
      <w:bodyDiv w:val="1"/>
      <w:marLeft w:val="0"/>
      <w:marRight w:val="0"/>
      <w:marTop w:val="0"/>
      <w:marBottom w:val="0"/>
      <w:divBdr>
        <w:top w:val="none" w:sz="0" w:space="0" w:color="auto"/>
        <w:left w:val="none" w:sz="0" w:space="0" w:color="auto"/>
        <w:bottom w:val="none" w:sz="0" w:space="0" w:color="auto"/>
        <w:right w:val="none" w:sz="0" w:space="0" w:color="auto"/>
      </w:divBdr>
    </w:div>
    <w:div w:id="569583162">
      <w:bodyDiv w:val="1"/>
      <w:marLeft w:val="0"/>
      <w:marRight w:val="0"/>
      <w:marTop w:val="0"/>
      <w:marBottom w:val="0"/>
      <w:divBdr>
        <w:top w:val="none" w:sz="0" w:space="0" w:color="auto"/>
        <w:left w:val="none" w:sz="0" w:space="0" w:color="auto"/>
        <w:bottom w:val="none" w:sz="0" w:space="0" w:color="auto"/>
        <w:right w:val="none" w:sz="0" w:space="0" w:color="auto"/>
      </w:divBdr>
    </w:div>
    <w:div w:id="59686442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882077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131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0562">
      <w:bodyDiv w:val="1"/>
      <w:marLeft w:val="0"/>
      <w:marRight w:val="0"/>
      <w:marTop w:val="0"/>
      <w:marBottom w:val="0"/>
      <w:divBdr>
        <w:top w:val="none" w:sz="0" w:space="0" w:color="auto"/>
        <w:left w:val="none" w:sz="0" w:space="0" w:color="auto"/>
        <w:bottom w:val="none" w:sz="0" w:space="0" w:color="auto"/>
        <w:right w:val="none" w:sz="0" w:space="0" w:color="auto"/>
      </w:divBdr>
    </w:div>
    <w:div w:id="1172261368">
      <w:bodyDiv w:val="1"/>
      <w:marLeft w:val="0"/>
      <w:marRight w:val="0"/>
      <w:marTop w:val="0"/>
      <w:marBottom w:val="0"/>
      <w:divBdr>
        <w:top w:val="none" w:sz="0" w:space="0" w:color="auto"/>
        <w:left w:val="none" w:sz="0" w:space="0" w:color="auto"/>
        <w:bottom w:val="none" w:sz="0" w:space="0" w:color="auto"/>
        <w:right w:val="none" w:sz="0" w:space="0" w:color="auto"/>
      </w:divBdr>
    </w:div>
    <w:div w:id="121669603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224299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6499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960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2569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1459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griculture.gov.au/pests-diseases-weeds/aquati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AH@agriculture.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pmc/articles/PMC35507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naca.org/?id=709"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purl.org/dc/elements/1.1/"/>
    <ds:schemaRef ds:uri="http://schemas.microsoft.com/office/infopath/2007/PartnerControls"/>
    <ds:schemaRef ds:uri="7cf0e0db-f490-4122-abae-21917392c748"/>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5563868F-AFE0-4C7A-8C5A-C96B0AE9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14</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Monodon slow growth syndrome (MSGS)</vt:lpstr>
    </vt:vector>
  </TitlesOfParts>
  <Company>Department of Agriculture Fisheries &amp; Forestry</Company>
  <LinksUpToDate>false</LinksUpToDate>
  <CharactersWithSpaces>5020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Monodon slow growth syndrome (MSGS)</dc:title>
  <dc:creator>Department of Agriculture</dc:creator>
  <cp:lastModifiedBy>Foster-Thorpe, Cian</cp:lastModifiedBy>
  <cp:revision>8</cp:revision>
  <cp:lastPrinted>2020-03-12T04:08:00Z</cp:lastPrinted>
  <dcterms:created xsi:type="dcterms:W3CDTF">2019-09-05T05:58:00Z</dcterms:created>
  <dcterms:modified xsi:type="dcterms:W3CDTF">2020-03-12T05:01:00Z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