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5C2F" w14:textId="1B16F468" w:rsidR="00F03AAF" w:rsidRDefault="00F03AAF" w:rsidP="00F03AAF">
      <w:pPr>
        <w:pStyle w:val="Heading1"/>
      </w:pPr>
      <w:r>
        <w:t>Detection</w:t>
      </w:r>
      <w:r w:rsidR="00BB5FB4">
        <w:t xml:space="preserve">, </w:t>
      </w:r>
      <w:r w:rsidRPr="00F03AAF">
        <w:t>Isolation</w:t>
      </w:r>
      <w:r>
        <w:t xml:space="preserve"> and Identification of Top Seven Shiga Toxin-Producing Escherichia coli (STEC) from Meat and Meat Products - MLG 5C</w:t>
      </w:r>
    </w:p>
    <w:p w14:paraId="103C7B2D" w14:textId="77777777" w:rsidR="00F03AAF" w:rsidRDefault="00F03AAF" w:rsidP="00F03AAF">
      <w:pPr>
        <w:pStyle w:val="Heading2"/>
      </w:pPr>
      <w:r>
        <w:t>SCOPE</w:t>
      </w:r>
    </w:p>
    <w:p w14:paraId="7B4E29D0" w14:textId="15FC0909" w:rsidR="00F03AAF" w:rsidRDefault="00F03AAF" w:rsidP="00F03AAF">
      <w:pPr>
        <w:pStyle w:val="Normal-para"/>
      </w:pPr>
      <w:r>
        <w:t xml:space="preserve">This method is applicable for detection and isolation of top seven Shiga-toxin </w:t>
      </w:r>
      <w:r w:rsidR="00B43AFF">
        <w:t>p</w:t>
      </w:r>
      <w:r>
        <w:t xml:space="preserve">roducing </w:t>
      </w:r>
      <w:r w:rsidR="00B43AFF" w:rsidRPr="00D57B09">
        <w:rPr>
          <w:i/>
          <w:iCs/>
        </w:rPr>
        <w:t>E. coli</w:t>
      </w:r>
      <w:r w:rsidR="00B43AFF">
        <w:t xml:space="preserve"> (</w:t>
      </w:r>
      <w:r>
        <w:t>STEC</w:t>
      </w:r>
      <w:r w:rsidR="00B43AFF">
        <w:t>)</w:t>
      </w:r>
      <w:r>
        <w:t xml:space="preserve"> (</w:t>
      </w:r>
      <w:r w:rsidRPr="008F4D91">
        <w:rPr>
          <w:i/>
          <w:iCs/>
        </w:rPr>
        <w:t>E. coli</w:t>
      </w:r>
      <w:r>
        <w:t xml:space="preserve"> O157, O26, O45, O103, O111, O121 and O145) in meat products. </w:t>
      </w:r>
    </w:p>
    <w:p w14:paraId="00A700CF" w14:textId="77777777" w:rsidR="00F03AAF" w:rsidRDefault="00F03AAF" w:rsidP="00F03AAF">
      <w:pPr>
        <w:pStyle w:val="Heading2"/>
      </w:pPr>
      <w:r>
        <w:t>PRINCIPLES</w:t>
      </w:r>
    </w:p>
    <w:p w14:paraId="21D6BC93" w14:textId="00F36621" w:rsidR="00F03AAF" w:rsidRDefault="00F03AAF" w:rsidP="00F03AAF">
      <w:pPr>
        <w:pStyle w:val="Normal-para"/>
      </w:pPr>
      <w:r>
        <w:t>MLG 5C utilises multiplex Real-Time PCR detection assays (</w:t>
      </w:r>
      <w:proofErr w:type="spellStart"/>
      <w:r>
        <w:t>iQ</w:t>
      </w:r>
      <w:proofErr w:type="spellEnd"/>
      <w:r>
        <w:t>-Check STEC VirX</w:t>
      </w:r>
      <w:r w:rsidR="00070173">
        <w:t xml:space="preserve"> &amp; SerO</w:t>
      </w:r>
      <w:r>
        <w:t>)</w:t>
      </w:r>
      <w:r w:rsidR="00A005F9">
        <w:t>.</w:t>
      </w:r>
      <w:r>
        <w:t xml:space="preserve"> followed by cultural isolation. The assay detects the presence of the Shiga</w:t>
      </w:r>
      <w:r w:rsidR="005611A7">
        <w:t xml:space="preserve"> </w:t>
      </w:r>
      <w:r>
        <w:t>toxin (</w:t>
      </w:r>
      <w:r w:rsidRPr="00D57B09">
        <w:rPr>
          <w:i/>
          <w:iCs/>
        </w:rPr>
        <w:t>stx</w:t>
      </w:r>
      <w:r w:rsidRPr="00413C4D">
        <w:rPr>
          <w:i/>
          <w:iCs/>
        </w:rPr>
        <w:t>1</w:t>
      </w:r>
      <w:r>
        <w:t>/</w:t>
      </w:r>
      <w:r w:rsidRPr="00413C4D">
        <w:rPr>
          <w:i/>
          <w:iCs/>
        </w:rPr>
        <w:t>2</w:t>
      </w:r>
      <w:r>
        <w:t xml:space="preserve">) and </w:t>
      </w:r>
      <w:r w:rsidR="00B43AFF">
        <w:t>i</w:t>
      </w:r>
      <w:r>
        <w:t>ntimin (</w:t>
      </w:r>
      <w:r w:rsidRPr="00D57B09">
        <w:rPr>
          <w:i/>
          <w:iCs/>
        </w:rPr>
        <w:t>eae</w:t>
      </w:r>
      <w:r>
        <w:t>) genes. Samples positive for these genes then undergo further PCR analysis (</w:t>
      </w:r>
      <w:proofErr w:type="spellStart"/>
      <w:r>
        <w:t>iQ</w:t>
      </w:r>
      <w:proofErr w:type="spellEnd"/>
      <w:r>
        <w:t>-Check STEC SerO) for specific pathogenic STEC serogroups. Cultural isolation of the screen positive sample requires use of immunomagnetic separation (IMS) using beads coated with antibodies (top seven serogroups) followed by plating (with and without acid treatment) on modified Rainbow Agar (</w:t>
      </w:r>
      <w:proofErr w:type="spellStart"/>
      <w:r>
        <w:t>mRBA</w:t>
      </w:r>
      <w:proofErr w:type="spellEnd"/>
      <w:r>
        <w:t xml:space="preserve">). Colonies are then tested for specific O antigens using latex agglutination and positive colonies purified on Sheep Blood Agar (SBA) and confirmation carried out using PCR and biochemical identification. </w:t>
      </w:r>
    </w:p>
    <w:p w14:paraId="460D0FCC" w14:textId="77777777" w:rsidR="00F03AAF" w:rsidRDefault="00F03AAF" w:rsidP="00F03AAF">
      <w:pPr>
        <w:pStyle w:val="Normal-para"/>
      </w:pPr>
      <w:r>
        <w:t>The detection of non-O157 STEC can be broken down into the following steps:</w:t>
      </w:r>
    </w:p>
    <w:p w14:paraId="7E23D385" w14:textId="77777777" w:rsidR="00F03AAF" w:rsidRDefault="00F03AAF" w:rsidP="00F03AAF">
      <w:pPr>
        <w:pStyle w:val="Heading3"/>
      </w:pPr>
      <w:r>
        <w:t>Enrichment</w:t>
      </w:r>
    </w:p>
    <w:p w14:paraId="3F7685B6" w14:textId="3201DFA4" w:rsidR="00F03AAF" w:rsidRDefault="00F03AAF" w:rsidP="00F03AAF">
      <w:pPr>
        <w:pStyle w:val="Normal-para"/>
      </w:pPr>
      <w:r>
        <w:t xml:space="preserve">Samples (325 ± 32.5 g) are diluted in 975 ± 19.5 mL mTSB. If meat pieces are overweight, prepare a second sub-sample that must be ≥ 63 and ≤ 357.5 g at 1:4 </w:t>
      </w:r>
      <w:r w:rsidR="00070173">
        <w:t>dilution.</w:t>
      </w:r>
      <w:r>
        <w:t xml:space="preserve">  </w:t>
      </w:r>
      <w:r w:rsidR="00B43AFF">
        <w:t xml:space="preserve">Samples and diluent are </w:t>
      </w:r>
      <w:r w:rsidR="008B5714">
        <w:t>s</w:t>
      </w:r>
      <w:r>
        <w:t>tomached and incubated static at 42 ± 1</w:t>
      </w:r>
      <w:r w:rsidR="005D06EB">
        <w:t>°</w:t>
      </w:r>
      <w:r>
        <w:t>C for 15-24 h. A positive control must be included</w:t>
      </w:r>
      <w:r w:rsidR="00B43AFF">
        <w:t>.</w:t>
      </w:r>
      <w:r>
        <w:t xml:space="preserve"> </w:t>
      </w:r>
      <w:r w:rsidR="00B43AFF">
        <w:t>I</w:t>
      </w:r>
      <w:r>
        <w:t>t is recommended that a negative control (</w:t>
      </w:r>
      <w:r w:rsidRPr="00413C4D">
        <w:rPr>
          <w:i/>
          <w:iCs/>
        </w:rPr>
        <w:t>E. coli</w:t>
      </w:r>
      <w:r>
        <w:t xml:space="preserve"> ATCC 25922) and a blank are also run with each batch of samples (or daily).</w:t>
      </w:r>
    </w:p>
    <w:p w14:paraId="40F45C47" w14:textId="77777777" w:rsidR="00A005F9" w:rsidRDefault="00A005F9" w:rsidP="00A005F9">
      <w:pPr>
        <w:pStyle w:val="Normal-para"/>
      </w:pPr>
      <w:r>
        <w:t xml:space="preserve">Note: DAFF export sample weight collected is 375 ± 37.5 g, hence, when using this method, a sub-sample needs to be prepared and analysed. </w:t>
      </w:r>
    </w:p>
    <w:p w14:paraId="7906F469" w14:textId="77777777" w:rsidR="00F03AAF" w:rsidRDefault="00F03AAF" w:rsidP="00F03AAF">
      <w:pPr>
        <w:pStyle w:val="Heading3"/>
      </w:pPr>
      <w:r>
        <w:t xml:space="preserve">Rapid Screening PCR for </w:t>
      </w:r>
      <w:proofErr w:type="spellStart"/>
      <w:r w:rsidRPr="00D57B09">
        <w:rPr>
          <w:i/>
          <w:iCs/>
        </w:rPr>
        <w:t>stx</w:t>
      </w:r>
      <w:proofErr w:type="spellEnd"/>
      <w:r>
        <w:t>/</w:t>
      </w:r>
      <w:r w:rsidRPr="00D57B09">
        <w:rPr>
          <w:i/>
          <w:iCs/>
        </w:rPr>
        <w:t>eae</w:t>
      </w:r>
      <w:r>
        <w:t xml:space="preserve"> and O-group</w:t>
      </w:r>
    </w:p>
    <w:p w14:paraId="1ADB6080" w14:textId="77777777" w:rsidR="00F03AAF" w:rsidRDefault="00F03AAF" w:rsidP="00F03AAF">
      <w:pPr>
        <w:pStyle w:val="Normal-para"/>
      </w:pPr>
      <w:r>
        <w:t xml:space="preserve">Samples are screened for the presence of </w:t>
      </w:r>
      <w:proofErr w:type="spellStart"/>
      <w:r w:rsidRPr="00D57B09">
        <w:rPr>
          <w:i/>
          <w:iCs/>
        </w:rPr>
        <w:t>stx</w:t>
      </w:r>
      <w:proofErr w:type="spellEnd"/>
      <w:r>
        <w:t xml:space="preserve"> and </w:t>
      </w:r>
      <w:r w:rsidRPr="00D57B09">
        <w:rPr>
          <w:i/>
          <w:iCs/>
        </w:rPr>
        <w:t>eae</w:t>
      </w:r>
      <w:r>
        <w:t xml:space="preserve"> using </w:t>
      </w:r>
      <w:proofErr w:type="spellStart"/>
      <w:r>
        <w:t>iQ</w:t>
      </w:r>
      <w:proofErr w:type="spellEnd"/>
      <w:r>
        <w:t>-Check STEC VirX PCR assays follow</w:t>
      </w:r>
      <w:r w:rsidR="002173EC">
        <w:t>ing</w:t>
      </w:r>
      <w:r>
        <w:t xml:space="preserve"> the Bio-Rad User’s guide </w:t>
      </w:r>
      <w:r w:rsidR="002173EC">
        <w:t>(</w:t>
      </w:r>
      <w:r>
        <w:t xml:space="preserve">the real-time PCR described in MLG 5C Appendices 3, 4 &amp; 5 is an alternative procedure).  Samples negative for </w:t>
      </w:r>
      <w:proofErr w:type="spellStart"/>
      <w:r w:rsidRPr="00D57B09">
        <w:rPr>
          <w:i/>
          <w:iCs/>
        </w:rPr>
        <w:t>stx</w:t>
      </w:r>
      <w:proofErr w:type="spellEnd"/>
      <w:r>
        <w:t xml:space="preserve"> and/or </w:t>
      </w:r>
      <w:r w:rsidRPr="00D57B09">
        <w:rPr>
          <w:i/>
          <w:iCs/>
        </w:rPr>
        <w:t>eae</w:t>
      </w:r>
      <w:r>
        <w:t xml:space="preserve"> targets are considered negative for top 7 STEC. Samples that test positive will be further analysed by </w:t>
      </w:r>
      <w:proofErr w:type="spellStart"/>
      <w:r>
        <w:t>iQ</w:t>
      </w:r>
      <w:proofErr w:type="spellEnd"/>
      <w:r>
        <w:t>-Check STEC SerO test PCR to determine if a top 7 serogroup (O157, O26, O45, O103, O111, O121 or O145) is present.  Sample</w:t>
      </w:r>
      <w:r w:rsidR="002173EC">
        <w:t>s</w:t>
      </w:r>
      <w:r>
        <w:t xml:space="preserve"> negative for these serogroups </w:t>
      </w:r>
      <w:r w:rsidR="002173EC">
        <w:t>are</w:t>
      </w:r>
      <w:r>
        <w:t xml:space="preserve"> considered negative for STEC. </w:t>
      </w:r>
      <w:r w:rsidR="002173EC">
        <w:t>A p</w:t>
      </w:r>
      <w:r>
        <w:t xml:space="preserve">ositive result for </w:t>
      </w:r>
      <w:proofErr w:type="spellStart"/>
      <w:r w:rsidRPr="00D57B09">
        <w:rPr>
          <w:i/>
          <w:iCs/>
        </w:rPr>
        <w:t>stx</w:t>
      </w:r>
      <w:proofErr w:type="spellEnd"/>
      <w:r>
        <w:t>/</w:t>
      </w:r>
      <w:r w:rsidRPr="00D57B09">
        <w:rPr>
          <w:i/>
          <w:iCs/>
        </w:rPr>
        <w:t>eae</w:t>
      </w:r>
      <w:r>
        <w:t xml:space="preserve"> and O group is defined as potential positive.</w:t>
      </w:r>
    </w:p>
    <w:p w14:paraId="6D11C7D1" w14:textId="77777777" w:rsidR="00F03AAF" w:rsidRDefault="00F03AAF" w:rsidP="00F03AAF">
      <w:pPr>
        <w:pStyle w:val="Heading3"/>
      </w:pPr>
      <w:r>
        <w:t xml:space="preserve">Isolation </w:t>
      </w:r>
      <w:r w:rsidR="000C4869">
        <w:t>and</w:t>
      </w:r>
      <w:r>
        <w:t xml:space="preserve"> Identification</w:t>
      </w:r>
    </w:p>
    <w:p w14:paraId="5E2B9B67" w14:textId="77777777" w:rsidR="00F03AAF" w:rsidRPr="004E2EE7" w:rsidRDefault="00F03AAF" w:rsidP="00F03AAF">
      <w:pPr>
        <w:pStyle w:val="Normal-para"/>
        <w:rPr>
          <w:b/>
          <w:bCs/>
          <w:i/>
          <w:iCs/>
        </w:rPr>
      </w:pPr>
      <w:r w:rsidRPr="004E2EE7">
        <w:rPr>
          <w:b/>
          <w:bCs/>
          <w:i/>
          <w:iCs/>
        </w:rPr>
        <w:t xml:space="preserve">Immunomagnetic </w:t>
      </w:r>
      <w:r w:rsidR="002173EC">
        <w:rPr>
          <w:b/>
          <w:bCs/>
          <w:i/>
          <w:iCs/>
        </w:rPr>
        <w:t>s</w:t>
      </w:r>
      <w:r w:rsidRPr="004E2EE7">
        <w:rPr>
          <w:b/>
          <w:bCs/>
          <w:i/>
          <w:iCs/>
        </w:rPr>
        <w:t xml:space="preserve">eparation (IMS) and steaking onto </w:t>
      </w:r>
      <w:proofErr w:type="spellStart"/>
      <w:r w:rsidRPr="004E2EE7">
        <w:rPr>
          <w:b/>
          <w:bCs/>
          <w:i/>
          <w:iCs/>
        </w:rPr>
        <w:t>mRBA</w:t>
      </w:r>
      <w:proofErr w:type="spellEnd"/>
    </w:p>
    <w:p w14:paraId="49F5AFA2" w14:textId="77777777" w:rsidR="00F03AAF" w:rsidRDefault="00F03AAF" w:rsidP="00F03AAF">
      <w:pPr>
        <w:pStyle w:val="Normal-para"/>
      </w:pPr>
      <w:r>
        <w:t xml:space="preserve">Samples positive by the screening test are potential positives. Isolation of top 7 STEC is carried out using an </w:t>
      </w:r>
      <w:r w:rsidR="00000878">
        <w:t>IMS</w:t>
      </w:r>
      <w:r>
        <w:t xml:space="preserve"> procedure (following the FSIS protocol). IMS beads shall be used for the specific serogroup identified by the serogroup PCR. After IMS, beads with adhering bacteria are diluted 1:10 and 1:100 and plated onto </w:t>
      </w:r>
      <w:proofErr w:type="spellStart"/>
      <w:r>
        <w:t>mRBA</w:t>
      </w:r>
      <w:proofErr w:type="spellEnd"/>
      <w:r>
        <w:t xml:space="preserve">. A portion of the enrichment broth is acid treated for one hour at pH 2 to 2.5. The acid treated sample is diluted 1:1 and 1:10 with E-buffer and </w:t>
      </w:r>
      <w:proofErr w:type="spellStart"/>
      <w:r>
        <w:t>subcultured</w:t>
      </w:r>
      <w:proofErr w:type="spellEnd"/>
      <w:r>
        <w:t xml:space="preserve"> onto </w:t>
      </w:r>
      <w:proofErr w:type="spellStart"/>
      <w:r>
        <w:t>mRBA</w:t>
      </w:r>
      <w:proofErr w:type="spellEnd"/>
      <w:r>
        <w:t xml:space="preserve">. All four plates are incubated at 35 ± 2 </w:t>
      </w:r>
      <w:r w:rsidR="001138B1">
        <w:t>°</w:t>
      </w:r>
      <w:r>
        <w:t xml:space="preserve">C for 20-24 h. </w:t>
      </w:r>
    </w:p>
    <w:p w14:paraId="715FC54C" w14:textId="77777777" w:rsidR="00F03AAF" w:rsidRPr="004E2EE7" w:rsidRDefault="00F03AAF" w:rsidP="00F03AAF">
      <w:pPr>
        <w:pStyle w:val="Normal-para"/>
        <w:rPr>
          <w:b/>
          <w:bCs/>
          <w:i/>
          <w:iCs/>
        </w:rPr>
      </w:pPr>
      <w:r w:rsidRPr="004E2EE7">
        <w:rPr>
          <w:b/>
          <w:bCs/>
          <w:i/>
          <w:iCs/>
        </w:rPr>
        <w:t xml:space="preserve">Examination of </w:t>
      </w:r>
      <w:proofErr w:type="spellStart"/>
      <w:r w:rsidRPr="004E2EE7">
        <w:rPr>
          <w:b/>
          <w:bCs/>
          <w:i/>
          <w:iCs/>
        </w:rPr>
        <w:t>mRBA</w:t>
      </w:r>
      <w:proofErr w:type="spellEnd"/>
    </w:p>
    <w:p w14:paraId="0220E096" w14:textId="77777777" w:rsidR="00F03AAF" w:rsidRDefault="00F03AAF" w:rsidP="00F03AAF">
      <w:pPr>
        <w:pStyle w:val="Normal-para"/>
      </w:pPr>
      <w:r>
        <w:t xml:space="preserve">O157:H7 colonies typically have black or </w:t>
      </w:r>
      <w:r w:rsidR="001138B1">
        <w:t>grey</w:t>
      </w:r>
      <w:r>
        <w:t xml:space="preserve"> colouration. For all six non-O157, see MLG 5C Appendix 2 for colony characteristics.</w:t>
      </w:r>
    </w:p>
    <w:p w14:paraId="4254843A" w14:textId="77777777" w:rsidR="00F03AAF" w:rsidRDefault="00F03AAF" w:rsidP="00F03AAF">
      <w:pPr>
        <w:pStyle w:val="Normal-para"/>
      </w:pPr>
      <w:r>
        <w:t>Note: if O157 is also being detected</w:t>
      </w:r>
      <w:r w:rsidR="001138B1">
        <w:t>,</w:t>
      </w:r>
      <w:r>
        <w:t xml:space="preserve"> CT-SMAC in addition to </w:t>
      </w:r>
      <w:proofErr w:type="spellStart"/>
      <w:r>
        <w:t>mRBA</w:t>
      </w:r>
      <w:proofErr w:type="spellEnd"/>
      <w:r>
        <w:t xml:space="preserve"> must be used for confirmation</w:t>
      </w:r>
    </w:p>
    <w:p w14:paraId="3F618595" w14:textId="77777777" w:rsidR="00F03AAF" w:rsidRPr="00F03AAF" w:rsidRDefault="00F03AAF" w:rsidP="00F03AAF">
      <w:pPr>
        <w:pStyle w:val="Normal-para"/>
        <w:rPr>
          <w:b/>
          <w:bCs/>
        </w:rPr>
      </w:pPr>
      <w:r>
        <w:t xml:space="preserve">Colonies are picked from all plates and tested for agglutination with O antiserum (at this stage the target O group should be known). At least one colony of each morphological type on each plate is tested using latex. Samples that have no growth on </w:t>
      </w:r>
      <w:proofErr w:type="spellStart"/>
      <w:r>
        <w:t>mRBA</w:t>
      </w:r>
      <w:proofErr w:type="spellEnd"/>
      <w:r>
        <w:t xml:space="preserve"> or colonies</w:t>
      </w:r>
      <w:r w:rsidR="00DA6461">
        <w:t xml:space="preserve"> that</w:t>
      </w:r>
      <w:r>
        <w:t xml:space="preserve"> are agglutination negative are reported as negative for STEC. </w:t>
      </w:r>
      <w:r w:rsidRPr="00F03AAF">
        <w:t>An optional PCR assay may be performed at this stage to ver</w:t>
      </w:r>
      <w:r w:rsidR="007E6C17">
        <w:t>if</w:t>
      </w:r>
      <w:r w:rsidRPr="00F03AAF">
        <w:t>y the sample is presumptive positive.</w:t>
      </w:r>
    </w:p>
    <w:p w14:paraId="1B4E6DD0" w14:textId="77777777" w:rsidR="00F03AAF" w:rsidRDefault="00F03AAF" w:rsidP="00F03AAF">
      <w:pPr>
        <w:pStyle w:val="Heading3"/>
      </w:pPr>
      <w:r>
        <w:t>Confirmation</w:t>
      </w:r>
    </w:p>
    <w:p w14:paraId="2FF2817D" w14:textId="77777777" w:rsidR="00F44219" w:rsidRDefault="00F03AAF" w:rsidP="00F03AAF">
      <w:pPr>
        <w:pStyle w:val="Normal-para"/>
        <w:sectPr w:rsidR="00F44219">
          <w:headerReference w:type="default" r:id="rId11"/>
          <w:footerReference w:type="default" r:id="rId12"/>
          <w:pgSz w:w="11906" w:h="16838" w:code="9"/>
          <w:pgMar w:top="1531" w:right="1134" w:bottom="794" w:left="1701" w:header="709" w:footer="397" w:gutter="0"/>
          <w:cols w:space="708"/>
          <w:docGrid w:linePitch="360"/>
        </w:sectPr>
      </w:pPr>
      <w:r>
        <w:t xml:space="preserve">Colonies are to be steaked on SBA for confirmation including a positive control of interest. Perform biochemical identification using VITEK 2 GN card or equivalent to identify </w:t>
      </w:r>
      <w:r w:rsidRPr="00D57B09">
        <w:rPr>
          <w:i/>
          <w:iCs/>
        </w:rPr>
        <w:t>E. coli</w:t>
      </w:r>
      <w:r>
        <w:t>. Perform serological agglutination to confirm O antigens</w:t>
      </w:r>
      <w:r w:rsidR="007E6C17">
        <w:t>.</w:t>
      </w:r>
      <w:r>
        <w:t xml:space="preserve"> Latex positive colonies are confirmed by the </w:t>
      </w:r>
      <w:proofErr w:type="spellStart"/>
      <w:r>
        <w:t>iQ</w:t>
      </w:r>
      <w:proofErr w:type="spellEnd"/>
      <w:r>
        <w:t xml:space="preserve">-Check STEC VirX </w:t>
      </w:r>
      <w:proofErr w:type="spellStart"/>
      <w:r w:rsidRPr="00D57B09">
        <w:rPr>
          <w:i/>
          <w:iCs/>
        </w:rPr>
        <w:t>stx</w:t>
      </w:r>
      <w:proofErr w:type="spellEnd"/>
      <w:r>
        <w:t>/</w:t>
      </w:r>
      <w:r w:rsidRPr="00D57B09">
        <w:rPr>
          <w:i/>
          <w:iCs/>
        </w:rPr>
        <w:t>eae</w:t>
      </w:r>
      <w:r>
        <w:t xml:space="preserve"> screening assay and STECs are confirmed by </w:t>
      </w:r>
      <w:proofErr w:type="spellStart"/>
      <w:r>
        <w:t>iQ</w:t>
      </w:r>
      <w:proofErr w:type="spellEnd"/>
      <w:r>
        <w:t>-Check STEC SerO Assay.</w:t>
      </w:r>
    </w:p>
    <w:p w14:paraId="1AEF0B19" w14:textId="77777777" w:rsidR="00160D16" w:rsidRDefault="00160D16" w:rsidP="00160D16">
      <w:pPr>
        <w:rPr>
          <w:rFonts w:cs="Arial"/>
          <w:b/>
        </w:rPr>
      </w:pPr>
      <w:r>
        <w:rPr>
          <w:rFonts w:cs="Arial"/>
          <w:b/>
        </w:rPr>
        <w:lastRenderedPageBreak/>
        <w:t>CHECKLIST</w:t>
      </w:r>
    </w:p>
    <w:tbl>
      <w:tblPr>
        <w:tblW w:w="9180" w:type="dxa"/>
        <w:tblInd w:w="108" w:type="dxa"/>
        <w:tblLook w:val="01E0" w:firstRow="1" w:lastRow="1" w:firstColumn="1" w:lastColumn="1" w:noHBand="0" w:noVBand="0"/>
      </w:tblPr>
      <w:tblGrid>
        <w:gridCol w:w="1800"/>
        <w:gridCol w:w="5040"/>
        <w:gridCol w:w="2340"/>
      </w:tblGrid>
      <w:tr w:rsidR="00160D16" w:rsidRPr="00735C73" w14:paraId="2CAC2826" w14:textId="77777777" w:rsidTr="00160D16">
        <w:tc>
          <w:tcPr>
            <w:tcW w:w="1800" w:type="dxa"/>
            <w:tcBorders>
              <w:top w:val="single" w:sz="4" w:space="0" w:color="auto"/>
            </w:tcBorders>
          </w:tcPr>
          <w:p w14:paraId="5F89705B" w14:textId="77777777" w:rsidR="00160D16" w:rsidRPr="00735C73" w:rsidRDefault="00160D16" w:rsidP="007E296B">
            <w:pPr>
              <w:pStyle w:val="TableHeading"/>
              <w:spacing w:before="60" w:after="60"/>
            </w:pPr>
            <w:r w:rsidRPr="00735C73">
              <w:t>Enrichment</w:t>
            </w:r>
          </w:p>
        </w:tc>
        <w:tc>
          <w:tcPr>
            <w:tcW w:w="5040" w:type="dxa"/>
            <w:tcBorders>
              <w:top w:val="single" w:sz="4" w:space="0" w:color="auto"/>
            </w:tcBorders>
          </w:tcPr>
          <w:p w14:paraId="36A84EB1" w14:textId="77777777" w:rsidR="00160D16" w:rsidRPr="00070173" w:rsidRDefault="00160D16" w:rsidP="007E296B">
            <w:pPr>
              <w:pStyle w:val="TableBody"/>
              <w:spacing w:before="60" w:after="60"/>
            </w:pPr>
            <w:r w:rsidRPr="00070173">
              <w:t xml:space="preserve">Is the sample enriched in </w:t>
            </w:r>
            <w:r w:rsidR="00731F0A" w:rsidRPr="00070173">
              <w:t>mTSB?</w:t>
            </w:r>
          </w:p>
        </w:tc>
        <w:tc>
          <w:tcPr>
            <w:tcW w:w="2340" w:type="dxa"/>
            <w:tcBorders>
              <w:top w:val="single" w:sz="4" w:space="0" w:color="auto"/>
            </w:tcBorders>
            <w:vAlign w:val="center"/>
          </w:tcPr>
          <w:p w14:paraId="71DFAAE6"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17C6D05F" w14:textId="77777777" w:rsidTr="00160D16">
        <w:tc>
          <w:tcPr>
            <w:tcW w:w="1800" w:type="dxa"/>
          </w:tcPr>
          <w:p w14:paraId="638D178A" w14:textId="77777777" w:rsidR="00160D16" w:rsidRPr="00735C73" w:rsidRDefault="00160D16" w:rsidP="007E296B">
            <w:pPr>
              <w:pStyle w:val="TableHeading"/>
              <w:spacing w:before="60" w:after="60"/>
            </w:pPr>
          </w:p>
        </w:tc>
        <w:tc>
          <w:tcPr>
            <w:tcW w:w="5040" w:type="dxa"/>
          </w:tcPr>
          <w:p w14:paraId="36CCEBE4" w14:textId="77777777" w:rsidR="00160D16" w:rsidRPr="00070173" w:rsidRDefault="00160D16" w:rsidP="007E296B">
            <w:pPr>
              <w:pStyle w:val="TableBody"/>
              <w:spacing w:before="60" w:after="60"/>
            </w:pPr>
            <w:r w:rsidRPr="00070173">
              <w:t xml:space="preserve">Is enrichment carried out at 42 ± 1 </w:t>
            </w:r>
            <w:r w:rsidRPr="00070173">
              <w:sym w:font="Symbol" w:char="F0B0"/>
            </w:r>
            <w:r w:rsidRPr="00070173">
              <w:t>C for 15-24 h?</w:t>
            </w:r>
          </w:p>
        </w:tc>
        <w:tc>
          <w:tcPr>
            <w:tcW w:w="2340" w:type="dxa"/>
            <w:vAlign w:val="bottom"/>
          </w:tcPr>
          <w:p w14:paraId="6E824CBD" w14:textId="77777777" w:rsidR="00160D16" w:rsidRPr="00735C73" w:rsidRDefault="00160D16" w:rsidP="007E296B">
            <w:pPr>
              <w:tabs>
                <w:tab w:val="left" w:pos="1962"/>
              </w:tabs>
              <w:spacing w:before="60" w:after="60"/>
              <w:ind w:left="72"/>
              <w:rPr>
                <w:u w:val="single"/>
              </w:rPr>
            </w:pPr>
            <w:r w:rsidRPr="00735C73">
              <w:rPr>
                <w:u w:val="single"/>
              </w:rPr>
              <w:tab/>
            </w:r>
          </w:p>
        </w:tc>
      </w:tr>
      <w:tr w:rsidR="00A005F9" w:rsidRPr="00735C73" w14:paraId="0C41D4F2" w14:textId="77777777" w:rsidTr="00160D16">
        <w:tc>
          <w:tcPr>
            <w:tcW w:w="1800" w:type="dxa"/>
          </w:tcPr>
          <w:p w14:paraId="41347A98" w14:textId="77777777" w:rsidR="00A005F9" w:rsidRPr="00735C73" w:rsidRDefault="00A005F9" w:rsidP="007E296B">
            <w:pPr>
              <w:pStyle w:val="TableHeading"/>
              <w:spacing w:before="60" w:after="60"/>
            </w:pPr>
          </w:p>
        </w:tc>
        <w:tc>
          <w:tcPr>
            <w:tcW w:w="5040" w:type="dxa"/>
          </w:tcPr>
          <w:p w14:paraId="154FE7E5" w14:textId="77777777" w:rsidR="00A005F9" w:rsidRPr="00070173" w:rsidRDefault="00A005F9" w:rsidP="00A005F9">
            <w:pPr>
              <w:pStyle w:val="TableBody"/>
              <w:spacing w:before="60" w:after="60"/>
            </w:pPr>
            <w:r>
              <w:t>Is the correct amount of enrichment broth used (i.e. 975 ±19.5 mL of mTSB for 325 ± 32.5 g sample)?</w:t>
            </w:r>
          </w:p>
        </w:tc>
        <w:tc>
          <w:tcPr>
            <w:tcW w:w="2340" w:type="dxa"/>
            <w:vAlign w:val="bottom"/>
          </w:tcPr>
          <w:p w14:paraId="35800B64" w14:textId="77777777" w:rsidR="00A005F9" w:rsidRPr="00735C73" w:rsidRDefault="00A005F9" w:rsidP="007E296B">
            <w:pPr>
              <w:tabs>
                <w:tab w:val="left" w:pos="1962"/>
              </w:tabs>
              <w:spacing w:before="60" w:after="60"/>
              <w:ind w:left="72"/>
              <w:rPr>
                <w:u w:val="single"/>
              </w:rPr>
            </w:pPr>
          </w:p>
        </w:tc>
      </w:tr>
      <w:tr w:rsidR="00A005F9" w:rsidRPr="00735C73" w14:paraId="4DD51DB2" w14:textId="77777777" w:rsidTr="00160D16">
        <w:tc>
          <w:tcPr>
            <w:tcW w:w="1800" w:type="dxa"/>
          </w:tcPr>
          <w:p w14:paraId="549304AE" w14:textId="77777777" w:rsidR="00A005F9" w:rsidRPr="00735C73" w:rsidRDefault="00A005F9" w:rsidP="007E296B">
            <w:pPr>
              <w:pStyle w:val="TableHeading"/>
              <w:spacing w:before="60" w:after="60"/>
            </w:pPr>
          </w:p>
        </w:tc>
        <w:tc>
          <w:tcPr>
            <w:tcW w:w="5040" w:type="dxa"/>
          </w:tcPr>
          <w:p w14:paraId="27276CF7" w14:textId="77777777" w:rsidR="00A005F9" w:rsidRDefault="00A005F9" w:rsidP="00A005F9">
            <w:pPr>
              <w:pStyle w:val="TableBody"/>
              <w:spacing w:before="60" w:after="60"/>
            </w:pPr>
            <w:r w:rsidRPr="00A005F9">
              <w:t>Is a sub-sample processed and enriched at 1:4 dilution (i.e. one portion of meat in three portion of broth)?</w:t>
            </w:r>
          </w:p>
        </w:tc>
        <w:tc>
          <w:tcPr>
            <w:tcW w:w="2340" w:type="dxa"/>
            <w:vAlign w:val="bottom"/>
          </w:tcPr>
          <w:p w14:paraId="2E8C0CD5" w14:textId="77777777" w:rsidR="00A005F9" w:rsidRPr="00735C73" w:rsidRDefault="00A005F9" w:rsidP="007E296B">
            <w:pPr>
              <w:tabs>
                <w:tab w:val="left" w:pos="1962"/>
              </w:tabs>
              <w:spacing w:before="60" w:after="60"/>
              <w:ind w:left="72"/>
              <w:rPr>
                <w:u w:val="single"/>
              </w:rPr>
            </w:pPr>
          </w:p>
        </w:tc>
      </w:tr>
      <w:tr w:rsidR="00160D16" w:rsidRPr="00735C73" w14:paraId="372A6B26" w14:textId="77777777" w:rsidTr="00160D16">
        <w:tc>
          <w:tcPr>
            <w:tcW w:w="1800" w:type="dxa"/>
          </w:tcPr>
          <w:p w14:paraId="03E11919" w14:textId="77777777" w:rsidR="00160D16" w:rsidRPr="00735C73" w:rsidRDefault="00160D16" w:rsidP="007E296B">
            <w:pPr>
              <w:pStyle w:val="TableHeading"/>
              <w:spacing w:before="60" w:after="60"/>
            </w:pPr>
          </w:p>
        </w:tc>
        <w:tc>
          <w:tcPr>
            <w:tcW w:w="5040" w:type="dxa"/>
          </w:tcPr>
          <w:p w14:paraId="6D8C88FB" w14:textId="77777777" w:rsidR="00160D16" w:rsidRPr="00070173" w:rsidRDefault="007E6C17" w:rsidP="007E296B">
            <w:pPr>
              <w:pStyle w:val="TableBody"/>
              <w:spacing w:before="60" w:after="60"/>
            </w:pPr>
            <w:r>
              <w:t>Are</w:t>
            </w:r>
            <w:r w:rsidR="00160D16" w:rsidRPr="00070173">
              <w:t xml:space="preserve"> a positive control</w:t>
            </w:r>
            <w:r w:rsidR="00980858" w:rsidRPr="00070173">
              <w:t xml:space="preserve"> and a blank</w:t>
            </w:r>
            <w:r w:rsidR="00160D16" w:rsidRPr="00070173">
              <w:t xml:space="preserve"> run with each batch of samples analysed?   </w:t>
            </w:r>
          </w:p>
        </w:tc>
        <w:tc>
          <w:tcPr>
            <w:tcW w:w="2340" w:type="dxa"/>
            <w:vAlign w:val="center"/>
          </w:tcPr>
          <w:p w14:paraId="436FE82A"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17296F63" w14:textId="77777777" w:rsidTr="00160D16">
        <w:tc>
          <w:tcPr>
            <w:tcW w:w="1800" w:type="dxa"/>
          </w:tcPr>
          <w:p w14:paraId="715D6D1D" w14:textId="77777777" w:rsidR="00160D16" w:rsidRPr="00735C73" w:rsidRDefault="00160D16" w:rsidP="007E296B">
            <w:pPr>
              <w:pStyle w:val="TableHeading"/>
              <w:spacing w:before="60" w:after="60"/>
            </w:pPr>
          </w:p>
        </w:tc>
        <w:tc>
          <w:tcPr>
            <w:tcW w:w="5040" w:type="dxa"/>
          </w:tcPr>
          <w:p w14:paraId="282FE959" w14:textId="77777777" w:rsidR="00160D16" w:rsidRPr="00070173" w:rsidRDefault="00160D16" w:rsidP="007E296B">
            <w:pPr>
              <w:pStyle w:val="TableBody"/>
              <w:spacing w:before="60" w:after="60"/>
            </w:pPr>
            <w:r w:rsidRPr="00070173">
              <w:t>Are control cultures inoculated into enrichment broth at a level of 10 to 100 cells?</w:t>
            </w:r>
          </w:p>
        </w:tc>
        <w:tc>
          <w:tcPr>
            <w:tcW w:w="2340" w:type="dxa"/>
            <w:vAlign w:val="center"/>
          </w:tcPr>
          <w:p w14:paraId="5117BFE4"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2F6E6550" w14:textId="77777777" w:rsidTr="00160D16">
        <w:tc>
          <w:tcPr>
            <w:tcW w:w="1800" w:type="dxa"/>
          </w:tcPr>
          <w:p w14:paraId="2BA2EF79" w14:textId="77777777" w:rsidR="00160D16" w:rsidRPr="00735C73" w:rsidRDefault="00160D16" w:rsidP="007E296B">
            <w:pPr>
              <w:pStyle w:val="TableHeading"/>
              <w:spacing w:before="60" w:after="60"/>
            </w:pPr>
            <w:r w:rsidRPr="00735C73">
              <w:t>Screening</w:t>
            </w:r>
          </w:p>
        </w:tc>
        <w:tc>
          <w:tcPr>
            <w:tcW w:w="5040" w:type="dxa"/>
          </w:tcPr>
          <w:p w14:paraId="24C9CBE0" w14:textId="77777777" w:rsidR="00160D16" w:rsidRPr="00070173" w:rsidRDefault="00160D16" w:rsidP="007E296B">
            <w:pPr>
              <w:pStyle w:val="TableBody"/>
              <w:spacing w:before="60" w:after="60"/>
            </w:pPr>
            <w:r w:rsidRPr="00070173">
              <w:t xml:space="preserve">Is screening for </w:t>
            </w:r>
            <w:proofErr w:type="spellStart"/>
            <w:r w:rsidRPr="00070173">
              <w:rPr>
                <w:i/>
              </w:rPr>
              <w:t>stx</w:t>
            </w:r>
            <w:proofErr w:type="spellEnd"/>
            <w:r w:rsidRPr="00070173">
              <w:t xml:space="preserve"> and </w:t>
            </w:r>
            <w:r w:rsidRPr="00070173">
              <w:rPr>
                <w:i/>
              </w:rPr>
              <w:t>eae</w:t>
            </w:r>
            <w:r w:rsidRPr="00070173">
              <w:t xml:space="preserve"> undertaken using </w:t>
            </w:r>
            <w:proofErr w:type="spellStart"/>
            <w:r w:rsidR="00070173" w:rsidRPr="00070173">
              <w:t>iQ</w:t>
            </w:r>
            <w:proofErr w:type="spellEnd"/>
            <w:r w:rsidR="00070173" w:rsidRPr="00070173">
              <w:t>-Check STEC VirX PCR assay</w:t>
            </w:r>
            <w:r w:rsidRPr="00070173">
              <w:t>?</w:t>
            </w:r>
          </w:p>
        </w:tc>
        <w:tc>
          <w:tcPr>
            <w:tcW w:w="2340" w:type="dxa"/>
          </w:tcPr>
          <w:p w14:paraId="6C9F1ED3"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01F9548E" w14:textId="77777777" w:rsidTr="00160D16">
        <w:tc>
          <w:tcPr>
            <w:tcW w:w="1800" w:type="dxa"/>
          </w:tcPr>
          <w:p w14:paraId="39316DD4" w14:textId="77777777" w:rsidR="00160D16" w:rsidRPr="00735C73" w:rsidRDefault="00160D16" w:rsidP="007E296B">
            <w:pPr>
              <w:pStyle w:val="TableHeading"/>
              <w:spacing w:before="60" w:after="60"/>
            </w:pPr>
          </w:p>
        </w:tc>
        <w:tc>
          <w:tcPr>
            <w:tcW w:w="5040" w:type="dxa"/>
          </w:tcPr>
          <w:p w14:paraId="384F2799" w14:textId="77777777" w:rsidR="00160D16" w:rsidRPr="00070173" w:rsidRDefault="00160D16" w:rsidP="007E296B">
            <w:pPr>
              <w:pStyle w:val="TableBody"/>
              <w:spacing w:before="60" w:after="60"/>
            </w:pPr>
            <w:r w:rsidRPr="00070173">
              <w:t>Is analysis for serogroup specific genes carried out using</w:t>
            </w:r>
            <w:r w:rsidR="000E1F4C" w:rsidRPr="00070173">
              <w:t xml:space="preserve"> </w:t>
            </w:r>
            <w:proofErr w:type="spellStart"/>
            <w:r w:rsidR="00070173" w:rsidRPr="00070173">
              <w:t>iQ</w:t>
            </w:r>
            <w:proofErr w:type="spellEnd"/>
            <w:r w:rsidR="00070173" w:rsidRPr="00070173">
              <w:t>-Check STEC SerO PCR assay</w:t>
            </w:r>
            <w:r w:rsidR="000E1F4C" w:rsidRPr="00070173">
              <w:t>?</w:t>
            </w:r>
          </w:p>
        </w:tc>
        <w:tc>
          <w:tcPr>
            <w:tcW w:w="2340" w:type="dxa"/>
          </w:tcPr>
          <w:p w14:paraId="4FAEDA4B"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4094036A" w14:textId="77777777" w:rsidTr="00160D16">
        <w:tc>
          <w:tcPr>
            <w:tcW w:w="1800" w:type="dxa"/>
          </w:tcPr>
          <w:p w14:paraId="552D6EE0" w14:textId="77777777" w:rsidR="00160D16" w:rsidRPr="00735C73" w:rsidRDefault="00160D16" w:rsidP="007E296B">
            <w:pPr>
              <w:pStyle w:val="TableHeading"/>
              <w:spacing w:before="60" w:after="60"/>
            </w:pPr>
          </w:p>
        </w:tc>
        <w:tc>
          <w:tcPr>
            <w:tcW w:w="5040" w:type="dxa"/>
          </w:tcPr>
          <w:p w14:paraId="4B03766C" w14:textId="77777777" w:rsidR="00160D16" w:rsidRPr="00070173" w:rsidRDefault="00980858" w:rsidP="000E1F4C">
            <w:pPr>
              <w:pStyle w:val="TableBody"/>
              <w:spacing w:before="60" w:after="60"/>
              <w:ind w:left="0"/>
            </w:pPr>
            <w:r w:rsidRPr="00070173">
              <w:t>Is a cocktail of top seven STEC cultures run with each PCR?</w:t>
            </w:r>
          </w:p>
        </w:tc>
        <w:tc>
          <w:tcPr>
            <w:tcW w:w="2340" w:type="dxa"/>
          </w:tcPr>
          <w:p w14:paraId="5EE2DF0E"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7649DE9A" w14:textId="77777777" w:rsidTr="00160D16">
        <w:tc>
          <w:tcPr>
            <w:tcW w:w="1800" w:type="dxa"/>
          </w:tcPr>
          <w:p w14:paraId="0953BF7F" w14:textId="77777777" w:rsidR="00160D16" w:rsidRPr="00735C73" w:rsidRDefault="00160D16" w:rsidP="007E296B">
            <w:pPr>
              <w:pStyle w:val="TableHeading"/>
              <w:spacing w:before="60" w:after="60"/>
            </w:pPr>
            <w:r w:rsidRPr="00735C73">
              <w:t>IMS</w:t>
            </w:r>
          </w:p>
        </w:tc>
        <w:tc>
          <w:tcPr>
            <w:tcW w:w="5040" w:type="dxa"/>
          </w:tcPr>
          <w:p w14:paraId="6CE61146" w14:textId="77777777" w:rsidR="00160D16" w:rsidRPr="00070173" w:rsidRDefault="00160D16" w:rsidP="007E296B">
            <w:pPr>
              <w:pStyle w:val="TableBody"/>
              <w:spacing w:before="60" w:after="60"/>
            </w:pPr>
            <w:r w:rsidRPr="00070173">
              <w:t>Is IMS used following the FSIS protocol (are all serogroups able to be captured)?</w:t>
            </w:r>
          </w:p>
        </w:tc>
        <w:tc>
          <w:tcPr>
            <w:tcW w:w="2340" w:type="dxa"/>
            <w:vAlign w:val="center"/>
          </w:tcPr>
          <w:p w14:paraId="513195BA"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12DBCDDE" w14:textId="77777777" w:rsidTr="00160D16">
        <w:tc>
          <w:tcPr>
            <w:tcW w:w="1800" w:type="dxa"/>
          </w:tcPr>
          <w:p w14:paraId="0AEDB894" w14:textId="77777777" w:rsidR="00160D16" w:rsidRPr="00735C73" w:rsidRDefault="00160D16" w:rsidP="007E296B">
            <w:pPr>
              <w:pStyle w:val="TableHeading"/>
              <w:spacing w:before="60" w:after="60"/>
            </w:pPr>
          </w:p>
        </w:tc>
        <w:tc>
          <w:tcPr>
            <w:tcW w:w="5040" w:type="dxa"/>
          </w:tcPr>
          <w:p w14:paraId="5CCEB857" w14:textId="77777777" w:rsidR="00160D16" w:rsidRPr="00735C73" w:rsidRDefault="00160D16" w:rsidP="007E296B">
            <w:pPr>
              <w:pStyle w:val="TableBody"/>
              <w:spacing w:before="60" w:after="60"/>
            </w:pPr>
            <w:r w:rsidRPr="00735C73">
              <w:t xml:space="preserve">What volume of immunomagnetic beads is used for </w:t>
            </w:r>
            <w:r w:rsidR="007E6C17">
              <w:t xml:space="preserve">the </w:t>
            </w:r>
            <w:r w:rsidRPr="00735C73">
              <w:t>IMS process?</w:t>
            </w:r>
          </w:p>
        </w:tc>
        <w:tc>
          <w:tcPr>
            <w:tcW w:w="2340" w:type="dxa"/>
            <w:vAlign w:val="center"/>
          </w:tcPr>
          <w:p w14:paraId="0182D2C0"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31FAFBA1" w14:textId="77777777" w:rsidTr="00160D16">
        <w:tc>
          <w:tcPr>
            <w:tcW w:w="1800" w:type="dxa"/>
          </w:tcPr>
          <w:p w14:paraId="15758762" w14:textId="77777777" w:rsidR="00160D16" w:rsidRPr="00735C73" w:rsidRDefault="00160D16" w:rsidP="007E296B">
            <w:pPr>
              <w:pStyle w:val="TableHeading"/>
              <w:spacing w:before="60" w:after="60"/>
            </w:pPr>
          </w:p>
        </w:tc>
        <w:tc>
          <w:tcPr>
            <w:tcW w:w="5040" w:type="dxa"/>
          </w:tcPr>
          <w:p w14:paraId="58D76F63" w14:textId="77777777" w:rsidR="00160D16" w:rsidRPr="00735C73" w:rsidRDefault="00160D16" w:rsidP="007E296B">
            <w:pPr>
              <w:pStyle w:val="TableBody"/>
              <w:spacing w:before="60" w:after="60"/>
            </w:pPr>
            <w:r w:rsidRPr="00735C73">
              <w:t>Are IMS beads acid treated (pH 2 – 2.5) for one hour?</w:t>
            </w:r>
          </w:p>
        </w:tc>
        <w:tc>
          <w:tcPr>
            <w:tcW w:w="2340" w:type="dxa"/>
            <w:vAlign w:val="center"/>
          </w:tcPr>
          <w:p w14:paraId="5BD914AC"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694BBF37" w14:textId="77777777" w:rsidTr="00160D16">
        <w:tc>
          <w:tcPr>
            <w:tcW w:w="1800" w:type="dxa"/>
          </w:tcPr>
          <w:p w14:paraId="04940D9C" w14:textId="77777777" w:rsidR="00160D16" w:rsidRPr="00735C73" w:rsidRDefault="00160D16" w:rsidP="007E296B">
            <w:pPr>
              <w:pStyle w:val="TableHeading"/>
              <w:spacing w:before="60" w:after="60"/>
            </w:pPr>
            <w:r w:rsidRPr="00735C73">
              <w:t>Isolation</w:t>
            </w:r>
          </w:p>
        </w:tc>
        <w:tc>
          <w:tcPr>
            <w:tcW w:w="5040" w:type="dxa"/>
          </w:tcPr>
          <w:p w14:paraId="3EDABD0A" w14:textId="77777777" w:rsidR="00160D16" w:rsidRPr="00735C73" w:rsidRDefault="00160D16" w:rsidP="007E296B">
            <w:pPr>
              <w:pStyle w:val="TableBody"/>
              <w:spacing w:before="60" w:after="60"/>
            </w:pPr>
            <w:r w:rsidRPr="00735C73">
              <w:t>Are IMS samples diluted according to the FSIS protocol?</w:t>
            </w:r>
          </w:p>
        </w:tc>
        <w:tc>
          <w:tcPr>
            <w:tcW w:w="2340" w:type="dxa"/>
            <w:vAlign w:val="center"/>
          </w:tcPr>
          <w:p w14:paraId="6892F848"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14308FC0" w14:textId="77777777" w:rsidTr="00160D16">
        <w:tc>
          <w:tcPr>
            <w:tcW w:w="1800" w:type="dxa"/>
          </w:tcPr>
          <w:p w14:paraId="19F391C0" w14:textId="77777777" w:rsidR="00160D16" w:rsidRPr="00735C73" w:rsidRDefault="00160D16" w:rsidP="007E296B">
            <w:pPr>
              <w:pStyle w:val="TableHeading"/>
              <w:spacing w:before="60" w:after="60"/>
            </w:pPr>
          </w:p>
        </w:tc>
        <w:tc>
          <w:tcPr>
            <w:tcW w:w="5040" w:type="dxa"/>
          </w:tcPr>
          <w:p w14:paraId="302B3463" w14:textId="77777777" w:rsidR="00160D16" w:rsidRPr="00735C73" w:rsidRDefault="00160D16" w:rsidP="007E296B">
            <w:pPr>
              <w:pStyle w:val="TableBody"/>
              <w:spacing w:before="60" w:after="60"/>
            </w:pPr>
            <w:r w:rsidRPr="00735C73">
              <w:t xml:space="preserve">Are all diluted samples plated onto </w:t>
            </w:r>
            <w:proofErr w:type="spellStart"/>
            <w:r w:rsidRPr="00735C73">
              <w:t>mRBA</w:t>
            </w:r>
            <w:proofErr w:type="spellEnd"/>
            <w:r w:rsidRPr="00735C73">
              <w:t xml:space="preserve"> (also CT-SMAC if O157 detected) and incubated at 35 ± 2 </w:t>
            </w:r>
            <w:r w:rsidRPr="00735C73">
              <w:sym w:font="Symbol" w:char="F0B0"/>
            </w:r>
            <w:r w:rsidRPr="00735C73">
              <w:t>C for 20-24 h?</w:t>
            </w:r>
          </w:p>
        </w:tc>
        <w:tc>
          <w:tcPr>
            <w:tcW w:w="2340" w:type="dxa"/>
            <w:vAlign w:val="center"/>
          </w:tcPr>
          <w:p w14:paraId="0485984E"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618CC11A" w14:textId="77777777" w:rsidTr="00160D16">
        <w:tc>
          <w:tcPr>
            <w:tcW w:w="1800" w:type="dxa"/>
          </w:tcPr>
          <w:p w14:paraId="2607810F" w14:textId="77777777" w:rsidR="00160D16" w:rsidRPr="00735C73" w:rsidRDefault="00160D16" w:rsidP="007E296B">
            <w:pPr>
              <w:pStyle w:val="TableHeading"/>
              <w:spacing w:before="60" w:after="60"/>
            </w:pPr>
            <w:r w:rsidRPr="00735C73">
              <w:t>Confirmation</w:t>
            </w:r>
          </w:p>
        </w:tc>
        <w:tc>
          <w:tcPr>
            <w:tcW w:w="5040" w:type="dxa"/>
          </w:tcPr>
          <w:p w14:paraId="17BE87B3" w14:textId="77777777" w:rsidR="00413C4D" w:rsidRDefault="00413C4D" w:rsidP="007E296B">
            <w:pPr>
              <w:pStyle w:val="TableBody"/>
              <w:spacing w:before="60" w:after="60"/>
            </w:pPr>
            <w:r w:rsidRPr="00A005F9">
              <w:t>Is confirmation carried out using an approved method at a department approved laboratory?</w:t>
            </w:r>
          </w:p>
          <w:p w14:paraId="08EEDACB" w14:textId="0CED5B84" w:rsidR="00160D16" w:rsidRPr="00735C73" w:rsidRDefault="00160D16" w:rsidP="00413C4D">
            <w:pPr>
              <w:pStyle w:val="TableBody"/>
              <w:spacing w:before="60" w:after="60"/>
            </w:pPr>
            <w:r w:rsidRPr="00735C73">
              <w:t>Are all morphological types from all plates confirmed by latex agglutination?</w:t>
            </w:r>
            <w:r w:rsidR="00A005F9">
              <w:t xml:space="preserve"> </w:t>
            </w:r>
          </w:p>
        </w:tc>
        <w:tc>
          <w:tcPr>
            <w:tcW w:w="2340" w:type="dxa"/>
            <w:vAlign w:val="center"/>
          </w:tcPr>
          <w:p w14:paraId="4E4C5604"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2CF7BCDD" w14:textId="77777777" w:rsidTr="00160D16">
        <w:tc>
          <w:tcPr>
            <w:tcW w:w="1800" w:type="dxa"/>
          </w:tcPr>
          <w:p w14:paraId="6FD8E0A1" w14:textId="77777777" w:rsidR="00160D16" w:rsidRPr="00735C73" w:rsidRDefault="00160D16" w:rsidP="007E296B">
            <w:pPr>
              <w:pStyle w:val="TableHeading"/>
              <w:spacing w:before="60" w:after="60"/>
            </w:pPr>
            <w:r w:rsidRPr="00735C73">
              <w:t xml:space="preserve"> </w:t>
            </w:r>
          </w:p>
        </w:tc>
        <w:tc>
          <w:tcPr>
            <w:tcW w:w="5040" w:type="dxa"/>
          </w:tcPr>
          <w:p w14:paraId="6E2E66B0" w14:textId="77777777" w:rsidR="00160D16" w:rsidRPr="00735C73" w:rsidRDefault="00160D16" w:rsidP="007E296B">
            <w:pPr>
              <w:pStyle w:val="TableBody"/>
              <w:spacing w:before="60" w:after="60"/>
            </w:pPr>
            <w:r w:rsidRPr="00735C73">
              <w:t xml:space="preserve">Are latex positive colonies streaked onto SBA and incubated at 35 ± 2 </w:t>
            </w:r>
            <w:r w:rsidRPr="00735C73">
              <w:sym w:font="Symbol" w:char="F0B0"/>
            </w:r>
            <w:r w:rsidRPr="00735C73">
              <w:t>C for 16-24 h?</w:t>
            </w:r>
          </w:p>
        </w:tc>
        <w:tc>
          <w:tcPr>
            <w:tcW w:w="2340" w:type="dxa"/>
            <w:vAlign w:val="center"/>
          </w:tcPr>
          <w:p w14:paraId="052664DA"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5062CB4D" w14:textId="77777777" w:rsidTr="00160D16">
        <w:tc>
          <w:tcPr>
            <w:tcW w:w="1800" w:type="dxa"/>
          </w:tcPr>
          <w:p w14:paraId="37153092" w14:textId="77777777" w:rsidR="00160D16" w:rsidRPr="00735C73" w:rsidRDefault="00160D16" w:rsidP="007E296B">
            <w:pPr>
              <w:pStyle w:val="TableHeading"/>
              <w:spacing w:before="60" w:after="60"/>
            </w:pPr>
          </w:p>
        </w:tc>
        <w:tc>
          <w:tcPr>
            <w:tcW w:w="5040" w:type="dxa"/>
          </w:tcPr>
          <w:p w14:paraId="42F5130D" w14:textId="77777777" w:rsidR="00160D16" w:rsidRPr="00735C73" w:rsidRDefault="00160D16" w:rsidP="007E296B">
            <w:pPr>
              <w:pStyle w:val="TableBody"/>
              <w:spacing w:before="60" w:after="60"/>
            </w:pPr>
            <w:r w:rsidRPr="00735C73">
              <w:t>Are colonies on SBA verified by latex agglutination?</w:t>
            </w:r>
          </w:p>
        </w:tc>
        <w:tc>
          <w:tcPr>
            <w:tcW w:w="2340" w:type="dxa"/>
            <w:vAlign w:val="center"/>
          </w:tcPr>
          <w:p w14:paraId="4EE8B489"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2A95BD35" w14:textId="77777777" w:rsidTr="00160D16">
        <w:tc>
          <w:tcPr>
            <w:tcW w:w="1800" w:type="dxa"/>
          </w:tcPr>
          <w:p w14:paraId="791E3983" w14:textId="77777777" w:rsidR="00160D16" w:rsidRPr="00735C73" w:rsidRDefault="00160D16" w:rsidP="007E296B">
            <w:pPr>
              <w:pStyle w:val="TableHeading"/>
              <w:spacing w:before="60" w:after="60"/>
            </w:pPr>
          </w:p>
        </w:tc>
        <w:tc>
          <w:tcPr>
            <w:tcW w:w="5040" w:type="dxa"/>
          </w:tcPr>
          <w:p w14:paraId="1791500D" w14:textId="77777777" w:rsidR="00160D16" w:rsidRDefault="00160D16" w:rsidP="007E296B">
            <w:pPr>
              <w:pStyle w:val="TableBody"/>
              <w:spacing w:before="60" w:after="60"/>
            </w:pPr>
            <w:r w:rsidRPr="00735C73">
              <w:t xml:space="preserve">Are latex positive colonies confirmed for </w:t>
            </w:r>
            <w:proofErr w:type="spellStart"/>
            <w:r w:rsidRPr="00735C73">
              <w:rPr>
                <w:i/>
              </w:rPr>
              <w:t>stx</w:t>
            </w:r>
            <w:proofErr w:type="spellEnd"/>
            <w:r w:rsidRPr="00735C73">
              <w:t>/</w:t>
            </w:r>
            <w:r w:rsidRPr="00735C73">
              <w:rPr>
                <w:i/>
              </w:rPr>
              <w:t>eae</w:t>
            </w:r>
            <w:r w:rsidRPr="00735C73">
              <w:t xml:space="preserve"> using </w:t>
            </w:r>
            <w:proofErr w:type="spellStart"/>
            <w:r w:rsidR="00070173">
              <w:t>iQ</w:t>
            </w:r>
            <w:proofErr w:type="spellEnd"/>
            <w:r w:rsidR="00070173">
              <w:t>-Check STEC VirX</w:t>
            </w:r>
            <w:r w:rsidR="00731F0A" w:rsidRPr="00735C73">
              <w:t>?</w:t>
            </w:r>
            <w:r w:rsidRPr="00735C73">
              <w:t xml:space="preserve"> </w:t>
            </w:r>
          </w:p>
          <w:p w14:paraId="3CB8C722" w14:textId="77777777" w:rsidR="000E1F4C" w:rsidRPr="00735C73" w:rsidRDefault="000E1F4C" w:rsidP="007E296B">
            <w:pPr>
              <w:pStyle w:val="TableBody"/>
              <w:spacing w:before="60" w:after="60"/>
            </w:pPr>
            <w:r w:rsidRPr="00735C73">
              <w:t xml:space="preserve">Are latex positive colonies confirmed for </w:t>
            </w:r>
            <w:r w:rsidR="00731F0A">
              <w:t xml:space="preserve">serogroups </w:t>
            </w:r>
            <w:r w:rsidRPr="00735C73">
              <w:t xml:space="preserve">using </w:t>
            </w:r>
            <w:r w:rsidR="00731F0A">
              <w:t>serogroup specific</w:t>
            </w:r>
            <w:r w:rsidRPr="00735C73">
              <w:t xml:space="preserve"> </w:t>
            </w:r>
            <w:r w:rsidR="00731F0A" w:rsidRPr="00735C73">
              <w:t>PC</w:t>
            </w:r>
            <w:r w:rsidR="00070173">
              <w:t xml:space="preserve">R </w:t>
            </w:r>
            <w:proofErr w:type="spellStart"/>
            <w:r w:rsidR="00070173">
              <w:t>iQ</w:t>
            </w:r>
            <w:proofErr w:type="spellEnd"/>
            <w:r w:rsidR="00070173">
              <w:t>-Check STEC SerO</w:t>
            </w:r>
            <w:r w:rsidR="00731F0A" w:rsidRPr="00735C73">
              <w:t>?</w:t>
            </w:r>
          </w:p>
        </w:tc>
        <w:tc>
          <w:tcPr>
            <w:tcW w:w="2340" w:type="dxa"/>
            <w:vAlign w:val="center"/>
          </w:tcPr>
          <w:p w14:paraId="17BC36F9" w14:textId="77777777" w:rsidR="00160D16" w:rsidRPr="00735C73" w:rsidRDefault="00160D16" w:rsidP="007E296B">
            <w:pPr>
              <w:tabs>
                <w:tab w:val="left" w:pos="1962"/>
              </w:tabs>
              <w:spacing w:before="60" w:after="60"/>
              <w:ind w:left="72"/>
              <w:rPr>
                <w:u w:val="single"/>
              </w:rPr>
            </w:pPr>
            <w:r w:rsidRPr="00735C73">
              <w:rPr>
                <w:u w:val="single"/>
              </w:rPr>
              <w:tab/>
            </w:r>
          </w:p>
        </w:tc>
      </w:tr>
      <w:tr w:rsidR="00160D16" w:rsidRPr="00735C73" w14:paraId="22B6E623" w14:textId="77777777" w:rsidTr="00160D16">
        <w:tc>
          <w:tcPr>
            <w:tcW w:w="1800" w:type="dxa"/>
            <w:tcBorders>
              <w:bottom w:val="single" w:sz="4" w:space="0" w:color="auto"/>
            </w:tcBorders>
          </w:tcPr>
          <w:p w14:paraId="4D88706C" w14:textId="77777777" w:rsidR="00160D16" w:rsidRPr="00735C73" w:rsidRDefault="00160D16" w:rsidP="007E296B">
            <w:pPr>
              <w:pStyle w:val="TableHeading"/>
              <w:spacing w:before="60" w:after="60"/>
            </w:pPr>
          </w:p>
        </w:tc>
        <w:tc>
          <w:tcPr>
            <w:tcW w:w="5040" w:type="dxa"/>
            <w:tcBorders>
              <w:bottom w:val="single" w:sz="4" w:space="0" w:color="auto"/>
            </w:tcBorders>
          </w:tcPr>
          <w:p w14:paraId="064DB4BB" w14:textId="77777777" w:rsidR="00160D16" w:rsidRPr="00735C73" w:rsidRDefault="00160D16" w:rsidP="007E296B">
            <w:pPr>
              <w:pStyle w:val="TableBody"/>
              <w:spacing w:before="60" w:after="60"/>
            </w:pPr>
            <w:r w:rsidRPr="00735C73">
              <w:t xml:space="preserve">Are biochemical tests carried out on positive isolates to confirm </w:t>
            </w:r>
            <w:r w:rsidRPr="00735C73">
              <w:rPr>
                <w:i/>
              </w:rPr>
              <w:t>E. coli</w:t>
            </w:r>
            <w:r w:rsidRPr="00735C73">
              <w:t>?</w:t>
            </w:r>
          </w:p>
        </w:tc>
        <w:tc>
          <w:tcPr>
            <w:tcW w:w="2340" w:type="dxa"/>
            <w:tcBorders>
              <w:bottom w:val="single" w:sz="4" w:space="0" w:color="auto"/>
            </w:tcBorders>
            <w:vAlign w:val="center"/>
          </w:tcPr>
          <w:p w14:paraId="6E1B2713" w14:textId="77777777" w:rsidR="00160D16" w:rsidRPr="00735C73" w:rsidRDefault="00160D16" w:rsidP="007E296B">
            <w:pPr>
              <w:tabs>
                <w:tab w:val="left" w:pos="1962"/>
              </w:tabs>
              <w:spacing w:before="60" w:after="60"/>
              <w:ind w:left="72"/>
              <w:rPr>
                <w:u w:val="single"/>
              </w:rPr>
            </w:pPr>
            <w:r w:rsidRPr="00735C73">
              <w:rPr>
                <w:u w:val="single"/>
              </w:rPr>
              <w:tab/>
            </w:r>
          </w:p>
        </w:tc>
      </w:tr>
    </w:tbl>
    <w:p w14:paraId="13463AD2" w14:textId="38EC7031" w:rsidR="00413C4D" w:rsidRPr="00413C4D" w:rsidRDefault="00413C4D" w:rsidP="001E124C">
      <w:pPr>
        <w:tabs>
          <w:tab w:val="left" w:pos="1553"/>
          <w:tab w:val="left" w:pos="3944"/>
        </w:tabs>
        <w:ind w:left="0"/>
      </w:pPr>
    </w:p>
    <w:sectPr w:rsidR="00413C4D" w:rsidRPr="00413C4D">
      <w:headerReference w:type="default" r:id="rId13"/>
      <w:pgSz w:w="11906" w:h="16838" w:code="9"/>
      <w:pgMar w:top="1531" w:right="1134" w:bottom="79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3B24" w14:textId="77777777" w:rsidR="00AD7626" w:rsidRDefault="00AD7626" w:rsidP="00E0322F">
      <w:pPr>
        <w:spacing w:after="0"/>
      </w:pPr>
      <w:r>
        <w:separator/>
      </w:r>
    </w:p>
  </w:endnote>
  <w:endnote w:type="continuationSeparator" w:id="0">
    <w:p w14:paraId="4DC67011" w14:textId="77777777" w:rsidR="00AD7626" w:rsidRDefault="00AD7626" w:rsidP="00E032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ECC9" w14:textId="36A7B31A" w:rsidR="00735C73" w:rsidRPr="0091333C" w:rsidRDefault="00735C73" w:rsidP="00B6281E">
    <w:pPr>
      <w:pStyle w:val="Footer"/>
      <w:tabs>
        <w:tab w:val="clear" w:pos="4513"/>
        <w:tab w:val="center" w:pos="8505"/>
      </w:tabs>
      <w:rPr>
        <w:color w:val="595959" w:themeColor="text1" w:themeTint="A6"/>
      </w:rPr>
    </w:pPr>
    <w:r w:rsidRPr="0091333C">
      <w:rPr>
        <w:color w:val="595959" w:themeColor="text1" w:themeTint="A6"/>
      </w:rPr>
      <w:t xml:space="preserve">Issue </w:t>
    </w:r>
    <w:r w:rsidR="00A005F9" w:rsidRPr="0091333C">
      <w:rPr>
        <w:color w:val="595959" w:themeColor="text1" w:themeTint="A6"/>
      </w:rPr>
      <w:t>2024 03 05</w:t>
    </w:r>
    <w:r w:rsidRPr="0091333C">
      <w:rPr>
        <w:color w:val="595959" w:themeColor="text1" w:themeTint="A6"/>
      </w:rPr>
      <w:t xml:space="preserve"> | Approved Methods Manual</w:t>
    </w:r>
  </w:p>
  <w:p w14:paraId="60C5C005" w14:textId="77777777" w:rsidR="00735C73" w:rsidRPr="0091333C" w:rsidRDefault="00735C73" w:rsidP="00670835">
    <w:pPr>
      <w:pStyle w:val="Footer"/>
      <w:tabs>
        <w:tab w:val="clear" w:pos="4513"/>
        <w:tab w:val="center" w:pos="8789"/>
      </w:tabs>
      <w:rPr>
        <w:color w:val="595959" w:themeColor="text1" w:themeTint="A6"/>
      </w:rPr>
    </w:pPr>
    <w:r w:rsidRPr="0091333C">
      <w:rPr>
        <w:color w:val="595959" w:themeColor="text1" w:themeTint="A6"/>
      </w:rPr>
      <w:t xml:space="preserve">Export Standards Branch | Exports </w:t>
    </w:r>
    <w:r w:rsidR="00731F0A" w:rsidRPr="0091333C">
      <w:rPr>
        <w:color w:val="595959" w:themeColor="text1" w:themeTint="A6"/>
      </w:rPr>
      <w:t xml:space="preserve">and Veterinary Services </w:t>
    </w:r>
    <w:r w:rsidRPr="0091333C">
      <w:rPr>
        <w:color w:val="595959" w:themeColor="text1" w:themeTint="A6"/>
      </w:rPr>
      <w:t>Division</w:t>
    </w:r>
    <w:r w:rsidRPr="0091333C">
      <w:rPr>
        <w:color w:val="595959" w:themeColor="text1" w:themeTint="A6"/>
      </w:rPr>
      <w:tab/>
      <w:t xml:space="preserve">Page </w:t>
    </w:r>
    <w:r w:rsidRPr="0091333C">
      <w:rPr>
        <w:color w:val="595959" w:themeColor="text1" w:themeTint="A6"/>
      </w:rPr>
      <w:fldChar w:fldCharType="begin"/>
    </w:r>
    <w:r w:rsidRPr="0091333C">
      <w:rPr>
        <w:color w:val="595959" w:themeColor="text1" w:themeTint="A6"/>
      </w:rPr>
      <w:instrText xml:space="preserve"> PAGE </w:instrText>
    </w:r>
    <w:r w:rsidRPr="0091333C">
      <w:rPr>
        <w:color w:val="595959" w:themeColor="text1" w:themeTint="A6"/>
      </w:rPr>
      <w:fldChar w:fldCharType="separate"/>
    </w:r>
    <w:r w:rsidR="00C12275" w:rsidRPr="0091333C">
      <w:rPr>
        <w:noProof/>
        <w:color w:val="595959" w:themeColor="text1" w:themeTint="A6"/>
      </w:rPr>
      <w:t>2</w:t>
    </w:r>
    <w:r w:rsidRPr="0091333C">
      <w:rPr>
        <w:color w:val="595959" w:themeColor="text1" w:themeTint="A6"/>
      </w:rPr>
      <w:fldChar w:fldCharType="end"/>
    </w:r>
    <w:r w:rsidRPr="0091333C">
      <w:rPr>
        <w:color w:val="595959" w:themeColor="text1" w:themeTint="A6"/>
      </w:rPr>
      <w:t xml:space="preserve"> of </w:t>
    </w:r>
    <w:r w:rsidRPr="0091333C">
      <w:rPr>
        <w:color w:val="595959" w:themeColor="text1" w:themeTint="A6"/>
      </w:rPr>
      <w:fldChar w:fldCharType="begin"/>
    </w:r>
    <w:r w:rsidRPr="0091333C">
      <w:rPr>
        <w:color w:val="595959" w:themeColor="text1" w:themeTint="A6"/>
      </w:rPr>
      <w:instrText xml:space="preserve"> NUMPAGES  </w:instrText>
    </w:r>
    <w:r w:rsidRPr="0091333C">
      <w:rPr>
        <w:color w:val="595959" w:themeColor="text1" w:themeTint="A6"/>
      </w:rPr>
      <w:fldChar w:fldCharType="separate"/>
    </w:r>
    <w:r w:rsidR="00C12275" w:rsidRPr="0091333C">
      <w:rPr>
        <w:noProof/>
        <w:color w:val="595959" w:themeColor="text1" w:themeTint="A6"/>
      </w:rPr>
      <w:t>2</w:t>
    </w:r>
    <w:r w:rsidRPr="0091333C">
      <w:rPr>
        <w:color w:val="595959" w:themeColor="text1" w:themeTint="A6"/>
      </w:rPr>
      <w:fldChar w:fldCharType="end"/>
    </w:r>
  </w:p>
  <w:p w14:paraId="1D647A54" w14:textId="77777777" w:rsidR="00735C73" w:rsidRPr="0091333C" w:rsidRDefault="00735C73" w:rsidP="001E48B7">
    <w:pPr>
      <w:pStyle w:val="Footer"/>
      <w:rPr>
        <w:color w:val="595959" w:themeColor="text1" w:themeTint="A6"/>
      </w:rPr>
    </w:pPr>
    <w:r w:rsidRPr="0091333C">
      <w:rPr>
        <w:color w:val="595959" w:themeColor="text1" w:themeTint="A6"/>
      </w:rPr>
      <w:t>Department of Agriculture</w:t>
    </w:r>
    <w:r w:rsidR="00731F0A" w:rsidRPr="0091333C">
      <w:rPr>
        <w:color w:val="595959" w:themeColor="text1" w:themeTint="A6"/>
      </w:rPr>
      <w:t>, 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E94D" w14:textId="77777777" w:rsidR="00AD7626" w:rsidRDefault="00AD7626" w:rsidP="00E0322F">
      <w:pPr>
        <w:spacing w:after="0"/>
      </w:pPr>
      <w:r>
        <w:separator/>
      </w:r>
    </w:p>
  </w:footnote>
  <w:footnote w:type="continuationSeparator" w:id="0">
    <w:p w14:paraId="7E99A20E" w14:textId="77777777" w:rsidR="00AD7626" w:rsidRDefault="00AD7626" w:rsidP="00E032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1EB5" w14:textId="2FB01120" w:rsidR="00735C73" w:rsidRPr="00F44219" w:rsidRDefault="00653A7A" w:rsidP="00F44219">
    <w:pPr>
      <w:pStyle w:val="Header"/>
      <w:spacing w:after="360" w:line="240" w:lineRule="auto"/>
      <w:jc w:val="left"/>
    </w:pPr>
    <w:r>
      <w:rPr>
        <w:noProof/>
      </w:rPr>
      <w:drawing>
        <wp:inline distT="0" distB="0" distL="0" distR="0" wp14:anchorId="768B82AE" wp14:editId="3AB793DB">
          <wp:extent cx="3251835" cy="453390"/>
          <wp:effectExtent l="0" t="0" r="0" b="0"/>
          <wp:docPr id="3" name="Picture 1" descr="Department of Agriculture, Fisheries and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Agriculture, Fisheries and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1835" cy="4533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EE1" w14:textId="77777777" w:rsidR="00F44219" w:rsidRPr="000C73B4" w:rsidRDefault="00F44219" w:rsidP="000C73B4">
    <w:pPr>
      <w:pStyle w:val="Header"/>
      <w:rPr>
        <w:rFonts w:ascii="Garamond" w:hAnsi="Garamond"/>
        <w:sz w:val="20"/>
        <w:szCs w:val="20"/>
      </w:rPr>
    </w:pPr>
    <w:r>
      <w:rPr>
        <w:rFonts w:ascii="Garamond" w:hAnsi="Garamond"/>
        <w:sz w:val="20"/>
        <w:szCs w:val="20"/>
      </w:rPr>
      <w:t xml:space="preserve">Detection &amp; Isolation of </w:t>
    </w:r>
    <w:r w:rsidRPr="00731F0A">
      <w:rPr>
        <w:rFonts w:ascii="Garamond" w:hAnsi="Garamond"/>
        <w:iCs/>
        <w:sz w:val="20"/>
        <w:szCs w:val="20"/>
      </w:rPr>
      <w:t>STEC</w:t>
    </w:r>
    <w:r>
      <w:rPr>
        <w:rFonts w:ascii="Garamond" w:hAnsi="Garamond"/>
        <w:sz w:val="20"/>
        <w:szCs w:val="20"/>
      </w:rPr>
      <w:t>– MLG 5C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2173"/>
    <w:multiLevelType w:val="hybridMultilevel"/>
    <w:tmpl w:val="D5C2FB66"/>
    <w:lvl w:ilvl="0" w:tplc="1206B646">
      <w:start w:val="1"/>
      <w:numFmt w:val="bullet"/>
      <w:pStyle w:val="Heading3"/>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F180A4B"/>
    <w:multiLevelType w:val="hybridMultilevel"/>
    <w:tmpl w:val="05CCA8A6"/>
    <w:lvl w:ilvl="0" w:tplc="153E553C">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55A2AFA"/>
    <w:multiLevelType w:val="hybridMultilevel"/>
    <w:tmpl w:val="13B2D372"/>
    <w:lvl w:ilvl="0" w:tplc="1D3E360A">
      <w:start w:val="1"/>
      <w:numFmt w:val="bullet"/>
      <w:pStyle w:val="11Heading3"/>
      <w:lvlText w:val=""/>
      <w:lvlJc w:val="left"/>
      <w:pPr>
        <w:tabs>
          <w:tab w:val="num" w:pos="454"/>
        </w:tabs>
        <w:ind w:left="454" w:hanging="454"/>
      </w:pPr>
      <w:rPr>
        <w:rFonts w:ascii="Wingdings" w:hAnsi="Wingdings" w:hint="default"/>
      </w:rPr>
    </w:lvl>
    <w:lvl w:ilvl="1" w:tplc="C8084ED8">
      <w:start w:val="1"/>
      <w:numFmt w:val="bullet"/>
      <w:lvlText w:val="o"/>
      <w:lvlJc w:val="left"/>
      <w:pPr>
        <w:tabs>
          <w:tab w:val="num" w:pos="1440"/>
        </w:tabs>
        <w:ind w:left="1440" w:hanging="360"/>
      </w:pPr>
      <w:rPr>
        <w:rFonts w:ascii="Courier New" w:hAnsi="Courier New" w:cs="Courier New" w:hint="default"/>
      </w:rPr>
    </w:lvl>
    <w:lvl w:ilvl="2" w:tplc="1C2C2958">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92671"/>
    <w:multiLevelType w:val="hybridMultilevel"/>
    <w:tmpl w:val="D2A6DFC4"/>
    <w:lvl w:ilvl="0" w:tplc="4504396A">
      <w:start w:val="1"/>
      <w:numFmt w:val="bullet"/>
      <w:lvlText w:val=""/>
      <w:lvlJc w:val="left"/>
      <w:pPr>
        <w:tabs>
          <w:tab w:val="num" w:pos="2220"/>
        </w:tabs>
        <w:ind w:left="22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num w:numId="1" w16cid:durableId="1624727743">
    <w:abstractNumId w:val="0"/>
  </w:num>
  <w:num w:numId="2" w16cid:durableId="1293287764">
    <w:abstractNumId w:val="1"/>
  </w:num>
  <w:num w:numId="3" w16cid:durableId="636955582">
    <w:abstractNumId w:val="3"/>
  </w:num>
  <w:num w:numId="4" w16cid:durableId="1592350533">
    <w:abstractNumId w:val="2"/>
  </w:num>
  <w:num w:numId="5" w16cid:durableId="92499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8E"/>
    <w:rsid w:val="00000878"/>
    <w:rsid w:val="00013257"/>
    <w:rsid w:val="00017798"/>
    <w:rsid w:val="000222C8"/>
    <w:rsid w:val="000236E5"/>
    <w:rsid w:val="00070173"/>
    <w:rsid w:val="000763DC"/>
    <w:rsid w:val="00084020"/>
    <w:rsid w:val="000C4869"/>
    <w:rsid w:val="000C73B4"/>
    <w:rsid w:val="000D3629"/>
    <w:rsid w:val="000E1166"/>
    <w:rsid w:val="000E1F4C"/>
    <w:rsid w:val="00104392"/>
    <w:rsid w:val="001138B1"/>
    <w:rsid w:val="00160D16"/>
    <w:rsid w:val="00187BE5"/>
    <w:rsid w:val="001A25B8"/>
    <w:rsid w:val="001B09CB"/>
    <w:rsid w:val="001B1761"/>
    <w:rsid w:val="001E124C"/>
    <w:rsid w:val="001E48B7"/>
    <w:rsid w:val="00202FC9"/>
    <w:rsid w:val="00206331"/>
    <w:rsid w:val="002079F4"/>
    <w:rsid w:val="002173EC"/>
    <w:rsid w:val="00221386"/>
    <w:rsid w:val="0023008E"/>
    <w:rsid w:val="00234F1B"/>
    <w:rsid w:val="00237339"/>
    <w:rsid w:val="00246D77"/>
    <w:rsid w:val="00272AAC"/>
    <w:rsid w:val="00281F87"/>
    <w:rsid w:val="002A42DB"/>
    <w:rsid w:val="002A6AA2"/>
    <w:rsid w:val="002C7146"/>
    <w:rsid w:val="002D24D9"/>
    <w:rsid w:val="002E1679"/>
    <w:rsid w:val="00323696"/>
    <w:rsid w:val="00357FA7"/>
    <w:rsid w:val="00360055"/>
    <w:rsid w:val="00367E78"/>
    <w:rsid w:val="00371076"/>
    <w:rsid w:val="003A3D29"/>
    <w:rsid w:val="003B78DE"/>
    <w:rsid w:val="003E49B8"/>
    <w:rsid w:val="00407D49"/>
    <w:rsid w:val="0041350A"/>
    <w:rsid w:val="00413C4D"/>
    <w:rsid w:val="0042371A"/>
    <w:rsid w:val="00427EFB"/>
    <w:rsid w:val="00441895"/>
    <w:rsid w:val="00482A38"/>
    <w:rsid w:val="0049340F"/>
    <w:rsid w:val="004954EB"/>
    <w:rsid w:val="004C644E"/>
    <w:rsid w:val="004E2EE7"/>
    <w:rsid w:val="005011E2"/>
    <w:rsid w:val="00521227"/>
    <w:rsid w:val="005276AA"/>
    <w:rsid w:val="00531EAE"/>
    <w:rsid w:val="0054271E"/>
    <w:rsid w:val="00545802"/>
    <w:rsid w:val="0054660F"/>
    <w:rsid w:val="00552335"/>
    <w:rsid w:val="00556D6B"/>
    <w:rsid w:val="005611A7"/>
    <w:rsid w:val="00595BF4"/>
    <w:rsid w:val="00597206"/>
    <w:rsid w:val="005A1B08"/>
    <w:rsid w:val="005A1BA4"/>
    <w:rsid w:val="005B5738"/>
    <w:rsid w:val="005D06EB"/>
    <w:rsid w:val="005D079D"/>
    <w:rsid w:val="005F4E7A"/>
    <w:rsid w:val="0063113D"/>
    <w:rsid w:val="00653A7A"/>
    <w:rsid w:val="00657084"/>
    <w:rsid w:val="00657606"/>
    <w:rsid w:val="00664AF3"/>
    <w:rsid w:val="00667F57"/>
    <w:rsid w:val="00670835"/>
    <w:rsid w:val="006A0E1A"/>
    <w:rsid w:val="00731E97"/>
    <w:rsid w:val="00731F0A"/>
    <w:rsid w:val="00735C73"/>
    <w:rsid w:val="00740CA0"/>
    <w:rsid w:val="00773E04"/>
    <w:rsid w:val="00783CCA"/>
    <w:rsid w:val="00793DA8"/>
    <w:rsid w:val="007B0499"/>
    <w:rsid w:val="007B2C7D"/>
    <w:rsid w:val="007B44FE"/>
    <w:rsid w:val="007C0D69"/>
    <w:rsid w:val="007E296B"/>
    <w:rsid w:val="007E4068"/>
    <w:rsid w:val="007E6C17"/>
    <w:rsid w:val="007E7C98"/>
    <w:rsid w:val="007F69EF"/>
    <w:rsid w:val="00811A82"/>
    <w:rsid w:val="00852040"/>
    <w:rsid w:val="00874BB3"/>
    <w:rsid w:val="00876E2F"/>
    <w:rsid w:val="008B5714"/>
    <w:rsid w:val="008D6129"/>
    <w:rsid w:val="008F4D91"/>
    <w:rsid w:val="009077FE"/>
    <w:rsid w:val="0091333C"/>
    <w:rsid w:val="009264DB"/>
    <w:rsid w:val="00932FD0"/>
    <w:rsid w:val="0094660E"/>
    <w:rsid w:val="00952047"/>
    <w:rsid w:val="00980858"/>
    <w:rsid w:val="00983A09"/>
    <w:rsid w:val="00987A2B"/>
    <w:rsid w:val="009B0083"/>
    <w:rsid w:val="009B59A9"/>
    <w:rsid w:val="009D238A"/>
    <w:rsid w:val="009D4CD4"/>
    <w:rsid w:val="009E4708"/>
    <w:rsid w:val="009E60CA"/>
    <w:rsid w:val="009E6DCC"/>
    <w:rsid w:val="009F2FC4"/>
    <w:rsid w:val="00A005F9"/>
    <w:rsid w:val="00A020BB"/>
    <w:rsid w:val="00A061D0"/>
    <w:rsid w:val="00A1160D"/>
    <w:rsid w:val="00A30D39"/>
    <w:rsid w:val="00A6011C"/>
    <w:rsid w:val="00A81F44"/>
    <w:rsid w:val="00A83672"/>
    <w:rsid w:val="00AA6BE4"/>
    <w:rsid w:val="00AB0D4A"/>
    <w:rsid w:val="00AD7626"/>
    <w:rsid w:val="00AD7EC2"/>
    <w:rsid w:val="00B134D3"/>
    <w:rsid w:val="00B15B9C"/>
    <w:rsid w:val="00B22D93"/>
    <w:rsid w:val="00B32BD2"/>
    <w:rsid w:val="00B32EA5"/>
    <w:rsid w:val="00B3464A"/>
    <w:rsid w:val="00B406B3"/>
    <w:rsid w:val="00B43AFF"/>
    <w:rsid w:val="00B4672E"/>
    <w:rsid w:val="00B6281E"/>
    <w:rsid w:val="00B629CE"/>
    <w:rsid w:val="00B63D41"/>
    <w:rsid w:val="00B97891"/>
    <w:rsid w:val="00BA04E6"/>
    <w:rsid w:val="00BB5FB4"/>
    <w:rsid w:val="00BD431F"/>
    <w:rsid w:val="00BE554F"/>
    <w:rsid w:val="00BF0834"/>
    <w:rsid w:val="00C117CA"/>
    <w:rsid w:val="00C12275"/>
    <w:rsid w:val="00C2792B"/>
    <w:rsid w:val="00C56A77"/>
    <w:rsid w:val="00C624BF"/>
    <w:rsid w:val="00C930DE"/>
    <w:rsid w:val="00D04B8A"/>
    <w:rsid w:val="00D1679C"/>
    <w:rsid w:val="00D57B09"/>
    <w:rsid w:val="00DA6461"/>
    <w:rsid w:val="00DB0834"/>
    <w:rsid w:val="00DC28C6"/>
    <w:rsid w:val="00DE0950"/>
    <w:rsid w:val="00E0322F"/>
    <w:rsid w:val="00E06588"/>
    <w:rsid w:val="00E15946"/>
    <w:rsid w:val="00E73E0E"/>
    <w:rsid w:val="00E96338"/>
    <w:rsid w:val="00ED64A6"/>
    <w:rsid w:val="00EF3F21"/>
    <w:rsid w:val="00F01F9E"/>
    <w:rsid w:val="00F03AAF"/>
    <w:rsid w:val="00F13D64"/>
    <w:rsid w:val="00F40413"/>
    <w:rsid w:val="00F44219"/>
    <w:rsid w:val="00F55D31"/>
    <w:rsid w:val="00F65FC6"/>
    <w:rsid w:val="00F66EF1"/>
    <w:rsid w:val="00F75E04"/>
    <w:rsid w:val="00F91501"/>
    <w:rsid w:val="00FA2D1F"/>
    <w:rsid w:val="00FA2F64"/>
    <w:rsid w:val="00FC1A55"/>
    <w:rsid w:val="00FD14BA"/>
    <w:rsid w:val="00FD54DF"/>
    <w:rsid w:val="00FF2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699F8"/>
  <w15:chartTrackingRefBased/>
  <w15:docId w15:val="{0DF9119F-91FC-4C6A-82AD-3EC1BEA1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50A"/>
    <w:pPr>
      <w:overflowPunct w:val="0"/>
      <w:autoSpaceDE w:val="0"/>
      <w:autoSpaceDN w:val="0"/>
      <w:adjustRightInd w:val="0"/>
      <w:spacing w:after="120" w:line="269" w:lineRule="auto"/>
      <w:ind w:left="57" w:right="57"/>
      <w:textAlignment w:val="baseline"/>
    </w:pPr>
    <w:rPr>
      <w:rFonts w:ascii="Cambria" w:hAnsi="Cambria"/>
      <w:sz w:val="18"/>
    </w:rPr>
  </w:style>
  <w:style w:type="paragraph" w:styleId="Heading1">
    <w:name w:val="heading 1"/>
    <w:basedOn w:val="Normal"/>
    <w:next w:val="Normal"/>
    <w:link w:val="Heading1Char"/>
    <w:qFormat/>
    <w:rsid w:val="007E296B"/>
    <w:pPr>
      <w:keepNext/>
      <w:keepLines/>
      <w:spacing w:after="360" w:line="240" w:lineRule="auto"/>
      <w:outlineLvl w:val="0"/>
    </w:pPr>
    <w:rPr>
      <w:rFonts w:ascii="Calibri" w:hAnsi="Calibri"/>
      <w:b/>
      <w:bCs/>
      <w:sz w:val="24"/>
      <w:szCs w:val="28"/>
    </w:rPr>
  </w:style>
  <w:style w:type="paragraph" w:styleId="Heading2">
    <w:name w:val="heading 2"/>
    <w:basedOn w:val="Normal"/>
    <w:next w:val="Normal"/>
    <w:link w:val="Heading2Char"/>
    <w:autoRedefine/>
    <w:unhideWhenUsed/>
    <w:qFormat/>
    <w:rsid w:val="00C12275"/>
    <w:pPr>
      <w:keepNext/>
      <w:keepLines/>
      <w:spacing w:before="240" w:after="0"/>
      <w:outlineLvl w:val="1"/>
    </w:pPr>
    <w:rPr>
      <w:rFonts w:ascii="Calibri" w:hAnsi="Calibri"/>
      <w:b/>
      <w:bCs/>
      <w:spacing w:val="30"/>
      <w:sz w:val="24"/>
      <w:szCs w:val="26"/>
    </w:rPr>
  </w:style>
  <w:style w:type="paragraph" w:styleId="Heading3">
    <w:name w:val="heading 3"/>
    <w:basedOn w:val="Normal"/>
    <w:next w:val="Normal"/>
    <w:link w:val="Heading3Char"/>
    <w:unhideWhenUsed/>
    <w:qFormat/>
    <w:rsid w:val="007E296B"/>
    <w:pPr>
      <w:keepNext/>
      <w:keepLines/>
      <w:numPr>
        <w:numId w:val="1"/>
      </w:numPr>
      <w:spacing w:after="0"/>
      <w:ind w:left="454" w:hanging="4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96B"/>
    <w:rPr>
      <w:rFonts w:ascii="Calibri" w:hAnsi="Calibri"/>
      <w:b/>
      <w:bCs/>
      <w:sz w:val="24"/>
      <w:szCs w:val="28"/>
    </w:rPr>
  </w:style>
  <w:style w:type="character" w:customStyle="1" w:styleId="Heading2Char">
    <w:name w:val="Heading 2 Char"/>
    <w:link w:val="Heading2"/>
    <w:rsid w:val="00C12275"/>
    <w:rPr>
      <w:rFonts w:ascii="Calibri" w:hAnsi="Calibri"/>
      <w:b/>
      <w:bCs/>
      <w:spacing w:val="30"/>
      <w:sz w:val="24"/>
      <w:szCs w:val="26"/>
    </w:rPr>
  </w:style>
  <w:style w:type="character" w:customStyle="1" w:styleId="Heading3Char">
    <w:name w:val="Heading 3 Char"/>
    <w:link w:val="Heading3"/>
    <w:rsid w:val="007E296B"/>
    <w:rPr>
      <w:rFonts w:ascii="Cambria" w:hAnsi="Cambria"/>
      <w:b/>
      <w:bCs/>
    </w:rPr>
  </w:style>
  <w:style w:type="paragraph" w:customStyle="1" w:styleId="Normal-para">
    <w:name w:val="Normal-para"/>
    <w:basedOn w:val="Normal"/>
    <w:qFormat/>
    <w:rsid w:val="00B32EA5"/>
    <w:pPr>
      <w:spacing w:after="140"/>
      <w:ind w:left="454"/>
    </w:pPr>
  </w:style>
  <w:style w:type="paragraph" w:styleId="ListParagraph">
    <w:name w:val="List Paragraph"/>
    <w:basedOn w:val="Normal"/>
    <w:uiPriority w:val="34"/>
    <w:qFormat/>
    <w:rsid w:val="00ED64A6"/>
    <w:pPr>
      <w:numPr>
        <w:numId w:val="2"/>
      </w:numPr>
      <w:ind w:left="1434" w:hanging="357"/>
    </w:pPr>
  </w:style>
  <w:style w:type="table" w:styleId="TableGrid">
    <w:name w:val="Table Grid"/>
    <w:basedOn w:val="TableNormal"/>
    <w:rsid w:val="00ED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E1679"/>
    <w:pPr>
      <w:spacing w:after="0"/>
    </w:pPr>
    <w:rPr>
      <w:b/>
    </w:rPr>
  </w:style>
  <w:style w:type="paragraph" w:customStyle="1" w:styleId="TableBody">
    <w:name w:val="Table Body"/>
    <w:basedOn w:val="Normal"/>
    <w:qFormat/>
    <w:rsid w:val="002E1679"/>
    <w:pPr>
      <w:spacing w:before="40"/>
    </w:pPr>
  </w:style>
  <w:style w:type="character" w:styleId="Strong">
    <w:name w:val="Strong"/>
    <w:rsid w:val="006A0E1A"/>
    <w:rPr>
      <w:b/>
      <w:bCs/>
    </w:rPr>
  </w:style>
  <w:style w:type="paragraph" w:styleId="Header">
    <w:name w:val="header"/>
    <w:basedOn w:val="Normal"/>
    <w:link w:val="HeaderChar"/>
    <w:rsid w:val="00FF2F22"/>
    <w:pPr>
      <w:tabs>
        <w:tab w:val="center" w:pos="4153"/>
        <w:tab w:val="right" w:pos="8306"/>
      </w:tabs>
      <w:overflowPunct/>
      <w:autoSpaceDE/>
      <w:autoSpaceDN/>
      <w:adjustRightInd/>
      <w:spacing w:after="0"/>
      <w:ind w:left="0" w:right="0"/>
      <w:jc w:val="right"/>
      <w:textAlignment w:val="auto"/>
    </w:pPr>
    <w:rPr>
      <w:color w:val="000000" w:themeColor="text1"/>
      <w:szCs w:val="24"/>
    </w:rPr>
  </w:style>
  <w:style w:type="character" w:customStyle="1" w:styleId="HeaderChar">
    <w:name w:val="Header Char"/>
    <w:link w:val="Header"/>
    <w:rsid w:val="00FF2F22"/>
    <w:rPr>
      <w:rFonts w:ascii="Cambria" w:hAnsi="Cambria"/>
      <w:color w:val="000000" w:themeColor="text1"/>
      <w:sz w:val="18"/>
      <w:szCs w:val="24"/>
    </w:rPr>
  </w:style>
  <w:style w:type="paragraph" w:styleId="FootnoteText">
    <w:name w:val="footnote text"/>
    <w:basedOn w:val="Normal"/>
    <w:link w:val="FootnoteTextChar"/>
    <w:rsid w:val="001B09CB"/>
    <w:pPr>
      <w:spacing w:after="480"/>
    </w:pPr>
    <w:rPr>
      <w:sz w:val="16"/>
    </w:rPr>
  </w:style>
  <w:style w:type="character" w:customStyle="1" w:styleId="FootnoteTextChar">
    <w:name w:val="Footnote Text Char"/>
    <w:link w:val="FootnoteText"/>
    <w:rsid w:val="001B09CB"/>
    <w:rPr>
      <w:rFonts w:ascii="Cambria" w:hAnsi="Cambria"/>
      <w:sz w:val="16"/>
    </w:rPr>
  </w:style>
  <w:style w:type="character" w:styleId="FootnoteReference">
    <w:name w:val="footnote reference"/>
    <w:rsid w:val="00E0322F"/>
    <w:rPr>
      <w:vertAlign w:val="superscript"/>
    </w:rPr>
  </w:style>
  <w:style w:type="paragraph" w:styleId="Footer">
    <w:name w:val="footer"/>
    <w:basedOn w:val="Normal"/>
    <w:link w:val="FooterChar"/>
    <w:rsid w:val="001E48B7"/>
    <w:pPr>
      <w:tabs>
        <w:tab w:val="center" w:pos="4513"/>
        <w:tab w:val="right" w:pos="9026"/>
      </w:tabs>
      <w:spacing w:after="0"/>
    </w:pPr>
    <w:rPr>
      <w:color w:val="7F7F7F"/>
      <w:sz w:val="16"/>
    </w:rPr>
  </w:style>
  <w:style w:type="character" w:customStyle="1" w:styleId="FooterChar">
    <w:name w:val="Footer Char"/>
    <w:link w:val="Footer"/>
    <w:rsid w:val="001E48B7"/>
    <w:rPr>
      <w:rFonts w:ascii="Cambria" w:hAnsi="Cambria"/>
      <w:color w:val="7F7F7F"/>
      <w:sz w:val="16"/>
    </w:rPr>
  </w:style>
  <w:style w:type="paragraph" w:customStyle="1" w:styleId="11Heading3">
    <w:name w:val="1.1 Heading 3"/>
    <w:basedOn w:val="Heading2"/>
    <w:autoRedefine/>
    <w:rsid w:val="001B09CB"/>
    <w:pPr>
      <w:keepNext w:val="0"/>
      <w:keepLines w:val="0"/>
      <w:widowControl w:val="0"/>
      <w:numPr>
        <w:numId w:val="4"/>
      </w:numPr>
      <w:overflowPunct/>
      <w:autoSpaceDE/>
      <w:autoSpaceDN/>
      <w:adjustRightInd/>
      <w:spacing w:before="40" w:after="40"/>
      <w:ind w:right="0"/>
      <w:textAlignment w:val="auto"/>
    </w:pPr>
    <w:rPr>
      <w:rFonts w:ascii="Garamond" w:hAnsi="Garamond" w:cs="Arial"/>
      <w:bCs w:val="0"/>
      <w:spacing w:val="0"/>
      <w:szCs w:val="22"/>
    </w:rPr>
  </w:style>
  <w:style w:type="paragraph" w:styleId="Revision">
    <w:name w:val="Revision"/>
    <w:hidden/>
    <w:uiPriority w:val="99"/>
    <w:semiHidden/>
    <w:rsid w:val="00B22D93"/>
    <w:rPr>
      <w:rFonts w:ascii="Cambria" w:hAnsi="Cambria"/>
    </w:rPr>
  </w:style>
  <w:style w:type="character" w:styleId="CommentReference">
    <w:name w:val="annotation reference"/>
    <w:rsid w:val="00357FA7"/>
    <w:rPr>
      <w:sz w:val="16"/>
      <w:szCs w:val="16"/>
    </w:rPr>
  </w:style>
  <w:style w:type="paragraph" w:styleId="CommentText">
    <w:name w:val="annotation text"/>
    <w:basedOn w:val="Normal"/>
    <w:link w:val="CommentTextChar"/>
    <w:rsid w:val="00357FA7"/>
    <w:rPr>
      <w:sz w:val="20"/>
    </w:rPr>
  </w:style>
  <w:style w:type="character" w:customStyle="1" w:styleId="CommentTextChar">
    <w:name w:val="Comment Text Char"/>
    <w:link w:val="CommentText"/>
    <w:rsid w:val="00357FA7"/>
    <w:rPr>
      <w:rFonts w:ascii="Cambria" w:hAnsi="Cambria"/>
    </w:rPr>
  </w:style>
  <w:style w:type="paragraph" w:styleId="CommentSubject">
    <w:name w:val="annotation subject"/>
    <w:basedOn w:val="CommentText"/>
    <w:next w:val="CommentText"/>
    <w:link w:val="CommentSubjectChar"/>
    <w:rsid w:val="00357FA7"/>
    <w:rPr>
      <w:b/>
      <w:bCs/>
    </w:rPr>
  </w:style>
  <w:style w:type="character" w:customStyle="1" w:styleId="CommentSubjectChar">
    <w:name w:val="Comment Subject Char"/>
    <w:link w:val="CommentSubject"/>
    <w:rsid w:val="00357FA7"/>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84238">
      <w:bodyDiv w:val="1"/>
      <w:marLeft w:val="0"/>
      <w:marRight w:val="0"/>
      <w:marTop w:val="0"/>
      <w:marBottom w:val="0"/>
      <w:divBdr>
        <w:top w:val="none" w:sz="0" w:space="0" w:color="auto"/>
        <w:left w:val="none" w:sz="0" w:space="0" w:color="auto"/>
        <w:bottom w:val="none" w:sz="0" w:space="0" w:color="auto"/>
        <w:right w:val="none" w:sz="0" w:space="0" w:color="auto"/>
      </w:divBdr>
    </w:div>
    <w:div w:id="128479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288A8-21E4-4FC5-AB7C-42E813E333E7}">
  <ds:schemaRefs>
    <ds:schemaRef ds:uri="http://schemas.openxmlformats.org/officeDocument/2006/bibliography"/>
  </ds:schemaRefs>
</ds:datastoreItem>
</file>

<file path=customXml/itemProps2.xml><?xml version="1.0" encoding="utf-8"?>
<ds:datastoreItem xmlns:ds="http://schemas.openxmlformats.org/officeDocument/2006/customXml" ds:itemID="{D62B4C08-F74C-4248-9A82-80AD7F31342F}">
  <ds:schemaRefs>
    <ds:schemaRef ds:uri="http://schemas.microsoft.com/sharepoint/v3/contenttype/forms"/>
  </ds:schemaRefs>
</ds:datastoreItem>
</file>

<file path=customXml/itemProps3.xml><?xml version="1.0" encoding="utf-8"?>
<ds:datastoreItem xmlns:ds="http://schemas.openxmlformats.org/officeDocument/2006/customXml" ds:itemID="{9CFCA6EE-19FC-45AE-A612-6C920098167B}">
  <ds:schemaRefs>
    <ds:schemaRef ds:uri="http://purl.org/dc/elements/1.1/"/>
    <ds:schemaRef ds:uri="http://purl.org/dc/dcmitype/"/>
    <ds:schemaRef ds:uri="http://schemas.microsoft.com/sharepoint/v3/fields"/>
    <ds:schemaRef ds:uri="http://schemas.microsoft.com/office/2006/metadata/properties"/>
    <ds:schemaRef ds:uri="http://www.w3.org/XML/1998/namespac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04D58E1-2E60-4DEF-80D5-85E45E9C3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962</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Detection and Isolation and Identification of top seven Shiga Toxin-Producing                        Escherichia coli (STEC) from Meat and Meat Products - MLG 5C</vt:lpstr>
    </vt:vector>
  </TitlesOfParts>
  <Company>Department of Agriculture, Fisheries and Forestry</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Detection and Isolation and Identification of top seven Shiga Toxin-Producing                        Escherichia coli (STEC) from Meat and Meat Products - MLG 5C</dc:title>
  <dc:subject>Approved Method Manual</dc:subject>
  <dc:creator>Arefin Chowdhury</dc:creator>
  <cp:keywords>Microbiological Testing, Meat testing, MLG 5C, Shiga-toxin</cp:keywords>
  <dc:description>Testing of meat and meat products for Escherichia coli O157 and non-O157 (STEC) using MLG 5C</dc:description>
  <cp:lastModifiedBy>Chowdhury, Arefin</cp:lastModifiedBy>
  <cp:revision>5</cp:revision>
  <cp:lastPrinted>2024-03-28T01:55:00Z</cp:lastPrinted>
  <dcterms:created xsi:type="dcterms:W3CDTF">2024-03-25T23:28:00Z</dcterms:created>
  <dcterms:modified xsi:type="dcterms:W3CDTF">2024-03-28T01:55:00Z</dcterms:modified>
  <cp:category>Microbiological method</cp:category>
  <cp:contentStatus>Final</cp:contentStatus>
</cp:coreProperties>
</file>