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CF378" w14:textId="77777777" w:rsidR="00160D16" w:rsidRDefault="00160D16" w:rsidP="007E296B">
      <w:pPr>
        <w:pStyle w:val="Heading1"/>
      </w:pPr>
      <w:bookmarkStart w:id="0" w:name="_Ref147716345"/>
      <w:bookmarkStart w:id="1" w:name="_Toc248826505"/>
      <w:bookmarkStart w:id="2" w:name="OLE_LINK1"/>
      <w:bookmarkStart w:id="3" w:name="OLE_LINK2"/>
      <w:r>
        <w:t>Detection</w:t>
      </w:r>
      <w:r w:rsidR="00371F32">
        <w:t>,</w:t>
      </w:r>
      <w:r>
        <w:t xml:space="preserve"> Isolation </w:t>
      </w:r>
      <w:r w:rsidR="00B22D93">
        <w:t xml:space="preserve">and Identification of </w:t>
      </w:r>
      <w:r w:rsidR="00DC28C6">
        <w:t>t</w:t>
      </w:r>
      <w:r w:rsidR="00B22D93">
        <w:t xml:space="preserve">op </w:t>
      </w:r>
      <w:r w:rsidR="00C624BF">
        <w:t>seven</w:t>
      </w:r>
      <w:r w:rsidR="00B22D93">
        <w:t xml:space="preserve"> Shiga Toxin-Producing </w:t>
      </w:r>
      <w:r>
        <w:rPr>
          <w:i/>
        </w:rPr>
        <w:t>Escherichia coli</w:t>
      </w:r>
      <w:r>
        <w:t xml:space="preserve"> (STEC) from Meat and </w:t>
      </w:r>
      <w:r w:rsidRPr="00160D16">
        <w:t>Meat</w:t>
      </w:r>
      <w:r>
        <w:t xml:space="preserve"> Products - MLG 5</w:t>
      </w:r>
      <w:r w:rsidR="00B22D93">
        <w:t>C</w:t>
      </w:r>
      <w:bookmarkEnd w:id="0"/>
      <w:bookmarkEnd w:id="1"/>
      <w:r w:rsidR="0054660F">
        <w:t xml:space="preserve"> Appendix 3</w:t>
      </w:r>
      <w:r w:rsidR="00F762B5">
        <w:t>, 4</w:t>
      </w:r>
      <w:r w:rsidR="00C624BF">
        <w:t xml:space="preserve"> and 5</w:t>
      </w:r>
      <w:r w:rsidR="00B605C5">
        <w:t xml:space="preserve"> (screening only)</w:t>
      </w:r>
    </w:p>
    <w:p w14:paraId="67151E74" w14:textId="77777777" w:rsidR="00160D16" w:rsidRDefault="00160D16" w:rsidP="00D35FA8">
      <w:pPr>
        <w:pStyle w:val="Heading2"/>
      </w:pPr>
      <w:bookmarkStart w:id="4" w:name="_Toc248826506"/>
      <w:bookmarkEnd w:id="2"/>
      <w:bookmarkEnd w:id="3"/>
      <w:r w:rsidRPr="007E296B">
        <w:t>SCOPE</w:t>
      </w:r>
      <w:bookmarkEnd w:id="4"/>
    </w:p>
    <w:p w14:paraId="303E4802" w14:textId="74AAF480" w:rsidR="00160D16" w:rsidRDefault="00DC28C6" w:rsidP="0041350A">
      <w:pPr>
        <w:rPr>
          <w:rFonts w:cs="TimesNewRoman"/>
        </w:rPr>
      </w:pPr>
      <w:r>
        <w:t>A</w:t>
      </w:r>
      <w:r w:rsidR="00160D16">
        <w:t xml:space="preserve">pplicable for </w:t>
      </w:r>
      <w:r w:rsidR="00B605C5">
        <w:t>screening</w:t>
      </w:r>
      <w:r w:rsidR="00160D16">
        <w:t xml:space="preserve"> of top</w:t>
      </w:r>
      <w:r w:rsidR="00AB0D4A">
        <w:t xml:space="preserve"> </w:t>
      </w:r>
      <w:r w:rsidR="00874BB3">
        <w:t>six</w:t>
      </w:r>
      <w:r w:rsidR="00160D16">
        <w:t xml:space="preserve"> </w:t>
      </w:r>
      <w:r w:rsidR="00160D16" w:rsidRPr="00017798">
        <w:rPr>
          <w:iCs/>
        </w:rPr>
        <w:t>Shiga</w:t>
      </w:r>
      <w:r w:rsidR="00160D16">
        <w:t xml:space="preserve">-toxin </w:t>
      </w:r>
      <w:r w:rsidR="0077703A">
        <w:t>p</w:t>
      </w:r>
      <w:r w:rsidR="00160D16">
        <w:t>roducing</w:t>
      </w:r>
      <w:r w:rsidR="0077703A">
        <w:t xml:space="preserve"> </w:t>
      </w:r>
      <w:r w:rsidR="0077703A" w:rsidRPr="00A4460D">
        <w:rPr>
          <w:i/>
          <w:iCs/>
        </w:rPr>
        <w:t>E. coli</w:t>
      </w:r>
      <w:r w:rsidR="00160D16">
        <w:t xml:space="preserve"> </w:t>
      </w:r>
      <w:r w:rsidR="0077703A">
        <w:t>(</w:t>
      </w:r>
      <w:r w:rsidR="00281F87">
        <w:t>STEC</w:t>
      </w:r>
      <w:r w:rsidR="0077703A">
        <w:t>)</w:t>
      </w:r>
      <w:r w:rsidR="00281F87">
        <w:t xml:space="preserve"> (</w:t>
      </w:r>
      <w:r w:rsidR="00160D16">
        <w:rPr>
          <w:i/>
        </w:rPr>
        <w:t>E. coli</w:t>
      </w:r>
      <w:r w:rsidR="00160D16">
        <w:t xml:space="preserve"> O26, O45, O103, O111, O121 and O145) in meat products</w:t>
      </w:r>
      <w:r w:rsidR="00246D77">
        <w:rPr>
          <w:rFonts w:cs="TimesNewRoman"/>
        </w:rPr>
        <w:t xml:space="preserve"> using MLG 5C Appendix 3, and </w:t>
      </w:r>
      <w:r w:rsidR="00E85C4F">
        <w:rPr>
          <w:rFonts w:cs="TimesNewRoman"/>
        </w:rPr>
        <w:t xml:space="preserve">E. coli </w:t>
      </w:r>
      <w:r w:rsidR="00246D77">
        <w:rPr>
          <w:rFonts w:cs="TimesNewRoman"/>
        </w:rPr>
        <w:t>O157</w:t>
      </w:r>
      <w:r w:rsidR="00E85C4F">
        <w:rPr>
          <w:rFonts w:cs="TimesNewRoman"/>
        </w:rPr>
        <w:t>:H7</w:t>
      </w:r>
      <w:r w:rsidR="00246D77">
        <w:rPr>
          <w:rFonts w:cs="TimesNewRoman"/>
        </w:rPr>
        <w:t xml:space="preserve"> using MLG 5C Appendix 5. </w:t>
      </w:r>
    </w:p>
    <w:p w14:paraId="605D3A42" w14:textId="77777777" w:rsidR="00160D16" w:rsidRDefault="00160D16" w:rsidP="00D35FA8">
      <w:pPr>
        <w:pStyle w:val="Heading2"/>
      </w:pPr>
      <w:bookmarkStart w:id="5" w:name="_Toc248826507"/>
      <w:r>
        <w:t>PRINCIPLES</w:t>
      </w:r>
      <w:bookmarkEnd w:id="5"/>
    </w:p>
    <w:p w14:paraId="7390E564" w14:textId="4AAE1325" w:rsidR="0041350A" w:rsidRDefault="00160D16" w:rsidP="007E296B">
      <w:r>
        <w:t>MLG 5</w:t>
      </w:r>
      <w:r w:rsidR="000D3629">
        <w:t>C</w:t>
      </w:r>
      <w:r>
        <w:t xml:space="preserve"> </w:t>
      </w:r>
      <w:r w:rsidR="00246D77">
        <w:t xml:space="preserve">Appendix 3 and 5 </w:t>
      </w:r>
      <w:r w:rsidR="00DE0950">
        <w:t>use</w:t>
      </w:r>
      <w:r>
        <w:t xml:space="preserve"> multiplex Real</w:t>
      </w:r>
      <w:r w:rsidR="00AB0D4A">
        <w:t>-</w:t>
      </w:r>
      <w:r>
        <w:t>Time</w:t>
      </w:r>
      <w:r w:rsidR="00AB0D4A">
        <w:t xml:space="preserve"> </w:t>
      </w:r>
      <w:r>
        <w:t xml:space="preserve">PCR detection assays </w:t>
      </w:r>
      <w:r w:rsidR="00407D49">
        <w:t xml:space="preserve">utilizing </w:t>
      </w:r>
      <w:r w:rsidR="002C1A81">
        <w:t xml:space="preserve">the </w:t>
      </w:r>
      <w:r w:rsidR="00407D49">
        <w:t>ABI 7500 FAST</w:t>
      </w:r>
      <w:r w:rsidR="00407D49">
        <w:rPr>
          <w:rStyle w:val="FootnoteReference"/>
        </w:rPr>
        <w:footnoteReference w:id="1"/>
      </w:r>
      <w:r w:rsidR="00407D49">
        <w:t xml:space="preserve"> platform</w:t>
      </w:r>
      <w:r w:rsidR="00B605C5">
        <w:t>.</w:t>
      </w:r>
      <w:r>
        <w:t xml:space="preserve"> The assay detects the presence of the Shiga</w:t>
      </w:r>
      <w:r w:rsidR="0077703A">
        <w:t xml:space="preserve"> </w:t>
      </w:r>
      <w:r>
        <w:t>toxin (</w:t>
      </w:r>
      <w:r>
        <w:rPr>
          <w:i/>
        </w:rPr>
        <w:t>stx</w:t>
      </w:r>
      <w:r w:rsidR="000D3629">
        <w:rPr>
          <w:i/>
        </w:rPr>
        <w:t>1</w:t>
      </w:r>
      <w:r w:rsidR="000D3629" w:rsidRPr="00C275CB">
        <w:rPr>
          <w:iCs/>
        </w:rPr>
        <w:t>/</w:t>
      </w:r>
      <w:r w:rsidR="000D3629">
        <w:rPr>
          <w:i/>
        </w:rPr>
        <w:t>2</w:t>
      </w:r>
      <w:r>
        <w:t xml:space="preserve">) and </w:t>
      </w:r>
      <w:r w:rsidR="0077703A">
        <w:t>i</w:t>
      </w:r>
      <w:r>
        <w:t>ntimin (</w:t>
      </w:r>
      <w:r>
        <w:rPr>
          <w:i/>
        </w:rPr>
        <w:t>eae</w:t>
      </w:r>
      <w:r>
        <w:t>) genes</w:t>
      </w:r>
      <w:r w:rsidR="0041350A">
        <w:t xml:space="preserve"> and genes specific </w:t>
      </w:r>
      <w:r w:rsidR="00E85C4F">
        <w:t>to top seven STEC</w:t>
      </w:r>
      <w:r>
        <w:t xml:space="preserve"> serogroups</w:t>
      </w:r>
      <w:r w:rsidR="00B605C5">
        <w:t>.</w:t>
      </w:r>
      <w:r w:rsidR="0041350A">
        <w:t xml:space="preserve"> </w:t>
      </w:r>
    </w:p>
    <w:p w14:paraId="18BD315B" w14:textId="77777777" w:rsidR="00407D49" w:rsidRDefault="00407D49" w:rsidP="007E296B">
      <w:r>
        <w:t xml:space="preserve">Note: Primer and Probe Sequences and reagent </w:t>
      </w:r>
      <w:r w:rsidR="00D35FA8">
        <w:t>c</w:t>
      </w:r>
      <w:r>
        <w:t>oncentrations must be used as per MLG 5C Appendix 4</w:t>
      </w:r>
      <w:r w:rsidR="00246D77">
        <w:t xml:space="preserve"> (non-O157 STEC</w:t>
      </w:r>
      <w:r w:rsidR="0041350A">
        <w:t>)</w:t>
      </w:r>
      <w:r w:rsidR="00246D77">
        <w:t xml:space="preserve"> and Appendix 5 </w:t>
      </w:r>
      <w:r w:rsidR="00E85C4F">
        <w:t>(</w:t>
      </w:r>
      <w:r w:rsidR="00246D77">
        <w:t>O157</w:t>
      </w:r>
      <w:r w:rsidR="00E85C4F">
        <w:t>:H7)</w:t>
      </w:r>
      <w:r w:rsidR="00246D77">
        <w:t>.</w:t>
      </w:r>
    </w:p>
    <w:p w14:paraId="2D1B25A2" w14:textId="77777777" w:rsidR="00160D16" w:rsidRDefault="00160D16" w:rsidP="00160D16">
      <w:pPr>
        <w:pStyle w:val="Heading3"/>
        <w:spacing w:line="240" w:lineRule="auto"/>
      </w:pPr>
      <w:bookmarkStart w:id="6" w:name="OLE_LINK25"/>
      <w:bookmarkStart w:id="7" w:name="OLE_LINK26"/>
      <w:r>
        <w:t>Enrichment</w:t>
      </w:r>
    </w:p>
    <w:p w14:paraId="057F8CD3" w14:textId="77777777" w:rsidR="00160D16" w:rsidRDefault="00160D16" w:rsidP="00160D16">
      <w:pPr>
        <w:pStyle w:val="Normal-para"/>
      </w:pPr>
      <w:r>
        <w:t xml:space="preserve">Samples </w:t>
      </w:r>
      <w:r w:rsidR="00206331">
        <w:t xml:space="preserve">(325 ± 32.5 g) are diluted in 975 ± 19.5 mL mTSB. If meat </w:t>
      </w:r>
      <w:r w:rsidR="00811A82">
        <w:t>pieces</w:t>
      </w:r>
      <w:r w:rsidR="00206331">
        <w:t xml:space="preserve"> are </w:t>
      </w:r>
      <w:r w:rsidR="00AB0D4A">
        <w:t>overweight</w:t>
      </w:r>
      <w:r w:rsidR="00206331">
        <w:t xml:space="preserve">, prepare a second sub-sample </w:t>
      </w:r>
      <w:r w:rsidR="00811A82">
        <w:t xml:space="preserve">that must be ≥ </w:t>
      </w:r>
      <w:r w:rsidR="00206331">
        <w:t>6</w:t>
      </w:r>
      <w:r w:rsidR="00811A82">
        <w:t>3 and ≤ 357.5 g</w:t>
      </w:r>
      <w:r w:rsidR="00206331">
        <w:t xml:space="preserve"> </w:t>
      </w:r>
      <w:r w:rsidR="00811A82">
        <w:t>at 1:4 dilution.</w:t>
      </w:r>
      <w:r w:rsidR="00AB0D4A">
        <w:t xml:space="preserve"> </w:t>
      </w:r>
      <w:r>
        <w:t xml:space="preserve"> </w:t>
      </w:r>
      <w:r w:rsidR="0077703A">
        <w:t>Samples and diluent are s</w:t>
      </w:r>
      <w:r>
        <w:t xml:space="preserve">tomached and incubated static at 42 ± 1 </w:t>
      </w:r>
      <w:r>
        <w:sym w:font="Symbol" w:char="F0B0"/>
      </w:r>
      <w:r>
        <w:t xml:space="preserve">C for 15-24 h. A positive control </w:t>
      </w:r>
      <w:r w:rsidR="005011E2">
        <w:t>(</w:t>
      </w:r>
      <w:r w:rsidR="005011E2" w:rsidRPr="00A4460D">
        <w:rPr>
          <w:i/>
          <w:iCs/>
        </w:rPr>
        <w:t>E. coli</w:t>
      </w:r>
      <w:r w:rsidR="005011E2">
        <w:t xml:space="preserve"> O157:H7 </w:t>
      </w:r>
      <w:proofErr w:type="spellStart"/>
      <w:r w:rsidR="005011E2" w:rsidRPr="00A4460D">
        <w:rPr>
          <w:i/>
          <w:iCs/>
        </w:rPr>
        <w:t>stx</w:t>
      </w:r>
      <w:proofErr w:type="spellEnd"/>
      <w:r w:rsidR="005011E2">
        <w:t>+,</w:t>
      </w:r>
      <w:r w:rsidR="0041350A">
        <w:t xml:space="preserve"> </w:t>
      </w:r>
      <w:r w:rsidR="005011E2" w:rsidRPr="00A4460D">
        <w:rPr>
          <w:i/>
          <w:iCs/>
        </w:rPr>
        <w:t>eae</w:t>
      </w:r>
      <w:r w:rsidR="005011E2">
        <w:t xml:space="preserve">+) and </w:t>
      </w:r>
      <w:r>
        <w:t xml:space="preserve">a blank </w:t>
      </w:r>
      <w:r w:rsidR="0077703A">
        <w:t xml:space="preserve">must be included </w:t>
      </w:r>
      <w:r>
        <w:t>with each batch of samples.</w:t>
      </w:r>
    </w:p>
    <w:p w14:paraId="094A2D62" w14:textId="77777777" w:rsidR="00B605C5" w:rsidRDefault="00B605C5" w:rsidP="00160D16">
      <w:pPr>
        <w:pStyle w:val="Normal-para"/>
      </w:pPr>
      <w:r>
        <w:t>Note: DAFF export sample weight collected is 375 ± 37.5 g, hence, when using this method, a sub-sample needs to be prepared and analysed.</w:t>
      </w:r>
    </w:p>
    <w:bookmarkEnd w:id="6"/>
    <w:bookmarkEnd w:id="7"/>
    <w:p w14:paraId="7DBBBAF3" w14:textId="77777777" w:rsidR="00AB0D4A" w:rsidRPr="00AB0D4A" w:rsidRDefault="00AB0D4A" w:rsidP="00160D16">
      <w:pPr>
        <w:pStyle w:val="Heading3"/>
        <w:spacing w:line="240" w:lineRule="auto"/>
      </w:pPr>
      <w:r w:rsidRPr="00AB0D4A">
        <w:t xml:space="preserve">Screening </w:t>
      </w:r>
      <w:r w:rsidR="00874BB3">
        <w:t xml:space="preserve">procedure using Real-time </w:t>
      </w:r>
      <w:r w:rsidRPr="00AB0D4A">
        <w:t xml:space="preserve">PCR for </w:t>
      </w:r>
      <w:proofErr w:type="spellStart"/>
      <w:r w:rsidRPr="00AB0D4A">
        <w:t>st</w:t>
      </w:r>
      <w:r>
        <w:t>x</w:t>
      </w:r>
      <w:proofErr w:type="spellEnd"/>
      <w:r w:rsidRPr="00AB0D4A">
        <w:t>/</w:t>
      </w:r>
      <w:r w:rsidRPr="00A4460D">
        <w:rPr>
          <w:i/>
          <w:iCs/>
        </w:rPr>
        <w:t>eae</w:t>
      </w:r>
      <w:r w:rsidRPr="00AB0D4A">
        <w:t xml:space="preserve"> and O-</w:t>
      </w:r>
      <w:proofErr w:type="gramStart"/>
      <w:r w:rsidRPr="00AB0D4A">
        <w:t>group</w:t>
      </w:r>
      <w:proofErr w:type="gramEnd"/>
    </w:p>
    <w:p w14:paraId="25FFFEE1" w14:textId="77777777" w:rsidR="00874BB3" w:rsidRPr="00DC28C6" w:rsidRDefault="00874BB3" w:rsidP="00874BB3">
      <w:pPr>
        <w:pStyle w:val="Normal-para"/>
        <w:spacing w:after="0"/>
        <w:rPr>
          <w:b/>
          <w:bCs/>
          <w:i/>
          <w:iCs/>
        </w:rPr>
      </w:pPr>
      <w:r w:rsidRPr="00DC28C6">
        <w:rPr>
          <w:b/>
          <w:bCs/>
          <w:i/>
          <w:iCs/>
        </w:rPr>
        <w:t>DNA Extraction</w:t>
      </w:r>
    </w:p>
    <w:p w14:paraId="68E1C84A" w14:textId="77777777" w:rsidR="00874BB3" w:rsidRDefault="00874BB3" w:rsidP="00160D16">
      <w:pPr>
        <w:pStyle w:val="Normal-para"/>
      </w:pPr>
      <w:r>
        <w:t>DNA extraction is to be conducted from overnight enrichment as per MLG 5C Appendix 3.</w:t>
      </w:r>
    </w:p>
    <w:p w14:paraId="38CDB4D2" w14:textId="77777777" w:rsidR="00874BB3" w:rsidRPr="00DC28C6" w:rsidRDefault="00874BB3" w:rsidP="00DE0950">
      <w:pPr>
        <w:pStyle w:val="Normal-para"/>
        <w:spacing w:after="0"/>
        <w:rPr>
          <w:b/>
          <w:bCs/>
          <w:i/>
          <w:iCs/>
        </w:rPr>
      </w:pPr>
      <w:r w:rsidRPr="00DC28C6">
        <w:rPr>
          <w:b/>
          <w:bCs/>
          <w:i/>
          <w:iCs/>
        </w:rPr>
        <w:t>Real-time PCR Procedure</w:t>
      </w:r>
    </w:p>
    <w:p w14:paraId="469EB262" w14:textId="77777777" w:rsidR="00160D16" w:rsidRPr="00A1160D" w:rsidRDefault="00AB0D4A" w:rsidP="00160D16">
      <w:pPr>
        <w:pStyle w:val="Normal-para"/>
        <w:rPr>
          <w:rFonts w:cs="Arial"/>
        </w:rPr>
      </w:pPr>
      <w:r>
        <w:t>S</w:t>
      </w:r>
      <w:r w:rsidR="00160D16" w:rsidRPr="00A1160D">
        <w:rPr>
          <w:rFonts w:cs="Arial"/>
        </w:rPr>
        <w:t xml:space="preserve">amples are screened for the presence of </w:t>
      </w:r>
      <w:proofErr w:type="spellStart"/>
      <w:r w:rsidR="00160D16" w:rsidRPr="00A1160D">
        <w:rPr>
          <w:rFonts w:cs="Arial"/>
          <w:i/>
        </w:rPr>
        <w:t>stx</w:t>
      </w:r>
      <w:proofErr w:type="spellEnd"/>
      <w:r w:rsidR="00160D16" w:rsidRPr="00A1160D">
        <w:rPr>
          <w:rFonts w:cs="Arial"/>
        </w:rPr>
        <w:t xml:space="preserve"> and </w:t>
      </w:r>
      <w:r w:rsidR="00160D16" w:rsidRPr="00A1160D">
        <w:rPr>
          <w:rFonts w:cs="Arial"/>
          <w:i/>
        </w:rPr>
        <w:t>eae</w:t>
      </w:r>
      <w:r w:rsidR="00160D16" w:rsidRPr="00A1160D">
        <w:rPr>
          <w:rFonts w:cs="Arial"/>
        </w:rPr>
        <w:t xml:space="preserve"> using </w:t>
      </w:r>
      <w:r w:rsidR="00017798">
        <w:rPr>
          <w:rFonts w:cs="Arial"/>
        </w:rPr>
        <w:t>Real-time</w:t>
      </w:r>
      <w:r w:rsidR="00657606" w:rsidRPr="00A1160D">
        <w:rPr>
          <w:rFonts w:cs="Arial"/>
        </w:rPr>
        <w:t xml:space="preserve"> </w:t>
      </w:r>
      <w:r w:rsidR="00160D16" w:rsidRPr="00A1160D">
        <w:rPr>
          <w:rFonts w:cs="Arial"/>
        </w:rPr>
        <w:t>PCR assays (</w:t>
      </w:r>
      <w:r w:rsidR="00160D16">
        <w:t xml:space="preserve">follow </w:t>
      </w:r>
      <w:r w:rsidR="00017798">
        <w:t>MLG 5C Appendix 3</w:t>
      </w:r>
      <w:r w:rsidR="00160D16">
        <w:t>)</w:t>
      </w:r>
      <w:r w:rsidR="00160D16" w:rsidRPr="00A1160D">
        <w:rPr>
          <w:rFonts w:cs="Arial"/>
        </w:rPr>
        <w:t xml:space="preserve">.  Samples negative for </w:t>
      </w:r>
      <w:proofErr w:type="spellStart"/>
      <w:r w:rsidR="00160D16" w:rsidRPr="00A1160D">
        <w:rPr>
          <w:rFonts w:cs="Arial"/>
          <w:i/>
        </w:rPr>
        <w:t>stx</w:t>
      </w:r>
      <w:proofErr w:type="spellEnd"/>
      <w:r w:rsidR="00160D16" w:rsidRPr="00A1160D">
        <w:rPr>
          <w:rFonts w:cs="Arial"/>
        </w:rPr>
        <w:t xml:space="preserve"> and/or </w:t>
      </w:r>
      <w:r w:rsidR="00160D16" w:rsidRPr="00A1160D">
        <w:rPr>
          <w:rFonts w:cs="Arial"/>
          <w:i/>
        </w:rPr>
        <w:t>eae</w:t>
      </w:r>
      <w:r w:rsidR="00160D16" w:rsidRPr="00A1160D">
        <w:rPr>
          <w:rFonts w:cs="Arial"/>
        </w:rPr>
        <w:t xml:space="preserve"> targets are considered negative for </w:t>
      </w:r>
      <w:r w:rsidR="00657606" w:rsidRPr="00A1160D">
        <w:rPr>
          <w:rFonts w:cs="Arial"/>
        </w:rPr>
        <w:t xml:space="preserve">top </w:t>
      </w:r>
      <w:r w:rsidR="00B4672E">
        <w:rPr>
          <w:rFonts w:cs="Arial"/>
        </w:rPr>
        <w:t>7</w:t>
      </w:r>
      <w:r w:rsidR="00E85C4F">
        <w:rPr>
          <w:rFonts w:cs="Arial"/>
        </w:rPr>
        <w:t xml:space="preserve"> </w:t>
      </w:r>
      <w:r w:rsidR="00160D16" w:rsidRPr="00A1160D">
        <w:rPr>
          <w:rFonts w:cs="Arial"/>
        </w:rPr>
        <w:t xml:space="preserve">STEC. </w:t>
      </w:r>
      <w:r w:rsidR="00160D16">
        <w:t xml:space="preserve">Samples </w:t>
      </w:r>
      <w:r w:rsidR="00160D16" w:rsidRPr="00A1160D">
        <w:rPr>
          <w:rFonts w:cs="Arial"/>
        </w:rPr>
        <w:t xml:space="preserve">that test positive will be further analysed by </w:t>
      </w:r>
      <w:r w:rsidR="00017798">
        <w:rPr>
          <w:rFonts w:cs="Arial"/>
        </w:rPr>
        <w:t>three additional Real-time</w:t>
      </w:r>
      <w:r w:rsidRPr="00A1160D">
        <w:rPr>
          <w:rFonts w:cs="Arial"/>
        </w:rPr>
        <w:t xml:space="preserve"> PCR</w:t>
      </w:r>
      <w:r w:rsidR="00160D16">
        <w:t xml:space="preserve"> </w:t>
      </w:r>
      <w:r w:rsidR="00017798">
        <w:t xml:space="preserve">Assays </w:t>
      </w:r>
      <w:r w:rsidR="00160D16">
        <w:t xml:space="preserve">to determine if a top </w:t>
      </w:r>
      <w:r w:rsidR="00017798">
        <w:t>six</w:t>
      </w:r>
      <w:r w:rsidR="00084020">
        <w:t xml:space="preserve"> </w:t>
      </w:r>
      <w:r w:rsidR="00160D16">
        <w:t>serogroup (O26, O45, O103, O111, O121 or O145) is present</w:t>
      </w:r>
      <w:r w:rsidR="00387638">
        <w:t>.</w:t>
      </w:r>
      <w:r w:rsidR="00B4672E">
        <w:t xml:space="preserve"> Real-time PCR </w:t>
      </w:r>
      <w:r w:rsidR="00C624BF">
        <w:t xml:space="preserve">as per MLG 5C Appendix 5 </w:t>
      </w:r>
      <w:r w:rsidR="00387638">
        <w:t xml:space="preserve">is used </w:t>
      </w:r>
      <w:r w:rsidR="00B4672E" w:rsidRPr="0022488D">
        <w:t>to detect the fliCH7 gene</w:t>
      </w:r>
      <w:r w:rsidR="00B4672E">
        <w:t xml:space="preserve"> of </w:t>
      </w:r>
      <w:r w:rsidR="00B4672E" w:rsidRPr="00246D77">
        <w:rPr>
          <w:i/>
          <w:iCs/>
        </w:rPr>
        <w:t>E. coli</w:t>
      </w:r>
      <w:r w:rsidR="00B4672E">
        <w:t xml:space="preserve"> (including O157:H7</w:t>
      </w:r>
      <w:r w:rsidR="00C624BF">
        <w:t xml:space="preserve">). </w:t>
      </w:r>
      <w:r w:rsidR="00160D16" w:rsidRPr="00A1160D">
        <w:rPr>
          <w:rFonts w:cs="Arial"/>
        </w:rPr>
        <w:t>Sample</w:t>
      </w:r>
      <w:r w:rsidR="00F762B5">
        <w:rPr>
          <w:rFonts w:cs="Arial"/>
        </w:rPr>
        <w:t>s</w:t>
      </w:r>
      <w:r w:rsidR="00160D16" w:rsidRPr="00A1160D">
        <w:rPr>
          <w:rFonts w:cs="Arial"/>
        </w:rPr>
        <w:t xml:space="preserve"> negative for these serogroups </w:t>
      </w:r>
      <w:r w:rsidR="00F762B5">
        <w:rPr>
          <w:rFonts w:cs="Arial"/>
        </w:rPr>
        <w:t>are</w:t>
      </w:r>
      <w:r w:rsidR="00160D16" w:rsidRPr="00A1160D">
        <w:rPr>
          <w:rFonts w:cs="Arial"/>
        </w:rPr>
        <w:t xml:space="preserve"> considered negative for </w:t>
      </w:r>
      <w:r w:rsidR="00017798">
        <w:rPr>
          <w:rFonts w:cs="Arial"/>
        </w:rPr>
        <w:t xml:space="preserve">top </w:t>
      </w:r>
      <w:r w:rsidR="00E85C4F">
        <w:rPr>
          <w:rFonts w:cs="Arial"/>
        </w:rPr>
        <w:t>seven</w:t>
      </w:r>
      <w:r w:rsidR="00017798">
        <w:rPr>
          <w:rFonts w:cs="Arial"/>
        </w:rPr>
        <w:t xml:space="preserve"> </w:t>
      </w:r>
      <w:r w:rsidR="00160D16" w:rsidRPr="00A1160D">
        <w:rPr>
          <w:rFonts w:cs="Arial"/>
        </w:rPr>
        <w:t xml:space="preserve">STEC. </w:t>
      </w:r>
    </w:p>
    <w:p w14:paraId="5D1CF406" w14:textId="77777777" w:rsidR="00987A2B" w:rsidRPr="009D4CD4" w:rsidRDefault="00987A2B" w:rsidP="00987A2B">
      <w:pPr>
        <w:pStyle w:val="Heading3"/>
        <w:spacing w:line="240" w:lineRule="auto"/>
      </w:pPr>
      <w:r w:rsidRPr="009D4CD4">
        <w:t>Confirmation</w:t>
      </w:r>
    </w:p>
    <w:p w14:paraId="1B540F5F" w14:textId="77777777" w:rsidR="00611558" w:rsidRDefault="00B605C5" w:rsidP="00B605C5">
      <w:pPr>
        <w:pStyle w:val="Normal-para"/>
        <w:sectPr w:rsidR="00611558">
          <w:headerReference w:type="default" r:id="rId11"/>
          <w:footerReference w:type="default" r:id="rId12"/>
          <w:pgSz w:w="11906" w:h="16838" w:code="9"/>
          <w:pgMar w:top="1531" w:right="1134" w:bottom="794" w:left="1701" w:header="709" w:footer="397" w:gutter="0"/>
          <w:cols w:space="708"/>
          <w:docGrid w:linePitch="360"/>
        </w:sectPr>
      </w:pPr>
      <w:r>
        <w:t xml:space="preserve">Positive samples must be confirmed using a department approved method at a department approved laboratory or the product deemed positive for one of the identified STEC for the purposes of disposition. </w:t>
      </w:r>
    </w:p>
    <w:p w14:paraId="7A5DAA5E" w14:textId="01BA7B30" w:rsidR="00160D16" w:rsidRDefault="00160D16" w:rsidP="00160D16">
      <w:pPr>
        <w:rPr>
          <w:rFonts w:cs="Arial"/>
          <w:b/>
        </w:rPr>
      </w:pPr>
      <w:r>
        <w:rPr>
          <w:rFonts w:cs="Arial"/>
          <w:b/>
        </w:rPr>
        <w:lastRenderedPageBreak/>
        <w:t>CHECKLIST</w:t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1800"/>
        <w:gridCol w:w="5040"/>
        <w:gridCol w:w="2340"/>
      </w:tblGrid>
      <w:tr w:rsidR="00160D16" w:rsidRPr="00735C73" w14:paraId="70F02251" w14:textId="77777777" w:rsidTr="00160D16">
        <w:tc>
          <w:tcPr>
            <w:tcW w:w="1800" w:type="dxa"/>
            <w:tcBorders>
              <w:top w:val="single" w:sz="4" w:space="0" w:color="auto"/>
            </w:tcBorders>
          </w:tcPr>
          <w:p w14:paraId="765DD5E0" w14:textId="77777777" w:rsidR="00160D16" w:rsidRPr="00735C73" w:rsidRDefault="00160D16" w:rsidP="007E296B">
            <w:pPr>
              <w:pStyle w:val="TableHeading"/>
              <w:spacing w:before="60" w:after="60"/>
            </w:pPr>
            <w:r w:rsidRPr="00735C73">
              <w:t>Enrichment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08E2EACA" w14:textId="77777777" w:rsidR="00160D16" w:rsidRPr="00735C73" w:rsidRDefault="00160D16" w:rsidP="007E296B">
            <w:pPr>
              <w:pStyle w:val="TableBody"/>
              <w:spacing w:before="60" w:after="60"/>
            </w:pPr>
            <w:r w:rsidRPr="00735C73">
              <w:t xml:space="preserve">Is the sample enriched in </w:t>
            </w:r>
            <w:r w:rsidR="00731F0A" w:rsidRPr="00735C73">
              <w:t>mTSB?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0455F6F7" w14:textId="77777777" w:rsidR="00160D16" w:rsidRPr="00735C73" w:rsidRDefault="00160D16" w:rsidP="007E296B">
            <w:pPr>
              <w:tabs>
                <w:tab w:val="left" w:pos="1962"/>
              </w:tabs>
              <w:spacing w:before="60" w:after="60"/>
              <w:ind w:left="72"/>
              <w:rPr>
                <w:u w:val="single"/>
              </w:rPr>
            </w:pPr>
            <w:r w:rsidRPr="00735C73">
              <w:rPr>
                <w:u w:val="single"/>
              </w:rPr>
              <w:tab/>
            </w:r>
          </w:p>
        </w:tc>
      </w:tr>
      <w:tr w:rsidR="00160D16" w:rsidRPr="00735C73" w14:paraId="1C37956F" w14:textId="77777777" w:rsidTr="00160D16">
        <w:tc>
          <w:tcPr>
            <w:tcW w:w="1800" w:type="dxa"/>
          </w:tcPr>
          <w:p w14:paraId="47616D4B" w14:textId="77777777" w:rsidR="00160D16" w:rsidRPr="00735C73" w:rsidRDefault="00160D16" w:rsidP="007E296B">
            <w:pPr>
              <w:pStyle w:val="TableHeading"/>
              <w:spacing w:before="60" w:after="60"/>
            </w:pPr>
          </w:p>
        </w:tc>
        <w:tc>
          <w:tcPr>
            <w:tcW w:w="5040" w:type="dxa"/>
          </w:tcPr>
          <w:p w14:paraId="7FAAB76D" w14:textId="77777777" w:rsidR="00160D16" w:rsidRPr="00735C73" w:rsidRDefault="00160D16" w:rsidP="007E296B">
            <w:pPr>
              <w:pStyle w:val="TableBody"/>
              <w:spacing w:before="60" w:after="60"/>
            </w:pPr>
            <w:r w:rsidRPr="00735C73">
              <w:t xml:space="preserve">Is enrichment carried out at 42 ± 1 </w:t>
            </w:r>
            <w:r w:rsidRPr="00735C73">
              <w:sym w:font="Symbol" w:char="F0B0"/>
            </w:r>
            <w:r w:rsidRPr="00735C73">
              <w:t>C for 15-24 h?</w:t>
            </w:r>
          </w:p>
        </w:tc>
        <w:tc>
          <w:tcPr>
            <w:tcW w:w="2340" w:type="dxa"/>
            <w:vAlign w:val="bottom"/>
          </w:tcPr>
          <w:p w14:paraId="534BC0FD" w14:textId="77777777" w:rsidR="00160D16" w:rsidRPr="00735C73" w:rsidRDefault="00160D16" w:rsidP="007E296B">
            <w:pPr>
              <w:tabs>
                <w:tab w:val="left" w:pos="1962"/>
              </w:tabs>
              <w:spacing w:before="60" w:after="60"/>
              <w:ind w:left="72"/>
              <w:rPr>
                <w:u w:val="single"/>
              </w:rPr>
            </w:pPr>
            <w:r w:rsidRPr="00735C73">
              <w:rPr>
                <w:u w:val="single"/>
              </w:rPr>
              <w:tab/>
            </w:r>
          </w:p>
        </w:tc>
      </w:tr>
      <w:tr w:rsidR="00B605C5" w:rsidRPr="00735C73" w14:paraId="73EFA987" w14:textId="77777777" w:rsidTr="00160D16">
        <w:tc>
          <w:tcPr>
            <w:tcW w:w="1800" w:type="dxa"/>
          </w:tcPr>
          <w:p w14:paraId="1B6C8FE7" w14:textId="77777777" w:rsidR="00B605C5" w:rsidRPr="00735C73" w:rsidRDefault="00B605C5" w:rsidP="007E296B">
            <w:pPr>
              <w:pStyle w:val="TableHeading"/>
              <w:spacing w:before="60" w:after="60"/>
            </w:pPr>
          </w:p>
        </w:tc>
        <w:tc>
          <w:tcPr>
            <w:tcW w:w="5040" w:type="dxa"/>
          </w:tcPr>
          <w:p w14:paraId="2ED95CD2" w14:textId="77777777" w:rsidR="00B605C5" w:rsidRPr="00735C73" w:rsidRDefault="00B605C5" w:rsidP="007E296B">
            <w:pPr>
              <w:pStyle w:val="TableBody"/>
              <w:spacing w:before="60" w:after="60"/>
            </w:pPr>
            <w:r>
              <w:t>Is the correct amount of enrichment broth used (i.e. 975 ±19.5 mL of mTSB for 325 ± 32.5 g sample)?</w:t>
            </w:r>
          </w:p>
        </w:tc>
        <w:tc>
          <w:tcPr>
            <w:tcW w:w="2340" w:type="dxa"/>
            <w:vAlign w:val="bottom"/>
          </w:tcPr>
          <w:p w14:paraId="63CABE33" w14:textId="77777777" w:rsidR="00B605C5" w:rsidRPr="00735C73" w:rsidRDefault="00B605C5" w:rsidP="007E296B">
            <w:pPr>
              <w:tabs>
                <w:tab w:val="left" w:pos="1962"/>
              </w:tabs>
              <w:spacing w:before="60" w:after="60"/>
              <w:ind w:left="72"/>
              <w:rPr>
                <w:u w:val="single"/>
              </w:rPr>
            </w:pPr>
          </w:p>
        </w:tc>
      </w:tr>
      <w:tr w:rsidR="00B605C5" w:rsidRPr="00735C73" w14:paraId="640F4C64" w14:textId="77777777" w:rsidTr="00160D16">
        <w:tc>
          <w:tcPr>
            <w:tcW w:w="1800" w:type="dxa"/>
          </w:tcPr>
          <w:p w14:paraId="4C479BAD" w14:textId="77777777" w:rsidR="00B605C5" w:rsidRPr="00735C73" w:rsidRDefault="00B605C5" w:rsidP="007E296B">
            <w:pPr>
              <w:pStyle w:val="TableHeading"/>
              <w:spacing w:before="60" w:after="60"/>
            </w:pPr>
          </w:p>
        </w:tc>
        <w:tc>
          <w:tcPr>
            <w:tcW w:w="5040" w:type="dxa"/>
          </w:tcPr>
          <w:p w14:paraId="722C0A98" w14:textId="77777777" w:rsidR="00B605C5" w:rsidRDefault="00B605C5" w:rsidP="007E296B">
            <w:pPr>
              <w:pStyle w:val="TableBody"/>
              <w:spacing w:before="60" w:after="60"/>
            </w:pPr>
            <w:r w:rsidRPr="00B605C5">
              <w:t>Is a sub-sample processed and enriched at 1:4 dilution (i.e. one portion of meat in three portion of broth)?</w:t>
            </w:r>
          </w:p>
        </w:tc>
        <w:tc>
          <w:tcPr>
            <w:tcW w:w="2340" w:type="dxa"/>
            <w:vAlign w:val="bottom"/>
          </w:tcPr>
          <w:p w14:paraId="1E9F65C0" w14:textId="77777777" w:rsidR="00B605C5" w:rsidRPr="00735C73" w:rsidRDefault="00B605C5" w:rsidP="007E296B">
            <w:pPr>
              <w:tabs>
                <w:tab w:val="left" w:pos="1962"/>
              </w:tabs>
              <w:spacing w:before="60" w:after="60"/>
              <w:ind w:left="72"/>
              <w:rPr>
                <w:u w:val="single"/>
              </w:rPr>
            </w:pPr>
          </w:p>
        </w:tc>
      </w:tr>
      <w:tr w:rsidR="00160D16" w:rsidRPr="00735C73" w14:paraId="0D72BE51" w14:textId="77777777" w:rsidTr="00160D16">
        <w:tc>
          <w:tcPr>
            <w:tcW w:w="1800" w:type="dxa"/>
          </w:tcPr>
          <w:p w14:paraId="39F289C5" w14:textId="77777777" w:rsidR="00160D16" w:rsidRPr="00735C73" w:rsidRDefault="00160D16" w:rsidP="007E296B">
            <w:pPr>
              <w:pStyle w:val="TableHeading"/>
              <w:spacing w:before="60" w:after="60"/>
            </w:pPr>
          </w:p>
        </w:tc>
        <w:tc>
          <w:tcPr>
            <w:tcW w:w="5040" w:type="dxa"/>
          </w:tcPr>
          <w:p w14:paraId="289C248F" w14:textId="77777777" w:rsidR="00160D16" w:rsidRPr="00735C73" w:rsidRDefault="00387638" w:rsidP="007E296B">
            <w:pPr>
              <w:pStyle w:val="TableBody"/>
              <w:spacing w:before="60" w:after="60"/>
            </w:pPr>
            <w:r>
              <w:t>Are</w:t>
            </w:r>
            <w:r w:rsidR="00160D16" w:rsidRPr="00735C73">
              <w:t xml:space="preserve"> a positive control</w:t>
            </w:r>
            <w:r w:rsidR="00980858">
              <w:t xml:space="preserve"> and a blank</w:t>
            </w:r>
            <w:r w:rsidR="00160D16" w:rsidRPr="00735C73">
              <w:t xml:space="preserve"> run with each batch of samples analysed?   </w:t>
            </w:r>
          </w:p>
        </w:tc>
        <w:tc>
          <w:tcPr>
            <w:tcW w:w="2340" w:type="dxa"/>
            <w:vAlign w:val="center"/>
          </w:tcPr>
          <w:p w14:paraId="09333B33" w14:textId="77777777" w:rsidR="00160D16" w:rsidRPr="00735C73" w:rsidRDefault="00160D16" w:rsidP="007E296B">
            <w:pPr>
              <w:tabs>
                <w:tab w:val="left" w:pos="1962"/>
              </w:tabs>
              <w:spacing w:before="60" w:after="60"/>
              <w:ind w:left="72"/>
              <w:rPr>
                <w:u w:val="single"/>
              </w:rPr>
            </w:pPr>
            <w:r w:rsidRPr="00735C73">
              <w:rPr>
                <w:u w:val="single"/>
              </w:rPr>
              <w:tab/>
            </w:r>
          </w:p>
        </w:tc>
      </w:tr>
      <w:tr w:rsidR="00160D16" w:rsidRPr="00735C73" w14:paraId="40D896B6" w14:textId="77777777" w:rsidTr="00160D16">
        <w:tc>
          <w:tcPr>
            <w:tcW w:w="1800" w:type="dxa"/>
          </w:tcPr>
          <w:p w14:paraId="05FBD20A" w14:textId="77777777" w:rsidR="00160D16" w:rsidRPr="00735C73" w:rsidRDefault="00160D16" w:rsidP="007E296B">
            <w:pPr>
              <w:pStyle w:val="TableHeading"/>
              <w:spacing w:before="60" w:after="60"/>
            </w:pPr>
          </w:p>
        </w:tc>
        <w:tc>
          <w:tcPr>
            <w:tcW w:w="5040" w:type="dxa"/>
          </w:tcPr>
          <w:p w14:paraId="28B58E58" w14:textId="77777777" w:rsidR="00160D16" w:rsidRPr="00735C73" w:rsidRDefault="00160D16" w:rsidP="007E296B">
            <w:pPr>
              <w:pStyle w:val="TableBody"/>
              <w:spacing w:before="60" w:after="60"/>
            </w:pPr>
            <w:r w:rsidRPr="00735C73">
              <w:t>Are control cultures inoculated into enrichment broth at a level of 10 to 100 cells?</w:t>
            </w:r>
          </w:p>
        </w:tc>
        <w:tc>
          <w:tcPr>
            <w:tcW w:w="2340" w:type="dxa"/>
            <w:vAlign w:val="center"/>
          </w:tcPr>
          <w:p w14:paraId="58228F19" w14:textId="77777777" w:rsidR="00160D16" w:rsidRPr="00735C73" w:rsidRDefault="00160D16" w:rsidP="007E296B">
            <w:pPr>
              <w:tabs>
                <w:tab w:val="left" w:pos="1962"/>
              </w:tabs>
              <w:spacing w:before="60" w:after="60"/>
              <w:ind w:left="72"/>
              <w:rPr>
                <w:u w:val="single"/>
              </w:rPr>
            </w:pPr>
            <w:r w:rsidRPr="00735C73">
              <w:rPr>
                <w:u w:val="single"/>
              </w:rPr>
              <w:tab/>
            </w:r>
          </w:p>
        </w:tc>
      </w:tr>
      <w:tr w:rsidR="00160D16" w:rsidRPr="00735C73" w14:paraId="7F63A380" w14:textId="77777777" w:rsidTr="00160D16">
        <w:tc>
          <w:tcPr>
            <w:tcW w:w="1800" w:type="dxa"/>
          </w:tcPr>
          <w:p w14:paraId="501A9BC8" w14:textId="77777777" w:rsidR="00160D16" w:rsidRPr="00735C73" w:rsidRDefault="00160D16" w:rsidP="007E296B">
            <w:pPr>
              <w:pStyle w:val="TableHeading"/>
              <w:spacing w:before="60" w:after="60"/>
            </w:pPr>
            <w:r w:rsidRPr="00735C73">
              <w:t>Screening</w:t>
            </w:r>
          </w:p>
        </w:tc>
        <w:tc>
          <w:tcPr>
            <w:tcW w:w="5040" w:type="dxa"/>
          </w:tcPr>
          <w:p w14:paraId="27D7356E" w14:textId="77777777" w:rsidR="00160D16" w:rsidRPr="00735C73" w:rsidRDefault="00160D16" w:rsidP="007E296B">
            <w:pPr>
              <w:pStyle w:val="TableBody"/>
              <w:spacing w:before="60" w:after="60"/>
            </w:pPr>
            <w:r w:rsidRPr="00735C73">
              <w:t xml:space="preserve">Is screening for </w:t>
            </w:r>
            <w:proofErr w:type="spellStart"/>
            <w:r w:rsidRPr="00735C73">
              <w:rPr>
                <w:i/>
              </w:rPr>
              <w:t>stx</w:t>
            </w:r>
            <w:proofErr w:type="spellEnd"/>
            <w:r w:rsidRPr="00735C73">
              <w:t xml:space="preserve"> and </w:t>
            </w:r>
            <w:r w:rsidRPr="00735C73">
              <w:rPr>
                <w:i/>
              </w:rPr>
              <w:t>eae</w:t>
            </w:r>
            <w:r w:rsidRPr="00735C73">
              <w:t xml:space="preserve"> undertaken using </w:t>
            </w:r>
            <w:r w:rsidR="000E1F4C">
              <w:t>R</w:t>
            </w:r>
            <w:r w:rsidRPr="00735C73">
              <w:t>eal-time PCR</w:t>
            </w:r>
            <w:r w:rsidR="000E1F4C">
              <w:t xml:space="preserve"> as specified in MLG 5C Appendix 3 and 5</w:t>
            </w:r>
            <w:r w:rsidRPr="00735C73">
              <w:t>?</w:t>
            </w:r>
          </w:p>
        </w:tc>
        <w:tc>
          <w:tcPr>
            <w:tcW w:w="2340" w:type="dxa"/>
          </w:tcPr>
          <w:p w14:paraId="06297469" w14:textId="77777777" w:rsidR="00160D16" w:rsidRPr="00735C73" w:rsidRDefault="00160D16" w:rsidP="007E296B">
            <w:pPr>
              <w:tabs>
                <w:tab w:val="left" w:pos="1962"/>
              </w:tabs>
              <w:spacing w:before="60" w:after="60"/>
              <w:ind w:left="72"/>
              <w:rPr>
                <w:u w:val="single"/>
              </w:rPr>
            </w:pPr>
            <w:r w:rsidRPr="00735C73">
              <w:rPr>
                <w:u w:val="single"/>
              </w:rPr>
              <w:tab/>
            </w:r>
          </w:p>
        </w:tc>
      </w:tr>
      <w:tr w:rsidR="00160D16" w:rsidRPr="00735C73" w14:paraId="3623FAAA" w14:textId="77777777" w:rsidTr="00160D16">
        <w:tc>
          <w:tcPr>
            <w:tcW w:w="1800" w:type="dxa"/>
          </w:tcPr>
          <w:p w14:paraId="2C847105" w14:textId="77777777" w:rsidR="00160D16" w:rsidRPr="00735C73" w:rsidRDefault="00160D16" w:rsidP="007E296B">
            <w:pPr>
              <w:pStyle w:val="TableHeading"/>
              <w:spacing w:before="60" w:after="60"/>
            </w:pPr>
          </w:p>
        </w:tc>
        <w:tc>
          <w:tcPr>
            <w:tcW w:w="5040" w:type="dxa"/>
          </w:tcPr>
          <w:p w14:paraId="6FF088AE" w14:textId="77777777" w:rsidR="00160D16" w:rsidRPr="00735C73" w:rsidRDefault="00160D16" w:rsidP="007E296B">
            <w:pPr>
              <w:pStyle w:val="TableBody"/>
              <w:spacing w:before="60" w:after="60"/>
            </w:pPr>
            <w:r w:rsidRPr="00735C73">
              <w:t>Is analysis for serogroup specific genes carried out using</w:t>
            </w:r>
            <w:r w:rsidR="000E1F4C">
              <w:t xml:space="preserve"> Real-time PCR as per MLG 5C Appendix 3 &amp; 5</w:t>
            </w:r>
            <w:r w:rsidR="000E1F4C" w:rsidRPr="00735C73">
              <w:t>?</w:t>
            </w:r>
          </w:p>
        </w:tc>
        <w:tc>
          <w:tcPr>
            <w:tcW w:w="2340" w:type="dxa"/>
          </w:tcPr>
          <w:p w14:paraId="79B8806E" w14:textId="77777777" w:rsidR="00160D16" w:rsidRPr="00735C73" w:rsidRDefault="00160D16" w:rsidP="007E296B">
            <w:pPr>
              <w:tabs>
                <w:tab w:val="left" w:pos="1962"/>
              </w:tabs>
              <w:spacing w:before="60" w:after="60"/>
              <w:ind w:left="72"/>
              <w:rPr>
                <w:u w:val="single"/>
              </w:rPr>
            </w:pPr>
            <w:r w:rsidRPr="00735C73">
              <w:rPr>
                <w:u w:val="single"/>
              </w:rPr>
              <w:tab/>
            </w:r>
          </w:p>
        </w:tc>
      </w:tr>
      <w:tr w:rsidR="00160D16" w:rsidRPr="00735C73" w14:paraId="57258FCF" w14:textId="77777777" w:rsidTr="00C51B25">
        <w:tc>
          <w:tcPr>
            <w:tcW w:w="1800" w:type="dxa"/>
          </w:tcPr>
          <w:p w14:paraId="1D542B98" w14:textId="77777777" w:rsidR="00160D16" w:rsidRPr="00735C73" w:rsidRDefault="00160D16" w:rsidP="007E296B">
            <w:pPr>
              <w:pStyle w:val="TableHeading"/>
              <w:spacing w:before="60" w:after="60"/>
            </w:pPr>
          </w:p>
        </w:tc>
        <w:tc>
          <w:tcPr>
            <w:tcW w:w="5040" w:type="dxa"/>
          </w:tcPr>
          <w:p w14:paraId="411925E8" w14:textId="77777777" w:rsidR="00160D16" w:rsidRPr="00735C73" w:rsidRDefault="00980858" w:rsidP="000E1F4C">
            <w:pPr>
              <w:pStyle w:val="TableBody"/>
              <w:spacing w:before="60" w:after="60"/>
              <w:ind w:left="0"/>
            </w:pPr>
            <w:r>
              <w:t>Is a cocktail of top seven STEC cultures run with each PCR?</w:t>
            </w:r>
          </w:p>
        </w:tc>
        <w:tc>
          <w:tcPr>
            <w:tcW w:w="2340" w:type="dxa"/>
          </w:tcPr>
          <w:p w14:paraId="7CD01E41" w14:textId="77777777" w:rsidR="00160D16" w:rsidRPr="00735C73" w:rsidRDefault="00160D16" w:rsidP="007E296B">
            <w:pPr>
              <w:tabs>
                <w:tab w:val="left" w:pos="1962"/>
              </w:tabs>
              <w:spacing w:before="60" w:after="60"/>
              <w:ind w:left="72"/>
              <w:rPr>
                <w:u w:val="single"/>
              </w:rPr>
            </w:pPr>
            <w:r w:rsidRPr="00735C73">
              <w:rPr>
                <w:u w:val="single"/>
              </w:rPr>
              <w:tab/>
            </w:r>
          </w:p>
        </w:tc>
      </w:tr>
      <w:tr w:rsidR="00160D16" w:rsidRPr="00735C73" w14:paraId="5F7F1D9D" w14:textId="77777777" w:rsidTr="00C51B25">
        <w:tc>
          <w:tcPr>
            <w:tcW w:w="1800" w:type="dxa"/>
            <w:tcBorders>
              <w:bottom w:val="single" w:sz="4" w:space="0" w:color="auto"/>
            </w:tcBorders>
          </w:tcPr>
          <w:p w14:paraId="60B4D434" w14:textId="77777777" w:rsidR="00160D16" w:rsidRPr="00735C73" w:rsidRDefault="00160D16" w:rsidP="007E296B">
            <w:pPr>
              <w:pStyle w:val="TableHeading"/>
              <w:spacing w:before="60" w:after="60"/>
            </w:pPr>
            <w:r w:rsidRPr="00735C73">
              <w:t>Confirmation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143DBCAA" w14:textId="3D34ED7D" w:rsidR="00160D16" w:rsidRPr="00735C73" w:rsidRDefault="00B605C5" w:rsidP="007E296B">
            <w:pPr>
              <w:pStyle w:val="TableBody"/>
              <w:spacing w:before="60" w:after="60"/>
            </w:pPr>
            <w:r w:rsidRPr="00A005F9">
              <w:t>Is confirmation carried out using an approved method at a department approved laboratory?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F7B7D35" w14:textId="77777777" w:rsidR="00160D16" w:rsidRPr="00735C73" w:rsidRDefault="00160D16" w:rsidP="007E296B">
            <w:pPr>
              <w:tabs>
                <w:tab w:val="left" w:pos="1962"/>
              </w:tabs>
              <w:spacing w:before="60" w:after="60"/>
              <w:ind w:left="72"/>
              <w:rPr>
                <w:u w:val="single"/>
              </w:rPr>
            </w:pPr>
            <w:r w:rsidRPr="00735C73">
              <w:rPr>
                <w:u w:val="single"/>
              </w:rPr>
              <w:tab/>
            </w:r>
          </w:p>
        </w:tc>
      </w:tr>
    </w:tbl>
    <w:p w14:paraId="2994152D" w14:textId="77777777" w:rsidR="00B605C5" w:rsidRPr="00B605C5" w:rsidRDefault="00B605C5" w:rsidP="00611558">
      <w:pPr>
        <w:ind w:left="0"/>
      </w:pPr>
    </w:p>
    <w:sectPr w:rsidR="00B605C5" w:rsidRPr="00B605C5">
      <w:headerReference w:type="default" r:id="rId13"/>
      <w:pgSz w:w="11906" w:h="16838" w:code="9"/>
      <w:pgMar w:top="1531" w:right="1134" w:bottom="79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A031A" w14:textId="77777777" w:rsidR="00AA43B1" w:rsidRDefault="00AA43B1" w:rsidP="00E0322F">
      <w:pPr>
        <w:spacing w:after="0"/>
      </w:pPr>
      <w:r>
        <w:separator/>
      </w:r>
    </w:p>
  </w:endnote>
  <w:endnote w:type="continuationSeparator" w:id="0">
    <w:p w14:paraId="176271EB" w14:textId="77777777" w:rsidR="00AA43B1" w:rsidRDefault="00AA43B1" w:rsidP="00E032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D08D" w14:textId="32C52AC7" w:rsidR="00735C73" w:rsidRPr="006C4A2D" w:rsidRDefault="00735C73" w:rsidP="00B6281E">
    <w:pPr>
      <w:pStyle w:val="Footer"/>
      <w:tabs>
        <w:tab w:val="clear" w:pos="4513"/>
        <w:tab w:val="center" w:pos="8505"/>
      </w:tabs>
      <w:rPr>
        <w:color w:val="595959" w:themeColor="text1" w:themeTint="A6"/>
      </w:rPr>
    </w:pPr>
    <w:r w:rsidRPr="006C4A2D">
      <w:rPr>
        <w:color w:val="595959" w:themeColor="text1" w:themeTint="A6"/>
      </w:rPr>
      <w:t xml:space="preserve">Issue </w:t>
    </w:r>
    <w:r w:rsidR="00B605C5" w:rsidRPr="006C4A2D">
      <w:rPr>
        <w:color w:val="595959" w:themeColor="text1" w:themeTint="A6"/>
      </w:rPr>
      <w:t>2024 03 05</w:t>
    </w:r>
    <w:r w:rsidRPr="006C4A2D">
      <w:rPr>
        <w:color w:val="595959" w:themeColor="text1" w:themeTint="A6"/>
      </w:rPr>
      <w:t xml:space="preserve"> | Approved Methods Manual</w:t>
    </w:r>
  </w:p>
  <w:p w14:paraId="098B8DFD" w14:textId="77777777" w:rsidR="00735C73" w:rsidRPr="006C4A2D" w:rsidRDefault="00735C73" w:rsidP="00670835">
    <w:pPr>
      <w:pStyle w:val="Footer"/>
      <w:tabs>
        <w:tab w:val="clear" w:pos="4513"/>
        <w:tab w:val="center" w:pos="8789"/>
      </w:tabs>
      <w:rPr>
        <w:color w:val="595959" w:themeColor="text1" w:themeTint="A6"/>
      </w:rPr>
    </w:pPr>
    <w:r w:rsidRPr="006C4A2D">
      <w:rPr>
        <w:color w:val="595959" w:themeColor="text1" w:themeTint="A6"/>
      </w:rPr>
      <w:t xml:space="preserve">Export Standards Branch | Exports </w:t>
    </w:r>
    <w:r w:rsidR="00731F0A" w:rsidRPr="006C4A2D">
      <w:rPr>
        <w:color w:val="595959" w:themeColor="text1" w:themeTint="A6"/>
      </w:rPr>
      <w:t xml:space="preserve">and Veterinary Services </w:t>
    </w:r>
    <w:r w:rsidRPr="006C4A2D">
      <w:rPr>
        <w:color w:val="595959" w:themeColor="text1" w:themeTint="A6"/>
      </w:rPr>
      <w:t>Division</w:t>
    </w:r>
    <w:r w:rsidRPr="006C4A2D">
      <w:rPr>
        <w:color w:val="595959" w:themeColor="text1" w:themeTint="A6"/>
      </w:rPr>
      <w:tab/>
      <w:t xml:space="preserve">Page </w:t>
    </w:r>
    <w:r w:rsidRPr="006C4A2D">
      <w:rPr>
        <w:color w:val="595959" w:themeColor="text1" w:themeTint="A6"/>
      </w:rPr>
      <w:fldChar w:fldCharType="begin"/>
    </w:r>
    <w:r w:rsidRPr="006C4A2D">
      <w:rPr>
        <w:color w:val="595959" w:themeColor="text1" w:themeTint="A6"/>
      </w:rPr>
      <w:instrText xml:space="preserve"> PAGE </w:instrText>
    </w:r>
    <w:r w:rsidRPr="006C4A2D">
      <w:rPr>
        <w:color w:val="595959" w:themeColor="text1" w:themeTint="A6"/>
      </w:rPr>
      <w:fldChar w:fldCharType="separate"/>
    </w:r>
    <w:r w:rsidR="00C12275" w:rsidRPr="006C4A2D">
      <w:rPr>
        <w:noProof/>
        <w:color w:val="595959" w:themeColor="text1" w:themeTint="A6"/>
      </w:rPr>
      <w:t>2</w:t>
    </w:r>
    <w:r w:rsidRPr="006C4A2D">
      <w:rPr>
        <w:color w:val="595959" w:themeColor="text1" w:themeTint="A6"/>
      </w:rPr>
      <w:fldChar w:fldCharType="end"/>
    </w:r>
    <w:r w:rsidRPr="006C4A2D">
      <w:rPr>
        <w:color w:val="595959" w:themeColor="text1" w:themeTint="A6"/>
      </w:rPr>
      <w:t xml:space="preserve"> of </w:t>
    </w:r>
    <w:r w:rsidR="001F5269" w:rsidRPr="006C4A2D">
      <w:rPr>
        <w:color w:val="595959" w:themeColor="text1" w:themeTint="A6"/>
      </w:rPr>
      <w:fldChar w:fldCharType="begin"/>
    </w:r>
    <w:r w:rsidR="001F5269" w:rsidRPr="006C4A2D">
      <w:rPr>
        <w:color w:val="595959" w:themeColor="text1" w:themeTint="A6"/>
      </w:rPr>
      <w:instrText xml:space="preserve"> NUMPAGES  </w:instrText>
    </w:r>
    <w:r w:rsidR="001F5269" w:rsidRPr="006C4A2D">
      <w:rPr>
        <w:color w:val="595959" w:themeColor="text1" w:themeTint="A6"/>
      </w:rPr>
      <w:fldChar w:fldCharType="separate"/>
    </w:r>
    <w:r w:rsidR="00C12275" w:rsidRPr="006C4A2D">
      <w:rPr>
        <w:noProof/>
        <w:color w:val="595959" w:themeColor="text1" w:themeTint="A6"/>
      </w:rPr>
      <w:t>2</w:t>
    </w:r>
    <w:r w:rsidR="001F5269" w:rsidRPr="006C4A2D">
      <w:rPr>
        <w:noProof/>
        <w:color w:val="595959" w:themeColor="text1" w:themeTint="A6"/>
      </w:rPr>
      <w:fldChar w:fldCharType="end"/>
    </w:r>
  </w:p>
  <w:p w14:paraId="49D2E871" w14:textId="77777777" w:rsidR="00735C73" w:rsidRPr="006C4A2D" w:rsidRDefault="00735C73" w:rsidP="001E48B7">
    <w:pPr>
      <w:pStyle w:val="Footer"/>
      <w:rPr>
        <w:color w:val="595959" w:themeColor="text1" w:themeTint="A6"/>
      </w:rPr>
    </w:pPr>
    <w:r w:rsidRPr="006C4A2D">
      <w:rPr>
        <w:color w:val="595959" w:themeColor="text1" w:themeTint="A6"/>
      </w:rPr>
      <w:t>Department of Agriculture</w:t>
    </w:r>
    <w:r w:rsidR="00731F0A" w:rsidRPr="006C4A2D">
      <w:rPr>
        <w:color w:val="595959" w:themeColor="text1" w:themeTint="A6"/>
      </w:rPr>
      <w:t>, Fisheries and Forestry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68419" w14:textId="77777777" w:rsidR="00AA43B1" w:rsidRDefault="00AA43B1" w:rsidP="00E0322F">
      <w:pPr>
        <w:spacing w:after="0"/>
      </w:pPr>
      <w:r>
        <w:separator/>
      </w:r>
    </w:p>
  </w:footnote>
  <w:footnote w:type="continuationSeparator" w:id="0">
    <w:p w14:paraId="7A9E6FDF" w14:textId="77777777" w:rsidR="00AA43B1" w:rsidRDefault="00AA43B1" w:rsidP="00E0322F">
      <w:pPr>
        <w:spacing w:after="0"/>
      </w:pPr>
      <w:r>
        <w:continuationSeparator/>
      </w:r>
    </w:p>
  </w:footnote>
  <w:footnote w:id="1">
    <w:p w14:paraId="3D01EA73" w14:textId="0DD40F1A" w:rsidR="00407D49" w:rsidRDefault="00407D49" w:rsidP="00DC28C6">
      <w:pPr>
        <w:pStyle w:val="FootnoteText"/>
        <w:spacing w:after="240"/>
      </w:pPr>
      <w:r>
        <w:rPr>
          <w:rStyle w:val="FootnoteReference"/>
        </w:rPr>
        <w:footnoteRef/>
      </w:r>
      <w:r>
        <w:t xml:space="preserve"> The Real-time PCR assay described in this method has been optimi</w:t>
      </w:r>
      <w:r w:rsidR="00C275CB">
        <w:t>s</w:t>
      </w:r>
      <w:r>
        <w:t>ed and validated specifically for the ABI 7500 FAST. Use of other Real-time PCR platforms may require optimi</w:t>
      </w:r>
      <w:r w:rsidR="00C275CB">
        <w:t>s</w:t>
      </w:r>
      <w:r>
        <w:t>ation with other probe quencher and reporter dyes.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8AC5E" w14:textId="2EC132D6" w:rsidR="00735C73" w:rsidRPr="00611558" w:rsidRDefault="00900A10" w:rsidP="00C51B25">
    <w:pPr>
      <w:pStyle w:val="Header"/>
      <w:spacing w:after="600" w:line="240" w:lineRule="auto"/>
      <w:jc w:val="left"/>
    </w:pPr>
    <w:r>
      <w:rPr>
        <w:noProof/>
      </w:rPr>
      <w:drawing>
        <wp:inline distT="0" distB="0" distL="0" distR="0" wp14:anchorId="48F0E4CB" wp14:editId="45FA4F4E">
          <wp:extent cx="3251835" cy="453390"/>
          <wp:effectExtent l="0" t="0" r="0" b="0"/>
          <wp:docPr id="2129905804" name="Picture 1" descr="Department of Agriculture, Fisheries and Fore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partment of Agriculture, Fisheries and Forestr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183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C9B2E" w14:textId="77777777" w:rsidR="00611558" w:rsidRPr="000C73B4" w:rsidRDefault="00611558" w:rsidP="000C73B4">
    <w:pPr>
      <w:pStyle w:val="Head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Detection &amp; Isolation of </w:t>
    </w:r>
    <w:r w:rsidRPr="00731F0A">
      <w:rPr>
        <w:rFonts w:ascii="Garamond" w:hAnsi="Garamond"/>
        <w:iCs/>
        <w:sz w:val="20"/>
        <w:szCs w:val="20"/>
      </w:rPr>
      <w:t>STEC</w:t>
    </w:r>
    <w:r>
      <w:rPr>
        <w:rFonts w:ascii="Garamond" w:hAnsi="Garamond"/>
        <w:sz w:val="20"/>
        <w:szCs w:val="20"/>
      </w:rPr>
      <w:t>– MLG 5C Appendix 3 &amp;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2173"/>
    <w:multiLevelType w:val="hybridMultilevel"/>
    <w:tmpl w:val="D5C2FB66"/>
    <w:lvl w:ilvl="0" w:tplc="1206B646">
      <w:start w:val="1"/>
      <w:numFmt w:val="bullet"/>
      <w:pStyle w:val="Heading3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F180A4B"/>
    <w:multiLevelType w:val="hybridMultilevel"/>
    <w:tmpl w:val="05CCA8A6"/>
    <w:lvl w:ilvl="0" w:tplc="153E553C">
      <w:start w:val="1"/>
      <w:numFmt w:val="bullet"/>
      <w:pStyle w:val="ListParagraph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5A2AFA"/>
    <w:multiLevelType w:val="hybridMultilevel"/>
    <w:tmpl w:val="13B2D372"/>
    <w:lvl w:ilvl="0" w:tplc="1D3E360A">
      <w:start w:val="1"/>
      <w:numFmt w:val="bullet"/>
      <w:pStyle w:val="11Heading3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C8084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2C29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92671"/>
    <w:multiLevelType w:val="hybridMultilevel"/>
    <w:tmpl w:val="D2A6DFC4"/>
    <w:lvl w:ilvl="0" w:tplc="4504396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C090003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 w16cid:durableId="1982079248">
    <w:abstractNumId w:val="0"/>
  </w:num>
  <w:num w:numId="2" w16cid:durableId="386418606">
    <w:abstractNumId w:val="1"/>
  </w:num>
  <w:num w:numId="3" w16cid:durableId="783229654">
    <w:abstractNumId w:val="3"/>
  </w:num>
  <w:num w:numId="4" w16cid:durableId="314529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8E"/>
    <w:rsid w:val="00013257"/>
    <w:rsid w:val="00017798"/>
    <w:rsid w:val="000222C8"/>
    <w:rsid w:val="000236E5"/>
    <w:rsid w:val="000763DC"/>
    <w:rsid w:val="00084020"/>
    <w:rsid w:val="000C73B4"/>
    <w:rsid w:val="000D3629"/>
    <w:rsid w:val="000E1166"/>
    <w:rsid w:val="000E1F4C"/>
    <w:rsid w:val="00104392"/>
    <w:rsid w:val="001045A2"/>
    <w:rsid w:val="00160D16"/>
    <w:rsid w:val="00187BE5"/>
    <w:rsid w:val="001A25B8"/>
    <w:rsid w:val="001B09CB"/>
    <w:rsid w:val="001B1761"/>
    <w:rsid w:val="001E48B7"/>
    <w:rsid w:val="001F5269"/>
    <w:rsid w:val="00202FC9"/>
    <w:rsid w:val="0020572F"/>
    <w:rsid w:val="00206331"/>
    <w:rsid w:val="002079F4"/>
    <w:rsid w:val="00221386"/>
    <w:rsid w:val="0022488D"/>
    <w:rsid w:val="0023008E"/>
    <w:rsid w:val="00234F1B"/>
    <w:rsid w:val="00246D77"/>
    <w:rsid w:val="002502B2"/>
    <w:rsid w:val="00272AAC"/>
    <w:rsid w:val="00281F87"/>
    <w:rsid w:val="002A42DB"/>
    <w:rsid w:val="002A6AA2"/>
    <w:rsid w:val="002C1A81"/>
    <w:rsid w:val="002C7146"/>
    <w:rsid w:val="002D24D9"/>
    <w:rsid w:val="002E1679"/>
    <w:rsid w:val="00323696"/>
    <w:rsid w:val="00343757"/>
    <w:rsid w:val="00360055"/>
    <w:rsid w:val="00360764"/>
    <w:rsid w:val="00367E78"/>
    <w:rsid w:val="00371076"/>
    <w:rsid w:val="00371F32"/>
    <w:rsid w:val="00387638"/>
    <w:rsid w:val="003B78DE"/>
    <w:rsid w:val="003E49B8"/>
    <w:rsid w:val="00407D49"/>
    <w:rsid w:val="0041350A"/>
    <w:rsid w:val="0042371A"/>
    <w:rsid w:val="00427EFB"/>
    <w:rsid w:val="0043747D"/>
    <w:rsid w:val="00441895"/>
    <w:rsid w:val="0049340F"/>
    <w:rsid w:val="004954EB"/>
    <w:rsid w:val="004C644E"/>
    <w:rsid w:val="005011E2"/>
    <w:rsid w:val="00521227"/>
    <w:rsid w:val="005276AA"/>
    <w:rsid w:val="00531EAE"/>
    <w:rsid w:val="00545802"/>
    <w:rsid w:val="0054660F"/>
    <w:rsid w:val="00552335"/>
    <w:rsid w:val="00556D6B"/>
    <w:rsid w:val="00561082"/>
    <w:rsid w:val="00595BF4"/>
    <w:rsid w:val="00597206"/>
    <w:rsid w:val="005A1B08"/>
    <w:rsid w:val="005A1BA4"/>
    <w:rsid w:val="005C3176"/>
    <w:rsid w:val="005D079D"/>
    <w:rsid w:val="005D6DC5"/>
    <w:rsid w:val="005F4E7A"/>
    <w:rsid w:val="00611558"/>
    <w:rsid w:val="0063113D"/>
    <w:rsid w:val="00657084"/>
    <w:rsid w:val="00657606"/>
    <w:rsid w:val="00664AF3"/>
    <w:rsid w:val="00667F57"/>
    <w:rsid w:val="00670835"/>
    <w:rsid w:val="006A0E1A"/>
    <w:rsid w:val="006C4A2D"/>
    <w:rsid w:val="00731E97"/>
    <w:rsid w:val="00731F0A"/>
    <w:rsid w:val="00735C73"/>
    <w:rsid w:val="00740CA0"/>
    <w:rsid w:val="00773E04"/>
    <w:rsid w:val="0077703A"/>
    <w:rsid w:val="00793DA8"/>
    <w:rsid w:val="007B0499"/>
    <w:rsid w:val="007B2C7D"/>
    <w:rsid w:val="007B44FE"/>
    <w:rsid w:val="007C0D69"/>
    <w:rsid w:val="007E296B"/>
    <w:rsid w:val="007E4068"/>
    <w:rsid w:val="007E7C98"/>
    <w:rsid w:val="007F69EF"/>
    <w:rsid w:val="00811A82"/>
    <w:rsid w:val="00852040"/>
    <w:rsid w:val="00874BB3"/>
    <w:rsid w:val="008E01FB"/>
    <w:rsid w:val="00900A10"/>
    <w:rsid w:val="009077FE"/>
    <w:rsid w:val="009264DB"/>
    <w:rsid w:val="00932FD0"/>
    <w:rsid w:val="0094660E"/>
    <w:rsid w:val="00952047"/>
    <w:rsid w:val="00980858"/>
    <w:rsid w:val="00983A09"/>
    <w:rsid w:val="00987A2B"/>
    <w:rsid w:val="009B0083"/>
    <w:rsid w:val="009D238A"/>
    <w:rsid w:val="009D4CD4"/>
    <w:rsid w:val="009E4708"/>
    <w:rsid w:val="009E60CA"/>
    <w:rsid w:val="009E6DCC"/>
    <w:rsid w:val="009F2FC4"/>
    <w:rsid w:val="00A020BB"/>
    <w:rsid w:val="00A061D0"/>
    <w:rsid w:val="00A1160D"/>
    <w:rsid w:val="00A30D39"/>
    <w:rsid w:val="00A4460D"/>
    <w:rsid w:val="00A6011C"/>
    <w:rsid w:val="00A81F44"/>
    <w:rsid w:val="00A83672"/>
    <w:rsid w:val="00AA43B1"/>
    <w:rsid w:val="00AA6BE4"/>
    <w:rsid w:val="00AB0D4A"/>
    <w:rsid w:val="00AD7EC2"/>
    <w:rsid w:val="00B134D3"/>
    <w:rsid w:val="00B156E8"/>
    <w:rsid w:val="00B15B9C"/>
    <w:rsid w:val="00B22D93"/>
    <w:rsid w:val="00B32BD2"/>
    <w:rsid w:val="00B32EA5"/>
    <w:rsid w:val="00B3464A"/>
    <w:rsid w:val="00B406B3"/>
    <w:rsid w:val="00B4672E"/>
    <w:rsid w:val="00B605C5"/>
    <w:rsid w:val="00B6281E"/>
    <w:rsid w:val="00B629CE"/>
    <w:rsid w:val="00B63D41"/>
    <w:rsid w:val="00B97891"/>
    <w:rsid w:val="00BA04E6"/>
    <w:rsid w:val="00BD431F"/>
    <w:rsid w:val="00BF0834"/>
    <w:rsid w:val="00C117CA"/>
    <w:rsid w:val="00C12275"/>
    <w:rsid w:val="00C275CB"/>
    <w:rsid w:val="00C51B25"/>
    <w:rsid w:val="00C56A77"/>
    <w:rsid w:val="00C624BF"/>
    <w:rsid w:val="00C930DE"/>
    <w:rsid w:val="00CC630D"/>
    <w:rsid w:val="00D04B8A"/>
    <w:rsid w:val="00D1679C"/>
    <w:rsid w:val="00D208FF"/>
    <w:rsid w:val="00D35FA8"/>
    <w:rsid w:val="00DB0834"/>
    <w:rsid w:val="00DC28C6"/>
    <w:rsid w:val="00DE0950"/>
    <w:rsid w:val="00E0322F"/>
    <w:rsid w:val="00E06588"/>
    <w:rsid w:val="00E15946"/>
    <w:rsid w:val="00E85C4F"/>
    <w:rsid w:val="00E96338"/>
    <w:rsid w:val="00ED5E3D"/>
    <w:rsid w:val="00ED64A6"/>
    <w:rsid w:val="00EF3F21"/>
    <w:rsid w:val="00F01F9E"/>
    <w:rsid w:val="00F13D64"/>
    <w:rsid w:val="00F55D31"/>
    <w:rsid w:val="00F65FC6"/>
    <w:rsid w:val="00F66EF1"/>
    <w:rsid w:val="00F75E04"/>
    <w:rsid w:val="00F762B5"/>
    <w:rsid w:val="00F91501"/>
    <w:rsid w:val="00FA2D1F"/>
    <w:rsid w:val="00FA2F64"/>
    <w:rsid w:val="00FC1A55"/>
    <w:rsid w:val="00FD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728F26"/>
  <w15:chartTrackingRefBased/>
  <w15:docId w15:val="{DC0410CF-C5B7-48BA-AF72-FCD3CAA3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350A"/>
    <w:pPr>
      <w:overflowPunct w:val="0"/>
      <w:autoSpaceDE w:val="0"/>
      <w:autoSpaceDN w:val="0"/>
      <w:adjustRightInd w:val="0"/>
      <w:spacing w:after="120" w:line="269" w:lineRule="auto"/>
      <w:ind w:left="57" w:right="57"/>
      <w:textAlignment w:val="baseline"/>
    </w:pPr>
    <w:rPr>
      <w:rFonts w:ascii="Cambria" w:hAnsi="Cambria"/>
      <w:sz w:val="18"/>
    </w:rPr>
  </w:style>
  <w:style w:type="paragraph" w:styleId="Heading1">
    <w:name w:val="heading 1"/>
    <w:basedOn w:val="Normal"/>
    <w:next w:val="Normal"/>
    <w:link w:val="Heading1Char"/>
    <w:qFormat/>
    <w:rsid w:val="007E296B"/>
    <w:pPr>
      <w:keepNext/>
      <w:keepLines/>
      <w:spacing w:after="360" w:line="240" w:lineRule="auto"/>
      <w:outlineLvl w:val="0"/>
    </w:pPr>
    <w:rPr>
      <w:rFonts w:ascii="Calibri" w:hAnsi="Calibr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35FA8"/>
    <w:pPr>
      <w:keepNext/>
      <w:keepLines/>
      <w:spacing w:before="240" w:after="0"/>
      <w:outlineLvl w:val="1"/>
    </w:pPr>
    <w:rPr>
      <w:rFonts w:ascii="Calibri" w:hAnsi="Calibri"/>
      <w:b/>
      <w:bCs/>
      <w:spacing w:val="30"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E296B"/>
    <w:pPr>
      <w:keepNext/>
      <w:keepLines/>
      <w:numPr>
        <w:numId w:val="1"/>
      </w:numPr>
      <w:spacing w:after="0"/>
      <w:ind w:left="454" w:hanging="45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E296B"/>
    <w:rPr>
      <w:rFonts w:ascii="Calibri" w:hAnsi="Calibri"/>
      <w:b/>
      <w:bCs/>
      <w:sz w:val="24"/>
      <w:szCs w:val="28"/>
    </w:rPr>
  </w:style>
  <w:style w:type="character" w:customStyle="1" w:styleId="Heading2Char">
    <w:name w:val="Heading 2 Char"/>
    <w:link w:val="Heading2"/>
    <w:rsid w:val="00D35FA8"/>
    <w:rPr>
      <w:rFonts w:ascii="Calibri" w:hAnsi="Calibri"/>
      <w:b/>
      <w:bCs/>
      <w:spacing w:val="30"/>
      <w:sz w:val="24"/>
      <w:szCs w:val="26"/>
    </w:rPr>
  </w:style>
  <w:style w:type="character" w:customStyle="1" w:styleId="Heading3Char">
    <w:name w:val="Heading 3 Char"/>
    <w:link w:val="Heading3"/>
    <w:rsid w:val="007E296B"/>
    <w:rPr>
      <w:rFonts w:ascii="Cambria" w:hAnsi="Cambria"/>
      <w:b/>
      <w:bCs/>
    </w:rPr>
  </w:style>
  <w:style w:type="paragraph" w:customStyle="1" w:styleId="Normal-para">
    <w:name w:val="Normal-para"/>
    <w:basedOn w:val="Normal"/>
    <w:qFormat/>
    <w:rsid w:val="00B32EA5"/>
    <w:pPr>
      <w:spacing w:after="140"/>
      <w:ind w:left="454"/>
    </w:pPr>
  </w:style>
  <w:style w:type="paragraph" w:styleId="ListParagraph">
    <w:name w:val="List Paragraph"/>
    <w:basedOn w:val="Normal"/>
    <w:uiPriority w:val="34"/>
    <w:qFormat/>
    <w:rsid w:val="00ED64A6"/>
    <w:pPr>
      <w:numPr>
        <w:numId w:val="2"/>
      </w:numPr>
      <w:ind w:left="1434" w:hanging="357"/>
    </w:pPr>
  </w:style>
  <w:style w:type="table" w:styleId="TableGrid">
    <w:name w:val="Table Grid"/>
    <w:basedOn w:val="TableNormal"/>
    <w:rsid w:val="00ED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2E1679"/>
    <w:pPr>
      <w:spacing w:after="0"/>
    </w:pPr>
    <w:rPr>
      <w:b/>
    </w:rPr>
  </w:style>
  <w:style w:type="paragraph" w:customStyle="1" w:styleId="TableBody">
    <w:name w:val="Table Body"/>
    <w:basedOn w:val="Normal"/>
    <w:qFormat/>
    <w:rsid w:val="002E1679"/>
    <w:pPr>
      <w:spacing w:before="40"/>
    </w:pPr>
  </w:style>
  <w:style w:type="character" w:styleId="Strong">
    <w:name w:val="Strong"/>
    <w:rsid w:val="006A0E1A"/>
    <w:rPr>
      <w:b/>
      <w:bCs/>
    </w:rPr>
  </w:style>
  <w:style w:type="paragraph" w:styleId="Header">
    <w:name w:val="header"/>
    <w:basedOn w:val="Normal"/>
    <w:link w:val="HeaderChar"/>
    <w:rsid w:val="00360764"/>
    <w:pPr>
      <w:tabs>
        <w:tab w:val="center" w:pos="4153"/>
        <w:tab w:val="right" w:pos="8306"/>
      </w:tabs>
      <w:overflowPunct/>
      <w:autoSpaceDE/>
      <w:autoSpaceDN/>
      <w:adjustRightInd/>
      <w:spacing w:after="0"/>
      <w:ind w:left="0" w:right="0"/>
      <w:jc w:val="right"/>
      <w:textAlignment w:val="auto"/>
    </w:pPr>
    <w:rPr>
      <w:color w:val="000000" w:themeColor="text1"/>
      <w:szCs w:val="24"/>
    </w:rPr>
  </w:style>
  <w:style w:type="character" w:customStyle="1" w:styleId="HeaderChar">
    <w:name w:val="Header Char"/>
    <w:link w:val="Header"/>
    <w:rsid w:val="00360764"/>
    <w:rPr>
      <w:rFonts w:ascii="Cambria" w:hAnsi="Cambria"/>
      <w:color w:val="000000" w:themeColor="text1"/>
      <w:sz w:val="18"/>
      <w:szCs w:val="24"/>
    </w:rPr>
  </w:style>
  <w:style w:type="paragraph" w:styleId="FootnoteText">
    <w:name w:val="footnote text"/>
    <w:basedOn w:val="Normal"/>
    <w:link w:val="FootnoteTextChar"/>
    <w:rsid w:val="001B09CB"/>
    <w:pPr>
      <w:spacing w:after="480"/>
    </w:pPr>
    <w:rPr>
      <w:sz w:val="16"/>
    </w:rPr>
  </w:style>
  <w:style w:type="character" w:customStyle="1" w:styleId="FootnoteTextChar">
    <w:name w:val="Footnote Text Char"/>
    <w:link w:val="FootnoteText"/>
    <w:rsid w:val="001B09CB"/>
    <w:rPr>
      <w:rFonts w:ascii="Cambria" w:hAnsi="Cambria"/>
      <w:sz w:val="16"/>
    </w:rPr>
  </w:style>
  <w:style w:type="character" w:styleId="FootnoteReference">
    <w:name w:val="footnote reference"/>
    <w:rsid w:val="00E0322F"/>
    <w:rPr>
      <w:vertAlign w:val="superscript"/>
    </w:rPr>
  </w:style>
  <w:style w:type="paragraph" w:styleId="Footer">
    <w:name w:val="footer"/>
    <w:basedOn w:val="Normal"/>
    <w:link w:val="FooterChar"/>
    <w:rsid w:val="001E48B7"/>
    <w:pPr>
      <w:tabs>
        <w:tab w:val="center" w:pos="4513"/>
        <w:tab w:val="right" w:pos="9026"/>
      </w:tabs>
      <w:spacing w:after="0"/>
    </w:pPr>
    <w:rPr>
      <w:color w:val="7F7F7F"/>
      <w:sz w:val="16"/>
    </w:rPr>
  </w:style>
  <w:style w:type="character" w:customStyle="1" w:styleId="FooterChar">
    <w:name w:val="Footer Char"/>
    <w:link w:val="Footer"/>
    <w:rsid w:val="001E48B7"/>
    <w:rPr>
      <w:rFonts w:ascii="Cambria" w:hAnsi="Cambria"/>
      <w:color w:val="7F7F7F"/>
      <w:sz w:val="16"/>
    </w:rPr>
  </w:style>
  <w:style w:type="paragraph" w:customStyle="1" w:styleId="11Heading3">
    <w:name w:val="1.1 Heading 3"/>
    <w:basedOn w:val="Heading2"/>
    <w:autoRedefine/>
    <w:rsid w:val="001B09CB"/>
    <w:pPr>
      <w:keepNext w:val="0"/>
      <w:keepLines w:val="0"/>
      <w:widowControl w:val="0"/>
      <w:numPr>
        <w:numId w:val="4"/>
      </w:numPr>
      <w:overflowPunct/>
      <w:autoSpaceDE/>
      <w:autoSpaceDN/>
      <w:adjustRightInd/>
      <w:spacing w:before="40" w:after="40"/>
      <w:ind w:right="0"/>
      <w:textAlignment w:val="auto"/>
    </w:pPr>
    <w:rPr>
      <w:rFonts w:ascii="Garamond" w:hAnsi="Garamond" w:cs="Arial"/>
      <w:bCs w:val="0"/>
      <w:spacing w:val="0"/>
      <w:szCs w:val="22"/>
    </w:rPr>
  </w:style>
  <w:style w:type="paragraph" w:styleId="Revision">
    <w:name w:val="Revision"/>
    <w:hidden/>
    <w:uiPriority w:val="99"/>
    <w:semiHidden/>
    <w:rsid w:val="00B22D93"/>
    <w:rPr>
      <w:rFonts w:ascii="Cambria" w:hAnsi="Cambria"/>
    </w:rPr>
  </w:style>
  <w:style w:type="character" w:styleId="CommentReference">
    <w:name w:val="annotation reference"/>
    <w:rsid w:val="00F762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62B5"/>
    <w:rPr>
      <w:sz w:val="20"/>
    </w:rPr>
  </w:style>
  <w:style w:type="character" w:customStyle="1" w:styleId="CommentTextChar">
    <w:name w:val="Comment Text Char"/>
    <w:link w:val="CommentText"/>
    <w:rsid w:val="00F762B5"/>
    <w:rPr>
      <w:rFonts w:ascii="Cambria" w:hAnsi="Cambria"/>
    </w:rPr>
  </w:style>
  <w:style w:type="paragraph" w:styleId="CommentSubject">
    <w:name w:val="annotation subject"/>
    <w:basedOn w:val="CommentText"/>
    <w:next w:val="CommentText"/>
    <w:link w:val="CommentSubjectChar"/>
    <w:rsid w:val="00F762B5"/>
    <w:rPr>
      <w:b/>
      <w:bCs/>
    </w:rPr>
  </w:style>
  <w:style w:type="character" w:customStyle="1" w:styleId="CommentSubjectChar">
    <w:name w:val="Comment Subject Char"/>
    <w:link w:val="CommentSubject"/>
    <w:rsid w:val="00F762B5"/>
    <w:rPr>
      <w:rFonts w:ascii="Cambria" w:hAnsi="Cambr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BB5796-2BA8-4B4A-9CE2-4F899A0B6015}">
  <ds:schemaRefs>
    <ds:schemaRef ds:uri="http://schemas.microsoft.com/sharepoint/v3"/>
    <ds:schemaRef ds:uri="http://schemas.microsoft.com/office/2006/metadata/properties"/>
    <ds:schemaRef ds:uri="http://purl.org/dc/terms/"/>
    <ds:schemaRef ds:uri="http://schemas.microsoft.com/sharepoint/v3/field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04D58E1-2E60-4DEF-80D5-85E45E9C3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9288A8-21E4-4FC5-AB7C-42E813E333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2B4C08-F74C-4248-9A82-80AD7F313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Detection and Isolation and Identification of top seven Shiga Toxin-Producing                        Escherichia coli (STEC) from Meat and Meat Products - MLG 5C Appendix 3 and 5</vt:lpstr>
    </vt:vector>
  </TitlesOfParts>
  <Company>Department of Agriculture, Fisheries and Forestry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Detection and Isolation and Identification of top seven Shiga Toxin-Producing                        Escherichia coli (STEC) from Meat and Meat Products - MLG 5C Appendix 3 and 5</dc:title>
  <dc:subject>Approved Method Manual</dc:subject>
  <dc:creator>Arefin Chowdhury</dc:creator>
  <cp:keywords>Microbiological Testing, Meat testing, MLG 5C, Shiga-toxin</cp:keywords>
  <dc:description>Testing of meat and meat products for Escherichia coli O157 and non-O157 (STEC) using MLG 5C Appendix 3 and 5</dc:description>
  <cp:lastModifiedBy>Chowdhury, Arefin</cp:lastModifiedBy>
  <cp:revision>5</cp:revision>
  <cp:lastPrinted>2024-03-28T01:52:00Z</cp:lastPrinted>
  <dcterms:created xsi:type="dcterms:W3CDTF">2024-03-25T23:39:00Z</dcterms:created>
  <dcterms:modified xsi:type="dcterms:W3CDTF">2024-03-28T01:52:00Z</dcterms:modified>
  <cp:category>Microbiological method</cp:category>
  <cp:contentStatus>Final</cp:contentStatus>
</cp:coreProperties>
</file>