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0394C" w14:textId="3475895B" w:rsidR="00E76752" w:rsidRDefault="000E5395" w:rsidP="002E1F0E">
      <w:pPr>
        <w:pStyle w:val="Heading1"/>
      </w:pPr>
      <w:r>
        <w:t>Methyl bromide fumigation of high-risk plant products: packaging requirements</w:t>
      </w:r>
    </w:p>
    <w:p w14:paraId="792397FD" w14:textId="77777777" w:rsidR="000E5395" w:rsidRDefault="000E5395" w:rsidP="009462C7">
      <w:pPr>
        <w:rPr>
          <w:lang w:eastAsia="ja-JP"/>
        </w:rPr>
      </w:pPr>
    </w:p>
    <w:p w14:paraId="18E0CE0A" w14:textId="6E0A7BD8" w:rsidR="000E5395" w:rsidRDefault="00F571C5" w:rsidP="00E61674">
      <w:pPr>
        <w:pStyle w:val="Heading3"/>
        <w:numPr>
          <w:ilvl w:val="0"/>
          <w:numId w:val="0"/>
        </w:numPr>
        <w:spacing w:after="200"/>
        <w:ind w:left="964" w:hanging="964"/>
        <w:rPr>
          <w:lang w:eastAsia="ja-JP"/>
        </w:rPr>
      </w:pPr>
      <w:r>
        <w:rPr>
          <w:lang w:eastAsia="ja-JP"/>
        </w:rPr>
        <w:t xml:space="preserve">Overview </w:t>
      </w:r>
    </w:p>
    <w:p w14:paraId="5B69633E" w14:textId="06F418F1" w:rsidR="00F571C5" w:rsidRDefault="00F571C5" w:rsidP="009462C7">
      <w:pPr>
        <w:rPr>
          <w:lang w:eastAsia="ja-JP"/>
        </w:rPr>
      </w:pPr>
      <w:r w:rsidRPr="00F571C5">
        <w:rPr>
          <w:lang w:eastAsia="ja-JP"/>
        </w:rPr>
        <w:t xml:space="preserve">This document applies to methyl bromide fumigations of </w:t>
      </w:r>
      <w:hyperlink r:id="rId12" w:anchor="list-of-highrisk-plant-products" w:history="1">
        <w:r w:rsidRPr="00E06426">
          <w:rPr>
            <w:rStyle w:val="Hyperlink"/>
            <w:lang w:eastAsia="ja-JP"/>
          </w:rPr>
          <w:t>high-risk plant products</w:t>
        </w:r>
      </w:hyperlink>
      <w:r w:rsidRPr="00F571C5">
        <w:rPr>
          <w:lang w:eastAsia="ja-JP"/>
        </w:rPr>
        <w:t xml:space="preserve"> from </w:t>
      </w:r>
      <w:hyperlink r:id="rId13" w:anchor="list-of-khapra-beetle-target-risk-countries" w:history="1">
        <w:r w:rsidRPr="000C0E30">
          <w:rPr>
            <w:rStyle w:val="Hyperlink"/>
            <w:lang w:eastAsia="ja-JP"/>
          </w:rPr>
          <w:t>khapra beetle target risk countries</w:t>
        </w:r>
      </w:hyperlink>
      <w:r w:rsidRPr="00F571C5">
        <w:rPr>
          <w:lang w:eastAsia="ja-JP"/>
        </w:rPr>
        <w:t xml:space="preserve"> for export to Australia. It details the packaging requirements for these treatments, including examples of compliant and non-compliant scenarios.</w:t>
      </w:r>
    </w:p>
    <w:p w14:paraId="5C67355A" w14:textId="45DB4E28" w:rsidR="00F571C5" w:rsidRDefault="00F571C5" w:rsidP="00E61674">
      <w:pPr>
        <w:pStyle w:val="Heading3"/>
        <w:numPr>
          <w:ilvl w:val="0"/>
          <w:numId w:val="0"/>
        </w:numPr>
        <w:spacing w:after="200"/>
        <w:ind w:left="964" w:hanging="964"/>
        <w:rPr>
          <w:lang w:eastAsia="ja-JP"/>
        </w:rPr>
      </w:pPr>
      <w:r>
        <w:rPr>
          <w:lang w:eastAsia="ja-JP"/>
        </w:rPr>
        <w:t xml:space="preserve">Import conditions and scenarios </w:t>
      </w:r>
    </w:p>
    <w:p w14:paraId="29019907" w14:textId="1D5E5B88" w:rsidR="00F571C5" w:rsidRDefault="00F571C5" w:rsidP="00E61674">
      <w:pPr>
        <w:rPr>
          <w:lang w:eastAsia="ja-JP"/>
        </w:rPr>
      </w:pPr>
      <w:r w:rsidRPr="00F571C5">
        <w:rPr>
          <w:lang w:eastAsia="ja-JP"/>
        </w:rPr>
        <w:t>Certain types of packaging are impermeable to gas (gas-proof), which can prevent the fumigant from reaching the goods. Impermeable packaging and wrappings that impede methyl bromide distribution or penetration into the target of fumigation must be removed, opened, slashed or made pervious prior to fumigation. To ensure the fumigation is effective, high-risk plant products must be fumigated using one of the options outlined below.</w:t>
      </w:r>
    </w:p>
    <w:p w14:paraId="1F8D4784" w14:textId="77777777" w:rsidR="00F571C5" w:rsidRDefault="00F571C5" w:rsidP="00E61674">
      <w:pPr>
        <w:pStyle w:val="Heading3"/>
        <w:numPr>
          <w:ilvl w:val="0"/>
          <w:numId w:val="0"/>
        </w:numPr>
        <w:spacing w:after="200"/>
        <w:ind w:left="964" w:hanging="964"/>
        <w:rPr>
          <w:lang w:eastAsia="ja-JP"/>
        </w:rPr>
      </w:pPr>
      <w:r w:rsidRPr="00F571C5">
        <w:rPr>
          <w:lang w:eastAsia="ja-JP"/>
        </w:rPr>
        <w:t xml:space="preserve">Option 1: Fumigated in gas permeable packaging </w:t>
      </w:r>
    </w:p>
    <w:p w14:paraId="39259165" w14:textId="4A187F4E" w:rsidR="00FE4985" w:rsidRPr="00FE4985" w:rsidRDefault="00F571C5" w:rsidP="00E61674">
      <w:pPr>
        <w:rPr>
          <w:lang w:eastAsia="ja-JP"/>
        </w:rPr>
      </w:pPr>
      <w:r w:rsidRPr="00F571C5">
        <w:rPr>
          <w:lang w:eastAsia="ja-JP"/>
        </w:rPr>
        <w:t>All layers of packaging must be permeable. Permeable packaging is packaging that allows gases to pass through freely. Examples of compliant and non-compliant scenarios under these options are detailed below</w:t>
      </w:r>
      <w:r>
        <w:rPr>
          <w:lang w:eastAsia="ja-JP"/>
        </w:rPr>
        <w:t xml:space="preserve">. </w:t>
      </w:r>
    </w:p>
    <w:tbl>
      <w:tblPr>
        <w:tblStyle w:val="TableGrid"/>
        <w:tblW w:w="0" w:type="auto"/>
        <w:tblLook w:val="04A0" w:firstRow="1" w:lastRow="0" w:firstColumn="1" w:lastColumn="0" w:noHBand="0" w:noVBand="1"/>
      </w:tblPr>
      <w:tblGrid>
        <w:gridCol w:w="6924"/>
        <w:gridCol w:w="2119"/>
      </w:tblGrid>
      <w:tr w:rsidR="00825B1B" w14:paraId="1E6060D3" w14:textId="77777777" w:rsidTr="00F21261">
        <w:trPr>
          <w:cantSplit/>
          <w:trHeight w:val="213"/>
          <w:tblHeader/>
        </w:trPr>
        <w:tc>
          <w:tcPr>
            <w:tcW w:w="6924" w:type="dxa"/>
          </w:tcPr>
          <w:p w14:paraId="4154034D" w14:textId="061D6ADB" w:rsidR="00825B1B" w:rsidRDefault="00825B1B" w:rsidP="00842D75">
            <w:pPr>
              <w:pStyle w:val="TableHeading"/>
              <w:rPr>
                <w:lang w:eastAsia="ja-JP"/>
              </w:rPr>
            </w:pPr>
            <w:bookmarkStart w:id="0" w:name="Title_1"/>
            <w:bookmarkEnd w:id="0"/>
            <w:r>
              <w:rPr>
                <w:lang w:eastAsia="ja-JP"/>
              </w:rPr>
              <w:t xml:space="preserve">Scenario </w:t>
            </w:r>
          </w:p>
        </w:tc>
        <w:tc>
          <w:tcPr>
            <w:tcW w:w="2119" w:type="dxa"/>
          </w:tcPr>
          <w:p w14:paraId="4F0F709F" w14:textId="07AA3098" w:rsidR="00825B1B" w:rsidRDefault="00825B1B" w:rsidP="00842D75">
            <w:pPr>
              <w:pStyle w:val="TableHeading"/>
              <w:rPr>
                <w:lang w:eastAsia="ja-JP"/>
              </w:rPr>
            </w:pPr>
            <w:r>
              <w:rPr>
                <w:lang w:eastAsia="ja-JP"/>
              </w:rPr>
              <w:t xml:space="preserve">Compliance status </w:t>
            </w:r>
          </w:p>
        </w:tc>
      </w:tr>
      <w:tr w:rsidR="00825B1B" w14:paraId="2328F18E" w14:textId="77777777" w:rsidTr="007433EE">
        <w:tc>
          <w:tcPr>
            <w:tcW w:w="6924" w:type="dxa"/>
          </w:tcPr>
          <w:p w14:paraId="22EED854" w14:textId="1F00E263" w:rsidR="00825B1B" w:rsidRDefault="00825B1B" w:rsidP="00842D75">
            <w:pPr>
              <w:pStyle w:val="TableText"/>
              <w:rPr>
                <w:lang w:eastAsia="ja-JP"/>
              </w:rPr>
            </w:pPr>
            <w:r w:rsidRPr="00825B1B">
              <w:rPr>
                <w:lang w:eastAsia="ja-JP"/>
              </w:rPr>
              <w:t>Products are fumigated in gas permeable packaging with no shrink wrapping around them.</w:t>
            </w:r>
          </w:p>
        </w:tc>
        <w:tc>
          <w:tcPr>
            <w:tcW w:w="2119" w:type="dxa"/>
          </w:tcPr>
          <w:p w14:paraId="3FEDDC4B" w14:textId="3F613CAC" w:rsidR="00825B1B" w:rsidRDefault="00825B1B" w:rsidP="00842D75">
            <w:pPr>
              <w:pStyle w:val="TableText"/>
              <w:rPr>
                <w:lang w:eastAsia="ja-JP"/>
              </w:rPr>
            </w:pPr>
            <w:r>
              <w:rPr>
                <w:lang w:eastAsia="ja-JP"/>
              </w:rPr>
              <w:t xml:space="preserve">Compliant </w:t>
            </w:r>
          </w:p>
        </w:tc>
      </w:tr>
      <w:tr w:rsidR="00825B1B" w14:paraId="78593A27" w14:textId="77777777" w:rsidTr="007433EE">
        <w:tc>
          <w:tcPr>
            <w:tcW w:w="6924" w:type="dxa"/>
          </w:tcPr>
          <w:p w14:paraId="1FC42BA9" w14:textId="4C8791FC" w:rsidR="00825B1B" w:rsidRDefault="00825B1B" w:rsidP="00842D75">
            <w:pPr>
              <w:pStyle w:val="TableText"/>
              <w:rPr>
                <w:lang w:eastAsia="ja-JP"/>
              </w:rPr>
            </w:pPr>
            <w:r w:rsidRPr="00825B1B">
              <w:rPr>
                <w:lang w:eastAsia="ja-JP"/>
              </w:rPr>
              <w:t>Products are fumigated in gas permeable packaging but with shrink wrapping around them.</w:t>
            </w:r>
          </w:p>
        </w:tc>
        <w:tc>
          <w:tcPr>
            <w:tcW w:w="2119" w:type="dxa"/>
          </w:tcPr>
          <w:p w14:paraId="43CBB12F" w14:textId="554D9A84" w:rsidR="00825B1B" w:rsidRDefault="00825B1B" w:rsidP="00842D75">
            <w:pPr>
              <w:pStyle w:val="TableText"/>
              <w:rPr>
                <w:lang w:eastAsia="ja-JP"/>
              </w:rPr>
            </w:pPr>
            <w:r>
              <w:rPr>
                <w:lang w:eastAsia="ja-JP"/>
              </w:rPr>
              <w:t xml:space="preserve">Not compliant </w:t>
            </w:r>
          </w:p>
        </w:tc>
      </w:tr>
      <w:tr w:rsidR="00825B1B" w14:paraId="3B93C259" w14:textId="77777777" w:rsidTr="007433EE">
        <w:trPr>
          <w:trHeight w:val="417"/>
        </w:trPr>
        <w:tc>
          <w:tcPr>
            <w:tcW w:w="6924" w:type="dxa"/>
          </w:tcPr>
          <w:p w14:paraId="65927B79" w14:textId="5D8AF8FE" w:rsidR="00825B1B" w:rsidRDefault="00825B1B" w:rsidP="00842D75">
            <w:pPr>
              <w:pStyle w:val="TableText"/>
              <w:rPr>
                <w:lang w:eastAsia="ja-JP"/>
              </w:rPr>
            </w:pPr>
            <w:r w:rsidRPr="00825B1B">
              <w:rPr>
                <w:lang w:eastAsia="ja-JP"/>
              </w:rPr>
              <w:t>Fumigated in impermeable packaging.</w:t>
            </w:r>
          </w:p>
        </w:tc>
        <w:tc>
          <w:tcPr>
            <w:tcW w:w="2119" w:type="dxa"/>
          </w:tcPr>
          <w:p w14:paraId="3F97BF54" w14:textId="637460AE" w:rsidR="00825B1B" w:rsidRDefault="00825B1B" w:rsidP="00842D75">
            <w:pPr>
              <w:pStyle w:val="TableText"/>
              <w:rPr>
                <w:lang w:eastAsia="ja-JP"/>
              </w:rPr>
            </w:pPr>
            <w:r>
              <w:rPr>
                <w:lang w:eastAsia="ja-JP"/>
              </w:rPr>
              <w:t>Not compli</w:t>
            </w:r>
            <w:r w:rsidR="00F17BFF">
              <w:rPr>
                <w:lang w:eastAsia="ja-JP"/>
              </w:rPr>
              <w:t>a</w:t>
            </w:r>
            <w:r>
              <w:rPr>
                <w:lang w:eastAsia="ja-JP"/>
              </w:rPr>
              <w:t xml:space="preserve">nt </w:t>
            </w:r>
          </w:p>
        </w:tc>
      </w:tr>
    </w:tbl>
    <w:p w14:paraId="0B42994A" w14:textId="38D021ED" w:rsidR="00825B1B" w:rsidRDefault="00825B1B" w:rsidP="005E789D">
      <w:pPr>
        <w:spacing w:before="120"/>
        <w:rPr>
          <w:lang w:eastAsia="ja-JP"/>
        </w:rPr>
      </w:pPr>
      <w:r w:rsidRPr="00825B1B">
        <w:rPr>
          <w:lang w:eastAsia="ja-JP"/>
        </w:rPr>
        <w:t>Suitable fumigation locations</w:t>
      </w:r>
      <w:r w:rsidR="007433EE">
        <w:rPr>
          <w:lang w:eastAsia="ja-JP"/>
        </w:rPr>
        <w:t xml:space="preserve"> for this option</w:t>
      </w:r>
      <w:r w:rsidR="00F80DBD">
        <w:rPr>
          <w:lang w:eastAsia="ja-JP"/>
        </w:rPr>
        <w:t xml:space="preserve"> include</w:t>
      </w:r>
      <w:r w:rsidRPr="00825B1B">
        <w:rPr>
          <w:lang w:eastAsia="ja-JP"/>
        </w:rPr>
        <w:t xml:space="preserve">: </w:t>
      </w:r>
    </w:p>
    <w:p w14:paraId="26756184" w14:textId="39AA9FFC" w:rsidR="00825B1B" w:rsidRDefault="00825B1B" w:rsidP="00E61674">
      <w:pPr>
        <w:rPr>
          <w:lang w:eastAsia="ja-JP"/>
        </w:rPr>
      </w:pPr>
      <w:r w:rsidRPr="00825B1B">
        <w:rPr>
          <w:lang w:eastAsia="ja-JP"/>
        </w:rPr>
        <w:t>• Products in storage at a supplier</w:t>
      </w:r>
      <w:r w:rsidR="00F63EAC">
        <w:rPr>
          <w:lang w:eastAsia="ja-JP"/>
        </w:rPr>
        <w:t>’s</w:t>
      </w:r>
      <w:r w:rsidRPr="00825B1B">
        <w:rPr>
          <w:lang w:eastAsia="ja-JP"/>
        </w:rPr>
        <w:t xml:space="preserve"> or producer’s premises </w:t>
      </w:r>
    </w:p>
    <w:p w14:paraId="2BC8E53A" w14:textId="180B8E96" w:rsidR="009462C7" w:rsidRDefault="00825B1B" w:rsidP="00E61674">
      <w:pPr>
        <w:rPr>
          <w:lang w:eastAsia="ja-JP"/>
        </w:rPr>
      </w:pPr>
      <w:r w:rsidRPr="00825B1B">
        <w:rPr>
          <w:lang w:eastAsia="ja-JP"/>
        </w:rPr>
        <w:t>• Products packed into a shipping container</w:t>
      </w:r>
      <w:r w:rsidR="009462C7">
        <w:rPr>
          <w:lang w:eastAsia="ja-JP"/>
        </w:rPr>
        <w:t xml:space="preserve">. </w:t>
      </w:r>
    </w:p>
    <w:p w14:paraId="1E26824E" w14:textId="7B31DF69" w:rsidR="009462C7" w:rsidRDefault="009462C7" w:rsidP="00E61674">
      <w:pPr>
        <w:pStyle w:val="Heading3"/>
        <w:numPr>
          <w:ilvl w:val="0"/>
          <w:numId w:val="0"/>
        </w:numPr>
        <w:spacing w:after="200"/>
        <w:ind w:left="964" w:hanging="964"/>
        <w:rPr>
          <w:lang w:eastAsia="ja-JP"/>
        </w:rPr>
      </w:pPr>
      <w:r>
        <w:rPr>
          <w:lang w:eastAsia="ja-JP"/>
        </w:rPr>
        <w:t xml:space="preserve">Option 2: </w:t>
      </w:r>
      <w:r w:rsidRPr="00F571C5">
        <w:rPr>
          <w:lang w:eastAsia="ja-JP"/>
        </w:rPr>
        <w:t xml:space="preserve">Fumigated </w:t>
      </w:r>
      <w:r>
        <w:rPr>
          <w:lang w:eastAsia="ja-JP"/>
        </w:rPr>
        <w:t>prior to being sealed in impermeable</w:t>
      </w:r>
      <w:r w:rsidRPr="00F571C5">
        <w:rPr>
          <w:lang w:eastAsia="ja-JP"/>
        </w:rPr>
        <w:t xml:space="preserve"> </w:t>
      </w:r>
      <w:r>
        <w:rPr>
          <w:lang w:eastAsia="ja-JP"/>
        </w:rPr>
        <w:t>packaging</w:t>
      </w:r>
    </w:p>
    <w:tbl>
      <w:tblPr>
        <w:tblStyle w:val="TableGrid"/>
        <w:tblW w:w="0" w:type="auto"/>
        <w:tblLook w:val="04A0" w:firstRow="1" w:lastRow="0" w:firstColumn="1" w:lastColumn="0" w:noHBand="0" w:noVBand="1"/>
      </w:tblPr>
      <w:tblGrid>
        <w:gridCol w:w="6924"/>
        <w:gridCol w:w="2119"/>
      </w:tblGrid>
      <w:tr w:rsidR="009462C7" w14:paraId="066EAE0B" w14:textId="77777777" w:rsidTr="00686A54">
        <w:trPr>
          <w:trHeight w:val="213"/>
        </w:trPr>
        <w:tc>
          <w:tcPr>
            <w:tcW w:w="6924" w:type="dxa"/>
          </w:tcPr>
          <w:p w14:paraId="3FE8B360" w14:textId="77777777" w:rsidR="009462C7" w:rsidRDefault="009462C7" w:rsidP="00E80CBD">
            <w:pPr>
              <w:pStyle w:val="TableHeading"/>
              <w:rPr>
                <w:lang w:eastAsia="ja-JP"/>
              </w:rPr>
            </w:pPr>
            <w:bookmarkStart w:id="1" w:name="Title_2"/>
            <w:bookmarkEnd w:id="1"/>
            <w:r>
              <w:rPr>
                <w:lang w:eastAsia="ja-JP"/>
              </w:rPr>
              <w:t xml:space="preserve">Scenario </w:t>
            </w:r>
          </w:p>
        </w:tc>
        <w:tc>
          <w:tcPr>
            <w:tcW w:w="2119" w:type="dxa"/>
          </w:tcPr>
          <w:p w14:paraId="5D3647D5" w14:textId="77777777" w:rsidR="009462C7" w:rsidRDefault="009462C7" w:rsidP="00E80CBD">
            <w:pPr>
              <w:pStyle w:val="TableHeading"/>
              <w:rPr>
                <w:lang w:eastAsia="ja-JP"/>
              </w:rPr>
            </w:pPr>
            <w:r>
              <w:rPr>
                <w:lang w:eastAsia="ja-JP"/>
              </w:rPr>
              <w:t xml:space="preserve">Compliance status </w:t>
            </w:r>
          </w:p>
        </w:tc>
      </w:tr>
      <w:tr w:rsidR="009462C7" w14:paraId="75CE7D64" w14:textId="77777777" w:rsidTr="00686A54">
        <w:tc>
          <w:tcPr>
            <w:tcW w:w="6924" w:type="dxa"/>
          </w:tcPr>
          <w:p w14:paraId="5F17928B" w14:textId="1E373487" w:rsidR="009462C7" w:rsidRDefault="009462C7" w:rsidP="00E80CBD">
            <w:pPr>
              <w:pStyle w:val="TableText"/>
              <w:rPr>
                <w:lang w:eastAsia="ja-JP"/>
              </w:rPr>
            </w:pPr>
            <w:r w:rsidRPr="009462C7">
              <w:rPr>
                <w:lang w:eastAsia="ja-JP"/>
              </w:rPr>
              <w:t>Fumigated in bulk (e.g. in a pile, storage bins or hessian bags). The fumigated products are then packed and sealed in new packaging for export.</w:t>
            </w:r>
          </w:p>
        </w:tc>
        <w:tc>
          <w:tcPr>
            <w:tcW w:w="2119" w:type="dxa"/>
          </w:tcPr>
          <w:p w14:paraId="265DC154" w14:textId="77777777" w:rsidR="009462C7" w:rsidRDefault="009462C7" w:rsidP="00E80CBD">
            <w:pPr>
              <w:pStyle w:val="TableText"/>
              <w:rPr>
                <w:lang w:eastAsia="ja-JP"/>
              </w:rPr>
            </w:pPr>
            <w:r>
              <w:rPr>
                <w:lang w:eastAsia="ja-JP"/>
              </w:rPr>
              <w:t xml:space="preserve">Compliant </w:t>
            </w:r>
          </w:p>
        </w:tc>
      </w:tr>
      <w:tr w:rsidR="009462C7" w14:paraId="5CC53666" w14:textId="77777777" w:rsidTr="00686A54">
        <w:trPr>
          <w:trHeight w:val="681"/>
        </w:trPr>
        <w:tc>
          <w:tcPr>
            <w:tcW w:w="6924" w:type="dxa"/>
          </w:tcPr>
          <w:p w14:paraId="273EEDC6" w14:textId="7EBE08CD" w:rsidR="009462C7" w:rsidRPr="00825B1B" w:rsidRDefault="009462C7" w:rsidP="00E80CBD">
            <w:pPr>
              <w:pStyle w:val="TableText"/>
              <w:rPr>
                <w:lang w:eastAsia="ja-JP"/>
              </w:rPr>
            </w:pPr>
            <w:r w:rsidRPr="009462C7">
              <w:rPr>
                <w:lang w:eastAsia="ja-JP"/>
              </w:rPr>
              <w:t>Fumigated in impermeable packaging but left open and unsealed. The fumigated products are then sealed for export.</w:t>
            </w:r>
          </w:p>
        </w:tc>
        <w:tc>
          <w:tcPr>
            <w:tcW w:w="2119" w:type="dxa"/>
          </w:tcPr>
          <w:p w14:paraId="34347DA7" w14:textId="762CDAF4" w:rsidR="009462C7" w:rsidRDefault="009462C7" w:rsidP="00E80CBD">
            <w:pPr>
              <w:pStyle w:val="TableText"/>
              <w:rPr>
                <w:lang w:eastAsia="ja-JP"/>
              </w:rPr>
            </w:pPr>
            <w:r>
              <w:rPr>
                <w:lang w:eastAsia="ja-JP"/>
              </w:rPr>
              <w:t xml:space="preserve">Compliant </w:t>
            </w:r>
          </w:p>
        </w:tc>
      </w:tr>
    </w:tbl>
    <w:p w14:paraId="0D437621" w14:textId="613A2B4C" w:rsidR="009462C7" w:rsidRDefault="009462C7" w:rsidP="005E789D">
      <w:pPr>
        <w:spacing w:before="240"/>
        <w:rPr>
          <w:lang w:eastAsia="ja-JP"/>
        </w:rPr>
      </w:pPr>
      <w:r w:rsidRPr="00825B1B">
        <w:rPr>
          <w:lang w:eastAsia="ja-JP"/>
        </w:rPr>
        <w:lastRenderedPageBreak/>
        <w:t>Suitable</w:t>
      </w:r>
      <w:r w:rsidR="005D46AC">
        <w:rPr>
          <w:lang w:eastAsia="ja-JP"/>
        </w:rPr>
        <w:t xml:space="preserve"> fumigation</w:t>
      </w:r>
      <w:r w:rsidRPr="00825B1B">
        <w:rPr>
          <w:lang w:eastAsia="ja-JP"/>
        </w:rPr>
        <w:t xml:space="preserve"> locations</w:t>
      </w:r>
      <w:r w:rsidR="008F64E4">
        <w:rPr>
          <w:lang w:eastAsia="ja-JP"/>
        </w:rPr>
        <w:t xml:space="preserve"> include</w:t>
      </w:r>
      <w:r w:rsidRPr="00825B1B">
        <w:rPr>
          <w:lang w:eastAsia="ja-JP"/>
        </w:rPr>
        <w:t xml:space="preserve"> </w:t>
      </w:r>
      <w:r w:rsidR="005D46AC">
        <w:rPr>
          <w:lang w:eastAsia="ja-JP"/>
        </w:rPr>
        <w:t>the</w:t>
      </w:r>
      <w:r w:rsidRPr="00825B1B">
        <w:rPr>
          <w:lang w:eastAsia="ja-JP"/>
        </w:rPr>
        <w:t xml:space="preserve"> supplier</w:t>
      </w:r>
      <w:r w:rsidR="005D46AC">
        <w:rPr>
          <w:lang w:eastAsia="ja-JP"/>
        </w:rPr>
        <w:t>’s</w:t>
      </w:r>
      <w:r w:rsidRPr="00825B1B">
        <w:rPr>
          <w:lang w:eastAsia="ja-JP"/>
        </w:rPr>
        <w:t xml:space="preserve"> or producer’s premises</w:t>
      </w:r>
      <w:r>
        <w:rPr>
          <w:lang w:eastAsia="ja-JP"/>
        </w:rPr>
        <w:t xml:space="preserve">. </w:t>
      </w:r>
    </w:p>
    <w:p w14:paraId="6BDD0ED5" w14:textId="731825EA" w:rsidR="009462C7" w:rsidRDefault="009462C7" w:rsidP="00E61674">
      <w:pPr>
        <w:pStyle w:val="Heading3"/>
        <w:numPr>
          <w:ilvl w:val="0"/>
          <w:numId w:val="0"/>
        </w:numPr>
        <w:spacing w:after="200"/>
        <w:ind w:left="964" w:hanging="964"/>
        <w:rPr>
          <w:lang w:eastAsia="ja-JP"/>
        </w:rPr>
      </w:pPr>
      <w:r>
        <w:rPr>
          <w:lang w:eastAsia="ja-JP"/>
        </w:rPr>
        <w:t>Gas permeable packaging</w:t>
      </w:r>
      <w:r w:rsidR="0074756E">
        <w:rPr>
          <w:lang w:eastAsia="ja-JP"/>
        </w:rPr>
        <w:t xml:space="preserve"> examples</w:t>
      </w:r>
    </w:p>
    <w:p w14:paraId="094B292F" w14:textId="754E05A5" w:rsidR="00E34DD9" w:rsidRPr="00E34DD9" w:rsidRDefault="00E34DD9" w:rsidP="00E61674">
      <w:pPr>
        <w:rPr>
          <w:lang w:eastAsia="ja-JP"/>
        </w:rPr>
      </w:pPr>
      <w:r>
        <w:rPr>
          <w:lang w:eastAsia="ja-JP"/>
        </w:rPr>
        <w:t>The following items are examples of gas permeable packaging:</w:t>
      </w:r>
    </w:p>
    <w:p w14:paraId="6EEE0DB4" w14:textId="4090AD0A" w:rsidR="009462C7" w:rsidRPr="009462C7" w:rsidRDefault="009462C7" w:rsidP="00E34DD9">
      <w:pPr>
        <w:pStyle w:val="ListBullet"/>
        <w:rPr>
          <w:lang w:eastAsia="ja-JP"/>
        </w:rPr>
      </w:pPr>
      <w:r w:rsidRPr="1C4DD174">
        <w:rPr>
          <w:b/>
          <w:bCs/>
          <w:lang w:eastAsia="ja-JP"/>
        </w:rPr>
        <w:t>Dry cloth</w:t>
      </w:r>
      <w:r w:rsidRPr="1C4DD174">
        <w:rPr>
          <w:lang w:eastAsia="ja-JP"/>
        </w:rPr>
        <w:t xml:space="preserve"> that is porous enough to allow the fumigant to pass through freely</w:t>
      </w:r>
      <w:r w:rsidR="00A047B7">
        <w:rPr>
          <w:lang w:eastAsia="ja-JP"/>
        </w:rPr>
        <w:t>.</w:t>
      </w:r>
    </w:p>
    <w:p w14:paraId="3921B4ED" w14:textId="6914D7DB" w:rsidR="009462C7" w:rsidRDefault="009462C7" w:rsidP="00E34DD9">
      <w:pPr>
        <w:pStyle w:val="ListBullet"/>
        <w:rPr>
          <w:lang w:eastAsia="ja-JP"/>
        </w:rPr>
      </w:pPr>
      <w:r w:rsidRPr="1C4DD174">
        <w:rPr>
          <w:b/>
          <w:bCs/>
          <w:lang w:eastAsia="ja-JP"/>
        </w:rPr>
        <w:t>Woven fabrics</w:t>
      </w:r>
      <w:r w:rsidRPr="1C4DD174">
        <w:rPr>
          <w:lang w:eastAsia="ja-JP"/>
        </w:rPr>
        <w:t xml:space="preserve"> and plastics that are not lined, coated or laminated with impermeable materials</w:t>
      </w:r>
      <w:r w:rsidR="00A047B7">
        <w:rPr>
          <w:lang w:eastAsia="ja-JP"/>
        </w:rPr>
        <w:t>.</w:t>
      </w:r>
    </w:p>
    <w:p w14:paraId="6F2990B1" w14:textId="5FA9E112" w:rsidR="009462C7" w:rsidRDefault="00B10985" w:rsidP="00E34DD9">
      <w:pPr>
        <w:pStyle w:val="ListBullet"/>
        <w:rPr>
          <w:lang w:eastAsia="ja-JP"/>
        </w:rPr>
      </w:pPr>
      <w:r w:rsidRPr="1C4DD174">
        <w:rPr>
          <w:b/>
          <w:bCs/>
          <w:lang w:eastAsia="ja-JP"/>
        </w:rPr>
        <w:t>Paper and cardboard</w:t>
      </w:r>
      <w:r w:rsidRPr="1C4DD174">
        <w:rPr>
          <w:lang w:eastAsia="ja-JP"/>
        </w:rPr>
        <w:t xml:space="preserve"> that is not waxed, lined, laminated or painted</w:t>
      </w:r>
      <w:r w:rsidR="00A047B7">
        <w:rPr>
          <w:lang w:eastAsia="ja-JP"/>
        </w:rPr>
        <w:t>.</w:t>
      </w:r>
    </w:p>
    <w:p w14:paraId="005F775A" w14:textId="3D1B12D6" w:rsidR="00B10985" w:rsidRPr="009462C7" w:rsidRDefault="00B10985" w:rsidP="00E34DD9">
      <w:pPr>
        <w:pStyle w:val="ListBullet"/>
        <w:rPr>
          <w:lang w:eastAsia="ja-JP"/>
        </w:rPr>
      </w:pPr>
      <w:r w:rsidRPr="1C4DD174">
        <w:rPr>
          <w:b/>
          <w:bCs/>
          <w:lang w:eastAsia="ja-JP"/>
        </w:rPr>
        <w:t>Perforated plastics or cellophane</w:t>
      </w:r>
      <w:r w:rsidRPr="1C4DD174">
        <w:rPr>
          <w:lang w:eastAsia="ja-JP"/>
        </w:rPr>
        <w:t xml:space="preserve"> that meet perforation requirements of the </w:t>
      </w:r>
      <w:hyperlink r:id="rId14" w:history="1">
        <w:r w:rsidR="00FE366F">
          <w:rPr>
            <w:rStyle w:val="Hyperlink"/>
            <w:lang w:eastAsia="ja-JP"/>
          </w:rPr>
          <w:t>Methyl Bromide Fumigation Methodology</w:t>
        </w:r>
      </w:hyperlink>
      <w:r w:rsidR="61BB53DB" w:rsidRPr="1C4DD174">
        <w:rPr>
          <w:lang w:eastAsia="ja-JP"/>
        </w:rPr>
        <w:t>.</w:t>
      </w:r>
    </w:p>
    <w:p w14:paraId="6348BE8D" w14:textId="007389C8" w:rsidR="00B10985" w:rsidRDefault="00B10985" w:rsidP="00E61674">
      <w:pPr>
        <w:pStyle w:val="Heading3"/>
        <w:numPr>
          <w:ilvl w:val="0"/>
          <w:numId w:val="0"/>
        </w:numPr>
        <w:spacing w:after="200"/>
        <w:ind w:left="964" w:hanging="964"/>
        <w:rPr>
          <w:lang w:eastAsia="ja-JP"/>
        </w:rPr>
      </w:pPr>
      <w:r>
        <w:rPr>
          <w:lang w:eastAsia="ja-JP"/>
        </w:rPr>
        <w:t>Gas impermeable packaging</w:t>
      </w:r>
      <w:r w:rsidR="0074756E">
        <w:rPr>
          <w:lang w:eastAsia="ja-JP"/>
        </w:rPr>
        <w:t xml:space="preserve"> examples</w:t>
      </w:r>
      <w:r>
        <w:rPr>
          <w:lang w:eastAsia="ja-JP"/>
        </w:rPr>
        <w:t xml:space="preserve"> </w:t>
      </w:r>
    </w:p>
    <w:p w14:paraId="06267536" w14:textId="15C1E75A" w:rsidR="00FE366F" w:rsidRPr="00FE366F" w:rsidRDefault="00FE366F" w:rsidP="00E61674">
      <w:pPr>
        <w:rPr>
          <w:lang w:eastAsia="ja-JP"/>
        </w:rPr>
      </w:pPr>
      <w:r>
        <w:rPr>
          <w:lang w:eastAsia="ja-JP"/>
        </w:rPr>
        <w:t>The following items are examples of gas impermeable packaging:</w:t>
      </w:r>
    </w:p>
    <w:p w14:paraId="3170F498" w14:textId="4837222A" w:rsidR="009462C7" w:rsidRDefault="00B10985" w:rsidP="00FE366F">
      <w:pPr>
        <w:pStyle w:val="ListBullet"/>
        <w:rPr>
          <w:lang w:eastAsia="ja-JP"/>
        </w:rPr>
      </w:pPr>
      <w:r w:rsidRPr="00B10985">
        <w:rPr>
          <w:b/>
          <w:bCs/>
          <w:lang w:eastAsia="ja-JP"/>
        </w:rPr>
        <w:t>Sealed solid plastic or cellophane bags or pouches</w:t>
      </w:r>
      <w:r w:rsidRPr="00B10985">
        <w:rPr>
          <w:lang w:eastAsia="ja-JP"/>
        </w:rPr>
        <w:t xml:space="preserve"> (including those with insufficient perforations)</w:t>
      </w:r>
      <w:r>
        <w:rPr>
          <w:lang w:eastAsia="ja-JP"/>
        </w:rPr>
        <w:t>.</w:t>
      </w:r>
    </w:p>
    <w:p w14:paraId="1969C17C" w14:textId="5E915A12" w:rsidR="00B10985" w:rsidRPr="00B10985" w:rsidRDefault="00B10985" w:rsidP="00FE366F">
      <w:pPr>
        <w:pStyle w:val="ListBullet"/>
        <w:rPr>
          <w:b/>
          <w:bCs/>
          <w:lang w:eastAsia="ja-JP"/>
        </w:rPr>
      </w:pPr>
      <w:r w:rsidRPr="00B10985">
        <w:rPr>
          <w:b/>
          <w:bCs/>
          <w:lang w:eastAsia="ja-JP"/>
        </w:rPr>
        <w:t>Sealed pouches, tins and cans.</w:t>
      </w:r>
    </w:p>
    <w:p w14:paraId="33322BA3" w14:textId="09395BFA" w:rsidR="00B10985" w:rsidRDefault="00B10985" w:rsidP="00FE366F">
      <w:pPr>
        <w:pStyle w:val="ListBullet"/>
        <w:rPr>
          <w:lang w:eastAsia="ja-JP"/>
        </w:rPr>
      </w:pPr>
      <w:r w:rsidRPr="00B10985">
        <w:rPr>
          <w:lang w:eastAsia="ja-JP"/>
        </w:rPr>
        <w:t xml:space="preserve">Paper, cardboard and woven fabrics </w:t>
      </w:r>
      <w:r w:rsidRPr="00B10985">
        <w:rPr>
          <w:b/>
          <w:bCs/>
          <w:lang w:eastAsia="ja-JP"/>
        </w:rPr>
        <w:t>that are waxed, lined, laminated, or painted</w:t>
      </w:r>
      <w:r w:rsidRPr="00B10985">
        <w:rPr>
          <w:lang w:eastAsia="ja-JP"/>
        </w:rPr>
        <w:t xml:space="preserve"> with impermeable materials</w:t>
      </w:r>
      <w:r>
        <w:rPr>
          <w:lang w:eastAsia="ja-JP"/>
        </w:rPr>
        <w:t>.</w:t>
      </w:r>
    </w:p>
    <w:p w14:paraId="540D1CCC" w14:textId="788A4DD3" w:rsidR="00B10985" w:rsidRDefault="00B10985" w:rsidP="00FE366F">
      <w:pPr>
        <w:pStyle w:val="ListBullet"/>
        <w:rPr>
          <w:b/>
          <w:bCs/>
          <w:lang w:eastAsia="ja-JP"/>
        </w:rPr>
      </w:pPr>
      <w:r w:rsidRPr="00B10985">
        <w:rPr>
          <w:b/>
          <w:bCs/>
          <w:lang w:eastAsia="ja-JP"/>
        </w:rPr>
        <w:t>Sealed glass jars and bottles.</w:t>
      </w:r>
    </w:p>
    <w:p w14:paraId="2E2ED7E7" w14:textId="2DB96E3B" w:rsidR="00B10985" w:rsidRDefault="00B10985" w:rsidP="00E61674">
      <w:pPr>
        <w:pStyle w:val="Heading3"/>
        <w:numPr>
          <w:ilvl w:val="0"/>
          <w:numId w:val="0"/>
        </w:numPr>
        <w:spacing w:after="200"/>
        <w:ind w:left="964" w:hanging="964"/>
        <w:rPr>
          <w:lang w:eastAsia="ja-JP"/>
        </w:rPr>
      </w:pPr>
      <w:r>
        <w:rPr>
          <w:lang w:eastAsia="ja-JP"/>
        </w:rPr>
        <w:t>Perforation requirements</w:t>
      </w:r>
    </w:p>
    <w:p w14:paraId="1DA6A304" w14:textId="7F527317" w:rsidR="00B10985" w:rsidRPr="00955AC7" w:rsidRDefault="00B10985" w:rsidP="00E61674">
      <w:pPr>
        <w:rPr>
          <w:lang w:eastAsia="ja-JP"/>
        </w:rPr>
      </w:pPr>
      <w:r w:rsidRPr="00B10985">
        <w:rPr>
          <w:lang w:eastAsia="ja-JP"/>
        </w:rPr>
        <w:t>Perforations are small holes or openings in the packaging that allow gas to pass through.</w:t>
      </w:r>
      <w:r w:rsidR="00955AC7">
        <w:rPr>
          <w:lang w:eastAsia="ja-JP"/>
        </w:rPr>
        <w:t xml:space="preserve"> </w:t>
      </w:r>
      <w:r w:rsidRPr="00955AC7">
        <w:rPr>
          <w:lang w:eastAsia="ja-JP"/>
        </w:rPr>
        <w:t xml:space="preserve">Perforated impermeable packaging must have: </w:t>
      </w:r>
    </w:p>
    <w:p w14:paraId="5700AA86" w14:textId="4B39A3FD" w:rsidR="00B10985" w:rsidRDefault="00B10985" w:rsidP="00955AC7">
      <w:pPr>
        <w:pStyle w:val="ListBullet"/>
        <w:rPr>
          <w:lang w:eastAsia="ja-JP"/>
        </w:rPr>
      </w:pPr>
      <w:r w:rsidRPr="00B10985">
        <w:rPr>
          <w:lang w:eastAsia="ja-JP"/>
        </w:rPr>
        <w:t xml:space="preserve">4 or more holes of 6 mm diameter; or </w:t>
      </w:r>
    </w:p>
    <w:p w14:paraId="7DEE1EEA" w14:textId="3E559E3E" w:rsidR="00B10985" w:rsidRDefault="00B10985" w:rsidP="00955AC7">
      <w:pPr>
        <w:pStyle w:val="ListBullet"/>
        <w:rPr>
          <w:lang w:eastAsia="ja-JP"/>
        </w:rPr>
      </w:pPr>
      <w:r w:rsidRPr="00B10985">
        <w:rPr>
          <w:lang w:eastAsia="ja-JP"/>
        </w:rPr>
        <w:t xml:space="preserve">5 or more holes of 5 mm diameter per 100 mm x 100 mm of surface area; or </w:t>
      </w:r>
    </w:p>
    <w:p w14:paraId="030E07DB" w14:textId="46009093" w:rsidR="00B10985" w:rsidRDefault="00B10985" w:rsidP="00955AC7">
      <w:pPr>
        <w:pStyle w:val="ListBullet"/>
        <w:rPr>
          <w:lang w:eastAsia="ja-JP"/>
        </w:rPr>
      </w:pPr>
      <w:r w:rsidRPr="00B10985">
        <w:rPr>
          <w:lang w:eastAsia="ja-JP"/>
        </w:rPr>
        <w:t>6 or more pinholes per 10 mm x 10 mm of surface area.</w:t>
      </w:r>
    </w:p>
    <w:p w14:paraId="2B12F10A" w14:textId="6EDB35E2" w:rsidR="00B10985" w:rsidRDefault="00B10985" w:rsidP="00E61674">
      <w:pPr>
        <w:rPr>
          <w:lang w:eastAsia="ja-JP"/>
        </w:rPr>
      </w:pPr>
      <w:r>
        <w:rPr>
          <w:lang w:eastAsia="ja-JP"/>
        </w:rPr>
        <w:t>T</w:t>
      </w:r>
      <w:r w:rsidRPr="00B10985">
        <w:rPr>
          <w:lang w:eastAsia="ja-JP"/>
        </w:rPr>
        <w:t xml:space="preserve">he </w:t>
      </w:r>
      <w:r w:rsidRPr="00B10985">
        <w:rPr>
          <w:b/>
          <w:bCs/>
          <w:lang w:eastAsia="ja-JP"/>
        </w:rPr>
        <w:t>wrapping</w:t>
      </w:r>
      <w:r w:rsidRPr="00B10985">
        <w:rPr>
          <w:lang w:eastAsia="ja-JP"/>
        </w:rPr>
        <w:t xml:space="preserve"> must be in a </w:t>
      </w:r>
      <w:r w:rsidRPr="00B10985">
        <w:rPr>
          <w:b/>
          <w:bCs/>
          <w:lang w:eastAsia="ja-JP"/>
        </w:rPr>
        <w:t>single layer</w:t>
      </w:r>
      <w:r w:rsidRPr="00B10985">
        <w:rPr>
          <w:lang w:eastAsia="ja-JP"/>
        </w:rPr>
        <w:t>, so the perforations are not blocked by the wrapping overlapping itself.</w:t>
      </w:r>
    </w:p>
    <w:p w14:paraId="5AEB5ACE" w14:textId="430D3D48" w:rsidR="00B10985" w:rsidRDefault="00B10985" w:rsidP="00E61674">
      <w:pPr>
        <w:pStyle w:val="Heading3"/>
        <w:numPr>
          <w:ilvl w:val="0"/>
          <w:numId w:val="0"/>
        </w:numPr>
        <w:spacing w:after="200"/>
        <w:ind w:left="964" w:hanging="964"/>
        <w:rPr>
          <w:lang w:eastAsia="ja-JP"/>
        </w:rPr>
      </w:pPr>
      <w:r>
        <w:rPr>
          <w:lang w:eastAsia="ja-JP"/>
        </w:rPr>
        <w:t>Other requirements</w:t>
      </w:r>
    </w:p>
    <w:p w14:paraId="1B682F5F" w14:textId="77777777" w:rsidR="00B10985" w:rsidRDefault="00B10985" w:rsidP="00E61674">
      <w:pPr>
        <w:rPr>
          <w:lang w:eastAsia="ja-JP"/>
        </w:rPr>
      </w:pPr>
      <w:r w:rsidRPr="00B10985">
        <w:rPr>
          <w:lang w:eastAsia="ja-JP"/>
        </w:rPr>
        <w:t>Fumigations must meet:</w:t>
      </w:r>
    </w:p>
    <w:p w14:paraId="77C3E9BD" w14:textId="68C886CC" w:rsidR="00B10985" w:rsidRDefault="00B10985" w:rsidP="00955AC7">
      <w:pPr>
        <w:pStyle w:val="ListBullet"/>
        <w:rPr>
          <w:lang w:eastAsia="ja-JP"/>
        </w:rPr>
      </w:pPr>
      <w:hyperlink r:id="rId15" w:history="1">
        <w:r w:rsidRPr="00BB2455">
          <w:rPr>
            <w:rStyle w:val="Hyperlink"/>
            <w:lang w:eastAsia="ja-JP"/>
          </w:rPr>
          <w:t>Australia’s import conditions</w:t>
        </w:r>
      </w:hyperlink>
    </w:p>
    <w:p w14:paraId="1BBE2748" w14:textId="5D3A0008" w:rsidR="00B10985" w:rsidRDefault="00B10985" w:rsidP="00955AC7">
      <w:pPr>
        <w:pStyle w:val="ListBullet"/>
        <w:rPr>
          <w:lang w:eastAsia="ja-JP"/>
        </w:rPr>
      </w:pPr>
      <w:hyperlink r:id="rId16" w:history="1">
        <w:r w:rsidRPr="0011724C">
          <w:rPr>
            <w:rStyle w:val="Hyperlink"/>
            <w:lang w:eastAsia="ja-JP"/>
          </w:rPr>
          <w:t>Methyl bromide fumigation treatment requirements</w:t>
        </w:r>
      </w:hyperlink>
    </w:p>
    <w:p w14:paraId="36471E83" w14:textId="0A3F656F" w:rsidR="00B10985" w:rsidRDefault="00B10985" w:rsidP="00955AC7">
      <w:pPr>
        <w:pStyle w:val="ListBullet"/>
        <w:rPr>
          <w:lang w:eastAsia="ja-JP"/>
        </w:rPr>
      </w:pPr>
      <w:hyperlink r:id="rId17" w:history="1">
        <w:r w:rsidRPr="0019055E">
          <w:rPr>
            <w:rStyle w:val="Hyperlink"/>
            <w:lang w:eastAsia="ja-JP"/>
          </w:rPr>
          <w:t>Guide to packaging suitability for performing QPS treatments</w:t>
        </w:r>
      </w:hyperlink>
    </w:p>
    <w:p w14:paraId="58684681" w14:textId="01C62F4C" w:rsidR="00B10985" w:rsidRDefault="00B10985" w:rsidP="00955AC7">
      <w:pPr>
        <w:pStyle w:val="ListBullet"/>
        <w:rPr>
          <w:lang w:eastAsia="ja-JP"/>
        </w:rPr>
      </w:pPr>
      <w:r w:rsidRPr="10E9A125">
        <w:rPr>
          <w:lang w:eastAsia="ja-JP"/>
        </w:rPr>
        <w:t xml:space="preserve">All requirements of </w:t>
      </w:r>
      <w:r w:rsidR="0011724C">
        <w:rPr>
          <w:lang w:eastAsia="ja-JP"/>
        </w:rPr>
        <w:t xml:space="preserve">the </w:t>
      </w:r>
      <w:hyperlink r:id="rId18" w:history="1">
        <w:r w:rsidR="0011724C">
          <w:rPr>
            <w:rStyle w:val="Hyperlink"/>
            <w:lang w:eastAsia="ja-JP"/>
          </w:rPr>
          <w:t>Methyl Bromide Fumigation Methodology</w:t>
        </w:r>
      </w:hyperlink>
      <w:r w:rsidR="00FE366F">
        <w:t>.</w:t>
      </w:r>
    </w:p>
    <w:p w14:paraId="44D50FB3" w14:textId="77777777" w:rsidR="00BF78C5" w:rsidRDefault="00BF78C5">
      <w:pPr>
        <w:spacing w:after="0" w:line="240" w:lineRule="auto"/>
        <w:rPr>
          <w:lang w:eastAsia="ja-JP"/>
        </w:rPr>
      </w:pPr>
      <w:r>
        <w:rPr>
          <w:lang w:eastAsia="ja-JP"/>
        </w:rPr>
        <w:br w:type="page"/>
      </w:r>
    </w:p>
    <w:p w14:paraId="57BA3564" w14:textId="682093DA" w:rsidR="00B10985" w:rsidRDefault="00B10985" w:rsidP="00E61674">
      <w:pPr>
        <w:rPr>
          <w:lang w:eastAsia="ja-JP"/>
        </w:rPr>
      </w:pPr>
      <w:r w:rsidRPr="00B10985">
        <w:rPr>
          <w:lang w:eastAsia="ja-JP"/>
        </w:rPr>
        <w:lastRenderedPageBreak/>
        <w:t>In addition to treating the plant products, Full Container Load/Full Container Consolidated (FCL/FCX) containers must also be treated. The container must either be treated:</w:t>
      </w:r>
    </w:p>
    <w:p w14:paraId="7EA9D75D" w14:textId="17D94FFC" w:rsidR="00B10985" w:rsidRDefault="00B10985" w:rsidP="00BF78C5">
      <w:pPr>
        <w:pStyle w:val="ListBullet"/>
        <w:rPr>
          <w:lang w:eastAsia="ja-JP"/>
        </w:rPr>
      </w:pPr>
      <w:r w:rsidRPr="00B10985">
        <w:rPr>
          <w:lang w:eastAsia="ja-JP"/>
        </w:rPr>
        <w:t xml:space="preserve">Empty </w:t>
      </w:r>
    </w:p>
    <w:p w14:paraId="7C949722" w14:textId="1421784D" w:rsidR="00B10985" w:rsidRDefault="00B10985" w:rsidP="00BF78C5">
      <w:pPr>
        <w:pStyle w:val="ListBullet"/>
        <w:rPr>
          <w:lang w:eastAsia="ja-JP"/>
        </w:rPr>
      </w:pPr>
      <w:r w:rsidRPr="00B10985">
        <w:rPr>
          <w:lang w:eastAsia="ja-JP"/>
        </w:rPr>
        <w:t>When packed, only if using methyl bromide fumigation and compliant with all requirements.</w:t>
      </w:r>
    </w:p>
    <w:p w14:paraId="318D94A0" w14:textId="3B8D8195" w:rsidR="00B10985" w:rsidRDefault="00B10985" w:rsidP="00E61674">
      <w:pPr>
        <w:rPr>
          <w:lang w:eastAsia="ja-JP"/>
        </w:rPr>
      </w:pPr>
      <w:r w:rsidRPr="00B10985">
        <w:rPr>
          <w:lang w:eastAsia="ja-JP"/>
        </w:rPr>
        <w:t xml:space="preserve">The goods must be </w:t>
      </w:r>
      <w:r w:rsidRPr="00B10985">
        <w:rPr>
          <w:b/>
          <w:bCs/>
          <w:lang w:eastAsia="ja-JP"/>
        </w:rPr>
        <w:t>exported or sealed</w:t>
      </w:r>
      <w:r w:rsidRPr="00B10985">
        <w:rPr>
          <w:lang w:eastAsia="ja-JP"/>
        </w:rPr>
        <w:t xml:space="preserve"> within the container </w:t>
      </w:r>
      <w:r w:rsidRPr="00B10985">
        <w:rPr>
          <w:b/>
          <w:bCs/>
          <w:lang w:eastAsia="ja-JP"/>
        </w:rPr>
        <w:t>within 21 days of treatment</w:t>
      </w:r>
      <w:r w:rsidRPr="00B10985">
        <w:rPr>
          <w:lang w:eastAsia="ja-JP"/>
        </w:rPr>
        <w:t>. Ensure product security to prevent cross-contamination after fumigation.</w:t>
      </w:r>
    </w:p>
    <w:sectPr w:rsidR="00B10985">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D1978" w14:textId="77777777" w:rsidR="00B112F9" w:rsidRDefault="00B112F9">
      <w:r>
        <w:separator/>
      </w:r>
    </w:p>
    <w:p w14:paraId="3116E94F" w14:textId="77777777" w:rsidR="00B112F9" w:rsidRDefault="00B112F9"/>
  </w:endnote>
  <w:endnote w:type="continuationSeparator" w:id="0">
    <w:p w14:paraId="69975CAA" w14:textId="77777777" w:rsidR="00B112F9" w:rsidRDefault="00B112F9">
      <w:r>
        <w:continuationSeparator/>
      </w:r>
    </w:p>
    <w:p w14:paraId="6ECAD4B9" w14:textId="77777777" w:rsidR="00B112F9" w:rsidRDefault="00B112F9"/>
  </w:endnote>
  <w:endnote w:type="continuationNotice" w:id="1">
    <w:p w14:paraId="6C30962B" w14:textId="77777777" w:rsidR="00B112F9" w:rsidRDefault="00B112F9">
      <w:pPr>
        <w:pStyle w:val="Footer"/>
      </w:pPr>
    </w:p>
    <w:p w14:paraId="1EFDDAD9" w14:textId="77777777" w:rsidR="00B112F9" w:rsidRDefault="00B11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48D7" w14:textId="77777777" w:rsidR="002E461F" w:rsidRDefault="002A0E5C">
    <w:pPr>
      <w:pStyle w:val="Footer"/>
    </w:pPr>
    <w:r>
      <w:rPr>
        <w:noProof/>
      </w:rPr>
      <mc:AlternateContent>
        <mc:Choice Requires="wps">
          <w:drawing>
            <wp:anchor distT="0" distB="0" distL="0" distR="0" simplePos="0" relativeHeight="251658244" behindDoc="0" locked="0" layoutInCell="1" allowOverlap="1" wp14:anchorId="6E1B89B3" wp14:editId="317E8C64">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C3C8E4"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B89B3"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3C3C8E4"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D701" w14:textId="77777777" w:rsidR="00302CCB" w:rsidRDefault="002A0E5C" w:rsidP="00E76752">
    <w:pPr>
      <w:pStyle w:val="Footer"/>
    </w:pPr>
    <w:r>
      <w:rPr>
        <w:noProof/>
      </w:rPr>
      <mc:AlternateContent>
        <mc:Choice Requires="wps">
          <w:drawing>
            <wp:anchor distT="0" distB="0" distL="0" distR="0" simplePos="0" relativeHeight="251658245" behindDoc="0" locked="0" layoutInCell="1" allowOverlap="1" wp14:anchorId="5EDCB59D" wp14:editId="54302758">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CC778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CB59D"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6CC778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rsidR="00E76752">
      <w:tab/>
    </w:r>
    <w:r w:rsidR="00344815">
      <w:fldChar w:fldCharType="begin"/>
    </w:r>
    <w:r w:rsidR="00344815">
      <w:instrText xml:space="preserve"> PAGE   \* MERGEFORMAT </w:instrText>
    </w:r>
    <w:r w:rsidR="00344815">
      <w:fldChar w:fldCharType="separate"/>
    </w:r>
    <w:r w:rsidR="001902C7">
      <w:rPr>
        <w:noProof/>
      </w:rPr>
      <w:t>6</w:t>
    </w:r>
    <w:r w:rsidR="0034481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B3B19" w14:textId="77777777" w:rsidR="00302CCB" w:rsidRDefault="002A0E5C" w:rsidP="002A0E5C">
    <w:pPr>
      <w:pStyle w:val="Footer"/>
    </w:pPr>
    <w:r>
      <w:rPr>
        <w:noProof/>
      </w:rPr>
      <mc:AlternateContent>
        <mc:Choice Requires="wps">
          <w:drawing>
            <wp:anchor distT="0" distB="0" distL="0" distR="0" simplePos="0" relativeHeight="251658243" behindDoc="0" locked="0" layoutInCell="1" allowOverlap="1" wp14:anchorId="3234E58D" wp14:editId="32572266">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B786AB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4E58D"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B786AB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1990" w14:textId="77777777" w:rsidR="00B112F9" w:rsidRDefault="00B112F9">
      <w:r>
        <w:separator/>
      </w:r>
    </w:p>
    <w:p w14:paraId="48137836" w14:textId="77777777" w:rsidR="00B112F9" w:rsidRDefault="00B112F9"/>
  </w:footnote>
  <w:footnote w:type="continuationSeparator" w:id="0">
    <w:p w14:paraId="0DEAED76" w14:textId="77777777" w:rsidR="00B112F9" w:rsidRDefault="00B112F9">
      <w:r>
        <w:continuationSeparator/>
      </w:r>
    </w:p>
    <w:p w14:paraId="08A485C3" w14:textId="77777777" w:rsidR="00B112F9" w:rsidRDefault="00B112F9"/>
  </w:footnote>
  <w:footnote w:type="continuationNotice" w:id="1">
    <w:p w14:paraId="2CECDBC5" w14:textId="77777777" w:rsidR="00B112F9" w:rsidRDefault="00B112F9">
      <w:pPr>
        <w:pStyle w:val="Footer"/>
      </w:pPr>
    </w:p>
    <w:p w14:paraId="15B7F082" w14:textId="77777777" w:rsidR="00B112F9" w:rsidRDefault="00B11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75881" w14:textId="77777777" w:rsidR="002E461F" w:rsidRDefault="002A0E5C">
    <w:pPr>
      <w:pStyle w:val="Header"/>
    </w:pPr>
    <w:r>
      <w:rPr>
        <w:noProof/>
      </w:rPr>
      <mc:AlternateContent>
        <mc:Choice Requires="wps">
          <w:drawing>
            <wp:anchor distT="0" distB="0" distL="0" distR="0" simplePos="0" relativeHeight="251658241" behindDoc="0" locked="0" layoutInCell="1" allowOverlap="1" wp14:anchorId="105E48FA" wp14:editId="0C224D5B">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3CF642B"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5E48FA"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3CF642B"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25FE" w14:textId="6BE2C336" w:rsidR="00302CCB" w:rsidRPr="00350EA2" w:rsidRDefault="002A0E5C" w:rsidP="00350EA2">
    <w:pPr>
      <w:pStyle w:val="Header"/>
    </w:pPr>
    <w:r>
      <w:rPr>
        <w:noProof/>
      </w:rPr>
      <mc:AlternateContent>
        <mc:Choice Requires="wps">
          <w:drawing>
            <wp:anchor distT="0" distB="0" distL="0" distR="0" simplePos="0" relativeHeight="251658242" behindDoc="0" locked="0" layoutInCell="1" allowOverlap="1" wp14:anchorId="1AFE47D2" wp14:editId="2815F9C4">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092DC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FE47D2"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4092DC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59DC" w14:textId="77777777" w:rsidR="00302CCB" w:rsidRDefault="002A0E5C">
    <w:pPr>
      <w:pStyle w:val="Header"/>
      <w:jc w:val="left"/>
    </w:pPr>
    <w:r>
      <w:rPr>
        <w:noProof/>
        <w:lang w:eastAsia="en-AU"/>
      </w:rPr>
      <mc:AlternateContent>
        <mc:Choice Requires="wps">
          <w:drawing>
            <wp:anchor distT="0" distB="0" distL="0" distR="0" simplePos="0" relativeHeight="251658240" behindDoc="0" locked="0" layoutInCell="1" allowOverlap="1" wp14:anchorId="5662369B" wp14:editId="10D5B7C5">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7129F5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62369B"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77129F5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71F7C3C6" wp14:editId="491E8082">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A9F06DF"/>
    <w:multiLevelType w:val="hybridMultilevel"/>
    <w:tmpl w:val="B0927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9BF22DC"/>
    <w:multiLevelType w:val="hybridMultilevel"/>
    <w:tmpl w:val="31CE2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1"/>
  </w:num>
  <w:num w:numId="5" w16cid:durableId="1965577474">
    <w:abstractNumId w:val="12"/>
  </w:num>
  <w:num w:numId="6" w16cid:durableId="73862057">
    <w:abstractNumId w:val="2"/>
  </w:num>
  <w:num w:numId="7" w16cid:durableId="2110813501">
    <w:abstractNumId w:val="1"/>
  </w:num>
  <w:num w:numId="8" w16cid:durableId="1920214031">
    <w:abstractNumId w:val="0"/>
  </w:num>
  <w:num w:numId="9" w16cid:durableId="107310790">
    <w:abstractNumId w:val="8"/>
  </w:num>
  <w:num w:numId="10" w16cid:durableId="1707176675">
    <w:abstractNumId w:val="9"/>
  </w:num>
  <w:num w:numId="11" w16cid:durableId="620460175">
    <w:abstractNumId w:val="3"/>
  </w:num>
  <w:num w:numId="12" w16cid:durableId="419719021">
    <w:abstractNumId w:val="10"/>
  </w:num>
  <w:num w:numId="13" w16cid:durableId="1772509964">
    <w:abstractNumId w:val="15"/>
  </w:num>
  <w:num w:numId="14" w16cid:durableId="857545050">
    <w:abstractNumId w:val="15"/>
  </w:num>
  <w:num w:numId="15" w16cid:durableId="1321153210">
    <w:abstractNumId w:val="15"/>
  </w:num>
  <w:num w:numId="16" w16cid:durableId="1503661639">
    <w:abstractNumId w:val="15"/>
  </w:num>
  <w:num w:numId="17" w16cid:durableId="1361395064">
    <w:abstractNumId w:val="14"/>
  </w:num>
  <w:num w:numId="18" w16cid:durableId="785084004">
    <w:abstractNumId w:val="5"/>
  </w:num>
  <w:num w:numId="19" w16cid:durableId="153768790">
    <w:abstractNumId w:val="7"/>
  </w:num>
  <w:num w:numId="20" w16cid:durableId="163868158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95"/>
    <w:rsid w:val="000132CC"/>
    <w:rsid w:val="00046F81"/>
    <w:rsid w:val="00064B2F"/>
    <w:rsid w:val="0007002A"/>
    <w:rsid w:val="00071927"/>
    <w:rsid w:val="000968C2"/>
    <w:rsid w:val="000C0E30"/>
    <w:rsid w:val="000E5395"/>
    <w:rsid w:val="000E6109"/>
    <w:rsid w:val="0011724C"/>
    <w:rsid w:val="00141135"/>
    <w:rsid w:val="001831C0"/>
    <w:rsid w:val="001902C7"/>
    <w:rsid w:val="0019055E"/>
    <w:rsid w:val="001A34FE"/>
    <w:rsid w:val="001F2A38"/>
    <w:rsid w:val="00200EC6"/>
    <w:rsid w:val="00222206"/>
    <w:rsid w:val="00231DA0"/>
    <w:rsid w:val="002605DB"/>
    <w:rsid w:val="00264927"/>
    <w:rsid w:val="00294472"/>
    <w:rsid w:val="002A0E5C"/>
    <w:rsid w:val="002A3ED8"/>
    <w:rsid w:val="002A525E"/>
    <w:rsid w:val="002B4D8D"/>
    <w:rsid w:val="002C0F3C"/>
    <w:rsid w:val="002D507C"/>
    <w:rsid w:val="002E1F0E"/>
    <w:rsid w:val="002E461F"/>
    <w:rsid w:val="002F0DB3"/>
    <w:rsid w:val="002F7EA4"/>
    <w:rsid w:val="00302CCB"/>
    <w:rsid w:val="0034429B"/>
    <w:rsid w:val="00344815"/>
    <w:rsid w:val="00347F2C"/>
    <w:rsid w:val="00350EA2"/>
    <w:rsid w:val="00355282"/>
    <w:rsid w:val="00392236"/>
    <w:rsid w:val="003B7BA9"/>
    <w:rsid w:val="003E34CF"/>
    <w:rsid w:val="003F7D55"/>
    <w:rsid w:val="00402AFB"/>
    <w:rsid w:val="00413315"/>
    <w:rsid w:val="0044290F"/>
    <w:rsid w:val="0046382C"/>
    <w:rsid w:val="00493F26"/>
    <w:rsid w:val="004A3310"/>
    <w:rsid w:val="004B3E31"/>
    <w:rsid w:val="004C38A3"/>
    <w:rsid w:val="004D017B"/>
    <w:rsid w:val="004F3B2B"/>
    <w:rsid w:val="00504380"/>
    <w:rsid w:val="00504392"/>
    <w:rsid w:val="00510633"/>
    <w:rsid w:val="00512346"/>
    <w:rsid w:val="00512354"/>
    <w:rsid w:val="00527BEB"/>
    <w:rsid w:val="005D46AC"/>
    <w:rsid w:val="005E789D"/>
    <w:rsid w:val="005F755F"/>
    <w:rsid w:val="006263C4"/>
    <w:rsid w:val="00641FEC"/>
    <w:rsid w:val="006828BE"/>
    <w:rsid w:val="00686A54"/>
    <w:rsid w:val="006A2426"/>
    <w:rsid w:val="006D2FA1"/>
    <w:rsid w:val="00702EBF"/>
    <w:rsid w:val="007056E4"/>
    <w:rsid w:val="00714CA9"/>
    <w:rsid w:val="007433EE"/>
    <w:rsid w:val="0074756E"/>
    <w:rsid w:val="00760F1C"/>
    <w:rsid w:val="00796616"/>
    <w:rsid w:val="007F5427"/>
    <w:rsid w:val="008163A4"/>
    <w:rsid w:val="00825B1B"/>
    <w:rsid w:val="00826A4F"/>
    <w:rsid w:val="00836D0C"/>
    <w:rsid w:val="00842D75"/>
    <w:rsid w:val="008D3F73"/>
    <w:rsid w:val="008F64E4"/>
    <w:rsid w:val="00910B34"/>
    <w:rsid w:val="00935476"/>
    <w:rsid w:val="009462C7"/>
    <w:rsid w:val="00955AC7"/>
    <w:rsid w:val="00986260"/>
    <w:rsid w:val="009C551C"/>
    <w:rsid w:val="00A018DD"/>
    <w:rsid w:val="00A047B7"/>
    <w:rsid w:val="00A15A41"/>
    <w:rsid w:val="00A171F4"/>
    <w:rsid w:val="00A35243"/>
    <w:rsid w:val="00A60575"/>
    <w:rsid w:val="00A700C2"/>
    <w:rsid w:val="00A72427"/>
    <w:rsid w:val="00A92F50"/>
    <w:rsid w:val="00AC7A5F"/>
    <w:rsid w:val="00AE2710"/>
    <w:rsid w:val="00B10985"/>
    <w:rsid w:val="00B112F9"/>
    <w:rsid w:val="00B325ED"/>
    <w:rsid w:val="00B33DC3"/>
    <w:rsid w:val="00B543FC"/>
    <w:rsid w:val="00B744E4"/>
    <w:rsid w:val="00B806E8"/>
    <w:rsid w:val="00B82B71"/>
    <w:rsid w:val="00B82DC7"/>
    <w:rsid w:val="00B8617B"/>
    <w:rsid w:val="00B97B0E"/>
    <w:rsid w:val="00BB2455"/>
    <w:rsid w:val="00BD34A7"/>
    <w:rsid w:val="00BD3E62"/>
    <w:rsid w:val="00BE3E61"/>
    <w:rsid w:val="00BF78C5"/>
    <w:rsid w:val="00C02350"/>
    <w:rsid w:val="00C76028"/>
    <w:rsid w:val="00C9330C"/>
    <w:rsid w:val="00CA1C77"/>
    <w:rsid w:val="00CB37FD"/>
    <w:rsid w:val="00CD2638"/>
    <w:rsid w:val="00D04AEA"/>
    <w:rsid w:val="00D11DFB"/>
    <w:rsid w:val="00D12284"/>
    <w:rsid w:val="00D636A8"/>
    <w:rsid w:val="00D712F9"/>
    <w:rsid w:val="00D72C8A"/>
    <w:rsid w:val="00DA0CB4"/>
    <w:rsid w:val="00DB7330"/>
    <w:rsid w:val="00E060FB"/>
    <w:rsid w:val="00E06426"/>
    <w:rsid w:val="00E223F4"/>
    <w:rsid w:val="00E229B5"/>
    <w:rsid w:val="00E34DD9"/>
    <w:rsid w:val="00E36425"/>
    <w:rsid w:val="00E4280A"/>
    <w:rsid w:val="00E51480"/>
    <w:rsid w:val="00E61674"/>
    <w:rsid w:val="00E72436"/>
    <w:rsid w:val="00E72DCA"/>
    <w:rsid w:val="00E76752"/>
    <w:rsid w:val="00E80CBD"/>
    <w:rsid w:val="00EB210C"/>
    <w:rsid w:val="00EC4531"/>
    <w:rsid w:val="00ED0341"/>
    <w:rsid w:val="00ED3ECA"/>
    <w:rsid w:val="00EF13E8"/>
    <w:rsid w:val="00F01D00"/>
    <w:rsid w:val="00F17BFF"/>
    <w:rsid w:val="00F21261"/>
    <w:rsid w:val="00F42DDF"/>
    <w:rsid w:val="00F571C5"/>
    <w:rsid w:val="00F62B7E"/>
    <w:rsid w:val="00F63EAC"/>
    <w:rsid w:val="00F80DBD"/>
    <w:rsid w:val="00F95248"/>
    <w:rsid w:val="00FC2F3D"/>
    <w:rsid w:val="00FC384B"/>
    <w:rsid w:val="00FE366F"/>
    <w:rsid w:val="00FE4985"/>
    <w:rsid w:val="00FF22B7"/>
    <w:rsid w:val="10E9A125"/>
    <w:rsid w:val="1C4DD174"/>
    <w:rsid w:val="2314A14B"/>
    <w:rsid w:val="2FF8BED2"/>
    <w:rsid w:val="3D1FB409"/>
    <w:rsid w:val="600A7110"/>
    <w:rsid w:val="61BB53DB"/>
    <w:rsid w:val="68C0C597"/>
    <w:rsid w:val="7E9D63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2BC8E"/>
  <w15:chartTrackingRefBased/>
  <w15:docId w15:val="{468A0E94-1DAF-415E-88F2-6E364123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AF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A525E"/>
    <w:pPr>
      <w:numPr>
        <w:ilvl w:val="1"/>
        <w:numId w:val="5"/>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riculture.gov.au/biosecurity-trade/pests-diseases-weeds/plant/identify/khapra-beetle/urgent-actions" TargetMode="External"/><Relationship Id="rId18" Type="http://schemas.openxmlformats.org/officeDocument/2006/relationships/hyperlink" Target="https://www.agriculture.gov.au/sites/default/files/sitecollectiondocuments/biosecurity/import/general-info/qtfp/aust-methyl-bromide-fumigatio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agriculture.gov.au/biosecurity-trade/pests-diseases-weeds/plant/identify/khapra-beetle/plant-products" TargetMode="External"/><Relationship Id="rId17" Type="http://schemas.openxmlformats.org/officeDocument/2006/relationships/hyperlink" Target="https://www.agriculture.gov.au/sites/default/files/documents/guide-to-packaging-suitability-performing-qps-treatment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griculture.gov.au/sites/default/files/documents/methyl-bromide-treatment-requiremen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bicon.agriculture.gov.au/BiconWeb4.0"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sites/default/files/sitecollectiondocuments/biosecurity/import/general-info/qtfp/aust-methyl-bromide-fumigation.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2d8928-0daf-4069-9c35-589ded0002d7">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8" ma:contentTypeDescription="Create a new document." ma:contentTypeScope="" ma:versionID="f0c4a58623afd3ad8923cf941bfd2873">
  <xsd:schema xmlns:xsd="http://www.w3.org/2001/XMLSchema" xmlns:xs="http://www.w3.org/2001/XMLSchema" xmlns:p="http://schemas.microsoft.com/office/2006/metadata/properties" xmlns:ns2="762d8928-0daf-4069-9c35-589ded0002d7" xmlns:ns3="8c858643-2136-437b-905a-79b326f4e2e1" xmlns:ns4="81c01dc6-2c49-4730-b140-874c95cac377" targetNamespace="http://schemas.microsoft.com/office/2006/metadata/properties" ma:root="true" ma:fieldsID="73973c3db20eef46a56b3bef3cdcd18a" ns2:_="" ns3:_="" ns4:_="">
    <xsd:import namespace="762d8928-0daf-4069-9c35-589ded0002d7"/>
    <xsd:import namespace="8c858643-2136-437b-905a-79b326f4e2e1"/>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140ad8-7b45-4b61-b0e4-b9443735dedc}" ma:internalName="TaxCatchAll" ma:showField="CatchAllData" ma:web="8c858643-2136-437b-905a-79b326f4e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 ds:uri="762d8928-0daf-4069-9c35-589ded0002d7"/>
    <ds:schemaRef ds:uri="81c01dc6-2c49-4730-b140-874c95cac377"/>
  </ds:schemaRefs>
</ds:datastoreItem>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4.xml><?xml version="1.0" encoding="utf-8"?>
<ds:datastoreItem xmlns:ds="http://schemas.openxmlformats.org/officeDocument/2006/customXml" ds:itemID="{D9F402BD-F367-4275-A017-EC443C8F4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8C4A3E-4554-420F-839A-C0932A8001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0</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Methyl bromide fumigation of high-risk plant products: packaging requirements</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Methyl bromide fumigation of high-risk plant products: packaging requirements</dc:title>
  <dc:subject/>
  <dc:creator>Department of Agriculture, Fisheries and Forestry</dc:creator>
  <cp:keywords/>
  <dc:description/>
  <cp:revision>3</cp:revision>
  <cp:lastPrinted>2018-11-27T17:31:00Z</cp:lastPrinted>
  <dcterms:created xsi:type="dcterms:W3CDTF">2025-02-13T00:38:00Z</dcterms:created>
  <dcterms:modified xsi:type="dcterms:W3CDTF">2025-02-27T01:30:00Z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0x010100C07E633937122D4C982576F433DC022C</vt:lpwstr>
  </property>
  <property fmtid="{D5CDD505-2E9C-101B-9397-08002B2CF9AE}" pid="12" name="ClassificationContentMarkingHeaderShapeIds">
    <vt:lpwstr>5937e7e,aa19e82,12867079,69aef9a3,4bac811c</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197af8b8,5ea9aeb8,7ca44a1c,ddff197,5b60bc7a</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2024-07-17T07:20:03Z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915c1056-44ab-4590-be5d-066da1b9edde</vt:lpwstr>
  </property>
  <property fmtid="{D5CDD505-2E9C-101B-9397-08002B2CF9AE}" pid="24" name="MSIP_Label_933d8be6-3c40-4052-87a2-9c2adcba8759_ContentBits">
    <vt:lpwstr>3</vt:lpwstr>
  </property>
  <property fmtid="{D5CDD505-2E9C-101B-9397-08002B2CF9AE}" pid="25" name="MediaServiceImageTags">
    <vt:lpwstr/>
  </property>
</Properties>
</file>