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6E1C" w14:textId="58098C7C" w:rsidR="000E455C" w:rsidRDefault="007850FA" w:rsidP="0013173D">
      <w:pPr>
        <w:pStyle w:val="Date"/>
        <w:spacing w:before="1440"/>
      </w:pPr>
      <w:r>
        <w:t>January</w:t>
      </w:r>
      <w:r w:rsidR="00A16A29">
        <w:t xml:space="preserve"> 202</w:t>
      </w:r>
      <w:r w:rsidR="009F10AA">
        <w:t>5</w:t>
      </w:r>
    </w:p>
    <w:p w14:paraId="2A0A423D" w14:textId="67BD2FFB" w:rsidR="00B82095" w:rsidRPr="00220618" w:rsidRDefault="00AC47F8" w:rsidP="007B4C63">
      <w:pPr>
        <w:pStyle w:val="Heading1"/>
      </w:pPr>
      <w:r>
        <w:t xml:space="preserve">Manage </w:t>
      </w:r>
      <w:r w:rsidR="007B7A2A">
        <w:t xml:space="preserve">through </w:t>
      </w:r>
      <w:r w:rsidR="000F7311">
        <w:t>drought</w:t>
      </w:r>
    </w:p>
    <w:p w14:paraId="473E491E" w14:textId="77777777" w:rsidR="00747394" w:rsidRPr="00A67823" w:rsidRDefault="00747394" w:rsidP="00747394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 w:rsidRPr="00E945B6">
        <w:rPr>
          <w:b w:val="0"/>
          <w:bCs w:val="0"/>
          <w:color w:val="FFFFFF" w:themeColor="background1"/>
        </w:rPr>
        <w:t>Newsletter content</w:t>
      </w:r>
    </w:p>
    <w:p w14:paraId="27829A50" w14:textId="77777777" w:rsidR="00795A76" w:rsidRPr="00EB12C3" w:rsidRDefault="00795A76" w:rsidP="00795A76">
      <w:r w:rsidRPr="00012FE0">
        <w:t>F</w:t>
      </w:r>
      <w:r w:rsidRPr="00EB12C3">
        <w:t>armers facing drought</w:t>
      </w:r>
      <w:r w:rsidRPr="00012FE0">
        <w:t xml:space="preserve"> </w:t>
      </w:r>
      <w:r w:rsidRPr="00EB12C3">
        <w:t xml:space="preserve">may be eligible for more government support than they realise. </w:t>
      </w:r>
    </w:p>
    <w:p w14:paraId="5866B0D9" w14:textId="77777777" w:rsidR="00795A76" w:rsidRPr="00EB12C3" w:rsidRDefault="00795A76" w:rsidP="00795A76">
      <w:r w:rsidRPr="00012FE0">
        <w:t xml:space="preserve">They can access rural financial counselling, income and tax support, and low interest loans right now if they are in financial need. </w:t>
      </w:r>
    </w:p>
    <w:p w14:paraId="769B611A" w14:textId="77777777" w:rsidR="00795A76" w:rsidRDefault="00795A76" w:rsidP="00795A76">
      <w:r>
        <w:t xml:space="preserve">These Australian Government programs aren’t tied to drought declarations, so farmers don’t need to wait to check their eligibility. </w:t>
      </w:r>
    </w:p>
    <w:p w14:paraId="41E90E58" w14:textId="77777777" w:rsidR="00795A76" w:rsidRDefault="00795A76" w:rsidP="00795A76">
      <w:r>
        <w:t>Many farmers are already accessing measures such as:</w:t>
      </w:r>
    </w:p>
    <w:p w14:paraId="3039E0D7" w14:textId="44CFDC24" w:rsidR="00754CA3" w:rsidRPr="00DA3585" w:rsidRDefault="00795A76" w:rsidP="00A8157A">
      <w:pPr>
        <w:pStyle w:val="ListBullet"/>
        <w:rPr>
          <w:b/>
          <w:bCs/>
        </w:rPr>
      </w:pPr>
      <w:r w:rsidRPr="00DA3585">
        <w:rPr>
          <w:b/>
          <w:bCs/>
        </w:rPr>
        <w:t>Farm Household Allowance</w:t>
      </w:r>
    </w:p>
    <w:p w14:paraId="377355FF" w14:textId="445400D0" w:rsidR="00F23AF2" w:rsidRDefault="00BB1953" w:rsidP="00F23AF2">
      <w:pPr>
        <w:pStyle w:val="ListBullet2"/>
      </w:pPr>
      <w:r>
        <w:t>C</w:t>
      </w:r>
      <w:r w:rsidRPr="00EB12C3">
        <w:t xml:space="preserve">all the Farmer Assistance Hotline on 132 316 </w:t>
      </w:r>
      <w:r w:rsidRPr="00BB1953">
        <w:t xml:space="preserve">or visit </w:t>
      </w:r>
      <w:hyperlink r:id="rId11" w:history="1">
        <w:r w:rsidRPr="00BB1953">
          <w:rPr>
            <w:rStyle w:val="Hyperlink"/>
          </w:rPr>
          <w:t>Services Australia</w:t>
        </w:r>
      </w:hyperlink>
      <w:r w:rsidRPr="00BB1953">
        <w:t xml:space="preserve"> for more information</w:t>
      </w:r>
      <w:r w:rsidR="008C67F4">
        <w:t>.</w:t>
      </w:r>
    </w:p>
    <w:p w14:paraId="21DD3AE0" w14:textId="0A47EAE9" w:rsidR="00DA3585" w:rsidRPr="00DA3585" w:rsidRDefault="00DA3585" w:rsidP="00DA3585">
      <w:pPr>
        <w:pStyle w:val="ListBullet"/>
        <w:rPr>
          <w:b/>
          <w:bCs/>
        </w:rPr>
      </w:pPr>
      <w:r>
        <w:rPr>
          <w:b/>
          <w:bCs/>
        </w:rPr>
        <w:t>Rural Financial Counselling Service</w:t>
      </w:r>
    </w:p>
    <w:p w14:paraId="3F28745F" w14:textId="225C9CF4" w:rsidR="00DA3585" w:rsidRDefault="00B63F4A" w:rsidP="00DA3585">
      <w:pPr>
        <w:pStyle w:val="ListBullet2"/>
      </w:pPr>
      <w:r w:rsidRPr="00EB12C3">
        <w:t xml:space="preserve">Call </w:t>
      </w:r>
      <w:r w:rsidRPr="00012FE0">
        <w:t>1300 771 741</w:t>
      </w:r>
      <w:r w:rsidRPr="00B63F4A">
        <w:t xml:space="preserve"> </w:t>
      </w:r>
      <w:r w:rsidRPr="00EB12C3">
        <w:t>to access free, confidential and independent financial counselling if you’re an eligible primary producers or small businesses experiencing, or at risk of, financial hardship</w:t>
      </w:r>
      <w:r w:rsidR="00DA3585">
        <w:t>.</w:t>
      </w:r>
    </w:p>
    <w:p w14:paraId="57006435" w14:textId="1C2C6F3B" w:rsidR="00DA3585" w:rsidRPr="00DA3585" w:rsidRDefault="00B63F4A" w:rsidP="00DA3585">
      <w:pPr>
        <w:pStyle w:val="ListBullet"/>
        <w:rPr>
          <w:b/>
          <w:bCs/>
        </w:rPr>
      </w:pPr>
      <w:r>
        <w:rPr>
          <w:b/>
          <w:bCs/>
        </w:rPr>
        <w:t>Concessional loans</w:t>
      </w:r>
    </w:p>
    <w:p w14:paraId="45112DC7" w14:textId="49E1D877" w:rsidR="00DA3585" w:rsidRDefault="00BB76CE" w:rsidP="00DA3585">
      <w:pPr>
        <w:pStyle w:val="ListBullet2"/>
      </w:pPr>
      <w:r w:rsidRPr="00EB12C3">
        <w:t>Call 1800 875 675 about a low-cost RIC loan if you’re an eligible farmer or farm-related small businesses in financial need</w:t>
      </w:r>
      <w:r w:rsidR="00DA3585">
        <w:t>.</w:t>
      </w:r>
    </w:p>
    <w:p w14:paraId="28F63D9E" w14:textId="469B1F1E" w:rsidR="00DA3585" w:rsidRPr="00DA3585" w:rsidRDefault="00A3391A" w:rsidP="00DA3585">
      <w:pPr>
        <w:pStyle w:val="ListBullet"/>
        <w:rPr>
          <w:b/>
          <w:bCs/>
        </w:rPr>
      </w:pPr>
      <w:r>
        <w:rPr>
          <w:b/>
          <w:bCs/>
        </w:rPr>
        <w:t>Farm Management Deposits</w:t>
      </w:r>
    </w:p>
    <w:p w14:paraId="09A697E4" w14:textId="3F9D228A" w:rsidR="00DA3585" w:rsidRDefault="00B96FF7" w:rsidP="00DA3585">
      <w:pPr>
        <w:pStyle w:val="ListBullet2"/>
      </w:pPr>
      <w:r w:rsidRPr="00EB12C3">
        <w:t xml:space="preserve">Talk to </w:t>
      </w:r>
      <w:r>
        <w:t xml:space="preserve">your </w:t>
      </w:r>
      <w:r w:rsidRPr="00EB12C3">
        <w:t>accountant about drawing down on any farm management deposit account you may have</w:t>
      </w:r>
      <w:r w:rsidR="00DA3585">
        <w:t>.</w:t>
      </w:r>
    </w:p>
    <w:p w14:paraId="06415094" w14:textId="12ECC6A7" w:rsidR="00DA3585" w:rsidRPr="00DA3585" w:rsidRDefault="00B91713" w:rsidP="00DA3585">
      <w:pPr>
        <w:pStyle w:val="ListBullet"/>
        <w:rPr>
          <w:b/>
          <w:bCs/>
        </w:rPr>
      </w:pPr>
      <w:r>
        <w:rPr>
          <w:b/>
          <w:bCs/>
        </w:rPr>
        <w:t>Tax support</w:t>
      </w:r>
    </w:p>
    <w:p w14:paraId="5D90D71F" w14:textId="4651515F" w:rsidR="00B91713" w:rsidRDefault="00B91713" w:rsidP="00B91713">
      <w:pPr>
        <w:pStyle w:val="ListBullet2"/>
      </w:pPr>
      <w:r w:rsidRPr="00EB12C3">
        <w:t xml:space="preserve">Call 1800 806 218 to </w:t>
      </w:r>
      <w:r>
        <w:t xml:space="preserve">ask </w:t>
      </w:r>
      <w:r w:rsidRPr="00EB12C3">
        <w:t>the ATO for more time to lodge and pay tax</w:t>
      </w:r>
      <w:r>
        <w:t>.</w:t>
      </w:r>
    </w:p>
    <w:p w14:paraId="12BCF8E3" w14:textId="33CE6F57" w:rsidR="00DA3585" w:rsidRDefault="00B91713" w:rsidP="00B91713">
      <w:pPr>
        <w:pStyle w:val="ListBullet2"/>
      </w:pPr>
      <w:r w:rsidRPr="00EB12C3">
        <w:t xml:space="preserve">Talk to </w:t>
      </w:r>
      <w:r>
        <w:t xml:space="preserve">a registered tax professional </w:t>
      </w:r>
      <w:r w:rsidRPr="00EB12C3">
        <w:t>about other concessions, such as spreading or deferring profits from the forced disposal or death of livestoc</w:t>
      </w:r>
      <w:r>
        <w:t>k</w:t>
      </w:r>
      <w:r w:rsidR="00DA3585">
        <w:t>.</w:t>
      </w:r>
    </w:p>
    <w:p w14:paraId="2C7DE3D3" w14:textId="09929098" w:rsidR="00DA3585" w:rsidRPr="00DA3585" w:rsidRDefault="001A29BE" w:rsidP="00DA3585">
      <w:pPr>
        <w:pStyle w:val="ListBullet"/>
        <w:rPr>
          <w:b/>
          <w:bCs/>
        </w:rPr>
      </w:pPr>
      <w:r>
        <w:rPr>
          <w:b/>
          <w:bCs/>
        </w:rPr>
        <w:t>Social support and wellbeing</w:t>
      </w:r>
    </w:p>
    <w:p w14:paraId="7499E5BF" w14:textId="653F50D6" w:rsidR="00DA3585" w:rsidRDefault="001A29BE" w:rsidP="00DA3585">
      <w:pPr>
        <w:pStyle w:val="ListBullet2"/>
      </w:pPr>
      <w:r>
        <w:t xml:space="preserve">Call </w:t>
      </w:r>
      <w:r w:rsidRPr="006C7631">
        <w:t>Lifeline Australia</w:t>
      </w:r>
      <w:r w:rsidRPr="00260493">
        <w:t> </w:t>
      </w:r>
      <w:r>
        <w:t xml:space="preserve">on </w:t>
      </w:r>
      <w:r w:rsidRPr="00260493">
        <w:rPr>
          <w:b/>
          <w:bCs/>
        </w:rPr>
        <w:t>13 11 14</w:t>
      </w:r>
      <w:r>
        <w:rPr>
          <w:b/>
          <w:bCs/>
        </w:rPr>
        <w:t xml:space="preserve"> </w:t>
      </w:r>
      <w:r w:rsidRPr="00260493">
        <w:t xml:space="preserve">for immediate </w:t>
      </w:r>
      <w:r>
        <w:t>support</w:t>
      </w:r>
      <w:r w:rsidRPr="00260493">
        <w:t xml:space="preserve"> or</w:t>
      </w:r>
      <w:r>
        <w:rPr>
          <w:b/>
          <w:bCs/>
        </w:rPr>
        <w:t xml:space="preserve"> </w:t>
      </w:r>
      <w:r>
        <w:t xml:space="preserve">visit </w:t>
      </w:r>
      <w:hyperlink r:id="rId12" w:history="1">
        <w:r w:rsidRPr="00260493">
          <w:rPr>
            <w:rStyle w:val="Hyperlink"/>
          </w:rPr>
          <w:t>Head to Health</w:t>
        </w:r>
      </w:hyperlink>
      <w:r>
        <w:t xml:space="preserve"> for a list of other services that can help</w:t>
      </w:r>
      <w:r w:rsidR="00DA3585">
        <w:t>.</w:t>
      </w:r>
    </w:p>
    <w:p w14:paraId="10B8A9B3" w14:textId="5867740F" w:rsidR="00754CA3" w:rsidRDefault="007E36FD" w:rsidP="007E36FD">
      <w:pPr>
        <w:pStyle w:val="ListNumber2"/>
        <w:numPr>
          <w:ilvl w:val="0"/>
          <w:numId w:val="0"/>
        </w:numPr>
      </w:pPr>
      <w:r>
        <w:t xml:space="preserve">Visit </w:t>
      </w:r>
      <w:hyperlink r:id="rId13" w:history="1">
        <w:r w:rsidR="00866CA4" w:rsidRPr="00866CA4">
          <w:rPr>
            <w:rStyle w:val="Hyperlink"/>
            <w:b/>
            <w:bCs/>
          </w:rPr>
          <w:t>drought.gov.au</w:t>
        </w:r>
      </w:hyperlink>
      <w:r>
        <w:t xml:space="preserve"> to see if these programs could work for you too. </w:t>
      </w:r>
    </w:p>
    <w:p w14:paraId="2638505C" w14:textId="77777777" w:rsidR="00A16A29" w:rsidRDefault="00A16A29" w:rsidP="000A5BA0">
      <w:pPr>
        <w:pStyle w:val="Normalsmall"/>
        <w:rPr>
          <w:rStyle w:val="Strong"/>
        </w:rPr>
      </w:pPr>
    </w:p>
    <w:p w14:paraId="5ABB53D3" w14:textId="77777777" w:rsidR="00BB1953" w:rsidRDefault="00BB1953">
      <w:pPr>
        <w:spacing w:after="0" w:line="240" w:lineRule="auto"/>
        <w:rPr>
          <w:rStyle w:val="Strong"/>
          <w:sz w:val="18"/>
          <w:szCs w:val="18"/>
        </w:rPr>
      </w:pPr>
      <w:r>
        <w:rPr>
          <w:rStyle w:val="Strong"/>
        </w:rPr>
        <w:br w:type="page"/>
      </w:r>
    </w:p>
    <w:p w14:paraId="3845CE48" w14:textId="57BF43D1" w:rsidR="00747394" w:rsidRDefault="00747394" w:rsidP="00747394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>
        <w:rPr>
          <w:b w:val="0"/>
          <w:bCs w:val="0"/>
          <w:color w:val="FFFFFF" w:themeColor="background1"/>
        </w:rPr>
        <w:lastRenderedPageBreak/>
        <w:t>Social media</w:t>
      </w:r>
      <w:r w:rsidRPr="00E945B6">
        <w:rPr>
          <w:b w:val="0"/>
          <w:bCs w:val="0"/>
          <w:color w:val="FFFFFF" w:themeColor="background1"/>
        </w:rPr>
        <w:t xml:space="preserve"> content</w:t>
      </w:r>
    </w:p>
    <w:p w14:paraId="337301DE" w14:textId="77777777" w:rsidR="002B54E1" w:rsidRDefault="002B54E1" w:rsidP="002B54E1">
      <w:pPr>
        <w:rPr>
          <w:rFonts w:cstheme="minorHAnsi"/>
          <w:b/>
          <w:bCs/>
          <w:lang w:eastAsia="ja-JP"/>
        </w:rPr>
      </w:pPr>
      <w:r>
        <w:rPr>
          <w:rFonts w:cstheme="minorHAnsi"/>
          <w:b/>
          <w:bCs/>
          <w:lang w:eastAsia="ja-JP"/>
        </w:rPr>
        <w:t>Please</w:t>
      </w:r>
      <w:r w:rsidRPr="00411277">
        <w:rPr>
          <w:rFonts w:cstheme="minorHAnsi"/>
          <w:b/>
          <w:bCs/>
          <w:lang w:eastAsia="ja-JP"/>
        </w:rPr>
        <w:t xml:space="preserve"> tag @daffgov on Twitter and Facebook and Department of Agriculture, Fisheries and Forestry on LinkedIn.</w:t>
      </w:r>
    </w:p>
    <w:p w14:paraId="3A0C7A81" w14:textId="77777777" w:rsidR="00E12B4D" w:rsidRPr="00EB12C3" w:rsidRDefault="00E12B4D" w:rsidP="00E12B4D">
      <w:r w:rsidRPr="00012FE0">
        <w:t>F</w:t>
      </w:r>
      <w:r w:rsidRPr="00EB12C3">
        <w:t>armers facing drought</w:t>
      </w:r>
      <w:r w:rsidRPr="00012FE0">
        <w:t xml:space="preserve"> </w:t>
      </w:r>
      <w:r w:rsidRPr="00EB12C3">
        <w:t xml:space="preserve">may be eligible for more government support than they realise. </w:t>
      </w:r>
    </w:p>
    <w:p w14:paraId="0BC46EB9" w14:textId="77777777" w:rsidR="00E12B4D" w:rsidRPr="00EB12C3" w:rsidRDefault="00E12B4D" w:rsidP="00E12B4D">
      <w:r w:rsidRPr="00012FE0">
        <w:t xml:space="preserve">They can access rural financial counselling, income and tax support, and low interest loans right now if they are in financial need. </w:t>
      </w:r>
    </w:p>
    <w:p w14:paraId="09D86A1B" w14:textId="77777777" w:rsidR="00E12B4D" w:rsidRDefault="00E12B4D" w:rsidP="00E12B4D">
      <w:r>
        <w:t xml:space="preserve">These Australian Government programs aren’t tied to drought declarations, so farmers don’t need to wait to check their eligibility. </w:t>
      </w:r>
    </w:p>
    <w:p w14:paraId="12AC88B8" w14:textId="397A9667" w:rsidR="00E12B4D" w:rsidRDefault="00E12B4D" w:rsidP="00E12B4D">
      <w:r>
        <w:t xml:space="preserve">Visit </w:t>
      </w:r>
      <w:hyperlink r:id="rId14" w:history="1">
        <w:r w:rsidRPr="00866CA4">
          <w:rPr>
            <w:rStyle w:val="Hyperlink"/>
            <w:b/>
            <w:bCs/>
          </w:rPr>
          <w:t>drought.gov.au</w:t>
        </w:r>
      </w:hyperlink>
      <w:r>
        <w:t xml:space="preserve"> to see if these programs could work for you too.</w:t>
      </w:r>
    </w:p>
    <w:p w14:paraId="2D4B3A68" w14:textId="77777777" w:rsidR="00E12B4D" w:rsidRPr="00E12B4D" w:rsidRDefault="00E12B4D" w:rsidP="00E12B4D">
      <w:pPr>
        <w:rPr>
          <w:lang w:eastAsia="ja-JP"/>
        </w:rPr>
      </w:pPr>
    </w:p>
    <w:sectPr w:rsidR="00E12B4D" w:rsidRPr="00E12B4D" w:rsidSect="00160D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5232" w14:textId="77777777" w:rsidR="00E5766A" w:rsidRDefault="00E5766A">
      <w:r>
        <w:separator/>
      </w:r>
    </w:p>
    <w:p w14:paraId="0E393E41" w14:textId="77777777" w:rsidR="00E5766A" w:rsidRDefault="00E5766A"/>
    <w:p w14:paraId="45160147" w14:textId="77777777" w:rsidR="00E5766A" w:rsidRDefault="00E5766A"/>
  </w:endnote>
  <w:endnote w:type="continuationSeparator" w:id="0">
    <w:p w14:paraId="2E10CA10" w14:textId="77777777" w:rsidR="00E5766A" w:rsidRDefault="00E5766A">
      <w:r>
        <w:continuationSeparator/>
      </w:r>
    </w:p>
    <w:p w14:paraId="5524A2B3" w14:textId="77777777" w:rsidR="00E5766A" w:rsidRDefault="00E5766A"/>
    <w:p w14:paraId="79829387" w14:textId="77777777" w:rsidR="00E5766A" w:rsidRDefault="00E5766A"/>
  </w:endnote>
  <w:endnote w:type="continuationNotice" w:id="1">
    <w:p w14:paraId="5D003EC6" w14:textId="77777777" w:rsidR="00E5766A" w:rsidRDefault="00E5766A">
      <w:pPr>
        <w:pStyle w:val="Footer"/>
      </w:pPr>
    </w:p>
    <w:p w14:paraId="6D752012" w14:textId="77777777" w:rsidR="00E5766A" w:rsidRDefault="00E5766A"/>
    <w:p w14:paraId="415C5331" w14:textId="77777777" w:rsidR="00E5766A" w:rsidRDefault="00E5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209C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226DC" wp14:editId="69DEE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133A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226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63A133A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FB40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3BD904E" wp14:editId="282B9DF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434DC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D90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A6434DC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631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8EC118" wp14:editId="0CB3D429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F16F8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C1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707F16F8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A2521" w14:textId="77777777" w:rsidR="00E5766A" w:rsidRDefault="00E5766A">
      <w:r>
        <w:separator/>
      </w:r>
    </w:p>
    <w:p w14:paraId="5BEF28BF" w14:textId="77777777" w:rsidR="00E5766A" w:rsidRDefault="00E5766A"/>
    <w:p w14:paraId="00FB055A" w14:textId="77777777" w:rsidR="00E5766A" w:rsidRDefault="00E5766A"/>
  </w:footnote>
  <w:footnote w:type="continuationSeparator" w:id="0">
    <w:p w14:paraId="28371567" w14:textId="77777777" w:rsidR="00E5766A" w:rsidRDefault="00E5766A">
      <w:r>
        <w:continuationSeparator/>
      </w:r>
    </w:p>
    <w:p w14:paraId="643CD859" w14:textId="77777777" w:rsidR="00E5766A" w:rsidRDefault="00E5766A"/>
    <w:p w14:paraId="0D44B690" w14:textId="77777777" w:rsidR="00E5766A" w:rsidRDefault="00E5766A"/>
  </w:footnote>
  <w:footnote w:type="continuationNotice" w:id="1">
    <w:p w14:paraId="7A887E6D" w14:textId="77777777" w:rsidR="00E5766A" w:rsidRDefault="00E5766A">
      <w:pPr>
        <w:pStyle w:val="Footer"/>
      </w:pPr>
    </w:p>
    <w:p w14:paraId="61670B64" w14:textId="77777777" w:rsidR="00E5766A" w:rsidRDefault="00E5766A"/>
    <w:p w14:paraId="492CD577" w14:textId="77777777" w:rsidR="00E5766A" w:rsidRDefault="00E57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648D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5A1F2D" wp14:editId="039C2E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30A0B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A1F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3030A0B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D9EE" w14:textId="12F4C7BF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7CB2885" wp14:editId="19A93DC8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AF854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B28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0B8AF854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D58">
      <w:t>In drought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95B1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4366BDD" wp14:editId="324B08C5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1048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66B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781048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4656" behindDoc="1" locked="0" layoutInCell="1" allowOverlap="1" wp14:anchorId="002DC2B4" wp14:editId="4B2DACCD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3354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4"/>
  </w:num>
  <w:num w:numId="2" w16cid:durableId="1209954464">
    <w:abstractNumId w:val="3"/>
  </w:num>
  <w:num w:numId="3" w16cid:durableId="211696695">
    <w:abstractNumId w:val="7"/>
  </w:num>
  <w:num w:numId="4" w16cid:durableId="1550148830">
    <w:abstractNumId w:val="8"/>
  </w:num>
  <w:num w:numId="5" w16cid:durableId="1460108156">
    <w:abstractNumId w:val="1"/>
  </w:num>
  <w:num w:numId="6" w16cid:durableId="1934704985">
    <w:abstractNumId w:val="5"/>
  </w:num>
  <w:num w:numId="7" w16cid:durableId="1013073201">
    <w:abstractNumId w:val="6"/>
  </w:num>
  <w:num w:numId="8" w16cid:durableId="524289160">
    <w:abstractNumId w:val="2"/>
  </w:num>
  <w:num w:numId="9" w16cid:durableId="94401862">
    <w:abstractNumId w:val="10"/>
  </w:num>
  <w:num w:numId="10" w16cid:durableId="1262253482">
    <w:abstractNumId w:val="10"/>
  </w:num>
  <w:num w:numId="11" w16cid:durableId="1504468562">
    <w:abstractNumId w:val="10"/>
  </w:num>
  <w:num w:numId="12" w16cid:durableId="1296328144">
    <w:abstractNumId w:val="10"/>
  </w:num>
  <w:num w:numId="13" w16cid:durableId="1361395064">
    <w:abstractNumId w:val="9"/>
  </w:num>
  <w:num w:numId="14" w16cid:durableId="1080635027">
    <w:abstractNumId w:val="11"/>
  </w:num>
  <w:num w:numId="15" w16cid:durableId="29773144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EE"/>
    <w:rsid w:val="0000059E"/>
    <w:rsid w:val="0000066F"/>
    <w:rsid w:val="00001B53"/>
    <w:rsid w:val="00017ACB"/>
    <w:rsid w:val="000202CC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C0412"/>
    <w:rsid w:val="000C4558"/>
    <w:rsid w:val="000E455C"/>
    <w:rsid w:val="000E4D74"/>
    <w:rsid w:val="000E7803"/>
    <w:rsid w:val="000F0491"/>
    <w:rsid w:val="000F7311"/>
    <w:rsid w:val="00113BC9"/>
    <w:rsid w:val="001233A8"/>
    <w:rsid w:val="00127B9F"/>
    <w:rsid w:val="0013173D"/>
    <w:rsid w:val="00143A7B"/>
    <w:rsid w:val="00144601"/>
    <w:rsid w:val="00160DC0"/>
    <w:rsid w:val="00190D7E"/>
    <w:rsid w:val="001929D2"/>
    <w:rsid w:val="001A29BE"/>
    <w:rsid w:val="001A6968"/>
    <w:rsid w:val="001C45E1"/>
    <w:rsid w:val="001D0EF3"/>
    <w:rsid w:val="0020140C"/>
    <w:rsid w:val="00201BFB"/>
    <w:rsid w:val="00203DE1"/>
    <w:rsid w:val="00220618"/>
    <w:rsid w:val="00237A69"/>
    <w:rsid w:val="00275B58"/>
    <w:rsid w:val="00284B53"/>
    <w:rsid w:val="00296F50"/>
    <w:rsid w:val="002B1FAF"/>
    <w:rsid w:val="002B54E1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91DF2"/>
    <w:rsid w:val="00392124"/>
    <w:rsid w:val="003937B8"/>
    <w:rsid w:val="003C403C"/>
    <w:rsid w:val="003F73D7"/>
    <w:rsid w:val="00411260"/>
    <w:rsid w:val="004365E8"/>
    <w:rsid w:val="00442630"/>
    <w:rsid w:val="0044304D"/>
    <w:rsid w:val="00446CB3"/>
    <w:rsid w:val="00474BB1"/>
    <w:rsid w:val="00477888"/>
    <w:rsid w:val="00495068"/>
    <w:rsid w:val="004A7380"/>
    <w:rsid w:val="004B07EC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2A61"/>
    <w:rsid w:val="005A3361"/>
    <w:rsid w:val="005A48A6"/>
    <w:rsid w:val="005B613F"/>
    <w:rsid w:val="005B656B"/>
    <w:rsid w:val="005C2BFD"/>
    <w:rsid w:val="005E1A56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96682"/>
    <w:rsid w:val="006B0030"/>
    <w:rsid w:val="006B49DE"/>
    <w:rsid w:val="006D413F"/>
    <w:rsid w:val="006E353E"/>
    <w:rsid w:val="006F6FE8"/>
    <w:rsid w:val="00700A80"/>
    <w:rsid w:val="0070464B"/>
    <w:rsid w:val="00721291"/>
    <w:rsid w:val="007258B1"/>
    <w:rsid w:val="00725C8B"/>
    <w:rsid w:val="00747394"/>
    <w:rsid w:val="00751318"/>
    <w:rsid w:val="00754CA3"/>
    <w:rsid w:val="0076549B"/>
    <w:rsid w:val="007850FA"/>
    <w:rsid w:val="00793E18"/>
    <w:rsid w:val="00795A76"/>
    <w:rsid w:val="007B4C63"/>
    <w:rsid w:val="007B7A2A"/>
    <w:rsid w:val="007C0010"/>
    <w:rsid w:val="007E36FD"/>
    <w:rsid w:val="007E69AF"/>
    <w:rsid w:val="007F4986"/>
    <w:rsid w:val="0080517C"/>
    <w:rsid w:val="00807AEF"/>
    <w:rsid w:val="00832638"/>
    <w:rsid w:val="00863E83"/>
    <w:rsid w:val="00864D72"/>
    <w:rsid w:val="00865130"/>
    <w:rsid w:val="00866CA4"/>
    <w:rsid w:val="00892F53"/>
    <w:rsid w:val="00895341"/>
    <w:rsid w:val="008C67F4"/>
    <w:rsid w:val="008D2681"/>
    <w:rsid w:val="008E3B54"/>
    <w:rsid w:val="008F1712"/>
    <w:rsid w:val="008F382A"/>
    <w:rsid w:val="008F6FFE"/>
    <w:rsid w:val="00900BBE"/>
    <w:rsid w:val="00902E92"/>
    <w:rsid w:val="0090743D"/>
    <w:rsid w:val="00911F4A"/>
    <w:rsid w:val="00913D62"/>
    <w:rsid w:val="00916FC3"/>
    <w:rsid w:val="00930D38"/>
    <w:rsid w:val="00943779"/>
    <w:rsid w:val="00974CD6"/>
    <w:rsid w:val="009844EA"/>
    <w:rsid w:val="009A2BCD"/>
    <w:rsid w:val="009C206F"/>
    <w:rsid w:val="009C37F9"/>
    <w:rsid w:val="009C3FA3"/>
    <w:rsid w:val="009C5CE4"/>
    <w:rsid w:val="009D7044"/>
    <w:rsid w:val="009F10AA"/>
    <w:rsid w:val="009F4C7C"/>
    <w:rsid w:val="00A0018B"/>
    <w:rsid w:val="00A04AFD"/>
    <w:rsid w:val="00A130F7"/>
    <w:rsid w:val="00A138B6"/>
    <w:rsid w:val="00A16A29"/>
    <w:rsid w:val="00A32860"/>
    <w:rsid w:val="00A3391A"/>
    <w:rsid w:val="00A473C3"/>
    <w:rsid w:val="00A54E52"/>
    <w:rsid w:val="00A62CD6"/>
    <w:rsid w:val="00A62F99"/>
    <w:rsid w:val="00A65D84"/>
    <w:rsid w:val="00A77E8E"/>
    <w:rsid w:val="00A8157A"/>
    <w:rsid w:val="00A92CD3"/>
    <w:rsid w:val="00AA1D89"/>
    <w:rsid w:val="00AB665C"/>
    <w:rsid w:val="00AC47F8"/>
    <w:rsid w:val="00AE1E6E"/>
    <w:rsid w:val="00AE40DE"/>
    <w:rsid w:val="00AE4763"/>
    <w:rsid w:val="00AF0EAA"/>
    <w:rsid w:val="00B0121B"/>
    <w:rsid w:val="00B0455B"/>
    <w:rsid w:val="00B11E02"/>
    <w:rsid w:val="00B13EEE"/>
    <w:rsid w:val="00B21CFE"/>
    <w:rsid w:val="00B260CF"/>
    <w:rsid w:val="00B3476F"/>
    <w:rsid w:val="00B404AB"/>
    <w:rsid w:val="00B43568"/>
    <w:rsid w:val="00B63F4A"/>
    <w:rsid w:val="00B647D1"/>
    <w:rsid w:val="00B82095"/>
    <w:rsid w:val="00B90975"/>
    <w:rsid w:val="00B91713"/>
    <w:rsid w:val="00B93571"/>
    <w:rsid w:val="00B94CBD"/>
    <w:rsid w:val="00B96FF7"/>
    <w:rsid w:val="00BA2806"/>
    <w:rsid w:val="00BB1953"/>
    <w:rsid w:val="00BB76CE"/>
    <w:rsid w:val="00BC321A"/>
    <w:rsid w:val="00BC3323"/>
    <w:rsid w:val="00BD4F8E"/>
    <w:rsid w:val="00BE345B"/>
    <w:rsid w:val="00BF6B40"/>
    <w:rsid w:val="00C01043"/>
    <w:rsid w:val="00C16337"/>
    <w:rsid w:val="00C262AE"/>
    <w:rsid w:val="00C32D58"/>
    <w:rsid w:val="00C6128D"/>
    <w:rsid w:val="00C73278"/>
    <w:rsid w:val="00C765C8"/>
    <w:rsid w:val="00C82029"/>
    <w:rsid w:val="00C9283A"/>
    <w:rsid w:val="00C95039"/>
    <w:rsid w:val="00CA4615"/>
    <w:rsid w:val="00CA7C6F"/>
    <w:rsid w:val="00CB4E93"/>
    <w:rsid w:val="00CD3A6F"/>
    <w:rsid w:val="00CD6263"/>
    <w:rsid w:val="00CE7F36"/>
    <w:rsid w:val="00CF7D08"/>
    <w:rsid w:val="00D04A3C"/>
    <w:rsid w:val="00D06C32"/>
    <w:rsid w:val="00D22097"/>
    <w:rsid w:val="00D36C41"/>
    <w:rsid w:val="00D4039B"/>
    <w:rsid w:val="00D55A85"/>
    <w:rsid w:val="00D750D0"/>
    <w:rsid w:val="00D87480"/>
    <w:rsid w:val="00DA3585"/>
    <w:rsid w:val="00DB71FD"/>
    <w:rsid w:val="00DC453F"/>
    <w:rsid w:val="00DC57F0"/>
    <w:rsid w:val="00DE546F"/>
    <w:rsid w:val="00DF241E"/>
    <w:rsid w:val="00DF754D"/>
    <w:rsid w:val="00E12B4D"/>
    <w:rsid w:val="00E223F4"/>
    <w:rsid w:val="00E25A07"/>
    <w:rsid w:val="00E333DF"/>
    <w:rsid w:val="00E40A48"/>
    <w:rsid w:val="00E44E91"/>
    <w:rsid w:val="00E5766A"/>
    <w:rsid w:val="00E83C41"/>
    <w:rsid w:val="00E8527A"/>
    <w:rsid w:val="00E87842"/>
    <w:rsid w:val="00E9781D"/>
    <w:rsid w:val="00EA5D76"/>
    <w:rsid w:val="00EA752C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D00"/>
    <w:rsid w:val="00F23AF2"/>
    <w:rsid w:val="00F30857"/>
    <w:rsid w:val="00F330C3"/>
    <w:rsid w:val="00F3602D"/>
    <w:rsid w:val="00F637B6"/>
    <w:rsid w:val="00F67822"/>
    <w:rsid w:val="00F75F33"/>
    <w:rsid w:val="00F84236"/>
    <w:rsid w:val="00FB689D"/>
    <w:rsid w:val="00FC2CE4"/>
    <w:rsid w:val="00FC379E"/>
    <w:rsid w:val="00FD337C"/>
    <w:rsid w:val="00FD3BAE"/>
    <w:rsid w:val="00FD5236"/>
    <w:rsid w:val="00FD7D5B"/>
    <w:rsid w:val="00FE0F23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32399"/>
  <w15:docId w15:val="{3F85ECD2-D0EE-4926-9EDB-9B4681D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ought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dtohealth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farm-household-allowa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rought.gov.a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6" ma:contentTypeDescription="Create a new document." ma:contentTypeScope="" ma:versionID="2f9491a9300e20773862bbf2a13517b2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b5a1c347192ad58c4fe9a65530de6653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E863A2-7872-43D9-B804-43D33649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2298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Ryan, Siobhain</dc:creator>
  <cp:lastModifiedBy>Ryan, Siobhain</cp:lastModifiedBy>
  <cp:revision>9</cp:revision>
  <cp:lastPrinted>2022-10-26T05:30:00Z</cp:lastPrinted>
  <dcterms:created xsi:type="dcterms:W3CDTF">2024-12-11T18:55:00Z</dcterms:created>
  <dcterms:modified xsi:type="dcterms:W3CDTF">2024-12-11T21:40:00Z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</Properties>
</file>