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Maize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benzovindiflupyr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carboxin sulfoxide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florylpicoxamid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fluopicolide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isoprothiolane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penflufen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pydiflumetofen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quintozene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sedaxane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spiroxamine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acifluorfen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aclonifen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aminopyralid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bentazone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bicyclopyrone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bixlozone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butroxydim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chlormequat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cinmethylin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clomazone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cloquintocet-mexyl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diclofop-methyl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dimethenamid-P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EPTC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0.04</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flamprop-M-methyl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florasulam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florpyrauxifen-benzyl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pP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fluazifop-p-butyl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flumetsulam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fluroxypyr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fomesafen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glufosinate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glyphosate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halauxifen-methyl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haloxyfop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isoxaflutole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mefenpyr-diethyl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mesotrione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metazachlor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paraquat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picolinafen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pinoxaden (parent)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prometryn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propaquizafop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prosulfocarb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pyraflufen-ethyl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pyrasulfotole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pyroxasulfone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pyroxsulam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terbuthylazine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terbutryn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tiafenacil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topramezone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triallate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tribenuron-methyl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trifludimoxazin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diafenthiuron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dinotefuran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fluensulfone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trinexapac-ethyl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24</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C9CE93C4-26F9-4D90-B28B-169DD8863AB0}"/>
</file>

<file path=customXml/itemProps2.xml><?xml version="1.0" encoding="utf-8"?>
<ds:datastoreItem xmlns:ds="http://schemas.openxmlformats.org/officeDocument/2006/customXml" ds:itemID="{F850884F-4BC1-440D-9C98-235D8051AF13}"/>
</file>

<file path=customXml/itemProps3.xml><?xml version="1.0" encoding="utf-8"?>
<ds:datastoreItem xmlns:ds="http://schemas.openxmlformats.org/officeDocument/2006/customXml" ds:itemID="{547119BB-5D0B-48CD-A476-7BEE48A0672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