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D36E7D" w14:textId="71718822" w:rsidR="00037733" w:rsidRDefault="00037733" w:rsidP="00037733">
      <w:pPr>
        <w:keepNext/>
        <w:keepLines/>
        <w:spacing w:before="240" w:line="259" w:lineRule="auto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  <w:r w:rsidRPr="00037733">
        <w:rPr>
          <w:rFonts w:ascii="Calibri Light" w:eastAsia="Times New Roman" w:hAnsi="Calibri Light"/>
          <w:color w:val="2E74B5"/>
          <w:sz w:val="32"/>
          <w:szCs w:val="32"/>
        </w:rPr>
        <w:t xml:space="preserve">List of </w:t>
      </w:r>
      <w:r w:rsidR="00644C67">
        <w:rPr>
          <w:rFonts w:ascii="Calibri Light" w:eastAsia="Times New Roman" w:hAnsi="Calibri Light"/>
          <w:color w:val="2E74B5"/>
          <w:sz w:val="32"/>
          <w:szCs w:val="32"/>
        </w:rPr>
        <w:t xml:space="preserve">Hitchhiker Pest </w:t>
      </w:r>
      <w:r w:rsidR="006B5BAD">
        <w:rPr>
          <w:rFonts w:ascii="Calibri Light" w:eastAsia="Times New Roman" w:hAnsi="Calibri Light"/>
          <w:color w:val="2E74B5"/>
          <w:sz w:val="32"/>
          <w:szCs w:val="32"/>
        </w:rPr>
        <w:t>Host Countries or Regions</w:t>
      </w:r>
    </w:p>
    <w:p w14:paraId="45427BD0" w14:textId="77777777" w:rsidR="006B5BAD" w:rsidRPr="00037733" w:rsidRDefault="006B5BAD" w:rsidP="007B29ED">
      <w:pPr>
        <w:keepNext/>
        <w:keepLines/>
        <w:spacing w:before="0" w:line="259" w:lineRule="auto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</w:p>
    <w:p w14:paraId="4AC8DD5C" w14:textId="77777777" w:rsidR="002A64BE" w:rsidRDefault="002A64BE" w:rsidP="002A64BE">
      <w:pPr>
        <w:spacing w:before="0" w:after="160" w:line="259" w:lineRule="auto"/>
        <w:rPr>
          <w:rFonts w:ascii="Calibri" w:hAnsi="Calibri"/>
        </w:rPr>
      </w:pPr>
      <w:r w:rsidRPr="00037733">
        <w:rPr>
          <w:rFonts w:ascii="Calibri" w:hAnsi="Calibri"/>
        </w:rPr>
        <w:t>This list is refere</w:t>
      </w:r>
      <w:r>
        <w:rPr>
          <w:rFonts w:ascii="Calibri" w:hAnsi="Calibri"/>
        </w:rPr>
        <w:t xml:space="preserve">nced in section 56 of </w:t>
      </w:r>
      <w:r w:rsidRPr="00037733">
        <w:rPr>
          <w:rFonts w:ascii="Calibri" w:hAnsi="Calibri"/>
        </w:rPr>
        <w:t xml:space="preserve">the </w:t>
      </w:r>
      <w:r w:rsidRPr="006B5BAD">
        <w:rPr>
          <w:rFonts w:ascii="Calibri" w:hAnsi="Calibri"/>
          <w:i/>
        </w:rPr>
        <w:t>Biosecurity (Conditionally Non-prohibited Goods) Determination 20</w:t>
      </w:r>
      <w:r>
        <w:rPr>
          <w:rFonts w:ascii="Calibri" w:hAnsi="Calibri"/>
          <w:i/>
        </w:rPr>
        <w:t>21</w:t>
      </w:r>
      <w:r>
        <w:rPr>
          <w:rFonts w:ascii="Calibri" w:hAnsi="Calibri"/>
        </w:rPr>
        <w:t xml:space="preserve">,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—Christmas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section 44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—Cocos (Keeling) Islands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and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—Norfolk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>.</w:t>
      </w:r>
    </w:p>
    <w:p w14:paraId="3FF8ECA6" w14:textId="77777777" w:rsidR="00C44869" w:rsidRPr="00FF50C9" w:rsidRDefault="00FF50C9" w:rsidP="00C44869">
      <w:pPr>
        <w:spacing w:before="0" w:after="160" w:line="259" w:lineRule="auto"/>
        <w:rPr>
          <w:rFonts w:ascii="Calibri" w:hAnsi="Calibri"/>
        </w:rPr>
      </w:pPr>
      <w:r w:rsidRPr="00FF50C9">
        <w:rPr>
          <w:rFonts w:ascii="Calibri" w:hAnsi="Calibri" w:cs="Segoe UI"/>
          <w:color w:val="000000"/>
          <w:lang w:val="en"/>
        </w:rPr>
        <w:t>This list contains conditionally non-prohibited goods which a</w:t>
      </w:r>
      <w:r>
        <w:rPr>
          <w:rFonts w:ascii="Calibri" w:hAnsi="Calibri" w:cs="Segoe UI"/>
          <w:color w:val="000000"/>
          <w:lang w:val="en"/>
        </w:rPr>
        <w:t>re</w:t>
      </w:r>
      <w:r w:rsidRPr="00FF50C9">
        <w:rPr>
          <w:rFonts w:ascii="Calibri" w:hAnsi="Calibri" w:cs="Segoe UI"/>
          <w:color w:val="000000"/>
          <w:lang w:val="en"/>
        </w:rPr>
        <w:t xml:space="preserve"> subject to specific conditions </w:t>
      </w:r>
      <w:r>
        <w:rPr>
          <w:rFonts w:ascii="Calibri" w:hAnsi="Calibri" w:cs="Segoe UI"/>
          <w:color w:val="000000"/>
          <w:lang w:val="en"/>
        </w:rPr>
        <w:t>for</w:t>
      </w:r>
      <w:r w:rsidR="004654DE">
        <w:rPr>
          <w:rFonts w:ascii="Calibri" w:hAnsi="Calibri" w:cs="Segoe UI"/>
          <w:color w:val="000000"/>
          <w:lang w:val="en"/>
        </w:rPr>
        <w:t xml:space="preserve"> import</w:t>
      </w:r>
      <w:r w:rsidRPr="00FF50C9">
        <w:rPr>
          <w:rFonts w:ascii="Calibri" w:hAnsi="Calibri" w:cs="Segoe UI"/>
          <w:color w:val="000000"/>
          <w:lang w:val="en"/>
        </w:rPr>
        <w:t xml:space="preserve"> in the </w:t>
      </w:r>
      <w:r>
        <w:rPr>
          <w:rFonts w:ascii="Calibri" w:hAnsi="Calibri" w:cs="Segoe UI"/>
          <w:color w:val="000000"/>
          <w:lang w:val="en"/>
        </w:rPr>
        <w:t>above instruments.</w:t>
      </w:r>
    </w:p>
    <w:p w14:paraId="4B9B6A14" w14:textId="77777777" w:rsidR="00037733" w:rsidRDefault="00B33FB3" w:rsidP="00C44869">
      <w:pPr>
        <w:spacing w:before="0" w:after="160" w:line="259" w:lineRule="auto"/>
        <w:rPr>
          <w:rFonts w:eastAsiaTheme="minorEastAsia" w:cstheme="minorBidi"/>
          <w:b/>
          <w:sz w:val="28"/>
          <w:lang w:eastAsia="ja-JP"/>
        </w:rPr>
      </w:pPr>
      <w:r>
        <w:rPr>
          <w:rFonts w:eastAsiaTheme="minorEastAsia" w:cstheme="minorBidi"/>
          <w:b/>
          <w:sz w:val="28"/>
          <w:lang w:eastAsia="ja-JP"/>
        </w:rPr>
        <w:t>Brown Marmorated Stink Bug</w:t>
      </w:r>
    </w:p>
    <w:p w14:paraId="66D8E1F6" w14:textId="7A68E27C" w:rsidR="00172AC1" w:rsidRPr="00037733" w:rsidRDefault="00735CA4" w:rsidP="00A465D7">
      <w:pPr>
        <w:spacing w:before="0" w:after="160" w:line="259" w:lineRule="auto"/>
        <w:rPr>
          <w:rFonts w:ascii="Times New Roman" w:eastAsia="Times New Roman" w:hAnsi="Times New Roman"/>
          <w:sz w:val="24"/>
          <w:szCs w:val="20"/>
        </w:rPr>
      </w:pPr>
      <w:r w:rsidRPr="00735CA4">
        <w:rPr>
          <w:rFonts w:ascii="Calibri" w:hAnsi="Calibri"/>
        </w:rPr>
        <w:t xml:space="preserve">The goods listed under the tariff chapters in the table below are subject to the following post-treatment requirement; Goods must either be loaded into a container and sealed or loaded onto a vessel for export from the target risk country within the defined </w:t>
      </w:r>
      <w:r w:rsidR="00F27EC2">
        <w:rPr>
          <w:rFonts w:ascii="Calibri" w:hAnsi="Calibri"/>
        </w:rPr>
        <w:t>post</w:t>
      </w:r>
      <w:r w:rsidR="00030D7B">
        <w:rPr>
          <w:rFonts w:ascii="Calibri" w:hAnsi="Calibri"/>
        </w:rPr>
        <w:t>-</w:t>
      </w:r>
      <w:r w:rsidR="00F27EC2">
        <w:rPr>
          <w:rFonts w:ascii="Calibri" w:hAnsi="Calibri"/>
        </w:rPr>
        <w:t xml:space="preserve">treatment </w:t>
      </w:r>
      <w:r w:rsidRPr="00735CA4">
        <w:rPr>
          <w:rFonts w:ascii="Calibri" w:hAnsi="Calibri"/>
        </w:rPr>
        <w:t>timeframe</w:t>
      </w:r>
      <w:r>
        <w:rPr>
          <w:rFonts w:ascii="Calibri" w:hAnsi="Calibri"/>
        </w:rPr>
        <w:t>.</w:t>
      </w:r>
    </w:p>
    <w:tbl>
      <w:tblPr>
        <w:tblStyle w:val="PlainTable2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684"/>
        <w:gridCol w:w="3658"/>
        <w:gridCol w:w="1039"/>
        <w:gridCol w:w="991"/>
        <w:gridCol w:w="1276"/>
        <w:gridCol w:w="3121"/>
        <w:gridCol w:w="2189"/>
      </w:tblGrid>
      <w:tr w:rsidR="00735CA4" w:rsidRPr="00037733" w14:paraId="417232E2" w14:textId="7F78FF09" w:rsidTr="0073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 w:val="restart"/>
            <w:noWrap/>
            <w:hideMark/>
          </w:tcPr>
          <w:p w14:paraId="7D700886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rPr>
                <w:rFonts w:ascii="Calibri" w:eastAsia="Times New Roman" w:hAnsi="Calibri"/>
                <w:lang w:eastAsia="en-AU"/>
              </w:rPr>
            </w:pPr>
            <w:r w:rsidRPr="006B5BAD">
              <w:rPr>
                <w:rFonts w:ascii="Calibri" w:eastAsia="Times New Roman" w:hAnsi="Calibri"/>
                <w:lang w:eastAsia="en-AU"/>
              </w:rPr>
              <w:t>Country/Region</w:t>
            </w:r>
          </w:p>
        </w:tc>
        <w:tc>
          <w:tcPr>
            <w:tcW w:w="1310" w:type="pct"/>
            <w:vMerge w:val="restart"/>
            <w:noWrap/>
            <w:hideMark/>
          </w:tcPr>
          <w:p w14:paraId="4E0401AD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 w:rsidRPr="006B5BAD">
              <w:rPr>
                <w:rFonts w:ascii="Calibri" w:eastAsia="Times New Roman" w:hAnsi="Calibri"/>
                <w:lang w:eastAsia="en-AU"/>
              </w:rPr>
              <w:t>Goods</w:t>
            </w:r>
            <w:r>
              <w:rPr>
                <w:rFonts w:ascii="Calibri" w:eastAsia="Times New Roman" w:hAnsi="Calibri"/>
                <w:lang w:eastAsia="en-AU"/>
              </w:rPr>
              <w:t xml:space="preserve"> listed under the following tariff chapters</w:t>
            </w:r>
          </w:p>
        </w:tc>
        <w:tc>
          <w:tcPr>
            <w:tcW w:w="1184" w:type="pct"/>
            <w:gridSpan w:val="3"/>
          </w:tcPr>
          <w:p w14:paraId="0AC13393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>
              <w:rPr>
                <w:rFonts w:ascii="Calibri" w:eastAsia="Times New Roman" w:hAnsi="Calibri"/>
                <w:lang w:eastAsia="en-AU"/>
              </w:rPr>
              <w:t>Treatments</w:t>
            </w:r>
          </w:p>
        </w:tc>
        <w:tc>
          <w:tcPr>
            <w:tcW w:w="1118" w:type="pct"/>
            <w:vMerge w:val="restart"/>
            <w:noWrap/>
          </w:tcPr>
          <w:p w14:paraId="30E44D32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 w:rsidRPr="006B5BAD">
              <w:rPr>
                <w:rFonts w:ascii="Calibri" w:eastAsia="Times New Roman" w:hAnsi="Calibri"/>
                <w:lang w:eastAsia="en-AU"/>
              </w:rPr>
              <w:t>Risk Period</w:t>
            </w:r>
          </w:p>
        </w:tc>
        <w:tc>
          <w:tcPr>
            <w:tcW w:w="784" w:type="pct"/>
            <w:vMerge w:val="restart"/>
          </w:tcPr>
          <w:p w14:paraId="5FDCEC36" w14:textId="3C0894EA" w:rsidR="00735CA4" w:rsidRPr="006B5BAD" w:rsidRDefault="00735CA4" w:rsidP="004C3122">
            <w:pPr>
              <w:tabs>
                <w:tab w:val="left" w:pos="2410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  <w:r>
              <w:rPr>
                <w:rFonts w:ascii="Calibri" w:eastAsia="Times New Roman" w:hAnsi="Calibri"/>
                <w:lang w:eastAsia="en-AU"/>
              </w:rPr>
              <w:t>Post</w:t>
            </w:r>
            <w:r w:rsidR="00030D7B">
              <w:rPr>
                <w:rFonts w:ascii="Calibri" w:eastAsia="Times New Roman" w:hAnsi="Calibri"/>
                <w:lang w:eastAsia="en-AU"/>
              </w:rPr>
              <w:t>-</w:t>
            </w:r>
            <w:r>
              <w:rPr>
                <w:rFonts w:ascii="Calibri" w:eastAsia="Times New Roman" w:hAnsi="Calibri"/>
                <w:lang w:eastAsia="en-AU"/>
              </w:rPr>
              <w:t>treatment timeframe</w:t>
            </w:r>
          </w:p>
        </w:tc>
      </w:tr>
      <w:tr w:rsidR="00735CA4" w:rsidRPr="00037733" w14:paraId="4A329666" w14:textId="395EBBD8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516D906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rPr>
                <w:rFonts w:ascii="Calibri" w:eastAsia="Times New Roman" w:hAnsi="Calibri"/>
                <w:lang w:eastAsia="en-AU"/>
              </w:rPr>
            </w:pPr>
          </w:p>
        </w:tc>
        <w:tc>
          <w:tcPr>
            <w:tcW w:w="1310" w:type="pct"/>
            <w:vMerge/>
            <w:noWrap/>
          </w:tcPr>
          <w:p w14:paraId="68909B9C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lang w:eastAsia="en-AU"/>
              </w:rPr>
            </w:pPr>
          </w:p>
        </w:tc>
        <w:tc>
          <w:tcPr>
            <w:tcW w:w="372" w:type="pct"/>
          </w:tcPr>
          <w:p w14:paraId="0EAEA71C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en-AU"/>
              </w:rPr>
            </w:pPr>
            <w:r w:rsidRPr="006B5BAD">
              <w:rPr>
                <w:rFonts w:ascii="Calibri" w:eastAsia="Times New Roman" w:hAnsi="Calibri"/>
                <w:b/>
                <w:lang w:eastAsia="en-AU"/>
              </w:rPr>
              <w:t>Methyl Bromide</w:t>
            </w:r>
          </w:p>
        </w:tc>
        <w:tc>
          <w:tcPr>
            <w:tcW w:w="355" w:type="pct"/>
          </w:tcPr>
          <w:p w14:paraId="5D4DA52D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en-AU"/>
              </w:rPr>
            </w:pPr>
            <w:r w:rsidRPr="006B5BAD">
              <w:rPr>
                <w:rFonts w:ascii="Calibri" w:eastAsia="Times New Roman" w:hAnsi="Calibri"/>
                <w:b/>
                <w:lang w:eastAsia="en-AU"/>
              </w:rPr>
              <w:t>Sulfuryl Fluoride</w:t>
            </w:r>
          </w:p>
        </w:tc>
        <w:tc>
          <w:tcPr>
            <w:tcW w:w="457" w:type="pct"/>
          </w:tcPr>
          <w:p w14:paraId="06C69E8C" w14:textId="77777777" w:rsidR="00735CA4" w:rsidRPr="006B5BAD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lang w:eastAsia="en-AU"/>
              </w:rPr>
            </w:pPr>
            <w:r w:rsidRPr="006B5BAD">
              <w:rPr>
                <w:rFonts w:ascii="Calibri" w:eastAsia="Times New Roman" w:hAnsi="Calibri"/>
                <w:b/>
                <w:lang w:eastAsia="en-AU"/>
              </w:rPr>
              <w:t>Heat Treatment</w:t>
            </w:r>
          </w:p>
        </w:tc>
        <w:tc>
          <w:tcPr>
            <w:tcW w:w="1118" w:type="pct"/>
            <w:vMerge/>
            <w:noWrap/>
          </w:tcPr>
          <w:p w14:paraId="0CBD0341" w14:textId="77777777" w:rsidR="00735CA4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u w:val="single"/>
                <w:lang w:eastAsia="en-AU"/>
              </w:rPr>
            </w:pPr>
          </w:p>
        </w:tc>
        <w:tc>
          <w:tcPr>
            <w:tcW w:w="784" w:type="pct"/>
            <w:vMerge/>
          </w:tcPr>
          <w:p w14:paraId="02591A59" w14:textId="77777777" w:rsidR="00735CA4" w:rsidRDefault="00735CA4" w:rsidP="004C3122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u w:val="single"/>
                <w:lang w:eastAsia="en-AU"/>
              </w:rPr>
            </w:pPr>
          </w:p>
        </w:tc>
      </w:tr>
      <w:tr w:rsidR="00735CA4" w:rsidRPr="00D3072D" w14:paraId="4114AD73" w14:textId="2F5489BF" w:rsidTr="00735CA4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 w:val="restart"/>
            <w:noWrap/>
          </w:tcPr>
          <w:p w14:paraId="11C0B354" w14:textId="3FE58105" w:rsidR="00735CA4" w:rsidRDefault="00735CA4" w:rsidP="004C3122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  <w:p w14:paraId="28AC630D" w14:textId="77777777" w:rsidR="00735CA4" w:rsidRDefault="00735CA4" w:rsidP="004C3122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  <w:r>
              <w:rPr>
                <w:rFonts w:eastAsia="Times New Roman"/>
                <w:b w:val="0"/>
                <w:color w:val="333333"/>
                <w:lang w:eastAsia="en-AU"/>
              </w:rPr>
              <w:t xml:space="preserve">Albania, Andorra, Armenia, Austria, Azerbaijan, Belgium, Bosnia and Herzegovina, Bulgaria, Canada, </w:t>
            </w:r>
            <w:r>
              <w:rPr>
                <w:rFonts w:eastAsia="Times New Roman"/>
                <w:b w:val="0"/>
                <w:color w:val="333333"/>
                <w:lang w:eastAsia="en-AU"/>
              </w:rPr>
              <w:lastRenderedPageBreak/>
              <w:t xml:space="preserve">Croatia, Czechia, </w:t>
            </w:r>
          </w:p>
          <w:p w14:paraId="7860B2C6" w14:textId="6EB22636" w:rsidR="00735CA4" w:rsidRPr="00D3072D" w:rsidRDefault="00735CA4" w:rsidP="004C3122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  <w:r>
              <w:rPr>
                <w:rFonts w:eastAsia="Times New Roman"/>
                <w:b w:val="0"/>
                <w:color w:val="333333"/>
                <w:lang w:eastAsia="en-AU"/>
              </w:rPr>
              <w:t>France, Georgia, Germany, Greece, Hungary, Italy, Kazakhstan, Kosovo, Liechtenstein, Luxembourg, Moldova, Montenegro, Netherlands, North Macedonia, Poland, Portugal, Romania, Russia, Serbia, Slovakia, Slovenia, Spain, Switzerland, Turkey, Ukraine, United States of America</w:t>
            </w:r>
            <w:r w:rsidR="00F42CC9">
              <w:rPr>
                <w:rFonts w:eastAsia="Times New Roman"/>
                <w:b w:val="0"/>
                <w:color w:val="333333"/>
                <w:lang w:eastAsia="en-AU"/>
              </w:rPr>
              <w:t>, Uzbekistan</w:t>
            </w:r>
          </w:p>
        </w:tc>
        <w:tc>
          <w:tcPr>
            <w:tcW w:w="1310" w:type="pct"/>
            <w:noWrap/>
          </w:tcPr>
          <w:p w14:paraId="30B759F4" w14:textId="79167F98" w:rsidR="00735CA4" w:rsidRPr="00D3072D" w:rsidRDefault="00735CA4" w:rsidP="004C3122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72" w:type="pct"/>
            <w:vAlign w:val="center"/>
          </w:tcPr>
          <w:p w14:paraId="0502C195" w14:textId="6F29E938" w:rsidR="00735CA4" w:rsidRPr="00D3072D" w:rsidRDefault="00735CA4" w:rsidP="004C3122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55" w:type="pct"/>
            <w:vAlign w:val="center"/>
          </w:tcPr>
          <w:p w14:paraId="55C91FBC" w14:textId="35E5050D" w:rsidR="00735CA4" w:rsidRPr="00D3072D" w:rsidRDefault="00735CA4" w:rsidP="004C3122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457" w:type="pct"/>
            <w:vAlign w:val="center"/>
          </w:tcPr>
          <w:p w14:paraId="1FD34864" w14:textId="2DFF995E" w:rsidR="00735CA4" w:rsidRPr="00D3072D" w:rsidRDefault="00735CA4" w:rsidP="004C3122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1118" w:type="pct"/>
            <w:noWrap/>
          </w:tcPr>
          <w:p w14:paraId="078CD6AF" w14:textId="7C37F08E" w:rsidR="00735CA4" w:rsidRPr="00D3072D" w:rsidRDefault="00735CA4" w:rsidP="00EF69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784" w:type="pct"/>
          </w:tcPr>
          <w:p w14:paraId="59352DD1" w14:textId="77777777" w:rsidR="00735CA4" w:rsidRPr="00D3072D" w:rsidRDefault="00735CA4" w:rsidP="00EF693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</w:tr>
      <w:tr w:rsidR="00735CA4" w:rsidRPr="00D3072D" w14:paraId="0EE0D604" w14:textId="682B9C11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14EDF41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59D7AF95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44 - </w:t>
            </w:r>
            <w:r w:rsidRPr="00D3072D">
              <w:rPr>
                <w:rFonts w:ascii="Calibri" w:hAnsi="Calibri" w:cs="Segoe UI"/>
                <w:color w:val="444444"/>
              </w:rPr>
              <w:t>Wood and articles of wood; wood charcoal</w:t>
            </w:r>
          </w:p>
        </w:tc>
        <w:tc>
          <w:tcPr>
            <w:tcW w:w="372" w:type="pct"/>
            <w:vAlign w:val="center"/>
          </w:tcPr>
          <w:p w14:paraId="4277C158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07411B1F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67BA390B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E2B5175" w14:textId="091462AA" w:rsidR="00735CA4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>
              <w:rPr>
                <w:rFonts w:eastAsia="Times New Roman"/>
                <w:bCs/>
                <w:color w:val="333333"/>
                <w:lang w:eastAsia="en-AU"/>
              </w:rPr>
              <w:t>30 April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 each year for goods shipped on or between these dates</w:t>
            </w:r>
          </w:p>
        </w:tc>
        <w:tc>
          <w:tcPr>
            <w:tcW w:w="784" w:type="pct"/>
          </w:tcPr>
          <w:p w14:paraId="6C0F1CA7" w14:textId="2CBC0745" w:rsidR="00735CA4" w:rsidRPr="00BB47FD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eastAsia="Times New Roman"/>
                <w:bCs/>
                <w:color w:val="333333"/>
                <w:lang w:eastAsia="en-AU"/>
              </w:rPr>
              <w:t>120 hours</w:t>
            </w:r>
          </w:p>
        </w:tc>
      </w:tr>
      <w:tr w:rsidR="00735CA4" w:rsidRPr="00D3072D" w14:paraId="4ED075C8" w14:textId="1ACB22C3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627F0921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E8E213D" w14:textId="5DA29EAA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45 - </w:t>
            </w:r>
            <w:r w:rsidRPr="00D3072D">
              <w:rPr>
                <w:rFonts w:ascii="Calibri" w:hAnsi="Calibri" w:cs="Segoe UI"/>
                <w:color w:val="444444"/>
              </w:rPr>
              <w:t>Cork and articles of cork</w:t>
            </w:r>
          </w:p>
        </w:tc>
        <w:tc>
          <w:tcPr>
            <w:tcW w:w="372" w:type="pct"/>
            <w:vAlign w:val="center"/>
          </w:tcPr>
          <w:p w14:paraId="6D9DEA5D" w14:textId="17B36E54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E34DD61" w14:textId="6FF150BE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2D1DCC26" w14:textId="5C3ECAA7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B2D9595" w14:textId="6B7EF72D" w:rsidR="00735CA4" w:rsidRDefault="00735CA4" w:rsidP="00EF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7E01627C" w14:textId="6B37F58F" w:rsidR="00735CA4" w:rsidRPr="00BB47FD" w:rsidRDefault="00735CA4" w:rsidP="00EF6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35CA4">
              <w:rPr>
                <w:rFonts w:eastAsia="Times New Roman"/>
                <w:bCs/>
                <w:color w:val="333333"/>
                <w:lang w:eastAsia="en-AU"/>
              </w:rPr>
              <w:t>120 hours</w:t>
            </w:r>
          </w:p>
        </w:tc>
      </w:tr>
      <w:tr w:rsidR="00735CA4" w:rsidRPr="00D3072D" w14:paraId="06BEAA02" w14:textId="162C3279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2E434EDA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6734C8D3" w14:textId="27015150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57 - </w:t>
            </w:r>
            <w:r w:rsidRPr="00D3072D">
              <w:rPr>
                <w:rFonts w:ascii="Calibri" w:hAnsi="Calibri" w:cs="Segoe UI"/>
                <w:color w:val="444444"/>
              </w:rPr>
              <w:t>Carpets and other textile floor coverings</w:t>
            </w:r>
          </w:p>
        </w:tc>
        <w:tc>
          <w:tcPr>
            <w:tcW w:w="372" w:type="pct"/>
            <w:vAlign w:val="center"/>
          </w:tcPr>
          <w:p w14:paraId="6F09395D" w14:textId="1F3D06A8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4FEAA882" w14:textId="6F9416D6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784F69A7" w14:textId="32A14300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19951120" w14:textId="4F698B2A" w:rsidR="00735CA4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032588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38991683" w14:textId="772D42F5" w:rsidR="00735CA4" w:rsidRPr="00BB47FD" w:rsidRDefault="00735CA4" w:rsidP="00EF6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35CA4">
              <w:rPr>
                <w:rFonts w:eastAsia="Times New Roman"/>
                <w:bCs/>
                <w:color w:val="333333"/>
                <w:lang w:eastAsia="en-AU"/>
              </w:rPr>
              <w:t>120 hours</w:t>
            </w:r>
          </w:p>
        </w:tc>
      </w:tr>
      <w:tr w:rsidR="00735CA4" w:rsidRPr="00D3072D" w14:paraId="3FF967B1" w14:textId="64016F29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B8CB6B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404B4A5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68 - </w:t>
            </w:r>
            <w:r w:rsidRPr="00D3072D">
              <w:rPr>
                <w:rFonts w:ascii="Calibri" w:hAnsi="Calibri" w:cs="Segoe UI"/>
                <w:color w:val="444444"/>
              </w:rPr>
              <w:t xml:space="preserve">Articles of stone, plaster, cement, asbestos, </w:t>
            </w:r>
            <w:proofErr w:type="gramStart"/>
            <w:r w:rsidRPr="00D3072D">
              <w:rPr>
                <w:rFonts w:ascii="Calibri" w:hAnsi="Calibri" w:cs="Segoe UI"/>
                <w:color w:val="444444"/>
              </w:rPr>
              <w:t>mica</w:t>
            </w:r>
            <w:proofErr w:type="gramEnd"/>
            <w:r w:rsidRPr="00D3072D">
              <w:rPr>
                <w:rFonts w:ascii="Calibri" w:hAnsi="Calibri" w:cs="Segoe UI"/>
                <w:color w:val="444444"/>
              </w:rPr>
              <w:t xml:space="preserve"> or similar materials</w:t>
            </w:r>
          </w:p>
        </w:tc>
        <w:tc>
          <w:tcPr>
            <w:tcW w:w="372" w:type="pct"/>
            <w:vAlign w:val="center"/>
          </w:tcPr>
          <w:p w14:paraId="2370226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FE5B79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AC10FB2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B83F275" w14:textId="46A37ADA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>
              <w:rPr>
                <w:rFonts w:eastAsia="Times New Roman"/>
                <w:bCs/>
                <w:color w:val="333333"/>
                <w:lang w:eastAsia="en-AU"/>
              </w:rPr>
              <w:t>30 April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 each year for goods shipped on or between these dates</w:t>
            </w:r>
          </w:p>
        </w:tc>
        <w:tc>
          <w:tcPr>
            <w:tcW w:w="784" w:type="pct"/>
          </w:tcPr>
          <w:p w14:paraId="2612745A" w14:textId="146A86AB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514C258E" w14:textId="2D066F39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E0BCE6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05FB701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69 - </w:t>
            </w:r>
            <w:r w:rsidRPr="00D3072D">
              <w:rPr>
                <w:rFonts w:ascii="Calibri" w:hAnsi="Calibri" w:cs="Segoe UI"/>
                <w:color w:val="444444"/>
              </w:rPr>
              <w:t>Ceramic products – including sub chapters I and II</w:t>
            </w:r>
          </w:p>
        </w:tc>
        <w:tc>
          <w:tcPr>
            <w:tcW w:w="372" w:type="pct"/>
            <w:vAlign w:val="center"/>
          </w:tcPr>
          <w:p w14:paraId="1A06D35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2E61C3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20D5A75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3F80F537" w14:textId="5ADCE9A9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6AE59EF8" w14:textId="55BCFB60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6AE0B0ED" w14:textId="061071F4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7149ABF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257652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70 - </w:t>
            </w:r>
            <w:r w:rsidRPr="00D3072D">
              <w:rPr>
                <w:rFonts w:ascii="Calibri" w:hAnsi="Calibri" w:cs="Segoe UI"/>
                <w:color w:val="444444"/>
              </w:rPr>
              <w:t>Glass and glass ware</w:t>
            </w:r>
          </w:p>
        </w:tc>
        <w:tc>
          <w:tcPr>
            <w:tcW w:w="372" w:type="pct"/>
            <w:vAlign w:val="center"/>
          </w:tcPr>
          <w:p w14:paraId="5DD10A3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3782F4B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35F3FF6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C99FF36" w14:textId="483A9F6F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3FF059CF" w14:textId="4E0486FD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126C27D9" w14:textId="02B22E93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8F06D1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4A968C22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72 - </w:t>
            </w:r>
            <w:r w:rsidRPr="00D3072D">
              <w:rPr>
                <w:rFonts w:ascii="Calibri" w:hAnsi="Calibri" w:cs="Segoe UI"/>
                <w:color w:val="444444"/>
              </w:rPr>
              <w:t>Iron and steel - including sub chapters I, II, III, IV</w:t>
            </w:r>
          </w:p>
        </w:tc>
        <w:tc>
          <w:tcPr>
            <w:tcW w:w="372" w:type="pct"/>
            <w:vAlign w:val="center"/>
          </w:tcPr>
          <w:p w14:paraId="0C8AE0B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46DAFF8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5A89C95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2FDECA3" w14:textId="3A17A6E1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8B15EC0" w14:textId="1EBB6E14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63F7E91B" w14:textId="178C98B6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A41626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96920E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73 - </w:t>
            </w:r>
            <w:r w:rsidRPr="00D3072D">
              <w:rPr>
                <w:rFonts w:ascii="Calibri" w:hAnsi="Calibri" w:cs="Segoe UI"/>
                <w:color w:val="444444"/>
              </w:rPr>
              <w:t>Articles of iron or steel</w:t>
            </w:r>
          </w:p>
        </w:tc>
        <w:tc>
          <w:tcPr>
            <w:tcW w:w="372" w:type="pct"/>
            <w:vAlign w:val="center"/>
          </w:tcPr>
          <w:p w14:paraId="7120E23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59321B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88112C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1AB9C644" w14:textId="49A1F112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7CB47FE" w14:textId="177ACAC3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34DD4FBA" w14:textId="1C958340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38B698C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50111B8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74 - </w:t>
            </w:r>
            <w:r w:rsidRPr="00D3072D">
              <w:rPr>
                <w:rFonts w:ascii="Calibri" w:hAnsi="Calibri" w:cs="Segoe UI"/>
                <w:color w:val="444444"/>
              </w:rPr>
              <w:t>Copper and articles thereof</w:t>
            </w:r>
          </w:p>
        </w:tc>
        <w:tc>
          <w:tcPr>
            <w:tcW w:w="372" w:type="pct"/>
            <w:vAlign w:val="center"/>
          </w:tcPr>
          <w:p w14:paraId="3B5A248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0C38D72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7BA34AF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27F9E00" w14:textId="157672FD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ED8F146" w14:textId="5CC157FB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7A44F6BD" w14:textId="53ACE368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2948515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5666188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75 - </w:t>
            </w:r>
            <w:r w:rsidRPr="00D3072D">
              <w:rPr>
                <w:rFonts w:ascii="Calibri" w:hAnsi="Calibri" w:cs="Segoe UI"/>
                <w:color w:val="444444"/>
              </w:rPr>
              <w:t>Nickel and articles thereof</w:t>
            </w:r>
          </w:p>
        </w:tc>
        <w:tc>
          <w:tcPr>
            <w:tcW w:w="372" w:type="pct"/>
            <w:vAlign w:val="center"/>
          </w:tcPr>
          <w:p w14:paraId="25C6DDC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937487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38E35B3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052F14FE" w14:textId="58E23F0D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A9CEE3A" w14:textId="00591A6B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7A192F">
              <w:t>120 hours</w:t>
            </w:r>
          </w:p>
        </w:tc>
      </w:tr>
      <w:tr w:rsidR="00735CA4" w:rsidRPr="00D3072D" w14:paraId="087DFD86" w14:textId="616BF658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2BA9FC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0C907D8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76 - </w:t>
            </w:r>
            <w:r w:rsidRPr="00D3072D">
              <w:rPr>
                <w:rFonts w:ascii="Calibri" w:hAnsi="Calibri" w:cs="Segoe UI"/>
                <w:color w:val="444444"/>
              </w:rPr>
              <w:t>Aluminium and articles thereof</w:t>
            </w:r>
          </w:p>
        </w:tc>
        <w:tc>
          <w:tcPr>
            <w:tcW w:w="372" w:type="pct"/>
            <w:vAlign w:val="center"/>
          </w:tcPr>
          <w:p w14:paraId="1E2C2432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E75539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16141E3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1CD73E4E" w14:textId="0E753C08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5D66E8E" w14:textId="181DFCDD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3C86323F" w14:textId="0E5BF63C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6473A03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42D67A6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78 - </w:t>
            </w:r>
            <w:r w:rsidRPr="00D3072D">
              <w:rPr>
                <w:rFonts w:ascii="Calibri" w:hAnsi="Calibri" w:cs="Segoe UI"/>
                <w:color w:val="444444"/>
              </w:rPr>
              <w:t>Lead and articles thereof</w:t>
            </w:r>
          </w:p>
        </w:tc>
        <w:tc>
          <w:tcPr>
            <w:tcW w:w="372" w:type="pct"/>
            <w:vAlign w:val="center"/>
          </w:tcPr>
          <w:p w14:paraId="3923B1F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970238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E10E6F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979462D" w14:textId="31A10D05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79021B8F" w14:textId="517A67A7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4C719C88" w14:textId="60E82CE4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0342652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252EF02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79 - </w:t>
            </w:r>
            <w:r w:rsidRPr="00D3072D">
              <w:rPr>
                <w:rFonts w:ascii="Calibri" w:hAnsi="Calibri" w:cs="Segoe UI"/>
                <w:color w:val="444444"/>
              </w:rPr>
              <w:t>Zinc and articles thereof</w:t>
            </w:r>
          </w:p>
        </w:tc>
        <w:tc>
          <w:tcPr>
            <w:tcW w:w="372" w:type="pct"/>
            <w:vAlign w:val="center"/>
          </w:tcPr>
          <w:p w14:paraId="14BF7BA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10F7C01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0B8FEC1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2B613D18" w14:textId="450F79AA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460F0F0E" w14:textId="5FE74270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2C8ED923" w14:textId="4AC158F6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3D8EECF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2F24A3B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80 - </w:t>
            </w:r>
            <w:r w:rsidRPr="00D3072D">
              <w:rPr>
                <w:rFonts w:ascii="Calibri" w:hAnsi="Calibri" w:cs="Segoe UI"/>
                <w:color w:val="444444"/>
              </w:rPr>
              <w:t>Tin and articles thereof</w:t>
            </w:r>
          </w:p>
        </w:tc>
        <w:tc>
          <w:tcPr>
            <w:tcW w:w="372" w:type="pct"/>
            <w:vAlign w:val="center"/>
          </w:tcPr>
          <w:p w14:paraId="2BAA100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3635C73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829622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6A82B37" w14:textId="716B67C6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767EBD24" w14:textId="45ECBB8C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5F7C69C5" w14:textId="772AFDDE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7F2CECC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7985738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81 - </w:t>
            </w:r>
            <w:r w:rsidRPr="00D3072D">
              <w:rPr>
                <w:rFonts w:ascii="Calibri" w:hAnsi="Calibri" w:cs="Segoe UI"/>
                <w:color w:val="444444"/>
              </w:rPr>
              <w:t xml:space="preserve">Other base metals; </w:t>
            </w:r>
            <w:proofErr w:type="spellStart"/>
            <w:r w:rsidRPr="00D3072D">
              <w:rPr>
                <w:rFonts w:ascii="Calibri" w:hAnsi="Calibri" w:cs="Segoe UI"/>
                <w:color w:val="444444"/>
              </w:rPr>
              <w:t>cermets</w:t>
            </w:r>
            <w:proofErr w:type="spellEnd"/>
            <w:r w:rsidRPr="00D3072D">
              <w:rPr>
                <w:rFonts w:ascii="Calibri" w:hAnsi="Calibri" w:cs="Segoe UI"/>
                <w:color w:val="444444"/>
              </w:rPr>
              <w:t>; articles thereof</w:t>
            </w:r>
          </w:p>
        </w:tc>
        <w:tc>
          <w:tcPr>
            <w:tcW w:w="372" w:type="pct"/>
            <w:vAlign w:val="center"/>
          </w:tcPr>
          <w:p w14:paraId="0FAEC47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3EB3AD6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0E10D7D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3733F64B" w14:textId="21E662EC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475A2E26" w14:textId="25E3C32D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6554E306" w14:textId="69A9556C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2F2923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6EDF43A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82 - </w:t>
            </w:r>
            <w:r w:rsidRPr="00D3072D">
              <w:rPr>
                <w:rFonts w:ascii="Calibri" w:hAnsi="Calibri" w:cs="Segoe UI"/>
                <w:color w:val="444444"/>
              </w:rPr>
              <w:t xml:space="preserve">Tools, implements, cutlery, </w:t>
            </w:r>
            <w:proofErr w:type="gramStart"/>
            <w:r w:rsidRPr="00D3072D">
              <w:rPr>
                <w:rFonts w:ascii="Calibri" w:hAnsi="Calibri" w:cs="Segoe UI"/>
                <w:color w:val="444444"/>
              </w:rPr>
              <w:t>spoons</w:t>
            </w:r>
            <w:proofErr w:type="gramEnd"/>
            <w:r w:rsidRPr="00D3072D">
              <w:rPr>
                <w:rFonts w:ascii="Calibri" w:hAnsi="Calibri" w:cs="Segoe UI"/>
                <w:color w:val="444444"/>
              </w:rPr>
              <w:t xml:space="preserve"> and forks, of base metal; parts thereof of base metal</w:t>
            </w:r>
          </w:p>
        </w:tc>
        <w:tc>
          <w:tcPr>
            <w:tcW w:w="372" w:type="pct"/>
            <w:vAlign w:val="center"/>
          </w:tcPr>
          <w:p w14:paraId="0633666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7CECB70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2035EB5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F9369F6" w14:textId="28EC5C78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03F0679" w14:textId="2DC35C9B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1FEFF0A1" w14:textId="2CE81B90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04964329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39B378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83 - </w:t>
            </w:r>
            <w:r w:rsidRPr="00D3072D">
              <w:rPr>
                <w:rFonts w:ascii="Calibri" w:hAnsi="Calibri" w:cs="Segoe UI"/>
                <w:color w:val="444444"/>
              </w:rPr>
              <w:t>Miscellaneous articles of base metals</w:t>
            </w:r>
          </w:p>
        </w:tc>
        <w:tc>
          <w:tcPr>
            <w:tcW w:w="372" w:type="pct"/>
            <w:vAlign w:val="center"/>
          </w:tcPr>
          <w:p w14:paraId="44AE7316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7381F78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5C02868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67F0E78D" w14:textId="76C2F05C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5F76215A" w14:textId="3AC4762F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703F3AE0" w14:textId="51EA62D2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52EF1340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8C2520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84 - </w:t>
            </w:r>
            <w:r w:rsidRPr="00D3072D">
              <w:rPr>
                <w:rFonts w:ascii="Calibri" w:hAnsi="Calibri" w:cs="Segoe UI"/>
                <w:color w:val="444444"/>
              </w:rPr>
              <w:t xml:space="preserve">Nuclear reactors, boilers, </w:t>
            </w:r>
            <w:proofErr w:type="gramStart"/>
            <w:r w:rsidRPr="00D3072D">
              <w:rPr>
                <w:rFonts w:ascii="Calibri" w:hAnsi="Calibri" w:cs="Segoe UI"/>
                <w:color w:val="444444"/>
              </w:rPr>
              <w:t>machinery</w:t>
            </w:r>
            <w:proofErr w:type="gramEnd"/>
            <w:r w:rsidRPr="00D3072D">
              <w:rPr>
                <w:rFonts w:ascii="Calibri" w:hAnsi="Calibri" w:cs="Segoe UI"/>
                <w:color w:val="444444"/>
              </w:rPr>
              <w:t xml:space="preserve"> and mechanical appliances; parts thereof</w:t>
            </w:r>
          </w:p>
        </w:tc>
        <w:tc>
          <w:tcPr>
            <w:tcW w:w="372" w:type="pct"/>
            <w:vAlign w:val="center"/>
          </w:tcPr>
          <w:p w14:paraId="11D1668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95630C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6A9A8B9F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5EB5596" w14:textId="19A52FEA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7DDE610" w14:textId="1DF6B4AE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1135652C" w14:textId="06CFAA24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4C285F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759AC985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85 - </w:t>
            </w:r>
            <w:r w:rsidRPr="00D3072D">
              <w:rPr>
                <w:rFonts w:ascii="Calibri" w:hAnsi="Calibri" w:cs="Segoe UI"/>
                <w:color w:val="444444"/>
              </w:rPr>
              <w:t>Electrical machinery and equipment and parts thereof; sound recorders and reproducers, television image and sound recorders and reproducers, and parts and accessories of such articles</w:t>
            </w:r>
          </w:p>
        </w:tc>
        <w:tc>
          <w:tcPr>
            <w:tcW w:w="372" w:type="pct"/>
            <w:vAlign w:val="center"/>
          </w:tcPr>
          <w:p w14:paraId="4E31DD4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6A024D8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7565D78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5F09ACC2" w14:textId="44E74B93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67BECEA3" w14:textId="1C7E3541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0F705C49" w14:textId="1E0A3FD3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877028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8A8E211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86 - </w:t>
            </w:r>
            <w:r w:rsidRPr="00D3072D">
              <w:rPr>
                <w:rFonts w:ascii="Calibri" w:hAnsi="Calibri" w:cs="Segoe UI"/>
                <w:color w:val="444444"/>
              </w:rPr>
              <w:t>Railway or tramway locomotives, rolling-</w:t>
            </w:r>
            <w:proofErr w:type="gramStart"/>
            <w:r w:rsidRPr="00D3072D">
              <w:rPr>
                <w:rFonts w:ascii="Calibri" w:hAnsi="Calibri" w:cs="Segoe UI"/>
                <w:color w:val="444444"/>
              </w:rPr>
              <w:t>stock</w:t>
            </w:r>
            <w:proofErr w:type="gramEnd"/>
            <w:r w:rsidRPr="00D3072D">
              <w:rPr>
                <w:rFonts w:ascii="Calibri" w:hAnsi="Calibri" w:cs="Segoe UI"/>
                <w:color w:val="444444"/>
              </w:rPr>
              <w:t xml:space="preserve"> and parts thereof; railway or tramway track fixtures and fittings and parts thereof; mechanical (including electro-mechanical) traffic signalling equipment of all kinds</w:t>
            </w:r>
          </w:p>
        </w:tc>
        <w:tc>
          <w:tcPr>
            <w:tcW w:w="372" w:type="pct"/>
            <w:vAlign w:val="center"/>
          </w:tcPr>
          <w:p w14:paraId="21F564A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E23BA54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1BB009ED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B7981AB" w14:textId="604E5A4D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0A3F37C1" w14:textId="30CDC160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015556">
              <w:t>120 hours</w:t>
            </w:r>
          </w:p>
        </w:tc>
      </w:tr>
      <w:tr w:rsidR="00735CA4" w:rsidRPr="00D3072D" w14:paraId="7B562F1F" w14:textId="364AA022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649103D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2A4DD04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87 - </w:t>
            </w:r>
            <w:r w:rsidRPr="00D3072D">
              <w:rPr>
                <w:rFonts w:ascii="Calibri" w:hAnsi="Calibri" w:cs="Segoe UI"/>
                <w:color w:val="444444"/>
              </w:rPr>
              <w:t>Vehicles other than railway or tramway rolling-stock, and parts and accessories thereof</w:t>
            </w:r>
          </w:p>
        </w:tc>
        <w:tc>
          <w:tcPr>
            <w:tcW w:w="372" w:type="pct"/>
            <w:vAlign w:val="center"/>
          </w:tcPr>
          <w:p w14:paraId="063B5CCE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E6402B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DC9AD1B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D02B13C" w14:textId="7310933A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67EE1AF5" w14:textId="555815C3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333EEC">
              <w:t>120 hours</w:t>
            </w:r>
          </w:p>
        </w:tc>
      </w:tr>
      <w:tr w:rsidR="00735CA4" w:rsidRPr="00D3072D" w14:paraId="172E92D4" w14:textId="348D0458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345AC0C8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8A290B3" w14:textId="02A128B2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88 - </w:t>
            </w:r>
            <w:r w:rsidRPr="00D3072D">
              <w:rPr>
                <w:rFonts w:ascii="Calibri" w:hAnsi="Calibri" w:cs="Segoe UI"/>
                <w:color w:val="444444"/>
              </w:rPr>
              <w:t>Aircraft, spacecraft, and parts thereof</w:t>
            </w:r>
          </w:p>
        </w:tc>
        <w:tc>
          <w:tcPr>
            <w:tcW w:w="372" w:type="pct"/>
            <w:vAlign w:val="center"/>
          </w:tcPr>
          <w:p w14:paraId="2F95E6EA" w14:textId="7E06299F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24C86837" w14:textId="3A6CE125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3752CB37" w14:textId="6E8333F3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7E4AD086" w14:textId="53DD42AC" w:rsidR="00735CA4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032588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20EC678E" w14:textId="2F47CE48" w:rsidR="00735CA4" w:rsidRPr="00BB47FD" w:rsidRDefault="00735CA4" w:rsidP="00735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333EEC">
              <w:t>120 hours</w:t>
            </w:r>
          </w:p>
        </w:tc>
      </w:tr>
      <w:tr w:rsidR="00735CA4" w:rsidRPr="00D3072D" w14:paraId="7EDBAA4D" w14:textId="284D8648" w:rsidTr="0073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70C38317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1788EC6A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>
              <w:rPr>
                <w:rFonts w:ascii="Calibri" w:hAnsi="Calibri" w:cs="Segoe UI"/>
                <w:color w:val="444444"/>
              </w:rPr>
              <w:t xml:space="preserve">89 - </w:t>
            </w:r>
            <w:r w:rsidRPr="00D3072D">
              <w:rPr>
                <w:rFonts w:ascii="Calibri" w:hAnsi="Calibri" w:cs="Segoe UI"/>
                <w:color w:val="444444"/>
              </w:rPr>
              <w:t xml:space="preserve">Ships, </w:t>
            </w:r>
            <w:proofErr w:type="gramStart"/>
            <w:r w:rsidRPr="00D3072D">
              <w:rPr>
                <w:rFonts w:ascii="Calibri" w:hAnsi="Calibri" w:cs="Segoe UI"/>
                <w:color w:val="444444"/>
              </w:rPr>
              <w:t>boats</w:t>
            </w:r>
            <w:proofErr w:type="gramEnd"/>
            <w:r w:rsidRPr="00D3072D">
              <w:rPr>
                <w:rFonts w:ascii="Calibri" w:hAnsi="Calibri" w:cs="Segoe UI"/>
                <w:color w:val="444444"/>
              </w:rPr>
              <w:t xml:space="preserve"> and floating structures</w:t>
            </w:r>
          </w:p>
        </w:tc>
        <w:tc>
          <w:tcPr>
            <w:tcW w:w="372" w:type="pct"/>
            <w:vAlign w:val="center"/>
          </w:tcPr>
          <w:p w14:paraId="7AE2571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355" w:type="pct"/>
            <w:vAlign w:val="center"/>
          </w:tcPr>
          <w:p w14:paraId="5833796C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457" w:type="pct"/>
            <w:vAlign w:val="center"/>
          </w:tcPr>
          <w:p w14:paraId="49C61873" w14:textId="77777777" w:rsidR="00735CA4" w:rsidRPr="00D3072D" w:rsidRDefault="00735CA4" w:rsidP="00735CA4">
            <w:pPr>
              <w:tabs>
                <w:tab w:val="left" w:pos="2410"/>
              </w:tabs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D3072D">
              <w:rPr>
                <w:rFonts w:eastAsia="Times New Roman"/>
                <w:bCs/>
                <w:color w:val="333333"/>
                <w:lang w:eastAsia="en-AU"/>
              </w:rPr>
              <w:sym w:font="Wingdings" w:char="F0FC"/>
            </w:r>
          </w:p>
        </w:tc>
        <w:tc>
          <w:tcPr>
            <w:tcW w:w="1118" w:type="pct"/>
            <w:noWrap/>
          </w:tcPr>
          <w:p w14:paraId="4FA4C30D" w14:textId="7A4A9F94" w:rsidR="00735CA4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FD">
              <w:rPr>
                <w:rFonts w:eastAsia="Times New Roman"/>
                <w:bCs/>
                <w:color w:val="333333"/>
                <w:lang w:eastAsia="en-AU"/>
              </w:rPr>
              <w:t xml:space="preserve">1 September – </w:t>
            </w:r>
            <w:r w:rsidRPr="00E96811">
              <w:rPr>
                <w:rFonts w:eastAsia="Times New Roman"/>
                <w:bCs/>
                <w:color w:val="333333"/>
                <w:lang w:eastAsia="en-AU"/>
              </w:rPr>
              <w:t xml:space="preserve">30 April </w:t>
            </w:r>
            <w:r w:rsidRPr="00BB47FD">
              <w:rPr>
                <w:rFonts w:eastAsia="Times New Roman"/>
                <w:bCs/>
                <w:color w:val="333333"/>
                <w:lang w:eastAsia="en-AU"/>
              </w:rPr>
              <w:t>each year for goods shipped on or between these dates</w:t>
            </w:r>
          </w:p>
        </w:tc>
        <w:tc>
          <w:tcPr>
            <w:tcW w:w="784" w:type="pct"/>
          </w:tcPr>
          <w:p w14:paraId="41254DE0" w14:textId="70C15DF8" w:rsidR="00735CA4" w:rsidRPr="00BB47FD" w:rsidRDefault="00735CA4" w:rsidP="0073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  <w:r w:rsidRPr="00333EEC">
              <w:t>120 hours</w:t>
            </w:r>
          </w:p>
        </w:tc>
      </w:tr>
      <w:tr w:rsidR="00735CA4" w:rsidRPr="00D3072D" w14:paraId="44F0D34C" w14:textId="4F295C6C" w:rsidTr="00735CA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pct"/>
            <w:vMerge/>
            <w:noWrap/>
          </w:tcPr>
          <w:p w14:paraId="4C215158" w14:textId="77777777" w:rsidR="00735CA4" w:rsidRPr="00D3072D" w:rsidRDefault="00735CA4" w:rsidP="00A92F79">
            <w:pPr>
              <w:tabs>
                <w:tab w:val="left" w:pos="2410"/>
              </w:tabs>
              <w:spacing w:before="0"/>
              <w:rPr>
                <w:rFonts w:eastAsia="Times New Roman"/>
                <w:b w:val="0"/>
                <w:color w:val="333333"/>
                <w:lang w:eastAsia="en-AU"/>
              </w:rPr>
            </w:pPr>
          </w:p>
        </w:tc>
        <w:tc>
          <w:tcPr>
            <w:tcW w:w="1310" w:type="pct"/>
            <w:noWrap/>
          </w:tcPr>
          <w:p w14:paraId="353A8319" w14:textId="489136A3" w:rsidR="00735CA4" w:rsidRPr="00D3072D" w:rsidRDefault="00735CA4" w:rsidP="00A92F79">
            <w:pPr>
              <w:tabs>
                <w:tab w:val="left" w:pos="2410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72" w:type="pct"/>
            <w:vAlign w:val="center"/>
          </w:tcPr>
          <w:p w14:paraId="20C41FAA" w14:textId="05E9E7AE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355" w:type="pct"/>
            <w:vAlign w:val="center"/>
          </w:tcPr>
          <w:p w14:paraId="1EFF7E79" w14:textId="7969B73A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457" w:type="pct"/>
            <w:vAlign w:val="center"/>
          </w:tcPr>
          <w:p w14:paraId="4AA3A6E5" w14:textId="67A7350A" w:rsidR="00735CA4" w:rsidRPr="00D3072D" w:rsidRDefault="00735CA4" w:rsidP="00A92F79">
            <w:pPr>
              <w:tabs>
                <w:tab w:val="left" w:pos="2410"/>
              </w:tabs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333333"/>
                <w:lang w:eastAsia="en-AU"/>
              </w:rPr>
            </w:pPr>
          </w:p>
        </w:tc>
        <w:tc>
          <w:tcPr>
            <w:tcW w:w="1118" w:type="pct"/>
            <w:noWrap/>
          </w:tcPr>
          <w:p w14:paraId="03468F37" w14:textId="3E9A70B1" w:rsidR="00735CA4" w:rsidRDefault="00735CA4" w:rsidP="00A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4" w:type="pct"/>
          </w:tcPr>
          <w:p w14:paraId="00CB711B" w14:textId="77777777" w:rsidR="00735CA4" w:rsidRDefault="00735CA4" w:rsidP="00A9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E6EBCB" w14:textId="77777777" w:rsidR="00AA74FA" w:rsidRPr="00D3072D" w:rsidRDefault="00AA74FA" w:rsidP="004C3122">
      <w:pPr>
        <w:spacing w:before="0"/>
        <w:rPr>
          <w:lang w:eastAsia="ja-JP"/>
        </w:rPr>
      </w:pPr>
    </w:p>
    <w:p w14:paraId="66F0ABC7" w14:textId="77777777" w:rsidR="00037733" w:rsidRDefault="00037733" w:rsidP="004C3122">
      <w:pPr>
        <w:spacing w:before="0"/>
        <w:rPr>
          <w:lang w:eastAsia="ja-JP"/>
        </w:rPr>
      </w:pPr>
    </w:p>
    <w:sectPr w:rsidR="00037733" w:rsidSect="00037733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92E3" w14:textId="77777777" w:rsidR="0014429A" w:rsidRDefault="0014429A">
      <w:r>
        <w:separator/>
      </w:r>
    </w:p>
  </w:endnote>
  <w:endnote w:type="continuationSeparator" w:id="0">
    <w:p w14:paraId="0558D068" w14:textId="77777777" w:rsidR="0014429A" w:rsidRDefault="0014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7464" w14:textId="77777777" w:rsidR="00037733" w:rsidRDefault="00037733" w:rsidP="00037733">
    <w:pPr>
      <w:pStyle w:val="Header"/>
    </w:pPr>
  </w:p>
  <w:sdt>
    <w:sdtPr>
      <w:rPr>
        <w:sz w:val="22"/>
        <w:szCs w:val="22"/>
      </w:rPr>
      <w:id w:val="-1705238520"/>
      <w:docPartObj>
        <w:docPartGallery w:val="Page Numbers (Top of Page)"/>
        <w:docPartUnique/>
      </w:docPartObj>
    </w:sdtPr>
    <w:sdtEndPr/>
    <w:sdtContent>
      <w:p w14:paraId="676CE197" w14:textId="77777777" w:rsidR="00037733" w:rsidRPr="00037733" w:rsidRDefault="00037733" w:rsidP="00037733">
        <w:pPr>
          <w:pStyle w:val="Header"/>
          <w:rPr>
            <w:sz w:val="22"/>
            <w:szCs w:val="22"/>
          </w:rPr>
        </w:pPr>
        <w:r w:rsidRPr="00037733">
          <w:rPr>
            <w:sz w:val="22"/>
            <w:szCs w:val="22"/>
          </w:rPr>
          <w:t xml:space="preserve"> </w:t>
        </w:r>
      </w:p>
      <w:p w14:paraId="57173FB6" w14:textId="77777777" w:rsidR="00C6669A" w:rsidRPr="00037733" w:rsidRDefault="00F42262" w:rsidP="00037733">
        <w:pPr>
          <w:pStyle w:val="Footer"/>
          <w:jc w:val="right"/>
          <w:rPr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D3C0" w14:textId="77777777" w:rsidR="0014429A" w:rsidRDefault="0014429A">
      <w:r>
        <w:separator/>
      </w:r>
    </w:p>
  </w:footnote>
  <w:footnote w:type="continuationSeparator" w:id="0">
    <w:p w14:paraId="45B5B5FF" w14:textId="77777777" w:rsidR="0014429A" w:rsidRDefault="00144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B952" w14:textId="77777777" w:rsidR="00B32EC9" w:rsidRDefault="00F42262">
    <w:pPr>
      <w:pStyle w:val="Header"/>
    </w:pPr>
    <w:r>
      <w:rPr>
        <w:noProof/>
      </w:rPr>
      <w:pict w14:anchorId="5A7E13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8" o:spid="_x0000_s12290" type="#_x0000_t136" style="position:absolute;margin-left:0;margin-top:0;width:509pt;height:12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050F" w14:textId="0429761D" w:rsidR="00037733" w:rsidRPr="00037733" w:rsidRDefault="00F42262" w:rsidP="00037733">
    <w:pPr>
      <w:pStyle w:val="Header"/>
      <w:rPr>
        <w:sz w:val="22"/>
        <w:szCs w:val="22"/>
      </w:rPr>
    </w:pPr>
    <w:sdt>
      <w:sdtPr>
        <w:rPr>
          <w:sz w:val="22"/>
          <w:szCs w:val="22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037733" w:rsidRPr="00037733">
          <w:rPr>
            <w:sz w:val="22"/>
            <w:szCs w:val="22"/>
          </w:rPr>
          <w:ptab w:relativeTo="margin" w:alignment="right" w:leader="none"/>
        </w:r>
        <w:r w:rsidR="00037733" w:rsidRPr="00037733">
          <w:rPr>
            <w:sz w:val="22"/>
            <w:szCs w:val="22"/>
          </w:rPr>
          <w:t xml:space="preserve">Effective as of: </w:t>
        </w:r>
        <w:r w:rsidR="00F42CC9">
          <w:rPr>
            <w:sz w:val="22"/>
            <w:szCs w:val="22"/>
          </w:rPr>
          <w:t>01</w:t>
        </w:r>
        <w:r w:rsidR="00C97E54">
          <w:rPr>
            <w:sz w:val="22"/>
            <w:szCs w:val="22"/>
          </w:rPr>
          <w:t xml:space="preserve"> September</w:t>
        </w:r>
        <w:r w:rsidR="00563138">
          <w:rPr>
            <w:sz w:val="22"/>
            <w:szCs w:val="22"/>
          </w:rPr>
          <w:t xml:space="preserve"> </w:t>
        </w:r>
        <w:r w:rsidR="00142783">
          <w:rPr>
            <w:sz w:val="22"/>
            <w:szCs w:val="22"/>
          </w:rPr>
          <w:t>202</w:t>
        </w:r>
        <w:r w:rsidR="00F42CC9">
          <w:rPr>
            <w:sz w:val="22"/>
            <w:szCs w:val="22"/>
          </w:rPr>
          <w:t>3</w:t>
        </w:r>
      </w:sdtContent>
    </w:sdt>
  </w:p>
  <w:p w14:paraId="214EF707" w14:textId="77777777" w:rsidR="00037733" w:rsidRDefault="00037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F3EE" w14:textId="77777777" w:rsidR="00B32EC9" w:rsidRDefault="00F42262">
    <w:pPr>
      <w:pStyle w:val="Header"/>
    </w:pPr>
    <w:r>
      <w:rPr>
        <w:noProof/>
      </w:rPr>
      <w:pict w14:anchorId="31C4D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7" o:spid="_x0000_s12289" type="#_x0000_t136" style="position:absolute;margin-left:0;margin-top:0;width:509pt;height:12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496573354">
    <w:abstractNumId w:val="12"/>
  </w:num>
  <w:num w:numId="2" w16cid:durableId="78986620">
    <w:abstractNumId w:val="11"/>
  </w:num>
  <w:num w:numId="3" w16cid:durableId="1086419498">
    <w:abstractNumId w:val="5"/>
  </w:num>
  <w:num w:numId="4" w16cid:durableId="893587879">
    <w:abstractNumId w:val="6"/>
  </w:num>
  <w:num w:numId="5" w16cid:durableId="894849850">
    <w:abstractNumId w:val="3"/>
  </w:num>
  <w:num w:numId="6" w16cid:durableId="1917587444">
    <w:abstractNumId w:val="8"/>
  </w:num>
  <w:num w:numId="7" w16cid:durableId="29650997">
    <w:abstractNumId w:val="16"/>
  </w:num>
  <w:num w:numId="8" w16cid:durableId="2041736007">
    <w:abstractNumId w:val="9"/>
  </w:num>
  <w:num w:numId="9" w16cid:durableId="932126298">
    <w:abstractNumId w:val="13"/>
  </w:num>
  <w:num w:numId="10" w16cid:durableId="2042314457">
    <w:abstractNumId w:val="7"/>
  </w:num>
  <w:num w:numId="11" w16cid:durableId="1019816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6023592">
    <w:abstractNumId w:val="10"/>
  </w:num>
  <w:num w:numId="13" w16cid:durableId="569388230">
    <w:abstractNumId w:val="15"/>
  </w:num>
  <w:num w:numId="14" w16cid:durableId="1406342341">
    <w:abstractNumId w:val="2"/>
  </w:num>
  <w:num w:numId="15" w16cid:durableId="2005275754">
    <w:abstractNumId w:val="1"/>
  </w:num>
  <w:num w:numId="16" w16cid:durableId="804853225">
    <w:abstractNumId w:val="0"/>
  </w:num>
  <w:num w:numId="17" w16cid:durableId="1768113570">
    <w:abstractNumId w:val="4"/>
  </w:num>
  <w:num w:numId="18" w16cid:durableId="60215274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33"/>
    <w:rsid w:val="00030D7B"/>
    <w:rsid w:val="00032588"/>
    <w:rsid w:val="00033A33"/>
    <w:rsid w:val="00037733"/>
    <w:rsid w:val="000D0358"/>
    <w:rsid w:val="00135025"/>
    <w:rsid w:val="00142783"/>
    <w:rsid w:val="0014429A"/>
    <w:rsid w:val="00172AC1"/>
    <w:rsid w:val="001B494E"/>
    <w:rsid w:val="001F0CC7"/>
    <w:rsid w:val="00227607"/>
    <w:rsid w:val="002A64BE"/>
    <w:rsid w:val="002A77BE"/>
    <w:rsid w:val="002E568C"/>
    <w:rsid w:val="002E5DBD"/>
    <w:rsid w:val="00345925"/>
    <w:rsid w:val="00446252"/>
    <w:rsid w:val="00461807"/>
    <w:rsid w:val="004654DE"/>
    <w:rsid w:val="00484E74"/>
    <w:rsid w:val="004A5E7B"/>
    <w:rsid w:val="004C3122"/>
    <w:rsid w:val="00505272"/>
    <w:rsid w:val="0054747E"/>
    <w:rsid w:val="00563138"/>
    <w:rsid w:val="005933F1"/>
    <w:rsid w:val="006108D4"/>
    <w:rsid w:val="00626E31"/>
    <w:rsid w:val="006271DB"/>
    <w:rsid w:val="00644C67"/>
    <w:rsid w:val="006A2DD0"/>
    <w:rsid w:val="006B5BAD"/>
    <w:rsid w:val="006D4DC5"/>
    <w:rsid w:val="00706183"/>
    <w:rsid w:val="00731281"/>
    <w:rsid w:val="00735CA4"/>
    <w:rsid w:val="00755C26"/>
    <w:rsid w:val="00790EC7"/>
    <w:rsid w:val="007B29ED"/>
    <w:rsid w:val="007F0D56"/>
    <w:rsid w:val="008D3B53"/>
    <w:rsid w:val="008E7519"/>
    <w:rsid w:val="00905F94"/>
    <w:rsid w:val="009A1753"/>
    <w:rsid w:val="00A25251"/>
    <w:rsid w:val="00A465D7"/>
    <w:rsid w:val="00A55F55"/>
    <w:rsid w:val="00A92F79"/>
    <w:rsid w:val="00AA4104"/>
    <w:rsid w:val="00AA4B88"/>
    <w:rsid w:val="00AA74FA"/>
    <w:rsid w:val="00AB7C98"/>
    <w:rsid w:val="00AE0AC3"/>
    <w:rsid w:val="00AE3668"/>
    <w:rsid w:val="00B23C6A"/>
    <w:rsid w:val="00B32EC9"/>
    <w:rsid w:val="00B33FB3"/>
    <w:rsid w:val="00B57188"/>
    <w:rsid w:val="00B72FD8"/>
    <w:rsid w:val="00B73424"/>
    <w:rsid w:val="00BD6D18"/>
    <w:rsid w:val="00BE1F3D"/>
    <w:rsid w:val="00C44869"/>
    <w:rsid w:val="00C6669A"/>
    <w:rsid w:val="00C74A83"/>
    <w:rsid w:val="00C97E54"/>
    <w:rsid w:val="00D222B6"/>
    <w:rsid w:val="00D3072D"/>
    <w:rsid w:val="00D40ACC"/>
    <w:rsid w:val="00D539E4"/>
    <w:rsid w:val="00D60166"/>
    <w:rsid w:val="00D63190"/>
    <w:rsid w:val="00D708EE"/>
    <w:rsid w:val="00E3214D"/>
    <w:rsid w:val="00E96811"/>
    <w:rsid w:val="00EC2284"/>
    <w:rsid w:val="00EC5C34"/>
    <w:rsid w:val="00EF36DF"/>
    <w:rsid w:val="00EF6932"/>
    <w:rsid w:val="00F017F2"/>
    <w:rsid w:val="00F27EC2"/>
    <w:rsid w:val="00F42262"/>
    <w:rsid w:val="00F42CC9"/>
    <w:rsid w:val="00F75F01"/>
    <w:rsid w:val="00FE773C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6AF9DF1B"/>
  <w15:chartTrackingRefBased/>
  <w15:docId w15:val="{7072E4A8-8CE6-41BC-AB16-05425169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77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4569D-34EE-4171-8D00-C68429FB949E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81c01dc6-2c49-4730-b140-874c95cac37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95b51c2-b2ac-4224-a5b5-069909057829"/>
    <ds:schemaRef ds:uri="2b53c995-2120-4bc0-8922-c25044d37f6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EC3C0A-6ED4-4BAA-B310-BD8961796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2298E4-9472-4E11-9B7F-FA09FF9F0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67A23-2A99-4757-811E-8E84FD28E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Hitchhiker Pest Host Countries or Regions</vt:lpstr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Hitchhiker Pest Host Countries or Regions</dc:title>
  <dc:subject/>
  <dc:creator>Department of Agriculture, Fisheries and Forestry</dc:creator>
  <cp:keywords/>
  <dc:description/>
  <cp:lastModifiedBy>Goggins, Fiona</cp:lastModifiedBy>
  <cp:revision>3</cp:revision>
  <cp:lastPrinted>2018-04-16T04:48:00Z</cp:lastPrinted>
  <dcterms:created xsi:type="dcterms:W3CDTF">2023-08-23T06:53:00Z</dcterms:created>
  <dcterms:modified xsi:type="dcterms:W3CDTF">2023-09-26T04:43:00Z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