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3E64" w14:textId="2453B402" w:rsidR="004952F2" w:rsidRDefault="004952F2" w:rsidP="001045B1">
      <w:pPr>
        <w:pStyle w:val="Heading1"/>
        <w:spacing w:after="120"/>
      </w:pPr>
      <w:r w:rsidRPr="009B5BDD">
        <w:t>National</w:t>
      </w:r>
      <w:r w:rsidR="009B5BDD" w:rsidRPr="009B5BDD">
        <w:t xml:space="preserve"> Khapra Beetle</w:t>
      </w:r>
      <w:r w:rsidRPr="009B5BDD">
        <w:t xml:space="preserve"> Action Plan 202</w:t>
      </w:r>
      <w:r w:rsidR="009B5BDD" w:rsidRPr="009B5BDD">
        <w:t>1</w:t>
      </w:r>
      <w:r w:rsidR="00387FF4" w:rsidRPr="009B5BDD">
        <w:t>–</w:t>
      </w:r>
      <w:r w:rsidRPr="009B5BDD">
        <w:t>203</w:t>
      </w:r>
      <w:r w:rsidR="009B5BDD" w:rsidRPr="009B5BDD">
        <w:t>1</w:t>
      </w:r>
      <w:r w:rsidR="006400C2" w:rsidRPr="009B5BDD">
        <w:t>: i</w:t>
      </w:r>
      <w:r w:rsidRPr="009B5BDD">
        <w:t>mplementation schedule</w:t>
      </w:r>
      <w:r w:rsidR="00A82705" w:rsidRPr="009B5BDD">
        <w:t xml:space="preserve"> 202</w:t>
      </w:r>
      <w:r w:rsidR="00993D04">
        <w:t>3</w:t>
      </w:r>
    </w:p>
    <w:p w14:paraId="1563546A" w14:textId="3277388B" w:rsidR="00EA74C1" w:rsidRDefault="00013AE2" w:rsidP="00013AE2">
      <w:r>
        <w:t xml:space="preserve">The success of </w:t>
      </w:r>
      <w:r w:rsidR="00EE19B0">
        <w:t xml:space="preserve">the </w:t>
      </w:r>
      <w:hyperlink r:id="rId11" w:history="1">
        <w:r w:rsidRPr="009B5BDD">
          <w:rPr>
            <w:rStyle w:val="Hyperlink"/>
          </w:rPr>
          <w:t xml:space="preserve">National </w:t>
        </w:r>
        <w:r w:rsidR="009B5BDD" w:rsidRPr="009B5BDD">
          <w:rPr>
            <w:rStyle w:val="Hyperlink"/>
          </w:rPr>
          <w:t>Khapra Beetle</w:t>
        </w:r>
        <w:r w:rsidRPr="009B5BDD">
          <w:rPr>
            <w:rStyle w:val="Hyperlink"/>
          </w:rPr>
          <w:t xml:space="preserve"> Action Plan 202</w:t>
        </w:r>
        <w:r w:rsidR="009B5BDD" w:rsidRPr="009B5BDD">
          <w:rPr>
            <w:rStyle w:val="Hyperlink"/>
          </w:rPr>
          <w:t>1</w:t>
        </w:r>
        <w:r w:rsidR="00387FF4" w:rsidRPr="009B5BDD">
          <w:rPr>
            <w:rStyle w:val="Hyperlink"/>
          </w:rPr>
          <w:t>–</w:t>
        </w:r>
        <w:r w:rsidRPr="009B5BDD">
          <w:rPr>
            <w:rStyle w:val="Hyperlink"/>
          </w:rPr>
          <w:t>203</w:t>
        </w:r>
      </w:hyperlink>
      <w:r w:rsidR="009B5BDD" w:rsidRPr="009B5BDD">
        <w:rPr>
          <w:rStyle w:val="Hyperlink"/>
        </w:rPr>
        <w:t>1</w:t>
      </w:r>
      <w:r w:rsidR="009A5B4A">
        <w:t xml:space="preserve"> </w:t>
      </w:r>
      <w:r w:rsidR="00805938">
        <w:t>depends</w:t>
      </w:r>
      <w:r>
        <w:t xml:space="preserve"> on cooperation and collaboration between importers, shipping businesses, agricultural industries, all levels of government, non-government organisations and individuals, experts and research agencies. This implementation schedule will be used to</w:t>
      </w:r>
      <w:r w:rsidR="00FE4295">
        <w:t>:</w:t>
      </w:r>
    </w:p>
    <w:p w14:paraId="1D317D3B" w14:textId="5D0C18C0" w:rsidR="00EA74C1" w:rsidRDefault="00013AE2" w:rsidP="00EA74C1">
      <w:pPr>
        <w:pStyle w:val="ListBullet"/>
      </w:pPr>
      <w:r>
        <w:t>record the progress of actions set out in the</w:t>
      </w:r>
      <w:r w:rsidR="001F1952">
        <w:t xml:space="preserve"> </w:t>
      </w:r>
      <w:r w:rsidR="001F1952" w:rsidRPr="001F1952">
        <w:t>p</w:t>
      </w:r>
      <w:r w:rsidRPr="001F1952">
        <w:t>lan</w:t>
      </w:r>
    </w:p>
    <w:p w14:paraId="551A4875" w14:textId="341E5DBC" w:rsidR="00EA74C1" w:rsidRDefault="00013AE2" w:rsidP="00EA74C1">
      <w:pPr>
        <w:pStyle w:val="ListBullet"/>
      </w:pPr>
      <w:r>
        <w:t>document roles, responsibilities and funding mechanisms</w:t>
      </w:r>
    </w:p>
    <w:p w14:paraId="5C27C675" w14:textId="0BFEC2ED" w:rsidR="00EA74C1" w:rsidRDefault="00013AE2" w:rsidP="00EA74C1">
      <w:pPr>
        <w:pStyle w:val="ListBullet"/>
      </w:pPr>
      <w:r>
        <w:t>communicate progress with stakeholders.</w:t>
      </w:r>
    </w:p>
    <w:p w14:paraId="17B47B76" w14:textId="4C3B0F68" w:rsidR="00013AE2" w:rsidRDefault="00013AE2" w:rsidP="00EA74C1">
      <w:r>
        <w:t xml:space="preserve">Actions in </w:t>
      </w:r>
      <w:r w:rsidR="00EA74C1">
        <w:t xml:space="preserve">this plan will complement actions in </w:t>
      </w:r>
      <w:r w:rsidR="00180FF6">
        <w:t xml:space="preserve">other </w:t>
      </w:r>
      <w:hyperlink r:id="rId12" w:history="1">
        <w:r w:rsidR="00387FF4">
          <w:rPr>
            <w:rStyle w:val="Hyperlink"/>
          </w:rPr>
          <w:t>national action plans for priority plant pests</w:t>
        </w:r>
      </w:hyperlink>
      <w:r w:rsidR="00387FF4" w:rsidRPr="001045B1">
        <w:t>.</w:t>
      </w:r>
    </w:p>
    <w:p w14:paraId="01F114A5" w14:textId="5DA34961" w:rsidR="00013AE2" w:rsidRDefault="00092814" w:rsidP="00013AE2">
      <w:r>
        <w:t xml:space="preserve">Plant Health Committee (PHC) is responsible for </w:t>
      </w:r>
      <w:r w:rsidRPr="00DE79FB">
        <w:t>endors</w:t>
      </w:r>
      <w:r>
        <w:t>ing</w:t>
      </w:r>
      <w:r w:rsidRPr="00DE79FB">
        <w:t xml:space="preserve"> plans</w:t>
      </w:r>
      <w:r>
        <w:t xml:space="preserve"> and overseeing implementation. The Department of Agriculture, Fisheries and Forestry (DAFF) will host a</w:t>
      </w:r>
      <w:r w:rsidR="00102854">
        <w:t>nnual forums</w:t>
      </w:r>
      <w:r>
        <w:t xml:space="preserve"> </w:t>
      </w:r>
      <w:r w:rsidR="00102854">
        <w:t xml:space="preserve">with key stakeholders to monitor and review implementation schedules. </w:t>
      </w:r>
      <w:r w:rsidR="00367ACF">
        <w:t>The purpose of these forums is</w:t>
      </w:r>
      <w:r w:rsidR="00367ACF" w:rsidRPr="00367ACF">
        <w:t xml:space="preserve"> </w:t>
      </w:r>
      <w:r w:rsidR="006F5852">
        <w:t>to collect implementation information</w:t>
      </w:r>
      <w:r w:rsidR="00367ACF">
        <w:t xml:space="preserve"> and discuss potential proposals to support the plan</w:t>
      </w:r>
      <w:r w:rsidR="006F5852">
        <w:t xml:space="preserve">. </w:t>
      </w:r>
      <w:bookmarkStart w:id="0" w:name="_Hlk130568813"/>
      <w:r>
        <w:t>PHC will be provided with</w:t>
      </w:r>
      <w:r w:rsidR="00971732">
        <w:t xml:space="preserve"> </w:t>
      </w:r>
      <w:r>
        <w:t xml:space="preserve">forum </w:t>
      </w:r>
      <w:r w:rsidR="00971732">
        <w:t>f</w:t>
      </w:r>
      <w:r w:rsidR="006F5852">
        <w:t>indings</w:t>
      </w:r>
      <w:r>
        <w:t>.</w:t>
      </w:r>
      <w:bookmarkEnd w:id="0"/>
      <w:r w:rsidR="00E77AE3">
        <w:t xml:space="preserve"> PHC will consider how implementation will occur where no lead has been identified for an action.</w:t>
      </w:r>
    </w:p>
    <w:p w14:paraId="18B1A8F4" w14:textId="76295E1F" w:rsidR="00013AE2" w:rsidRDefault="00367ACF" w:rsidP="00C678D4">
      <w:r>
        <w:t xml:space="preserve">The </w:t>
      </w:r>
      <w:r w:rsidR="00013AE2">
        <w:t xml:space="preserve">overall success of the </w:t>
      </w:r>
      <w:r w:rsidR="001F1952">
        <w:t>p</w:t>
      </w:r>
      <w:r w:rsidR="00013AE2" w:rsidRPr="001F1952">
        <w:t>lan</w:t>
      </w:r>
      <w:r>
        <w:t xml:space="preserve"> will be</w:t>
      </w:r>
      <w:r w:rsidR="00013AE2">
        <w:t xml:space="preserve"> assessed against </w:t>
      </w:r>
      <w:r w:rsidR="00277DB4">
        <w:t xml:space="preserve">6 </w:t>
      </w:r>
      <w:r w:rsidR="00013AE2">
        <w:t>measures</w:t>
      </w:r>
      <w:r w:rsidR="00277DB4">
        <w:t>:</w:t>
      </w:r>
    </w:p>
    <w:p w14:paraId="72AB5628" w14:textId="6849D2B2" w:rsidR="00013AE2" w:rsidRDefault="00013AE2" w:rsidP="00C678D4">
      <w:pPr>
        <w:pStyle w:val="ListNumber"/>
      </w:pPr>
      <w:r>
        <w:t>High level of engagement and support from stakeholders</w:t>
      </w:r>
      <w:r w:rsidR="001F6C05">
        <w:t xml:space="preserve"> (</w:t>
      </w:r>
      <w:r w:rsidR="00C83DBA">
        <w:t>e.g.</w:t>
      </w:r>
      <w:r w:rsidR="001F6C05">
        <w:t xml:space="preserve"> over 50 stakeholders at annual forums</w:t>
      </w:r>
      <w:r w:rsidR="009A5B4A">
        <w:t>)</w:t>
      </w:r>
      <w:r>
        <w:t>.</w:t>
      </w:r>
    </w:p>
    <w:p w14:paraId="3215323F" w14:textId="4074D778" w:rsidR="00013AE2" w:rsidRDefault="00013AE2" w:rsidP="00C678D4">
      <w:pPr>
        <w:pStyle w:val="ListNumber"/>
      </w:pPr>
      <w:r>
        <w:t>Improved diagnostic capacity and treatment capability</w:t>
      </w:r>
      <w:r w:rsidR="00971732">
        <w:t xml:space="preserve"> since</w:t>
      </w:r>
      <w:r w:rsidR="0054143D">
        <w:t xml:space="preserve"> the</w:t>
      </w:r>
      <w:r w:rsidR="00971732">
        <w:t xml:space="preserve"> development of the plan</w:t>
      </w:r>
      <w:r>
        <w:t>.</w:t>
      </w:r>
    </w:p>
    <w:p w14:paraId="72355C26" w14:textId="51A5F519" w:rsidR="00013AE2" w:rsidRDefault="00277DB4" w:rsidP="00C678D4">
      <w:pPr>
        <w:pStyle w:val="ListNumber"/>
      </w:pPr>
      <w:r>
        <w:t>Increased</w:t>
      </w:r>
      <w:r w:rsidR="00013AE2">
        <w:t xml:space="preserve"> awareness </w:t>
      </w:r>
      <w:r w:rsidR="001F1952">
        <w:t>among importers, international and domestic shipping providers, Australian industry, governments and the general public</w:t>
      </w:r>
      <w:r w:rsidR="00800564">
        <w:t>,</w:t>
      </w:r>
      <w:r w:rsidR="001F1952" w:rsidDel="00277DB4">
        <w:t xml:space="preserve"> </w:t>
      </w:r>
      <w:r w:rsidR="00013AE2">
        <w:t xml:space="preserve">of the potential risks to Australian industry, the environment and social amenity from </w:t>
      </w:r>
      <w:r w:rsidR="009B5BDD">
        <w:t xml:space="preserve">Khapra </w:t>
      </w:r>
      <w:r w:rsidR="00160C44">
        <w:t>b</w:t>
      </w:r>
      <w:r w:rsidR="009B5BDD">
        <w:t>eetle</w:t>
      </w:r>
      <w:r w:rsidR="00800564">
        <w:t xml:space="preserve"> </w:t>
      </w:r>
      <w:r w:rsidR="0054143D">
        <w:t>since the development of the plan</w:t>
      </w:r>
      <w:r w:rsidR="00013AE2">
        <w:t>.</w:t>
      </w:r>
    </w:p>
    <w:p w14:paraId="041CFFAA" w14:textId="574B1F18" w:rsidR="00013AE2" w:rsidRDefault="00013AE2" w:rsidP="00C678D4">
      <w:pPr>
        <w:pStyle w:val="ListNumber"/>
      </w:pPr>
      <w:r>
        <w:t xml:space="preserve">Number of projects initiated to provide data </w:t>
      </w:r>
      <w:r w:rsidR="00CD5E90">
        <w:t xml:space="preserve">to fill knowledge </w:t>
      </w:r>
      <w:r>
        <w:t>gaps</w:t>
      </w:r>
      <w:r w:rsidR="00800564">
        <w:t>,</w:t>
      </w:r>
      <w:r>
        <w:t xml:space="preserve"> </w:t>
      </w:r>
      <w:r w:rsidRPr="006A22D8">
        <w:t>and</w:t>
      </w:r>
      <w:r>
        <w:t xml:space="preserve"> </w:t>
      </w:r>
      <w:r w:rsidR="00EE19B0">
        <w:t xml:space="preserve">number of projects </w:t>
      </w:r>
      <w:r>
        <w:t>successfully concluded</w:t>
      </w:r>
      <w:r w:rsidR="0054143D">
        <w:t xml:space="preserve"> since the development of the plan</w:t>
      </w:r>
      <w:r>
        <w:t>.</w:t>
      </w:r>
    </w:p>
    <w:p w14:paraId="6788D8EC" w14:textId="32F89DDD" w:rsidR="00013AE2" w:rsidRDefault="00013AE2" w:rsidP="00C678D4">
      <w:pPr>
        <w:pStyle w:val="ListNumber"/>
      </w:pPr>
      <w:r>
        <w:t>High level of confidence in national surveillance and diagnostic capability to provide evidence of Australia’s pest</w:t>
      </w:r>
      <w:r w:rsidR="00EE19B0">
        <w:t>-</w:t>
      </w:r>
      <w:r>
        <w:t xml:space="preserve">free status for </w:t>
      </w:r>
      <w:r w:rsidR="009B5BDD">
        <w:t xml:space="preserve">Khapra </w:t>
      </w:r>
      <w:r w:rsidR="00160C44">
        <w:t>beetle</w:t>
      </w:r>
      <w:r>
        <w:t>.</w:t>
      </w:r>
    </w:p>
    <w:p w14:paraId="49D76693" w14:textId="02CAADA1" w:rsidR="005348AF" w:rsidRDefault="00013AE2" w:rsidP="005348AF">
      <w:pPr>
        <w:pStyle w:val="ListNumber"/>
      </w:pPr>
      <w:r>
        <w:t>High</w:t>
      </w:r>
      <w:r w:rsidR="0054143D">
        <w:t>er</w:t>
      </w:r>
      <w:r>
        <w:t xml:space="preserve"> level of preparation among stakeholders to respond to a border incident or incursion of a </w:t>
      </w:r>
      <w:r w:rsidR="009B5BDD">
        <w:t xml:space="preserve">Khapra </w:t>
      </w:r>
      <w:r w:rsidR="00160C44">
        <w:t>beetle</w:t>
      </w:r>
      <w:r>
        <w:t xml:space="preserve"> pest</w:t>
      </w:r>
      <w:r w:rsidR="0054143D">
        <w:t xml:space="preserve"> since the development of the plan</w:t>
      </w:r>
      <w:r>
        <w:t>.</w:t>
      </w:r>
    </w:p>
    <w:p w14:paraId="2674E1AD" w14:textId="30E6708F" w:rsidR="003E17DC" w:rsidRDefault="00971732" w:rsidP="00013AE2">
      <w:r>
        <w:t xml:space="preserve">Implementation of </w:t>
      </w:r>
      <w:r w:rsidR="00D737E2">
        <w:t>the plan</w:t>
      </w:r>
      <w:r w:rsidR="00106C85">
        <w:t>’</w:t>
      </w:r>
      <w:r w:rsidR="00D737E2">
        <w:t>s a</w:t>
      </w:r>
      <w:r>
        <w:t>ctions</w:t>
      </w:r>
      <w:r w:rsidR="00D737E2">
        <w:t xml:space="preserve"> are shown</w:t>
      </w:r>
      <w:r>
        <w:t xml:space="preserve"> </w:t>
      </w:r>
      <w:r w:rsidR="00106C85">
        <w:t>in</w:t>
      </w:r>
      <w:r>
        <w:t xml:space="preserve"> </w:t>
      </w:r>
      <w:r w:rsidR="00160C44">
        <w:t xml:space="preserve">Table 1 </w:t>
      </w:r>
      <w:r w:rsidRPr="00971732">
        <w:t>(</w:t>
      </w:r>
      <w:r w:rsidR="00106C85">
        <w:t>p</w:t>
      </w:r>
      <w:r w:rsidRPr="00971732">
        <w:t xml:space="preserve">revention), </w:t>
      </w:r>
      <w:r w:rsidR="00160C44">
        <w:t xml:space="preserve">Table 2 </w:t>
      </w:r>
      <w:r w:rsidRPr="00971732">
        <w:t>(</w:t>
      </w:r>
      <w:r w:rsidR="00106C85">
        <w:t>d</w:t>
      </w:r>
      <w:r w:rsidRPr="00971732">
        <w:t xml:space="preserve">etection), </w:t>
      </w:r>
      <w:r w:rsidR="00160C44">
        <w:t xml:space="preserve">Table 3 </w:t>
      </w:r>
      <w:r w:rsidRPr="00971732">
        <w:t>(</w:t>
      </w:r>
      <w:r w:rsidR="00106C85">
        <w:t>r</w:t>
      </w:r>
      <w:r w:rsidRPr="00971732">
        <w:t>esponse)</w:t>
      </w:r>
      <w:r w:rsidR="009D6998" w:rsidRPr="00971732">
        <w:t xml:space="preserve"> </w:t>
      </w:r>
      <w:r>
        <w:t>and</w:t>
      </w:r>
      <w:r w:rsidR="009D6998" w:rsidRPr="00971732">
        <w:t xml:space="preserve"> </w:t>
      </w:r>
      <w:r w:rsidR="00160C44">
        <w:t xml:space="preserve">Table 4 </w:t>
      </w:r>
      <w:r w:rsidRPr="00971732">
        <w:t>(</w:t>
      </w:r>
      <w:r w:rsidR="00106C85">
        <w:t>c</w:t>
      </w:r>
      <w:r w:rsidRPr="00971732">
        <w:t>ross</w:t>
      </w:r>
      <w:r w:rsidR="00106C85">
        <w:t>-</w:t>
      </w:r>
      <w:r>
        <w:t>cutting).</w:t>
      </w:r>
      <w:r w:rsidR="00E77AE3">
        <w:t xml:space="preserve"> </w:t>
      </w:r>
      <w:r w:rsidR="007B0473" w:rsidRPr="007B0473">
        <w:t>Indicative timeframes are short term (up to 3 years), medium term (4 to 8 years) and long term (up to 10 years).</w:t>
      </w:r>
    </w:p>
    <w:p w14:paraId="4DD54A31" w14:textId="77777777" w:rsidR="00AF58F4" w:rsidRDefault="00AF58F4" w:rsidP="00013AE2"/>
    <w:p w14:paraId="3D6F6E81" w14:textId="77777777" w:rsidR="00AF58F4" w:rsidRDefault="00AF58F4" w:rsidP="00013AE2"/>
    <w:p w14:paraId="50FDCC70" w14:textId="77777777" w:rsidR="00AF58F4" w:rsidRDefault="00AF58F4" w:rsidP="00013AE2"/>
    <w:p w14:paraId="6D027EBD" w14:textId="7F751662" w:rsidR="003E17DC" w:rsidRPr="007B0473" w:rsidRDefault="00486EF9" w:rsidP="00E65DE3">
      <w:pPr>
        <w:pStyle w:val="FigureTableNoteSource"/>
        <w:spacing w:before="360" w:after="0" w:line="240" w:lineRule="auto"/>
        <w:contextualSpacing w:val="0"/>
        <w:rPr>
          <w:rStyle w:val="Strong"/>
          <w:rFonts w:asciiTheme="minorHAnsi" w:hAnsiTheme="minorHAnsi"/>
          <w:sz w:val="22"/>
        </w:rPr>
      </w:pPr>
      <w:r>
        <w:rPr>
          <w:rStyle w:val="Strong"/>
        </w:rPr>
        <w:lastRenderedPageBreak/>
        <w:t>Status k</w:t>
      </w:r>
      <w:r w:rsidR="003E17DC" w:rsidRPr="007B0473">
        <w:rPr>
          <w:rStyle w:val="Strong"/>
        </w:rPr>
        <w:t>ey</w:t>
      </w: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7"/>
        <w:gridCol w:w="8780"/>
      </w:tblGrid>
      <w:tr w:rsidR="003E17DC" w:rsidRPr="009C6E83" w14:paraId="5E7EA0A7"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DEF0C2"/>
          </w:tcPr>
          <w:p w14:paraId="13C51126" w14:textId="7B26551B" w:rsidR="003E17DC" w:rsidRPr="009C6E83" w:rsidRDefault="003E17DC" w:rsidP="006E7DE5">
            <w:pPr>
              <w:pStyle w:val="FigureTableNoteSource"/>
              <w:spacing w:before="60" w:after="60" w:line="240" w:lineRule="auto"/>
              <w:contextualSpacing w:val="0"/>
            </w:pPr>
          </w:p>
        </w:tc>
        <w:tc>
          <w:tcPr>
            <w:tcW w:w="4768" w:type="pct"/>
            <w:tcBorders>
              <w:top w:val="nil"/>
              <w:left w:val="single" w:sz="4" w:space="0" w:color="auto"/>
              <w:bottom w:val="nil"/>
            </w:tcBorders>
          </w:tcPr>
          <w:p w14:paraId="0A2F9548" w14:textId="089BF09C" w:rsidR="003E17DC" w:rsidRDefault="003E17DC" w:rsidP="006E7DE5">
            <w:pPr>
              <w:pStyle w:val="FigureTableNoteSource"/>
              <w:spacing w:before="60" w:after="60" w:line="240" w:lineRule="auto"/>
              <w:contextualSpacing w:val="0"/>
              <w:rPr>
                <w:rFonts w:cs="Calibri"/>
                <w:szCs w:val="18"/>
              </w:rPr>
            </w:pPr>
            <w:r>
              <w:t>Completed</w:t>
            </w:r>
            <w:r w:rsidR="00C83DBA">
              <w:t xml:space="preserve"> –</w:t>
            </w:r>
            <w:r>
              <w:t xml:space="preserve"> project finished</w:t>
            </w:r>
          </w:p>
        </w:tc>
      </w:tr>
      <w:tr w:rsidR="003E17DC" w:rsidRPr="009C6E83" w14:paraId="4B275A3D"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FDF4C7"/>
          </w:tcPr>
          <w:p w14:paraId="3AE61B08" w14:textId="616A57A1" w:rsidR="003E17DC" w:rsidRPr="009C6E83" w:rsidRDefault="003E17DC" w:rsidP="006E7DE5">
            <w:pPr>
              <w:pStyle w:val="FigureTableNoteSource"/>
              <w:spacing w:before="60" w:after="60" w:line="240" w:lineRule="auto"/>
              <w:contextualSpacing w:val="0"/>
            </w:pPr>
          </w:p>
        </w:tc>
        <w:tc>
          <w:tcPr>
            <w:tcW w:w="4768" w:type="pct"/>
            <w:tcBorders>
              <w:top w:val="nil"/>
              <w:left w:val="single" w:sz="4" w:space="0" w:color="auto"/>
              <w:bottom w:val="nil"/>
            </w:tcBorders>
          </w:tcPr>
          <w:p w14:paraId="28A7DF1E" w14:textId="1FF89BAA" w:rsidR="003E17DC" w:rsidRPr="009C6E83" w:rsidRDefault="003E17DC" w:rsidP="006E7DE5">
            <w:pPr>
              <w:pStyle w:val="FigureTableNoteSource"/>
              <w:spacing w:before="60" w:after="60" w:line="240" w:lineRule="auto"/>
              <w:contextualSpacing w:val="0"/>
            </w:pPr>
            <w:r>
              <w:rPr>
                <w:rFonts w:cs="Calibri"/>
                <w:szCs w:val="18"/>
              </w:rPr>
              <w:t xml:space="preserve">On track – project commenced </w:t>
            </w:r>
          </w:p>
        </w:tc>
      </w:tr>
      <w:tr w:rsidR="00A23745" w:rsidRPr="009C6E83" w14:paraId="446E6A3C" w14:textId="77777777" w:rsidTr="00787004">
        <w:tc>
          <w:tcPr>
            <w:tcW w:w="23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BDB5EB" w14:textId="5C71A848" w:rsidR="00A23745" w:rsidRPr="009C6E83" w:rsidRDefault="00A23745" w:rsidP="00A23745">
            <w:pPr>
              <w:pStyle w:val="FigureTableNoteSource"/>
              <w:spacing w:before="60" w:after="60" w:line="240" w:lineRule="auto"/>
              <w:contextualSpacing w:val="0"/>
            </w:pPr>
          </w:p>
        </w:tc>
        <w:tc>
          <w:tcPr>
            <w:tcW w:w="4768" w:type="pct"/>
            <w:tcBorders>
              <w:top w:val="nil"/>
              <w:left w:val="single" w:sz="4" w:space="0" w:color="auto"/>
              <w:bottom w:val="nil"/>
            </w:tcBorders>
          </w:tcPr>
          <w:p w14:paraId="6BF8D774" w14:textId="3DA7B44C" w:rsidR="00A23745" w:rsidRPr="009C6E83" w:rsidRDefault="00A23745" w:rsidP="00A23745">
            <w:pPr>
              <w:pStyle w:val="FigureTableNoteSource"/>
              <w:spacing w:before="60" w:after="60" w:line="240" w:lineRule="auto"/>
              <w:contextualSpacing w:val="0"/>
            </w:pPr>
            <w:r>
              <w:rPr>
                <w:rFonts w:cs="Calibri"/>
                <w:szCs w:val="18"/>
              </w:rPr>
              <w:t xml:space="preserve">Ongoing – </w:t>
            </w:r>
            <w:r>
              <w:t>business as usual activity underway</w:t>
            </w:r>
          </w:p>
        </w:tc>
      </w:tr>
      <w:tr w:rsidR="00A23745" w:rsidRPr="009C6E83" w14:paraId="73F93452"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7B950D" w14:textId="77777777" w:rsidR="00A23745" w:rsidRPr="009C6E83" w:rsidRDefault="00A23745" w:rsidP="00A23745">
            <w:pPr>
              <w:pStyle w:val="FigureTableNoteSource"/>
              <w:spacing w:before="60" w:after="60" w:line="240" w:lineRule="auto"/>
              <w:contextualSpacing w:val="0"/>
            </w:pPr>
          </w:p>
        </w:tc>
        <w:tc>
          <w:tcPr>
            <w:tcW w:w="4768" w:type="pct"/>
            <w:tcBorders>
              <w:top w:val="nil"/>
              <w:left w:val="single" w:sz="4" w:space="0" w:color="auto"/>
              <w:bottom w:val="nil"/>
            </w:tcBorders>
          </w:tcPr>
          <w:p w14:paraId="2711E133" w14:textId="221428D0" w:rsidR="00A23745" w:rsidRDefault="00A23745" w:rsidP="00A23745">
            <w:pPr>
              <w:pStyle w:val="FigureTableNoteSource"/>
              <w:spacing w:before="60" w:after="60" w:line="240" w:lineRule="auto"/>
              <w:contextualSpacing w:val="0"/>
              <w:rPr>
                <w:rFonts w:cs="Calibri"/>
                <w:szCs w:val="18"/>
              </w:rPr>
            </w:pPr>
            <w:r>
              <w:rPr>
                <w:rFonts w:cs="Calibri"/>
                <w:szCs w:val="18"/>
              </w:rPr>
              <w:t>Pending –</w:t>
            </w:r>
            <w:r>
              <w:rPr>
                <w:rFonts w:cs="Calibri"/>
                <w:szCs w:val="18"/>
                <w:shd w:val="clear" w:color="auto" w:fill="FFFFFF" w:themeFill="background1"/>
              </w:rPr>
              <w:t xml:space="preserve"> project or activity is yet to</w:t>
            </w:r>
            <w:r w:rsidRPr="00541A6C">
              <w:rPr>
                <w:rFonts w:cs="Calibri"/>
                <w:szCs w:val="18"/>
                <w:shd w:val="clear" w:color="auto" w:fill="FFFFFF" w:themeFill="background1"/>
              </w:rPr>
              <w:t xml:space="preserve"> commence</w:t>
            </w:r>
          </w:p>
        </w:tc>
      </w:tr>
      <w:tr w:rsidR="00A23745" w:rsidRPr="009C6E83" w14:paraId="1E5D2703" w14:textId="77777777" w:rsidTr="00787004">
        <w:tc>
          <w:tcPr>
            <w:tcW w:w="232"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536EDD" w14:textId="77777777" w:rsidR="00A23745" w:rsidRPr="009C6E83" w:rsidRDefault="00A23745" w:rsidP="00A23745">
            <w:pPr>
              <w:pStyle w:val="FigureTableNoteSource"/>
              <w:spacing w:before="60" w:after="60" w:line="240" w:lineRule="auto"/>
              <w:contextualSpacing w:val="0"/>
            </w:pPr>
          </w:p>
        </w:tc>
        <w:tc>
          <w:tcPr>
            <w:tcW w:w="4768" w:type="pct"/>
            <w:tcBorders>
              <w:top w:val="nil"/>
              <w:left w:val="single" w:sz="4" w:space="0" w:color="auto"/>
              <w:bottom w:val="nil"/>
            </w:tcBorders>
          </w:tcPr>
          <w:p w14:paraId="4FD0F53E" w14:textId="7A6E7CEA" w:rsidR="00A23745" w:rsidRDefault="00A23745" w:rsidP="00A23745">
            <w:pPr>
              <w:pStyle w:val="FigureTableNoteSource"/>
              <w:spacing w:before="60" w:after="60" w:line="240" w:lineRule="auto"/>
              <w:contextualSpacing w:val="0"/>
              <w:rPr>
                <w:rFonts w:cs="Calibri"/>
                <w:szCs w:val="18"/>
              </w:rPr>
            </w:pPr>
            <w:r>
              <w:rPr>
                <w:rFonts w:cs="Calibri"/>
                <w:szCs w:val="18"/>
              </w:rPr>
              <w:t>Deleted –</w:t>
            </w:r>
            <w:r w:rsidRPr="00262C0E">
              <w:rPr>
                <w:rFonts w:cs="Calibri"/>
                <w:szCs w:val="18"/>
              </w:rPr>
              <w:t xml:space="preserve"> </w:t>
            </w:r>
            <w:r>
              <w:rPr>
                <w:rFonts w:cs="Calibri"/>
                <w:szCs w:val="18"/>
              </w:rPr>
              <w:t>project has been deleted or incorporated into another project</w:t>
            </w:r>
          </w:p>
        </w:tc>
      </w:tr>
    </w:tbl>
    <w:p w14:paraId="581DBF3C" w14:textId="6674B5F2" w:rsidR="003E17DC" w:rsidRDefault="003E17DC" w:rsidP="00013AE2">
      <w:pPr>
        <w:sectPr w:rsidR="003E17DC" w:rsidSect="00E65DE3">
          <w:headerReference w:type="even" r:id="rId13"/>
          <w:headerReference w:type="default" r:id="rId14"/>
          <w:footerReference w:type="even" r:id="rId15"/>
          <w:footerReference w:type="default" r:id="rId16"/>
          <w:headerReference w:type="first" r:id="rId17"/>
          <w:footerReference w:type="first" r:id="rId18"/>
          <w:pgSz w:w="11906" w:h="16838"/>
          <w:pgMar w:top="567" w:right="1276" w:bottom="567" w:left="1418" w:header="567" w:footer="284" w:gutter="0"/>
          <w:cols w:space="708"/>
          <w:titlePg/>
          <w:docGrid w:linePitch="360"/>
        </w:sectPr>
      </w:pPr>
    </w:p>
    <w:p w14:paraId="7BB70EEE" w14:textId="488D3D10" w:rsidR="004A246C" w:rsidRPr="00E53CDE" w:rsidRDefault="00483FFB" w:rsidP="00106C85">
      <w:pPr>
        <w:pStyle w:val="Caption"/>
      </w:pPr>
      <w:hyperlink w:anchor="Table_1_Action_area_1_Prevention" w:history="1">
        <w:r w:rsidR="00106C85">
          <w:t xml:space="preserve">Table </w:t>
        </w:r>
        <w:r w:rsidR="00C842D9">
          <w:fldChar w:fldCharType="begin"/>
        </w:r>
        <w:r w:rsidR="00C842D9">
          <w:instrText xml:space="preserve"> SEQ Table \* ARABIC </w:instrText>
        </w:r>
        <w:r w:rsidR="00C842D9">
          <w:fldChar w:fldCharType="separate"/>
        </w:r>
        <w:r w:rsidR="00CC4B1A">
          <w:rPr>
            <w:noProof/>
          </w:rPr>
          <w:t>1</w:t>
        </w:r>
        <w:r w:rsidR="00C842D9">
          <w:rPr>
            <w:noProof/>
          </w:rPr>
          <w:fldChar w:fldCharType="end"/>
        </w:r>
        <w:r w:rsidR="00106C85">
          <w:t xml:space="preserve"> </w:t>
        </w:r>
        <w:r w:rsidR="00106B8A" w:rsidRPr="002E7ED9">
          <w:rPr>
            <w:rStyle w:val="Hyperlink"/>
            <w:color w:val="000000"/>
            <w:u w:val="none"/>
          </w:rPr>
          <w:t>Im</w:t>
        </w:r>
        <w:bookmarkStart w:id="1" w:name="Title_Glossary"/>
        <w:bookmarkEnd w:id="1"/>
        <w:r w:rsidR="00106B8A" w:rsidRPr="002E7ED9">
          <w:rPr>
            <w:rStyle w:val="Hyperlink"/>
            <w:color w:val="000000"/>
            <w:u w:val="none"/>
          </w:rPr>
          <w:t xml:space="preserve">plementation of activities for </w:t>
        </w:r>
        <w:r w:rsidR="00004733">
          <w:rPr>
            <w:rStyle w:val="Hyperlink"/>
            <w:color w:val="000000"/>
            <w:u w:val="none"/>
          </w:rPr>
          <w:t>A</w:t>
        </w:r>
        <w:r w:rsidR="00EF42AE" w:rsidRPr="002E7ED9">
          <w:rPr>
            <w:rStyle w:val="Hyperlink"/>
            <w:color w:val="000000"/>
            <w:u w:val="none"/>
          </w:rPr>
          <w:t>rea 1: Prevention</w:t>
        </w:r>
      </w:hyperlink>
    </w:p>
    <w:tbl>
      <w:tblPr>
        <w:tblW w:w="4963" w:type="pct"/>
        <w:tblBorders>
          <w:top w:val="single" w:sz="4" w:space="0" w:color="auto"/>
          <w:bottom w:val="single" w:sz="4" w:space="0" w:color="auto"/>
          <w:insideH w:val="single" w:sz="4" w:space="0" w:color="auto"/>
        </w:tblBorders>
        <w:tblLook w:val="0000" w:firstRow="0" w:lastRow="0" w:firstColumn="0" w:lastColumn="0" w:noHBand="0" w:noVBand="0"/>
      </w:tblPr>
      <w:tblGrid>
        <w:gridCol w:w="2747"/>
        <w:gridCol w:w="2747"/>
        <w:gridCol w:w="2744"/>
        <w:gridCol w:w="1385"/>
        <w:gridCol w:w="1832"/>
        <w:gridCol w:w="2443"/>
      </w:tblGrid>
      <w:tr w:rsidR="006B0F11" w:rsidRPr="00F81ECF" w14:paraId="68399EC7" w14:textId="77777777" w:rsidTr="00D8091A">
        <w:trPr>
          <w:tblHeader/>
        </w:trPr>
        <w:tc>
          <w:tcPr>
            <w:tcW w:w="988" w:type="pct"/>
            <w:tcMar>
              <w:bottom w:w="28" w:type="dxa"/>
            </w:tcMar>
          </w:tcPr>
          <w:p w14:paraId="0C4975AA" w14:textId="2B17D35B" w:rsidR="00A8715D" w:rsidRPr="00A8715D" w:rsidRDefault="00A8715D" w:rsidP="00F81ECF">
            <w:pPr>
              <w:pStyle w:val="TableHeading"/>
            </w:pPr>
            <w:bookmarkStart w:id="2" w:name="_Hlk131514123"/>
            <w:r>
              <w:t>Action</w:t>
            </w:r>
          </w:p>
        </w:tc>
        <w:tc>
          <w:tcPr>
            <w:tcW w:w="988" w:type="pct"/>
            <w:tcMar>
              <w:left w:w="108" w:type="dxa"/>
              <w:bottom w:w="28" w:type="dxa"/>
              <w:right w:w="108" w:type="dxa"/>
            </w:tcMar>
          </w:tcPr>
          <w:p w14:paraId="213A2539" w14:textId="29F2FEFF" w:rsidR="00A8715D" w:rsidRPr="007B0473" w:rsidRDefault="00A8715D" w:rsidP="00F81ECF">
            <w:pPr>
              <w:pStyle w:val="TableHeading"/>
            </w:pPr>
            <w:r w:rsidRPr="007B0473">
              <w:t xml:space="preserve">Project or </w:t>
            </w:r>
            <w:r w:rsidR="0099743D">
              <w:t>b</w:t>
            </w:r>
            <w:r w:rsidR="006F5A0E">
              <w:t>usiness as usual</w:t>
            </w:r>
            <w:r w:rsidRPr="007B0473">
              <w:t xml:space="preserve"> activity</w:t>
            </w:r>
          </w:p>
        </w:tc>
        <w:tc>
          <w:tcPr>
            <w:tcW w:w="987" w:type="pct"/>
            <w:tcMar>
              <w:left w:w="108" w:type="dxa"/>
              <w:bottom w:w="28" w:type="dxa"/>
              <w:right w:w="108" w:type="dxa"/>
            </w:tcMar>
          </w:tcPr>
          <w:p w14:paraId="4EB2B2C7" w14:textId="5A616346" w:rsidR="00A8715D" w:rsidRPr="007B0473" w:rsidRDefault="00A8715D" w:rsidP="00F81ECF">
            <w:pPr>
              <w:pStyle w:val="TableHeading"/>
            </w:pPr>
            <w:r w:rsidRPr="007B0473">
              <w:t xml:space="preserve">Status </w:t>
            </w:r>
          </w:p>
        </w:tc>
        <w:tc>
          <w:tcPr>
            <w:tcW w:w="498" w:type="pct"/>
            <w:tcMar>
              <w:left w:w="108" w:type="dxa"/>
              <w:bottom w:w="28" w:type="dxa"/>
              <w:right w:w="108" w:type="dxa"/>
            </w:tcMar>
          </w:tcPr>
          <w:p w14:paraId="3881698A" w14:textId="02707BF9" w:rsidR="00A8715D" w:rsidRPr="007B0473" w:rsidRDefault="00A8715D" w:rsidP="00F81ECF">
            <w:pPr>
              <w:pStyle w:val="TableHeading"/>
            </w:pPr>
            <w:r w:rsidRPr="007B0473">
              <w:t>Lead organisation</w:t>
            </w:r>
          </w:p>
        </w:tc>
        <w:tc>
          <w:tcPr>
            <w:tcW w:w="659" w:type="pct"/>
            <w:tcMar>
              <w:left w:w="108" w:type="dxa"/>
              <w:bottom w:w="28" w:type="dxa"/>
              <w:right w:w="108" w:type="dxa"/>
            </w:tcMar>
          </w:tcPr>
          <w:p w14:paraId="57BAA687" w14:textId="3050AFF0" w:rsidR="00A8715D" w:rsidRPr="007B0473" w:rsidRDefault="00A8715D" w:rsidP="00F81ECF">
            <w:pPr>
              <w:pStyle w:val="TableHeading"/>
            </w:pPr>
            <w:r w:rsidRPr="007B0473">
              <w:t>Contributors (financial and in-kind)</w:t>
            </w:r>
          </w:p>
        </w:tc>
        <w:tc>
          <w:tcPr>
            <w:tcW w:w="879" w:type="pct"/>
            <w:tcMar>
              <w:left w:w="108" w:type="dxa"/>
              <w:bottom w:w="28" w:type="dxa"/>
              <w:right w:w="108" w:type="dxa"/>
            </w:tcMar>
          </w:tcPr>
          <w:p w14:paraId="2E936941" w14:textId="1A0640F9" w:rsidR="00A8715D" w:rsidRPr="007B0473" w:rsidRDefault="00A8715D" w:rsidP="00F81ECF">
            <w:pPr>
              <w:pStyle w:val="TableHeading"/>
            </w:pPr>
            <w:r w:rsidRPr="007B0473">
              <w:t>Dependencies</w:t>
            </w:r>
          </w:p>
        </w:tc>
      </w:tr>
      <w:tr w:rsidR="00E32BB6" w:rsidRPr="00013AE2" w14:paraId="2B5F390C" w14:textId="77777777" w:rsidTr="00D8091A">
        <w:tc>
          <w:tcPr>
            <w:tcW w:w="988" w:type="pct"/>
            <w:vMerge w:val="restart"/>
            <w:tcMar>
              <w:bottom w:w="28" w:type="dxa"/>
            </w:tcMar>
          </w:tcPr>
          <w:p w14:paraId="3B030B64" w14:textId="24FAF373" w:rsidR="00E32BB6" w:rsidRPr="00AF3D1F" w:rsidRDefault="00E32BB6" w:rsidP="009D6998">
            <w:pPr>
              <w:pStyle w:val="TableText"/>
            </w:pPr>
            <w:r w:rsidRPr="00AF3D1F">
              <w:rPr>
                <w:rStyle w:val="Strong"/>
              </w:rPr>
              <w:t>Action 1.1:</w:t>
            </w:r>
            <w:r>
              <w:rPr>
                <w:rStyle w:val="Strong"/>
              </w:rPr>
              <w:t xml:space="preserve"> </w:t>
            </w:r>
            <w:r w:rsidRPr="002B7CB2">
              <w:t xml:space="preserve">Conduct a new pest risk assessment of </w:t>
            </w:r>
            <w:r w:rsidR="00CC54FF" w:rsidRPr="002B7CB2">
              <w:t xml:space="preserve">Khapra </w:t>
            </w:r>
            <w:r w:rsidRPr="002B7CB2">
              <w:t>beetle and maintain appropriate regulation at the Australian border to minimise the risk of introduction into Australia</w:t>
            </w:r>
            <w:r>
              <w:t>.</w:t>
            </w:r>
          </w:p>
          <w:p w14:paraId="5D9C59A1" w14:textId="4592D47E" w:rsidR="00E32BB6" w:rsidRDefault="00E32BB6" w:rsidP="009D6998">
            <w:pPr>
              <w:pStyle w:val="TableText"/>
              <w:rPr>
                <w:rStyle w:val="Strong"/>
              </w:rPr>
            </w:pPr>
            <w:r w:rsidRPr="009D6998">
              <w:rPr>
                <w:rStyle w:val="Strong"/>
              </w:rPr>
              <w:t>Expected benefit and outcome</w:t>
            </w:r>
            <w:r>
              <w:rPr>
                <w:rStyle w:val="Strong"/>
              </w:rPr>
              <w:t>:</w:t>
            </w:r>
            <w:r>
              <w:t xml:space="preserve"> </w:t>
            </w:r>
            <w:r w:rsidRPr="002B7CB2">
              <w:rPr>
                <w:rStyle w:val="Strong"/>
                <w:b w:val="0"/>
                <w:bCs w:val="0"/>
              </w:rPr>
              <w:t>A pest risk assessment is being conducted to support emergency measures. New information on geographical distribution and host range will be taken into consideration as it becomes available and import conditions will be revised as appropriate.</w:t>
            </w:r>
            <w:r>
              <w:rPr>
                <w:rStyle w:val="Strong"/>
              </w:rPr>
              <w:t xml:space="preserve"> </w:t>
            </w:r>
          </w:p>
          <w:p w14:paraId="2CEECE86" w14:textId="594513A5" w:rsidR="00E32BB6" w:rsidRPr="002B7CB2" w:rsidRDefault="00E32BB6" w:rsidP="009D6998">
            <w:pPr>
              <w:pStyle w:val="TableText"/>
              <w:rPr>
                <w:rFonts w:cstheme="minorHAnsi"/>
                <w:bCs/>
                <w:szCs w:val="18"/>
              </w:rPr>
            </w:pPr>
            <w:r w:rsidRPr="002B7CB2">
              <w:rPr>
                <w:rFonts w:cstheme="minorHAnsi"/>
                <w:bCs/>
                <w:szCs w:val="18"/>
              </w:rPr>
              <w:t>Maintain appropriate regulation at the Australian border to minimise the risk of introduction into Australia.</w:t>
            </w:r>
          </w:p>
          <w:p w14:paraId="4A0F8B44" w14:textId="1AB03CB6" w:rsidR="00E32BB6" w:rsidRPr="002B7CB2" w:rsidRDefault="00E32BB6" w:rsidP="009D6998">
            <w:pPr>
              <w:pStyle w:val="TableText"/>
              <w:rPr>
                <w:rFonts w:cstheme="minorHAnsi"/>
                <w:szCs w:val="18"/>
              </w:rPr>
            </w:pPr>
            <w:r w:rsidRPr="002B7CB2">
              <w:rPr>
                <w:rFonts w:cstheme="minorHAnsi"/>
                <w:bCs/>
                <w:szCs w:val="18"/>
              </w:rPr>
              <w:t xml:space="preserve">Urgent actions on a range of plant products that are hosts of </w:t>
            </w:r>
            <w:r w:rsidR="00CC54FF" w:rsidRPr="002B7CB2">
              <w:rPr>
                <w:rFonts w:cstheme="minorHAnsi"/>
                <w:bCs/>
                <w:szCs w:val="18"/>
              </w:rPr>
              <w:t xml:space="preserve">Khapra </w:t>
            </w:r>
            <w:r w:rsidRPr="002B7CB2">
              <w:rPr>
                <w:rFonts w:cstheme="minorHAnsi"/>
                <w:bCs/>
                <w:szCs w:val="18"/>
              </w:rPr>
              <w:t>beetle.</w:t>
            </w:r>
          </w:p>
          <w:p w14:paraId="4D372BDB" w14:textId="5816D9D8" w:rsidR="00E32BB6" w:rsidRPr="00AA2A13" w:rsidRDefault="00E32BB6" w:rsidP="009D6998">
            <w:pPr>
              <w:pStyle w:val="TableText"/>
            </w:pPr>
            <w:r w:rsidRPr="009D6998">
              <w:rPr>
                <w:rStyle w:val="Strong"/>
              </w:rPr>
              <w:t>Priority</w:t>
            </w:r>
            <w:r>
              <w:rPr>
                <w:rStyle w:val="Strong"/>
              </w:rPr>
              <w:t xml:space="preserve">: </w:t>
            </w:r>
            <w:r w:rsidRPr="00AF7C14">
              <w:rPr>
                <w:rStyle w:val="Strong"/>
                <w:b w:val="0"/>
                <w:bCs w:val="0"/>
              </w:rPr>
              <w:t>high</w:t>
            </w:r>
          </w:p>
          <w:p w14:paraId="5D363F58" w14:textId="2F536E56" w:rsidR="00E32BB6" w:rsidRPr="00EA74C1" w:rsidRDefault="00E32BB6" w:rsidP="00AF3D1F">
            <w:pPr>
              <w:pStyle w:val="TableText"/>
            </w:pPr>
            <w:r w:rsidRPr="009D6998">
              <w:rPr>
                <w:rStyle w:val="Strong"/>
              </w:rPr>
              <w:t>Time frame</w:t>
            </w:r>
            <w:r>
              <w:rPr>
                <w:rStyle w:val="Strong"/>
              </w:rPr>
              <w:t xml:space="preserve">: </w:t>
            </w:r>
            <w:r w:rsidRPr="00AF7C14">
              <w:rPr>
                <w:rStyle w:val="Strong"/>
                <w:b w:val="0"/>
                <w:bCs w:val="0"/>
              </w:rPr>
              <w:t>short</w:t>
            </w:r>
            <w:r w:rsidRPr="00AF7C14">
              <w:rPr>
                <w:b/>
                <w:bCs/>
              </w:rPr>
              <w:t xml:space="preserve"> </w:t>
            </w:r>
            <w:r w:rsidRPr="00AA2A13">
              <w:t>term</w:t>
            </w:r>
          </w:p>
        </w:tc>
        <w:tc>
          <w:tcPr>
            <w:tcW w:w="988" w:type="pct"/>
            <w:tcMar>
              <w:left w:w="108" w:type="dxa"/>
              <w:bottom w:w="28" w:type="dxa"/>
              <w:right w:w="108" w:type="dxa"/>
            </w:tcMar>
          </w:tcPr>
          <w:p w14:paraId="4FA5D203" w14:textId="4502A54F" w:rsidR="00E32BB6" w:rsidRPr="00EA74C1" w:rsidRDefault="00E32BB6" w:rsidP="00CF400B">
            <w:pPr>
              <w:pStyle w:val="TableText"/>
              <w:tabs>
                <w:tab w:val="left" w:pos="464"/>
              </w:tabs>
            </w:pPr>
            <w:r>
              <w:t xml:space="preserve">1.1.1 Draft pest risk assessment </w:t>
            </w:r>
          </w:p>
        </w:tc>
        <w:tc>
          <w:tcPr>
            <w:tcW w:w="987" w:type="pct"/>
            <w:shd w:val="clear" w:color="auto" w:fill="FDF4C7"/>
            <w:tcMar>
              <w:left w:w="108" w:type="dxa"/>
              <w:bottom w:w="28" w:type="dxa"/>
              <w:right w:w="108" w:type="dxa"/>
            </w:tcMar>
          </w:tcPr>
          <w:p w14:paraId="29821105" w14:textId="118C9661" w:rsidR="00E32BB6" w:rsidRDefault="00E32BB6" w:rsidP="00CF400B">
            <w:pPr>
              <w:pStyle w:val="TableText"/>
            </w:pPr>
            <w:r>
              <w:t>On track – project commenced</w:t>
            </w:r>
          </w:p>
          <w:p w14:paraId="297DB791" w14:textId="797CA283" w:rsidR="00F40128" w:rsidRDefault="00E32BB6" w:rsidP="00160C44">
            <w:pPr>
              <w:pStyle w:val="TableText"/>
            </w:pPr>
            <w:r>
              <w:t xml:space="preserve">The draft </w:t>
            </w:r>
            <w:r w:rsidR="005E4FF0">
              <w:t xml:space="preserve">pest risk assessment </w:t>
            </w:r>
            <w:r>
              <w:t>is under preparation</w:t>
            </w:r>
            <w:r w:rsidR="005D3460">
              <w:t xml:space="preserve"> with consultation expected in 2024</w:t>
            </w:r>
          </w:p>
          <w:p w14:paraId="27769CA0" w14:textId="358C8382" w:rsidR="00F40128" w:rsidRPr="002B7CB2" w:rsidRDefault="00483FFB" w:rsidP="00CF400B">
            <w:pPr>
              <w:pStyle w:val="TableText"/>
            </w:pPr>
            <w:hyperlink r:id="rId19" w:history="1">
              <w:r w:rsidR="00B048FB">
                <w:rPr>
                  <w:rStyle w:val="Hyperlink"/>
                </w:rPr>
                <w:t>Khapra beetle pest risk analysis - DAFF (agriculture.gov.au)</w:t>
              </w:r>
            </w:hyperlink>
          </w:p>
        </w:tc>
        <w:tc>
          <w:tcPr>
            <w:tcW w:w="498" w:type="pct"/>
            <w:tcMar>
              <w:left w:w="108" w:type="dxa"/>
              <w:bottom w:w="28" w:type="dxa"/>
              <w:right w:w="108" w:type="dxa"/>
            </w:tcMar>
          </w:tcPr>
          <w:p w14:paraId="0C63704F" w14:textId="56B1D781" w:rsidR="00E32BB6" w:rsidRPr="00D218F7" w:rsidRDefault="00E32BB6" w:rsidP="00CF400B">
            <w:pPr>
              <w:pStyle w:val="TableText"/>
            </w:pPr>
            <w:r>
              <w:t>Commonwealth (BPSSD, PSARA)</w:t>
            </w:r>
          </w:p>
        </w:tc>
        <w:tc>
          <w:tcPr>
            <w:tcW w:w="659" w:type="pct"/>
            <w:tcMar>
              <w:left w:w="108" w:type="dxa"/>
              <w:bottom w:w="28" w:type="dxa"/>
              <w:right w:w="108" w:type="dxa"/>
            </w:tcMar>
          </w:tcPr>
          <w:p w14:paraId="5DD8336E" w14:textId="445470B2" w:rsidR="00E32BB6" w:rsidRPr="000407B5" w:rsidRDefault="00E32BB6" w:rsidP="00CF400B">
            <w:pPr>
              <w:pStyle w:val="TableText"/>
            </w:pPr>
            <w:r>
              <w:t xml:space="preserve"> Commonwealth </w:t>
            </w:r>
          </w:p>
        </w:tc>
        <w:tc>
          <w:tcPr>
            <w:tcW w:w="879" w:type="pct"/>
            <w:tcMar>
              <w:left w:w="108" w:type="dxa"/>
              <w:bottom w:w="28" w:type="dxa"/>
              <w:right w:w="108" w:type="dxa"/>
            </w:tcMar>
          </w:tcPr>
          <w:p w14:paraId="125E54AF" w14:textId="3D8C137B" w:rsidR="00E32BB6" w:rsidRDefault="00E32BB6" w:rsidP="007B3DE2">
            <w:pPr>
              <w:pStyle w:val="TableText"/>
            </w:pPr>
            <w:r w:rsidRPr="004872DA">
              <w:t>Supports many other action</w:t>
            </w:r>
            <w:r>
              <w:t xml:space="preserve"> areas,</w:t>
            </w:r>
            <w:r w:rsidRPr="004872DA">
              <w:t xml:space="preserve"> including </w:t>
            </w:r>
            <w:r>
              <w:t xml:space="preserve">action </w:t>
            </w:r>
            <w:r w:rsidRPr="004872DA">
              <w:t>1.2, 1.4, 3.1, 3.2, 3.4</w:t>
            </w:r>
          </w:p>
          <w:p w14:paraId="68922913" w14:textId="4B118ADA" w:rsidR="00E32BB6" w:rsidRDefault="00E32BB6" w:rsidP="007B3DE2">
            <w:pPr>
              <w:pStyle w:val="TableText"/>
            </w:pPr>
            <w:r>
              <w:t xml:space="preserve">Supports: </w:t>
            </w:r>
          </w:p>
          <w:p w14:paraId="7B08B2A5" w14:textId="41D430A6" w:rsidR="00E32BB6" w:rsidRDefault="00E32BB6" w:rsidP="00C26A78">
            <w:pPr>
              <w:pStyle w:val="TableBullet1"/>
            </w:pPr>
            <w:r>
              <w:t>National Invasive Ant Biosecurity Plan action 1.1</w:t>
            </w:r>
          </w:p>
          <w:p w14:paraId="4A39EDA9" w14:textId="045B176A" w:rsidR="00E32BB6" w:rsidRPr="00C22748" w:rsidRDefault="00E32BB6" w:rsidP="002A124F">
            <w:pPr>
              <w:pStyle w:val="TableBullet1"/>
            </w:pPr>
            <w:r>
              <w:t>National Hitchhiker (Contaminating) Plant Pest Action Plan action 1.1</w:t>
            </w:r>
          </w:p>
        </w:tc>
      </w:tr>
      <w:tr w:rsidR="00E32BB6" w:rsidRPr="00013AE2" w14:paraId="27D8F90F" w14:textId="77777777" w:rsidTr="00787004">
        <w:tc>
          <w:tcPr>
            <w:tcW w:w="988" w:type="pct"/>
            <w:vMerge/>
            <w:tcMar>
              <w:bottom w:w="28" w:type="dxa"/>
            </w:tcMar>
          </w:tcPr>
          <w:p w14:paraId="0D5F5AE5" w14:textId="77777777" w:rsidR="00E32BB6" w:rsidRPr="00EA74C1" w:rsidRDefault="00E32BB6" w:rsidP="00F541C2">
            <w:pPr>
              <w:pStyle w:val="TableText"/>
              <w:tabs>
                <w:tab w:val="left" w:pos="464"/>
              </w:tabs>
            </w:pPr>
          </w:p>
        </w:tc>
        <w:tc>
          <w:tcPr>
            <w:tcW w:w="988" w:type="pct"/>
            <w:tcMar>
              <w:left w:w="108" w:type="dxa"/>
              <w:bottom w:w="28" w:type="dxa"/>
              <w:right w:w="108" w:type="dxa"/>
            </w:tcMar>
          </w:tcPr>
          <w:p w14:paraId="52B28BCA" w14:textId="3D738515" w:rsidR="00E32BB6" w:rsidRPr="00013AE2" w:rsidRDefault="00E32BB6" w:rsidP="00F541C2">
            <w:pPr>
              <w:pStyle w:val="TableText"/>
              <w:tabs>
                <w:tab w:val="left" w:pos="464"/>
              </w:tabs>
            </w:pPr>
            <w:r>
              <w:t xml:space="preserve">1.1.2 </w:t>
            </w:r>
            <w:r w:rsidR="000D40A1" w:rsidRPr="002B7CB2">
              <w:rPr>
                <w:rFonts w:cstheme="minorHAnsi"/>
                <w:bCs/>
                <w:szCs w:val="18"/>
              </w:rPr>
              <w:t>Maintain appropriate regulation at the Australian border</w:t>
            </w:r>
          </w:p>
        </w:tc>
        <w:tc>
          <w:tcPr>
            <w:tcW w:w="987" w:type="pct"/>
            <w:shd w:val="clear" w:color="auto" w:fill="C6D9F1" w:themeFill="text2" w:themeFillTint="33"/>
            <w:tcMar>
              <w:left w:w="108" w:type="dxa"/>
              <w:bottom w:w="28" w:type="dxa"/>
              <w:right w:w="108" w:type="dxa"/>
            </w:tcMar>
          </w:tcPr>
          <w:p w14:paraId="26A9A9C3" w14:textId="0EBB112C" w:rsidR="00E32BB6" w:rsidRPr="002B7CB2" w:rsidRDefault="00E32BB6" w:rsidP="00F541C2">
            <w:pPr>
              <w:pStyle w:val="TableText"/>
            </w:pPr>
            <w:r>
              <w:t xml:space="preserve">Ongoing – business as usual </w:t>
            </w:r>
          </w:p>
        </w:tc>
        <w:tc>
          <w:tcPr>
            <w:tcW w:w="498" w:type="pct"/>
            <w:tcMar>
              <w:left w:w="108" w:type="dxa"/>
              <w:bottom w:w="28" w:type="dxa"/>
              <w:right w:w="108" w:type="dxa"/>
            </w:tcMar>
          </w:tcPr>
          <w:p w14:paraId="55E26E76" w14:textId="2A5B4B11" w:rsidR="00E32BB6" w:rsidRPr="00013AE2" w:rsidRDefault="00E32BB6" w:rsidP="00F541C2">
            <w:pPr>
              <w:pStyle w:val="TableText"/>
            </w:pPr>
            <w:r>
              <w:t>Commonwealth (CED)</w:t>
            </w:r>
          </w:p>
        </w:tc>
        <w:tc>
          <w:tcPr>
            <w:tcW w:w="659" w:type="pct"/>
            <w:tcMar>
              <w:left w:w="108" w:type="dxa"/>
              <w:bottom w:w="28" w:type="dxa"/>
              <w:right w:w="108" w:type="dxa"/>
            </w:tcMar>
          </w:tcPr>
          <w:p w14:paraId="6AB48FCA" w14:textId="5AFFE246" w:rsidR="00E32BB6" w:rsidRPr="00013AE2" w:rsidRDefault="00E32BB6" w:rsidP="00F541C2">
            <w:pPr>
              <w:pStyle w:val="TableText"/>
            </w:pPr>
            <w:r>
              <w:t xml:space="preserve"> Commonwealth </w:t>
            </w:r>
          </w:p>
        </w:tc>
        <w:tc>
          <w:tcPr>
            <w:tcW w:w="879" w:type="pct"/>
            <w:tcMar>
              <w:left w:w="108" w:type="dxa"/>
              <w:bottom w:w="28" w:type="dxa"/>
              <w:right w:w="108" w:type="dxa"/>
            </w:tcMar>
          </w:tcPr>
          <w:p w14:paraId="2BFD19F1" w14:textId="359DFF72" w:rsidR="00E32BB6" w:rsidRPr="00013AE2" w:rsidRDefault="00E32BB6" w:rsidP="00F541C2">
            <w:pPr>
              <w:pStyle w:val="TableText"/>
            </w:pPr>
            <w:r w:rsidRPr="004872DA">
              <w:t>Supports many other action</w:t>
            </w:r>
            <w:r>
              <w:t xml:space="preserve"> areas,</w:t>
            </w:r>
            <w:r w:rsidRPr="004872DA">
              <w:t xml:space="preserve"> including </w:t>
            </w:r>
            <w:r>
              <w:t xml:space="preserve">action </w:t>
            </w:r>
            <w:r w:rsidRPr="004872DA">
              <w:t>1.2, 1.4, 3.1, 3.2, 3.4</w:t>
            </w:r>
          </w:p>
        </w:tc>
      </w:tr>
      <w:tr w:rsidR="00E32BB6" w:rsidRPr="00013AE2" w14:paraId="5BADAA17" w14:textId="77777777" w:rsidTr="00D8091A">
        <w:tc>
          <w:tcPr>
            <w:tcW w:w="988" w:type="pct"/>
            <w:vMerge/>
            <w:tcMar>
              <w:bottom w:w="28" w:type="dxa"/>
            </w:tcMar>
          </w:tcPr>
          <w:p w14:paraId="7F1D2711" w14:textId="77777777" w:rsidR="00E32BB6" w:rsidRPr="00EA74C1" w:rsidRDefault="00E32BB6" w:rsidP="00F541C2">
            <w:pPr>
              <w:pStyle w:val="TableText"/>
              <w:tabs>
                <w:tab w:val="left" w:pos="464"/>
              </w:tabs>
            </w:pPr>
          </w:p>
        </w:tc>
        <w:tc>
          <w:tcPr>
            <w:tcW w:w="988" w:type="pct"/>
            <w:tcMar>
              <w:left w:w="108" w:type="dxa"/>
              <w:bottom w:w="28" w:type="dxa"/>
              <w:right w:w="108" w:type="dxa"/>
            </w:tcMar>
          </w:tcPr>
          <w:p w14:paraId="49D78B5E" w14:textId="13C55C76" w:rsidR="00E32BB6" w:rsidRPr="00013AE2" w:rsidRDefault="00E32BB6" w:rsidP="00F541C2">
            <w:pPr>
              <w:pStyle w:val="TableText"/>
              <w:tabs>
                <w:tab w:val="left" w:pos="464"/>
              </w:tabs>
            </w:pPr>
            <w:r>
              <w:t xml:space="preserve">1.1.3 </w:t>
            </w:r>
            <w:r w:rsidRPr="007455DE">
              <w:t xml:space="preserve">Urgent actions to protect against </w:t>
            </w:r>
            <w:r w:rsidR="00CC54FF" w:rsidRPr="007455DE">
              <w:t xml:space="preserve">Khapra </w:t>
            </w:r>
            <w:r w:rsidRPr="007455DE">
              <w:t>beetle</w:t>
            </w:r>
          </w:p>
        </w:tc>
        <w:tc>
          <w:tcPr>
            <w:tcW w:w="987" w:type="pct"/>
            <w:shd w:val="clear" w:color="auto" w:fill="DEF0C2"/>
            <w:tcMar>
              <w:left w:w="108" w:type="dxa"/>
              <w:bottom w:w="28" w:type="dxa"/>
              <w:right w:w="108" w:type="dxa"/>
            </w:tcMar>
          </w:tcPr>
          <w:p w14:paraId="14925AB0" w14:textId="1578C894" w:rsidR="00E32BB6" w:rsidRDefault="00E32BB6" w:rsidP="00F541C2">
            <w:pPr>
              <w:pStyle w:val="TableText"/>
            </w:pPr>
            <w:r>
              <w:t xml:space="preserve">Completed – project finished </w:t>
            </w:r>
          </w:p>
          <w:p w14:paraId="6D0A6399" w14:textId="2F2CCA74" w:rsidR="00803701" w:rsidRPr="00382023" w:rsidRDefault="00483FFB" w:rsidP="00A04D4A">
            <w:pPr>
              <w:pStyle w:val="TableText"/>
              <w:rPr>
                <w:color w:val="165788"/>
                <w:u w:val="single"/>
              </w:rPr>
            </w:pPr>
            <w:hyperlink r:id="rId20" w:history="1">
              <w:r w:rsidR="00803701">
                <w:rPr>
                  <w:rStyle w:val="Hyperlink"/>
                </w:rPr>
                <w:t>Measures for plant products under the khapra beetle urgent actions - DAFF (agriculture.gov.au)</w:t>
              </w:r>
            </w:hyperlink>
          </w:p>
        </w:tc>
        <w:tc>
          <w:tcPr>
            <w:tcW w:w="498" w:type="pct"/>
            <w:tcMar>
              <w:left w:w="108" w:type="dxa"/>
              <w:bottom w:w="28" w:type="dxa"/>
              <w:right w:w="108" w:type="dxa"/>
            </w:tcMar>
          </w:tcPr>
          <w:p w14:paraId="429BC53D" w14:textId="55B38199" w:rsidR="00E32BB6" w:rsidRPr="00013AE2" w:rsidRDefault="00E32BB6" w:rsidP="00F541C2">
            <w:pPr>
              <w:pStyle w:val="TableText"/>
            </w:pPr>
            <w:r>
              <w:t xml:space="preserve">Commonwealth (BPSSD, </w:t>
            </w:r>
            <w:r w:rsidR="002D174C">
              <w:t>HHWG</w:t>
            </w:r>
            <w:r>
              <w:t>)</w:t>
            </w:r>
          </w:p>
        </w:tc>
        <w:tc>
          <w:tcPr>
            <w:tcW w:w="659" w:type="pct"/>
            <w:tcMar>
              <w:left w:w="108" w:type="dxa"/>
              <w:bottom w:w="28" w:type="dxa"/>
              <w:right w:w="108" w:type="dxa"/>
            </w:tcMar>
          </w:tcPr>
          <w:p w14:paraId="6CEA9B49" w14:textId="25C719D9" w:rsidR="00E32BB6" w:rsidRPr="00013AE2" w:rsidRDefault="00E32BB6" w:rsidP="00F541C2">
            <w:pPr>
              <w:pStyle w:val="TableText"/>
            </w:pPr>
            <w:r>
              <w:t xml:space="preserve"> Commonwealth </w:t>
            </w:r>
          </w:p>
        </w:tc>
        <w:tc>
          <w:tcPr>
            <w:tcW w:w="879" w:type="pct"/>
            <w:tcMar>
              <w:left w:w="108" w:type="dxa"/>
              <w:bottom w:w="28" w:type="dxa"/>
              <w:right w:w="108" w:type="dxa"/>
            </w:tcMar>
          </w:tcPr>
          <w:p w14:paraId="7F542F75" w14:textId="59ED8F3E" w:rsidR="00E32BB6" w:rsidRPr="00013AE2" w:rsidRDefault="00E32BB6" w:rsidP="00F541C2">
            <w:pPr>
              <w:pStyle w:val="TableText"/>
            </w:pPr>
            <w:r w:rsidRPr="004872DA">
              <w:t>Supports many other action</w:t>
            </w:r>
            <w:r>
              <w:t xml:space="preserve"> areas,</w:t>
            </w:r>
            <w:r w:rsidRPr="004872DA">
              <w:t xml:space="preserve"> including </w:t>
            </w:r>
            <w:r>
              <w:t xml:space="preserve">action </w:t>
            </w:r>
            <w:r w:rsidRPr="004872DA">
              <w:t>1.2, 1.4, 3.1, 3.2, 3.4</w:t>
            </w:r>
          </w:p>
        </w:tc>
      </w:tr>
      <w:tr w:rsidR="006B0F11" w:rsidRPr="00013AE2" w14:paraId="54BA7388" w14:textId="77777777" w:rsidTr="00D8091A">
        <w:tc>
          <w:tcPr>
            <w:tcW w:w="988" w:type="pct"/>
            <w:tcMar>
              <w:bottom w:w="28" w:type="dxa"/>
            </w:tcMar>
          </w:tcPr>
          <w:p w14:paraId="1796D94D" w14:textId="2723C8C6" w:rsidR="00F541C2" w:rsidRPr="00AF3D1F" w:rsidRDefault="00F541C2" w:rsidP="00F541C2">
            <w:pPr>
              <w:pStyle w:val="TableText"/>
            </w:pPr>
            <w:r w:rsidRPr="00AF3D1F">
              <w:rPr>
                <w:rStyle w:val="Strong"/>
              </w:rPr>
              <w:t>Action 1.</w:t>
            </w:r>
            <w:r>
              <w:rPr>
                <w:rStyle w:val="Strong"/>
              </w:rPr>
              <w:t>2</w:t>
            </w:r>
            <w:r w:rsidRPr="00AF3D1F">
              <w:rPr>
                <w:rStyle w:val="Strong"/>
              </w:rPr>
              <w:t>:</w:t>
            </w:r>
            <w:r>
              <w:rPr>
                <w:rStyle w:val="Strong"/>
              </w:rPr>
              <w:t xml:space="preserve"> </w:t>
            </w:r>
            <w:r w:rsidRPr="00C810F1">
              <w:rPr>
                <w:rStyle w:val="Strong"/>
                <w:b w:val="0"/>
                <w:bCs w:val="0"/>
              </w:rPr>
              <w:t xml:space="preserve">The Cargo Compliance Verification program can be used to inform the biosecurity risk profile of </w:t>
            </w:r>
            <w:r w:rsidR="00CC54FF" w:rsidRPr="00C810F1">
              <w:rPr>
                <w:rStyle w:val="Strong"/>
                <w:b w:val="0"/>
                <w:bCs w:val="0"/>
              </w:rPr>
              <w:t xml:space="preserve">Khapra </w:t>
            </w:r>
            <w:r w:rsidRPr="00C810F1">
              <w:rPr>
                <w:rStyle w:val="Strong"/>
                <w:b w:val="0"/>
                <w:bCs w:val="0"/>
              </w:rPr>
              <w:t>beetle.</w:t>
            </w:r>
          </w:p>
          <w:p w14:paraId="0D9A7F33" w14:textId="3469BDBD" w:rsidR="00F541C2" w:rsidRPr="002B7CB2" w:rsidRDefault="00F541C2" w:rsidP="00F541C2">
            <w:pPr>
              <w:pStyle w:val="TableText"/>
              <w:rPr>
                <w:rFonts w:cstheme="minorHAnsi"/>
                <w:szCs w:val="18"/>
              </w:rPr>
            </w:pPr>
            <w:r w:rsidRPr="009D6998">
              <w:rPr>
                <w:rStyle w:val="Strong"/>
              </w:rPr>
              <w:t>Expected benefit and outcome</w:t>
            </w:r>
            <w:r>
              <w:rPr>
                <w:rStyle w:val="Strong"/>
              </w:rPr>
              <w:t>:</w:t>
            </w:r>
            <w:r>
              <w:t xml:space="preserve"> </w:t>
            </w:r>
            <w:r w:rsidRPr="00C810F1">
              <w:rPr>
                <w:rStyle w:val="Strong"/>
                <w:b w:val="0"/>
                <w:bCs w:val="0"/>
              </w:rPr>
              <w:t xml:space="preserve">Random verification inspections are undertaken by the Cargo Compliance Verification program for about 0.5 per cent of consignments to monitor that the </w:t>
            </w:r>
            <w:r w:rsidRPr="00C810F1">
              <w:rPr>
                <w:rStyle w:val="Strong"/>
                <w:b w:val="0"/>
                <w:bCs w:val="0"/>
              </w:rPr>
              <w:lastRenderedPageBreak/>
              <w:t xml:space="preserve">biosecurity import controls are operating effectively for the full container load (FCL) containerised sea cargo pathway. There are many unknowns in relation to the threat of </w:t>
            </w:r>
            <w:r w:rsidR="00020290" w:rsidRPr="00C810F1">
              <w:rPr>
                <w:rStyle w:val="Strong"/>
                <w:b w:val="0"/>
                <w:bCs w:val="0"/>
              </w:rPr>
              <w:t xml:space="preserve">Khapra </w:t>
            </w:r>
            <w:r w:rsidRPr="00C810F1">
              <w:rPr>
                <w:rStyle w:val="Strong"/>
                <w:b w:val="0"/>
                <w:bCs w:val="0"/>
              </w:rPr>
              <w:t>beetle as a hitchhiker, including residual risk which can only be addressed by surveillance.</w:t>
            </w:r>
            <w:r>
              <w:t xml:space="preserve"> </w:t>
            </w:r>
          </w:p>
          <w:p w14:paraId="7B0E8F88" w14:textId="45D7FBF0" w:rsidR="00F541C2" w:rsidRPr="00AA2A13" w:rsidRDefault="00F541C2" w:rsidP="00F541C2">
            <w:pPr>
              <w:pStyle w:val="TableText"/>
            </w:pPr>
            <w:r w:rsidRPr="009D6998">
              <w:rPr>
                <w:rStyle w:val="Strong"/>
              </w:rPr>
              <w:t>Priority</w:t>
            </w:r>
            <w:r>
              <w:rPr>
                <w:rStyle w:val="Strong"/>
              </w:rPr>
              <w:t xml:space="preserve">: </w:t>
            </w:r>
            <w:r w:rsidRPr="00AF7C14">
              <w:rPr>
                <w:rStyle w:val="Strong"/>
                <w:b w:val="0"/>
                <w:bCs w:val="0"/>
              </w:rPr>
              <w:t>high</w:t>
            </w:r>
          </w:p>
          <w:p w14:paraId="363F2FA5" w14:textId="4B3BDE5E" w:rsidR="00F541C2" w:rsidRPr="009D6998" w:rsidRDefault="00F541C2" w:rsidP="00F541C2">
            <w:pPr>
              <w:pStyle w:val="TableText"/>
            </w:pPr>
            <w:r w:rsidRPr="009D6998">
              <w:rPr>
                <w:rStyle w:val="Strong"/>
              </w:rPr>
              <w:t>Time frame</w:t>
            </w:r>
            <w:r>
              <w:rPr>
                <w:rStyle w:val="Strong"/>
              </w:rPr>
              <w:t xml:space="preserve">: </w:t>
            </w:r>
            <w:r w:rsidRPr="00AF7C14">
              <w:rPr>
                <w:rStyle w:val="Strong"/>
                <w:b w:val="0"/>
                <w:bCs w:val="0"/>
              </w:rPr>
              <w:t>short</w:t>
            </w:r>
            <w:r w:rsidRPr="00AF7C14">
              <w:rPr>
                <w:b/>
                <w:bCs/>
              </w:rPr>
              <w:t xml:space="preserve"> </w:t>
            </w:r>
            <w:r w:rsidRPr="00AA2A13">
              <w:t>term</w:t>
            </w:r>
          </w:p>
        </w:tc>
        <w:tc>
          <w:tcPr>
            <w:tcW w:w="988" w:type="pct"/>
            <w:tcMar>
              <w:left w:w="108" w:type="dxa"/>
              <w:bottom w:w="28" w:type="dxa"/>
              <w:right w:w="108" w:type="dxa"/>
            </w:tcMar>
          </w:tcPr>
          <w:p w14:paraId="36611EFA" w14:textId="079EC735" w:rsidR="00F541C2" w:rsidRPr="009C6E83" w:rsidRDefault="00F541C2" w:rsidP="00D8091A">
            <w:pPr>
              <w:pStyle w:val="TableText"/>
            </w:pPr>
            <w:r>
              <w:lastRenderedPageBreak/>
              <w:t>1.2.1</w:t>
            </w:r>
            <w:r w:rsidR="00BE7F04">
              <w:t xml:space="preserve"> </w:t>
            </w:r>
            <w:r w:rsidRPr="00C810F1">
              <w:t>Develop a project to inspect multiple containers specifically to gather information</w:t>
            </w:r>
          </w:p>
        </w:tc>
        <w:tc>
          <w:tcPr>
            <w:tcW w:w="987" w:type="pct"/>
            <w:shd w:val="clear" w:color="auto" w:fill="DEF0C2"/>
            <w:tcMar>
              <w:left w:w="108" w:type="dxa"/>
              <w:bottom w:w="28" w:type="dxa"/>
              <w:right w:w="108" w:type="dxa"/>
            </w:tcMar>
          </w:tcPr>
          <w:p w14:paraId="0F698585" w14:textId="627FAE62" w:rsidR="005E67DC" w:rsidRDefault="00F541C2" w:rsidP="00D8091A">
            <w:pPr>
              <w:pStyle w:val="TableText"/>
            </w:pPr>
            <w:r>
              <w:t>Completed – project finished</w:t>
            </w:r>
          </w:p>
          <w:p w14:paraId="46EE322A" w14:textId="5D14AC8D" w:rsidR="00C1139B" w:rsidRPr="00C73EE8" w:rsidRDefault="00C1139B" w:rsidP="00803701">
            <w:pPr>
              <w:spacing w:line="240" w:lineRule="auto"/>
              <w:rPr>
                <w:rFonts w:cstheme="minorHAnsi"/>
                <w:bCs/>
                <w:sz w:val="18"/>
                <w:szCs w:val="18"/>
              </w:rPr>
            </w:pPr>
          </w:p>
        </w:tc>
        <w:tc>
          <w:tcPr>
            <w:tcW w:w="498" w:type="pct"/>
            <w:tcMar>
              <w:bottom w:w="28" w:type="dxa"/>
            </w:tcMar>
          </w:tcPr>
          <w:p w14:paraId="3B074AD4" w14:textId="3AC0E306" w:rsidR="00F541C2" w:rsidRPr="009C6E83" w:rsidRDefault="00F541C2" w:rsidP="00D8091A">
            <w:pPr>
              <w:pStyle w:val="TableText"/>
            </w:pPr>
            <w:r>
              <w:t xml:space="preserve">Commonwealth (CED, </w:t>
            </w:r>
            <w:proofErr w:type="gramStart"/>
            <w:r>
              <w:t>BPSSD,</w:t>
            </w:r>
            <w:r w:rsidR="00803701">
              <w:t>HHWG</w:t>
            </w:r>
            <w:proofErr w:type="gramEnd"/>
            <w:r>
              <w:t>)</w:t>
            </w:r>
          </w:p>
        </w:tc>
        <w:tc>
          <w:tcPr>
            <w:tcW w:w="659" w:type="pct"/>
            <w:tcMar>
              <w:left w:w="108" w:type="dxa"/>
              <w:bottom w:w="28" w:type="dxa"/>
              <w:right w:w="108" w:type="dxa"/>
            </w:tcMar>
          </w:tcPr>
          <w:p w14:paraId="21CE6B21" w14:textId="39B49A2A" w:rsidR="00F541C2" w:rsidRPr="009C6E83" w:rsidRDefault="00F541C2" w:rsidP="00D8091A">
            <w:pPr>
              <w:pStyle w:val="TableText"/>
            </w:pPr>
            <w:r>
              <w:t xml:space="preserve">Commonwealth </w:t>
            </w:r>
          </w:p>
        </w:tc>
        <w:tc>
          <w:tcPr>
            <w:tcW w:w="879" w:type="pct"/>
            <w:tcMar>
              <w:left w:w="108" w:type="dxa"/>
              <w:bottom w:w="28" w:type="dxa"/>
              <w:right w:w="108" w:type="dxa"/>
            </w:tcMar>
          </w:tcPr>
          <w:p w14:paraId="06F088BD" w14:textId="6E14143C" w:rsidR="00F541C2" w:rsidRPr="009C6E83" w:rsidRDefault="00F541C2" w:rsidP="00D8091A">
            <w:pPr>
              <w:pStyle w:val="TableText"/>
            </w:pPr>
            <w:r>
              <w:t>Relates to action 1.1</w:t>
            </w:r>
          </w:p>
        </w:tc>
      </w:tr>
      <w:tr w:rsidR="006B0F11" w:rsidRPr="00013AE2" w14:paraId="6C4A949B" w14:textId="77777777" w:rsidTr="00787004">
        <w:tc>
          <w:tcPr>
            <w:tcW w:w="988" w:type="pct"/>
            <w:tcMar>
              <w:bottom w:w="28" w:type="dxa"/>
            </w:tcMar>
          </w:tcPr>
          <w:p w14:paraId="34B9A0E2" w14:textId="77777777" w:rsidR="00F541C2" w:rsidRDefault="00F541C2" w:rsidP="00F541C2">
            <w:pPr>
              <w:pStyle w:val="TableText"/>
              <w:rPr>
                <w:rStyle w:val="Strong"/>
                <w:b w:val="0"/>
                <w:bCs w:val="0"/>
              </w:rPr>
            </w:pPr>
            <w:r w:rsidRPr="00AF3D1F">
              <w:rPr>
                <w:rStyle w:val="Strong"/>
              </w:rPr>
              <w:t>Action 1.</w:t>
            </w:r>
            <w:r>
              <w:rPr>
                <w:rStyle w:val="Strong"/>
              </w:rPr>
              <w:t>3</w:t>
            </w:r>
            <w:r w:rsidRPr="00AF3D1F">
              <w:rPr>
                <w:rStyle w:val="Strong"/>
              </w:rPr>
              <w:t>:</w:t>
            </w:r>
            <w:r>
              <w:rPr>
                <w:rStyle w:val="Strong"/>
              </w:rPr>
              <w:t xml:space="preserve"> </w:t>
            </w:r>
            <w:r w:rsidRPr="000543EE">
              <w:rPr>
                <w:rStyle w:val="Strong"/>
                <w:b w:val="0"/>
                <w:bCs w:val="0"/>
              </w:rPr>
              <w:t>Assurance activities to ensure compliance following ‘prohibition’</w:t>
            </w:r>
            <w:r>
              <w:rPr>
                <w:rStyle w:val="Strong"/>
                <w:b w:val="0"/>
                <w:bCs w:val="0"/>
              </w:rPr>
              <w:t>.</w:t>
            </w:r>
          </w:p>
          <w:p w14:paraId="188B4966" w14:textId="3C454533" w:rsidR="00F541C2" w:rsidRDefault="00F541C2" w:rsidP="00F541C2">
            <w:pPr>
              <w:pStyle w:val="TableText"/>
              <w:rPr>
                <w:rStyle w:val="Strong"/>
                <w:b w:val="0"/>
                <w:bCs w:val="0"/>
              </w:rPr>
            </w:pPr>
            <w:r w:rsidRPr="009D6998">
              <w:rPr>
                <w:rStyle w:val="Strong"/>
              </w:rPr>
              <w:t>Expected benefit and outcome</w:t>
            </w:r>
            <w:r>
              <w:rPr>
                <w:rStyle w:val="Strong"/>
              </w:rPr>
              <w:t>:</w:t>
            </w:r>
            <w:r>
              <w:t xml:space="preserve"> </w:t>
            </w:r>
            <w:r w:rsidRPr="000543EE">
              <w:rPr>
                <w:rStyle w:val="Strong"/>
                <w:b w:val="0"/>
                <w:bCs w:val="0"/>
              </w:rPr>
              <w:t xml:space="preserve">The department will consider the need for targeted operations as part of its assurance activities to ensure compliance with the urgent actions introduced in 2020/21 to address the risk of </w:t>
            </w:r>
            <w:r w:rsidR="00020290" w:rsidRPr="000543EE">
              <w:rPr>
                <w:rStyle w:val="Strong"/>
                <w:b w:val="0"/>
                <w:bCs w:val="0"/>
              </w:rPr>
              <w:t xml:space="preserve">Khapra </w:t>
            </w:r>
            <w:r w:rsidRPr="000543EE">
              <w:rPr>
                <w:rStyle w:val="Strong"/>
                <w:b w:val="0"/>
                <w:bCs w:val="0"/>
              </w:rPr>
              <w:t>beetle on a range of plant products that are hosts of this pest.</w:t>
            </w:r>
          </w:p>
          <w:p w14:paraId="0CC8B3CD" w14:textId="606A6789" w:rsidR="00F541C2" w:rsidRPr="00AA2A13" w:rsidRDefault="00F541C2" w:rsidP="00F541C2">
            <w:pPr>
              <w:pStyle w:val="TableText"/>
            </w:pPr>
            <w:r w:rsidRPr="009D6998">
              <w:rPr>
                <w:rStyle w:val="Strong"/>
              </w:rPr>
              <w:t>Priority</w:t>
            </w:r>
            <w:r>
              <w:rPr>
                <w:rStyle w:val="Strong"/>
              </w:rPr>
              <w:t>:</w:t>
            </w:r>
            <w:r w:rsidRPr="00AF7C14">
              <w:rPr>
                <w:rStyle w:val="Strong"/>
                <w:b w:val="0"/>
                <w:bCs w:val="0"/>
              </w:rPr>
              <w:t xml:space="preserve"> high</w:t>
            </w:r>
          </w:p>
          <w:p w14:paraId="66FC5C66" w14:textId="7440E814" w:rsidR="00F541C2" w:rsidRPr="009D6998" w:rsidRDefault="00F541C2" w:rsidP="00F541C2">
            <w:pPr>
              <w:pStyle w:val="TableText"/>
            </w:pPr>
            <w:r w:rsidRPr="009D6998">
              <w:rPr>
                <w:rStyle w:val="Strong"/>
              </w:rPr>
              <w:t>Time frame</w:t>
            </w:r>
            <w:r>
              <w:rPr>
                <w:rStyle w:val="Strong"/>
              </w:rPr>
              <w:t xml:space="preserve">: </w:t>
            </w:r>
            <w:r w:rsidRPr="00AF7C14">
              <w:rPr>
                <w:rStyle w:val="Strong"/>
                <w:b w:val="0"/>
                <w:bCs w:val="0"/>
              </w:rPr>
              <w:t>short</w:t>
            </w:r>
            <w:r w:rsidRPr="00AA2A13">
              <w:t xml:space="preserve"> term</w:t>
            </w:r>
          </w:p>
        </w:tc>
        <w:tc>
          <w:tcPr>
            <w:tcW w:w="988" w:type="pct"/>
            <w:tcMar>
              <w:left w:w="108" w:type="dxa"/>
              <w:bottom w:w="28" w:type="dxa"/>
              <w:right w:w="108" w:type="dxa"/>
            </w:tcMar>
          </w:tcPr>
          <w:p w14:paraId="7A719722" w14:textId="714CF186" w:rsidR="00F541C2" w:rsidRPr="009C6E83" w:rsidRDefault="00F541C2" w:rsidP="00D8091A">
            <w:pPr>
              <w:pStyle w:val="TableText"/>
            </w:pPr>
            <w:r>
              <w:t xml:space="preserve">1.3.1 </w:t>
            </w:r>
            <w:r w:rsidRPr="000543EE">
              <w:t xml:space="preserve">Consider the need for targeted operations as part of its assurance activities to ensure compliance with the urgent actions introduced in 2020/21 to address the risk of </w:t>
            </w:r>
            <w:r w:rsidR="00020290" w:rsidRPr="000543EE">
              <w:t xml:space="preserve">Khapra </w:t>
            </w:r>
            <w:r w:rsidRPr="000543EE">
              <w:t>beetle on a range of plant products that are hosts of this pest</w:t>
            </w:r>
          </w:p>
        </w:tc>
        <w:tc>
          <w:tcPr>
            <w:tcW w:w="987" w:type="pct"/>
            <w:shd w:val="clear" w:color="auto" w:fill="C6D9F1" w:themeFill="text2" w:themeFillTint="33"/>
            <w:tcMar>
              <w:left w:w="108" w:type="dxa"/>
              <w:bottom w:w="28" w:type="dxa"/>
              <w:right w:w="108" w:type="dxa"/>
            </w:tcMar>
          </w:tcPr>
          <w:p w14:paraId="47028823" w14:textId="14D21F6B" w:rsidR="00F541C2" w:rsidRDefault="00F541C2" w:rsidP="00D8091A">
            <w:pPr>
              <w:pStyle w:val="TableText"/>
            </w:pPr>
            <w:r>
              <w:t>Ongoing – business as usual</w:t>
            </w:r>
          </w:p>
          <w:p w14:paraId="74C94A96" w14:textId="5697253D" w:rsidR="00020290" w:rsidRDefault="00F541C2" w:rsidP="00160C44">
            <w:pPr>
              <w:spacing w:before="60" w:after="60" w:line="240" w:lineRule="auto"/>
              <w:rPr>
                <w:rFonts w:cstheme="minorHAnsi"/>
                <w:bCs/>
                <w:sz w:val="18"/>
                <w:szCs w:val="18"/>
              </w:rPr>
            </w:pPr>
            <w:r w:rsidRPr="000543EE">
              <w:rPr>
                <w:rFonts w:cstheme="minorHAnsi"/>
                <w:bCs/>
                <w:sz w:val="18"/>
                <w:szCs w:val="18"/>
              </w:rPr>
              <w:t xml:space="preserve">Various Import Document Assessment Verification and assurance activities have occurred for different </w:t>
            </w:r>
            <w:r w:rsidR="00020290" w:rsidRPr="000543EE">
              <w:rPr>
                <w:rFonts w:cstheme="minorHAnsi"/>
                <w:bCs/>
                <w:sz w:val="18"/>
                <w:szCs w:val="18"/>
              </w:rPr>
              <w:t xml:space="preserve">Khapra </w:t>
            </w:r>
            <w:r w:rsidRPr="000543EE">
              <w:rPr>
                <w:rFonts w:cstheme="minorHAnsi"/>
                <w:bCs/>
                <w:sz w:val="18"/>
                <w:szCs w:val="18"/>
              </w:rPr>
              <w:t xml:space="preserve">phases. This includes verification of broker and departmental assessed entries. </w:t>
            </w:r>
            <w:r w:rsidR="00031326">
              <w:rPr>
                <w:rFonts w:cstheme="minorHAnsi"/>
                <w:bCs/>
                <w:sz w:val="18"/>
                <w:szCs w:val="18"/>
              </w:rPr>
              <w:t xml:space="preserve"> </w:t>
            </w:r>
          </w:p>
          <w:p w14:paraId="72BFEAA2" w14:textId="7F7C86D3" w:rsidR="00F541C2" w:rsidRPr="000543EE" w:rsidRDefault="00031326" w:rsidP="00F541C2">
            <w:pPr>
              <w:rPr>
                <w:rFonts w:cstheme="minorHAnsi"/>
                <w:bCs/>
              </w:rPr>
            </w:pPr>
            <w:r>
              <w:rPr>
                <w:rFonts w:cstheme="minorHAnsi"/>
                <w:bCs/>
                <w:sz w:val="18"/>
                <w:szCs w:val="18"/>
              </w:rPr>
              <w:t xml:space="preserve">Not implementing 6B measures at this stage </w:t>
            </w:r>
          </w:p>
        </w:tc>
        <w:tc>
          <w:tcPr>
            <w:tcW w:w="498" w:type="pct"/>
            <w:tcMar>
              <w:bottom w:w="28" w:type="dxa"/>
            </w:tcMar>
          </w:tcPr>
          <w:p w14:paraId="47994FA6" w14:textId="02E97EC3" w:rsidR="00F541C2" w:rsidRPr="009C6E83" w:rsidRDefault="00F541C2" w:rsidP="00D8091A">
            <w:pPr>
              <w:pStyle w:val="TableText"/>
            </w:pPr>
            <w:r>
              <w:t>Commonwealth (CED, BOD)</w:t>
            </w:r>
          </w:p>
        </w:tc>
        <w:tc>
          <w:tcPr>
            <w:tcW w:w="659" w:type="pct"/>
            <w:tcMar>
              <w:left w:w="108" w:type="dxa"/>
              <w:bottom w:w="28" w:type="dxa"/>
              <w:right w:w="108" w:type="dxa"/>
            </w:tcMar>
          </w:tcPr>
          <w:p w14:paraId="5F916473" w14:textId="43179CC4" w:rsidR="00F541C2" w:rsidRPr="009C6E83" w:rsidRDefault="00F541C2" w:rsidP="00D8091A">
            <w:pPr>
              <w:pStyle w:val="TableText"/>
            </w:pPr>
            <w:r>
              <w:t>Commonwealth</w:t>
            </w:r>
          </w:p>
        </w:tc>
        <w:tc>
          <w:tcPr>
            <w:tcW w:w="879" w:type="pct"/>
            <w:tcMar>
              <w:left w:w="108" w:type="dxa"/>
              <w:bottom w:w="28" w:type="dxa"/>
              <w:right w:w="108" w:type="dxa"/>
            </w:tcMar>
          </w:tcPr>
          <w:p w14:paraId="67C7851D" w14:textId="7CC5698D" w:rsidR="00F541C2" w:rsidRPr="009C6E83" w:rsidRDefault="00CA3DE0" w:rsidP="00D8091A">
            <w:pPr>
              <w:pStyle w:val="TableText"/>
            </w:pPr>
            <w:r>
              <w:t xml:space="preserve">Not applicable </w:t>
            </w:r>
          </w:p>
        </w:tc>
      </w:tr>
      <w:tr w:rsidR="006B0F11" w:rsidRPr="00013AE2" w14:paraId="6119C3EA" w14:textId="77777777" w:rsidTr="00D8091A">
        <w:trPr>
          <w:trHeight w:val="619"/>
        </w:trPr>
        <w:tc>
          <w:tcPr>
            <w:tcW w:w="988" w:type="pct"/>
            <w:vMerge w:val="restart"/>
            <w:tcMar>
              <w:bottom w:w="28" w:type="dxa"/>
            </w:tcMar>
          </w:tcPr>
          <w:p w14:paraId="0A6F5C8A" w14:textId="1168B12E" w:rsidR="00F541C2" w:rsidRDefault="00F541C2" w:rsidP="00F541C2">
            <w:pPr>
              <w:pStyle w:val="TableText"/>
              <w:rPr>
                <w:rStyle w:val="Strong"/>
                <w:b w:val="0"/>
                <w:bCs w:val="0"/>
              </w:rPr>
            </w:pPr>
            <w:r w:rsidRPr="00AF3D1F">
              <w:rPr>
                <w:rStyle w:val="Strong"/>
              </w:rPr>
              <w:t>Action 1.</w:t>
            </w:r>
            <w:r>
              <w:rPr>
                <w:rStyle w:val="Strong"/>
              </w:rPr>
              <w:t>4</w:t>
            </w:r>
            <w:r w:rsidRPr="00AF3D1F">
              <w:rPr>
                <w:rStyle w:val="Strong"/>
              </w:rPr>
              <w:t>:</w:t>
            </w:r>
            <w:r>
              <w:rPr>
                <w:rStyle w:val="Strong"/>
              </w:rPr>
              <w:t xml:space="preserve"> </w:t>
            </w:r>
            <w:r w:rsidRPr="003412D2">
              <w:rPr>
                <w:rStyle w:val="Strong"/>
                <w:b w:val="0"/>
                <w:bCs w:val="0"/>
              </w:rPr>
              <w:t>Improve hygiene of shipping containers imported into Australia.</w:t>
            </w:r>
          </w:p>
          <w:p w14:paraId="6D3DC165" w14:textId="6DE90D65" w:rsidR="00F541C2" w:rsidRDefault="00F541C2" w:rsidP="00F541C2">
            <w:pPr>
              <w:pStyle w:val="TableText"/>
              <w:rPr>
                <w:rStyle w:val="Strong"/>
                <w:b w:val="0"/>
                <w:bCs w:val="0"/>
              </w:rPr>
            </w:pPr>
            <w:r w:rsidRPr="009D6998">
              <w:rPr>
                <w:rStyle w:val="Strong"/>
              </w:rPr>
              <w:t>Expected benefit and outcome</w:t>
            </w:r>
            <w:r>
              <w:rPr>
                <w:rStyle w:val="Strong"/>
              </w:rPr>
              <w:t>:</w:t>
            </w:r>
            <w:r>
              <w:t xml:space="preserve"> </w:t>
            </w:r>
            <w:r w:rsidRPr="003412D2">
              <w:t xml:space="preserve">Increase awareness of pest risks of sea containers with industry and National Plant Protection Organisations (NPPOs) through </w:t>
            </w:r>
            <w:r w:rsidRPr="003412D2">
              <w:lastRenderedPageBreak/>
              <w:t>harmonising data collection and sharing risk information.</w:t>
            </w:r>
          </w:p>
          <w:p w14:paraId="7531206C" w14:textId="2E3F88C8" w:rsidR="00F541C2" w:rsidRPr="00AA2A13" w:rsidRDefault="00F541C2" w:rsidP="00F541C2">
            <w:pPr>
              <w:pStyle w:val="TableText"/>
            </w:pPr>
            <w:r w:rsidRPr="009D6998">
              <w:rPr>
                <w:rStyle w:val="Strong"/>
              </w:rPr>
              <w:t>Priority</w:t>
            </w:r>
            <w:r>
              <w:rPr>
                <w:rStyle w:val="Strong"/>
              </w:rPr>
              <w:t xml:space="preserve">: </w:t>
            </w:r>
            <w:r w:rsidRPr="00AF7C14">
              <w:rPr>
                <w:rStyle w:val="Strong"/>
                <w:b w:val="0"/>
                <w:bCs w:val="0"/>
              </w:rPr>
              <w:t>high</w:t>
            </w:r>
          </w:p>
          <w:p w14:paraId="3D2B01FA" w14:textId="18F23D1B" w:rsidR="00F541C2" w:rsidRPr="00AF3D1F" w:rsidRDefault="00F541C2" w:rsidP="00F541C2">
            <w:pPr>
              <w:pStyle w:val="TableText"/>
              <w:rPr>
                <w:rStyle w:val="Strong"/>
              </w:rPr>
            </w:pPr>
            <w:r w:rsidRPr="009D6998">
              <w:rPr>
                <w:rStyle w:val="Strong"/>
              </w:rPr>
              <w:t>Time frame</w:t>
            </w:r>
            <w:r>
              <w:rPr>
                <w:rStyle w:val="Strong"/>
              </w:rPr>
              <w:t xml:space="preserve">:  </w:t>
            </w:r>
            <w:r w:rsidRPr="00AF7C14">
              <w:rPr>
                <w:rStyle w:val="Strong"/>
                <w:b w:val="0"/>
                <w:bCs w:val="0"/>
              </w:rPr>
              <w:t>long</w:t>
            </w:r>
            <w:r w:rsidRPr="00AF7C14">
              <w:rPr>
                <w:rStyle w:val="Strong"/>
              </w:rPr>
              <w:t xml:space="preserve"> </w:t>
            </w:r>
            <w:r w:rsidRPr="00AF7C14">
              <w:t>term</w:t>
            </w:r>
          </w:p>
        </w:tc>
        <w:tc>
          <w:tcPr>
            <w:tcW w:w="988" w:type="pct"/>
            <w:tcMar>
              <w:left w:w="108" w:type="dxa"/>
              <w:bottom w:w="28" w:type="dxa"/>
              <w:right w:w="108" w:type="dxa"/>
            </w:tcMar>
          </w:tcPr>
          <w:p w14:paraId="35F7977B" w14:textId="7258C339" w:rsidR="00F541C2" w:rsidRDefault="00F541C2" w:rsidP="00D8091A">
            <w:pPr>
              <w:pStyle w:val="TableText"/>
            </w:pPr>
            <w:r>
              <w:lastRenderedPageBreak/>
              <w:t xml:space="preserve">1.4.1 </w:t>
            </w:r>
            <w:r w:rsidRPr="00B30341">
              <w:t xml:space="preserve">Reviewing </w:t>
            </w:r>
            <w:r w:rsidR="00020290" w:rsidRPr="00B30341">
              <w:t xml:space="preserve">Khapra </w:t>
            </w:r>
            <w:r w:rsidRPr="00B30341">
              <w:t>beetle resource material to provide up to date resource materials including training manuals</w:t>
            </w:r>
          </w:p>
        </w:tc>
        <w:tc>
          <w:tcPr>
            <w:tcW w:w="987" w:type="pct"/>
            <w:shd w:val="clear" w:color="auto" w:fill="DEF0C2"/>
            <w:tcMar>
              <w:left w:w="108" w:type="dxa"/>
              <w:bottom w:w="28" w:type="dxa"/>
              <w:right w:w="108" w:type="dxa"/>
            </w:tcMar>
          </w:tcPr>
          <w:p w14:paraId="4381590F" w14:textId="201F0715" w:rsidR="00F541C2" w:rsidRPr="00CF175D" w:rsidRDefault="00F541C2" w:rsidP="00D8091A">
            <w:pPr>
              <w:pStyle w:val="TableText"/>
            </w:pPr>
            <w:r>
              <w:t xml:space="preserve">Completed – </w:t>
            </w:r>
            <w:r w:rsidRPr="00CF175D">
              <w:t>project finished</w:t>
            </w:r>
          </w:p>
          <w:p w14:paraId="21B04C08" w14:textId="615F7509" w:rsidR="00C650F2" w:rsidRDefault="00F541C2" w:rsidP="00D8091A">
            <w:pPr>
              <w:pStyle w:val="TableText"/>
            </w:pPr>
            <w:r w:rsidRPr="00CF175D">
              <w:t xml:space="preserve">Produced educational materials for domestic and international audiences, including posters and videos to raise awareness of </w:t>
            </w:r>
            <w:r w:rsidR="00020290" w:rsidRPr="00CF175D">
              <w:t xml:space="preserve">Khapra </w:t>
            </w:r>
            <w:r w:rsidRPr="00CF175D">
              <w:t>beetle risks and promote sea container cleanliness</w:t>
            </w:r>
          </w:p>
          <w:p w14:paraId="767B2458" w14:textId="72DF15F3" w:rsidR="00F541C2" w:rsidRPr="00CF175D" w:rsidRDefault="00117BDB" w:rsidP="00D8091A">
            <w:pPr>
              <w:pStyle w:val="TableText"/>
            </w:pPr>
            <w:r w:rsidRPr="00B30341">
              <w:t xml:space="preserve">Undertaking training every </w:t>
            </w:r>
            <w:r w:rsidR="00C650F2">
              <w:t>3</w:t>
            </w:r>
            <w:r w:rsidR="00C650F2" w:rsidRPr="00B30341">
              <w:t xml:space="preserve"> </w:t>
            </w:r>
            <w:r w:rsidRPr="00B30341">
              <w:t xml:space="preserve">years in effective </w:t>
            </w:r>
            <w:r w:rsidR="00020290" w:rsidRPr="00B30341">
              <w:t xml:space="preserve">Khapra </w:t>
            </w:r>
            <w:r w:rsidRPr="00B30341">
              <w:t xml:space="preserve">beetle </w:t>
            </w:r>
            <w:r w:rsidRPr="00B30341">
              <w:lastRenderedPageBreak/>
              <w:t xml:space="preserve">detection methods for shipping containers  </w:t>
            </w:r>
          </w:p>
        </w:tc>
        <w:tc>
          <w:tcPr>
            <w:tcW w:w="498" w:type="pct"/>
            <w:tcMar>
              <w:bottom w:w="28" w:type="dxa"/>
            </w:tcMar>
          </w:tcPr>
          <w:p w14:paraId="6D2E3BED" w14:textId="1EB94714" w:rsidR="00F541C2" w:rsidRDefault="00F541C2" w:rsidP="00D8091A">
            <w:pPr>
              <w:pStyle w:val="TableText"/>
            </w:pPr>
            <w:r>
              <w:lastRenderedPageBreak/>
              <w:t>Commonwealth (CED, BOD, BPSSD, PLAE)</w:t>
            </w:r>
          </w:p>
        </w:tc>
        <w:tc>
          <w:tcPr>
            <w:tcW w:w="659" w:type="pct"/>
            <w:tcMar>
              <w:left w:w="108" w:type="dxa"/>
              <w:bottom w:w="28" w:type="dxa"/>
              <w:right w:w="108" w:type="dxa"/>
            </w:tcMar>
          </w:tcPr>
          <w:p w14:paraId="21BDEBF6" w14:textId="4167DA5F" w:rsidR="00F541C2" w:rsidRPr="009C6E83" w:rsidRDefault="00F541C2" w:rsidP="00D8091A">
            <w:pPr>
              <w:pStyle w:val="TableText"/>
            </w:pPr>
            <w:r>
              <w:t>Commonwealth</w:t>
            </w:r>
          </w:p>
        </w:tc>
        <w:tc>
          <w:tcPr>
            <w:tcW w:w="879" w:type="pct"/>
            <w:tcMar>
              <w:left w:w="108" w:type="dxa"/>
              <w:bottom w:w="28" w:type="dxa"/>
              <w:right w:w="108" w:type="dxa"/>
            </w:tcMar>
          </w:tcPr>
          <w:p w14:paraId="0E11EF66" w14:textId="135931E5" w:rsidR="00F541C2" w:rsidRPr="009C6E83" w:rsidRDefault="00F541C2" w:rsidP="00D8091A">
            <w:pPr>
              <w:pStyle w:val="TableText"/>
            </w:pPr>
            <w:r>
              <w:t xml:space="preserve">Supports many other action areas including 1.5 </w:t>
            </w:r>
          </w:p>
        </w:tc>
      </w:tr>
      <w:tr w:rsidR="006B0F11" w:rsidRPr="00013AE2" w14:paraId="0CE2777D" w14:textId="77777777" w:rsidTr="00787004">
        <w:tc>
          <w:tcPr>
            <w:tcW w:w="988" w:type="pct"/>
            <w:vMerge/>
            <w:tcMar>
              <w:bottom w:w="28" w:type="dxa"/>
            </w:tcMar>
          </w:tcPr>
          <w:p w14:paraId="36552551" w14:textId="52A3B706" w:rsidR="00F541C2" w:rsidRPr="00AF3D1F" w:rsidRDefault="00F541C2" w:rsidP="00F541C2">
            <w:pPr>
              <w:pStyle w:val="TableText"/>
              <w:rPr>
                <w:rStyle w:val="Strong"/>
              </w:rPr>
            </w:pPr>
          </w:p>
        </w:tc>
        <w:tc>
          <w:tcPr>
            <w:tcW w:w="988" w:type="pct"/>
            <w:tcMar>
              <w:left w:w="108" w:type="dxa"/>
              <w:bottom w:w="28" w:type="dxa"/>
              <w:right w:w="108" w:type="dxa"/>
            </w:tcMar>
          </w:tcPr>
          <w:p w14:paraId="7B856D5D" w14:textId="6D194827" w:rsidR="00F541C2" w:rsidRDefault="00F541C2" w:rsidP="00D8091A">
            <w:pPr>
              <w:pStyle w:val="TableText"/>
            </w:pPr>
            <w:r>
              <w:t xml:space="preserve">1.4.2 </w:t>
            </w:r>
            <w:r w:rsidRPr="00B30341">
              <w:t>Ongoing promotion of uptake of the Cargo Transport Unit code (an industry developed informative material on preventing contamination during packing containers) and providing guidance material to NPPOs on container risk management</w:t>
            </w:r>
          </w:p>
        </w:tc>
        <w:tc>
          <w:tcPr>
            <w:tcW w:w="987" w:type="pct"/>
            <w:shd w:val="clear" w:color="auto" w:fill="C6D9F1" w:themeFill="text2" w:themeFillTint="33"/>
            <w:tcMar>
              <w:left w:w="108" w:type="dxa"/>
              <w:bottom w:w="28" w:type="dxa"/>
              <w:right w:w="108" w:type="dxa"/>
            </w:tcMar>
          </w:tcPr>
          <w:p w14:paraId="48C179ED" w14:textId="2D7819CF" w:rsidR="00F541C2" w:rsidRPr="00134395" w:rsidRDefault="00FA2F06" w:rsidP="00160C44">
            <w:pPr>
              <w:spacing w:before="60" w:after="60" w:line="240" w:lineRule="auto"/>
            </w:pPr>
            <w:r w:rsidRPr="009953A3">
              <w:rPr>
                <w:sz w:val="18"/>
                <w:szCs w:val="18"/>
              </w:rPr>
              <w:t>Ongoing – business as usual</w:t>
            </w:r>
            <w:r w:rsidRPr="00430F9B">
              <w:rPr>
                <w:szCs w:val="18"/>
              </w:rPr>
              <w:t xml:space="preserve"> </w:t>
            </w:r>
            <w:r w:rsidR="00F541C2" w:rsidRPr="00134395">
              <w:rPr>
                <w:rFonts w:cstheme="minorHAnsi"/>
                <w:bCs/>
                <w:sz w:val="18"/>
                <w:szCs w:val="18"/>
              </w:rPr>
              <w:t>Promoted awareness of the intern</w:t>
            </w:r>
            <w:r w:rsidR="00F541C2" w:rsidRPr="00430F9B">
              <w:rPr>
                <w:rFonts w:cstheme="minorHAnsi"/>
                <w:bCs/>
                <w:sz w:val="18"/>
                <w:szCs w:val="18"/>
              </w:rPr>
              <w:t xml:space="preserve">ational </w:t>
            </w:r>
            <w:r w:rsidR="00430F9B" w:rsidRPr="00787004">
              <w:rPr>
                <w:sz w:val="18"/>
                <w:szCs w:val="18"/>
              </w:rPr>
              <w:t>Cargo Transport Unit</w:t>
            </w:r>
            <w:r w:rsidR="00430F9B" w:rsidRPr="00430F9B" w:rsidDel="00430F9B">
              <w:rPr>
                <w:rFonts w:cstheme="minorHAnsi"/>
                <w:bCs/>
                <w:sz w:val="18"/>
                <w:szCs w:val="18"/>
              </w:rPr>
              <w:t xml:space="preserve"> </w:t>
            </w:r>
            <w:r w:rsidR="00F541C2" w:rsidRPr="00430F9B">
              <w:rPr>
                <w:rFonts w:cstheme="minorHAnsi"/>
                <w:bCs/>
                <w:sz w:val="18"/>
                <w:szCs w:val="18"/>
              </w:rPr>
              <w:t>Code</w:t>
            </w:r>
          </w:p>
        </w:tc>
        <w:tc>
          <w:tcPr>
            <w:tcW w:w="498" w:type="pct"/>
            <w:tcMar>
              <w:bottom w:w="28" w:type="dxa"/>
            </w:tcMar>
          </w:tcPr>
          <w:p w14:paraId="416F5DBA" w14:textId="29B62AF6" w:rsidR="00F541C2" w:rsidRDefault="00F541C2" w:rsidP="00D8091A">
            <w:pPr>
              <w:pStyle w:val="TableText"/>
            </w:pPr>
            <w:r>
              <w:t>Commonwealth (CED, BOD, BPSSD, PLAE)</w:t>
            </w:r>
          </w:p>
        </w:tc>
        <w:tc>
          <w:tcPr>
            <w:tcW w:w="659" w:type="pct"/>
            <w:tcMar>
              <w:left w:w="108" w:type="dxa"/>
              <w:bottom w:w="28" w:type="dxa"/>
              <w:right w:w="108" w:type="dxa"/>
            </w:tcMar>
          </w:tcPr>
          <w:p w14:paraId="686B803C" w14:textId="4D1AB081" w:rsidR="00F541C2" w:rsidRPr="009C6E83" w:rsidRDefault="00F541C2" w:rsidP="00D8091A">
            <w:pPr>
              <w:pStyle w:val="TableText"/>
            </w:pPr>
            <w:r>
              <w:t>Commonwealth</w:t>
            </w:r>
          </w:p>
        </w:tc>
        <w:tc>
          <w:tcPr>
            <w:tcW w:w="879" w:type="pct"/>
            <w:tcMar>
              <w:left w:w="108" w:type="dxa"/>
              <w:bottom w:w="28" w:type="dxa"/>
              <w:right w:w="108" w:type="dxa"/>
            </w:tcMar>
          </w:tcPr>
          <w:p w14:paraId="7F236B90" w14:textId="5FDBC77A" w:rsidR="00F541C2" w:rsidRPr="009C6E83" w:rsidRDefault="00F541C2" w:rsidP="00D8091A">
            <w:pPr>
              <w:pStyle w:val="TableText"/>
            </w:pPr>
            <w:r>
              <w:t xml:space="preserve">Supports many other action areas including 1.5 </w:t>
            </w:r>
          </w:p>
        </w:tc>
      </w:tr>
      <w:tr w:rsidR="006B0F11" w:rsidRPr="00013AE2" w14:paraId="594B354A" w14:textId="77777777" w:rsidTr="00D8091A">
        <w:tc>
          <w:tcPr>
            <w:tcW w:w="988" w:type="pct"/>
            <w:vMerge/>
            <w:tcMar>
              <w:bottom w:w="28" w:type="dxa"/>
            </w:tcMar>
          </w:tcPr>
          <w:p w14:paraId="3A683029" w14:textId="4190A045" w:rsidR="00F541C2" w:rsidRPr="00AF3D1F" w:rsidRDefault="00F541C2" w:rsidP="00F541C2">
            <w:pPr>
              <w:pStyle w:val="TableText"/>
              <w:rPr>
                <w:rStyle w:val="Strong"/>
              </w:rPr>
            </w:pPr>
          </w:p>
        </w:tc>
        <w:tc>
          <w:tcPr>
            <w:tcW w:w="988" w:type="pct"/>
            <w:tcMar>
              <w:left w:w="108" w:type="dxa"/>
              <w:bottom w:w="28" w:type="dxa"/>
              <w:right w:w="108" w:type="dxa"/>
            </w:tcMar>
          </w:tcPr>
          <w:p w14:paraId="4A0C5DB9" w14:textId="524646DC" w:rsidR="00F541C2" w:rsidRDefault="00F541C2" w:rsidP="00D8091A">
            <w:pPr>
              <w:pStyle w:val="TableText"/>
            </w:pPr>
            <w:r>
              <w:t xml:space="preserve">1.4.3 </w:t>
            </w:r>
            <w:r w:rsidRPr="00B30341">
              <w:t xml:space="preserve">Develop specific </w:t>
            </w:r>
            <w:r w:rsidR="00020290" w:rsidRPr="00B30341">
              <w:t xml:space="preserve">Khapra </w:t>
            </w:r>
            <w:r w:rsidRPr="00B30341">
              <w:t xml:space="preserve">beetle focused guidelines for inspection of containers by authorised officers of companies receiving containers into upcountry areas with the intention of repacking them with </w:t>
            </w:r>
            <w:r w:rsidR="00020290" w:rsidRPr="00B30341">
              <w:t xml:space="preserve">Khapra </w:t>
            </w:r>
            <w:r w:rsidRPr="00B30341">
              <w:t>beetle susceptible commodities</w:t>
            </w:r>
          </w:p>
        </w:tc>
        <w:tc>
          <w:tcPr>
            <w:tcW w:w="987" w:type="pct"/>
            <w:shd w:val="clear" w:color="auto" w:fill="DEF0C2"/>
            <w:tcMar>
              <w:left w:w="108" w:type="dxa"/>
              <w:bottom w:w="28" w:type="dxa"/>
              <w:right w:w="108" w:type="dxa"/>
            </w:tcMar>
          </w:tcPr>
          <w:p w14:paraId="57747153" w14:textId="373171B3" w:rsidR="00F541C2" w:rsidRDefault="00F541C2" w:rsidP="00D8091A">
            <w:pPr>
              <w:pStyle w:val="TableText"/>
            </w:pPr>
            <w:r>
              <w:t xml:space="preserve">Completed – project finished </w:t>
            </w:r>
          </w:p>
        </w:tc>
        <w:tc>
          <w:tcPr>
            <w:tcW w:w="498" w:type="pct"/>
            <w:tcMar>
              <w:bottom w:w="28" w:type="dxa"/>
            </w:tcMar>
          </w:tcPr>
          <w:p w14:paraId="292C654E" w14:textId="4C9AD89D" w:rsidR="00F541C2" w:rsidRDefault="00F541C2" w:rsidP="00D8091A">
            <w:pPr>
              <w:pStyle w:val="TableText"/>
            </w:pPr>
            <w:r>
              <w:t>Commonwealth (CED, BOD, BPSSD, PLAE)</w:t>
            </w:r>
          </w:p>
        </w:tc>
        <w:tc>
          <w:tcPr>
            <w:tcW w:w="659" w:type="pct"/>
            <w:tcMar>
              <w:left w:w="108" w:type="dxa"/>
              <w:bottom w:w="28" w:type="dxa"/>
              <w:right w:w="108" w:type="dxa"/>
            </w:tcMar>
          </w:tcPr>
          <w:p w14:paraId="2737273F" w14:textId="2DB19812" w:rsidR="00F541C2" w:rsidRPr="009C6E83" w:rsidRDefault="00F541C2" w:rsidP="00D8091A">
            <w:pPr>
              <w:pStyle w:val="TableText"/>
            </w:pPr>
            <w:r>
              <w:t>Commonwealth</w:t>
            </w:r>
          </w:p>
        </w:tc>
        <w:tc>
          <w:tcPr>
            <w:tcW w:w="879" w:type="pct"/>
            <w:tcMar>
              <w:left w:w="108" w:type="dxa"/>
              <w:bottom w:w="28" w:type="dxa"/>
              <w:right w:w="108" w:type="dxa"/>
            </w:tcMar>
          </w:tcPr>
          <w:p w14:paraId="09E9616C" w14:textId="0D807062" w:rsidR="00F541C2" w:rsidRPr="009C6E83" w:rsidRDefault="00F541C2" w:rsidP="00D8091A">
            <w:pPr>
              <w:pStyle w:val="TableText"/>
            </w:pPr>
            <w:r>
              <w:t xml:space="preserve">Supports many other action areas including 1.5 </w:t>
            </w:r>
          </w:p>
        </w:tc>
      </w:tr>
      <w:tr w:rsidR="006B0F11" w:rsidRPr="00013AE2" w14:paraId="26BF8C82" w14:textId="77777777" w:rsidTr="00787004">
        <w:tc>
          <w:tcPr>
            <w:tcW w:w="988" w:type="pct"/>
            <w:vMerge/>
            <w:tcMar>
              <w:bottom w:w="28" w:type="dxa"/>
            </w:tcMar>
          </w:tcPr>
          <w:p w14:paraId="1C90AB97" w14:textId="0055A180" w:rsidR="00F541C2" w:rsidRPr="00AF3D1F" w:rsidRDefault="00F541C2" w:rsidP="00F541C2">
            <w:pPr>
              <w:pStyle w:val="TableText"/>
              <w:rPr>
                <w:rStyle w:val="Strong"/>
              </w:rPr>
            </w:pPr>
          </w:p>
        </w:tc>
        <w:tc>
          <w:tcPr>
            <w:tcW w:w="988" w:type="pct"/>
            <w:tcMar>
              <w:left w:w="108" w:type="dxa"/>
              <w:bottom w:w="28" w:type="dxa"/>
              <w:right w:w="108" w:type="dxa"/>
            </w:tcMar>
          </w:tcPr>
          <w:p w14:paraId="75137F04" w14:textId="7DF1DF06" w:rsidR="00F541C2" w:rsidRPr="00B30341" w:rsidRDefault="00F541C2" w:rsidP="00D8091A">
            <w:pPr>
              <w:pStyle w:val="TableText"/>
            </w:pPr>
            <w:r w:rsidRPr="00B30341">
              <w:t>1.4.4 Consider undertaking container risk surveys as part of the targeted operations under Action 1.3</w:t>
            </w:r>
          </w:p>
        </w:tc>
        <w:tc>
          <w:tcPr>
            <w:tcW w:w="987" w:type="pct"/>
            <w:shd w:val="clear" w:color="auto" w:fill="C6D9F1" w:themeFill="text2" w:themeFillTint="33"/>
            <w:tcMar>
              <w:left w:w="108" w:type="dxa"/>
              <w:bottom w:w="28" w:type="dxa"/>
              <w:right w:w="108" w:type="dxa"/>
            </w:tcMar>
          </w:tcPr>
          <w:p w14:paraId="07FCC161" w14:textId="03910E3B" w:rsidR="00F541C2" w:rsidRDefault="00F541C2" w:rsidP="00D8091A">
            <w:pPr>
              <w:pStyle w:val="TableText"/>
            </w:pPr>
            <w:r>
              <w:t xml:space="preserve">Ongoing – business as usual </w:t>
            </w:r>
          </w:p>
        </w:tc>
        <w:tc>
          <w:tcPr>
            <w:tcW w:w="498" w:type="pct"/>
            <w:tcMar>
              <w:bottom w:w="28" w:type="dxa"/>
            </w:tcMar>
          </w:tcPr>
          <w:p w14:paraId="069362B6" w14:textId="002CA894" w:rsidR="00F541C2" w:rsidRDefault="00F541C2" w:rsidP="00D8091A">
            <w:pPr>
              <w:pStyle w:val="TableText"/>
            </w:pPr>
            <w:r>
              <w:t>Commonwealth (BSRD, CED, D</w:t>
            </w:r>
            <w:r w:rsidR="000B0C1F">
              <w:t>B</w:t>
            </w:r>
            <w:r>
              <w:t>D, PPEBD, BPSSD)</w:t>
            </w:r>
          </w:p>
        </w:tc>
        <w:tc>
          <w:tcPr>
            <w:tcW w:w="659" w:type="pct"/>
            <w:tcMar>
              <w:left w:w="108" w:type="dxa"/>
              <w:bottom w:w="28" w:type="dxa"/>
              <w:right w:w="108" w:type="dxa"/>
            </w:tcMar>
          </w:tcPr>
          <w:p w14:paraId="5F3E83A2" w14:textId="519449C3" w:rsidR="00F541C2" w:rsidRPr="009C6E83" w:rsidRDefault="00F541C2" w:rsidP="00D8091A">
            <w:pPr>
              <w:pStyle w:val="TableText"/>
            </w:pPr>
            <w:r>
              <w:t>Commonwealth</w:t>
            </w:r>
          </w:p>
        </w:tc>
        <w:tc>
          <w:tcPr>
            <w:tcW w:w="879" w:type="pct"/>
            <w:tcMar>
              <w:left w:w="108" w:type="dxa"/>
              <w:bottom w:w="28" w:type="dxa"/>
              <w:right w:w="108" w:type="dxa"/>
            </w:tcMar>
          </w:tcPr>
          <w:p w14:paraId="7C4CBB6F" w14:textId="04AC505E" w:rsidR="00F541C2" w:rsidRPr="009C6E83" w:rsidRDefault="00F541C2" w:rsidP="00D8091A">
            <w:pPr>
              <w:pStyle w:val="TableText"/>
            </w:pPr>
            <w:r>
              <w:t>Relates to action 1.3</w:t>
            </w:r>
          </w:p>
        </w:tc>
      </w:tr>
      <w:tr w:rsidR="006B0F11" w:rsidRPr="00013AE2" w14:paraId="5BB39BA6" w14:textId="77777777" w:rsidTr="00787004">
        <w:tc>
          <w:tcPr>
            <w:tcW w:w="988" w:type="pct"/>
            <w:vMerge/>
            <w:tcMar>
              <w:bottom w:w="28" w:type="dxa"/>
            </w:tcMar>
          </w:tcPr>
          <w:p w14:paraId="2D1866D8" w14:textId="6FE937D2" w:rsidR="00DF1D73" w:rsidRPr="00AF3D1F" w:rsidRDefault="00DF1D73" w:rsidP="00DF1D73">
            <w:pPr>
              <w:pStyle w:val="TableText"/>
              <w:rPr>
                <w:rStyle w:val="Strong"/>
              </w:rPr>
            </w:pPr>
          </w:p>
        </w:tc>
        <w:tc>
          <w:tcPr>
            <w:tcW w:w="988" w:type="pct"/>
            <w:tcMar>
              <w:left w:w="108" w:type="dxa"/>
              <w:bottom w:w="28" w:type="dxa"/>
              <w:right w:w="108" w:type="dxa"/>
            </w:tcMar>
          </w:tcPr>
          <w:p w14:paraId="1C2E49E8" w14:textId="4305E7E2" w:rsidR="00DF1D73" w:rsidRPr="00B30341" w:rsidRDefault="00DF1D73" w:rsidP="00D8091A">
            <w:pPr>
              <w:pStyle w:val="TableText"/>
            </w:pPr>
            <w:r w:rsidRPr="00B30341">
              <w:t>1.4.5 Address an ongoing issue with brokers providing a destination metro address and not advising of unpack at rural postcode, in order to avoid a tailgate inspection</w:t>
            </w:r>
          </w:p>
        </w:tc>
        <w:tc>
          <w:tcPr>
            <w:tcW w:w="987" w:type="pct"/>
            <w:shd w:val="clear" w:color="auto" w:fill="C6D9F1" w:themeFill="text2" w:themeFillTint="33"/>
            <w:tcMar>
              <w:left w:w="108" w:type="dxa"/>
              <w:bottom w:w="28" w:type="dxa"/>
              <w:right w:w="108" w:type="dxa"/>
            </w:tcMar>
          </w:tcPr>
          <w:p w14:paraId="36D6102A" w14:textId="194D58B6" w:rsidR="00DF1D73" w:rsidRDefault="00DF1D73" w:rsidP="00D8091A">
            <w:pPr>
              <w:pStyle w:val="TableText"/>
            </w:pPr>
            <w:r>
              <w:t>Ongoing – business as usual</w:t>
            </w:r>
          </w:p>
        </w:tc>
        <w:tc>
          <w:tcPr>
            <w:tcW w:w="498" w:type="pct"/>
            <w:tcMar>
              <w:bottom w:w="28" w:type="dxa"/>
            </w:tcMar>
          </w:tcPr>
          <w:p w14:paraId="4D36EEA7" w14:textId="4C4BE917" w:rsidR="00DF1D73" w:rsidRDefault="00DF1D73" w:rsidP="00D8091A">
            <w:pPr>
              <w:pStyle w:val="TableText"/>
            </w:pPr>
            <w:r>
              <w:t>Commonwealth (BSRD, CED, D</w:t>
            </w:r>
            <w:r w:rsidR="000B0C1F">
              <w:t>B</w:t>
            </w:r>
            <w:r>
              <w:t>D, PPEBD, BPSSD)</w:t>
            </w:r>
          </w:p>
        </w:tc>
        <w:tc>
          <w:tcPr>
            <w:tcW w:w="659" w:type="pct"/>
            <w:tcMar>
              <w:left w:w="108" w:type="dxa"/>
              <w:bottom w:w="28" w:type="dxa"/>
              <w:right w:w="108" w:type="dxa"/>
            </w:tcMar>
          </w:tcPr>
          <w:p w14:paraId="4F6E5CE0" w14:textId="40DE914F" w:rsidR="00DF1D73" w:rsidRPr="009C6E83" w:rsidRDefault="00DF1D73" w:rsidP="00D8091A">
            <w:pPr>
              <w:pStyle w:val="TableText"/>
            </w:pPr>
            <w:r>
              <w:t>Commonwealth</w:t>
            </w:r>
          </w:p>
        </w:tc>
        <w:tc>
          <w:tcPr>
            <w:tcW w:w="879" w:type="pct"/>
            <w:tcMar>
              <w:left w:w="108" w:type="dxa"/>
              <w:bottom w:w="28" w:type="dxa"/>
              <w:right w:w="108" w:type="dxa"/>
            </w:tcMar>
          </w:tcPr>
          <w:p w14:paraId="57EDDFE8" w14:textId="00BD190B" w:rsidR="00DF1D73" w:rsidRPr="009C6E83" w:rsidRDefault="00DF1D73" w:rsidP="00D8091A">
            <w:pPr>
              <w:pStyle w:val="TableText"/>
            </w:pPr>
            <w:r>
              <w:t>Supports many other action areas including 1.5</w:t>
            </w:r>
          </w:p>
        </w:tc>
      </w:tr>
      <w:tr w:rsidR="006B0F11" w:rsidRPr="00013AE2" w14:paraId="2D6CA813" w14:textId="77777777" w:rsidTr="00787004">
        <w:tc>
          <w:tcPr>
            <w:tcW w:w="988" w:type="pct"/>
            <w:vMerge/>
            <w:tcMar>
              <w:bottom w:w="28" w:type="dxa"/>
            </w:tcMar>
          </w:tcPr>
          <w:p w14:paraId="3144E8B8" w14:textId="0F383AC0" w:rsidR="00DF1D73" w:rsidRPr="00AF3D1F" w:rsidRDefault="00DF1D73" w:rsidP="00DF1D73">
            <w:pPr>
              <w:pStyle w:val="TableText"/>
              <w:rPr>
                <w:rStyle w:val="Strong"/>
              </w:rPr>
            </w:pPr>
          </w:p>
        </w:tc>
        <w:tc>
          <w:tcPr>
            <w:tcW w:w="988" w:type="pct"/>
            <w:tcMar>
              <w:left w:w="108" w:type="dxa"/>
              <w:bottom w:w="28" w:type="dxa"/>
              <w:right w:w="108" w:type="dxa"/>
            </w:tcMar>
          </w:tcPr>
          <w:p w14:paraId="3BA0AD7E" w14:textId="549DA8EF" w:rsidR="00DF1D73" w:rsidRPr="00B30341" w:rsidRDefault="00DF1D73" w:rsidP="00D8091A">
            <w:pPr>
              <w:pStyle w:val="TableText"/>
            </w:pPr>
            <w:r w:rsidRPr="00B30341">
              <w:t>1.4.6 Continue to address system capability</w:t>
            </w:r>
          </w:p>
        </w:tc>
        <w:tc>
          <w:tcPr>
            <w:tcW w:w="987" w:type="pct"/>
            <w:shd w:val="clear" w:color="auto" w:fill="C6D9F1" w:themeFill="text2" w:themeFillTint="33"/>
            <w:tcMar>
              <w:left w:w="108" w:type="dxa"/>
              <w:bottom w:w="28" w:type="dxa"/>
              <w:right w:w="108" w:type="dxa"/>
            </w:tcMar>
          </w:tcPr>
          <w:p w14:paraId="1E2C7BAA" w14:textId="47510AC5" w:rsidR="00DF1D73" w:rsidRDefault="00DF1D73" w:rsidP="00D8091A">
            <w:pPr>
              <w:pStyle w:val="TableText"/>
            </w:pPr>
            <w:r>
              <w:t>Ongoing – business as usual</w:t>
            </w:r>
          </w:p>
        </w:tc>
        <w:tc>
          <w:tcPr>
            <w:tcW w:w="498" w:type="pct"/>
            <w:tcMar>
              <w:bottom w:w="28" w:type="dxa"/>
            </w:tcMar>
          </w:tcPr>
          <w:p w14:paraId="2B90E7C6" w14:textId="173A0175" w:rsidR="00DF1D73" w:rsidRDefault="00DF1D73" w:rsidP="00D8091A">
            <w:pPr>
              <w:pStyle w:val="TableText"/>
            </w:pPr>
            <w:r>
              <w:t>Commonwealth (BSRD, CED, D</w:t>
            </w:r>
            <w:r w:rsidR="000B0C1F">
              <w:t>B</w:t>
            </w:r>
            <w:r>
              <w:t>D, PPEBD, BPSSD)</w:t>
            </w:r>
          </w:p>
        </w:tc>
        <w:tc>
          <w:tcPr>
            <w:tcW w:w="659" w:type="pct"/>
            <w:tcMar>
              <w:left w:w="108" w:type="dxa"/>
              <w:bottom w:w="28" w:type="dxa"/>
              <w:right w:w="108" w:type="dxa"/>
            </w:tcMar>
          </w:tcPr>
          <w:p w14:paraId="7118678D" w14:textId="35796AE0" w:rsidR="00DF1D73" w:rsidRPr="009C6E83" w:rsidRDefault="00DF1D73" w:rsidP="00D8091A">
            <w:pPr>
              <w:pStyle w:val="TableText"/>
            </w:pPr>
            <w:r>
              <w:t>Commonwealth</w:t>
            </w:r>
          </w:p>
        </w:tc>
        <w:tc>
          <w:tcPr>
            <w:tcW w:w="879" w:type="pct"/>
            <w:tcMar>
              <w:left w:w="108" w:type="dxa"/>
              <w:bottom w:w="28" w:type="dxa"/>
              <w:right w:w="108" w:type="dxa"/>
            </w:tcMar>
          </w:tcPr>
          <w:p w14:paraId="50497725" w14:textId="71765CF0" w:rsidR="00DF1D73" w:rsidRPr="009C6E83" w:rsidRDefault="00DF1D73" w:rsidP="00D8091A">
            <w:pPr>
              <w:pStyle w:val="TableText"/>
            </w:pPr>
            <w:r>
              <w:t xml:space="preserve">Supports many other action areas including 1.5 </w:t>
            </w:r>
          </w:p>
        </w:tc>
      </w:tr>
      <w:tr w:rsidR="00CC0CEB" w:rsidRPr="00013AE2" w14:paraId="0A355C37" w14:textId="77777777" w:rsidTr="00CB6DE1">
        <w:tc>
          <w:tcPr>
            <w:tcW w:w="988" w:type="pct"/>
            <w:vMerge/>
            <w:tcMar>
              <w:bottom w:w="28" w:type="dxa"/>
            </w:tcMar>
          </w:tcPr>
          <w:p w14:paraId="311F73D3" w14:textId="77777777" w:rsidR="00DF1D73" w:rsidRDefault="00DF1D73" w:rsidP="00DF1D73">
            <w:pPr>
              <w:pStyle w:val="TableText"/>
              <w:rPr>
                <w:rStyle w:val="Strong"/>
              </w:rPr>
            </w:pPr>
          </w:p>
        </w:tc>
        <w:tc>
          <w:tcPr>
            <w:tcW w:w="988" w:type="pct"/>
            <w:tcMar>
              <w:left w:w="108" w:type="dxa"/>
              <w:bottom w:w="28" w:type="dxa"/>
              <w:right w:w="108" w:type="dxa"/>
            </w:tcMar>
          </w:tcPr>
          <w:p w14:paraId="1EAB3980" w14:textId="3F66BEE0" w:rsidR="00DF1D73" w:rsidRPr="00B30341" w:rsidRDefault="00DF1D73" w:rsidP="00D8091A">
            <w:pPr>
              <w:pStyle w:val="TableText"/>
            </w:pPr>
            <w:r w:rsidRPr="00B30341">
              <w:t xml:space="preserve">1.4.7 BRII Container Challenge </w:t>
            </w:r>
          </w:p>
        </w:tc>
        <w:tc>
          <w:tcPr>
            <w:tcW w:w="987" w:type="pct"/>
            <w:shd w:val="clear" w:color="auto" w:fill="DEF0C2"/>
            <w:tcMar>
              <w:left w:w="108" w:type="dxa"/>
              <w:bottom w:w="28" w:type="dxa"/>
              <w:right w:w="108" w:type="dxa"/>
            </w:tcMar>
          </w:tcPr>
          <w:p w14:paraId="1BE36429" w14:textId="7D0A5352" w:rsidR="00C650F2" w:rsidRDefault="00803701" w:rsidP="00DF1D73">
            <w:pPr>
              <w:pStyle w:val="Heading4"/>
              <w:numPr>
                <w:ilvl w:val="0"/>
                <w:numId w:val="0"/>
              </w:numPr>
              <w:rPr>
                <w:rStyle w:val="CommentReference"/>
                <w:rFonts w:cstheme="minorHAnsi"/>
                <w:b w:val="0"/>
                <w:bCs w:val="0"/>
                <w:sz w:val="18"/>
                <w:szCs w:val="18"/>
              </w:rPr>
            </w:pPr>
            <w:r w:rsidRPr="00787004">
              <w:rPr>
                <w:rFonts w:cstheme="minorHAnsi"/>
                <w:b w:val="0"/>
                <w:bCs w:val="0"/>
                <w:sz w:val="18"/>
                <w:szCs w:val="18"/>
              </w:rPr>
              <w:t>Completed – project finished</w:t>
            </w:r>
            <w:r w:rsidR="00804F84" w:rsidRPr="00430F9B">
              <w:rPr>
                <w:rStyle w:val="CommentReference"/>
                <w:rFonts w:cstheme="minorHAnsi"/>
                <w:b w:val="0"/>
                <w:bCs w:val="0"/>
                <w:sz w:val="18"/>
                <w:szCs w:val="18"/>
              </w:rPr>
              <w:t xml:space="preserve"> in 2021</w:t>
            </w:r>
          </w:p>
          <w:p w14:paraId="29C9A0CB" w14:textId="102B7797" w:rsidR="00DF1D73" w:rsidRPr="0068649D" w:rsidRDefault="00117BDB" w:rsidP="00DF1D73">
            <w:pPr>
              <w:pStyle w:val="Heading4"/>
              <w:numPr>
                <w:ilvl w:val="0"/>
                <w:numId w:val="0"/>
              </w:numPr>
              <w:rPr>
                <w:rFonts w:asciiTheme="minorHAnsi" w:eastAsiaTheme="minorHAnsi" w:hAnsiTheme="minorHAnsi" w:cstheme="minorBidi"/>
                <w:b w:val="0"/>
                <w:bCs w:val="0"/>
                <w:sz w:val="18"/>
                <w:szCs w:val="18"/>
              </w:rPr>
            </w:pPr>
            <w:r w:rsidRPr="00D04EDB">
              <w:rPr>
                <w:rFonts w:asciiTheme="minorHAnsi" w:hAnsiTheme="minorHAnsi" w:cstheme="minorHAnsi"/>
                <w:b w:val="0"/>
                <w:bCs w:val="0"/>
                <w:sz w:val="18"/>
                <w:szCs w:val="18"/>
              </w:rPr>
              <w:t>Work</w:t>
            </w:r>
            <w:r w:rsidRPr="00787004">
              <w:rPr>
                <w:rFonts w:asciiTheme="minorHAnsi" w:hAnsiTheme="minorHAnsi" w:cstheme="minorHAnsi"/>
                <w:b w:val="0"/>
                <w:bCs w:val="0"/>
                <w:sz w:val="16"/>
                <w:szCs w:val="16"/>
              </w:rPr>
              <w:t xml:space="preserve"> </w:t>
            </w:r>
            <w:r w:rsidRPr="0068649D">
              <w:rPr>
                <w:rFonts w:asciiTheme="minorHAnsi" w:hAnsiTheme="minorHAnsi" w:cstheme="minorHAnsi"/>
                <w:b w:val="0"/>
                <w:bCs w:val="0"/>
                <w:sz w:val="18"/>
                <w:szCs w:val="18"/>
              </w:rPr>
              <w:t>with small to medium businesses to explore the use of sensing/imaging technology and deep learning architecture to scan containers in large numbers at the wharf, and for this information to be sent to the department for remote triaging and decisions on further intervention</w:t>
            </w:r>
          </w:p>
        </w:tc>
        <w:tc>
          <w:tcPr>
            <w:tcW w:w="498" w:type="pct"/>
            <w:tcMar>
              <w:bottom w:w="28" w:type="dxa"/>
            </w:tcMar>
          </w:tcPr>
          <w:p w14:paraId="372A558D" w14:textId="6E9786A3" w:rsidR="00DF1D73" w:rsidRDefault="00DF1D73" w:rsidP="00D8091A">
            <w:pPr>
              <w:pStyle w:val="TableText"/>
            </w:pPr>
            <w:r>
              <w:t>Commonwealth (BSRD, CED, D</w:t>
            </w:r>
            <w:r w:rsidR="000B0C1F">
              <w:t>B</w:t>
            </w:r>
            <w:r>
              <w:t>D, PPEBD, BPSSD)</w:t>
            </w:r>
          </w:p>
        </w:tc>
        <w:tc>
          <w:tcPr>
            <w:tcW w:w="659" w:type="pct"/>
            <w:tcMar>
              <w:left w:w="108" w:type="dxa"/>
              <w:bottom w:w="28" w:type="dxa"/>
              <w:right w:w="108" w:type="dxa"/>
            </w:tcMar>
          </w:tcPr>
          <w:p w14:paraId="6E20D8D6" w14:textId="0E05F1CA" w:rsidR="00DF1D73" w:rsidRPr="009C6E83" w:rsidRDefault="00DF1D73" w:rsidP="00D8091A">
            <w:pPr>
              <w:pStyle w:val="TableText"/>
            </w:pPr>
            <w:r>
              <w:t>Commonwealth</w:t>
            </w:r>
          </w:p>
        </w:tc>
        <w:tc>
          <w:tcPr>
            <w:tcW w:w="879" w:type="pct"/>
            <w:tcMar>
              <w:left w:w="108" w:type="dxa"/>
              <w:bottom w:w="28" w:type="dxa"/>
              <w:right w:w="108" w:type="dxa"/>
            </w:tcMar>
          </w:tcPr>
          <w:p w14:paraId="7D2B890B" w14:textId="64D847E4" w:rsidR="00DF1D73" w:rsidRPr="009C6E83" w:rsidRDefault="00DF1D73" w:rsidP="00D8091A">
            <w:pPr>
              <w:pStyle w:val="TableText"/>
            </w:pPr>
            <w:r>
              <w:t xml:space="preserve">Supports many other action areas including 1.5 </w:t>
            </w:r>
          </w:p>
        </w:tc>
      </w:tr>
      <w:tr w:rsidR="006B0F11" w:rsidRPr="00013AE2" w14:paraId="3CA4E480" w14:textId="77777777" w:rsidTr="00787004">
        <w:tc>
          <w:tcPr>
            <w:tcW w:w="988" w:type="pct"/>
            <w:vMerge/>
            <w:tcMar>
              <w:bottom w:w="28" w:type="dxa"/>
            </w:tcMar>
          </w:tcPr>
          <w:p w14:paraId="43B7AB23" w14:textId="77777777" w:rsidR="00DF1D73" w:rsidRDefault="00DF1D73" w:rsidP="00DF1D73">
            <w:pPr>
              <w:pStyle w:val="TableText"/>
              <w:rPr>
                <w:rStyle w:val="Strong"/>
              </w:rPr>
            </w:pPr>
          </w:p>
        </w:tc>
        <w:tc>
          <w:tcPr>
            <w:tcW w:w="988" w:type="pct"/>
            <w:tcMar>
              <w:left w:w="108" w:type="dxa"/>
              <w:bottom w:w="28" w:type="dxa"/>
              <w:right w:w="108" w:type="dxa"/>
            </w:tcMar>
          </w:tcPr>
          <w:p w14:paraId="782D3228" w14:textId="63B58059" w:rsidR="00DF1D73" w:rsidRPr="00B30341" w:rsidRDefault="00DF1D73" w:rsidP="00D8091A">
            <w:pPr>
              <w:pStyle w:val="TableText"/>
            </w:pPr>
            <w:r w:rsidRPr="00B30341">
              <w:t xml:space="preserve">1.4.8 Through the </w:t>
            </w:r>
            <w:r w:rsidRPr="00A93D0D">
              <w:t>International</w:t>
            </w:r>
            <w:r w:rsidRPr="00B30341">
              <w:t xml:space="preserve"> Plant Protection Convention promote the creation of more commodity class, such as food stuffs, and conveyance-specific phytosanitary standards to supplement the existing suite of phytosanitary standards</w:t>
            </w:r>
          </w:p>
        </w:tc>
        <w:tc>
          <w:tcPr>
            <w:tcW w:w="987" w:type="pct"/>
            <w:shd w:val="clear" w:color="auto" w:fill="C6D9F1" w:themeFill="text2" w:themeFillTint="33"/>
            <w:tcMar>
              <w:left w:w="108" w:type="dxa"/>
              <w:bottom w:w="28" w:type="dxa"/>
              <w:right w:w="108" w:type="dxa"/>
            </w:tcMar>
          </w:tcPr>
          <w:p w14:paraId="76032BC0" w14:textId="77777777" w:rsidR="00DF1D73" w:rsidRDefault="00DF1D73" w:rsidP="00D8091A">
            <w:pPr>
              <w:pStyle w:val="TableText"/>
            </w:pPr>
            <w:r>
              <w:t>Ongoing – business as usual</w:t>
            </w:r>
          </w:p>
          <w:p w14:paraId="78EA1D91" w14:textId="4615108D" w:rsidR="00803701" w:rsidRDefault="00803701" w:rsidP="00D8091A">
            <w:pPr>
              <w:pStyle w:val="TableText"/>
            </w:pPr>
            <w:r w:rsidRPr="0094117A">
              <w:t xml:space="preserve">Work is underway by the Sea Container Focus Group (SCFG) to recommend for Commission on Phytosanitary Measures’ consideration </w:t>
            </w:r>
            <w:r>
              <w:t xml:space="preserve">a standard on Sea Containers </w:t>
            </w:r>
            <w:r w:rsidRPr="0094117A">
              <w:t>in 202</w:t>
            </w:r>
            <w:r>
              <w:t>4.</w:t>
            </w:r>
          </w:p>
        </w:tc>
        <w:tc>
          <w:tcPr>
            <w:tcW w:w="498" w:type="pct"/>
            <w:tcMar>
              <w:bottom w:w="28" w:type="dxa"/>
            </w:tcMar>
          </w:tcPr>
          <w:p w14:paraId="487D3963" w14:textId="3128DC72" w:rsidR="00DF1D73" w:rsidRDefault="00DF1D73" w:rsidP="00D8091A">
            <w:pPr>
              <w:pStyle w:val="TableText"/>
            </w:pPr>
            <w:r>
              <w:t xml:space="preserve">Commonwealth (BSRD, </w:t>
            </w:r>
            <w:proofErr w:type="gramStart"/>
            <w:r>
              <w:t>CED,,</w:t>
            </w:r>
            <w:proofErr w:type="gramEnd"/>
            <w:r>
              <w:t xml:space="preserve"> PPEBD, BPSSD</w:t>
            </w:r>
            <w:r w:rsidR="00803701">
              <w:t>, HHWG</w:t>
            </w:r>
            <w:r>
              <w:t>)</w:t>
            </w:r>
          </w:p>
        </w:tc>
        <w:tc>
          <w:tcPr>
            <w:tcW w:w="659" w:type="pct"/>
            <w:tcMar>
              <w:left w:w="108" w:type="dxa"/>
              <w:bottom w:w="28" w:type="dxa"/>
              <w:right w:w="108" w:type="dxa"/>
            </w:tcMar>
          </w:tcPr>
          <w:p w14:paraId="070F7298" w14:textId="151980C4" w:rsidR="00DF1D73" w:rsidRPr="009C6E83" w:rsidRDefault="00DF1D73" w:rsidP="00D8091A">
            <w:pPr>
              <w:pStyle w:val="TableText"/>
            </w:pPr>
            <w:r>
              <w:t>Commonwealth</w:t>
            </w:r>
          </w:p>
        </w:tc>
        <w:tc>
          <w:tcPr>
            <w:tcW w:w="879" w:type="pct"/>
            <w:tcMar>
              <w:left w:w="108" w:type="dxa"/>
              <w:bottom w:w="28" w:type="dxa"/>
              <w:right w:w="108" w:type="dxa"/>
            </w:tcMar>
          </w:tcPr>
          <w:p w14:paraId="76ABECB5" w14:textId="584AE000" w:rsidR="00DF1D73" w:rsidRPr="009C6E83" w:rsidRDefault="00DF1D73" w:rsidP="00D8091A">
            <w:pPr>
              <w:pStyle w:val="TableText"/>
            </w:pPr>
            <w:r>
              <w:t xml:space="preserve">Supports many other action areas including 1.5 </w:t>
            </w:r>
          </w:p>
        </w:tc>
      </w:tr>
      <w:tr w:rsidR="006B0F11" w:rsidRPr="00013AE2" w14:paraId="3BE7D57D" w14:textId="77777777" w:rsidTr="00D8091A">
        <w:trPr>
          <w:trHeight w:val="1429"/>
        </w:trPr>
        <w:tc>
          <w:tcPr>
            <w:tcW w:w="988" w:type="pct"/>
            <w:vMerge/>
            <w:tcMar>
              <w:bottom w:w="28" w:type="dxa"/>
            </w:tcMar>
          </w:tcPr>
          <w:p w14:paraId="13DD00CF" w14:textId="77777777" w:rsidR="00DF1D73" w:rsidRDefault="00DF1D73" w:rsidP="00DF1D73">
            <w:pPr>
              <w:pStyle w:val="TableText"/>
              <w:rPr>
                <w:rStyle w:val="Strong"/>
              </w:rPr>
            </w:pPr>
          </w:p>
        </w:tc>
        <w:tc>
          <w:tcPr>
            <w:tcW w:w="988" w:type="pct"/>
            <w:tcMar>
              <w:left w:w="108" w:type="dxa"/>
              <w:bottom w:w="28" w:type="dxa"/>
              <w:right w:w="108" w:type="dxa"/>
            </w:tcMar>
          </w:tcPr>
          <w:p w14:paraId="2074CABC" w14:textId="4509C287" w:rsidR="00DF1D73" w:rsidRPr="00B30341" w:rsidRDefault="00DF1D73" w:rsidP="00D8091A">
            <w:pPr>
              <w:pStyle w:val="TableText"/>
            </w:pPr>
            <w:r w:rsidRPr="00B30341">
              <w:t>1.4.9 New container design should be considered, including containers without wooden floorboards for potential use</w:t>
            </w:r>
          </w:p>
        </w:tc>
        <w:tc>
          <w:tcPr>
            <w:tcW w:w="987" w:type="pct"/>
            <w:shd w:val="clear" w:color="auto" w:fill="FDF4C7"/>
            <w:tcMar>
              <w:left w:w="108" w:type="dxa"/>
              <w:bottom w:w="28" w:type="dxa"/>
              <w:right w:w="108" w:type="dxa"/>
            </w:tcMar>
          </w:tcPr>
          <w:p w14:paraId="3F3B8652" w14:textId="3C4CC679" w:rsidR="00DF1D73" w:rsidRDefault="00DF1D73" w:rsidP="00D8091A">
            <w:pPr>
              <w:pStyle w:val="TableText"/>
            </w:pPr>
            <w:r>
              <w:t>On track – project commenced</w:t>
            </w:r>
          </w:p>
          <w:p w14:paraId="3B92575A" w14:textId="45F661F4" w:rsidR="00DF1D73" w:rsidRPr="0094117A" w:rsidRDefault="00DF1D73" w:rsidP="00D8091A">
            <w:pPr>
              <w:pStyle w:val="TableText"/>
            </w:pPr>
            <w:r w:rsidRPr="0094117A">
              <w:t>Work is underway by the</w:t>
            </w:r>
            <w:r w:rsidR="00C650F2">
              <w:t xml:space="preserve"> </w:t>
            </w:r>
            <w:r w:rsidRPr="0094117A">
              <w:t>SCFG to recommend this for Commission on Phytosanitary Measures’ consideration in 2023.</w:t>
            </w:r>
          </w:p>
        </w:tc>
        <w:tc>
          <w:tcPr>
            <w:tcW w:w="498" w:type="pct"/>
            <w:tcMar>
              <w:bottom w:w="28" w:type="dxa"/>
            </w:tcMar>
          </w:tcPr>
          <w:p w14:paraId="782DF55A" w14:textId="1818B45F" w:rsidR="00DF1D73" w:rsidRDefault="00DF1D73" w:rsidP="00D8091A">
            <w:pPr>
              <w:pStyle w:val="TableText"/>
            </w:pPr>
            <w:r>
              <w:t xml:space="preserve">Commonwealth (BSRD, </w:t>
            </w:r>
            <w:proofErr w:type="gramStart"/>
            <w:r>
              <w:t>CED,  PPEBD</w:t>
            </w:r>
            <w:proofErr w:type="gramEnd"/>
            <w:r>
              <w:t>, BPSSD</w:t>
            </w:r>
            <w:r w:rsidR="00803701">
              <w:t>, HHWG</w:t>
            </w:r>
            <w:r>
              <w:t>)</w:t>
            </w:r>
          </w:p>
        </w:tc>
        <w:tc>
          <w:tcPr>
            <w:tcW w:w="659" w:type="pct"/>
            <w:tcMar>
              <w:left w:w="108" w:type="dxa"/>
              <w:bottom w:w="28" w:type="dxa"/>
              <w:right w:w="108" w:type="dxa"/>
            </w:tcMar>
          </w:tcPr>
          <w:p w14:paraId="162A7FD9" w14:textId="0E6DA364" w:rsidR="00DF1D73" w:rsidRPr="009C6E83" w:rsidRDefault="00DF1D73" w:rsidP="00D8091A">
            <w:pPr>
              <w:pStyle w:val="TableText"/>
            </w:pPr>
            <w:r>
              <w:t>Commonwealth</w:t>
            </w:r>
          </w:p>
        </w:tc>
        <w:tc>
          <w:tcPr>
            <w:tcW w:w="879" w:type="pct"/>
            <w:tcMar>
              <w:left w:w="108" w:type="dxa"/>
              <w:bottom w:w="28" w:type="dxa"/>
              <w:right w:w="108" w:type="dxa"/>
            </w:tcMar>
          </w:tcPr>
          <w:p w14:paraId="77776EF0" w14:textId="4B804899" w:rsidR="00DF1D73" w:rsidRPr="009C6E83" w:rsidRDefault="00DF1D73" w:rsidP="00D8091A">
            <w:pPr>
              <w:pStyle w:val="TableText"/>
            </w:pPr>
            <w:r>
              <w:t xml:space="preserve">Supports many other action areas including 1.5 </w:t>
            </w:r>
          </w:p>
        </w:tc>
      </w:tr>
      <w:tr w:rsidR="006B0F11" w:rsidRPr="00013AE2" w14:paraId="3245B909" w14:textId="77777777" w:rsidTr="00D8091A">
        <w:tc>
          <w:tcPr>
            <w:tcW w:w="988" w:type="pct"/>
            <w:vMerge w:val="restart"/>
            <w:tcMar>
              <w:bottom w:w="28" w:type="dxa"/>
            </w:tcMar>
          </w:tcPr>
          <w:p w14:paraId="49F6F4A3" w14:textId="688BAF7A" w:rsidR="00DF1D73" w:rsidRDefault="00DF1D73" w:rsidP="00DF1D73">
            <w:pPr>
              <w:pStyle w:val="TableText"/>
              <w:rPr>
                <w:rStyle w:val="Strong"/>
                <w:b w:val="0"/>
                <w:bCs w:val="0"/>
              </w:rPr>
            </w:pPr>
            <w:r w:rsidRPr="00AF3D1F">
              <w:rPr>
                <w:rStyle w:val="Strong"/>
              </w:rPr>
              <w:t>Action 1.</w:t>
            </w:r>
            <w:r>
              <w:rPr>
                <w:rStyle w:val="Strong"/>
              </w:rPr>
              <w:t>5</w:t>
            </w:r>
            <w:r w:rsidRPr="00AF3D1F">
              <w:rPr>
                <w:rStyle w:val="Strong"/>
              </w:rPr>
              <w:t>:</w:t>
            </w:r>
            <w:r>
              <w:rPr>
                <w:rStyle w:val="Strong"/>
              </w:rPr>
              <w:t xml:space="preserve"> </w:t>
            </w:r>
            <w:r w:rsidRPr="003E163A">
              <w:rPr>
                <w:rStyle w:val="Strong"/>
                <w:b w:val="0"/>
                <w:bCs w:val="0"/>
              </w:rPr>
              <w:t>Reduce incidental contamination and use data to inform risk management decisions</w:t>
            </w:r>
            <w:r>
              <w:rPr>
                <w:rStyle w:val="Strong"/>
                <w:b w:val="0"/>
                <w:bCs w:val="0"/>
              </w:rPr>
              <w:t>.</w:t>
            </w:r>
          </w:p>
          <w:p w14:paraId="2213E91C" w14:textId="06CC551D" w:rsidR="00DF1D73" w:rsidRDefault="00DF1D73" w:rsidP="00DF1D73">
            <w:pPr>
              <w:pStyle w:val="TableText"/>
              <w:rPr>
                <w:rStyle w:val="Strong"/>
                <w:b w:val="0"/>
                <w:bCs w:val="0"/>
              </w:rPr>
            </w:pPr>
            <w:r w:rsidRPr="009D6998">
              <w:rPr>
                <w:rStyle w:val="Strong"/>
              </w:rPr>
              <w:t>Expected benefit and outcome</w:t>
            </w:r>
            <w:r>
              <w:rPr>
                <w:rStyle w:val="Strong"/>
              </w:rPr>
              <w:t>:</w:t>
            </w:r>
            <w:r>
              <w:t xml:space="preserve"> </w:t>
            </w:r>
            <w:r w:rsidRPr="003E163A">
              <w:rPr>
                <w:rFonts w:cstheme="minorHAnsi"/>
                <w:bCs/>
                <w:szCs w:val="18"/>
              </w:rPr>
              <w:t xml:space="preserve">Encourage regular exchange of information about emerging pest concerns. Given the significance of </w:t>
            </w:r>
            <w:r w:rsidR="00020290">
              <w:rPr>
                <w:rFonts w:cstheme="minorHAnsi"/>
                <w:bCs/>
                <w:szCs w:val="18"/>
              </w:rPr>
              <w:t>Khapra</w:t>
            </w:r>
            <w:r w:rsidRPr="003E163A">
              <w:rPr>
                <w:rFonts w:cstheme="minorHAnsi"/>
                <w:bCs/>
                <w:szCs w:val="18"/>
              </w:rPr>
              <w:t xml:space="preserve"> beetle as a pest, increasing Australia’s international dialogue on this pest </w:t>
            </w:r>
            <w:r w:rsidRPr="003E163A">
              <w:rPr>
                <w:rFonts w:cstheme="minorHAnsi"/>
                <w:bCs/>
                <w:szCs w:val="18"/>
              </w:rPr>
              <w:lastRenderedPageBreak/>
              <w:t>would assist in preventing the entry of the pest into Australia and potentially other pests.</w:t>
            </w:r>
          </w:p>
          <w:p w14:paraId="70E28D1E" w14:textId="78D84086" w:rsidR="00DF1D73" w:rsidRPr="00AA2A13" w:rsidRDefault="00DF1D73" w:rsidP="00DF1D73">
            <w:pPr>
              <w:pStyle w:val="TableText"/>
            </w:pPr>
            <w:r w:rsidRPr="009D6998">
              <w:rPr>
                <w:rStyle w:val="Strong"/>
              </w:rPr>
              <w:t>Priority</w:t>
            </w:r>
            <w:r>
              <w:rPr>
                <w:rStyle w:val="Strong"/>
              </w:rPr>
              <w:t xml:space="preserve">: </w:t>
            </w:r>
            <w:r w:rsidRPr="00AF7C14">
              <w:rPr>
                <w:rStyle w:val="Strong"/>
                <w:b w:val="0"/>
                <w:bCs w:val="0"/>
              </w:rPr>
              <w:t>high</w:t>
            </w:r>
          </w:p>
          <w:p w14:paraId="619B78A1" w14:textId="7875A1D4" w:rsidR="00DF1D73" w:rsidRPr="00AF3D1F" w:rsidRDefault="00DF1D73" w:rsidP="00DF1D73">
            <w:pPr>
              <w:pStyle w:val="TableText"/>
              <w:rPr>
                <w:rStyle w:val="Strong"/>
              </w:rPr>
            </w:pPr>
            <w:r w:rsidRPr="009D6998">
              <w:rPr>
                <w:rStyle w:val="Strong"/>
              </w:rPr>
              <w:t>Time frame</w:t>
            </w:r>
            <w:r>
              <w:rPr>
                <w:rStyle w:val="Strong"/>
              </w:rPr>
              <w:t xml:space="preserve">: </w:t>
            </w:r>
            <w:r w:rsidRPr="00AF7C14">
              <w:rPr>
                <w:rStyle w:val="Strong"/>
                <w:b w:val="0"/>
                <w:bCs w:val="0"/>
              </w:rPr>
              <w:t xml:space="preserve">medium </w:t>
            </w:r>
            <w:r w:rsidRPr="00AA2A13">
              <w:t>term</w:t>
            </w:r>
          </w:p>
        </w:tc>
        <w:tc>
          <w:tcPr>
            <w:tcW w:w="988" w:type="pct"/>
            <w:tcMar>
              <w:left w:w="108" w:type="dxa"/>
              <w:bottom w:w="28" w:type="dxa"/>
              <w:right w:w="108" w:type="dxa"/>
            </w:tcMar>
          </w:tcPr>
          <w:p w14:paraId="246FA609" w14:textId="227899F9" w:rsidR="00DF1D73" w:rsidRDefault="00DF1D73" w:rsidP="00D8091A">
            <w:pPr>
              <w:pStyle w:val="TableText"/>
            </w:pPr>
            <w:r>
              <w:lastRenderedPageBreak/>
              <w:t xml:space="preserve">1.5.1 </w:t>
            </w:r>
            <w:r w:rsidRPr="003E163A">
              <w:t>Progress eDNA work and use the information coming out of the data created to inform the identification of high-risk containers and the approach to interventions more broadly</w:t>
            </w:r>
          </w:p>
        </w:tc>
        <w:tc>
          <w:tcPr>
            <w:tcW w:w="987" w:type="pct"/>
            <w:shd w:val="clear" w:color="auto" w:fill="DEF0C2"/>
            <w:tcMar>
              <w:left w:w="108" w:type="dxa"/>
              <w:bottom w:w="28" w:type="dxa"/>
              <w:right w:w="108" w:type="dxa"/>
            </w:tcMar>
          </w:tcPr>
          <w:p w14:paraId="7BACF9B3" w14:textId="67EA00A4" w:rsidR="00DF1D73" w:rsidRDefault="00DF1D73" w:rsidP="00D8091A">
            <w:pPr>
              <w:pStyle w:val="TableText"/>
            </w:pPr>
            <w:r>
              <w:t>Completed – project finished</w:t>
            </w:r>
          </w:p>
          <w:p w14:paraId="6A41702C" w14:textId="17277BE2" w:rsidR="00DF1D73" w:rsidRPr="003E163A" w:rsidRDefault="00DF1D73" w:rsidP="00DF1D73">
            <w:r w:rsidRPr="003E163A">
              <w:rPr>
                <w:rFonts w:cstheme="minorHAnsi"/>
                <w:bCs/>
                <w:sz w:val="18"/>
                <w:szCs w:val="18"/>
              </w:rPr>
              <w:t>Used eDNA information to identify high-risk shipping containers</w:t>
            </w:r>
          </w:p>
        </w:tc>
        <w:tc>
          <w:tcPr>
            <w:tcW w:w="498" w:type="pct"/>
            <w:tcMar>
              <w:bottom w:w="28" w:type="dxa"/>
            </w:tcMar>
          </w:tcPr>
          <w:p w14:paraId="6B793E12" w14:textId="60C83A95" w:rsidR="00DF1D73" w:rsidRDefault="00DF1D73" w:rsidP="00D8091A">
            <w:pPr>
              <w:pStyle w:val="TableText"/>
            </w:pPr>
            <w:r>
              <w:t xml:space="preserve">Commonwealth (BPSSD, </w:t>
            </w:r>
            <w:r w:rsidR="00803701">
              <w:t>HHWG</w:t>
            </w:r>
            <w:r>
              <w:t>,</w:t>
            </w:r>
            <w:r w:rsidR="002D174C">
              <w:t xml:space="preserve"> TID</w:t>
            </w:r>
          </w:p>
        </w:tc>
        <w:tc>
          <w:tcPr>
            <w:tcW w:w="659" w:type="pct"/>
            <w:tcMar>
              <w:left w:w="108" w:type="dxa"/>
              <w:bottom w:w="28" w:type="dxa"/>
              <w:right w:w="108" w:type="dxa"/>
            </w:tcMar>
          </w:tcPr>
          <w:p w14:paraId="254F1C92" w14:textId="7BD94F00" w:rsidR="00DF1D73" w:rsidRPr="009C6E83" w:rsidRDefault="00DF1D73" w:rsidP="00D8091A">
            <w:pPr>
              <w:pStyle w:val="TableText"/>
            </w:pPr>
            <w:r>
              <w:t xml:space="preserve">Commonwealth </w:t>
            </w:r>
          </w:p>
        </w:tc>
        <w:tc>
          <w:tcPr>
            <w:tcW w:w="879" w:type="pct"/>
            <w:tcMar>
              <w:left w:w="108" w:type="dxa"/>
              <w:bottom w:w="28" w:type="dxa"/>
              <w:right w:w="108" w:type="dxa"/>
            </w:tcMar>
          </w:tcPr>
          <w:p w14:paraId="6707D365" w14:textId="136E054E" w:rsidR="00DF1D73" w:rsidRPr="009C6E83" w:rsidRDefault="00DF1D73" w:rsidP="00D8091A">
            <w:pPr>
              <w:pStyle w:val="TableText"/>
            </w:pPr>
            <w:r>
              <w:t xml:space="preserve">Supports many other action areas including 1.4 </w:t>
            </w:r>
          </w:p>
        </w:tc>
      </w:tr>
      <w:tr w:rsidR="006B0F11" w:rsidRPr="00013AE2" w14:paraId="799B907B" w14:textId="77777777" w:rsidTr="00D8091A">
        <w:tc>
          <w:tcPr>
            <w:tcW w:w="988" w:type="pct"/>
            <w:vMerge/>
            <w:tcMar>
              <w:bottom w:w="28" w:type="dxa"/>
            </w:tcMar>
          </w:tcPr>
          <w:p w14:paraId="6953A339" w14:textId="77777777" w:rsidR="00DF1D73" w:rsidRPr="00AF3D1F" w:rsidRDefault="00DF1D73" w:rsidP="00DF1D73">
            <w:pPr>
              <w:pStyle w:val="TableText"/>
              <w:rPr>
                <w:rStyle w:val="Strong"/>
              </w:rPr>
            </w:pPr>
          </w:p>
        </w:tc>
        <w:tc>
          <w:tcPr>
            <w:tcW w:w="988" w:type="pct"/>
            <w:tcMar>
              <w:left w:w="108" w:type="dxa"/>
              <w:bottom w:w="28" w:type="dxa"/>
              <w:right w:w="108" w:type="dxa"/>
            </w:tcMar>
          </w:tcPr>
          <w:p w14:paraId="48A9B146" w14:textId="2D4CCE24" w:rsidR="00DF1D73" w:rsidRDefault="00DF1D73" w:rsidP="001A614D">
            <w:pPr>
              <w:pStyle w:val="TableText"/>
              <w:rPr>
                <w:b/>
                <w:bCs/>
              </w:rPr>
            </w:pPr>
            <w:r>
              <w:t xml:space="preserve">1.5.2 </w:t>
            </w:r>
            <w:r w:rsidRPr="005627A6">
              <w:t>Biosecurity issues are regularly discussed between Australia and international trading partners</w:t>
            </w:r>
          </w:p>
        </w:tc>
        <w:tc>
          <w:tcPr>
            <w:tcW w:w="987" w:type="pct"/>
            <w:shd w:val="clear" w:color="auto" w:fill="FDF4C7"/>
            <w:tcMar>
              <w:left w:w="108" w:type="dxa"/>
              <w:bottom w:w="28" w:type="dxa"/>
              <w:right w:w="108" w:type="dxa"/>
            </w:tcMar>
          </w:tcPr>
          <w:p w14:paraId="6493B230" w14:textId="77777777" w:rsidR="00430F9B" w:rsidRDefault="00DF1D73">
            <w:pPr>
              <w:pStyle w:val="TableText"/>
            </w:pPr>
            <w:r>
              <w:t xml:space="preserve">Ongoing – business as usual </w:t>
            </w:r>
          </w:p>
          <w:p w14:paraId="3102B607" w14:textId="47276DD3" w:rsidR="00DF1D73" w:rsidRDefault="00117BDB" w:rsidP="00787004">
            <w:pPr>
              <w:pStyle w:val="TableText"/>
              <w:rPr>
                <w:b/>
                <w:bCs/>
              </w:rPr>
            </w:pPr>
            <w:r w:rsidRPr="005627A6">
              <w:t>Opportunities for upcoming international engagement include</w:t>
            </w:r>
            <w:r w:rsidR="00C650F2">
              <w:t xml:space="preserve"> </w:t>
            </w:r>
            <w:r w:rsidRPr="005627A6">
              <w:t>IPPC meetings, bilateral plant health meetings, Quads, etc.</w:t>
            </w:r>
          </w:p>
        </w:tc>
        <w:tc>
          <w:tcPr>
            <w:tcW w:w="498" w:type="pct"/>
            <w:tcMar>
              <w:bottom w:w="28" w:type="dxa"/>
            </w:tcMar>
          </w:tcPr>
          <w:p w14:paraId="500DFE16" w14:textId="4EAD0E58" w:rsidR="00DF1D73" w:rsidRDefault="00DF1D73" w:rsidP="00D8091A">
            <w:pPr>
              <w:pStyle w:val="TableText"/>
            </w:pPr>
            <w:r>
              <w:t xml:space="preserve">Commonwealth (BPSSD, PPEBD, </w:t>
            </w:r>
            <w:r w:rsidR="00804F84">
              <w:t>TID</w:t>
            </w:r>
          </w:p>
        </w:tc>
        <w:tc>
          <w:tcPr>
            <w:tcW w:w="659" w:type="pct"/>
            <w:tcMar>
              <w:left w:w="108" w:type="dxa"/>
              <w:bottom w:w="28" w:type="dxa"/>
              <w:right w:w="108" w:type="dxa"/>
            </w:tcMar>
          </w:tcPr>
          <w:p w14:paraId="43D98023" w14:textId="552AF36E" w:rsidR="00DF1D73" w:rsidRPr="009C6E83" w:rsidRDefault="00DF1D73" w:rsidP="00D8091A">
            <w:pPr>
              <w:pStyle w:val="TableText"/>
            </w:pPr>
            <w:r>
              <w:t xml:space="preserve">Commonwealth </w:t>
            </w:r>
          </w:p>
        </w:tc>
        <w:tc>
          <w:tcPr>
            <w:tcW w:w="879" w:type="pct"/>
            <w:tcMar>
              <w:left w:w="108" w:type="dxa"/>
              <w:bottom w:w="28" w:type="dxa"/>
              <w:right w:w="108" w:type="dxa"/>
            </w:tcMar>
          </w:tcPr>
          <w:p w14:paraId="0A159902" w14:textId="7ECE2E24" w:rsidR="00DF1D73" w:rsidRPr="009C6E83" w:rsidRDefault="00DF1D73" w:rsidP="00D8091A">
            <w:pPr>
              <w:pStyle w:val="TableText"/>
            </w:pPr>
            <w:r>
              <w:t xml:space="preserve">Supports many other action areas including 1.4 </w:t>
            </w:r>
          </w:p>
        </w:tc>
      </w:tr>
      <w:tr w:rsidR="006B0F11" w:rsidRPr="00013AE2" w14:paraId="6CA18357" w14:textId="77777777" w:rsidTr="00D8091A">
        <w:tc>
          <w:tcPr>
            <w:tcW w:w="988" w:type="pct"/>
            <w:vMerge/>
            <w:tcMar>
              <w:bottom w:w="28" w:type="dxa"/>
            </w:tcMar>
          </w:tcPr>
          <w:p w14:paraId="1179A30E" w14:textId="77777777" w:rsidR="00DF1D73" w:rsidRPr="00AF3D1F" w:rsidRDefault="00DF1D73" w:rsidP="00DF1D73">
            <w:pPr>
              <w:pStyle w:val="TableText"/>
              <w:rPr>
                <w:rStyle w:val="Strong"/>
              </w:rPr>
            </w:pPr>
          </w:p>
        </w:tc>
        <w:tc>
          <w:tcPr>
            <w:tcW w:w="988" w:type="pct"/>
            <w:tcMar>
              <w:left w:w="108" w:type="dxa"/>
              <w:bottom w:w="28" w:type="dxa"/>
              <w:right w:w="108" w:type="dxa"/>
            </w:tcMar>
          </w:tcPr>
          <w:p w14:paraId="02711B5B" w14:textId="187A65D2" w:rsidR="00DF1D73" w:rsidRDefault="00DF1D73" w:rsidP="00A93D0D">
            <w:pPr>
              <w:pStyle w:val="TableText"/>
              <w:rPr>
                <w:b/>
                <w:bCs/>
              </w:rPr>
            </w:pPr>
            <w:r w:rsidRPr="005627A6">
              <w:t>1.5.3</w:t>
            </w:r>
            <w:r>
              <w:t xml:space="preserve"> </w:t>
            </w:r>
            <w:r w:rsidRPr="005627A6">
              <w:t xml:space="preserve">Continue work on </w:t>
            </w:r>
            <w:r w:rsidRPr="00A93D0D">
              <w:t>recommendation</w:t>
            </w:r>
            <w:r w:rsidRPr="005627A6">
              <w:t xml:space="preserve"> on Contaminant Pests for the IPPC Commission on Phytosanitary Measures</w:t>
            </w:r>
          </w:p>
        </w:tc>
        <w:tc>
          <w:tcPr>
            <w:tcW w:w="987" w:type="pct"/>
            <w:shd w:val="clear" w:color="auto" w:fill="FDF4C7"/>
            <w:tcMar>
              <w:left w:w="108" w:type="dxa"/>
              <w:bottom w:w="28" w:type="dxa"/>
              <w:right w:w="108" w:type="dxa"/>
            </w:tcMar>
          </w:tcPr>
          <w:p w14:paraId="6BC55417" w14:textId="4D15EF65" w:rsidR="00DF1D73" w:rsidRDefault="00DF1D73" w:rsidP="00D8091A">
            <w:pPr>
              <w:pStyle w:val="TableText"/>
            </w:pPr>
            <w:r>
              <w:t>On track – project commenced</w:t>
            </w:r>
          </w:p>
          <w:p w14:paraId="6304850D" w14:textId="45FE9710" w:rsidR="00117BDB" w:rsidRDefault="00DF1D73" w:rsidP="00DF1D73">
            <w:pPr>
              <w:pStyle w:val="TableText"/>
            </w:pPr>
            <w:r w:rsidRPr="00D70567">
              <w:t>IPPC engagement has continued through the SCFG, which was established to consider workshop outcomes and Sea Container Task Force recommendations regarding global solutions to reduce the movement of pests in the sea container pathway.</w:t>
            </w:r>
          </w:p>
          <w:p w14:paraId="483323EC" w14:textId="12AB6150" w:rsidR="00DF1D73" w:rsidRPr="00A6701B" w:rsidRDefault="00117BDB" w:rsidP="00DF1D73">
            <w:pPr>
              <w:pStyle w:val="TableText"/>
            </w:pPr>
            <w:r w:rsidRPr="005627A6">
              <w:t>The recommendation aims to engage with IPPC member countries on issues including clean trade, container hygiene and minimisation of transport of contaminant pests.</w:t>
            </w:r>
          </w:p>
        </w:tc>
        <w:tc>
          <w:tcPr>
            <w:tcW w:w="498" w:type="pct"/>
            <w:tcMar>
              <w:bottom w:w="28" w:type="dxa"/>
            </w:tcMar>
          </w:tcPr>
          <w:p w14:paraId="6CF5FD39" w14:textId="52F61FF8" w:rsidR="00DF1D73" w:rsidRDefault="00DF1D73" w:rsidP="00D8091A">
            <w:pPr>
              <w:pStyle w:val="TableText"/>
            </w:pPr>
            <w:r>
              <w:t xml:space="preserve">Commonwealth (BPSSD, </w:t>
            </w:r>
            <w:r w:rsidR="00803701">
              <w:t>HHWG</w:t>
            </w:r>
            <w:r>
              <w:t xml:space="preserve">, </w:t>
            </w:r>
            <w:r w:rsidR="00804F84">
              <w:t>TID</w:t>
            </w:r>
          </w:p>
        </w:tc>
        <w:tc>
          <w:tcPr>
            <w:tcW w:w="659" w:type="pct"/>
            <w:tcMar>
              <w:left w:w="108" w:type="dxa"/>
              <w:bottom w:w="28" w:type="dxa"/>
              <w:right w:w="108" w:type="dxa"/>
            </w:tcMar>
          </w:tcPr>
          <w:p w14:paraId="34005CC2" w14:textId="1F2EB9EE" w:rsidR="00DF1D73" w:rsidRPr="009C6E83" w:rsidRDefault="00DF1D73" w:rsidP="00D8091A">
            <w:pPr>
              <w:pStyle w:val="TableText"/>
            </w:pPr>
            <w:r>
              <w:t xml:space="preserve">Commonwealth </w:t>
            </w:r>
          </w:p>
        </w:tc>
        <w:tc>
          <w:tcPr>
            <w:tcW w:w="879" w:type="pct"/>
            <w:tcMar>
              <w:left w:w="108" w:type="dxa"/>
              <w:bottom w:w="28" w:type="dxa"/>
              <w:right w:w="108" w:type="dxa"/>
            </w:tcMar>
          </w:tcPr>
          <w:p w14:paraId="0CF34B6E" w14:textId="46CD0CBF" w:rsidR="00DF1D73" w:rsidRPr="009C6E83" w:rsidRDefault="00DF1D73" w:rsidP="00D8091A">
            <w:pPr>
              <w:pStyle w:val="TableText"/>
            </w:pPr>
            <w:r>
              <w:t xml:space="preserve">Supports many other action areas including 1.4 </w:t>
            </w:r>
          </w:p>
        </w:tc>
      </w:tr>
      <w:tr w:rsidR="00CC0CEB" w:rsidRPr="00013AE2" w14:paraId="3743C26C" w14:textId="77777777" w:rsidTr="00062028">
        <w:tc>
          <w:tcPr>
            <w:tcW w:w="988" w:type="pct"/>
            <w:vMerge/>
            <w:tcMar>
              <w:bottom w:w="28" w:type="dxa"/>
            </w:tcMar>
          </w:tcPr>
          <w:p w14:paraId="14492B6D" w14:textId="77777777" w:rsidR="00DF1D73" w:rsidRPr="00AF3D1F" w:rsidRDefault="00DF1D73" w:rsidP="00DF1D73">
            <w:pPr>
              <w:pStyle w:val="TableText"/>
              <w:rPr>
                <w:rStyle w:val="Strong"/>
              </w:rPr>
            </w:pPr>
          </w:p>
        </w:tc>
        <w:tc>
          <w:tcPr>
            <w:tcW w:w="988" w:type="pct"/>
            <w:tcMar>
              <w:left w:w="108" w:type="dxa"/>
              <w:bottom w:w="28" w:type="dxa"/>
              <w:right w:w="108" w:type="dxa"/>
            </w:tcMar>
          </w:tcPr>
          <w:p w14:paraId="5613AD05" w14:textId="791C930B" w:rsidR="00DF1D73" w:rsidRDefault="00DF1D73" w:rsidP="00A93D0D">
            <w:pPr>
              <w:pStyle w:val="TableText"/>
              <w:rPr>
                <w:b/>
                <w:bCs/>
              </w:rPr>
            </w:pPr>
            <w:r w:rsidRPr="005627A6">
              <w:t xml:space="preserve">1.5.4 </w:t>
            </w:r>
            <w:r w:rsidRPr="00A93D0D">
              <w:t>Develop</w:t>
            </w:r>
            <w:r w:rsidRPr="005627A6">
              <w:t xml:space="preserve"> and implement measures to minimise the risk of </w:t>
            </w:r>
            <w:r w:rsidR="00020290">
              <w:t>Khapra</w:t>
            </w:r>
            <w:r w:rsidRPr="005627A6">
              <w:t xml:space="preserve"> beetle, with initial focus on specific containers arriving from countries with </w:t>
            </w:r>
            <w:r w:rsidR="00020290">
              <w:t>Khapra</w:t>
            </w:r>
            <w:r w:rsidRPr="005627A6">
              <w:t xml:space="preserve"> beetle before expanding the measures to all other high-risk containers</w:t>
            </w:r>
          </w:p>
        </w:tc>
        <w:tc>
          <w:tcPr>
            <w:tcW w:w="987" w:type="pct"/>
            <w:shd w:val="clear" w:color="auto" w:fill="DEF0C2"/>
            <w:tcMar>
              <w:left w:w="108" w:type="dxa"/>
              <w:bottom w:w="28" w:type="dxa"/>
              <w:right w:w="108" w:type="dxa"/>
            </w:tcMar>
          </w:tcPr>
          <w:p w14:paraId="4BE16A0A" w14:textId="14096D9A" w:rsidR="00DF1D73" w:rsidRPr="00A6701B" w:rsidRDefault="00676EA7" w:rsidP="00DF1D73">
            <w:pPr>
              <w:pStyle w:val="TableText"/>
            </w:pPr>
            <w:r>
              <w:t>Complete</w:t>
            </w:r>
            <w:r w:rsidR="00C15CF0">
              <w:t>d</w:t>
            </w:r>
            <w:r>
              <w:t xml:space="preserve"> – project finished pending outcomes of Khapra </w:t>
            </w:r>
            <w:r w:rsidR="00C650F2">
              <w:t xml:space="preserve">beetle </w:t>
            </w:r>
            <w:r>
              <w:t>pest risk analysis</w:t>
            </w:r>
            <w:r w:rsidDel="00676EA7">
              <w:t xml:space="preserve"> </w:t>
            </w:r>
          </w:p>
        </w:tc>
        <w:tc>
          <w:tcPr>
            <w:tcW w:w="498" w:type="pct"/>
            <w:tcMar>
              <w:bottom w:w="28" w:type="dxa"/>
            </w:tcMar>
          </w:tcPr>
          <w:p w14:paraId="21ADD794" w14:textId="48BE56AE" w:rsidR="00DF1D73" w:rsidRDefault="00DF1D73" w:rsidP="00D8091A">
            <w:pPr>
              <w:pStyle w:val="TableText"/>
            </w:pPr>
            <w:r>
              <w:t xml:space="preserve">Commonwealth (BPSSD, </w:t>
            </w:r>
            <w:r w:rsidR="00676EA7">
              <w:t>HHWG</w:t>
            </w:r>
            <w:r>
              <w:t>,</w:t>
            </w:r>
            <w:r w:rsidR="00676EA7">
              <w:t xml:space="preserve"> BOD,</w:t>
            </w:r>
            <w:r>
              <w:t xml:space="preserve"> </w:t>
            </w:r>
            <w:r w:rsidR="00804F84">
              <w:t>TID</w:t>
            </w:r>
          </w:p>
        </w:tc>
        <w:tc>
          <w:tcPr>
            <w:tcW w:w="659" w:type="pct"/>
            <w:tcMar>
              <w:left w:w="108" w:type="dxa"/>
              <w:bottom w:w="28" w:type="dxa"/>
              <w:right w:w="108" w:type="dxa"/>
            </w:tcMar>
          </w:tcPr>
          <w:p w14:paraId="2534095B" w14:textId="13D0F83B" w:rsidR="00DF1D73" w:rsidRPr="009C6E83" w:rsidRDefault="00DF1D73" w:rsidP="00D8091A">
            <w:pPr>
              <w:pStyle w:val="TableText"/>
            </w:pPr>
            <w:r>
              <w:t xml:space="preserve">Commonwealth </w:t>
            </w:r>
          </w:p>
        </w:tc>
        <w:tc>
          <w:tcPr>
            <w:tcW w:w="879" w:type="pct"/>
            <w:tcMar>
              <w:left w:w="108" w:type="dxa"/>
              <w:bottom w:w="28" w:type="dxa"/>
              <w:right w:w="108" w:type="dxa"/>
            </w:tcMar>
          </w:tcPr>
          <w:p w14:paraId="5857B190" w14:textId="436EC3FE" w:rsidR="00DF1D73" w:rsidRPr="009C6E83" w:rsidRDefault="00DF1D73" w:rsidP="00D8091A">
            <w:pPr>
              <w:pStyle w:val="TableText"/>
            </w:pPr>
            <w:r>
              <w:t xml:space="preserve">Supports many other action areas including 1.4 </w:t>
            </w:r>
          </w:p>
        </w:tc>
      </w:tr>
      <w:tr w:rsidR="00CC0CEB" w:rsidRPr="00013AE2" w14:paraId="241146DC" w14:textId="77777777" w:rsidTr="00062028">
        <w:tc>
          <w:tcPr>
            <w:tcW w:w="988" w:type="pct"/>
            <w:vMerge/>
            <w:tcMar>
              <w:bottom w:w="28" w:type="dxa"/>
            </w:tcMar>
          </w:tcPr>
          <w:p w14:paraId="0CB01626" w14:textId="77777777" w:rsidR="00DF1D73" w:rsidRPr="00AF3D1F" w:rsidRDefault="00DF1D73" w:rsidP="00DF1D73">
            <w:pPr>
              <w:pStyle w:val="TableText"/>
              <w:rPr>
                <w:rStyle w:val="Strong"/>
              </w:rPr>
            </w:pPr>
          </w:p>
        </w:tc>
        <w:tc>
          <w:tcPr>
            <w:tcW w:w="988" w:type="pct"/>
            <w:tcMar>
              <w:left w:w="108" w:type="dxa"/>
              <w:bottom w:w="28" w:type="dxa"/>
              <w:right w:w="108" w:type="dxa"/>
            </w:tcMar>
          </w:tcPr>
          <w:p w14:paraId="5A4E7257" w14:textId="58420674" w:rsidR="00DF1D73" w:rsidRDefault="00DF1D73" w:rsidP="00DF1D73">
            <w:pPr>
              <w:pStyle w:val="TableText"/>
              <w:rPr>
                <w:b/>
              </w:rPr>
            </w:pPr>
            <w:r w:rsidRPr="005627A6">
              <w:t>1.5.5</w:t>
            </w:r>
            <w:r>
              <w:rPr>
                <w:b/>
              </w:rPr>
              <w:t xml:space="preserve"> </w:t>
            </w:r>
            <w:r w:rsidRPr="00D70567">
              <w:t xml:space="preserve">The Centre of Excellence for Biosecurity Risk Analysis (CEBRA) has also been engaged on a project to establish the residual risks of hitchhiker pests (including </w:t>
            </w:r>
            <w:r w:rsidR="00020290">
              <w:t>Khapra</w:t>
            </w:r>
            <w:r w:rsidRPr="00D70567">
              <w:t>) and developing key performance indicators for containers</w:t>
            </w:r>
          </w:p>
        </w:tc>
        <w:tc>
          <w:tcPr>
            <w:tcW w:w="987" w:type="pct"/>
            <w:shd w:val="clear" w:color="auto" w:fill="DEF0C2"/>
            <w:tcMar>
              <w:left w:w="108" w:type="dxa"/>
              <w:bottom w:w="28" w:type="dxa"/>
              <w:right w:w="108" w:type="dxa"/>
            </w:tcMar>
          </w:tcPr>
          <w:p w14:paraId="73F04183" w14:textId="225F1CE7" w:rsidR="00DF1D73" w:rsidRDefault="00676EA7" w:rsidP="00DF1D73">
            <w:pPr>
              <w:pStyle w:val="TableText"/>
            </w:pPr>
            <w:r>
              <w:t>Completed – project finished</w:t>
            </w:r>
          </w:p>
          <w:p w14:paraId="0E8558D6" w14:textId="744F0834" w:rsidR="00DF1D73" w:rsidRDefault="00676EA7" w:rsidP="00DF1D73">
            <w:pPr>
              <w:pStyle w:val="TableText"/>
              <w:rPr>
                <w:b/>
                <w:bCs/>
              </w:rPr>
            </w:pPr>
            <w:r>
              <w:t xml:space="preserve">Two </w:t>
            </w:r>
            <w:r w:rsidR="00DF1D73" w:rsidRPr="00A6701B">
              <w:t xml:space="preserve">CEBRA </w:t>
            </w:r>
            <w:proofErr w:type="gramStart"/>
            <w:r w:rsidR="00DF1D73" w:rsidRPr="00A6701B">
              <w:t>project</w:t>
            </w:r>
            <w:r>
              <w:t>s  were</w:t>
            </w:r>
            <w:proofErr w:type="gramEnd"/>
            <w:r>
              <w:t xml:space="preserve"> completed: 22B: Sea Cargo Risk Management, 21D: Value Added – Modelling the marginal return on investment within and across pathways (including a case study on </w:t>
            </w:r>
            <w:r w:rsidR="00DF1D73" w:rsidRPr="00A6701B">
              <w:t xml:space="preserve"> the sea container pathway</w:t>
            </w:r>
            <w:r>
              <w:t>)</w:t>
            </w:r>
            <w:r w:rsidR="00DF1D73" w:rsidRPr="00A6701B">
              <w:t>.</w:t>
            </w:r>
          </w:p>
        </w:tc>
        <w:tc>
          <w:tcPr>
            <w:tcW w:w="498" w:type="pct"/>
            <w:tcMar>
              <w:bottom w:w="28" w:type="dxa"/>
            </w:tcMar>
          </w:tcPr>
          <w:p w14:paraId="2CADCC6E" w14:textId="16FAA59C" w:rsidR="00DF1D73" w:rsidRDefault="00DF1D73" w:rsidP="00D8091A">
            <w:pPr>
              <w:pStyle w:val="TableText"/>
            </w:pPr>
            <w:r>
              <w:t xml:space="preserve">Commonwealth (BPSSD, </w:t>
            </w:r>
            <w:r w:rsidR="00676EA7">
              <w:t xml:space="preserve">HHWG, </w:t>
            </w:r>
            <w:r>
              <w:t xml:space="preserve">PPEBD, </w:t>
            </w:r>
            <w:r w:rsidR="00804F84">
              <w:t>TID</w:t>
            </w:r>
          </w:p>
        </w:tc>
        <w:tc>
          <w:tcPr>
            <w:tcW w:w="659" w:type="pct"/>
            <w:tcMar>
              <w:left w:w="108" w:type="dxa"/>
              <w:bottom w:w="28" w:type="dxa"/>
              <w:right w:w="108" w:type="dxa"/>
            </w:tcMar>
          </w:tcPr>
          <w:p w14:paraId="228864C4" w14:textId="18FEA1B1" w:rsidR="00DF1D73" w:rsidRPr="009C6E83" w:rsidRDefault="00DF1D73" w:rsidP="00D8091A">
            <w:pPr>
              <w:pStyle w:val="TableText"/>
            </w:pPr>
            <w:r>
              <w:t xml:space="preserve">Commonwealth </w:t>
            </w:r>
          </w:p>
        </w:tc>
        <w:tc>
          <w:tcPr>
            <w:tcW w:w="879" w:type="pct"/>
            <w:tcMar>
              <w:left w:w="108" w:type="dxa"/>
              <w:bottom w:w="28" w:type="dxa"/>
              <w:right w:w="108" w:type="dxa"/>
            </w:tcMar>
          </w:tcPr>
          <w:p w14:paraId="658E6DA5" w14:textId="0B61C17E" w:rsidR="00DF1D73" w:rsidRPr="009C6E83" w:rsidRDefault="00DF1D73" w:rsidP="00D8091A">
            <w:pPr>
              <w:pStyle w:val="TableText"/>
            </w:pPr>
            <w:r>
              <w:t xml:space="preserve">Supports many other action areas including 1.4 </w:t>
            </w:r>
          </w:p>
        </w:tc>
      </w:tr>
      <w:tr w:rsidR="00CC0CEB" w:rsidRPr="00013AE2" w14:paraId="3E7AA6EB" w14:textId="77777777" w:rsidTr="005B74D7">
        <w:tc>
          <w:tcPr>
            <w:tcW w:w="988" w:type="pct"/>
            <w:vMerge/>
            <w:tcMar>
              <w:bottom w:w="28" w:type="dxa"/>
            </w:tcMar>
          </w:tcPr>
          <w:p w14:paraId="7842E789" w14:textId="77777777" w:rsidR="00DF1D73" w:rsidRPr="00AF3D1F" w:rsidRDefault="00DF1D73" w:rsidP="00DF1D73">
            <w:pPr>
              <w:pStyle w:val="TableText"/>
              <w:rPr>
                <w:rStyle w:val="Strong"/>
              </w:rPr>
            </w:pPr>
          </w:p>
        </w:tc>
        <w:tc>
          <w:tcPr>
            <w:tcW w:w="988" w:type="pct"/>
            <w:tcMar>
              <w:left w:w="108" w:type="dxa"/>
              <w:bottom w:w="28" w:type="dxa"/>
              <w:right w:w="108" w:type="dxa"/>
            </w:tcMar>
          </w:tcPr>
          <w:p w14:paraId="2350F490" w14:textId="78BE36A0" w:rsidR="00DF1D73" w:rsidRDefault="00DF1D73" w:rsidP="00DF1D73">
            <w:pPr>
              <w:pStyle w:val="TableText"/>
            </w:pPr>
            <w:r w:rsidRPr="005627A6">
              <w:t xml:space="preserve">1.5.6 </w:t>
            </w:r>
            <w:bookmarkStart w:id="3" w:name="_Hlk124845467"/>
            <w:r w:rsidRPr="005627A6">
              <w:t xml:space="preserve">Post border </w:t>
            </w:r>
            <w:r w:rsidR="009953A3">
              <w:t>h</w:t>
            </w:r>
            <w:r w:rsidRPr="005627A6">
              <w:t xml:space="preserve">itchhiker risk mapping (Khapra </w:t>
            </w:r>
            <w:r w:rsidR="00236EDC" w:rsidRPr="005627A6">
              <w:t>beetle</w:t>
            </w:r>
            <w:r w:rsidRPr="005627A6">
              <w:t xml:space="preserve">, BMSB, </w:t>
            </w:r>
            <w:r w:rsidR="00430F9B">
              <w:t>s</w:t>
            </w:r>
            <w:r w:rsidRPr="005627A6">
              <w:t>nails)</w:t>
            </w:r>
            <w:bookmarkEnd w:id="3"/>
          </w:p>
          <w:p w14:paraId="39B97E10" w14:textId="044C4E46" w:rsidR="006851ED" w:rsidRPr="005627A6" w:rsidRDefault="008E5032" w:rsidP="00DF1D73">
            <w:pPr>
              <w:pStyle w:val="TableText"/>
            </w:pPr>
            <w:r>
              <w:t>Australia Priority Plant &amp; Disease Model (</w:t>
            </w:r>
            <w:r w:rsidR="006851ED" w:rsidRPr="001C2AC0">
              <w:t>AAPDIS</w:t>
            </w:r>
            <w:r>
              <w:t>)</w:t>
            </w:r>
            <w:r w:rsidR="006851ED" w:rsidRPr="001C2AC0">
              <w:t xml:space="preserve"> modelling for </w:t>
            </w:r>
            <w:r w:rsidR="006851ED" w:rsidRPr="001C2AC0">
              <w:lastRenderedPageBreak/>
              <w:t>management decisions</w:t>
            </w:r>
            <w:r w:rsidR="00430F9B">
              <w:t xml:space="preserve"> –</w:t>
            </w:r>
            <w:r w:rsidR="006851ED" w:rsidRPr="001C2AC0">
              <w:t xml:space="preserve"> Khapra beetle and HPPPs</w:t>
            </w:r>
          </w:p>
        </w:tc>
        <w:tc>
          <w:tcPr>
            <w:tcW w:w="987" w:type="pct"/>
            <w:shd w:val="clear" w:color="auto" w:fill="FDF4C7"/>
            <w:tcMar>
              <w:left w:w="108" w:type="dxa"/>
              <w:bottom w:w="28" w:type="dxa"/>
              <w:right w:w="108" w:type="dxa"/>
            </w:tcMar>
          </w:tcPr>
          <w:p w14:paraId="3B27FB4E" w14:textId="30032E6F" w:rsidR="006851ED" w:rsidRDefault="006851ED" w:rsidP="00DF1D73">
            <w:pPr>
              <w:pStyle w:val="TableText"/>
              <w:rPr>
                <w:rFonts w:cstheme="minorHAnsi"/>
                <w:szCs w:val="18"/>
              </w:rPr>
            </w:pPr>
            <w:r>
              <w:rPr>
                <w:rFonts w:cstheme="minorHAnsi"/>
                <w:szCs w:val="18"/>
              </w:rPr>
              <w:lastRenderedPageBreak/>
              <w:t>On track – project commenced</w:t>
            </w:r>
          </w:p>
          <w:p w14:paraId="1C25F911" w14:textId="3DE7BFD5" w:rsidR="008E5032" w:rsidRPr="00D805B8" w:rsidRDefault="00483FFB" w:rsidP="00DF1D73">
            <w:pPr>
              <w:pStyle w:val="TableText"/>
              <w:rPr>
                <w:rFonts w:cstheme="minorHAnsi"/>
                <w:szCs w:val="18"/>
              </w:rPr>
            </w:pPr>
            <w:hyperlink r:id="rId21" w:history="1">
              <w:r w:rsidR="008E5032">
                <w:rPr>
                  <w:rStyle w:val="Hyperlink"/>
                </w:rPr>
                <w:t>Modelling the incursion and spread of hitchhiker and windborne plant pests in Australia (grdc.com.au)</w:t>
              </w:r>
            </w:hyperlink>
          </w:p>
        </w:tc>
        <w:tc>
          <w:tcPr>
            <w:tcW w:w="498" w:type="pct"/>
            <w:tcMar>
              <w:bottom w:w="28" w:type="dxa"/>
            </w:tcMar>
          </w:tcPr>
          <w:p w14:paraId="77D0BF10" w14:textId="7EB7279D" w:rsidR="00DF1D73" w:rsidRPr="00D805B8" w:rsidRDefault="00DF1D73" w:rsidP="00D8091A">
            <w:pPr>
              <w:pStyle w:val="TableText"/>
            </w:pPr>
            <w:r>
              <w:t xml:space="preserve"> </w:t>
            </w:r>
            <w:r w:rsidR="006851ED">
              <w:t>CEBRA</w:t>
            </w:r>
          </w:p>
        </w:tc>
        <w:tc>
          <w:tcPr>
            <w:tcW w:w="659" w:type="pct"/>
            <w:tcMar>
              <w:left w:w="108" w:type="dxa"/>
              <w:bottom w:w="28" w:type="dxa"/>
              <w:right w:w="108" w:type="dxa"/>
            </w:tcMar>
          </w:tcPr>
          <w:p w14:paraId="1E3ECA5E" w14:textId="5377BF0D" w:rsidR="00DF1D73" w:rsidRPr="009C6E83" w:rsidRDefault="006851ED" w:rsidP="00D8091A">
            <w:pPr>
              <w:pStyle w:val="TableText"/>
            </w:pPr>
            <w:r>
              <w:t>GRDC</w:t>
            </w:r>
          </w:p>
        </w:tc>
        <w:tc>
          <w:tcPr>
            <w:tcW w:w="879" w:type="pct"/>
            <w:tcMar>
              <w:left w:w="108" w:type="dxa"/>
              <w:bottom w:w="28" w:type="dxa"/>
              <w:right w:w="108" w:type="dxa"/>
            </w:tcMar>
          </w:tcPr>
          <w:p w14:paraId="69E62DDF" w14:textId="3EBA3E9F" w:rsidR="00DF1D73" w:rsidRPr="009C6E83" w:rsidRDefault="00CA3DE0" w:rsidP="00D8091A">
            <w:pPr>
              <w:pStyle w:val="TableText"/>
            </w:pPr>
            <w:r>
              <w:t xml:space="preserve">Not applicable </w:t>
            </w:r>
          </w:p>
        </w:tc>
      </w:tr>
      <w:tr w:rsidR="00161809" w:rsidRPr="00013AE2" w14:paraId="128FEF06" w14:textId="77777777" w:rsidTr="00787004">
        <w:tc>
          <w:tcPr>
            <w:tcW w:w="988" w:type="pct"/>
            <w:vMerge w:val="restart"/>
            <w:tcMar>
              <w:bottom w:w="28" w:type="dxa"/>
            </w:tcMar>
          </w:tcPr>
          <w:p w14:paraId="1EFD9DAE" w14:textId="0E55A561" w:rsidR="00161809" w:rsidRDefault="00161809" w:rsidP="00DF1D73">
            <w:pPr>
              <w:pStyle w:val="TableText"/>
              <w:rPr>
                <w:rStyle w:val="Strong"/>
                <w:b w:val="0"/>
                <w:bCs w:val="0"/>
              </w:rPr>
            </w:pPr>
            <w:r w:rsidRPr="00AF3D1F">
              <w:rPr>
                <w:rStyle w:val="Strong"/>
              </w:rPr>
              <w:t>Action 1.</w:t>
            </w:r>
            <w:r>
              <w:rPr>
                <w:rStyle w:val="Strong"/>
              </w:rPr>
              <w:t>6</w:t>
            </w:r>
            <w:r w:rsidRPr="00AF3D1F">
              <w:rPr>
                <w:rStyle w:val="Strong"/>
              </w:rPr>
              <w:t>:</w:t>
            </w:r>
            <w:r>
              <w:rPr>
                <w:rStyle w:val="Strong"/>
              </w:rPr>
              <w:t xml:space="preserve"> </w:t>
            </w:r>
            <w:r w:rsidRPr="002929FE">
              <w:rPr>
                <w:rStyle w:val="Strong"/>
                <w:b w:val="0"/>
                <w:bCs w:val="0"/>
              </w:rPr>
              <w:t>Review and evaluate methyl bromide alternative phytosanitary treatments</w:t>
            </w:r>
            <w:r>
              <w:rPr>
                <w:rStyle w:val="Strong"/>
                <w:b w:val="0"/>
                <w:bCs w:val="0"/>
              </w:rPr>
              <w:t>.</w:t>
            </w:r>
          </w:p>
          <w:p w14:paraId="0296D769" w14:textId="33E929DE" w:rsidR="00161809" w:rsidRDefault="00161809" w:rsidP="00DF1D73">
            <w:pPr>
              <w:pStyle w:val="TableText"/>
              <w:rPr>
                <w:rStyle w:val="Strong"/>
                <w:b w:val="0"/>
                <w:bCs w:val="0"/>
              </w:rPr>
            </w:pPr>
            <w:r w:rsidRPr="009D6998">
              <w:rPr>
                <w:rStyle w:val="Strong"/>
              </w:rPr>
              <w:t>Expected benefit and outcome</w:t>
            </w:r>
            <w:r>
              <w:rPr>
                <w:rStyle w:val="Strong"/>
              </w:rPr>
              <w:t>:</w:t>
            </w:r>
            <w:r>
              <w:t xml:space="preserve"> </w:t>
            </w:r>
            <w:r w:rsidRPr="002929FE">
              <w:rPr>
                <w:rStyle w:val="Strong"/>
                <w:b w:val="0"/>
                <w:bCs w:val="0"/>
              </w:rPr>
              <w:t xml:space="preserve">Research into methyl bromide treatment alternatives needs to consider and mitigate against the cryptic nature of </w:t>
            </w:r>
            <w:r w:rsidR="00020290">
              <w:rPr>
                <w:rStyle w:val="Strong"/>
                <w:b w:val="0"/>
                <w:bCs w:val="0"/>
              </w:rPr>
              <w:t>Khapra</w:t>
            </w:r>
            <w:r w:rsidRPr="002929FE">
              <w:rPr>
                <w:rStyle w:val="Strong"/>
                <w:b w:val="0"/>
                <w:bCs w:val="0"/>
              </w:rPr>
              <w:t xml:space="preserve"> beetle biology, deal with all life stages and prevent chemical resistance.</w:t>
            </w:r>
          </w:p>
          <w:p w14:paraId="6FD27749" w14:textId="1D2AB238" w:rsidR="00161809" w:rsidRPr="00AA2A13" w:rsidRDefault="00161809" w:rsidP="00DF1D73">
            <w:pPr>
              <w:pStyle w:val="TableText"/>
            </w:pPr>
            <w:r w:rsidRPr="009D6998">
              <w:rPr>
                <w:rStyle w:val="Strong"/>
              </w:rPr>
              <w:t>Priority</w:t>
            </w:r>
            <w:r>
              <w:rPr>
                <w:rStyle w:val="Strong"/>
              </w:rPr>
              <w:t xml:space="preserve">: </w:t>
            </w:r>
            <w:r w:rsidRPr="00AF7C14">
              <w:rPr>
                <w:rStyle w:val="Strong"/>
                <w:b w:val="0"/>
                <w:bCs w:val="0"/>
              </w:rPr>
              <w:t>high</w:t>
            </w:r>
          </w:p>
          <w:p w14:paraId="29B06C7F" w14:textId="35051E2B" w:rsidR="00161809" w:rsidRPr="00AF3D1F" w:rsidRDefault="00161809" w:rsidP="00DF1D73">
            <w:pPr>
              <w:pStyle w:val="TableText"/>
              <w:rPr>
                <w:rStyle w:val="Strong"/>
              </w:rPr>
            </w:pPr>
            <w:r w:rsidRPr="009D6998">
              <w:rPr>
                <w:rStyle w:val="Strong"/>
              </w:rPr>
              <w:t>Time frame</w:t>
            </w:r>
            <w:r>
              <w:rPr>
                <w:rStyle w:val="Strong"/>
              </w:rPr>
              <w:t xml:space="preserve">: </w:t>
            </w:r>
            <w:r w:rsidRPr="00AF7C14">
              <w:rPr>
                <w:rStyle w:val="Strong"/>
                <w:b w:val="0"/>
                <w:bCs w:val="0"/>
              </w:rPr>
              <w:t>long</w:t>
            </w:r>
            <w:r w:rsidRPr="00AA2A13">
              <w:t xml:space="preserve"> term</w:t>
            </w:r>
          </w:p>
        </w:tc>
        <w:tc>
          <w:tcPr>
            <w:tcW w:w="988" w:type="pct"/>
            <w:tcMar>
              <w:left w:w="108" w:type="dxa"/>
              <w:bottom w:w="28" w:type="dxa"/>
              <w:right w:w="108" w:type="dxa"/>
            </w:tcMar>
          </w:tcPr>
          <w:p w14:paraId="703EFD01" w14:textId="4F90C53F" w:rsidR="00161809" w:rsidRPr="00A574F4" w:rsidRDefault="00161809" w:rsidP="00DF1D73">
            <w:pPr>
              <w:pStyle w:val="TableText"/>
              <w:rPr>
                <w:bCs/>
              </w:rPr>
            </w:pPr>
            <w:r w:rsidRPr="00A574F4">
              <w:rPr>
                <w:bCs/>
              </w:rPr>
              <w:t xml:space="preserve">1.6.1 Undertake research to develop an effective alternative to pre-shipment treatment for </w:t>
            </w:r>
            <w:r w:rsidR="00020290">
              <w:rPr>
                <w:bCs/>
              </w:rPr>
              <w:t>Khapra</w:t>
            </w:r>
            <w:r w:rsidRPr="00A574F4">
              <w:rPr>
                <w:bCs/>
              </w:rPr>
              <w:t xml:space="preserve"> beetle (as well as other pests) needed because of the phasing out of the commonly used methyl bromide treatment</w:t>
            </w:r>
          </w:p>
        </w:tc>
        <w:tc>
          <w:tcPr>
            <w:tcW w:w="987" w:type="pct"/>
            <w:shd w:val="clear" w:color="auto" w:fill="C6D9F1" w:themeFill="text2" w:themeFillTint="33"/>
            <w:tcMar>
              <w:left w:w="108" w:type="dxa"/>
              <w:bottom w:w="28" w:type="dxa"/>
              <w:right w:w="108" w:type="dxa"/>
            </w:tcMar>
          </w:tcPr>
          <w:p w14:paraId="6F7B2C59" w14:textId="77777777" w:rsidR="00161809" w:rsidRDefault="00161809" w:rsidP="00DF1D73">
            <w:pPr>
              <w:pStyle w:val="TableText"/>
            </w:pPr>
            <w:r>
              <w:t xml:space="preserve">Ongoing – business as usual </w:t>
            </w:r>
          </w:p>
          <w:p w14:paraId="3B7D0A65" w14:textId="66CF76AB" w:rsidR="00676EA7" w:rsidRDefault="00676EA7" w:rsidP="00DF1D73">
            <w:pPr>
              <w:pStyle w:val="TableText"/>
            </w:pPr>
            <w:r>
              <w:t xml:space="preserve">The department is funding research on ethyl </w:t>
            </w:r>
            <w:proofErr w:type="spellStart"/>
            <w:r>
              <w:t>formate</w:t>
            </w:r>
            <w:proofErr w:type="spellEnd"/>
            <w:r>
              <w:t xml:space="preserve"> as an alternative to methyl bromide for Khapra beetle.</w:t>
            </w:r>
          </w:p>
        </w:tc>
        <w:tc>
          <w:tcPr>
            <w:tcW w:w="498" w:type="pct"/>
            <w:tcMar>
              <w:bottom w:w="28" w:type="dxa"/>
            </w:tcMar>
          </w:tcPr>
          <w:p w14:paraId="4704A86C" w14:textId="2BD70866" w:rsidR="00161809" w:rsidRDefault="00161809" w:rsidP="00D8091A">
            <w:pPr>
              <w:pStyle w:val="TableText"/>
            </w:pPr>
            <w:r>
              <w:t>Commonwealth (</w:t>
            </w:r>
            <w:r w:rsidR="00676EA7">
              <w:t xml:space="preserve">BSRD, </w:t>
            </w:r>
            <w:r>
              <w:t>BPSSD, CED</w:t>
            </w:r>
            <w:r w:rsidR="00676EA7">
              <w:t>, HHWG</w:t>
            </w:r>
            <w:r>
              <w:t>)</w:t>
            </w:r>
          </w:p>
        </w:tc>
        <w:tc>
          <w:tcPr>
            <w:tcW w:w="659" w:type="pct"/>
            <w:tcMar>
              <w:left w:w="108" w:type="dxa"/>
              <w:bottom w:w="28" w:type="dxa"/>
              <w:right w:w="108" w:type="dxa"/>
            </w:tcMar>
          </w:tcPr>
          <w:p w14:paraId="18BE0803" w14:textId="1F3CB0FC" w:rsidR="00161809" w:rsidRPr="009C6E83" w:rsidRDefault="00161809" w:rsidP="00D8091A">
            <w:pPr>
              <w:pStyle w:val="TableText"/>
            </w:pPr>
            <w:r>
              <w:t xml:space="preserve">Commonwealth </w:t>
            </w:r>
          </w:p>
        </w:tc>
        <w:tc>
          <w:tcPr>
            <w:tcW w:w="879" w:type="pct"/>
            <w:tcMar>
              <w:left w:w="108" w:type="dxa"/>
              <w:bottom w:w="28" w:type="dxa"/>
              <w:right w:w="108" w:type="dxa"/>
            </w:tcMar>
          </w:tcPr>
          <w:p w14:paraId="4D460739" w14:textId="2FDAF229" w:rsidR="00161809" w:rsidRPr="009C6E83" w:rsidRDefault="00161809" w:rsidP="00D8091A">
            <w:pPr>
              <w:pStyle w:val="TableText"/>
            </w:pPr>
            <w:r>
              <w:t xml:space="preserve">Not applicable </w:t>
            </w:r>
          </w:p>
        </w:tc>
      </w:tr>
      <w:tr w:rsidR="00161809" w:rsidRPr="00013AE2" w14:paraId="55FB62F3" w14:textId="77777777" w:rsidTr="00D8091A">
        <w:tc>
          <w:tcPr>
            <w:tcW w:w="988" w:type="pct"/>
            <w:vMerge/>
            <w:tcMar>
              <w:bottom w:w="28" w:type="dxa"/>
            </w:tcMar>
          </w:tcPr>
          <w:p w14:paraId="41603AE6" w14:textId="77777777" w:rsidR="00161809" w:rsidRPr="00AF3D1F" w:rsidRDefault="00161809" w:rsidP="00DF1D73">
            <w:pPr>
              <w:pStyle w:val="TableText"/>
              <w:rPr>
                <w:rStyle w:val="Strong"/>
              </w:rPr>
            </w:pPr>
          </w:p>
        </w:tc>
        <w:tc>
          <w:tcPr>
            <w:tcW w:w="988" w:type="pct"/>
            <w:tcMar>
              <w:left w:w="108" w:type="dxa"/>
              <w:bottom w:w="28" w:type="dxa"/>
              <w:right w:w="108" w:type="dxa"/>
            </w:tcMar>
          </w:tcPr>
          <w:p w14:paraId="23C0596E" w14:textId="7FEBDA00" w:rsidR="00161809" w:rsidRDefault="00161809" w:rsidP="00DF1D73">
            <w:pPr>
              <w:pStyle w:val="TableText"/>
              <w:rPr>
                <w:b/>
              </w:rPr>
            </w:pPr>
            <w:r>
              <w:t xml:space="preserve">1.6.2 </w:t>
            </w:r>
            <w:r w:rsidRPr="00D70567">
              <w:t xml:space="preserve">Identify and evaluate methyl bromide alternative phytosanitary treatments currently available for use in plant commodities, and to implement those practical for operational use in on-arrival and pre-shipment situations in Australia </w:t>
            </w:r>
          </w:p>
        </w:tc>
        <w:tc>
          <w:tcPr>
            <w:tcW w:w="987" w:type="pct"/>
            <w:shd w:val="clear" w:color="auto" w:fill="FDF4C7"/>
            <w:tcMar>
              <w:left w:w="108" w:type="dxa"/>
              <w:bottom w:w="28" w:type="dxa"/>
              <w:right w:w="108" w:type="dxa"/>
            </w:tcMar>
          </w:tcPr>
          <w:p w14:paraId="3A52D7B9" w14:textId="16172338" w:rsidR="00161809" w:rsidRDefault="00161809" w:rsidP="00DF1D73">
            <w:pPr>
              <w:pStyle w:val="TableText"/>
            </w:pPr>
            <w:r>
              <w:t>On track – project commenced</w:t>
            </w:r>
          </w:p>
          <w:p w14:paraId="25339C91" w14:textId="0F5D97F5" w:rsidR="00161809" w:rsidRPr="002F5A85" w:rsidRDefault="00161809" w:rsidP="00DF1D73">
            <w:pPr>
              <w:pStyle w:val="TableText"/>
              <w:rPr>
                <w:rFonts w:cstheme="minorHAnsi"/>
                <w:szCs w:val="18"/>
              </w:rPr>
            </w:pPr>
            <w:r w:rsidRPr="002F5A85">
              <w:rPr>
                <w:rFonts w:cstheme="minorHAnsi"/>
                <w:szCs w:val="18"/>
              </w:rPr>
              <w:t>Alternative treatments are being consider</w:t>
            </w:r>
            <w:r w:rsidR="005E4FF0" w:rsidRPr="002F5A85">
              <w:rPr>
                <w:rFonts w:cstheme="minorHAnsi"/>
                <w:szCs w:val="18"/>
              </w:rPr>
              <w:t>ed in the pest risk analysis</w:t>
            </w:r>
          </w:p>
        </w:tc>
        <w:tc>
          <w:tcPr>
            <w:tcW w:w="498" w:type="pct"/>
            <w:tcMar>
              <w:bottom w:w="28" w:type="dxa"/>
            </w:tcMar>
          </w:tcPr>
          <w:p w14:paraId="480A24B7" w14:textId="3F34D3AD" w:rsidR="00161809" w:rsidRDefault="00161809" w:rsidP="00D8091A">
            <w:pPr>
              <w:pStyle w:val="TableText"/>
            </w:pPr>
            <w:r>
              <w:t>Commonwealth (BPSSD, CED)</w:t>
            </w:r>
          </w:p>
        </w:tc>
        <w:tc>
          <w:tcPr>
            <w:tcW w:w="659" w:type="pct"/>
            <w:tcMar>
              <w:left w:w="108" w:type="dxa"/>
              <w:bottom w:w="28" w:type="dxa"/>
              <w:right w:w="108" w:type="dxa"/>
            </w:tcMar>
          </w:tcPr>
          <w:p w14:paraId="482F699B" w14:textId="5E06094C" w:rsidR="00161809" w:rsidRPr="009C6E83" w:rsidRDefault="00161809" w:rsidP="00D8091A">
            <w:pPr>
              <w:pStyle w:val="TableText"/>
            </w:pPr>
            <w:r>
              <w:t>Commonwealth</w:t>
            </w:r>
          </w:p>
        </w:tc>
        <w:tc>
          <w:tcPr>
            <w:tcW w:w="879" w:type="pct"/>
            <w:tcMar>
              <w:left w:w="108" w:type="dxa"/>
              <w:bottom w:w="28" w:type="dxa"/>
              <w:right w:w="108" w:type="dxa"/>
            </w:tcMar>
          </w:tcPr>
          <w:p w14:paraId="5DF33314" w14:textId="745C1F6C" w:rsidR="00161809" w:rsidRPr="009C6E83" w:rsidRDefault="00161809" w:rsidP="00D8091A">
            <w:pPr>
              <w:pStyle w:val="TableText"/>
            </w:pPr>
            <w:r>
              <w:t>Not applicable</w:t>
            </w:r>
          </w:p>
        </w:tc>
      </w:tr>
      <w:tr w:rsidR="00CC0CEB" w:rsidRPr="00013AE2" w14:paraId="07CA5DF8" w14:textId="77777777" w:rsidTr="00062028">
        <w:tc>
          <w:tcPr>
            <w:tcW w:w="988" w:type="pct"/>
            <w:vMerge/>
            <w:tcMar>
              <w:bottom w:w="28" w:type="dxa"/>
            </w:tcMar>
          </w:tcPr>
          <w:p w14:paraId="7F0B0FC5" w14:textId="77777777" w:rsidR="00161809" w:rsidRPr="00AF3D1F" w:rsidRDefault="00161809" w:rsidP="00DF1D73">
            <w:pPr>
              <w:pStyle w:val="TableText"/>
              <w:rPr>
                <w:rStyle w:val="Strong"/>
              </w:rPr>
            </w:pPr>
          </w:p>
        </w:tc>
        <w:tc>
          <w:tcPr>
            <w:tcW w:w="988" w:type="pct"/>
            <w:tcMar>
              <w:left w:w="108" w:type="dxa"/>
              <w:bottom w:w="28" w:type="dxa"/>
              <w:right w:w="108" w:type="dxa"/>
            </w:tcMar>
          </w:tcPr>
          <w:p w14:paraId="6668F997" w14:textId="149B458F" w:rsidR="00161809" w:rsidRPr="00A574F4" w:rsidRDefault="00161809" w:rsidP="00DF1D73">
            <w:pPr>
              <w:pStyle w:val="TableText"/>
              <w:rPr>
                <w:bCs/>
              </w:rPr>
            </w:pPr>
            <w:r w:rsidRPr="00A574F4">
              <w:rPr>
                <w:bCs/>
              </w:rPr>
              <w:t>1.6.3 Investigate insecticidal treatments for containers as an alternative to methyl bromide</w:t>
            </w:r>
          </w:p>
        </w:tc>
        <w:tc>
          <w:tcPr>
            <w:tcW w:w="987" w:type="pct"/>
            <w:shd w:val="clear" w:color="auto" w:fill="DEF0C2"/>
            <w:tcMar>
              <w:left w:w="108" w:type="dxa"/>
              <w:bottom w:w="28" w:type="dxa"/>
              <w:right w:w="108" w:type="dxa"/>
            </w:tcMar>
          </w:tcPr>
          <w:p w14:paraId="643C0DF7" w14:textId="678D5C7C" w:rsidR="00161809" w:rsidRPr="002F5A85" w:rsidRDefault="00B7694F" w:rsidP="00DF1D73">
            <w:pPr>
              <w:pStyle w:val="TableText"/>
              <w:rPr>
                <w:rFonts w:cstheme="minorHAnsi"/>
                <w:szCs w:val="18"/>
              </w:rPr>
            </w:pPr>
            <w:r>
              <w:rPr>
                <w:rFonts w:cstheme="minorHAnsi"/>
                <w:szCs w:val="18"/>
              </w:rPr>
              <w:t>Complete</w:t>
            </w:r>
            <w:r w:rsidR="00C15CF0">
              <w:rPr>
                <w:rFonts w:cstheme="minorHAnsi"/>
                <w:szCs w:val="18"/>
              </w:rPr>
              <w:t>d</w:t>
            </w:r>
            <w:r>
              <w:rPr>
                <w:rFonts w:cstheme="minorHAnsi"/>
                <w:szCs w:val="18"/>
              </w:rPr>
              <w:t xml:space="preserve"> – project finished </w:t>
            </w:r>
            <w:r w:rsidR="00161809" w:rsidRPr="002F5A85">
              <w:rPr>
                <w:rFonts w:cstheme="minorHAnsi"/>
                <w:szCs w:val="18"/>
              </w:rPr>
              <w:t xml:space="preserve">Deltamethrin has </w:t>
            </w:r>
            <w:r>
              <w:rPr>
                <w:rFonts w:cstheme="minorHAnsi"/>
                <w:szCs w:val="18"/>
              </w:rPr>
              <w:t>been approved</w:t>
            </w:r>
            <w:r w:rsidR="00161809" w:rsidRPr="002F5A85">
              <w:rPr>
                <w:rFonts w:cstheme="minorHAnsi"/>
                <w:szCs w:val="18"/>
              </w:rPr>
              <w:t xml:space="preserve"> as a provisional treatment. We have published an application methodology.  </w:t>
            </w:r>
            <w:hyperlink r:id="rId22" w:anchor="insecticide-treatment" w:history="1">
              <w:r w:rsidR="00161809" w:rsidRPr="002F5A85">
                <w:rPr>
                  <w:rStyle w:val="Hyperlink"/>
                  <w:rFonts w:cstheme="minorHAnsi"/>
                  <w:bCs/>
                  <w:szCs w:val="18"/>
                </w:rPr>
                <w:t>Methodologies and documents for biosecurity treatments - DAFF (agriculture.gov.au)</w:t>
              </w:r>
            </w:hyperlink>
            <w:r w:rsidR="00161809" w:rsidRPr="002F5A85">
              <w:rPr>
                <w:rFonts w:cstheme="minorHAnsi"/>
                <w:szCs w:val="18"/>
              </w:rPr>
              <w:t xml:space="preserve"> and (</w:t>
            </w:r>
            <w:hyperlink r:id="rId23" w:history="1">
              <w:r w:rsidR="00161809" w:rsidRPr="002F5A85">
                <w:rPr>
                  <w:rStyle w:val="Hyperlink"/>
                  <w:rFonts w:cstheme="minorHAnsi"/>
                  <w:bCs/>
                  <w:szCs w:val="18"/>
                </w:rPr>
                <w:t>Guide to treating sea containers with deltamethrin (agriculture.gov.au)</w:t>
              </w:r>
            </w:hyperlink>
            <w:r w:rsidR="00161809" w:rsidRPr="002F5A85">
              <w:rPr>
                <w:rFonts w:cstheme="minorHAnsi"/>
                <w:szCs w:val="18"/>
              </w:rPr>
              <w:t>)</w:t>
            </w:r>
          </w:p>
        </w:tc>
        <w:tc>
          <w:tcPr>
            <w:tcW w:w="498" w:type="pct"/>
            <w:tcMar>
              <w:bottom w:w="28" w:type="dxa"/>
            </w:tcMar>
          </w:tcPr>
          <w:p w14:paraId="6EF09D16" w14:textId="01E617E4" w:rsidR="00161809" w:rsidRDefault="00161809" w:rsidP="00D8091A">
            <w:pPr>
              <w:pStyle w:val="TableText"/>
            </w:pPr>
            <w:r>
              <w:t>Commonwealth (BPSSD, CED</w:t>
            </w:r>
            <w:r w:rsidR="00B7694F">
              <w:t>, HHWG</w:t>
            </w:r>
            <w:r>
              <w:t>)</w:t>
            </w:r>
          </w:p>
        </w:tc>
        <w:tc>
          <w:tcPr>
            <w:tcW w:w="659" w:type="pct"/>
            <w:tcMar>
              <w:left w:w="108" w:type="dxa"/>
              <w:bottom w:w="28" w:type="dxa"/>
              <w:right w:w="108" w:type="dxa"/>
            </w:tcMar>
          </w:tcPr>
          <w:p w14:paraId="1FC74576" w14:textId="289F8DD7" w:rsidR="00161809" w:rsidRPr="009C6E83" w:rsidRDefault="00161809" w:rsidP="00D8091A">
            <w:pPr>
              <w:pStyle w:val="TableText"/>
            </w:pPr>
            <w:r>
              <w:t>Commonwealth</w:t>
            </w:r>
          </w:p>
        </w:tc>
        <w:tc>
          <w:tcPr>
            <w:tcW w:w="879" w:type="pct"/>
            <w:tcMar>
              <w:left w:w="108" w:type="dxa"/>
              <w:bottom w:w="28" w:type="dxa"/>
              <w:right w:w="108" w:type="dxa"/>
            </w:tcMar>
          </w:tcPr>
          <w:p w14:paraId="3AC08C12" w14:textId="3A349709" w:rsidR="00161809" w:rsidRPr="009C6E83" w:rsidRDefault="00161809" w:rsidP="00D8091A">
            <w:pPr>
              <w:pStyle w:val="TableText"/>
            </w:pPr>
            <w:r>
              <w:t xml:space="preserve">Not applicable </w:t>
            </w:r>
          </w:p>
        </w:tc>
      </w:tr>
      <w:tr w:rsidR="00CC0CEB" w:rsidRPr="00013AE2" w14:paraId="2E4C9D92" w14:textId="77777777" w:rsidTr="00062028">
        <w:tc>
          <w:tcPr>
            <w:tcW w:w="988" w:type="pct"/>
            <w:vMerge/>
            <w:tcMar>
              <w:bottom w:w="28" w:type="dxa"/>
            </w:tcMar>
          </w:tcPr>
          <w:p w14:paraId="78FF76C9" w14:textId="77777777" w:rsidR="00161809" w:rsidRPr="00AF3D1F" w:rsidRDefault="00161809" w:rsidP="00DF1D73">
            <w:pPr>
              <w:pStyle w:val="TableText"/>
              <w:rPr>
                <w:rStyle w:val="Strong"/>
              </w:rPr>
            </w:pPr>
          </w:p>
        </w:tc>
        <w:tc>
          <w:tcPr>
            <w:tcW w:w="988" w:type="pct"/>
            <w:tcMar>
              <w:left w:w="108" w:type="dxa"/>
              <w:bottom w:w="28" w:type="dxa"/>
              <w:right w:w="108" w:type="dxa"/>
            </w:tcMar>
          </w:tcPr>
          <w:p w14:paraId="7B7D0157" w14:textId="34428D3D" w:rsidR="00161809" w:rsidRPr="00A574F4" w:rsidRDefault="00161809" w:rsidP="00DF1D73">
            <w:pPr>
              <w:pStyle w:val="TableText"/>
              <w:rPr>
                <w:bCs/>
              </w:rPr>
            </w:pPr>
            <w:r w:rsidRPr="00A574F4">
              <w:rPr>
                <w:bCs/>
              </w:rPr>
              <w:t>1.6.4 Run a trial on heat treatment of containers and run a ‘real world’ trial to develop a method that is practical and able to be implemented</w:t>
            </w:r>
          </w:p>
        </w:tc>
        <w:tc>
          <w:tcPr>
            <w:tcW w:w="987" w:type="pct"/>
            <w:shd w:val="clear" w:color="auto" w:fill="DEF0C2"/>
            <w:tcMar>
              <w:left w:w="108" w:type="dxa"/>
              <w:bottom w:w="28" w:type="dxa"/>
              <w:right w:w="108" w:type="dxa"/>
            </w:tcMar>
          </w:tcPr>
          <w:p w14:paraId="73DA8158" w14:textId="6F6C8169" w:rsidR="00B7694F" w:rsidRDefault="00B7694F" w:rsidP="00DF1D73">
            <w:pPr>
              <w:pStyle w:val="TableText"/>
              <w:rPr>
                <w:rFonts w:cstheme="minorHAnsi"/>
                <w:szCs w:val="18"/>
              </w:rPr>
            </w:pPr>
            <w:r>
              <w:rPr>
                <w:rFonts w:cstheme="minorHAnsi"/>
                <w:szCs w:val="18"/>
              </w:rPr>
              <w:t>Complete</w:t>
            </w:r>
            <w:r w:rsidR="00C15CF0">
              <w:rPr>
                <w:rFonts w:cstheme="minorHAnsi"/>
                <w:szCs w:val="18"/>
              </w:rPr>
              <w:t>d</w:t>
            </w:r>
            <w:r>
              <w:rPr>
                <w:rFonts w:cstheme="minorHAnsi"/>
                <w:szCs w:val="18"/>
              </w:rPr>
              <w:t xml:space="preserve"> – project finished</w:t>
            </w:r>
          </w:p>
          <w:p w14:paraId="05A95E6B" w14:textId="0B7124A8" w:rsidR="00161809" w:rsidRPr="002F5A85" w:rsidRDefault="00161809" w:rsidP="00DF1D73">
            <w:pPr>
              <w:pStyle w:val="TableText"/>
              <w:rPr>
                <w:rFonts w:cstheme="minorHAnsi"/>
                <w:szCs w:val="18"/>
              </w:rPr>
            </w:pPr>
            <w:r w:rsidRPr="002F5A85">
              <w:rPr>
                <w:rFonts w:cstheme="minorHAnsi"/>
                <w:szCs w:val="18"/>
              </w:rPr>
              <w:t xml:space="preserve">Trial of heat treatment of containers completed and is an approved </w:t>
            </w:r>
            <w:r w:rsidR="00020290">
              <w:rPr>
                <w:rFonts w:cstheme="minorHAnsi"/>
                <w:szCs w:val="18"/>
              </w:rPr>
              <w:t>Khapra</w:t>
            </w:r>
            <w:r w:rsidRPr="002F5A85">
              <w:rPr>
                <w:rFonts w:cstheme="minorHAnsi"/>
                <w:szCs w:val="18"/>
              </w:rPr>
              <w:t xml:space="preserve"> treatment option</w:t>
            </w:r>
          </w:p>
        </w:tc>
        <w:tc>
          <w:tcPr>
            <w:tcW w:w="498" w:type="pct"/>
            <w:tcMar>
              <w:bottom w:w="28" w:type="dxa"/>
            </w:tcMar>
          </w:tcPr>
          <w:p w14:paraId="4D97F36E" w14:textId="7B03C2C0" w:rsidR="00161809" w:rsidRDefault="00161809" w:rsidP="00D8091A">
            <w:pPr>
              <w:pStyle w:val="TableText"/>
            </w:pPr>
            <w:r>
              <w:t>Commonwealth (BPSSD, CED</w:t>
            </w:r>
            <w:r w:rsidR="00B7694F">
              <w:t>, HHWG</w:t>
            </w:r>
            <w:r>
              <w:t>)</w:t>
            </w:r>
          </w:p>
        </w:tc>
        <w:tc>
          <w:tcPr>
            <w:tcW w:w="659" w:type="pct"/>
            <w:tcMar>
              <w:left w:w="108" w:type="dxa"/>
              <w:bottom w:w="28" w:type="dxa"/>
              <w:right w:w="108" w:type="dxa"/>
            </w:tcMar>
          </w:tcPr>
          <w:p w14:paraId="5962A484" w14:textId="0C1133CC" w:rsidR="00161809" w:rsidRPr="009C6E83" w:rsidRDefault="00161809" w:rsidP="00D8091A">
            <w:pPr>
              <w:pStyle w:val="TableText"/>
            </w:pPr>
            <w:r>
              <w:t>Commonwealth</w:t>
            </w:r>
          </w:p>
        </w:tc>
        <w:tc>
          <w:tcPr>
            <w:tcW w:w="879" w:type="pct"/>
            <w:tcMar>
              <w:left w:w="108" w:type="dxa"/>
              <w:bottom w:w="28" w:type="dxa"/>
              <w:right w:w="108" w:type="dxa"/>
            </w:tcMar>
          </w:tcPr>
          <w:p w14:paraId="384E48D3" w14:textId="3958C201" w:rsidR="00161809" w:rsidRPr="009C6E83" w:rsidRDefault="00161809" w:rsidP="00D8091A">
            <w:pPr>
              <w:pStyle w:val="TableText"/>
            </w:pPr>
            <w:r>
              <w:t>Not applicable</w:t>
            </w:r>
          </w:p>
        </w:tc>
      </w:tr>
      <w:tr w:rsidR="00161809" w:rsidRPr="00013AE2" w14:paraId="14AA4862" w14:textId="77777777" w:rsidTr="00787004">
        <w:tc>
          <w:tcPr>
            <w:tcW w:w="988" w:type="pct"/>
            <w:vMerge/>
            <w:tcMar>
              <w:bottom w:w="28" w:type="dxa"/>
            </w:tcMar>
          </w:tcPr>
          <w:p w14:paraId="495CE1BE" w14:textId="77777777" w:rsidR="00161809" w:rsidRPr="00AF3D1F" w:rsidRDefault="00161809" w:rsidP="00DF1D73">
            <w:pPr>
              <w:pStyle w:val="TableText"/>
              <w:rPr>
                <w:rStyle w:val="Strong"/>
              </w:rPr>
            </w:pPr>
          </w:p>
        </w:tc>
        <w:tc>
          <w:tcPr>
            <w:tcW w:w="988" w:type="pct"/>
            <w:tcMar>
              <w:left w:w="108" w:type="dxa"/>
              <w:bottom w:w="28" w:type="dxa"/>
              <w:right w:w="108" w:type="dxa"/>
            </w:tcMar>
          </w:tcPr>
          <w:p w14:paraId="0B4D01A1" w14:textId="128DD2E2" w:rsidR="00161809" w:rsidRDefault="00161809" w:rsidP="00DF1D73">
            <w:pPr>
              <w:pStyle w:val="TableText"/>
              <w:rPr>
                <w:b/>
              </w:rPr>
            </w:pPr>
            <w:r w:rsidRPr="00A574F4">
              <w:rPr>
                <w:bCs/>
              </w:rPr>
              <w:t>1.6.5 Efficacy</w:t>
            </w:r>
            <w:r w:rsidRPr="00D70567">
              <w:t xml:space="preserve"> and practicality of treatments for infrastructure, from mail and small articles to </w:t>
            </w:r>
            <w:r w:rsidRPr="00D70567">
              <w:lastRenderedPageBreak/>
              <w:t>factory buildings also needs to be considered</w:t>
            </w:r>
          </w:p>
        </w:tc>
        <w:tc>
          <w:tcPr>
            <w:tcW w:w="987" w:type="pct"/>
            <w:shd w:val="clear" w:color="auto" w:fill="C6D9F1" w:themeFill="text2" w:themeFillTint="33"/>
            <w:tcMar>
              <w:left w:w="108" w:type="dxa"/>
              <w:bottom w:w="28" w:type="dxa"/>
              <w:right w:w="108" w:type="dxa"/>
            </w:tcMar>
          </w:tcPr>
          <w:p w14:paraId="2FB62555" w14:textId="77777777" w:rsidR="00117BDB" w:rsidRDefault="00161809" w:rsidP="00DF1D73">
            <w:pPr>
              <w:pStyle w:val="TableText"/>
            </w:pPr>
            <w:r>
              <w:lastRenderedPageBreak/>
              <w:t>Ongoing – business as usual</w:t>
            </w:r>
          </w:p>
          <w:p w14:paraId="24443B88" w14:textId="76C84E2E" w:rsidR="00161809" w:rsidRDefault="00117BDB" w:rsidP="00DF1D73">
            <w:pPr>
              <w:pStyle w:val="TableText"/>
            </w:pPr>
            <w:r w:rsidRPr="00D70567">
              <w:t xml:space="preserve">Update the </w:t>
            </w:r>
            <w:r w:rsidR="008A753E">
              <w:t>p</w:t>
            </w:r>
            <w:r w:rsidRPr="00D70567">
              <w:t xml:space="preserve">lan to reflect any research on new and effective </w:t>
            </w:r>
            <w:r w:rsidRPr="00D70567">
              <w:lastRenderedPageBreak/>
              <w:t>means of applying eradication treatments in urban environments where non-chemical treatments may be available</w:t>
            </w:r>
          </w:p>
        </w:tc>
        <w:tc>
          <w:tcPr>
            <w:tcW w:w="498" w:type="pct"/>
            <w:tcMar>
              <w:bottom w:w="28" w:type="dxa"/>
            </w:tcMar>
          </w:tcPr>
          <w:p w14:paraId="68AC932A" w14:textId="7EACE30B" w:rsidR="00161809" w:rsidRDefault="00161809" w:rsidP="00D8091A">
            <w:pPr>
              <w:pStyle w:val="TableText"/>
            </w:pPr>
            <w:r>
              <w:lastRenderedPageBreak/>
              <w:t>Commonwealth (BPSSD, CED)</w:t>
            </w:r>
          </w:p>
        </w:tc>
        <w:tc>
          <w:tcPr>
            <w:tcW w:w="659" w:type="pct"/>
            <w:tcMar>
              <w:left w:w="108" w:type="dxa"/>
              <w:bottom w:w="28" w:type="dxa"/>
              <w:right w:w="108" w:type="dxa"/>
            </w:tcMar>
          </w:tcPr>
          <w:p w14:paraId="3F96AC64" w14:textId="0AFCBF8D" w:rsidR="00161809" w:rsidRPr="009C6E83" w:rsidRDefault="00161809" w:rsidP="00D8091A">
            <w:pPr>
              <w:pStyle w:val="TableText"/>
            </w:pPr>
            <w:r>
              <w:t>Commonwealth</w:t>
            </w:r>
          </w:p>
        </w:tc>
        <w:tc>
          <w:tcPr>
            <w:tcW w:w="879" w:type="pct"/>
            <w:tcMar>
              <w:left w:w="108" w:type="dxa"/>
              <w:bottom w:w="28" w:type="dxa"/>
              <w:right w:w="108" w:type="dxa"/>
            </w:tcMar>
          </w:tcPr>
          <w:p w14:paraId="12605504" w14:textId="26EE5B40" w:rsidR="00161809" w:rsidRPr="009C6E83" w:rsidRDefault="00161809" w:rsidP="00D8091A">
            <w:pPr>
              <w:pStyle w:val="TableText"/>
            </w:pPr>
            <w:r>
              <w:t>Not applicable</w:t>
            </w:r>
          </w:p>
        </w:tc>
      </w:tr>
      <w:tr w:rsidR="006B0F11" w:rsidRPr="00013AE2" w14:paraId="15E5E6AB" w14:textId="77777777" w:rsidTr="00787004">
        <w:tc>
          <w:tcPr>
            <w:tcW w:w="988" w:type="pct"/>
            <w:vMerge w:val="restart"/>
            <w:tcMar>
              <w:bottom w:w="28" w:type="dxa"/>
            </w:tcMar>
          </w:tcPr>
          <w:p w14:paraId="772525FF" w14:textId="23742733" w:rsidR="00DF1D73" w:rsidRDefault="00DF1D73" w:rsidP="00A93D0D">
            <w:pPr>
              <w:pStyle w:val="TableText"/>
              <w:rPr>
                <w:rStyle w:val="Strong"/>
                <w:b w:val="0"/>
                <w:bCs w:val="0"/>
              </w:rPr>
            </w:pPr>
            <w:r w:rsidRPr="00AF3D1F">
              <w:rPr>
                <w:rStyle w:val="Strong"/>
              </w:rPr>
              <w:t>Action 1.</w:t>
            </w:r>
            <w:r>
              <w:rPr>
                <w:rStyle w:val="Strong"/>
              </w:rPr>
              <w:t>7</w:t>
            </w:r>
            <w:r w:rsidRPr="00AF3D1F">
              <w:rPr>
                <w:rStyle w:val="Strong"/>
              </w:rPr>
              <w:t>:</w:t>
            </w:r>
            <w:r>
              <w:rPr>
                <w:rStyle w:val="Strong"/>
              </w:rPr>
              <w:t xml:space="preserve"> </w:t>
            </w:r>
            <w:r w:rsidRPr="00D91D9A">
              <w:rPr>
                <w:rStyle w:val="Strong"/>
                <w:b w:val="0"/>
                <w:bCs w:val="0"/>
              </w:rPr>
              <w:t xml:space="preserve">Improve </w:t>
            </w:r>
            <w:r w:rsidRPr="00A93D0D">
              <w:rPr>
                <w:rStyle w:val="Strong"/>
                <w:b w:val="0"/>
                <w:bCs w:val="0"/>
              </w:rPr>
              <w:t>detection</w:t>
            </w:r>
            <w:r w:rsidRPr="00D91D9A">
              <w:rPr>
                <w:rStyle w:val="Strong"/>
                <w:b w:val="0"/>
                <w:bCs w:val="0"/>
              </w:rPr>
              <w:t xml:space="preserve"> of at-risk containers</w:t>
            </w:r>
            <w:r>
              <w:rPr>
                <w:rStyle w:val="Strong"/>
                <w:b w:val="0"/>
                <w:bCs w:val="0"/>
              </w:rPr>
              <w:t>.</w:t>
            </w:r>
          </w:p>
          <w:p w14:paraId="672FACA2" w14:textId="48E5E445" w:rsidR="00DF1D73" w:rsidRDefault="00DF1D73" w:rsidP="00DF1D73">
            <w:pPr>
              <w:pStyle w:val="TableText"/>
            </w:pPr>
            <w:r w:rsidRPr="009D6998">
              <w:rPr>
                <w:rStyle w:val="Strong"/>
              </w:rPr>
              <w:t>Expected benefit and outcome</w:t>
            </w:r>
            <w:r>
              <w:rPr>
                <w:rStyle w:val="Strong"/>
              </w:rPr>
              <w:t>:</w:t>
            </w:r>
            <w:r>
              <w:t xml:space="preserve"> </w:t>
            </w:r>
          </w:p>
          <w:p w14:paraId="367302BC" w14:textId="532F127B" w:rsidR="00DF1D73" w:rsidRDefault="00DF1D73" w:rsidP="00DF1D73">
            <w:pPr>
              <w:pStyle w:val="TableText"/>
              <w:rPr>
                <w:rStyle w:val="Strong"/>
                <w:b w:val="0"/>
                <w:bCs w:val="0"/>
              </w:rPr>
            </w:pPr>
            <w:r w:rsidRPr="00D91D9A">
              <w:rPr>
                <w:rStyle w:val="Strong"/>
                <w:b w:val="0"/>
                <w:bCs w:val="0"/>
              </w:rPr>
              <w:t>Detecting high risk containers requires data describing the load port and contents carried by the container for direct importation pathways (requires data describing a container’s current load port and contents) and indirect importation pathway (over the last five years on journeys that did not touch Australia).</w:t>
            </w:r>
          </w:p>
          <w:p w14:paraId="2AFEAC94" w14:textId="3810CD7C" w:rsidR="00DF1D73" w:rsidRPr="00AA2A13" w:rsidRDefault="00DF1D73" w:rsidP="00DF1D73">
            <w:pPr>
              <w:pStyle w:val="TableText"/>
            </w:pPr>
            <w:r w:rsidRPr="009D6998">
              <w:rPr>
                <w:rStyle w:val="Strong"/>
              </w:rPr>
              <w:t>Priority</w:t>
            </w:r>
            <w:r>
              <w:rPr>
                <w:rStyle w:val="Strong"/>
              </w:rPr>
              <w:t xml:space="preserve">: </w:t>
            </w:r>
            <w:r w:rsidRPr="00AF7C14">
              <w:rPr>
                <w:rStyle w:val="Strong"/>
                <w:b w:val="0"/>
                <w:bCs w:val="0"/>
              </w:rPr>
              <w:t>high</w:t>
            </w:r>
          </w:p>
          <w:p w14:paraId="6F3D4D6D" w14:textId="71B32B0D" w:rsidR="00DF1D73" w:rsidRPr="00AF3D1F" w:rsidRDefault="00DF1D73" w:rsidP="00DF1D73">
            <w:pPr>
              <w:pStyle w:val="TableText"/>
              <w:rPr>
                <w:rStyle w:val="Strong"/>
              </w:rPr>
            </w:pPr>
            <w:r w:rsidRPr="009D6998">
              <w:rPr>
                <w:rStyle w:val="Strong"/>
              </w:rPr>
              <w:t>Time frame</w:t>
            </w:r>
            <w:r>
              <w:rPr>
                <w:rStyle w:val="Strong"/>
              </w:rPr>
              <w:t xml:space="preserve">: </w:t>
            </w:r>
            <w:r w:rsidRPr="00AF7C14">
              <w:rPr>
                <w:rStyle w:val="Strong"/>
                <w:b w:val="0"/>
                <w:bCs w:val="0"/>
              </w:rPr>
              <w:t>short</w:t>
            </w:r>
            <w:r>
              <w:rPr>
                <w:rStyle w:val="Strong"/>
              </w:rPr>
              <w:t xml:space="preserve"> </w:t>
            </w:r>
            <w:r w:rsidRPr="00AA2A13">
              <w:t>term</w:t>
            </w:r>
          </w:p>
        </w:tc>
        <w:tc>
          <w:tcPr>
            <w:tcW w:w="988" w:type="pct"/>
            <w:tcMar>
              <w:left w:w="108" w:type="dxa"/>
              <w:bottom w:w="28" w:type="dxa"/>
              <w:right w:w="108" w:type="dxa"/>
            </w:tcMar>
          </w:tcPr>
          <w:p w14:paraId="1DD042E4" w14:textId="58D2049C" w:rsidR="00DF1D73" w:rsidRDefault="00DF1D73" w:rsidP="00DF1D73">
            <w:pPr>
              <w:pStyle w:val="TableText"/>
              <w:rPr>
                <w:b/>
              </w:rPr>
            </w:pPr>
            <w:r w:rsidRPr="001472F4">
              <w:rPr>
                <w:bCs/>
              </w:rPr>
              <w:t>1.</w:t>
            </w:r>
            <w:r>
              <w:t>7.1</w:t>
            </w:r>
            <w:r w:rsidRPr="00D70567">
              <w:t xml:space="preserve"> The department to continue working with industry and the European Union on a pilot to obtain more container transportation information from shipping lines</w:t>
            </w:r>
          </w:p>
        </w:tc>
        <w:tc>
          <w:tcPr>
            <w:tcW w:w="987" w:type="pct"/>
            <w:shd w:val="clear" w:color="auto" w:fill="C6D9F1" w:themeFill="text2" w:themeFillTint="33"/>
            <w:tcMar>
              <w:left w:w="108" w:type="dxa"/>
              <w:bottom w:w="28" w:type="dxa"/>
              <w:right w:w="108" w:type="dxa"/>
            </w:tcMar>
          </w:tcPr>
          <w:p w14:paraId="63BC0916" w14:textId="3A93268C" w:rsidR="00DF1D73" w:rsidRPr="001472F4" w:rsidRDefault="00DF1D73" w:rsidP="00A93D0D">
            <w:pPr>
              <w:pStyle w:val="TableText"/>
            </w:pPr>
            <w:r>
              <w:t>Ongoing – b</w:t>
            </w:r>
            <w:r w:rsidRPr="001472F4">
              <w:t>usiness as usual</w:t>
            </w:r>
          </w:p>
          <w:p w14:paraId="59A2D4B5" w14:textId="7CF4B17C" w:rsidR="00DF1D73" w:rsidRPr="001472F4" w:rsidRDefault="00DF1D73" w:rsidP="00DF1D73">
            <w:pPr>
              <w:pStyle w:val="TableText"/>
              <w:rPr>
                <w:rFonts w:cstheme="minorHAnsi"/>
                <w:szCs w:val="18"/>
              </w:rPr>
            </w:pPr>
            <w:r w:rsidRPr="001472F4">
              <w:rPr>
                <w:rFonts w:cstheme="minorHAnsi"/>
                <w:szCs w:val="18"/>
              </w:rPr>
              <w:t>Work is underway by the SCFG to</w:t>
            </w:r>
            <w:r w:rsidR="00B7694F">
              <w:rPr>
                <w:rFonts w:cstheme="minorHAnsi"/>
                <w:szCs w:val="18"/>
              </w:rPr>
              <w:t xml:space="preserve"> explore the acquisition of historical global container movement data </w:t>
            </w:r>
          </w:p>
        </w:tc>
        <w:tc>
          <w:tcPr>
            <w:tcW w:w="498" w:type="pct"/>
            <w:tcMar>
              <w:bottom w:w="28" w:type="dxa"/>
            </w:tcMar>
          </w:tcPr>
          <w:p w14:paraId="56C70037" w14:textId="3226AEA5" w:rsidR="00DF1D73" w:rsidRDefault="00DF1D73" w:rsidP="00D8091A">
            <w:pPr>
              <w:pStyle w:val="TableText"/>
            </w:pPr>
            <w:r>
              <w:t>Commonwealth (CED</w:t>
            </w:r>
            <w:r w:rsidR="00B7694F">
              <w:t>, HHWG</w:t>
            </w:r>
            <w:r>
              <w:t>)</w:t>
            </w:r>
          </w:p>
        </w:tc>
        <w:tc>
          <w:tcPr>
            <w:tcW w:w="659" w:type="pct"/>
            <w:tcMar>
              <w:left w:w="108" w:type="dxa"/>
              <w:bottom w:w="28" w:type="dxa"/>
              <w:right w:w="108" w:type="dxa"/>
            </w:tcMar>
          </w:tcPr>
          <w:p w14:paraId="2B601D5E" w14:textId="5BF5FE02" w:rsidR="00DF1D73" w:rsidRPr="009C6E83" w:rsidRDefault="00DF1D73" w:rsidP="00D8091A">
            <w:pPr>
              <w:pStyle w:val="TableText"/>
            </w:pPr>
            <w:r>
              <w:t xml:space="preserve">Commonwealth </w:t>
            </w:r>
          </w:p>
        </w:tc>
        <w:tc>
          <w:tcPr>
            <w:tcW w:w="879" w:type="pct"/>
            <w:tcMar>
              <w:left w:w="108" w:type="dxa"/>
              <w:bottom w:w="28" w:type="dxa"/>
              <w:right w:w="108" w:type="dxa"/>
            </w:tcMar>
          </w:tcPr>
          <w:p w14:paraId="21535B65" w14:textId="404859BC" w:rsidR="00DF1D73" w:rsidRPr="009C6E83" w:rsidRDefault="00DF1D73" w:rsidP="00D8091A">
            <w:pPr>
              <w:pStyle w:val="TableText"/>
            </w:pPr>
            <w:r>
              <w:t>Supports many other action areas</w:t>
            </w:r>
          </w:p>
        </w:tc>
      </w:tr>
      <w:tr w:rsidR="006B0F11" w:rsidRPr="00013AE2" w14:paraId="3520D922" w14:textId="77777777" w:rsidTr="00D8091A">
        <w:tc>
          <w:tcPr>
            <w:tcW w:w="988" w:type="pct"/>
            <w:vMerge/>
            <w:tcMar>
              <w:bottom w:w="28" w:type="dxa"/>
            </w:tcMar>
          </w:tcPr>
          <w:p w14:paraId="79D3D930" w14:textId="77777777" w:rsidR="00DF1D73" w:rsidRPr="00AF3D1F" w:rsidRDefault="00DF1D73" w:rsidP="00DF1D73">
            <w:pPr>
              <w:pStyle w:val="TableText"/>
              <w:rPr>
                <w:rStyle w:val="Strong"/>
              </w:rPr>
            </w:pPr>
          </w:p>
        </w:tc>
        <w:tc>
          <w:tcPr>
            <w:tcW w:w="988" w:type="pct"/>
            <w:tcMar>
              <w:left w:w="108" w:type="dxa"/>
              <w:bottom w:w="28" w:type="dxa"/>
              <w:right w:w="108" w:type="dxa"/>
            </w:tcMar>
          </w:tcPr>
          <w:p w14:paraId="4F400D9C" w14:textId="0C07A7C5" w:rsidR="00DF1D73" w:rsidRDefault="00DF1D73" w:rsidP="00DF1D73">
            <w:pPr>
              <w:pStyle w:val="TableText"/>
              <w:rPr>
                <w:b/>
              </w:rPr>
            </w:pPr>
            <w:r w:rsidRPr="001472F4">
              <w:rPr>
                <w:bCs/>
              </w:rPr>
              <w:t>1.7</w:t>
            </w:r>
            <w:r>
              <w:t>.2</w:t>
            </w:r>
            <w:r w:rsidRPr="00D70567">
              <w:t xml:space="preserve"> The department to continue engaging with the Department of Home Affairs on obtaining relevant commodities data, an approach which potentially could streamline efforts significantly by substantially reducing the data cleansing task</w:t>
            </w:r>
          </w:p>
        </w:tc>
        <w:tc>
          <w:tcPr>
            <w:tcW w:w="987" w:type="pct"/>
            <w:shd w:val="clear" w:color="auto" w:fill="DEF0C2"/>
            <w:tcMar>
              <w:left w:w="108" w:type="dxa"/>
              <w:bottom w:w="28" w:type="dxa"/>
              <w:right w:w="108" w:type="dxa"/>
            </w:tcMar>
          </w:tcPr>
          <w:p w14:paraId="2398C677" w14:textId="5249EBD7" w:rsidR="00DF1D73" w:rsidRPr="001472F4" w:rsidRDefault="00DF1D73" w:rsidP="00DF1D73">
            <w:pPr>
              <w:pStyle w:val="TableText"/>
              <w:rPr>
                <w:rFonts w:cstheme="minorHAnsi"/>
                <w:szCs w:val="18"/>
              </w:rPr>
            </w:pPr>
            <w:r w:rsidRPr="001472F4">
              <w:rPr>
                <w:rFonts w:cstheme="minorHAnsi"/>
                <w:szCs w:val="18"/>
              </w:rPr>
              <w:t>Completed – project finished</w:t>
            </w:r>
          </w:p>
          <w:p w14:paraId="37028851" w14:textId="78E97271" w:rsidR="00DF1D73" w:rsidRPr="001472F4" w:rsidRDefault="00DF1D73" w:rsidP="00DF1D73">
            <w:pPr>
              <w:pStyle w:val="TableText"/>
              <w:rPr>
                <w:rFonts w:cstheme="minorHAnsi"/>
                <w:bCs/>
                <w:szCs w:val="18"/>
              </w:rPr>
            </w:pPr>
            <w:r w:rsidRPr="001472F4">
              <w:rPr>
                <w:rFonts w:cstheme="minorHAnsi"/>
                <w:bCs/>
                <w:szCs w:val="18"/>
              </w:rPr>
              <w:t>Undertook a pilot study to get more container transportation information</w:t>
            </w:r>
          </w:p>
          <w:p w14:paraId="6756E738" w14:textId="77345108" w:rsidR="00DF1D73" w:rsidRPr="001472F4" w:rsidRDefault="00DF1D73" w:rsidP="00DF1D73">
            <w:pPr>
              <w:pStyle w:val="TableText"/>
            </w:pPr>
            <w:r w:rsidRPr="001472F4">
              <w:rPr>
                <w:rFonts w:cstheme="minorHAnsi"/>
                <w:bCs/>
                <w:szCs w:val="18"/>
              </w:rPr>
              <w:t>5 years of historical data has been obtained from Department of Home Affairs. Engagement continues to ensure provided data is fit for purpose, and to arrange an ongoing data stream.</w:t>
            </w:r>
            <w:r w:rsidRPr="001472F4">
              <w:t xml:space="preserve"> </w:t>
            </w:r>
          </w:p>
        </w:tc>
        <w:tc>
          <w:tcPr>
            <w:tcW w:w="498" w:type="pct"/>
            <w:tcMar>
              <w:bottom w:w="28" w:type="dxa"/>
            </w:tcMar>
          </w:tcPr>
          <w:p w14:paraId="0BF14F7A" w14:textId="2ED84300" w:rsidR="00DF1D73" w:rsidRDefault="00DF1D73" w:rsidP="00D8091A">
            <w:pPr>
              <w:pStyle w:val="TableText"/>
            </w:pPr>
            <w:r>
              <w:t>Commonwealth (D</w:t>
            </w:r>
            <w:r w:rsidR="000B0C1F">
              <w:t>B</w:t>
            </w:r>
            <w:r>
              <w:t>D)</w:t>
            </w:r>
          </w:p>
        </w:tc>
        <w:tc>
          <w:tcPr>
            <w:tcW w:w="659" w:type="pct"/>
            <w:tcMar>
              <w:left w:w="108" w:type="dxa"/>
              <w:bottom w:w="28" w:type="dxa"/>
              <w:right w:w="108" w:type="dxa"/>
            </w:tcMar>
          </w:tcPr>
          <w:p w14:paraId="43829FA9" w14:textId="141DEE0E" w:rsidR="00DF1D73" w:rsidRPr="009C6E83" w:rsidRDefault="00DF1D73" w:rsidP="00D8091A">
            <w:pPr>
              <w:pStyle w:val="TableText"/>
            </w:pPr>
            <w:r>
              <w:t xml:space="preserve">Commonwealth </w:t>
            </w:r>
          </w:p>
        </w:tc>
        <w:tc>
          <w:tcPr>
            <w:tcW w:w="879" w:type="pct"/>
            <w:tcMar>
              <w:left w:w="108" w:type="dxa"/>
              <w:bottom w:w="28" w:type="dxa"/>
              <w:right w:w="108" w:type="dxa"/>
            </w:tcMar>
          </w:tcPr>
          <w:p w14:paraId="0533F3E9" w14:textId="32A7507F" w:rsidR="00DF1D73" w:rsidRPr="009C6E83" w:rsidRDefault="00DF1D73" w:rsidP="00D8091A">
            <w:pPr>
              <w:pStyle w:val="TableText"/>
            </w:pPr>
            <w:r>
              <w:t xml:space="preserve">Supports many other action areas </w:t>
            </w:r>
          </w:p>
        </w:tc>
      </w:tr>
      <w:bookmarkEnd w:id="2"/>
    </w:tbl>
    <w:p w14:paraId="18F4344A" w14:textId="755EC75E" w:rsidR="00424757" w:rsidRDefault="00424757" w:rsidP="00106C85">
      <w:pPr>
        <w:pStyle w:val="Caption"/>
        <w:sectPr w:rsidR="00424757" w:rsidSect="00180FF6">
          <w:pgSz w:w="16838" w:h="11906" w:orient="landscape"/>
          <w:pgMar w:top="1418" w:right="1418" w:bottom="851" w:left="1418" w:header="567" w:footer="283" w:gutter="0"/>
          <w:cols w:space="708"/>
          <w:docGrid w:linePitch="360"/>
        </w:sectPr>
      </w:pPr>
    </w:p>
    <w:p w14:paraId="38305F3F" w14:textId="281435AD" w:rsidR="003A04B6" w:rsidRPr="007B0473" w:rsidRDefault="00106C85" w:rsidP="00106C85">
      <w:pPr>
        <w:pStyle w:val="Caption"/>
      </w:pPr>
      <w:r>
        <w:lastRenderedPageBreak/>
        <w:t xml:space="preserve">Table </w:t>
      </w:r>
      <w:r w:rsidR="00C842D9">
        <w:fldChar w:fldCharType="begin"/>
      </w:r>
      <w:r w:rsidR="00C842D9">
        <w:instrText xml:space="preserve"> SEQ Table \* ARABIC </w:instrText>
      </w:r>
      <w:r w:rsidR="00C842D9">
        <w:fldChar w:fldCharType="separate"/>
      </w:r>
      <w:r w:rsidR="00CC4B1A">
        <w:rPr>
          <w:noProof/>
        </w:rPr>
        <w:t>2</w:t>
      </w:r>
      <w:r w:rsidR="00C842D9">
        <w:rPr>
          <w:noProof/>
        </w:rPr>
        <w:fldChar w:fldCharType="end"/>
      </w:r>
      <w:r>
        <w:t xml:space="preserve"> </w:t>
      </w:r>
      <w:r w:rsidR="003A04B6" w:rsidRPr="00DE7573">
        <w:t xml:space="preserve">Implementation of activities for </w:t>
      </w:r>
      <w:r w:rsidR="00004733">
        <w:t>A</w:t>
      </w:r>
      <w:r w:rsidR="003A04B6" w:rsidRPr="00DE7573">
        <w:t>rea 2: Detection</w:t>
      </w:r>
    </w:p>
    <w:tbl>
      <w:tblPr>
        <w:tblW w:w="5000"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694"/>
        <w:gridCol w:w="2977"/>
        <w:gridCol w:w="2551"/>
        <w:gridCol w:w="1417"/>
        <w:gridCol w:w="2128"/>
        <w:gridCol w:w="2235"/>
      </w:tblGrid>
      <w:tr w:rsidR="00307043" w:rsidRPr="00F81ECF" w14:paraId="503D1679" w14:textId="77777777" w:rsidTr="002027E3">
        <w:trPr>
          <w:tblHeader/>
        </w:trPr>
        <w:tc>
          <w:tcPr>
            <w:tcW w:w="962" w:type="pct"/>
            <w:tcMar>
              <w:bottom w:w="28" w:type="dxa"/>
            </w:tcMar>
          </w:tcPr>
          <w:p w14:paraId="32C52BA7" w14:textId="77777777" w:rsidR="003A04B6" w:rsidRPr="00A8715D" w:rsidRDefault="003A04B6" w:rsidP="00261848">
            <w:pPr>
              <w:pStyle w:val="TableHeading"/>
            </w:pPr>
            <w:r>
              <w:t>Action</w:t>
            </w:r>
          </w:p>
        </w:tc>
        <w:tc>
          <w:tcPr>
            <w:tcW w:w="1063" w:type="pct"/>
            <w:tcMar>
              <w:left w:w="108" w:type="dxa"/>
              <w:bottom w:w="28" w:type="dxa"/>
              <w:right w:w="108" w:type="dxa"/>
            </w:tcMar>
          </w:tcPr>
          <w:p w14:paraId="51286AE7" w14:textId="77777777" w:rsidR="003A04B6" w:rsidRPr="00261848" w:rsidRDefault="003A04B6" w:rsidP="00261848">
            <w:pPr>
              <w:pStyle w:val="TableHeading"/>
            </w:pPr>
            <w:r w:rsidRPr="00261848">
              <w:t>Project or business</w:t>
            </w:r>
            <w:r>
              <w:t>-</w:t>
            </w:r>
            <w:r w:rsidRPr="00261848">
              <w:t>as</w:t>
            </w:r>
            <w:r>
              <w:t>-</w:t>
            </w:r>
            <w:r w:rsidRPr="00261848">
              <w:t>usual activity</w:t>
            </w:r>
          </w:p>
        </w:tc>
        <w:tc>
          <w:tcPr>
            <w:tcW w:w="911" w:type="pct"/>
            <w:tcMar>
              <w:left w:w="108" w:type="dxa"/>
              <w:bottom w:w="28" w:type="dxa"/>
              <w:right w:w="108" w:type="dxa"/>
            </w:tcMar>
          </w:tcPr>
          <w:p w14:paraId="1699F377" w14:textId="652A53D0" w:rsidR="006F5A0E" w:rsidRPr="00261848" w:rsidRDefault="003A04B6" w:rsidP="00261848">
            <w:pPr>
              <w:pStyle w:val="TableHeading"/>
            </w:pPr>
            <w:r w:rsidRPr="00261848">
              <w:t xml:space="preserve">Status </w:t>
            </w:r>
          </w:p>
        </w:tc>
        <w:tc>
          <w:tcPr>
            <w:tcW w:w="506" w:type="pct"/>
            <w:tcMar>
              <w:left w:w="108" w:type="dxa"/>
              <w:bottom w:w="28" w:type="dxa"/>
              <w:right w:w="108" w:type="dxa"/>
            </w:tcMar>
          </w:tcPr>
          <w:p w14:paraId="2B1DE403" w14:textId="77777777" w:rsidR="003A04B6" w:rsidRPr="00261848" w:rsidRDefault="003A04B6" w:rsidP="00261848">
            <w:pPr>
              <w:pStyle w:val="TableHeading"/>
            </w:pPr>
            <w:r w:rsidRPr="00261848">
              <w:t>Lead organisation</w:t>
            </w:r>
          </w:p>
        </w:tc>
        <w:tc>
          <w:tcPr>
            <w:tcW w:w="760" w:type="pct"/>
            <w:tcMar>
              <w:left w:w="108" w:type="dxa"/>
              <w:bottom w:w="28" w:type="dxa"/>
              <w:right w:w="108" w:type="dxa"/>
            </w:tcMar>
          </w:tcPr>
          <w:p w14:paraId="34C12161" w14:textId="77777777" w:rsidR="003A04B6" w:rsidRPr="00261848" w:rsidRDefault="003A04B6" w:rsidP="00261848">
            <w:pPr>
              <w:pStyle w:val="TableHeading"/>
            </w:pPr>
            <w:r w:rsidRPr="00261848">
              <w:t>Contributors (financial and in-kind)</w:t>
            </w:r>
          </w:p>
        </w:tc>
        <w:tc>
          <w:tcPr>
            <w:tcW w:w="798" w:type="pct"/>
            <w:tcMar>
              <w:left w:w="108" w:type="dxa"/>
              <w:bottom w:w="28" w:type="dxa"/>
              <w:right w:w="108" w:type="dxa"/>
            </w:tcMar>
          </w:tcPr>
          <w:p w14:paraId="702A5B5B" w14:textId="77777777" w:rsidR="003A04B6" w:rsidRPr="00261848" w:rsidRDefault="003A04B6" w:rsidP="00261848">
            <w:pPr>
              <w:pStyle w:val="TableHeading"/>
            </w:pPr>
            <w:r w:rsidRPr="00261848">
              <w:t>Dependencies</w:t>
            </w:r>
          </w:p>
        </w:tc>
      </w:tr>
      <w:tr w:rsidR="005E3D7F" w:rsidRPr="00013AE2" w14:paraId="57419480" w14:textId="77777777" w:rsidTr="002027E3">
        <w:tc>
          <w:tcPr>
            <w:tcW w:w="962" w:type="pct"/>
            <w:vMerge w:val="restart"/>
            <w:tcMar>
              <w:bottom w:w="28" w:type="dxa"/>
            </w:tcMar>
          </w:tcPr>
          <w:p w14:paraId="05AE848C" w14:textId="69A40F22" w:rsidR="005E3D7F" w:rsidRPr="0071465D" w:rsidRDefault="005E3D7F" w:rsidP="0071465D">
            <w:pPr>
              <w:pStyle w:val="TableText"/>
              <w:rPr>
                <w:rStyle w:val="Strong"/>
                <w:rFonts w:cstheme="minorHAnsi"/>
                <w:b w:val="0"/>
                <w:bCs w:val="0"/>
                <w:szCs w:val="18"/>
              </w:rPr>
            </w:pPr>
            <w:r w:rsidRPr="00AF3D1F">
              <w:rPr>
                <w:rStyle w:val="Strong"/>
              </w:rPr>
              <w:t xml:space="preserve">Action </w:t>
            </w:r>
            <w:r>
              <w:rPr>
                <w:rStyle w:val="Strong"/>
              </w:rPr>
              <w:t xml:space="preserve">2.1: </w:t>
            </w:r>
            <w:r w:rsidRPr="0071465D">
              <w:rPr>
                <w:rStyle w:val="Strong"/>
                <w:rFonts w:cstheme="minorHAnsi"/>
                <w:b w:val="0"/>
                <w:bCs w:val="0"/>
                <w:szCs w:val="18"/>
              </w:rPr>
              <w:t>Build and strengthen national diagnostic capability</w:t>
            </w:r>
            <w:r>
              <w:rPr>
                <w:rStyle w:val="Strong"/>
                <w:rFonts w:cstheme="minorHAnsi"/>
                <w:b w:val="0"/>
                <w:bCs w:val="0"/>
                <w:szCs w:val="18"/>
              </w:rPr>
              <w:t>.</w:t>
            </w:r>
          </w:p>
          <w:p w14:paraId="131F9D8B" w14:textId="398F2AD8" w:rsidR="005E3D7F" w:rsidRDefault="005E3D7F" w:rsidP="0071465D">
            <w:pPr>
              <w:pStyle w:val="TableText"/>
            </w:pPr>
            <w:r w:rsidRPr="009D6998">
              <w:rPr>
                <w:rStyle w:val="Strong"/>
              </w:rPr>
              <w:t>Expected benefit and outcome</w:t>
            </w:r>
            <w:r>
              <w:rPr>
                <w:rStyle w:val="Strong"/>
              </w:rPr>
              <w:t>:</w:t>
            </w:r>
            <w:r w:rsidRPr="00D70567">
              <w:rPr>
                <w:rFonts w:asciiTheme="majorHAnsi" w:hAnsiTheme="majorHAnsi"/>
                <w:bCs/>
                <w:sz w:val="20"/>
                <w:szCs w:val="20"/>
              </w:rPr>
              <w:t xml:space="preserve"> </w:t>
            </w:r>
            <w:r w:rsidRPr="0071465D">
              <w:rPr>
                <w:rFonts w:cstheme="minorHAnsi"/>
                <w:bCs/>
                <w:szCs w:val="18"/>
              </w:rPr>
              <w:t xml:space="preserve">Australia has a diverse range of endemic and established species of </w:t>
            </w:r>
            <w:r w:rsidRPr="0071465D">
              <w:rPr>
                <w:rFonts w:cstheme="minorHAnsi"/>
                <w:bCs/>
                <w:i/>
                <w:iCs/>
                <w:szCs w:val="18"/>
              </w:rPr>
              <w:t>Trogoderma</w:t>
            </w:r>
            <w:r w:rsidRPr="0071465D">
              <w:rPr>
                <w:rFonts w:cstheme="minorHAnsi"/>
                <w:bCs/>
                <w:szCs w:val="18"/>
              </w:rPr>
              <w:t xml:space="preserve">, which increases the complexity of accurately diagnosing </w:t>
            </w:r>
            <w:r w:rsidR="00020290">
              <w:rPr>
                <w:rFonts w:cstheme="minorHAnsi"/>
                <w:bCs/>
                <w:szCs w:val="18"/>
              </w:rPr>
              <w:t>Khapra</w:t>
            </w:r>
            <w:r w:rsidRPr="0071465D">
              <w:rPr>
                <w:rFonts w:cstheme="minorHAnsi"/>
                <w:bCs/>
                <w:szCs w:val="18"/>
              </w:rPr>
              <w:t xml:space="preserve"> beetle. There is a need to strengthen and maintain expertise in Australia to identify species of </w:t>
            </w:r>
            <w:r w:rsidRPr="0071465D">
              <w:rPr>
                <w:rFonts w:cstheme="minorHAnsi"/>
                <w:bCs/>
                <w:i/>
                <w:iCs/>
                <w:szCs w:val="18"/>
              </w:rPr>
              <w:t>Trogoderma</w:t>
            </w:r>
            <w:r w:rsidRPr="0071465D">
              <w:rPr>
                <w:rFonts w:cstheme="minorHAnsi"/>
                <w:bCs/>
                <w:szCs w:val="18"/>
              </w:rPr>
              <w:t>.</w:t>
            </w:r>
            <w:r w:rsidRPr="00D70567">
              <w:rPr>
                <w:rFonts w:asciiTheme="majorHAnsi" w:hAnsiTheme="majorHAnsi"/>
                <w:bCs/>
                <w:sz w:val="20"/>
                <w:szCs w:val="20"/>
              </w:rPr>
              <w:t xml:space="preserve"> </w:t>
            </w:r>
            <w:r>
              <w:t xml:space="preserve"> </w:t>
            </w:r>
          </w:p>
          <w:p w14:paraId="6F140764" w14:textId="77777777" w:rsidR="005E3D7F" w:rsidRPr="00AA2A13" w:rsidRDefault="005E3D7F" w:rsidP="0071465D">
            <w:pPr>
              <w:pStyle w:val="TableText"/>
            </w:pPr>
            <w:r w:rsidRPr="009D6998">
              <w:rPr>
                <w:rStyle w:val="Strong"/>
              </w:rPr>
              <w:t>Priority</w:t>
            </w:r>
            <w:r>
              <w:rPr>
                <w:rStyle w:val="Strong"/>
              </w:rPr>
              <w:t xml:space="preserve">: </w:t>
            </w:r>
            <w:r w:rsidRPr="00AF7C14">
              <w:rPr>
                <w:rStyle w:val="Strong"/>
                <w:b w:val="0"/>
                <w:bCs w:val="0"/>
              </w:rPr>
              <w:t>high</w:t>
            </w:r>
          </w:p>
          <w:p w14:paraId="419CA0FC" w14:textId="6E6C8A4D" w:rsidR="005E3D7F" w:rsidRPr="00EA74C1" w:rsidRDefault="005E3D7F" w:rsidP="0071465D">
            <w:pPr>
              <w:pStyle w:val="TableText"/>
            </w:pPr>
            <w:r w:rsidRPr="009D6998">
              <w:rPr>
                <w:rStyle w:val="Strong"/>
              </w:rPr>
              <w:t>Time frame</w:t>
            </w:r>
            <w:r>
              <w:rPr>
                <w:rStyle w:val="Strong"/>
              </w:rPr>
              <w:t xml:space="preserve">: </w:t>
            </w:r>
            <w:r w:rsidRPr="00AF7C14">
              <w:rPr>
                <w:rStyle w:val="Strong"/>
                <w:b w:val="0"/>
                <w:bCs w:val="0"/>
              </w:rPr>
              <w:t>short</w:t>
            </w:r>
            <w:r>
              <w:rPr>
                <w:rStyle w:val="Strong"/>
              </w:rPr>
              <w:t xml:space="preserve"> </w:t>
            </w:r>
            <w:r w:rsidRPr="00AA2A13">
              <w:t>term</w:t>
            </w:r>
          </w:p>
        </w:tc>
        <w:tc>
          <w:tcPr>
            <w:tcW w:w="1063" w:type="pct"/>
            <w:tcMar>
              <w:left w:w="108" w:type="dxa"/>
              <w:bottom w:w="28" w:type="dxa"/>
              <w:right w:w="108" w:type="dxa"/>
            </w:tcMar>
          </w:tcPr>
          <w:p w14:paraId="30D8C7E1" w14:textId="0029DE7F" w:rsidR="005E3D7F" w:rsidRPr="00002365" w:rsidRDefault="005E3D7F" w:rsidP="00002365">
            <w:pPr>
              <w:pStyle w:val="TableText"/>
            </w:pPr>
            <w:r w:rsidRPr="00002365">
              <w:t>2.1.1 Develop and run further regular training to maintain skills in jurisdictions</w:t>
            </w:r>
          </w:p>
        </w:tc>
        <w:tc>
          <w:tcPr>
            <w:tcW w:w="911" w:type="pct"/>
            <w:shd w:val="clear" w:color="auto" w:fill="DEF0C2"/>
            <w:tcMar>
              <w:left w:w="108" w:type="dxa"/>
              <w:bottom w:w="28" w:type="dxa"/>
              <w:right w:w="108" w:type="dxa"/>
            </w:tcMar>
          </w:tcPr>
          <w:p w14:paraId="14C0CDF2" w14:textId="7B734B01" w:rsidR="005E3D7F" w:rsidRPr="00315B85" w:rsidRDefault="005E3D7F" w:rsidP="00315B85">
            <w:pPr>
              <w:pStyle w:val="TableText"/>
              <w:rPr>
                <w:rFonts w:cstheme="minorHAnsi"/>
                <w:szCs w:val="18"/>
              </w:rPr>
            </w:pPr>
            <w:r w:rsidRPr="00315B85">
              <w:rPr>
                <w:rFonts w:cstheme="minorHAnsi"/>
                <w:szCs w:val="18"/>
              </w:rPr>
              <w:t>Completed – project finished</w:t>
            </w:r>
          </w:p>
          <w:p w14:paraId="0778BE89" w14:textId="11116665" w:rsidR="005E3D7F" w:rsidRPr="00315B85" w:rsidRDefault="005E3D7F" w:rsidP="00315B85">
            <w:pPr>
              <w:pStyle w:val="TableText"/>
              <w:rPr>
                <w:rFonts w:cstheme="minorHAnsi"/>
                <w:szCs w:val="18"/>
              </w:rPr>
            </w:pPr>
            <w:r w:rsidRPr="00315B85">
              <w:rPr>
                <w:rFonts w:cstheme="minorHAnsi"/>
                <w:bCs/>
                <w:szCs w:val="18"/>
              </w:rPr>
              <w:t>Developed and conducted regular training to maintain skills in jurisdictions, and train more scientists, both in-house and in universities</w:t>
            </w:r>
          </w:p>
        </w:tc>
        <w:tc>
          <w:tcPr>
            <w:tcW w:w="506" w:type="pct"/>
            <w:tcMar>
              <w:left w:w="108" w:type="dxa"/>
              <w:bottom w:w="28" w:type="dxa"/>
              <w:right w:w="108" w:type="dxa"/>
            </w:tcMar>
          </w:tcPr>
          <w:p w14:paraId="3E323F4C" w14:textId="34B0F11E" w:rsidR="005E3D7F" w:rsidRPr="00D218F7" w:rsidRDefault="005E3D7F" w:rsidP="00C2627F">
            <w:pPr>
              <w:pStyle w:val="TableText"/>
            </w:pPr>
            <w:r>
              <w:t>Commonwealth (PPEBD)</w:t>
            </w:r>
          </w:p>
        </w:tc>
        <w:tc>
          <w:tcPr>
            <w:tcW w:w="760" w:type="pct"/>
            <w:tcMar>
              <w:left w:w="108" w:type="dxa"/>
              <w:bottom w:w="28" w:type="dxa"/>
              <w:right w:w="108" w:type="dxa"/>
            </w:tcMar>
          </w:tcPr>
          <w:p w14:paraId="28B322EC" w14:textId="2E3424A7" w:rsidR="005E3D7F" w:rsidRPr="000407B5" w:rsidRDefault="005E3D7F" w:rsidP="00C2627F">
            <w:pPr>
              <w:pStyle w:val="TableText"/>
            </w:pPr>
            <w:r>
              <w:t xml:space="preserve">Commonwealth </w:t>
            </w:r>
          </w:p>
        </w:tc>
        <w:tc>
          <w:tcPr>
            <w:tcW w:w="798" w:type="pct"/>
            <w:tcMar>
              <w:left w:w="108" w:type="dxa"/>
              <w:bottom w:w="28" w:type="dxa"/>
              <w:right w:w="108" w:type="dxa"/>
            </w:tcMar>
          </w:tcPr>
          <w:p w14:paraId="22A60CB1" w14:textId="57C7F1C0" w:rsidR="005E3D7F" w:rsidRPr="0084064B" w:rsidRDefault="005E3D7F" w:rsidP="0084064B">
            <w:pPr>
              <w:pStyle w:val="TableText"/>
            </w:pPr>
            <w:r w:rsidRPr="0084064B">
              <w:t>Relates to action 2.2</w:t>
            </w:r>
          </w:p>
        </w:tc>
      </w:tr>
      <w:tr w:rsidR="005E3D7F" w:rsidRPr="00013AE2" w14:paraId="095CD2F3" w14:textId="77777777" w:rsidTr="002027E3">
        <w:tc>
          <w:tcPr>
            <w:tcW w:w="962" w:type="pct"/>
            <w:vMerge/>
            <w:tcMar>
              <w:bottom w:w="28" w:type="dxa"/>
            </w:tcMar>
          </w:tcPr>
          <w:p w14:paraId="02FBFF4F" w14:textId="77777777" w:rsidR="005E3D7F" w:rsidRPr="00AF3D1F" w:rsidRDefault="005E3D7F" w:rsidP="00DF1D73">
            <w:pPr>
              <w:pStyle w:val="TableText"/>
              <w:rPr>
                <w:rStyle w:val="Strong"/>
              </w:rPr>
            </w:pPr>
          </w:p>
        </w:tc>
        <w:tc>
          <w:tcPr>
            <w:tcW w:w="1063" w:type="pct"/>
            <w:tcMar>
              <w:left w:w="108" w:type="dxa"/>
              <w:bottom w:w="28" w:type="dxa"/>
              <w:right w:w="108" w:type="dxa"/>
            </w:tcMar>
          </w:tcPr>
          <w:p w14:paraId="187E392B" w14:textId="614954DF" w:rsidR="005E3D7F" w:rsidRPr="00002365" w:rsidRDefault="005E3D7F" w:rsidP="00DF1D73">
            <w:pPr>
              <w:pStyle w:val="TableText"/>
            </w:pPr>
            <w:r w:rsidRPr="00002365">
              <w:t>2.1.2 Finalise review of the national diagnostic protocol</w:t>
            </w:r>
          </w:p>
        </w:tc>
        <w:tc>
          <w:tcPr>
            <w:tcW w:w="911" w:type="pct"/>
            <w:shd w:val="clear" w:color="auto" w:fill="DEF0C2"/>
            <w:tcMar>
              <w:left w:w="108" w:type="dxa"/>
              <w:bottom w:w="28" w:type="dxa"/>
              <w:right w:w="108" w:type="dxa"/>
            </w:tcMar>
          </w:tcPr>
          <w:p w14:paraId="0DD65BC4" w14:textId="6391DC13" w:rsidR="005E3D7F" w:rsidRPr="00315B85" w:rsidRDefault="005E3D7F" w:rsidP="00DF1D73">
            <w:pPr>
              <w:pStyle w:val="TableText"/>
              <w:rPr>
                <w:rFonts w:cstheme="minorHAnsi"/>
                <w:szCs w:val="18"/>
              </w:rPr>
            </w:pPr>
            <w:r w:rsidRPr="00315B85">
              <w:rPr>
                <w:rFonts w:cstheme="minorHAnsi"/>
                <w:szCs w:val="18"/>
              </w:rPr>
              <w:t>Completed – project finished</w:t>
            </w:r>
          </w:p>
          <w:p w14:paraId="1DB12ABE" w14:textId="408CBC5C" w:rsidR="005E3D7F" w:rsidRPr="00211E85" w:rsidRDefault="005E3D7F" w:rsidP="00DF1D73">
            <w:pPr>
              <w:pStyle w:val="TableText"/>
              <w:rPr>
                <w:rStyle w:val="ui-provider"/>
              </w:rPr>
            </w:pPr>
            <w:r w:rsidRPr="00211E85">
              <w:rPr>
                <w:rStyle w:val="CommentTextChar"/>
              </w:rPr>
              <w:t xml:space="preserve"> </w:t>
            </w:r>
            <w:bookmarkStart w:id="4" w:name="_Hlk150771160"/>
            <w:r w:rsidRPr="00211E85">
              <w:rPr>
                <w:rStyle w:val="ui-provider"/>
              </w:rPr>
              <w:t>The Khapra beetle NDP was endorsed by SPHD last year and uploaded onto the NPBDN website</w:t>
            </w:r>
            <w:r w:rsidR="009953A3">
              <w:rPr>
                <w:rStyle w:val="ui-provider"/>
              </w:rPr>
              <w:t xml:space="preserve"> [</w:t>
            </w:r>
            <w:hyperlink r:id="rId24" w:history="1">
              <w:r w:rsidRPr="008C717A">
                <w:rPr>
                  <w:rStyle w:val="Hyperlink"/>
                  <w:color w:val="auto"/>
                  <w:u w:val="none"/>
                </w:rPr>
                <w:t>NDP45</w:t>
              </w:r>
              <w:r w:rsidRPr="00211E85">
                <w:rPr>
                  <w:rStyle w:val="Hyperlink"/>
                  <w:color w:val="auto"/>
                </w:rPr>
                <w:t xml:space="preserve"> </w:t>
              </w:r>
              <w:r w:rsidRPr="008C717A">
                <w:rPr>
                  <w:rStyle w:val="Hyperlink"/>
                  <w:color w:val="auto"/>
                </w:rPr>
                <w:t>(</w:t>
              </w:r>
              <w:r w:rsidRPr="008C717A">
                <w:rPr>
                  <w:rStyle w:val="Hyperlink"/>
                  <w:color w:val="4F81BD" w:themeColor="accent1"/>
                </w:rPr>
                <w:t>plantbiosecuritydiagnostics.net.au</w:t>
              </w:r>
              <w:r w:rsidRPr="008C717A">
                <w:rPr>
                  <w:rStyle w:val="Hyperlink"/>
                  <w:color w:val="auto"/>
                </w:rPr>
                <w:t>)</w:t>
              </w:r>
            </w:hyperlink>
            <w:r w:rsidR="009953A3">
              <w:rPr>
                <w:rStyle w:val="Hyperlink"/>
                <w:color w:val="auto"/>
              </w:rPr>
              <w:t>]</w:t>
            </w:r>
            <w:r w:rsidRPr="00211E85">
              <w:rPr>
                <w:rStyle w:val="ui-provider"/>
              </w:rPr>
              <w:t xml:space="preserve">  however update of the NDP is currently being considered following the completion of the  DAFF funded project "Grant to conduct integrative taxonomic revision of Australian Trogoderma species"</w:t>
            </w:r>
            <w:r w:rsidRPr="00211E85">
              <w:t xml:space="preserve"> Activity 2.1.3</w:t>
            </w:r>
            <w:r w:rsidRPr="00211E85">
              <w:rPr>
                <w:rStyle w:val="ui-provider"/>
              </w:rPr>
              <w:t> by CSIRO.</w:t>
            </w:r>
            <w:bookmarkEnd w:id="4"/>
          </w:p>
          <w:p w14:paraId="3D63D455" w14:textId="217D1795" w:rsidR="005E3D7F" w:rsidRPr="003E66FA" w:rsidRDefault="005E3D7F" w:rsidP="006921A5">
            <w:pPr>
              <w:spacing w:after="160" w:line="257" w:lineRule="auto"/>
              <w:rPr>
                <w:rFonts w:ascii="Calibri" w:eastAsia="Calibri" w:hAnsi="Calibri" w:cs="Calibri"/>
                <w:szCs w:val="18"/>
              </w:rPr>
            </w:pPr>
            <w:r w:rsidRPr="003E66FA">
              <w:rPr>
                <w:rFonts w:ascii="Calibri" w:eastAsia="Calibri" w:hAnsi="Calibri" w:cs="Calibri"/>
                <w:sz w:val="18"/>
                <w:szCs w:val="18"/>
              </w:rPr>
              <w:t xml:space="preserve">The </w:t>
            </w:r>
            <w:r w:rsidRPr="003E66FA">
              <w:rPr>
                <w:rFonts w:ascii="Calibri" w:hAnsi="Calibri"/>
                <w:sz w:val="18"/>
              </w:rPr>
              <w:t xml:space="preserve">National Diagnostic Protocol (NDP45) </w:t>
            </w:r>
            <w:r w:rsidRPr="003E66FA">
              <w:rPr>
                <w:rFonts w:ascii="Calibri" w:eastAsia="Calibri" w:hAnsi="Calibri" w:cs="Calibri"/>
                <w:sz w:val="18"/>
                <w:szCs w:val="18"/>
              </w:rPr>
              <w:t>is currently being updated with the diagnostic tools developed through the project described in 2.1.4 with the revised NDP due to be completed early 2024.</w:t>
            </w:r>
          </w:p>
        </w:tc>
        <w:tc>
          <w:tcPr>
            <w:tcW w:w="506" w:type="pct"/>
            <w:tcMar>
              <w:left w:w="108" w:type="dxa"/>
              <w:bottom w:w="28" w:type="dxa"/>
              <w:right w:w="108" w:type="dxa"/>
            </w:tcMar>
          </w:tcPr>
          <w:p w14:paraId="400CAA30" w14:textId="77777777" w:rsidR="005E3D7F" w:rsidRDefault="005E3D7F" w:rsidP="00DF1D73">
            <w:pPr>
              <w:pStyle w:val="TableText"/>
            </w:pPr>
            <w:r>
              <w:t>NPBDN</w:t>
            </w:r>
          </w:p>
          <w:p w14:paraId="39D583B7" w14:textId="4F101DBA" w:rsidR="005E3D7F" w:rsidRPr="00D218F7" w:rsidRDefault="005E3D7F" w:rsidP="00DF1D73">
            <w:pPr>
              <w:pStyle w:val="TableText"/>
            </w:pPr>
            <w:r>
              <w:t>SPHD</w:t>
            </w:r>
          </w:p>
        </w:tc>
        <w:tc>
          <w:tcPr>
            <w:tcW w:w="760" w:type="pct"/>
            <w:tcMar>
              <w:left w:w="108" w:type="dxa"/>
              <w:bottom w:w="28" w:type="dxa"/>
              <w:right w:w="108" w:type="dxa"/>
            </w:tcMar>
          </w:tcPr>
          <w:p w14:paraId="4F2ADE38" w14:textId="6166784B" w:rsidR="005E3D7F" w:rsidRPr="000407B5" w:rsidRDefault="005E3D7F" w:rsidP="00DF1D73">
            <w:pPr>
              <w:pStyle w:val="TableText"/>
            </w:pPr>
            <w:r>
              <w:t xml:space="preserve">Commonwealth </w:t>
            </w:r>
          </w:p>
        </w:tc>
        <w:tc>
          <w:tcPr>
            <w:tcW w:w="798" w:type="pct"/>
            <w:tcMar>
              <w:left w:w="108" w:type="dxa"/>
              <w:bottom w:w="28" w:type="dxa"/>
              <w:right w:w="108" w:type="dxa"/>
            </w:tcMar>
          </w:tcPr>
          <w:p w14:paraId="3A9BE2E9" w14:textId="2C9235E2" w:rsidR="005E3D7F" w:rsidRPr="00C22748" w:rsidRDefault="005E3D7F" w:rsidP="00DF1D73">
            <w:pPr>
              <w:pStyle w:val="TableText"/>
            </w:pPr>
            <w:r>
              <w:t>Relates to action 2.2</w:t>
            </w:r>
          </w:p>
        </w:tc>
      </w:tr>
      <w:tr w:rsidR="005E3D7F" w:rsidRPr="00013AE2" w14:paraId="50E6663B" w14:textId="77777777" w:rsidTr="00E94588">
        <w:tc>
          <w:tcPr>
            <w:tcW w:w="962" w:type="pct"/>
            <w:vMerge/>
            <w:tcMar>
              <w:bottom w:w="28" w:type="dxa"/>
            </w:tcMar>
          </w:tcPr>
          <w:p w14:paraId="39C8AB6C" w14:textId="77777777" w:rsidR="005E3D7F" w:rsidRPr="00AF3D1F" w:rsidRDefault="005E3D7F" w:rsidP="00DF1D73">
            <w:pPr>
              <w:pStyle w:val="TableText"/>
              <w:rPr>
                <w:rStyle w:val="Strong"/>
              </w:rPr>
            </w:pPr>
          </w:p>
        </w:tc>
        <w:tc>
          <w:tcPr>
            <w:tcW w:w="1063" w:type="pct"/>
            <w:tcMar>
              <w:left w:w="108" w:type="dxa"/>
              <w:bottom w:w="28" w:type="dxa"/>
              <w:right w:w="108" w:type="dxa"/>
            </w:tcMar>
          </w:tcPr>
          <w:p w14:paraId="6265138B" w14:textId="1CBBF4E7" w:rsidR="005E3D7F" w:rsidRPr="00002365" w:rsidRDefault="005E3D7F" w:rsidP="00DF1D73">
            <w:pPr>
              <w:pStyle w:val="TableText"/>
            </w:pPr>
            <w:r w:rsidRPr="00002365">
              <w:t>2.1.3</w:t>
            </w:r>
            <w:r>
              <w:t xml:space="preserve"> </w:t>
            </w:r>
            <w:r w:rsidRPr="007E35BE">
              <w:t xml:space="preserve">Conduct integrative taxonomic revision of Australian </w:t>
            </w:r>
            <w:r w:rsidRPr="00787004">
              <w:rPr>
                <w:i/>
                <w:iCs/>
              </w:rPr>
              <w:t>Trogoderma</w:t>
            </w:r>
            <w:r w:rsidRPr="007E35BE">
              <w:t xml:space="preserve"> species</w:t>
            </w:r>
          </w:p>
        </w:tc>
        <w:tc>
          <w:tcPr>
            <w:tcW w:w="911" w:type="pct"/>
            <w:shd w:val="clear" w:color="auto" w:fill="DEF0C2"/>
            <w:tcMar>
              <w:left w:w="108" w:type="dxa"/>
              <w:bottom w:w="28" w:type="dxa"/>
              <w:right w:w="108" w:type="dxa"/>
            </w:tcMar>
          </w:tcPr>
          <w:p w14:paraId="1E3886ED" w14:textId="6DB4A542" w:rsidR="005E3D7F" w:rsidRPr="00315B85" w:rsidRDefault="005E3D7F" w:rsidP="00DF1D73">
            <w:pPr>
              <w:pStyle w:val="TableText"/>
              <w:rPr>
                <w:rFonts w:cstheme="minorHAnsi"/>
                <w:bCs/>
                <w:szCs w:val="18"/>
              </w:rPr>
            </w:pPr>
            <w:r>
              <w:rPr>
                <w:rFonts w:cstheme="minorHAnsi"/>
                <w:bCs/>
                <w:szCs w:val="18"/>
              </w:rPr>
              <w:t>Completed</w:t>
            </w:r>
            <w:r w:rsidRPr="00315B85">
              <w:rPr>
                <w:rFonts w:cstheme="minorHAnsi"/>
                <w:bCs/>
                <w:szCs w:val="18"/>
              </w:rPr>
              <w:t xml:space="preserve"> – project </w:t>
            </w:r>
            <w:r>
              <w:rPr>
                <w:rFonts w:cstheme="minorHAnsi"/>
                <w:bCs/>
                <w:szCs w:val="18"/>
              </w:rPr>
              <w:t>finished in September 2023</w:t>
            </w:r>
          </w:p>
          <w:p w14:paraId="5AAB9602" w14:textId="50F49BB7" w:rsidR="005E3D7F" w:rsidRPr="00A23745" w:rsidRDefault="005E3D7F" w:rsidP="00787004">
            <w:pPr>
              <w:spacing w:line="257" w:lineRule="auto"/>
              <w:rPr>
                <w:rFonts w:cstheme="minorHAnsi"/>
                <w:szCs w:val="18"/>
              </w:rPr>
            </w:pPr>
            <w:r w:rsidRPr="00787004">
              <w:rPr>
                <w:rFonts w:ascii="Calibri" w:eastAsia="Calibri" w:hAnsi="Calibri" w:cs="Calibri"/>
                <w:sz w:val="18"/>
                <w:szCs w:val="18"/>
                <w:lang w:val="en-GB"/>
              </w:rPr>
              <w:t>This</w:t>
            </w:r>
            <w:r w:rsidRPr="00787004">
              <w:rPr>
                <w:rFonts w:ascii="Calibri" w:hAnsi="Calibri"/>
                <w:sz w:val="18"/>
                <w:lang w:val="en-GB"/>
              </w:rPr>
              <w:t xml:space="preserve"> project </w:t>
            </w:r>
            <w:r w:rsidRPr="00787004">
              <w:rPr>
                <w:rFonts w:ascii="Calibri" w:eastAsia="Calibri" w:hAnsi="Calibri" w:cs="Calibri"/>
                <w:sz w:val="18"/>
                <w:szCs w:val="18"/>
                <w:lang w:val="en-GB"/>
              </w:rPr>
              <w:t>investigated</w:t>
            </w:r>
            <w:r w:rsidRPr="00787004">
              <w:rPr>
                <w:rFonts w:ascii="Calibri" w:hAnsi="Calibri"/>
                <w:sz w:val="18"/>
                <w:lang w:val="en-GB"/>
              </w:rPr>
              <w:t xml:space="preserve"> the </w:t>
            </w:r>
            <w:r w:rsidRPr="00787004">
              <w:rPr>
                <w:rFonts w:ascii="Calibri" w:eastAsia="Calibri" w:hAnsi="Calibri" w:cs="Calibri"/>
                <w:sz w:val="18"/>
                <w:szCs w:val="18"/>
                <w:lang w:val="en-GB"/>
              </w:rPr>
              <w:t xml:space="preserve">revision of </w:t>
            </w:r>
            <w:r w:rsidRPr="00787004">
              <w:rPr>
                <w:rFonts w:ascii="Calibri" w:hAnsi="Calibri"/>
                <w:i/>
                <w:iCs/>
                <w:sz w:val="18"/>
                <w:lang w:val="en-GB"/>
              </w:rPr>
              <w:t>Trogoderma</w:t>
            </w:r>
            <w:r w:rsidRPr="00787004">
              <w:rPr>
                <w:rFonts w:ascii="Calibri" w:eastAsia="Calibri" w:hAnsi="Calibri" w:cs="Calibri"/>
                <w:sz w:val="18"/>
                <w:szCs w:val="18"/>
                <w:lang w:val="en-GB"/>
              </w:rPr>
              <w:t xml:space="preserve">, using a combination of modern best </w:t>
            </w:r>
            <w:r w:rsidRPr="00787004">
              <w:rPr>
                <w:rFonts w:ascii="Calibri" w:eastAsia="Calibri" w:hAnsi="Calibri" w:cs="Calibri"/>
                <w:sz w:val="18"/>
                <w:szCs w:val="18"/>
                <w:lang w:val="en-GB"/>
              </w:rPr>
              <w:lastRenderedPageBreak/>
              <w:t>practice molecular and morphological approaches to resolve</w:t>
            </w:r>
            <w:r w:rsidRPr="00787004">
              <w:rPr>
                <w:rFonts w:ascii="Calibri" w:hAnsi="Calibri"/>
                <w:sz w:val="18"/>
                <w:lang w:val="en-GB"/>
              </w:rPr>
              <w:t xml:space="preserve"> the </w:t>
            </w:r>
            <w:r w:rsidRPr="00787004">
              <w:rPr>
                <w:rFonts w:ascii="Calibri" w:eastAsia="Calibri" w:hAnsi="Calibri" w:cs="Calibri"/>
                <w:sz w:val="18"/>
                <w:szCs w:val="18"/>
                <w:lang w:val="en-GB"/>
              </w:rPr>
              <w:t>taxonomy of the Australian genera of</w:t>
            </w:r>
            <w:r w:rsidR="001854F2" w:rsidRPr="00787004">
              <w:rPr>
                <w:rFonts w:ascii="Calibri" w:eastAsia="Calibri" w:hAnsi="Calibri" w:cs="Calibri"/>
                <w:sz w:val="18"/>
                <w:szCs w:val="18"/>
                <w:lang w:val="en-GB"/>
              </w:rPr>
              <w:t xml:space="preserve"> </w:t>
            </w:r>
            <w:proofErr w:type="spellStart"/>
            <w:r w:rsidRPr="00787004">
              <w:rPr>
                <w:sz w:val="18"/>
                <w:szCs w:val="18"/>
                <w:lang w:val="en-GB"/>
              </w:rPr>
              <w:t>Dermestidae</w:t>
            </w:r>
            <w:proofErr w:type="spellEnd"/>
            <w:r w:rsidRPr="00787004">
              <w:rPr>
                <w:sz w:val="18"/>
                <w:szCs w:val="18"/>
                <w:lang w:val="en-GB"/>
              </w:rPr>
              <w:t xml:space="preserve"> and to provide a comprehensive revision of species of the Australian dermestids, </w:t>
            </w:r>
            <w:r w:rsidRPr="00787004">
              <w:rPr>
                <w:i/>
                <w:iCs/>
                <w:sz w:val="18"/>
                <w:szCs w:val="18"/>
                <w:lang w:val="en-GB"/>
              </w:rPr>
              <w:t>Trogoderma</w:t>
            </w:r>
            <w:r w:rsidRPr="00787004">
              <w:rPr>
                <w:sz w:val="18"/>
                <w:szCs w:val="18"/>
                <w:lang w:val="en-GB"/>
              </w:rPr>
              <w:t>.</w:t>
            </w:r>
          </w:p>
        </w:tc>
        <w:tc>
          <w:tcPr>
            <w:tcW w:w="506" w:type="pct"/>
            <w:tcMar>
              <w:left w:w="108" w:type="dxa"/>
              <w:bottom w:w="28" w:type="dxa"/>
              <w:right w:w="108" w:type="dxa"/>
            </w:tcMar>
          </w:tcPr>
          <w:p w14:paraId="03A6B4C1" w14:textId="5306AC19" w:rsidR="005E3D7F" w:rsidRPr="00D218F7" w:rsidRDefault="005E3D7F" w:rsidP="00DF1D73">
            <w:pPr>
              <w:pStyle w:val="TableText"/>
            </w:pPr>
            <w:r>
              <w:lastRenderedPageBreak/>
              <w:t>CSIRO</w:t>
            </w:r>
          </w:p>
        </w:tc>
        <w:tc>
          <w:tcPr>
            <w:tcW w:w="760" w:type="pct"/>
            <w:tcMar>
              <w:left w:w="108" w:type="dxa"/>
              <w:bottom w:w="28" w:type="dxa"/>
              <w:right w:w="108" w:type="dxa"/>
            </w:tcMar>
          </w:tcPr>
          <w:p w14:paraId="2D71046A" w14:textId="1B8D28F0" w:rsidR="005E3D7F" w:rsidRPr="000407B5" w:rsidRDefault="005E3D7F" w:rsidP="00DF1D73">
            <w:pPr>
              <w:pStyle w:val="TableText"/>
            </w:pPr>
            <w:r>
              <w:t xml:space="preserve">Commonwealth </w:t>
            </w:r>
          </w:p>
        </w:tc>
        <w:tc>
          <w:tcPr>
            <w:tcW w:w="798" w:type="pct"/>
            <w:tcMar>
              <w:left w:w="108" w:type="dxa"/>
              <w:bottom w:w="28" w:type="dxa"/>
              <w:right w:w="108" w:type="dxa"/>
            </w:tcMar>
          </w:tcPr>
          <w:p w14:paraId="4CF8F0D9" w14:textId="5549EBB1" w:rsidR="005E3D7F" w:rsidRDefault="005E3D7F" w:rsidP="00DF1D73">
            <w:pPr>
              <w:pStyle w:val="TableText"/>
            </w:pPr>
            <w:r>
              <w:t>Relates to action 2.2</w:t>
            </w:r>
          </w:p>
          <w:p w14:paraId="63C3281A" w14:textId="54A917EB" w:rsidR="005E3D7F" w:rsidRPr="00C22748" w:rsidRDefault="005E3D7F" w:rsidP="00DF1D73">
            <w:pPr>
              <w:pStyle w:val="TableText"/>
            </w:pPr>
            <w:r>
              <w:t>Relates to project 2.1.4</w:t>
            </w:r>
          </w:p>
        </w:tc>
      </w:tr>
      <w:tr w:rsidR="005E3D7F" w:rsidRPr="00013AE2" w14:paraId="52B80FBF" w14:textId="77777777" w:rsidTr="00E94588">
        <w:tc>
          <w:tcPr>
            <w:tcW w:w="962" w:type="pct"/>
            <w:vMerge/>
            <w:tcMar>
              <w:bottom w:w="28" w:type="dxa"/>
            </w:tcMar>
          </w:tcPr>
          <w:p w14:paraId="7A9D86A2" w14:textId="77777777" w:rsidR="005E3D7F" w:rsidRPr="00AF3D1F" w:rsidRDefault="005E3D7F" w:rsidP="00DF1D73">
            <w:pPr>
              <w:pStyle w:val="TableText"/>
              <w:rPr>
                <w:rStyle w:val="Strong"/>
              </w:rPr>
            </w:pPr>
          </w:p>
        </w:tc>
        <w:tc>
          <w:tcPr>
            <w:tcW w:w="1063" w:type="pct"/>
            <w:tcMar>
              <w:left w:w="108" w:type="dxa"/>
              <w:bottom w:w="28" w:type="dxa"/>
              <w:right w:w="108" w:type="dxa"/>
            </w:tcMar>
          </w:tcPr>
          <w:p w14:paraId="0842EBEB" w14:textId="63CEC9E8" w:rsidR="005E3D7F" w:rsidRPr="00002365" w:rsidRDefault="005E3D7F" w:rsidP="00DF1D73">
            <w:pPr>
              <w:pStyle w:val="TableText"/>
            </w:pPr>
            <w:r w:rsidRPr="00002365">
              <w:t>2.1.4 Continue to progress the comprehensive identification tool to help diagnose ‘</w:t>
            </w:r>
            <w:proofErr w:type="spellStart"/>
            <w:r w:rsidRPr="00002365">
              <w:t>Dermestidae</w:t>
            </w:r>
            <w:proofErr w:type="spellEnd"/>
            <w:r w:rsidRPr="00002365">
              <w:t xml:space="preserve"> of biosecurity interest’ utilising the national Dermestid reference collection comprising several thousand Australian native </w:t>
            </w:r>
            <w:r w:rsidRPr="00787004">
              <w:rPr>
                <w:i/>
                <w:iCs/>
              </w:rPr>
              <w:t>Trogoderma</w:t>
            </w:r>
            <w:r w:rsidRPr="00002365">
              <w:t xml:space="preserve"> specimens as well as other Dermestids and </w:t>
            </w:r>
            <w:r w:rsidRPr="00787004">
              <w:rPr>
                <w:i/>
                <w:iCs/>
              </w:rPr>
              <w:t xml:space="preserve">Trogoderma </w:t>
            </w:r>
            <w:proofErr w:type="spellStart"/>
            <w:r w:rsidRPr="00787004">
              <w:rPr>
                <w:i/>
                <w:iCs/>
              </w:rPr>
              <w:t>granarium</w:t>
            </w:r>
            <w:proofErr w:type="spellEnd"/>
            <w:r w:rsidRPr="00002365">
              <w:t xml:space="preserve"> haplotypes</w:t>
            </w:r>
          </w:p>
        </w:tc>
        <w:tc>
          <w:tcPr>
            <w:tcW w:w="911" w:type="pct"/>
            <w:shd w:val="clear" w:color="auto" w:fill="DEF0C2"/>
            <w:tcMar>
              <w:left w:w="108" w:type="dxa"/>
              <w:bottom w:w="28" w:type="dxa"/>
              <w:right w:w="108" w:type="dxa"/>
            </w:tcMar>
          </w:tcPr>
          <w:p w14:paraId="5B310E67" w14:textId="4634C572" w:rsidR="005E3D7F" w:rsidRPr="00315B85" w:rsidRDefault="005E3D7F" w:rsidP="00DF1D73">
            <w:pPr>
              <w:pStyle w:val="TableText"/>
              <w:rPr>
                <w:rFonts w:cstheme="minorHAnsi"/>
                <w:szCs w:val="18"/>
              </w:rPr>
            </w:pPr>
            <w:r>
              <w:rPr>
                <w:rFonts w:cstheme="minorHAnsi"/>
                <w:szCs w:val="18"/>
              </w:rPr>
              <w:t>Completed</w:t>
            </w:r>
            <w:r w:rsidRPr="00315B85">
              <w:rPr>
                <w:rFonts w:cstheme="minorHAnsi"/>
                <w:szCs w:val="18"/>
              </w:rPr>
              <w:t xml:space="preserve"> – project </w:t>
            </w:r>
            <w:r>
              <w:rPr>
                <w:rFonts w:cstheme="minorHAnsi"/>
                <w:szCs w:val="18"/>
              </w:rPr>
              <w:t>finished in September 2023</w:t>
            </w:r>
          </w:p>
          <w:p w14:paraId="0A613B9D" w14:textId="350B4C28" w:rsidR="005E3D7F" w:rsidRPr="00787004" w:rsidRDefault="005E3D7F" w:rsidP="006921A5">
            <w:pPr>
              <w:spacing w:after="160" w:line="257" w:lineRule="auto"/>
              <w:rPr>
                <w:rFonts w:ascii="Calibri" w:eastAsia="Calibri" w:hAnsi="Calibri" w:cs="Calibri"/>
                <w:color w:val="008080"/>
                <w:szCs w:val="18"/>
              </w:rPr>
            </w:pPr>
            <w:r w:rsidRPr="00787004">
              <w:rPr>
                <w:rFonts w:ascii="Calibri" w:eastAsia="Calibri" w:hAnsi="Calibri" w:cs="Calibri"/>
                <w:sz w:val="18"/>
                <w:szCs w:val="18"/>
              </w:rPr>
              <w:t>This project was delivered as part of 2.1.3 and developed identification tools such as morphological key to adults and problematic life stages, as well as associated molecular DNA barcodes for most of the recognised Dermestids taxa. These project outputs enable diagnosticians to rule out Dermestids of biosecurity concern from native species present in Australia.</w:t>
            </w:r>
          </w:p>
        </w:tc>
        <w:tc>
          <w:tcPr>
            <w:tcW w:w="506" w:type="pct"/>
            <w:tcMar>
              <w:left w:w="108" w:type="dxa"/>
              <w:bottom w:w="28" w:type="dxa"/>
              <w:right w:w="108" w:type="dxa"/>
            </w:tcMar>
          </w:tcPr>
          <w:p w14:paraId="4F38B413" w14:textId="0D755D85" w:rsidR="005E3D7F" w:rsidRPr="00D218F7" w:rsidRDefault="005E3D7F" w:rsidP="00DF1D73">
            <w:pPr>
              <w:pStyle w:val="TableText"/>
            </w:pPr>
            <w:r>
              <w:t>CSIRO</w:t>
            </w:r>
          </w:p>
        </w:tc>
        <w:tc>
          <w:tcPr>
            <w:tcW w:w="760" w:type="pct"/>
            <w:tcMar>
              <w:left w:w="108" w:type="dxa"/>
              <w:bottom w:w="28" w:type="dxa"/>
              <w:right w:w="108" w:type="dxa"/>
            </w:tcMar>
          </w:tcPr>
          <w:p w14:paraId="4D612607" w14:textId="33E050FD" w:rsidR="005E3D7F" w:rsidRPr="000407B5" w:rsidRDefault="005E3D7F" w:rsidP="00DF1D73">
            <w:pPr>
              <w:pStyle w:val="TableText"/>
            </w:pPr>
            <w:r>
              <w:t xml:space="preserve">Commonwealth </w:t>
            </w:r>
          </w:p>
        </w:tc>
        <w:tc>
          <w:tcPr>
            <w:tcW w:w="798" w:type="pct"/>
            <w:tcMar>
              <w:left w:w="108" w:type="dxa"/>
              <w:bottom w:w="28" w:type="dxa"/>
              <w:right w:w="108" w:type="dxa"/>
            </w:tcMar>
          </w:tcPr>
          <w:p w14:paraId="77DFA945" w14:textId="0FE3D71F" w:rsidR="005E3D7F" w:rsidRDefault="005E3D7F" w:rsidP="00DF1D73">
            <w:pPr>
              <w:pStyle w:val="TableText"/>
            </w:pPr>
            <w:r>
              <w:t>Relates to action 2.2</w:t>
            </w:r>
          </w:p>
          <w:p w14:paraId="22FCAE51" w14:textId="3DB91D66" w:rsidR="005E3D7F" w:rsidRPr="00C22748" w:rsidRDefault="005E3D7F" w:rsidP="00DF1D73">
            <w:pPr>
              <w:pStyle w:val="TableText"/>
            </w:pPr>
            <w:r>
              <w:t xml:space="preserve">Relates to project 2.1.3 </w:t>
            </w:r>
          </w:p>
        </w:tc>
      </w:tr>
      <w:tr w:rsidR="005E3D7F" w:rsidRPr="00013AE2" w14:paraId="4CF15A91" w14:textId="77777777" w:rsidTr="002027E3">
        <w:tc>
          <w:tcPr>
            <w:tcW w:w="962" w:type="pct"/>
            <w:vMerge/>
            <w:tcMar>
              <w:bottom w:w="28" w:type="dxa"/>
            </w:tcMar>
          </w:tcPr>
          <w:p w14:paraId="0C7907CE" w14:textId="77777777" w:rsidR="005E3D7F" w:rsidRPr="00AF3D1F" w:rsidRDefault="005E3D7F" w:rsidP="00DF1D73">
            <w:pPr>
              <w:pStyle w:val="TableText"/>
              <w:rPr>
                <w:rStyle w:val="Strong"/>
              </w:rPr>
            </w:pPr>
          </w:p>
        </w:tc>
        <w:tc>
          <w:tcPr>
            <w:tcW w:w="1063" w:type="pct"/>
            <w:tcMar>
              <w:left w:w="108" w:type="dxa"/>
              <w:bottom w:w="28" w:type="dxa"/>
              <w:right w:w="108" w:type="dxa"/>
            </w:tcMar>
          </w:tcPr>
          <w:p w14:paraId="1A2D28EE" w14:textId="0F24C597" w:rsidR="005E3D7F" w:rsidRPr="00002365" w:rsidRDefault="005E3D7F" w:rsidP="00DF1D73">
            <w:pPr>
              <w:pStyle w:val="TableText"/>
            </w:pPr>
            <w:r w:rsidRPr="00002365">
              <w:t>2.1.5 Continue to deliver the National Plant Health Proficiency Program and consider mechanisms to incorporate NPPPs (including Khapra beetle) into the program</w:t>
            </w:r>
          </w:p>
        </w:tc>
        <w:tc>
          <w:tcPr>
            <w:tcW w:w="911" w:type="pct"/>
            <w:shd w:val="clear" w:color="auto" w:fill="FDF4C7"/>
            <w:tcMar>
              <w:left w:w="108" w:type="dxa"/>
              <w:bottom w:w="28" w:type="dxa"/>
              <w:right w:w="108" w:type="dxa"/>
            </w:tcMar>
          </w:tcPr>
          <w:p w14:paraId="61A1B35F" w14:textId="7187729D" w:rsidR="005E3D7F" w:rsidRPr="00315B85" w:rsidRDefault="005E3D7F" w:rsidP="00DF1D73">
            <w:pPr>
              <w:pStyle w:val="TableText"/>
              <w:rPr>
                <w:rFonts w:cstheme="minorHAnsi"/>
                <w:szCs w:val="18"/>
              </w:rPr>
            </w:pPr>
            <w:r w:rsidRPr="00315B85">
              <w:rPr>
                <w:rFonts w:cstheme="minorHAnsi"/>
                <w:szCs w:val="18"/>
              </w:rPr>
              <w:t xml:space="preserve">On track – project commenced </w:t>
            </w:r>
          </w:p>
          <w:p w14:paraId="33934A91" w14:textId="4CC42B9D" w:rsidR="005E3D7F" w:rsidRDefault="005E3D7F" w:rsidP="00D90526">
            <w:pPr>
              <w:pStyle w:val="TableText"/>
              <w:rPr>
                <w:rStyle w:val="Hyperlink"/>
                <w:rFonts w:cstheme="minorHAnsi"/>
                <w:szCs w:val="18"/>
              </w:rPr>
            </w:pPr>
            <w:r w:rsidRPr="78FA7457">
              <w:rPr>
                <w:rFonts w:ascii="Calibri" w:eastAsia="Calibri" w:hAnsi="Calibri" w:cs="Calibri"/>
                <w:color w:val="000000" w:themeColor="text1"/>
                <w:szCs w:val="18"/>
              </w:rPr>
              <w:t xml:space="preserve"> SPHD has delivered the National Plant Health Proficiency Testing Program (NPHPTP) since 2012. The Proficiency Testing Coordinator, appointed by SPHD, manages the delivery of the program in conjunction with Australian National Quality Assurance Program (ANQAP).</w:t>
            </w:r>
          </w:p>
          <w:p w14:paraId="5187E3B0" w14:textId="60731CD4" w:rsidR="005E3D7F" w:rsidRPr="00315B85" w:rsidRDefault="005E3D7F" w:rsidP="00D90526">
            <w:pPr>
              <w:pStyle w:val="TableText"/>
              <w:rPr>
                <w:rFonts w:cstheme="minorHAnsi"/>
                <w:szCs w:val="18"/>
              </w:rPr>
            </w:pPr>
            <w:r>
              <w:rPr>
                <w:rFonts w:cstheme="minorHAnsi"/>
                <w:szCs w:val="18"/>
              </w:rPr>
              <w:lastRenderedPageBreak/>
              <w:t xml:space="preserve">A review of the National Plant Health Proficiency Testing program has been completed by DAFF. SPHD are currently considering the outcomes from this review including options for the inclusion of NPPPs within the program. For more information see: </w:t>
            </w:r>
            <w:hyperlink r:id="rId25" w:history="1">
              <w:r w:rsidRPr="00AE4A5B">
                <w:rPr>
                  <w:rStyle w:val="Hyperlink"/>
                  <w:rFonts w:ascii="Calibri" w:hAnsi="Calibri"/>
                </w:rPr>
                <w:t>Proficiency Testing</w:t>
              </w:r>
            </w:hyperlink>
            <w:r>
              <w:t xml:space="preserve"> Khapra beetle is not currently included in the program. </w:t>
            </w:r>
          </w:p>
        </w:tc>
        <w:tc>
          <w:tcPr>
            <w:tcW w:w="506" w:type="pct"/>
            <w:tcMar>
              <w:left w:w="108" w:type="dxa"/>
              <w:bottom w:w="28" w:type="dxa"/>
              <w:right w:w="108" w:type="dxa"/>
            </w:tcMar>
          </w:tcPr>
          <w:p w14:paraId="7993376C" w14:textId="1CC9F1B7" w:rsidR="005E3D7F" w:rsidRDefault="005E3D7F" w:rsidP="00DF1D73">
            <w:pPr>
              <w:pStyle w:val="TableText"/>
            </w:pPr>
          </w:p>
          <w:p w14:paraId="6536BDBD" w14:textId="49C1B45D" w:rsidR="005E3D7F" w:rsidRPr="00D218F7" w:rsidRDefault="005E3D7F" w:rsidP="00DF1D73">
            <w:pPr>
              <w:pStyle w:val="TableText"/>
            </w:pPr>
            <w:r>
              <w:t>SPHD</w:t>
            </w:r>
          </w:p>
        </w:tc>
        <w:tc>
          <w:tcPr>
            <w:tcW w:w="760" w:type="pct"/>
            <w:tcMar>
              <w:left w:w="108" w:type="dxa"/>
              <w:bottom w:w="28" w:type="dxa"/>
              <w:right w:w="108" w:type="dxa"/>
            </w:tcMar>
          </w:tcPr>
          <w:p w14:paraId="0019DD98" w14:textId="2B51B8EF" w:rsidR="005E3D7F" w:rsidRPr="000407B5" w:rsidRDefault="005E3D7F" w:rsidP="00DF1D73">
            <w:pPr>
              <w:pStyle w:val="TableText"/>
            </w:pPr>
            <w:r>
              <w:t xml:space="preserve">Commonwealth </w:t>
            </w:r>
          </w:p>
        </w:tc>
        <w:tc>
          <w:tcPr>
            <w:tcW w:w="798" w:type="pct"/>
            <w:tcMar>
              <w:left w:w="108" w:type="dxa"/>
              <w:bottom w:w="28" w:type="dxa"/>
              <w:right w:w="108" w:type="dxa"/>
            </w:tcMar>
          </w:tcPr>
          <w:p w14:paraId="7B56D334" w14:textId="61DDFB78" w:rsidR="005E3D7F" w:rsidRPr="00C22748" w:rsidRDefault="005E3D7F" w:rsidP="00DF1D73">
            <w:pPr>
              <w:pStyle w:val="TableText"/>
            </w:pPr>
            <w:r>
              <w:t>Relates to action 2.2</w:t>
            </w:r>
          </w:p>
        </w:tc>
      </w:tr>
      <w:tr w:rsidR="005E3D7F" w:rsidRPr="00013AE2" w14:paraId="3EAEF905" w14:textId="77777777" w:rsidTr="00787004">
        <w:tc>
          <w:tcPr>
            <w:tcW w:w="962" w:type="pct"/>
            <w:vMerge/>
            <w:tcMar>
              <w:bottom w:w="28" w:type="dxa"/>
            </w:tcMar>
          </w:tcPr>
          <w:p w14:paraId="0BADE7F4" w14:textId="77777777" w:rsidR="005E3D7F" w:rsidRPr="00AF3D1F" w:rsidRDefault="005E3D7F" w:rsidP="00DF1D73">
            <w:pPr>
              <w:pStyle w:val="TableText"/>
              <w:rPr>
                <w:rStyle w:val="Strong"/>
              </w:rPr>
            </w:pPr>
          </w:p>
        </w:tc>
        <w:tc>
          <w:tcPr>
            <w:tcW w:w="1063" w:type="pct"/>
            <w:tcMar>
              <w:left w:w="108" w:type="dxa"/>
              <w:bottom w:w="28" w:type="dxa"/>
              <w:right w:w="108" w:type="dxa"/>
            </w:tcMar>
          </w:tcPr>
          <w:p w14:paraId="29A82AEC" w14:textId="10BCF272" w:rsidR="005E3D7F" w:rsidRPr="00002365" w:rsidRDefault="005E3D7F" w:rsidP="00DF1D73">
            <w:pPr>
              <w:pStyle w:val="TableText"/>
            </w:pPr>
            <w:r>
              <w:t>2.1.6 Review and update list of draft and endorsed NDPs for NPPPs, as part of the National Diagnostic Protocol Implementation Plan</w:t>
            </w:r>
          </w:p>
        </w:tc>
        <w:tc>
          <w:tcPr>
            <w:tcW w:w="911" w:type="pct"/>
            <w:shd w:val="clear" w:color="auto" w:fill="C6D9F1" w:themeFill="text2" w:themeFillTint="33"/>
            <w:tcMar>
              <w:left w:w="108" w:type="dxa"/>
              <w:bottom w:w="28" w:type="dxa"/>
              <w:right w:w="108" w:type="dxa"/>
            </w:tcMar>
          </w:tcPr>
          <w:p w14:paraId="2293853A" w14:textId="5E13833E" w:rsidR="00F73151" w:rsidRDefault="005E3D7F" w:rsidP="00DF1D73">
            <w:pPr>
              <w:pStyle w:val="TableText"/>
              <w:rPr>
                <w:rFonts w:cstheme="minorHAnsi"/>
                <w:szCs w:val="18"/>
              </w:rPr>
            </w:pPr>
            <w:r>
              <w:rPr>
                <w:rFonts w:cstheme="minorHAnsi"/>
                <w:szCs w:val="18"/>
              </w:rPr>
              <w:t xml:space="preserve">Ongoing </w:t>
            </w:r>
            <w:r w:rsidR="00F73151">
              <w:rPr>
                <w:rFonts w:cstheme="minorHAnsi"/>
                <w:szCs w:val="18"/>
              </w:rPr>
              <w:t>– Business as usual</w:t>
            </w:r>
          </w:p>
          <w:p w14:paraId="33836AD0" w14:textId="44CA116F" w:rsidR="005E3D7F" w:rsidRPr="00315B85" w:rsidRDefault="00A23745" w:rsidP="00DF1D73">
            <w:pPr>
              <w:pStyle w:val="TableText"/>
              <w:rPr>
                <w:rFonts w:cstheme="minorHAnsi"/>
                <w:szCs w:val="18"/>
              </w:rPr>
            </w:pPr>
            <w:r>
              <w:rPr>
                <w:rFonts w:cstheme="minorHAnsi"/>
                <w:szCs w:val="18"/>
              </w:rPr>
              <w:t>R</w:t>
            </w:r>
            <w:r w:rsidR="005E3D7F">
              <w:rPr>
                <w:rFonts w:cstheme="minorHAnsi"/>
                <w:szCs w:val="18"/>
              </w:rPr>
              <w:t>eview evaluation every 5 years unless triggered sooner</w:t>
            </w:r>
          </w:p>
        </w:tc>
        <w:tc>
          <w:tcPr>
            <w:tcW w:w="506" w:type="pct"/>
            <w:tcMar>
              <w:left w:w="108" w:type="dxa"/>
              <w:bottom w:w="28" w:type="dxa"/>
              <w:right w:w="108" w:type="dxa"/>
            </w:tcMar>
          </w:tcPr>
          <w:p w14:paraId="53A5878D" w14:textId="2A5C0E20" w:rsidR="005E3D7F" w:rsidDel="00D90526" w:rsidRDefault="005E3D7F" w:rsidP="00DF1D73">
            <w:pPr>
              <w:pStyle w:val="TableText"/>
            </w:pPr>
            <w:r>
              <w:t>SPHD</w:t>
            </w:r>
          </w:p>
        </w:tc>
        <w:tc>
          <w:tcPr>
            <w:tcW w:w="760" w:type="pct"/>
            <w:tcMar>
              <w:left w:w="108" w:type="dxa"/>
              <w:bottom w:w="28" w:type="dxa"/>
              <w:right w:w="108" w:type="dxa"/>
            </w:tcMar>
          </w:tcPr>
          <w:p w14:paraId="104E0BD6" w14:textId="7A74551B" w:rsidR="005E3D7F" w:rsidRDefault="005E3D7F" w:rsidP="00DF1D73">
            <w:pPr>
              <w:pStyle w:val="TableText"/>
            </w:pPr>
            <w:r>
              <w:t>Not applicable</w:t>
            </w:r>
          </w:p>
        </w:tc>
        <w:tc>
          <w:tcPr>
            <w:tcW w:w="798" w:type="pct"/>
            <w:tcMar>
              <w:left w:w="108" w:type="dxa"/>
              <w:bottom w:w="28" w:type="dxa"/>
              <w:right w:w="108" w:type="dxa"/>
            </w:tcMar>
          </w:tcPr>
          <w:p w14:paraId="631E9B00" w14:textId="77777777" w:rsidR="005E3D7F" w:rsidRDefault="00080AD5" w:rsidP="00DF1D73">
            <w:pPr>
              <w:pStyle w:val="TableText"/>
            </w:pPr>
            <w:r>
              <w:t>Supports:</w:t>
            </w:r>
          </w:p>
          <w:p w14:paraId="094F69CE" w14:textId="1C050410" w:rsidR="00080AD5" w:rsidRDefault="00080AD5" w:rsidP="00080AD5">
            <w:pPr>
              <w:pStyle w:val="TableBullet1"/>
            </w:pPr>
            <w:r>
              <w:t>National Xylella Action Plan action 2.1</w:t>
            </w:r>
          </w:p>
          <w:p w14:paraId="1D28BB87" w14:textId="077988A5" w:rsidR="00080AD5" w:rsidRDefault="00080AD5" w:rsidP="00211E85">
            <w:pPr>
              <w:pStyle w:val="TableBullet1"/>
            </w:pPr>
            <w:r>
              <w:t>National Hitchhiker Action Plan action 2.2</w:t>
            </w:r>
          </w:p>
        </w:tc>
      </w:tr>
      <w:tr w:rsidR="003D2553" w:rsidRPr="00013AE2" w14:paraId="6477C8A7" w14:textId="77777777" w:rsidTr="002027E3">
        <w:tc>
          <w:tcPr>
            <w:tcW w:w="962" w:type="pct"/>
            <w:vMerge w:val="restart"/>
            <w:tcMar>
              <w:bottom w:w="28" w:type="dxa"/>
            </w:tcMar>
          </w:tcPr>
          <w:p w14:paraId="09739781" w14:textId="7638F93A" w:rsidR="003D2553" w:rsidRPr="00307043" w:rsidRDefault="003D2553" w:rsidP="00A93D0D">
            <w:pPr>
              <w:pStyle w:val="TableText"/>
              <w:rPr>
                <w:rStyle w:val="Strong"/>
                <w:b w:val="0"/>
                <w:bCs w:val="0"/>
              </w:rPr>
            </w:pPr>
            <w:r w:rsidRPr="00AF3D1F">
              <w:rPr>
                <w:rStyle w:val="Strong"/>
              </w:rPr>
              <w:t xml:space="preserve">Action </w:t>
            </w:r>
            <w:r>
              <w:rPr>
                <w:rStyle w:val="Strong"/>
              </w:rPr>
              <w:t xml:space="preserve">2.2: </w:t>
            </w:r>
            <w:r w:rsidRPr="00307043">
              <w:rPr>
                <w:rStyle w:val="Strong"/>
                <w:b w:val="0"/>
                <w:bCs w:val="0"/>
              </w:rPr>
              <w:t xml:space="preserve">Review field-based surveillance, trapping, </w:t>
            </w:r>
            <w:r w:rsidRPr="00A93D0D">
              <w:rPr>
                <w:rStyle w:val="Strong"/>
                <w:b w:val="0"/>
                <w:bCs w:val="0"/>
              </w:rPr>
              <w:t>and</w:t>
            </w:r>
            <w:r w:rsidRPr="00307043">
              <w:rPr>
                <w:rStyle w:val="Strong"/>
                <w:b w:val="0"/>
                <w:bCs w:val="0"/>
              </w:rPr>
              <w:t xml:space="preserve"> diagnostic methods and tools</w:t>
            </w:r>
          </w:p>
          <w:p w14:paraId="3287E67D" w14:textId="013E9694" w:rsidR="003D2553" w:rsidRDefault="003D2553" w:rsidP="00DF1D73">
            <w:pPr>
              <w:pStyle w:val="TableText"/>
            </w:pPr>
            <w:r w:rsidRPr="009D6998">
              <w:rPr>
                <w:rStyle w:val="Strong"/>
              </w:rPr>
              <w:t>Expected benefit and outcome</w:t>
            </w:r>
            <w:r>
              <w:rPr>
                <w:rStyle w:val="Strong"/>
              </w:rPr>
              <w:t>:</w:t>
            </w:r>
            <w:r>
              <w:t xml:space="preserve"> </w:t>
            </w:r>
            <w:r w:rsidRPr="00307043">
              <w:t>The development, endorsement and implementation of more consistent and coordinated surveillance across all jurisdictions would be beneficial for early detection.</w:t>
            </w:r>
          </w:p>
          <w:p w14:paraId="3DD3A697" w14:textId="77777777" w:rsidR="003D2553" w:rsidRPr="00AA2A13" w:rsidRDefault="003D2553" w:rsidP="00DF1D73">
            <w:pPr>
              <w:pStyle w:val="TableText"/>
            </w:pPr>
            <w:r w:rsidRPr="009D6998">
              <w:rPr>
                <w:rStyle w:val="Strong"/>
              </w:rPr>
              <w:t>Priority</w:t>
            </w:r>
            <w:r>
              <w:rPr>
                <w:rStyle w:val="Strong"/>
              </w:rPr>
              <w:t xml:space="preserve">: </w:t>
            </w:r>
            <w:r w:rsidRPr="00AF7C14">
              <w:rPr>
                <w:rStyle w:val="Strong"/>
                <w:b w:val="0"/>
                <w:bCs w:val="0"/>
              </w:rPr>
              <w:t>high</w:t>
            </w:r>
          </w:p>
          <w:p w14:paraId="04477427" w14:textId="7BAACCD0" w:rsidR="003D2553" w:rsidRPr="00C2627F" w:rsidRDefault="003D2553" w:rsidP="00DF1D73">
            <w:pPr>
              <w:pStyle w:val="TableText"/>
              <w:rPr>
                <w:rStyle w:val="Strong"/>
              </w:rPr>
            </w:pPr>
            <w:r w:rsidRPr="009D6998">
              <w:rPr>
                <w:rStyle w:val="Strong"/>
              </w:rPr>
              <w:t>Time frame</w:t>
            </w:r>
            <w:r>
              <w:rPr>
                <w:rStyle w:val="Strong"/>
              </w:rPr>
              <w:t xml:space="preserve">: </w:t>
            </w:r>
            <w:r w:rsidRPr="00AF7C14">
              <w:rPr>
                <w:rStyle w:val="Strong"/>
                <w:b w:val="0"/>
                <w:bCs w:val="0"/>
              </w:rPr>
              <w:t>short</w:t>
            </w:r>
            <w:r>
              <w:rPr>
                <w:rStyle w:val="Strong"/>
              </w:rPr>
              <w:t xml:space="preserve"> </w:t>
            </w:r>
            <w:r w:rsidRPr="00AA2A13">
              <w:t>term</w:t>
            </w:r>
          </w:p>
        </w:tc>
        <w:tc>
          <w:tcPr>
            <w:tcW w:w="1063" w:type="pct"/>
            <w:tcMar>
              <w:left w:w="108" w:type="dxa"/>
              <w:bottom w:w="28" w:type="dxa"/>
              <w:right w:w="108" w:type="dxa"/>
            </w:tcMar>
          </w:tcPr>
          <w:p w14:paraId="443F9DA9" w14:textId="7F41F1BE" w:rsidR="003D2553" w:rsidRDefault="003D2553" w:rsidP="00E65DE3">
            <w:pPr>
              <w:pStyle w:val="TableText"/>
              <w:tabs>
                <w:tab w:val="left" w:pos="464"/>
              </w:tabs>
            </w:pPr>
            <w:r>
              <w:t xml:space="preserve">2.2.1 Continue investment in </w:t>
            </w:r>
            <w:r w:rsidR="009953A3">
              <w:t>e</w:t>
            </w:r>
            <w:r>
              <w:t xml:space="preserve">nvironmental DNA (eDNA) for </w:t>
            </w:r>
            <w:r w:rsidR="00020290">
              <w:t>Khapra</w:t>
            </w:r>
            <w:r>
              <w:t xml:space="preserve"> beetle as this detects DNA present in environmental samples such as soil or sediments </w:t>
            </w:r>
          </w:p>
        </w:tc>
        <w:tc>
          <w:tcPr>
            <w:tcW w:w="911" w:type="pct"/>
            <w:shd w:val="clear" w:color="auto" w:fill="DEF0C2"/>
            <w:tcMar>
              <w:left w:w="108" w:type="dxa"/>
              <w:bottom w:w="28" w:type="dxa"/>
              <w:right w:w="108" w:type="dxa"/>
            </w:tcMar>
          </w:tcPr>
          <w:p w14:paraId="60CBC5B9" w14:textId="7444E6D2" w:rsidR="003D2553" w:rsidRDefault="003D2553" w:rsidP="00DF1D73">
            <w:pPr>
              <w:pStyle w:val="TableText"/>
            </w:pPr>
            <w:r w:rsidRPr="00C62967">
              <w:t>Completed – project finished</w:t>
            </w:r>
          </w:p>
          <w:p w14:paraId="046D252D" w14:textId="2C4F04A7" w:rsidR="003D2553" w:rsidRPr="00E65DE3" w:rsidRDefault="003D2553" w:rsidP="00DF1D73">
            <w:pPr>
              <w:pStyle w:val="TableText"/>
              <w:rPr>
                <w:rFonts w:cstheme="minorHAnsi"/>
                <w:bCs/>
                <w:szCs w:val="18"/>
              </w:rPr>
            </w:pPr>
            <w:r w:rsidRPr="00E65DE3">
              <w:rPr>
                <w:rFonts w:cstheme="minorHAnsi"/>
                <w:bCs/>
                <w:szCs w:val="18"/>
              </w:rPr>
              <w:t xml:space="preserve">Project Complete. Developed Environmental DNA (eDNA) diagnostic process to detect </w:t>
            </w:r>
            <w:r w:rsidR="00020290">
              <w:rPr>
                <w:rFonts w:cstheme="minorHAnsi"/>
                <w:bCs/>
                <w:szCs w:val="18"/>
              </w:rPr>
              <w:t>Khapra</w:t>
            </w:r>
            <w:r w:rsidRPr="00E65DE3">
              <w:rPr>
                <w:rFonts w:cstheme="minorHAnsi"/>
                <w:bCs/>
                <w:szCs w:val="18"/>
              </w:rPr>
              <w:t xml:space="preserve"> beetle in soil or sediments.</w:t>
            </w:r>
          </w:p>
          <w:p w14:paraId="47B74B68" w14:textId="0D4D8510" w:rsidR="00D7180A" w:rsidRDefault="003D2553" w:rsidP="00DF1D73">
            <w:pPr>
              <w:pStyle w:val="TableText"/>
            </w:pPr>
            <w:r w:rsidRPr="00E65DE3">
              <w:rPr>
                <w:rFonts w:cstheme="minorHAnsi"/>
                <w:bCs/>
                <w:szCs w:val="18"/>
              </w:rPr>
              <w:t xml:space="preserve">The protocol design to collect, extract and test Khapra </w:t>
            </w:r>
            <w:r w:rsidR="009953A3">
              <w:rPr>
                <w:rFonts w:cstheme="minorHAnsi"/>
                <w:bCs/>
                <w:szCs w:val="18"/>
              </w:rPr>
              <w:t>b</w:t>
            </w:r>
            <w:r w:rsidRPr="00E65DE3">
              <w:rPr>
                <w:rFonts w:cstheme="minorHAnsi"/>
                <w:bCs/>
                <w:szCs w:val="18"/>
              </w:rPr>
              <w:t>eetle eDNA/RNA has been tested in post-border biosecurity applications in QLD.</w:t>
            </w:r>
            <w:r w:rsidR="00D7180A">
              <w:t xml:space="preserve"> </w:t>
            </w:r>
          </w:p>
          <w:p w14:paraId="57903DA6" w14:textId="76F59DE5" w:rsidR="003D2553" w:rsidRPr="00BC13C5" w:rsidRDefault="00D7180A" w:rsidP="00DF1D73">
            <w:pPr>
              <w:pStyle w:val="TableText"/>
              <w:rPr>
                <w:shd w:val="clear" w:color="auto" w:fill="EEECE1" w:themeFill="background2"/>
              </w:rPr>
            </w:pPr>
            <w:r>
              <w:t xml:space="preserve">Organisms release DNA into their environment through secretions and discharges such as saliva, shed skin cells, faeces, gametes, hair or bodily remains. The technology offers a sensitive and cost-efficient alternative to traditional methods of species monitoring </w:t>
            </w:r>
            <w:r>
              <w:lastRenderedPageBreak/>
              <w:t>which can be expensive and challenging.</w:t>
            </w:r>
          </w:p>
        </w:tc>
        <w:tc>
          <w:tcPr>
            <w:tcW w:w="506" w:type="pct"/>
            <w:tcMar>
              <w:left w:w="108" w:type="dxa"/>
              <w:bottom w:w="28" w:type="dxa"/>
              <w:right w:w="108" w:type="dxa"/>
            </w:tcMar>
          </w:tcPr>
          <w:p w14:paraId="539A00AA" w14:textId="3D2F5602" w:rsidR="003D2553" w:rsidRPr="00705113" w:rsidRDefault="003D2553" w:rsidP="00DF1D73">
            <w:pPr>
              <w:pStyle w:val="TableText"/>
            </w:pPr>
            <w:r w:rsidRPr="00705113">
              <w:lastRenderedPageBreak/>
              <w:t>Commonwealth (BPSSD, BOD, CED)</w:t>
            </w:r>
          </w:p>
        </w:tc>
        <w:tc>
          <w:tcPr>
            <w:tcW w:w="760" w:type="pct"/>
            <w:tcMar>
              <w:left w:w="108" w:type="dxa"/>
              <w:bottom w:w="28" w:type="dxa"/>
              <w:right w:w="108" w:type="dxa"/>
            </w:tcMar>
          </w:tcPr>
          <w:p w14:paraId="56186128" w14:textId="3216A7BF"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00542EDA" w14:textId="73285E5B" w:rsidR="003D2553" w:rsidRPr="00E765F1" w:rsidRDefault="003D2553" w:rsidP="00D8091A">
            <w:pPr>
              <w:pStyle w:val="TableText"/>
            </w:pPr>
            <w:r>
              <w:t>Relates to action 2.1</w:t>
            </w:r>
          </w:p>
        </w:tc>
      </w:tr>
      <w:tr w:rsidR="003D2553" w:rsidRPr="00013AE2" w14:paraId="44119EBC" w14:textId="77777777" w:rsidTr="002027E3">
        <w:tc>
          <w:tcPr>
            <w:tcW w:w="962" w:type="pct"/>
            <w:vMerge/>
            <w:tcMar>
              <w:bottom w:w="28" w:type="dxa"/>
            </w:tcMar>
          </w:tcPr>
          <w:p w14:paraId="1DC182E9"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23C7E41C" w14:textId="1FE3F5AB" w:rsidR="003D2553" w:rsidRDefault="003D2553" w:rsidP="00E65DE3">
            <w:pPr>
              <w:pStyle w:val="TableText"/>
              <w:tabs>
                <w:tab w:val="left" w:pos="464"/>
              </w:tabs>
            </w:pPr>
            <w:r>
              <w:t xml:space="preserve">2.2.2 </w:t>
            </w:r>
            <w:r w:rsidRPr="00BE70F4">
              <w:t xml:space="preserve">Roll out the recently developed </w:t>
            </w:r>
            <w:r w:rsidR="00020290">
              <w:t>Khapra</w:t>
            </w:r>
            <w:r w:rsidRPr="00BE70F4">
              <w:t xml:space="preserve"> beetle LAMP assay diagnostics to </w:t>
            </w:r>
            <w:r w:rsidR="0050081D">
              <w:t>Commonwealth</w:t>
            </w:r>
            <w:r w:rsidR="0050081D" w:rsidRPr="00BE70F4">
              <w:t xml:space="preserve"> </w:t>
            </w:r>
            <w:r w:rsidRPr="00BE70F4">
              <w:t>laboratories and relevant regional locations to further improve surveillance and diagnostic capability</w:t>
            </w:r>
          </w:p>
        </w:tc>
        <w:tc>
          <w:tcPr>
            <w:tcW w:w="911" w:type="pct"/>
            <w:shd w:val="clear" w:color="auto" w:fill="DEF0C2"/>
            <w:tcMar>
              <w:left w:w="108" w:type="dxa"/>
              <w:bottom w:w="28" w:type="dxa"/>
              <w:right w:w="108" w:type="dxa"/>
            </w:tcMar>
          </w:tcPr>
          <w:p w14:paraId="13B8EE0D" w14:textId="1257F4D0" w:rsidR="003D2553" w:rsidRPr="00705113" w:rsidRDefault="003D2553" w:rsidP="00DF1D73">
            <w:pPr>
              <w:pStyle w:val="TableText"/>
            </w:pPr>
            <w:r w:rsidRPr="00C62967">
              <w:t xml:space="preserve">Completed – project </w:t>
            </w:r>
            <w:r w:rsidRPr="00705113">
              <w:t>finished</w:t>
            </w:r>
          </w:p>
          <w:p w14:paraId="4686DA3E" w14:textId="5357800A" w:rsidR="003D2553" w:rsidRPr="00BC13C5" w:rsidRDefault="003D2553" w:rsidP="00DF1D73">
            <w:pPr>
              <w:pStyle w:val="TableText"/>
              <w:rPr>
                <w:shd w:val="clear" w:color="auto" w:fill="EEECE1" w:themeFill="background2"/>
              </w:rPr>
            </w:pPr>
            <w:r w:rsidRPr="00705113">
              <w:t xml:space="preserve">Introduced </w:t>
            </w:r>
            <w:r w:rsidR="00020290">
              <w:t>Khapra</w:t>
            </w:r>
            <w:r w:rsidRPr="00705113">
              <w:t xml:space="preserve"> beetle loop-mediated isothermal amplification (LAMP) assay diagnostics to </w:t>
            </w:r>
            <w:r w:rsidR="0050081D">
              <w:t xml:space="preserve">Commonwealth </w:t>
            </w:r>
            <w:r w:rsidRPr="00705113">
              <w:t>laboratories and relevant regional locations</w:t>
            </w:r>
          </w:p>
        </w:tc>
        <w:tc>
          <w:tcPr>
            <w:tcW w:w="506" w:type="pct"/>
            <w:shd w:val="clear" w:color="auto" w:fill="auto"/>
            <w:tcMar>
              <w:left w:w="108" w:type="dxa"/>
              <w:bottom w:w="28" w:type="dxa"/>
              <w:right w:w="108" w:type="dxa"/>
            </w:tcMar>
          </w:tcPr>
          <w:p w14:paraId="3E6F4EB8" w14:textId="761056E2"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4F2BCCA6" w14:textId="415AEE52"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5E56D40B" w14:textId="5875A9E3" w:rsidR="003D2553" w:rsidRPr="00E765F1" w:rsidRDefault="003D2553" w:rsidP="0084064B">
            <w:pPr>
              <w:pStyle w:val="TableText"/>
            </w:pPr>
            <w:r>
              <w:t>Relates to action 2.1</w:t>
            </w:r>
          </w:p>
        </w:tc>
      </w:tr>
      <w:tr w:rsidR="003D2553" w:rsidRPr="00013AE2" w14:paraId="7B0F5D34" w14:textId="77777777" w:rsidTr="00787004">
        <w:tc>
          <w:tcPr>
            <w:tcW w:w="962" w:type="pct"/>
            <w:vMerge/>
            <w:tcMar>
              <w:bottom w:w="28" w:type="dxa"/>
            </w:tcMar>
          </w:tcPr>
          <w:p w14:paraId="37141237"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180B8B92" w14:textId="07546D7A" w:rsidR="003D2553" w:rsidRDefault="003D2553" w:rsidP="00E65DE3">
            <w:pPr>
              <w:pStyle w:val="TableText"/>
            </w:pPr>
            <w:r>
              <w:t xml:space="preserve">2.2.3 </w:t>
            </w:r>
            <w:r w:rsidRPr="00D70567">
              <w:t xml:space="preserve">Compare and evaluate surveillance methods used in Australian jurisdictions and in other countries particularly New Zealand </w:t>
            </w:r>
          </w:p>
        </w:tc>
        <w:tc>
          <w:tcPr>
            <w:tcW w:w="911" w:type="pct"/>
            <w:shd w:val="clear" w:color="auto" w:fill="C6D9F1" w:themeFill="text2" w:themeFillTint="33"/>
            <w:tcMar>
              <w:left w:w="108" w:type="dxa"/>
              <w:bottom w:w="28" w:type="dxa"/>
              <w:right w:w="108" w:type="dxa"/>
            </w:tcMar>
          </w:tcPr>
          <w:p w14:paraId="29DE3E63" w14:textId="77777777" w:rsidR="00D7180A" w:rsidRDefault="003D2553" w:rsidP="00DF1D73">
            <w:pPr>
              <w:pStyle w:val="TableText"/>
              <w:rPr>
                <w:shd w:val="clear" w:color="auto" w:fill="EEECE1" w:themeFill="background2"/>
              </w:rPr>
            </w:pPr>
            <w:r w:rsidRPr="00705113">
              <w:t>Ongoing – business as usual</w:t>
            </w:r>
            <w:r>
              <w:rPr>
                <w:shd w:val="clear" w:color="auto" w:fill="EEECE1" w:themeFill="background2"/>
              </w:rPr>
              <w:t xml:space="preserve"> </w:t>
            </w:r>
          </w:p>
          <w:p w14:paraId="0DF60D60" w14:textId="52B5F754" w:rsidR="003D2553" w:rsidRPr="00BC13C5" w:rsidRDefault="00D7180A" w:rsidP="00DF1D73">
            <w:pPr>
              <w:pStyle w:val="TableText"/>
              <w:rPr>
                <w:shd w:val="clear" w:color="auto" w:fill="EEECE1" w:themeFill="background2"/>
              </w:rPr>
            </w:pPr>
            <w:r w:rsidRPr="00D70567">
              <w:t>The development, endorsement and implementation of more consistent and coordinated surveillance methods and tools across all jurisdictions would be beneficial for early detection.</w:t>
            </w:r>
          </w:p>
        </w:tc>
        <w:tc>
          <w:tcPr>
            <w:tcW w:w="506" w:type="pct"/>
            <w:shd w:val="clear" w:color="auto" w:fill="auto"/>
            <w:tcMar>
              <w:left w:w="108" w:type="dxa"/>
              <w:bottom w:w="28" w:type="dxa"/>
              <w:right w:w="108" w:type="dxa"/>
            </w:tcMar>
          </w:tcPr>
          <w:p w14:paraId="336BCB3B" w14:textId="75B2C873"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4960687B" w14:textId="4A2A21C1"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12950C8E" w14:textId="4D5DBA7C" w:rsidR="003D2553" w:rsidRPr="00E765F1" w:rsidRDefault="003D2553" w:rsidP="0084064B">
            <w:pPr>
              <w:pStyle w:val="TableText"/>
            </w:pPr>
            <w:r>
              <w:t>Relates to action 2.1</w:t>
            </w:r>
          </w:p>
        </w:tc>
      </w:tr>
      <w:tr w:rsidR="003D2553" w:rsidRPr="00013AE2" w14:paraId="71B82A15" w14:textId="77777777" w:rsidTr="00787004">
        <w:tc>
          <w:tcPr>
            <w:tcW w:w="962" w:type="pct"/>
            <w:vMerge/>
            <w:tcMar>
              <w:bottom w:w="28" w:type="dxa"/>
            </w:tcMar>
          </w:tcPr>
          <w:p w14:paraId="5115A57D"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467A80C8" w14:textId="7471B3A8" w:rsidR="003D2553" w:rsidRDefault="003D2553" w:rsidP="00E65DE3">
            <w:pPr>
              <w:pStyle w:val="TableText"/>
            </w:pPr>
            <w:r>
              <w:t xml:space="preserve">2.2.4 </w:t>
            </w:r>
            <w:r w:rsidRPr="00BE70F4">
              <w:t xml:space="preserve">Continue the current work being undertaken to resolve the taxonomy of native </w:t>
            </w:r>
            <w:r w:rsidRPr="009953A3">
              <w:rPr>
                <w:i/>
                <w:iCs/>
              </w:rPr>
              <w:t>Trogoderma</w:t>
            </w:r>
            <w:r w:rsidRPr="00BE70F4">
              <w:t xml:space="preserve"> species to enable accurate detection and identification of </w:t>
            </w:r>
            <w:r w:rsidR="00020290">
              <w:t>Khapra</w:t>
            </w:r>
            <w:r w:rsidRPr="00BE70F4">
              <w:t xml:space="preserve"> beetle</w:t>
            </w:r>
          </w:p>
        </w:tc>
        <w:tc>
          <w:tcPr>
            <w:tcW w:w="911" w:type="pct"/>
            <w:shd w:val="clear" w:color="auto" w:fill="FABF8F" w:themeFill="accent6" w:themeFillTint="99"/>
            <w:tcMar>
              <w:left w:w="108" w:type="dxa"/>
              <w:bottom w:w="28" w:type="dxa"/>
              <w:right w:w="108" w:type="dxa"/>
            </w:tcMar>
          </w:tcPr>
          <w:p w14:paraId="6C7F0F24" w14:textId="49063296" w:rsidR="003D2553" w:rsidRDefault="004146B5" w:rsidP="00DF1D73">
            <w:pPr>
              <w:pStyle w:val="TableText"/>
            </w:pPr>
            <w:r>
              <w:t>Deleted</w:t>
            </w:r>
          </w:p>
          <w:p w14:paraId="64AB405C" w14:textId="134464CA" w:rsidR="00A23745" w:rsidRPr="00BC13C5" w:rsidRDefault="00A23745" w:rsidP="00DF1D73">
            <w:pPr>
              <w:pStyle w:val="TableText"/>
              <w:rPr>
                <w:shd w:val="clear" w:color="auto" w:fill="EEECE1" w:themeFill="background2"/>
              </w:rPr>
            </w:pPr>
            <w:r w:rsidRPr="00A23745">
              <w:t xml:space="preserve">In 2023, this project was agreed to be deleted, as it is </w:t>
            </w:r>
            <w:proofErr w:type="spellStart"/>
            <w:r>
              <w:t>he</w:t>
            </w:r>
            <w:proofErr w:type="spellEnd"/>
            <w:r>
              <w:t xml:space="preserve"> same as project 2.1.3.</w:t>
            </w:r>
          </w:p>
        </w:tc>
        <w:tc>
          <w:tcPr>
            <w:tcW w:w="506" w:type="pct"/>
            <w:shd w:val="clear" w:color="auto" w:fill="auto"/>
            <w:tcMar>
              <w:left w:w="108" w:type="dxa"/>
              <w:bottom w:w="28" w:type="dxa"/>
              <w:right w:w="108" w:type="dxa"/>
            </w:tcMar>
          </w:tcPr>
          <w:p w14:paraId="18D1031C" w14:textId="42BA309C"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2570FC0D" w14:textId="7BE7BA3E" w:rsidR="003D2553" w:rsidRPr="00BC13C5" w:rsidRDefault="003D2553" w:rsidP="00DF1D73">
            <w:pPr>
              <w:pStyle w:val="TableText"/>
              <w:rPr>
                <w:shd w:val="clear" w:color="auto" w:fill="EEECE1" w:themeFill="background2"/>
              </w:rPr>
            </w:pPr>
            <w:r w:rsidRPr="0084064B">
              <w:t xml:space="preserve">Commonwealth </w:t>
            </w:r>
          </w:p>
        </w:tc>
        <w:tc>
          <w:tcPr>
            <w:tcW w:w="798" w:type="pct"/>
            <w:tcMar>
              <w:left w:w="108" w:type="dxa"/>
              <w:bottom w:w="28" w:type="dxa"/>
              <w:right w:w="108" w:type="dxa"/>
            </w:tcMar>
          </w:tcPr>
          <w:p w14:paraId="7A823F02" w14:textId="1171617A" w:rsidR="003D2553" w:rsidRPr="00E765F1" w:rsidRDefault="003D2553" w:rsidP="0084064B">
            <w:pPr>
              <w:pStyle w:val="TableText"/>
            </w:pPr>
            <w:r>
              <w:t>Relates to action 2</w:t>
            </w:r>
            <w:r w:rsidR="009953A3">
              <w:t>.1</w:t>
            </w:r>
          </w:p>
        </w:tc>
      </w:tr>
      <w:tr w:rsidR="003D2553" w:rsidRPr="00013AE2" w14:paraId="67EB00C7" w14:textId="77777777" w:rsidTr="00787004">
        <w:tc>
          <w:tcPr>
            <w:tcW w:w="962" w:type="pct"/>
            <w:vMerge/>
            <w:tcMar>
              <w:bottom w:w="28" w:type="dxa"/>
            </w:tcMar>
          </w:tcPr>
          <w:p w14:paraId="1E7CE4A1"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385BB97F" w14:textId="77F841B3" w:rsidR="003D2553" w:rsidRDefault="003D2553" w:rsidP="00E65DE3">
            <w:pPr>
              <w:pStyle w:val="TableText"/>
            </w:pPr>
            <w:r>
              <w:t>2.2.</w:t>
            </w:r>
            <w:r w:rsidR="00D4504F">
              <w:t>4</w:t>
            </w:r>
            <w:r>
              <w:t xml:space="preserve"> Evaluate the benefit of training workshops on identification of storage pests for selected businesses—including how to identify </w:t>
            </w:r>
            <w:r w:rsidRPr="009953A3">
              <w:rPr>
                <w:i/>
                <w:iCs/>
              </w:rPr>
              <w:t>Trogoderma</w:t>
            </w:r>
            <w:r>
              <w:t xml:space="preserve"> species, where to send samples for confirmation and how to report/escalate suspect positive detections</w:t>
            </w:r>
          </w:p>
        </w:tc>
        <w:tc>
          <w:tcPr>
            <w:tcW w:w="911" w:type="pct"/>
            <w:shd w:val="clear" w:color="auto" w:fill="C6D9F1" w:themeFill="text2" w:themeFillTint="33"/>
            <w:tcMar>
              <w:left w:w="108" w:type="dxa"/>
              <w:bottom w:w="28" w:type="dxa"/>
              <w:right w:w="108" w:type="dxa"/>
            </w:tcMar>
          </w:tcPr>
          <w:p w14:paraId="4D53E5BF" w14:textId="77777777" w:rsidR="00D7180A" w:rsidRDefault="003D2553" w:rsidP="00DF1D73">
            <w:pPr>
              <w:pStyle w:val="TableText"/>
            </w:pPr>
            <w:r w:rsidRPr="00705113">
              <w:t>Ongoing – business as usual</w:t>
            </w:r>
            <w:r w:rsidR="00D7180A">
              <w:t xml:space="preserve"> </w:t>
            </w:r>
          </w:p>
          <w:p w14:paraId="31E82224" w14:textId="43B68D34" w:rsidR="003D2553" w:rsidRPr="00BC13C5" w:rsidRDefault="00D7180A" w:rsidP="00DF1D73">
            <w:pPr>
              <w:pStyle w:val="TableText"/>
              <w:rPr>
                <w:shd w:val="clear" w:color="auto" w:fill="EEECE1" w:themeFill="background2"/>
              </w:rPr>
            </w:pPr>
            <w:r>
              <w:t xml:space="preserve">Some of these businesses may participate in the development/field-testing of cost-effective </w:t>
            </w:r>
            <w:r w:rsidRPr="009953A3">
              <w:rPr>
                <w:i/>
                <w:iCs/>
              </w:rPr>
              <w:t>Trogoderma</w:t>
            </w:r>
            <w:r>
              <w:t xml:space="preserve"> species trapping/surveillance methods.</w:t>
            </w:r>
          </w:p>
        </w:tc>
        <w:tc>
          <w:tcPr>
            <w:tcW w:w="506" w:type="pct"/>
            <w:shd w:val="clear" w:color="auto" w:fill="auto"/>
            <w:tcMar>
              <w:left w:w="108" w:type="dxa"/>
              <w:bottom w:w="28" w:type="dxa"/>
              <w:right w:w="108" w:type="dxa"/>
            </w:tcMar>
          </w:tcPr>
          <w:p w14:paraId="31729339" w14:textId="10DEA2E7"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1386CAE0" w14:textId="6030520A"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3521ACB2" w14:textId="70A10F27" w:rsidR="003D2553" w:rsidRPr="00E765F1" w:rsidRDefault="003D2553" w:rsidP="0084064B">
            <w:pPr>
              <w:pStyle w:val="TableText"/>
            </w:pPr>
            <w:r>
              <w:t>Relates to action 2.1</w:t>
            </w:r>
          </w:p>
        </w:tc>
      </w:tr>
      <w:tr w:rsidR="003D2553" w:rsidRPr="00013AE2" w14:paraId="1607AA6C" w14:textId="77777777" w:rsidTr="00787004">
        <w:tc>
          <w:tcPr>
            <w:tcW w:w="962" w:type="pct"/>
            <w:vMerge/>
            <w:tcMar>
              <w:bottom w:w="28" w:type="dxa"/>
            </w:tcMar>
          </w:tcPr>
          <w:p w14:paraId="1CFEF65B"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7C3DCC35" w14:textId="5A6E3D1D" w:rsidR="003D2553" w:rsidRDefault="003D2553" w:rsidP="00DF1D73">
            <w:pPr>
              <w:pStyle w:val="TableText"/>
            </w:pPr>
            <w:r>
              <w:t>2.2.</w:t>
            </w:r>
            <w:r w:rsidR="00D4504F">
              <w:t>5</w:t>
            </w:r>
            <w:r>
              <w:t xml:space="preserve"> </w:t>
            </w:r>
            <w:r w:rsidRPr="00D70567">
              <w:t>Review and update training and operational procedures for targeted visual surveillance as needed. Include development of training materials for states and territories</w:t>
            </w:r>
          </w:p>
        </w:tc>
        <w:tc>
          <w:tcPr>
            <w:tcW w:w="911" w:type="pct"/>
            <w:shd w:val="clear" w:color="auto" w:fill="C6D9F1" w:themeFill="text2" w:themeFillTint="33"/>
            <w:tcMar>
              <w:left w:w="108" w:type="dxa"/>
              <w:bottom w:w="28" w:type="dxa"/>
              <w:right w:w="108" w:type="dxa"/>
            </w:tcMar>
          </w:tcPr>
          <w:p w14:paraId="25171FAF" w14:textId="77777777" w:rsidR="00D7180A" w:rsidRDefault="003D2553" w:rsidP="00DF1D73">
            <w:pPr>
              <w:pStyle w:val="TableText"/>
            </w:pPr>
            <w:r w:rsidRPr="00705113">
              <w:t>Ongoing – business as usual</w:t>
            </w:r>
            <w:r w:rsidR="00D7180A" w:rsidRPr="00D70567">
              <w:t xml:space="preserve"> </w:t>
            </w:r>
          </w:p>
          <w:p w14:paraId="69D01492" w14:textId="03F9E6C7" w:rsidR="003D2553" w:rsidRPr="00BC13C5" w:rsidRDefault="00D7180A" w:rsidP="00DF1D73">
            <w:pPr>
              <w:pStyle w:val="TableText"/>
              <w:rPr>
                <w:shd w:val="clear" w:color="auto" w:fill="EEECE1" w:themeFill="background2"/>
              </w:rPr>
            </w:pPr>
            <w:r w:rsidRPr="00D70567">
              <w:t xml:space="preserve">The development of training videos/packages would support early warning surveillance confidence, but also ensure </w:t>
            </w:r>
            <w:r w:rsidRPr="00D70567">
              <w:lastRenderedPageBreak/>
              <w:t>timely and robust surveillance efforts during the early days of a response—particularly if surveillance personnel have not previously been exposed to surveillance methodologies for the pest. The establishment of nationally developed surveillance training materials will also ensure a more consistent methodology is applied nationally in times of response.</w:t>
            </w:r>
          </w:p>
        </w:tc>
        <w:tc>
          <w:tcPr>
            <w:tcW w:w="506" w:type="pct"/>
            <w:shd w:val="clear" w:color="auto" w:fill="auto"/>
            <w:tcMar>
              <w:left w:w="108" w:type="dxa"/>
              <w:bottom w:w="28" w:type="dxa"/>
              <w:right w:w="108" w:type="dxa"/>
            </w:tcMar>
          </w:tcPr>
          <w:p w14:paraId="6EB2270A" w14:textId="33364780" w:rsidR="003D2553" w:rsidRPr="00BC13C5" w:rsidRDefault="003D2553" w:rsidP="00DF1D73">
            <w:pPr>
              <w:pStyle w:val="TableText"/>
              <w:rPr>
                <w:shd w:val="clear" w:color="auto" w:fill="EEECE1" w:themeFill="background2"/>
              </w:rPr>
            </w:pPr>
            <w:r w:rsidRPr="00705113">
              <w:lastRenderedPageBreak/>
              <w:t>Commonwealth (BPSSD, BOD, CED)</w:t>
            </w:r>
          </w:p>
        </w:tc>
        <w:tc>
          <w:tcPr>
            <w:tcW w:w="760" w:type="pct"/>
            <w:tcMar>
              <w:left w:w="108" w:type="dxa"/>
              <w:bottom w:w="28" w:type="dxa"/>
              <w:right w:w="108" w:type="dxa"/>
            </w:tcMar>
          </w:tcPr>
          <w:p w14:paraId="43908A17" w14:textId="3672F941"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1B0E7E15" w14:textId="34FD19A4" w:rsidR="003D2553" w:rsidRPr="00E765F1" w:rsidRDefault="003D2553" w:rsidP="0084064B">
            <w:pPr>
              <w:pStyle w:val="TableText"/>
            </w:pPr>
            <w:r>
              <w:t>Relates to action 2.1</w:t>
            </w:r>
          </w:p>
        </w:tc>
      </w:tr>
      <w:tr w:rsidR="003D2553" w:rsidRPr="00013AE2" w14:paraId="0170A81D" w14:textId="77777777" w:rsidTr="00787004">
        <w:trPr>
          <w:trHeight w:val="1396"/>
        </w:trPr>
        <w:tc>
          <w:tcPr>
            <w:tcW w:w="962" w:type="pct"/>
            <w:vMerge/>
            <w:tcMar>
              <w:bottom w:w="28" w:type="dxa"/>
            </w:tcMar>
          </w:tcPr>
          <w:p w14:paraId="5A2C949F"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7B4E848E" w14:textId="522B6796" w:rsidR="003D2553" w:rsidRPr="00C62967" w:rsidRDefault="003D2553" w:rsidP="00DF1D73">
            <w:pPr>
              <w:pStyle w:val="TableText"/>
            </w:pPr>
            <w:r w:rsidRPr="00C62967">
              <w:t>2.2.</w:t>
            </w:r>
            <w:r w:rsidR="00D4504F">
              <w:t>6</w:t>
            </w:r>
            <w:r w:rsidRPr="00C62967">
              <w:t xml:space="preserve"> </w:t>
            </w:r>
            <w:r w:rsidRPr="00D70567">
              <w:t>Consider strengthening diagnostic capability by developing and implementing triage systems, pooling national expertise, and training more scientists, both in-house and in universities</w:t>
            </w:r>
          </w:p>
        </w:tc>
        <w:tc>
          <w:tcPr>
            <w:tcW w:w="911" w:type="pct"/>
            <w:shd w:val="clear" w:color="auto" w:fill="C6D9F1" w:themeFill="text2" w:themeFillTint="33"/>
            <w:tcMar>
              <w:left w:w="108" w:type="dxa"/>
              <w:bottom w:w="28" w:type="dxa"/>
              <w:right w:w="108" w:type="dxa"/>
            </w:tcMar>
          </w:tcPr>
          <w:p w14:paraId="0E4031E7" w14:textId="4F914D6A" w:rsidR="003D2553" w:rsidRPr="00BC13C5" w:rsidRDefault="003D2553"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4FC71733" w14:textId="4883FE2E"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23D1E6C8" w14:textId="1D44F65B"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468F45AC" w14:textId="79ABCEFB" w:rsidR="003D2553" w:rsidRPr="00E765F1" w:rsidRDefault="003D2553" w:rsidP="0084064B">
            <w:pPr>
              <w:pStyle w:val="TableText"/>
            </w:pPr>
            <w:r>
              <w:t>Relates to action 2.1</w:t>
            </w:r>
          </w:p>
        </w:tc>
      </w:tr>
      <w:tr w:rsidR="003D2553" w:rsidRPr="00013AE2" w14:paraId="5E877753" w14:textId="77777777" w:rsidTr="00787004">
        <w:tc>
          <w:tcPr>
            <w:tcW w:w="962" w:type="pct"/>
            <w:vMerge/>
            <w:tcMar>
              <w:bottom w:w="28" w:type="dxa"/>
            </w:tcMar>
          </w:tcPr>
          <w:p w14:paraId="2951A7F5"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3CA51ABA" w14:textId="6631CE77" w:rsidR="003D2553" w:rsidRDefault="003D2553" w:rsidP="00E65DE3">
            <w:pPr>
              <w:pStyle w:val="TableText"/>
            </w:pPr>
            <w:r>
              <w:t>2.2.</w:t>
            </w:r>
            <w:r w:rsidR="00D4504F">
              <w:t>7</w:t>
            </w:r>
            <w:r>
              <w:t xml:space="preserve"> </w:t>
            </w:r>
            <w:r w:rsidRPr="00D70567">
              <w:t>Consider the value of surveillance in cities and towns with a concentration of businesses with higher volumes of shipping container movements—imports and exports; for example, southern Queensland and northern New South Wales—Toowoomba, Dalby, Goondiwindi, Kingaroy, Moree</w:t>
            </w:r>
          </w:p>
        </w:tc>
        <w:tc>
          <w:tcPr>
            <w:tcW w:w="911" w:type="pct"/>
            <w:shd w:val="clear" w:color="auto" w:fill="C6D9F1" w:themeFill="text2" w:themeFillTint="33"/>
            <w:tcMar>
              <w:left w:w="108" w:type="dxa"/>
              <w:bottom w:w="28" w:type="dxa"/>
              <w:right w:w="108" w:type="dxa"/>
            </w:tcMar>
          </w:tcPr>
          <w:p w14:paraId="24FF184E" w14:textId="1453B2BB" w:rsidR="003D2553" w:rsidRPr="00BC13C5" w:rsidRDefault="003D2553"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69542DCB" w14:textId="634F3F2F"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5D6DAD32" w14:textId="70534603"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539A38F2" w14:textId="45B1C784" w:rsidR="003D2553" w:rsidRPr="00E765F1" w:rsidRDefault="003D2553" w:rsidP="0084064B">
            <w:pPr>
              <w:pStyle w:val="TableText"/>
            </w:pPr>
            <w:r>
              <w:t>Relates to action 2.1</w:t>
            </w:r>
          </w:p>
        </w:tc>
      </w:tr>
      <w:tr w:rsidR="003D2553" w:rsidRPr="00013AE2" w14:paraId="111E9E26" w14:textId="77777777" w:rsidTr="00787004">
        <w:tc>
          <w:tcPr>
            <w:tcW w:w="962" w:type="pct"/>
            <w:vMerge/>
            <w:tcMar>
              <w:bottom w:w="28" w:type="dxa"/>
            </w:tcMar>
          </w:tcPr>
          <w:p w14:paraId="1114A7C2"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60748A34" w14:textId="3A201587" w:rsidR="003D2553" w:rsidRPr="00C62967" w:rsidRDefault="003D2553" w:rsidP="00E65DE3">
            <w:pPr>
              <w:pStyle w:val="TableText"/>
            </w:pPr>
            <w:r>
              <w:t>2.2.</w:t>
            </w:r>
            <w:r w:rsidR="00D4504F">
              <w:t>8</w:t>
            </w:r>
            <w:r>
              <w:t xml:space="preserve"> </w:t>
            </w:r>
            <w:r w:rsidRPr="00C62967">
              <w:t xml:space="preserve">Consider the value of surveillance of specialist food shops that import higher risk food products from countries known to have </w:t>
            </w:r>
            <w:r w:rsidR="00020290">
              <w:t>Khapra</w:t>
            </w:r>
            <w:r w:rsidRPr="00C62967">
              <w:t xml:space="preserve"> beetle</w:t>
            </w:r>
          </w:p>
        </w:tc>
        <w:tc>
          <w:tcPr>
            <w:tcW w:w="911" w:type="pct"/>
            <w:shd w:val="clear" w:color="auto" w:fill="C6D9F1" w:themeFill="text2" w:themeFillTint="33"/>
            <w:tcMar>
              <w:left w:w="108" w:type="dxa"/>
              <w:bottom w:w="28" w:type="dxa"/>
              <w:right w:w="108" w:type="dxa"/>
            </w:tcMar>
          </w:tcPr>
          <w:p w14:paraId="3D98586D" w14:textId="77777777" w:rsidR="003D2553" w:rsidRDefault="003D2553" w:rsidP="00DF1D73">
            <w:pPr>
              <w:pStyle w:val="TableText"/>
            </w:pPr>
            <w:r w:rsidRPr="00705113">
              <w:t>Ongoing – business as usual</w:t>
            </w:r>
            <w:r>
              <w:t>.</w:t>
            </w:r>
          </w:p>
          <w:p w14:paraId="368F4F7F" w14:textId="77777777" w:rsidR="003E0EDC" w:rsidRDefault="003D2553" w:rsidP="00DF1D73">
            <w:pPr>
              <w:pStyle w:val="TableText"/>
            </w:pPr>
            <w:r w:rsidRPr="00705113">
              <w:t xml:space="preserve">In addition to the latest implementation schedule update both </w:t>
            </w:r>
            <w:hyperlink r:id="rId26" w:history="1">
              <w:r w:rsidRPr="00705113">
                <w:t>WA</w:t>
              </w:r>
            </w:hyperlink>
            <w:r w:rsidRPr="00705113">
              <w:t xml:space="preserve"> and </w:t>
            </w:r>
            <w:hyperlink r:id="rId27" w:history="1">
              <w:r w:rsidRPr="00705113">
                <w:t>NSW</w:t>
              </w:r>
            </w:hyperlink>
            <w:r w:rsidRPr="00705113">
              <w:t xml:space="preserve"> have undertaken pantry blitz activities. Other jurisdictions are considering similar activities and will implement where appropriate. This </w:t>
            </w:r>
            <w:r w:rsidRPr="00705113">
              <w:lastRenderedPageBreak/>
              <w:t>information will be incorporated when further updates are made to the implementation schedule.</w:t>
            </w:r>
            <w:r w:rsidR="003E0EDC" w:rsidRPr="00C62967">
              <w:t xml:space="preserve"> </w:t>
            </w:r>
          </w:p>
          <w:p w14:paraId="71E6C6BA" w14:textId="55584657" w:rsidR="003D2553" w:rsidRPr="00705113" w:rsidRDefault="003E0EDC" w:rsidP="00DF1D73">
            <w:pPr>
              <w:pStyle w:val="TableText"/>
            </w:pPr>
            <w:r w:rsidRPr="00C62967">
              <w:t>Consideration needs to be given to how a detection resulting from of a ‘pantry blitz’ style surveillance event would be managed.</w:t>
            </w:r>
          </w:p>
        </w:tc>
        <w:tc>
          <w:tcPr>
            <w:tcW w:w="506" w:type="pct"/>
            <w:shd w:val="clear" w:color="auto" w:fill="auto"/>
            <w:tcMar>
              <w:left w:w="108" w:type="dxa"/>
              <w:bottom w:w="28" w:type="dxa"/>
              <w:right w:w="108" w:type="dxa"/>
            </w:tcMar>
          </w:tcPr>
          <w:p w14:paraId="3D62C59B" w14:textId="7683C0DB" w:rsidR="003D2553" w:rsidRPr="00BC13C5" w:rsidRDefault="003D2553" w:rsidP="00DF1D73">
            <w:pPr>
              <w:pStyle w:val="TableText"/>
              <w:rPr>
                <w:shd w:val="clear" w:color="auto" w:fill="EEECE1" w:themeFill="background2"/>
              </w:rPr>
            </w:pPr>
            <w:r w:rsidRPr="00705113">
              <w:lastRenderedPageBreak/>
              <w:t>Commonwealth (BPSSD, BOD, CED)</w:t>
            </w:r>
          </w:p>
        </w:tc>
        <w:tc>
          <w:tcPr>
            <w:tcW w:w="760" w:type="pct"/>
            <w:tcMar>
              <w:left w:w="108" w:type="dxa"/>
              <w:bottom w:w="28" w:type="dxa"/>
              <w:right w:w="108" w:type="dxa"/>
            </w:tcMar>
          </w:tcPr>
          <w:p w14:paraId="1143A4DA" w14:textId="6DAD8AFD"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6B17F4FE" w14:textId="35BA0658" w:rsidR="003D2553" w:rsidRPr="00E765F1" w:rsidRDefault="003D2553" w:rsidP="0084064B">
            <w:pPr>
              <w:pStyle w:val="TableText"/>
            </w:pPr>
            <w:r>
              <w:t>Relates to action 2.1</w:t>
            </w:r>
          </w:p>
        </w:tc>
      </w:tr>
      <w:tr w:rsidR="003D2553" w:rsidRPr="00013AE2" w14:paraId="59A93D85" w14:textId="77777777" w:rsidTr="00787004">
        <w:tc>
          <w:tcPr>
            <w:tcW w:w="962" w:type="pct"/>
            <w:vMerge/>
            <w:tcMar>
              <w:bottom w:w="28" w:type="dxa"/>
            </w:tcMar>
          </w:tcPr>
          <w:p w14:paraId="68D776BA"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2CF2A7E5" w14:textId="7BE6A937" w:rsidR="003D2553" w:rsidRPr="00C62967" w:rsidRDefault="003D2553" w:rsidP="00E65DE3">
            <w:pPr>
              <w:pStyle w:val="TableText"/>
            </w:pPr>
            <w:r>
              <w:t>2.2.</w:t>
            </w:r>
            <w:r w:rsidR="00D4504F">
              <w:t>9</w:t>
            </w:r>
            <w:r>
              <w:t xml:space="preserve"> </w:t>
            </w:r>
            <w:r w:rsidRPr="00C62967">
              <w:t xml:space="preserve">Research to understand the effectiveness of current trapping and baiting systems is needed for </w:t>
            </w:r>
            <w:r w:rsidR="00020290">
              <w:t>Khapra</w:t>
            </w:r>
            <w:r w:rsidRPr="00C62967">
              <w:t xml:space="preserve"> beetle in Australian conditions</w:t>
            </w:r>
          </w:p>
        </w:tc>
        <w:tc>
          <w:tcPr>
            <w:tcW w:w="911" w:type="pct"/>
            <w:shd w:val="clear" w:color="auto" w:fill="C6D9F1" w:themeFill="text2" w:themeFillTint="33"/>
            <w:tcMar>
              <w:left w:w="108" w:type="dxa"/>
              <w:bottom w:w="28" w:type="dxa"/>
              <w:right w:w="108" w:type="dxa"/>
            </w:tcMar>
          </w:tcPr>
          <w:p w14:paraId="741FCC5D" w14:textId="12A9A2E1" w:rsidR="003D2553" w:rsidRPr="00BC13C5" w:rsidRDefault="003D2553"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02EFF344" w14:textId="67D7E0F3"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4A542556" w14:textId="1AB406CC"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19291F7A" w14:textId="07758100" w:rsidR="003D2553" w:rsidRPr="00E765F1" w:rsidRDefault="003D2553" w:rsidP="0084064B">
            <w:pPr>
              <w:pStyle w:val="TableText"/>
            </w:pPr>
            <w:r>
              <w:t>Relates to action 2.1</w:t>
            </w:r>
          </w:p>
        </w:tc>
      </w:tr>
      <w:tr w:rsidR="003D2553" w:rsidRPr="00013AE2" w14:paraId="658949FB" w14:textId="77777777" w:rsidTr="00787004">
        <w:trPr>
          <w:trHeight w:val="1035"/>
        </w:trPr>
        <w:tc>
          <w:tcPr>
            <w:tcW w:w="962" w:type="pct"/>
            <w:vMerge/>
            <w:tcMar>
              <w:bottom w:w="28" w:type="dxa"/>
            </w:tcMar>
          </w:tcPr>
          <w:p w14:paraId="0528CC74"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0938203D" w14:textId="5AF6A6A1" w:rsidR="003D2553" w:rsidRDefault="003D2553" w:rsidP="00DF1D73">
            <w:pPr>
              <w:pStyle w:val="TableText"/>
            </w:pPr>
            <w:r>
              <w:t>2.2.1</w:t>
            </w:r>
            <w:r w:rsidR="00D4504F">
              <w:t>0</w:t>
            </w:r>
            <w:r>
              <w:t xml:space="preserve"> </w:t>
            </w:r>
            <w:r w:rsidRPr="00D70567">
              <w:t>Assess whether crevice traps are useful and whether baiting or other treatments can be used to break diapause</w:t>
            </w:r>
          </w:p>
        </w:tc>
        <w:tc>
          <w:tcPr>
            <w:tcW w:w="911" w:type="pct"/>
            <w:shd w:val="clear" w:color="auto" w:fill="C6D9F1" w:themeFill="text2" w:themeFillTint="33"/>
            <w:tcMar>
              <w:left w:w="108" w:type="dxa"/>
              <w:bottom w:w="28" w:type="dxa"/>
              <w:right w:w="108" w:type="dxa"/>
            </w:tcMar>
          </w:tcPr>
          <w:p w14:paraId="49396A13" w14:textId="10DA53AE" w:rsidR="003D2553" w:rsidRPr="00BC13C5" w:rsidRDefault="003D2553"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3AA7314C" w14:textId="187A2298"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3B1AF4A5" w14:textId="4B6EE720"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14283516" w14:textId="78A58D8A" w:rsidR="003D2553" w:rsidRPr="00E765F1" w:rsidRDefault="003D2553" w:rsidP="0084064B">
            <w:pPr>
              <w:pStyle w:val="TableText"/>
            </w:pPr>
            <w:r>
              <w:t>Relates to action 2.1</w:t>
            </w:r>
          </w:p>
        </w:tc>
      </w:tr>
      <w:tr w:rsidR="003D2553" w:rsidRPr="00013AE2" w14:paraId="3F29F2E3" w14:textId="77777777" w:rsidTr="00787004">
        <w:tc>
          <w:tcPr>
            <w:tcW w:w="962" w:type="pct"/>
            <w:vMerge/>
            <w:tcMar>
              <w:bottom w:w="28" w:type="dxa"/>
            </w:tcMar>
          </w:tcPr>
          <w:p w14:paraId="3379FD29" w14:textId="77777777" w:rsidR="003D2553" w:rsidRPr="007B0473" w:rsidRDefault="003D2553" w:rsidP="00DF1D73">
            <w:pPr>
              <w:pStyle w:val="TableText"/>
              <w:rPr>
                <w:rStyle w:val="Strong"/>
              </w:rPr>
            </w:pPr>
          </w:p>
        </w:tc>
        <w:tc>
          <w:tcPr>
            <w:tcW w:w="1063" w:type="pct"/>
            <w:tcMar>
              <w:left w:w="108" w:type="dxa"/>
              <w:bottom w:w="28" w:type="dxa"/>
              <w:right w:w="108" w:type="dxa"/>
            </w:tcMar>
          </w:tcPr>
          <w:p w14:paraId="69F1EC14" w14:textId="53AF469E" w:rsidR="003D2553" w:rsidRDefault="003D2553" w:rsidP="00E65DE3">
            <w:pPr>
              <w:pStyle w:val="TableText"/>
            </w:pPr>
            <w:r>
              <w:t>2.2.1</w:t>
            </w:r>
            <w:r w:rsidR="00D4504F">
              <w:t>1</w:t>
            </w:r>
            <w:r>
              <w:t xml:space="preserve"> </w:t>
            </w:r>
            <w:r w:rsidRPr="00D70567">
              <w:t xml:space="preserve">Review the placement of traps by Commonwealth officers in the event that </w:t>
            </w:r>
            <w:r w:rsidR="00020290">
              <w:t>Khapra</w:t>
            </w:r>
            <w:r w:rsidRPr="00D70567">
              <w:t xml:space="preserve"> beetle is detected</w:t>
            </w:r>
          </w:p>
        </w:tc>
        <w:tc>
          <w:tcPr>
            <w:tcW w:w="911" w:type="pct"/>
            <w:shd w:val="clear" w:color="auto" w:fill="C6D9F1" w:themeFill="text2" w:themeFillTint="33"/>
            <w:tcMar>
              <w:left w:w="108" w:type="dxa"/>
              <w:bottom w:w="28" w:type="dxa"/>
              <w:right w:w="108" w:type="dxa"/>
            </w:tcMar>
          </w:tcPr>
          <w:p w14:paraId="2F48487C" w14:textId="77777777" w:rsidR="00A93D0D" w:rsidRDefault="003D2553" w:rsidP="00A93D0D">
            <w:pPr>
              <w:pStyle w:val="TableText"/>
            </w:pPr>
            <w:r w:rsidRPr="00705113">
              <w:t>Ongoing – business as usual</w:t>
            </w:r>
          </w:p>
          <w:p w14:paraId="00FAA179" w14:textId="3CAC0BAA" w:rsidR="003D2553" w:rsidRPr="00BC13C5" w:rsidRDefault="003E0EDC" w:rsidP="00A93D0D">
            <w:pPr>
              <w:pStyle w:val="TableText"/>
              <w:rPr>
                <w:shd w:val="clear" w:color="auto" w:fill="EEECE1" w:themeFill="background2"/>
              </w:rPr>
            </w:pPr>
            <w:r w:rsidRPr="00D70567">
              <w:t>The placement of traps upon initial detection and/or treatment (whether within an Approved Arrangement or at-border) creates a very high potential cost efficiency and time efficiency.</w:t>
            </w:r>
          </w:p>
        </w:tc>
        <w:tc>
          <w:tcPr>
            <w:tcW w:w="506" w:type="pct"/>
            <w:shd w:val="clear" w:color="auto" w:fill="auto"/>
            <w:tcMar>
              <w:left w:w="108" w:type="dxa"/>
              <w:bottom w:w="28" w:type="dxa"/>
              <w:right w:w="108" w:type="dxa"/>
            </w:tcMar>
          </w:tcPr>
          <w:p w14:paraId="2A114925" w14:textId="228E9F14" w:rsidR="003D2553" w:rsidRPr="00BC13C5" w:rsidRDefault="003D2553" w:rsidP="00DF1D73">
            <w:pPr>
              <w:pStyle w:val="TableText"/>
              <w:rPr>
                <w:shd w:val="clear" w:color="auto" w:fill="EEECE1" w:themeFill="background2"/>
              </w:rPr>
            </w:pPr>
            <w:r w:rsidRPr="00705113">
              <w:t>Commonwealth (BPSSD, BOD, CED)</w:t>
            </w:r>
          </w:p>
        </w:tc>
        <w:tc>
          <w:tcPr>
            <w:tcW w:w="760" w:type="pct"/>
            <w:tcMar>
              <w:left w:w="108" w:type="dxa"/>
              <w:bottom w:w="28" w:type="dxa"/>
              <w:right w:w="108" w:type="dxa"/>
            </w:tcMar>
          </w:tcPr>
          <w:p w14:paraId="742FCE08" w14:textId="0BC6AE53" w:rsidR="003D2553" w:rsidRPr="00BC13C5" w:rsidRDefault="003D2553"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68FFFA15" w14:textId="601A61A5" w:rsidR="003D2553" w:rsidRPr="00E765F1" w:rsidRDefault="003D2553" w:rsidP="0084064B">
            <w:pPr>
              <w:pStyle w:val="TableText"/>
            </w:pPr>
            <w:r>
              <w:t>Relates to action 2.1</w:t>
            </w:r>
          </w:p>
        </w:tc>
      </w:tr>
      <w:tr w:rsidR="00B9354D" w:rsidRPr="00013AE2" w14:paraId="2BC5A848" w14:textId="77777777" w:rsidTr="002027E3">
        <w:tc>
          <w:tcPr>
            <w:tcW w:w="962" w:type="pct"/>
            <w:vMerge w:val="restart"/>
            <w:tcMar>
              <w:bottom w:w="28" w:type="dxa"/>
            </w:tcMar>
          </w:tcPr>
          <w:p w14:paraId="71E24FCD" w14:textId="50FC9B59" w:rsidR="00B9354D" w:rsidRPr="00307043" w:rsidRDefault="00B9354D" w:rsidP="00DF1D73">
            <w:pPr>
              <w:pStyle w:val="TableText"/>
              <w:rPr>
                <w:rStyle w:val="Strong"/>
                <w:rFonts w:cstheme="minorHAnsi"/>
                <w:bCs w:val="0"/>
                <w:szCs w:val="18"/>
              </w:rPr>
            </w:pPr>
            <w:r w:rsidRPr="00AF3D1F">
              <w:rPr>
                <w:rStyle w:val="Strong"/>
              </w:rPr>
              <w:t xml:space="preserve">Action </w:t>
            </w:r>
            <w:r>
              <w:rPr>
                <w:rStyle w:val="Strong"/>
              </w:rPr>
              <w:t xml:space="preserve">2.3: </w:t>
            </w:r>
            <w:r w:rsidRPr="00307043">
              <w:rPr>
                <w:rFonts w:cstheme="minorHAnsi"/>
                <w:bCs/>
                <w:szCs w:val="18"/>
                <w:lang w:val="en-GB"/>
              </w:rPr>
              <w:t>Develop and implement national surveillance using best practice tools and methods</w:t>
            </w:r>
          </w:p>
          <w:p w14:paraId="121C5161" w14:textId="4A16FDDA" w:rsidR="00B9354D" w:rsidRDefault="00B9354D" w:rsidP="00DF1D73">
            <w:pPr>
              <w:pStyle w:val="TableText"/>
            </w:pPr>
            <w:r w:rsidRPr="009D6998">
              <w:rPr>
                <w:rStyle w:val="Strong"/>
              </w:rPr>
              <w:t>Expected benefit and outcome</w:t>
            </w:r>
            <w:r>
              <w:rPr>
                <w:rStyle w:val="Strong"/>
              </w:rPr>
              <w:t>:</w:t>
            </w:r>
            <w:r>
              <w:t xml:space="preserve"> </w:t>
            </w:r>
            <w:r w:rsidRPr="00307043">
              <w:rPr>
                <w:rFonts w:cstheme="minorHAnsi"/>
                <w:bCs/>
                <w:szCs w:val="18"/>
                <w:lang w:eastAsia="ja-JP"/>
              </w:rPr>
              <w:t xml:space="preserve">To improve detection capability in relation to </w:t>
            </w:r>
            <w:r w:rsidR="00020290">
              <w:rPr>
                <w:rFonts w:cstheme="minorHAnsi"/>
                <w:bCs/>
                <w:szCs w:val="18"/>
              </w:rPr>
              <w:t>Khapra</w:t>
            </w:r>
            <w:r w:rsidRPr="00307043">
              <w:rPr>
                <w:rFonts w:cstheme="minorHAnsi"/>
                <w:bCs/>
                <w:szCs w:val="18"/>
              </w:rPr>
              <w:t xml:space="preserve"> beetle</w:t>
            </w:r>
            <w:r w:rsidRPr="00307043">
              <w:rPr>
                <w:rFonts w:cstheme="minorHAnsi"/>
                <w:bCs/>
                <w:szCs w:val="18"/>
                <w:lang w:eastAsia="ja-JP"/>
              </w:rPr>
              <w:t xml:space="preserve"> through cost-effective field-based </w:t>
            </w:r>
            <w:r w:rsidRPr="00307043">
              <w:rPr>
                <w:rFonts w:cstheme="minorHAnsi"/>
                <w:bCs/>
                <w:szCs w:val="18"/>
                <w:lang w:eastAsia="ja-JP"/>
              </w:rPr>
              <w:lastRenderedPageBreak/>
              <w:t>diagnostic tools and procedures as part of surveillance activities.</w:t>
            </w:r>
          </w:p>
          <w:p w14:paraId="636AAAE9" w14:textId="6084D5D4" w:rsidR="00B9354D" w:rsidRPr="00AA2A13" w:rsidRDefault="00B9354D" w:rsidP="00DF1D73">
            <w:pPr>
              <w:pStyle w:val="TableText"/>
            </w:pPr>
            <w:r w:rsidRPr="009D6998">
              <w:rPr>
                <w:rStyle w:val="Strong"/>
              </w:rPr>
              <w:t>Priority</w:t>
            </w:r>
            <w:r>
              <w:rPr>
                <w:rStyle w:val="Strong"/>
              </w:rPr>
              <w:t xml:space="preserve">: </w:t>
            </w:r>
            <w:r w:rsidRPr="00307043">
              <w:rPr>
                <w:rStyle w:val="Strong"/>
                <w:b w:val="0"/>
                <w:bCs w:val="0"/>
              </w:rPr>
              <w:t>medium</w:t>
            </w:r>
          </w:p>
          <w:p w14:paraId="02042CFD" w14:textId="6F155FDF" w:rsidR="00B9354D" w:rsidRPr="007B0473" w:rsidRDefault="00B9354D" w:rsidP="00DF1D73">
            <w:pPr>
              <w:pStyle w:val="TableText"/>
              <w:rPr>
                <w:rStyle w:val="Strong"/>
              </w:rPr>
            </w:pPr>
            <w:r w:rsidRPr="009D6998">
              <w:rPr>
                <w:rStyle w:val="Strong"/>
              </w:rPr>
              <w:t>Time frame</w:t>
            </w:r>
            <w:r>
              <w:rPr>
                <w:rStyle w:val="Strong"/>
              </w:rPr>
              <w:t xml:space="preserve">: </w:t>
            </w:r>
            <w:r w:rsidRPr="00AF7C14">
              <w:rPr>
                <w:rStyle w:val="Strong"/>
                <w:b w:val="0"/>
                <w:bCs w:val="0"/>
              </w:rPr>
              <w:t>short</w:t>
            </w:r>
            <w:r>
              <w:rPr>
                <w:rStyle w:val="Strong"/>
              </w:rPr>
              <w:t xml:space="preserve"> </w:t>
            </w:r>
            <w:r w:rsidRPr="00AA2A13">
              <w:t>term</w:t>
            </w:r>
          </w:p>
        </w:tc>
        <w:tc>
          <w:tcPr>
            <w:tcW w:w="1063" w:type="pct"/>
            <w:tcMar>
              <w:left w:w="108" w:type="dxa"/>
              <w:bottom w:w="28" w:type="dxa"/>
              <w:right w:w="108" w:type="dxa"/>
            </w:tcMar>
          </w:tcPr>
          <w:p w14:paraId="753E8693" w14:textId="0634F6BD" w:rsidR="00B9354D" w:rsidRPr="00705113" w:rsidRDefault="00B9354D" w:rsidP="00DF1D73">
            <w:pPr>
              <w:pStyle w:val="TableText"/>
            </w:pPr>
            <w:r w:rsidRPr="00705113">
              <w:lastRenderedPageBreak/>
              <w:t>2.3.1 The Subcommittee on National Plant Health Surveillance to guide the development, endorsement and implementation of any national surveillance protocols, as well as guide the development of surveillance design processes to provide nationally agreed benefits</w:t>
            </w:r>
          </w:p>
        </w:tc>
        <w:tc>
          <w:tcPr>
            <w:tcW w:w="911" w:type="pct"/>
            <w:shd w:val="clear" w:color="auto" w:fill="DEF0C2"/>
            <w:tcMar>
              <w:left w:w="108" w:type="dxa"/>
              <w:bottom w:w="28" w:type="dxa"/>
              <w:right w:w="108" w:type="dxa"/>
            </w:tcMar>
          </w:tcPr>
          <w:p w14:paraId="78FB737B" w14:textId="42FA0125" w:rsidR="00B9354D" w:rsidRPr="00705113" w:rsidRDefault="00B9354D" w:rsidP="00DF1D73">
            <w:pPr>
              <w:pStyle w:val="TableText"/>
            </w:pPr>
            <w:r w:rsidRPr="00705113">
              <w:t>Completed – project finished</w:t>
            </w:r>
          </w:p>
          <w:p w14:paraId="7ABDBD19" w14:textId="01CC7F1A" w:rsidR="00B9354D" w:rsidRPr="00705113" w:rsidRDefault="00B9354D" w:rsidP="00DF1D73">
            <w:pPr>
              <w:pStyle w:val="TableText"/>
            </w:pPr>
            <w:r w:rsidRPr="00705113">
              <w:t xml:space="preserve">Developed communication materials to raise </w:t>
            </w:r>
            <w:r w:rsidR="00020290">
              <w:t>Khapra</w:t>
            </w:r>
            <w:r w:rsidRPr="00705113">
              <w:t xml:space="preserve"> beetle awareness and promote reporting</w:t>
            </w:r>
          </w:p>
        </w:tc>
        <w:tc>
          <w:tcPr>
            <w:tcW w:w="506" w:type="pct"/>
            <w:shd w:val="clear" w:color="auto" w:fill="auto"/>
            <w:tcMar>
              <w:left w:w="108" w:type="dxa"/>
              <w:bottom w:w="28" w:type="dxa"/>
              <w:right w:w="108" w:type="dxa"/>
            </w:tcMar>
          </w:tcPr>
          <w:p w14:paraId="5C0C570D" w14:textId="5E86BEF6" w:rsidR="00B9354D" w:rsidRPr="00DE7573" w:rsidRDefault="00B9354D" w:rsidP="00DF1D73">
            <w:pPr>
              <w:pStyle w:val="TableText"/>
            </w:pPr>
            <w:r>
              <w:t>SNPHS</w:t>
            </w:r>
          </w:p>
        </w:tc>
        <w:tc>
          <w:tcPr>
            <w:tcW w:w="760" w:type="pct"/>
            <w:tcMar>
              <w:left w:w="108" w:type="dxa"/>
              <w:bottom w:w="28" w:type="dxa"/>
              <w:right w:w="108" w:type="dxa"/>
            </w:tcMar>
          </w:tcPr>
          <w:p w14:paraId="60746802" w14:textId="5B955E53" w:rsidR="00B9354D" w:rsidRPr="00DF1D73" w:rsidRDefault="00B9354D" w:rsidP="00DF1D73">
            <w:pPr>
              <w:pStyle w:val="TableText"/>
            </w:pPr>
            <w:r w:rsidRPr="00DF1D73">
              <w:t xml:space="preserve">Commonwealth </w:t>
            </w:r>
          </w:p>
        </w:tc>
        <w:tc>
          <w:tcPr>
            <w:tcW w:w="798" w:type="pct"/>
            <w:tcMar>
              <w:left w:w="108" w:type="dxa"/>
              <w:bottom w:w="28" w:type="dxa"/>
              <w:right w:w="108" w:type="dxa"/>
            </w:tcMar>
          </w:tcPr>
          <w:p w14:paraId="6CC71035" w14:textId="70EE4C21" w:rsidR="00B9354D" w:rsidRPr="00E765F1" w:rsidRDefault="00B9354D" w:rsidP="00D8091A">
            <w:pPr>
              <w:pStyle w:val="TableText"/>
            </w:pPr>
            <w:r>
              <w:t>Not applicable</w:t>
            </w:r>
          </w:p>
        </w:tc>
      </w:tr>
      <w:tr w:rsidR="00B9354D" w:rsidRPr="00013AE2" w14:paraId="42A6C4D9" w14:textId="77777777" w:rsidTr="00787004">
        <w:tc>
          <w:tcPr>
            <w:tcW w:w="962" w:type="pct"/>
            <w:vMerge/>
            <w:tcMar>
              <w:bottom w:w="28" w:type="dxa"/>
            </w:tcMar>
          </w:tcPr>
          <w:p w14:paraId="3B6CEC54" w14:textId="3FBC8E35" w:rsidR="00B9354D" w:rsidRPr="00AF3D1F" w:rsidRDefault="00B9354D" w:rsidP="00DF1D73">
            <w:pPr>
              <w:pStyle w:val="TableText"/>
              <w:rPr>
                <w:rStyle w:val="Strong"/>
              </w:rPr>
            </w:pPr>
          </w:p>
        </w:tc>
        <w:tc>
          <w:tcPr>
            <w:tcW w:w="1063" w:type="pct"/>
            <w:tcMar>
              <w:left w:w="108" w:type="dxa"/>
              <w:bottom w:w="28" w:type="dxa"/>
              <w:right w:w="108" w:type="dxa"/>
            </w:tcMar>
          </w:tcPr>
          <w:p w14:paraId="5CB32D7A" w14:textId="38EA743F" w:rsidR="00B9354D" w:rsidRPr="00296E9A" w:rsidRDefault="00B9354D" w:rsidP="00DF1D73">
            <w:pPr>
              <w:pStyle w:val="TableText"/>
            </w:pPr>
            <w:r w:rsidRPr="00296E9A">
              <w:t>2.3.2 Undertake eDNA Proficiency Testing to ensure detection is reproducible across facilities</w:t>
            </w:r>
          </w:p>
        </w:tc>
        <w:tc>
          <w:tcPr>
            <w:tcW w:w="911" w:type="pct"/>
            <w:shd w:val="clear" w:color="auto" w:fill="C6D9F1" w:themeFill="text2" w:themeFillTint="33"/>
            <w:tcMar>
              <w:left w:w="108" w:type="dxa"/>
              <w:bottom w:w="28" w:type="dxa"/>
              <w:right w:w="108" w:type="dxa"/>
            </w:tcMar>
          </w:tcPr>
          <w:p w14:paraId="656540D7" w14:textId="77777777" w:rsidR="00B9354D" w:rsidRPr="00296E9A" w:rsidRDefault="00B9354D" w:rsidP="00DF1D73">
            <w:pPr>
              <w:pStyle w:val="TableText"/>
            </w:pPr>
            <w:r w:rsidRPr="00296E9A">
              <w:t>Ongoing – business as usual</w:t>
            </w:r>
          </w:p>
          <w:p w14:paraId="60E48ECA" w14:textId="3C8B3379" w:rsidR="00B9354D" w:rsidRPr="00296E9A" w:rsidRDefault="00B9354D" w:rsidP="00DF1D73">
            <w:pPr>
              <w:pStyle w:val="TableText"/>
            </w:pPr>
            <w:r w:rsidRPr="00296E9A">
              <w:t xml:space="preserve">Training modules for end-users are being developed to ensure sample collection is completed without compromising detection capability. </w:t>
            </w:r>
          </w:p>
        </w:tc>
        <w:tc>
          <w:tcPr>
            <w:tcW w:w="506" w:type="pct"/>
            <w:shd w:val="clear" w:color="auto" w:fill="auto"/>
            <w:tcMar>
              <w:left w:w="108" w:type="dxa"/>
              <w:bottom w:w="28" w:type="dxa"/>
              <w:right w:w="108" w:type="dxa"/>
            </w:tcMar>
          </w:tcPr>
          <w:p w14:paraId="2A011C92" w14:textId="434275E9" w:rsidR="00B9354D" w:rsidRPr="00296E9A" w:rsidRDefault="00B9354D" w:rsidP="00DF1D73">
            <w:pPr>
              <w:pStyle w:val="TableText"/>
            </w:pPr>
            <w:r w:rsidRPr="00296E9A">
              <w:t>University of Canberra</w:t>
            </w:r>
          </w:p>
          <w:p w14:paraId="3B46C3AF" w14:textId="3A82B5DA" w:rsidR="00B9354D" w:rsidRPr="00DE7573" w:rsidRDefault="00483FFB" w:rsidP="00DF1D73">
            <w:pPr>
              <w:pStyle w:val="TableText"/>
            </w:pPr>
            <w:hyperlink r:id="rId28" w:history="1">
              <w:r w:rsidR="00B9354D" w:rsidRPr="00296E9A">
                <w:rPr>
                  <w:rStyle w:val="Hyperlink"/>
                </w:rPr>
                <w:t xml:space="preserve">National eDNA Reference Centre (NRC) - </w:t>
              </w:r>
              <w:proofErr w:type="spellStart"/>
              <w:r w:rsidR="00B9354D" w:rsidRPr="00296E9A">
                <w:rPr>
                  <w:rStyle w:val="Hyperlink"/>
                </w:rPr>
                <w:t>EcoDNA</w:t>
              </w:r>
              <w:proofErr w:type="spellEnd"/>
            </w:hyperlink>
          </w:p>
        </w:tc>
        <w:tc>
          <w:tcPr>
            <w:tcW w:w="760" w:type="pct"/>
            <w:tcMar>
              <w:left w:w="108" w:type="dxa"/>
              <w:bottom w:w="28" w:type="dxa"/>
              <w:right w:w="108" w:type="dxa"/>
            </w:tcMar>
          </w:tcPr>
          <w:p w14:paraId="24CDE46C" w14:textId="0754F8E3"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09C0C088" w14:textId="4F66C1EB" w:rsidR="00B9354D" w:rsidRPr="00E765F1" w:rsidRDefault="00B9354D" w:rsidP="005B7DB3">
            <w:pPr>
              <w:pStyle w:val="TableBullet1"/>
              <w:numPr>
                <w:ilvl w:val="0"/>
                <w:numId w:val="0"/>
              </w:numPr>
              <w:ind w:left="284" w:hanging="284"/>
            </w:pPr>
            <w:r>
              <w:t xml:space="preserve">Not applicable </w:t>
            </w:r>
          </w:p>
        </w:tc>
      </w:tr>
      <w:tr w:rsidR="00B9354D" w:rsidRPr="00013AE2" w14:paraId="73CB8644" w14:textId="77777777" w:rsidTr="00787004">
        <w:tc>
          <w:tcPr>
            <w:tcW w:w="962" w:type="pct"/>
            <w:vMerge/>
            <w:tcMar>
              <w:bottom w:w="28" w:type="dxa"/>
            </w:tcMar>
          </w:tcPr>
          <w:p w14:paraId="3136D467" w14:textId="7BADED93" w:rsidR="00B9354D" w:rsidRPr="00AF3D1F" w:rsidRDefault="00B9354D" w:rsidP="00DF1D73">
            <w:pPr>
              <w:pStyle w:val="TableText"/>
              <w:rPr>
                <w:rStyle w:val="Strong"/>
              </w:rPr>
            </w:pPr>
          </w:p>
        </w:tc>
        <w:tc>
          <w:tcPr>
            <w:tcW w:w="1063" w:type="pct"/>
            <w:tcMar>
              <w:left w:w="108" w:type="dxa"/>
              <w:bottom w:w="28" w:type="dxa"/>
              <w:right w:w="108" w:type="dxa"/>
            </w:tcMar>
          </w:tcPr>
          <w:p w14:paraId="1F7F3DD3" w14:textId="157A6896" w:rsidR="00B9354D" w:rsidRPr="00296E9A" w:rsidRDefault="00B9354D" w:rsidP="00DF1D73">
            <w:pPr>
              <w:pStyle w:val="TableText"/>
            </w:pPr>
            <w:r w:rsidRPr="00296E9A">
              <w:t xml:space="preserve">2.3.3 Develop/enhance on-wharf detector dog surveillance of cars, machinery and </w:t>
            </w:r>
            <w:proofErr w:type="gramStart"/>
            <w:r w:rsidRPr="00296E9A">
              <w:t>break bulk</w:t>
            </w:r>
            <w:proofErr w:type="gramEnd"/>
            <w:r w:rsidRPr="00296E9A">
              <w:t xml:space="preserve"> cargo discharged from roll on roll off vessels at Brisbane</w:t>
            </w:r>
          </w:p>
        </w:tc>
        <w:tc>
          <w:tcPr>
            <w:tcW w:w="911" w:type="pct"/>
            <w:shd w:val="clear" w:color="auto" w:fill="C6D9F1" w:themeFill="text2" w:themeFillTint="33"/>
            <w:tcMar>
              <w:left w:w="108" w:type="dxa"/>
              <w:bottom w:w="28" w:type="dxa"/>
              <w:right w:w="108" w:type="dxa"/>
            </w:tcMar>
          </w:tcPr>
          <w:p w14:paraId="6F738949" w14:textId="3B0FF8C7" w:rsidR="00B9354D" w:rsidRPr="00BC13C5" w:rsidRDefault="00B9354D"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595D2614" w14:textId="4AC36E33" w:rsidR="00B9354D" w:rsidRDefault="00B9354D" w:rsidP="00DF1D73">
            <w:pPr>
              <w:pStyle w:val="TableText"/>
            </w:pPr>
            <w:r>
              <w:t>Commonwealth (PPEBD)</w:t>
            </w:r>
          </w:p>
          <w:p w14:paraId="3E66BA38" w14:textId="1ECFD5FE" w:rsidR="00B9354D" w:rsidRPr="00DE7573" w:rsidRDefault="00B9354D" w:rsidP="00DF1D73">
            <w:pPr>
              <w:pStyle w:val="TableText"/>
            </w:pPr>
            <w:r>
              <w:t>Jurisdictions</w:t>
            </w:r>
          </w:p>
        </w:tc>
        <w:tc>
          <w:tcPr>
            <w:tcW w:w="760" w:type="pct"/>
            <w:tcMar>
              <w:left w:w="108" w:type="dxa"/>
              <w:bottom w:w="28" w:type="dxa"/>
              <w:right w:w="108" w:type="dxa"/>
            </w:tcMar>
          </w:tcPr>
          <w:p w14:paraId="0602C433" w14:textId="61DCC393"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332D8170" w14:textId="34D9F360" w:rsidR="00B9354D" w:rsidRPr="00E765F1" w:rsidRDefault="00B9354D" w:rsidP="005B7DB3">
            <w:pPr>
              <w:pStyle w:val="TableBullet1"/>
              <w:numPr>
                <w:ilvl w:val="0"/>
                <w:numId w:val="0"/>
              </w:numPr>
              <w:ind w:left="284" w:hanging="284"/>
            </w:pPr>
            <w:r>
              <w:t>Not applicable</w:t>
            </w:r>
          </w:p>
        </w:tc>
      </w:tr>
      <w:tr w:rsidR="00B9354D" w:rsidRPr="00013AE2" w14:paraId="00FA5926" w14:textId="77777777" w:rsidTr="00787004">
        <w:tc>
          <w:tcPr>
            <w:tcW w:w="962" w:type="pct"/>
            <w:vMerge/>
            <w:tcMar>
              <w:bottom w:w="28" w:type="dxa"/>
            </w:tcMar>
          </w:tcPr>
          <w:p w14:paraId="6BFF17A2" w14:textId="778C1C4A" w:rsidR="00B9354D" w:rsidRPr="00AF3D1F" w:rsidRDefault="00B9354D" w:rsidP="00DF1D73">
            <w:pPr>
              <w:pStyle w:val="TableText"/>
              <w:rPr>
                <w:rStyle w:val="Strong"/>
              </w:rPr>
            </w:pPr>
          </w:p>
        </w:tc>
        <w:tc>
          <w:tcPr>
            <w:tcW w:w="1063" w:type="pct"/>
            <w:tcMar>
              <w:left w:w="108" w:type="dxa"/>
              <w:bottom w:w="28" w:type="dxa"/>
              <w:right w:w="108" w:type="dxa"/>
            </w:tcMar>
          </w:tcPr>
          <w:p w14:paraId="343A8A14" w14:textId="140AF1DA" w:rsidR="00B9354D" w:rsidRPr="00296E9A" w:rsidRDefault="00B9354D" w:rsidP="00DF1D73">
            <w:pPr>
              <w:pStyle w:val="TableText"/>
            </w:pPr>
            <w:r w:rsidRPr="00296E9A">
              <w:t xml:space="preserve">2.3.4 Focus surveillance at high-risk sites including the border on the import supply chain, giving particular attention to environments where </w:t>
            </w:r>
            <w:r w:rsidR="00020290">
              <w:t>Khapra</w:t>
            </w:r>
            <w:r w:rsidRPr="00296E9A">
              <w:t xml:space="preserve"> beetle might survive (for example, inside heated warehouses where grain products are stored)</w:t>
            </w:r>
          </w:p>
        </w:tc>
        <w:tc>
          <w:tcPr>
            <w:tcW w:w="911" w:type="pct"/>
            <w:shd w:val="clear" w:color="auto" w:fill="C6D9F1" w:themeFill="text2" w:themeFillTint="33"/>
            <w:tcMar>
              <w:left w:w="108" w:type="dxa"/>
              <w:bottom w:w="28" w:type="dxa"/>
              <w:right w:w="108" w:type="dxa"/>
            </w:tcMar>
          </w:tcPr>
          <w:p w14:paraId="44CFEE38" w14:textId="6EC7B645" w:rsidR="00B9354D" w:rsidRPr="00BC13C5" w:rsidRDefault="00B9354D"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6D3EE354" w14:textId="77777777" w:rsidR="00B9354D" w:rsidRDefault="00B9354D" w:rsidP="00DF1D73">
            <w:pPr>
              <w:pStyle w:val="TableText"/>
            </w:pPr>
            <w:r>
              <w:t>Commonwealth (PPEBD)</w:t>
            </w:r>
          </w:p>
          <w:p w14:paraId="77F2A2B9" w14:textId="20A3F645" w:rsidR="00B9354D" w:rsidRPr="00DE7573" w:rsidRDefault="00B9354D" w:rsidP="00DF1D73">
            <w:pPr>
              <w:pStyle w:val="TableText"/>
            </w:pPr>
            <w:r>
              <w:t>Jurisdictions</w:t>
            </w:r>
          </w:p>
        </w:tc>
        <w:tc>
          <w:tcPr>
            <w:tcW w:w="760" w:type="pct"/>
            <w:tcMar>
              <w:left w:w="108" w:type="dxa"/>
              <w:bottom w:w="28" w:type="dxa"/>
              <w:right w:w="108" w:type="dxa"/>
            </w:tcMar>
          </w:tcPr>
          <w:p w14:paraId="32597EE1" w14:textId="263939A5" w:rsidR="00B9354D" w:rsidRPr="00BC13C5" w:rsidRDefault="00B9354D" w:rsidP="00DF1D73">
            <w:pPr>
              <w:pStyle w:val="TableText"/>
              <w:rPr>
                <w:shd w:val="clear" w:color="auto" w:fill="EEECE1" w:themeFill="background2"/>
              </w:rPr>
            </w:pPr>
            <w:r w:rsidRPr="00DF1D73">
              <w:t xml:space="preserve">Commonwealth </w:t>
            </w:r>
          </w:p>
        </w:tc>
        <w:tc>
          <w:tcPr>
            <w:tcW w:w="798" w:type="pct"/>
            <w:tcMar>
              <w:left w:w="108" w:type="dxa"/>
              <w:bottom w:w="28" w:type="dxa"/>
              <w:right w:w="108" w:type="dxa"/>
            </w:tcMar>
          </w:tcPr>
          <w:p w14:paraId="2E655854" w14:textId="7801E3C0" w:rsidR="00B9354D" w:rsidRPr="00E765F1" w:rsidRDefault="00B9354D" w:rsidP="005B7DB3">
            <w:pPr>
              <w:pStyle w:val="TableBullet1"/>
              <w:numPr>
                <w:ilvl w:val="0"/>
                <w:numId w:val="0"/>
              </w:numPr>
              <w:ind w:left="284" w:hanging="284"/>
            </w:pPr>
            <w:r>
              <w:t>Not applicable</w:t>
            </w:r>
          </w:p>
        </w:tc>
      </w:tr>
      <w:tr w:rsidR="00B9354D" w:rsidRPr="00013AE2" w14:paraId="3182BDCA" w14:textId="77777777" w:rsidTr="00787004">
        <w:tc>
          <w:tcPr>
            <w:tcW w:w="962" w:type="pct"/>
            <w:vMerge/>
            <w:tcMar>
              <w:bottom w:w="28" w:type="dxa"/>
            </w:tcMar>
          </w:tcPr>
          <w:p w14:paraId="6931D595" w14:textId="3EC7F711" w:rsidR="00B9354D" w:rsidRPr="00AF3D1F" w:rsidRDefault="00B9354D" w:rsidP="00DF1D73">
            <w:pPr>
              <w:pStyle w:val="TableText"/>
              <w:rPr>
                <w:rStyle w:val="Strong"/>
              </w:rPr>
            </w:pPr>
          </w:p>
        </w:tc>
        <w:tc>
          <w:tcPr>
            <w:tcW w:w="1063" w:type="pct"/>
            <w:tcMar>
              <w:left w:w="108" w:type="dxa"/>
              <w:bottom w:w="28" w:type="dxa"/>
              <w:right w:w="108" w:type="dxa"/>
            </w:tcMar>
          </w:tcPr>
          <w:p w14:paraId="37DBA2E6" w14:textId="54EF049B" w:rsidR="00B9354D" w:rsidRPr="00296E9A" w:rsidRDefault="00B9354D" w:rsidP="00DF1D73">
            <w:pPr>
              <w:pStyle w:val="TableText"/>
            </w:pPr>
            <w:r w:rsidRPr="00296E9A">
              <w:t>2.3.5 Consider a Pantry Blitz similar to that undertaken by the Western Australian Department of Primary Industries and Regional Development in 2016 and 2017</w:t>
            </w:r>
          </w:p>
        </w:tc>
        <w:tc>
          <w:tcPr>
            <w:tcW w:w="911" w:type="pct"/>
            <w:shd w:val="clear" w:color="auto" w:fill="C6D9F1" w:themeFill="text2" w:themeFillTint="33"/>
            <w:tcMar>
              <w:left w:w="108" w:type="dxa"/>
              <w:bottom w:w="28" w:type="dxa"/>
              <w:right w:w="108" w:type="dxa"/>
            </w:tcMar>
          </w:tcPr>
          <w:p w14:paraId="41FC0266" w14:textId="77777777" w:rsidR="00B9354D" w:rsidRDefault="00B9354D" w:rsidP="00DF1D73">
            <w:pPr>
              <w:pStyle w:val="TableText"/>
            </w:pPr>
            <w:r w:rsidRPr="00705113">
              <w:t>Ongoing – business as usual</w:t>
            </w:r>
          </w:p>
          <w:p w14:paraId="00052F5E" w14:textId="6DA61352" w:rsidR="00B9354D" w:rsidRPr="00BC13C5" w:rsidRDefault="00B9354D" w:rsidP="00DF1D73">
            <w:pPr>
              <w:pStyle w:val="TableText"/>
              <w:rPr>
                <w:shd w:val="clear" w:color="auto" w:fill="EEECE1" w:themeFill="background2"/>
              </w:rPr>
            </w:pPr>
            <w:r w:rsidRPr="00296E9A">
              <w:t xml:space="preserve">This survey engaged households in Perth, and utilised sticky traps that contained pheromones to attract pantry pests that included </w:t>
            </w:r>
            <w:r w:rsidR="00020290">
              <w:t>Khapra</w:t>
            </w:r>
            <w:r w:rsidRPr="00296E9A">
              <w:t xml:space="preserve"> beetle. Consider expanding this to include warehouses or factories and other places of that may be of concern.</w:t>
            </w:r>
          </w:p>
        </w:tc>
        <w:tc>
          <w:tcPr>
            <w:tcW w:w="506" w:type="pct"/>
            <w:shd w:val="clear" w:color="auto" w:fill="auto"/>
            <w:tcMar>
              <w:left w:w="108" w:type="dxa"/>
              <w:bottom w:w="28" w:type="dxa"/>
              <w:right w:w="108" w:type="dxa"/>
            </w:tcMar>
          </w:tcPr>
          <w:p w14:paraId="4D2B6625" w14:textId="77777777" w:rsidR="00B9354D" w:rsidRDefault="00B9354D" w:rsidP="00DF1D73">
            <w:pPr>
              <w:pStyle w:val="TableText"/>
            </w:pPr>
            <w:r>
              <w:t>Commonwealth (PPEBD)</w:t>
            </w:r>
          </w:p>
          <w:p w14:paraId="61F6EC82" w14:textId="14FA724F" w:rsidR="00B9354D" w:rsidRPr="00DE7573" w:rsidRDefault="00B9354D" w:rsidP="00DF1D73">
            <w:pPr>
              <w:pStyle w:val="TableText"/>
            </w:pPr>
            <w:r>
              <w:t>Jurisdictions</w:t>
            </w:r>
          </w:p>
        </w:tc>
        <w:tc>
          <w:tcPr>
            <w:tcW w:w="760" w:type="pct"/>
            <w:tcMar>
              <w:left w:w="108" w:type="dxa"/>
              <w:bottom w:w="28" w:type="dxa"/>
              <w:right w:w="108" w:type="dxa"/>
            </w:tcMar>
          </w:tcPr>
          <w:p w14:paraId="58DC1C61" w14:textId="7C65336C"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0F39A52F" w14:textId="2D236E5B" w:rsidR="00B9354D" w:rsidRPr="00E765F1" w:rsidRDefault="00B9354D" w:rsidP="005B7DB3">
            <w:pPr>
              <w:pStyle w:val="TableBullet1"/>
              <w:numPr>
                <w:ilvl w:val="0"/>
                <w:numId w:val="0"/>
              </w:numPr>
              <w:ind w:left="284" w:hanging="284"/>
            </w:pPr>
            <w:r>
              <w:t>Not applicable</w:t>
            </w:r>
          </w:p>
        </w:tc>
      </w:tr>
      <w:tr w:rsidR="00B9354D" w:rsidRPr="00013AE2" w14:paraId="048F059F" w14:textId="77777777" w:rsidTr="00787004">
        <w:tc>
          <w:tcPr>
            <w:tcW w:w="962" w:type="pct"/>
            <w:vMerge/>
            <w:tcMar>
              <w:bottom w:w="28" w:type="dxa"/>
            </w:tcMar>
          </w:tcPr>
          <w:p w14:paraId="559B25AD" w14:textId="54C416D6" w:rsidR="00B9354D" w:rsidRPr="00AF3D1F" w:rsidRDefault="00B9354D" w:rsidP="00DF1D73">
            <w:pPr>
              <w:pStyle w:val="TableText"/>
              <w:rPr>
                <w:rStyle w:val="Strong"/>
              </w:rPr>
            </w:pPr>
          </w:p>
        </w:tc>
        <w:tc>
          <w:tcPr>
            <w:tcW w:w="1063" w:type="pct"/>
            <w:tcMar>
              <w:left w:w="108" w:type="dxa"/>
              <w:bottom w:w="28" w:type="dxa"/>
              <w:right w:w="108" w:type="dxa"/>
            </w:tcMar>
          </w:tcPr>
          <w:p w14:paraId="3C013E5B" w14:textId="70908E4B" w:rsidR="00B9354D" w:rsidRPr="00296E9A" w:rsidRDefault="00B9354D" w:rsidP="00DF1D73">
            <w:pPr>
              <w:pStyle w:val="TableText"/>
            </w:pPr>
            <w:r w:rsidRPr="00296E9A">
              <w:t>2.3.6 Engage with industry about surveillance, and data storage from lower risk sites is needed for where industry could be conducting its own surveillance</w:t>
            </w:r>
          </w:p>
        </w:tc>
        <w:tc>
          <w:tcPr>
            <w:tcW w:w="911" w:type="pct"/>
            <w:shd w:val="clear" w:color="auto" w:fill="C6D9F1" w:themeFill="text2" w:themeFillTint="33"/>
            <w:tcMar>
              <w:left w:w="108" w:type="dxa"/>
              <w:bottom w:w="28" w:type="dxa"/>
              <w:right w:w="108" w:type="dxa"/>
            </w:tcMar>
          </w:tcPr>
          <w:p w14:paraId="16C2011A" w14:textId="1AF61FE0" w:rsidR="00B9354D" w:rsidRPr="00BC13C5" w:rsidRDefault="00B9354D"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67000482" w14:textId="77777777" w:rsidR="00B9354D" w:rsidRDefault="00B9354D" w:rsidP="00DF1D73">
            <w:pPr>
              <w:pStyle w:val="TableText"/>
            </w:pPr>
            <w:r>
              <w:t>Commonwealth (PPEBD)</w:t>
            </w:r>
          </w:p>
          <w:p w14:paraId="2BB10655" w14:textId="06B9D7D5" w:rsidR="00B9354D" w:rsidRPr="00DE7573" w:rsidRDefault="00B9354D" w:rsidP="00DF1D73">
            <w:pPr>
              <w:pStyle w:val="TableText"/>
            </w:pPr>
            <w:r>
              <w:t>Jurisdictions</w:t>
            </w:r>
          </w:p>
        </w:tc>
        <w:tc>
          <w:tcPr>
            <w:tcW w:w="760" w:type="pct"/>
            <w:tcMar>
              <w:left w:w="108" w:type="dxa"/>
              <w:bottom w:w="28" w:type="dxa"/>
              <w:right w:w="108" w:type="dxa"/>
            </w:tcMar>
          </w:tcPr>
          <w:p w14:paraId="414CB416" w14:textId="5172B72F"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36A5753A" w14:textId="4918D394" w:rsidR="00B9354D" w:rsidRPr="00E765F1" w:rsidRDefault="00B9354D" w:rsidP="005B7DB3">
            <w:pPr>
              <w:pStyle w:val="TableBullet1"/>
              <w:numPr>
                <w:ilvl w:val="0"/>
                <w:numId w:val="0"/>
              </w:numPr>
              <w:ind w:left="284" w:hanging="284"/>
            </w:pPr>
            <w:r>
              <w:t xml:space="preserve">Not applicable </w:t>
            </w:r>
          </w:p>
        </w:tc>
      </w:tr>
      <w:tr w:rsidR="00B9354D" w:rsidRPr="00013AE2" w14:paraId="3751ABA4" w14:textId="77777777" w:rsidTr="00787004">
        <w:tc>
          <w:tcPr>
            <w:tcW w:w="962" w:type="pct"/>
            <w:vMerge/>
            <w:tcMar>
              <w:bottom w:w="28" w:type="dxa"/>
            </w:tcMar>
          </w:tcPr>
          <w:p w14:paraId="0955285A" w14:textId="787045A2" w:rsidR="00B9354D" w:rsidRPr="00AF3D1F" w:rsidRDefault="00B9354D" w:rsidP="00DF1D73">
            <w:pPr>
              <w:pStyle w:val="TableText"/>
              <w:rPr>
                <w:rStyle w:val="Strong"/>
              </w:rPr>
            </w:pPr>
          </w:p>
        </w:tc>
        <w:tc>
          <w:tcPr>
            <w:tcW w:w="1063" w:type="pct"/>
            <w:tcMar>
              <w:left w:w="108" w:type="dxa"/>
              <w:bottom w:w="28" w:type="dxa"/>
              <w:right w:w="108" w:type="dxa"/>
            </w:tcMar>
          </w:tcPr>
          <w:p w14:paraId="22F9B5DA" w14:textId="74AFB7DF" w:rsidR="00B9354D" w:rsidRPr="00296E9A" w:rsidRDefault="00B9354D" w:rsidP="00DF1D73">
            <w:pPr>
              <w:pStyle w:val="TableText"/>
            </w:pPr>
            <w:r w:rsidRPr="00296E9A">
              <w:t>2.3.7 BRII Container Challenge. Work with small to medium businesses to explore the use of sensing/imaging technology and deep learning architecture to scan containers in large numbers at the wharf and for this information to be sent to the department for remote triaging and decisions on further intervention</w:t>
            </w:r>
          </w:p>
        </w:tc>
        <w:tc>
          <w:tcPr>
            <w:tcW w:w="911" w:type="pct"/>
            <w:shd w:val="clear" w:color="auto" w:fill="C6D9F1" w:themeFill="text2" w:themeFillTint="33"/>
            <w:tcMar>
              <w:left w:w="108" w:type="dxa"/>
              <w:bottom w:w="28" w:type="dxa"/>
              <w:right w:w="108" w:type="dxa"/>
            </w:tcMar>
          </w:tcPr>
          <w:p w14:paraId="60C225AA" w14:textId="6F318AB2" w:rsidR="00B9354D" w:rsidRPr="00BC13C5" w:rsidRDefault="00B9354D"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2299A95F" w14:textId="77777777" w:rsidR="00B9354D" w:rsidRDefault="00B9354D" w:rsidP="00DF1D73">
            <w:pPr>
              <w:pStyle w:val="TableText"/>
            </w:pPr>
            <w:r>
              <w:t>Commonwealth (PPEBD)</w:t>
            </w:r>
          </w:p>
          <w:p w14:paraId="132BD0D0" w14:textId="7C0374AE" w:rsidR="00B9354D" w:rsidRPr="00DE7573" w:rsidRDefault="00B9354D" w:rsidP="00DF1D73">
            <w:pPr>
              <w:pStyle w:val="TableText"/>
            </w:pPr>
            <w:r>
              <w:t>Jurisdictions</w:t>
            </w:r>
          </w:p>
        </w:tc>
        <w:tc>
          <w:tcPr>
            <w:tcW w:w="760" w:type="pct"/>
            <w:tcMar>
              <w:left w:w="108" w:type="dxa"/>
              <w:bottom w:w="28" w:type="dxa"/>
              <w:right w:w="108" w:type="dxa"/>
            </w:tcMar>
          </w:tcPr>
          <w:p w14:paraId="12F67E2D" w14:textId="38EA7724"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15534A2F" w14:textId="56F8FBE1" w:rsidR="00B9354D" w:rsidRPr="00E765F1" w:rsidRDefault="00B9354D" w:rsidP="005B7DB3">
            <w:pPr>
              <w:pStyle w:val="TableBullet1"/>
              <w:numPr>
                <w:ilvl w:val="0"/>
                <w:numId w:val="0"/>
              </w:numPr>
              <w:ind w:left="284" w:hanging="284"/>
            </w:pPr>
            <w:r>
              <w:t xml:space="preserve">Not applicable </w:t>
            </w:r>
          </w:p>
        </w:tc>
      </w:tr>
      <w:tr w:rsidR="00B9354D" w:rsidRPr="00013AE2" w14:paraId="00F6774A" w14:textId="77777777" w:rsidTr="00787004">
        <w:tc>
          <w:tcPr>
            <w:tcW w:w="962" w:type="pct"/>
            <w:vMerge/>
            <w:tcMar>
              <w:bottom w:w="28" w:type="dxa"/>
            </w:tcMar>
          </w:tcPr>
          <w:p w14:paraId="54BDD497" w14:textId="74440ECF" w:rsidR="00B9354D" w:rsidRPr="00AF3D1F" w:rsidRDefault="00B9354D" w:rsidP="00DF1D73">
            <w:pPr>
              <w:pStyle w:val="TableText"/>
              <w:rPr>
                <w:rStyle w:val="Strong"/>
              </w:rPr>
            </w:pPr>
          </w:p>
        </w:tc>
        <w:tc>
          <w:tcPr>
            <w:tcW w:w="1063" w:type="pct"/>
            <w:tcMar>
              <w:left w:w="108" w:type="dxa"/>
              <w:bottom w:w="28" w:type="dxa"/>
              <w:right w:w="108" w:type="dxa"/>
            </w:tcMar>
          </w:tcPr>
          <w:p w14:paraId="11918F2F" w14:textId="65822478" w:rsidR="00B9354D" w:rsidRPr="00296E9A" w:rsidRDefault="00B9354D" w:rsidP="00DF1D73">
            <w:pPr>
              <w:pStyle w:val="TableText"/>
            </w:pPr>
            <w:r w:rsidRPr="00296E9A">
              <w:t>2.3.8 The department is undertaking business analysis to determine which system options are preferable, and what future actions may subsequently be required to implement the proposed reforms (including management of low-risk containers through industry arrangements)</w:t>
            </w:r>
          </w:p>
        </w:tc>
        <w:tc>
          <w:tcPr>
            <w:tcW w:w="911" w:type="pct"/>
            <w:shd w:val="clear" w:color="auto" w:fill="C6D9F1" w:themeFill="text2" w:themeFillTint="33"/>
            <w:tcMar>
              <w:left w:w="108" w:type="dxa"/>
              <w:bottom w:w="28" w:type="dxa"/>
              <w:right w:w="108" w:type="dxa"/>
            </w:tcMar>
          </w:tcPr>
          <w:p w14:paraId="182EA7E3" w14:textId="5AA2C2F4" w:rsidR="00B9354D" w:rsidRPr="00BC13C5" w:rsidRDefault="00B9354D"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2BA028E1" w14:textId="77777777" w:rsidR="00B9354D" w:rsidRDefault="00B9354D" w:rsidP="00DF1D73">
            <w:pPr>
              <w:pStyle w:val="TableText"/>
            </w:pPr>
            <w:r>
              <w:t>Commonwealth (PPEBD)</w:t>
            </w:r>
          </w:p>
          <w:p w14:paraId="50EB7094" w14:textId="3A4D0858" w:rsidR="00B9354D" w:rsidRPr="00DE7573" w:rsidRDefault="00B9354D" w:rsidP="00DF1D73">
            <w:pPr>
              <w:pStyle w:val="TableText"/>
            </w:pPr>
            <w:r>
              <w:t>Jurisdictions</w:t>
            </w:r>
          </w:p>
        </w:tc>
        <w:tc>
          <w:tcPr>
            <w:tcW w:w="760" w:type="pct"/>
            <w:tcMar>
              <w:left w:w="108" w:type="dxa"/>
              <w:bottom w:w="28" w:type="dxa"/>
              <w:right w:w="108" w:type="dxa"/>
            </w:tcMar>
          </w:tcPr>
          <w:p w14:paraId="734AB1AF" w14:textId="15E97D97"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138F7133" w14:textId="7D44C302" w:rsidR="00B9354D" w:rsidRPr="00E765F1" w:rsidRDefault="00B9354D" w:rsidP="005B7DB3">
            <w:pPr>
              <w:pStyle w:val="TableBullet1"/>
              <w:numPr>
                <w:ilvl w:val="0"/>
                <w:numId w:val="0"/>
              </w:numPr>
              <w:ind w:left="284" w:hanging="284"/>
            </w:pPr>
            <w:r>
              <w:t xml:space="preserve">Not applicable </w:t>
            </w:r>
          </w:p>
        </w:tc>
      </w:tr>
      <w:tr w:rsidR="00B9354D" w:rsidRPr="00013AE2" w14:paraId="4B63E83B" w14:textId="77777777" w:rsidTr="00787004">
        <w:tc>
          <w:tcPr>
            <w:tcW w:w="962" w:type="pct"/>
            <w:vMerge/>
            <w:tcMar>
              <w:bottom w:w="28" w:type="dxa"/>
            </w:tcMar>
          </w:tcPr>
          <w:p w14:paraId="66D9E1F7" w14:textId="0F7B0DFA" w:rsidR="00B9354D" w:rsidRPr="00AF3D1F" w:rsidRDefault="00B9354D" w:rsidP="00DF1D73">
            <w:pPr>
              <w:pStyle w:val="TableText"/>
              <w:rPr>
                <w:rStyle w:val="Strong"/>
              </w:rPr>
            </w:pPr>
          </w:p>
        </w:tc>
        <w:tc>
          <w:tcPr>
            <w:tcW w:w="1063" w:type="pct"/>
            <w:tcMar>
              <w:left w:w="108" w:type="dxa"/>
              <w:bottom w:w="28" w:type="dxa"/>
              <w:right w:w="108" w:type="dxa"/>
            </w:tcMar>
          </w:tcPr>
          <w:p w14:paraId="4FBEB28C" w14:textId="4CBDFFE9" w:rsidR="00B9354D" w:rsidRPr="00296E9A" w:rsidRDefault="00B9354D" w:rsidP="00DF1D73">
            <w:pPr>
              <w:pStyle w:val="TableText"/>
            </w:pPr>
            <w:r w:rsidRPr="00296E9A">
              <w:t>2.3.9 After the completion of business analysis, the department, subject to funding availability, will progress the necessary system enhancements to support the implementation of container reforms</w:t>
            </w:r>
          </w:p>
        </w:tc>
        <w:tc>
          <w:tcPr>
            <w:tcW w:w="911" w:type="pct"/>
            <w:shd w:val="clear" w:color="auto" w:fill="C6D9F1" w:themeFill="text2" w:themeFillTint="33"/>
            <w:tcMar>
              <w:left w:w="108" w:type="dxa"/>
              <w:bottom w:w="28" w:type="dxa"/>
              <w:right w:w="108" w:type="dxa"/>
            </w:tcMar>
          </w:tcPr>
          <w:p w14:paraId="61D47B53" w14:textId="311DE0E2" w:rsidR="00B9354D" w:rsidRPr="00BC13C5" w:rsidRDefault="00B9354D" w:rsidP="00DF1D73">
            <w:pPr>
              <w:pStyle w:val="TableText"/>
              <w:rPr>
                <w:shd w:val="clear" w:color="auto" w:fill="EEECE1" w:themeFill="background2"/>
              </w:rPr>
            </w:pPr>
            <w:r w:rsidRPr="00705113">
              <w:t>Ongoing – business as usual</w:t>
            </w:r>
          </w:p>
        </w:tc>
        <w:tc>
          <w:tcPr>
            <w:tcW w:w="506" w:type="pct"/>
            <w:shd w:val="clear" w:color="auto" w:fill="auto"/>
            <w:tcMar>
              <w:left w:w="108" w:type="dxa"/>
              <w:bottom w:w="28" w:type="dxa"/>
              <w:right w:w="108" w:type="dxa"/>
            </w:tcMar>
          </w:tcPr>
          <w:p w14:paraId="3845F22F" w14:textId="77777777" w:rsidR="00B9354D" w:rsidRDefault="00B9354D" w:rsidP="00DF1D73">
            <w:pPr>
              <w:pStyle w:val="TableText"/>
            </w:pPr>
            <w:r>
              <w:t>Commonwealth (PPEBD)</w:t>
            </w:r>
          </w:p>
          <w:p w14:paraId="2F8C1085" w14:textId="6E68C339" w:rsidR="00B9354D" w:rsidRPr="00DE7573" w:rsidRDefault="00B9354D" w:rsidP="00DF1D73">
            <w:pPr>
              <w:pStyle w:val="TableText"/>
            </w:pPr>
            <w:r>
              <w:t>Jurisdictions</w:t>
            </w:r>
          </w:p>
        </w:tc>
        <w:tc>
          <w:tcPr>
            <w:tcW w:w="760" w:type="pct"/>
            <w:tcMar>
              <w:left w:w="108" w:type="dxa"/>
              <w:bottom w:w="28" w:type="dxa"/>
              <w:right w:w="108" w:type="dxa"/>
            </w:tcMar>
          </w:tcPr>
          <w:p w14:paraId="2B629157" w14:textId="3983D7B5"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7F6E73F8" w14:textId="48084C6E" w:rsidR="00B9354D" w:rsidRPr="00E765F1" w:rsidRDefault="00B9354D" w:rsidP="005B7DB3">
            <w:pPr>
              <w:pStyle w:val="TableBullet1"/>
              <w:numPr>
                <w:ilvl w:val="0"/>
                <w:numId w:val="0"/>
              </w:numPr>
              <w:ind w:left="284" w:hanging="284"/>
            </w:pPr>
            <w:r>
              <w:t>Not applicable</w:t>
            </w:r>
          </w:p>
        </w:tc>
      </w:tr>
      <w:tr w:rsidR="00B9354D" w:rsidRPr="00013AE2" w14:paraId="2962016C" w14:textId="77777777" w:rsidTr="00787004">
        <w:tc>
          <w:tcPr>
            <w:tcW w:w="962" w:type="pct"/>
            <w:vMerge/>
            <w:tcMar>
              <w:bottom w:w="28" w:type="dxa"/>
            </w:tcMar>
          </w:tcPr>
          <w:p w14:paraId="2E5A3141" w14:textId="604E8F7B" w:rsidR="00B9354D" w:rsidRPr="00AF3D1F" w:rsidRDefault="00B9354D" w:rsidP="00DF1D73">
            <w:pPr>
              <w:pStyle w:val="TableText"/>
              <w:rPr>
                <w:rStyle w:val="Strong"/>
              </w:rPr>
            </w:pPr>
          </w:p>
        </w:tc>
        <w:tc>
          <w:tcPr>
            <w:tcW w:w="1063" w:type="pct"/>
            <w:tcMar>
              <w:left w:w="108" w:type="dxa"/>
              <w:bottom w:w="28" w:type="dxa"/>
              <w:right w:w="108" w:type="dxa"/>
            </w:tcMar>
          </w:tcPr>
          <w:p w14:paraId="55206187" w14:textId="5B9CDF39" w:rsidR="00B9354D" w:rsidRPr="00296E9A" w:rsidRDefault="00B9354D" w:rsidP="00DF1D73">
            <w:pPr>
              <w:pStyle w:val="TableText"/>
            </w:pPr>
            <w:r w:rsidRPr="00296E9A">
              <w:t>2.3.10 Continue supporting and improving National Border Surveillance</w:t>
            </w:r>
          </w:p>
        </w:tc>
        <w:tc>
          <w:tcPr>
            <w:tcW w:w="911" w:type="pct"/>
            <w:shd w:val="clear" w:color="auto" w:fill="C6D9F1" w:themeFill="text2" w:themeFillTint="33"/>
            <w:tcMar>
              <w:left w:w="108" w:type="dxa"/>
              <w:bottom w:w="28" w:type="dxa"/>
              <w:right w:w="108" w:type="dxa"/>
            </w:tcMar>
          </w:tcPr>
          <w:p w14:paraId="5B56EE94" w14:textId="77777777" w:rsidR="00B9354D" w:rsidRDefault="00B9354D" w:rsidP="00DF1D73">
            <w:pPr>
              <w:pStyle w:val="TableText"/>
            </w:pPr>
            <w:r w:rsidRPr="00705113">
              <w:t>Ongoing – business as usual</w:t>
            </w:r>
            <w:r w:rsidRPr="00296E9A">
              <w:t xml:space="preserve"> </w:t>
            </w:r>
          </w:p>
          <w:p w14:paraId="564A6CDB" w14:textId="510D2EE2" w:rsidR="00B9354D" w:rsidRPr="00BC13C5" w:rsidRDefault="00B9354D" w:rsidP="00DF1D73">
            <w:pPr>
              <w:pStyle w:val="TableText"/>
              <w:rPr>
                <w:shd w:val="clear" w:color="auto" w:fill="EEECE1" w:themeFill="background2"/>
              </w:rPr>
            </w:pPr>
            <w:r w:rsidRPr="00296E9A">
              <w:t>This process also entails targeted and general surveillance of First Points of Entry and Approved Arrangements as well as in the environment</w:t>
            </w:r>
          </w:p>
        </w:tc>
        <w:tc>
          <w:tcPr>
            <w:tcW w:w="506" w:type="pct"/>
            <w:shd w:val="clear" w:color="auto" w:fill="auto"/>
            <w:tcMar>
              <w:left w:w="108" w:type="dxa"/>
              <w:bottom w:w="28" w:type="dxa"/>
              <w:right w:w="108" w:type="dxa"/>
            </w:tcMar>
          </w:tcPr>
          <w:p w14:paraId="44164CDB" w14:textId="77777777" w:rsidR="00B9354D" w:rsidRDefault="00B9354D" w:rsidP="00DF1D73">
            <w:pPr>
              <w:pStyle w:val="TableText"/>
            </w:pPr>
            <w:r>
              <w:t>Commonwealth (PPEBD)</w:t>
            </w:r>
          </w:p>
          <w:p w14:paraId="003EEE38" w14:textId="268F3DCF" w:rsidR="00B9354D" w:rsidRPr="00DE7573" w:rsidRDefault="00B9354D" w:rsidP="00DF1D73">
            <w:pPr>
              <w:pStyle w:val="TableText"/>
            </w:pPr>
            <w:r>
              <w:t>Jurisdictions</w:t>
            </w:r>
          </w:p>
        </w:tc>
        <w:tc>
          <w:tcPr>
            <w:tcW w:w="760" w:type="pct"/>
            <w:tcMar>
              <w:left w:w="108" w:type="dxa"/>
              <w:bottom w:w="28" w:type="dxa"/>
              <w:right w:w="108" w:type="dxa"/>
            </w:tcMar>
          </w:tcPr>
          <w:p w14:paraId="094599F6" w14:textId="11F70A08"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4E302E03" w14:textId="45997EEE" w:rsidR="00B9354D" w:rsidRPr="00E765F1" w:rsidRDefault="00B9354D" w:rsidP="005B7DB3">
            <w:pPr>
              <w:pStyle w:val="TableBullet1"/>
              <w:numPr>
                <w:ilvl w:val="0"/>
                <w:numId w:val="0"/>
              </w:numPr>
              <w:ind w:left="284" w:hanging="284"/>
            </w:pPr>
            <w:r>
              <w:t>Not applicable</w:t>
            </w:r>
          </w:p>
        </w:tc>
      </w:tr>
      <w:tr w:rsidR="00B9354D" w:rsidRPr="00013AE2" w14:paraId="0B5CC2DA" w14:textId="77777777" w:rsidTr="00787004">
        <w:tc>
          <w:tcPr>
            <w:tcW w:w="962" w:type="pct"/>
            <w:vMerge/>
            <w:tcMar>
              <w:bottom w:w="28" w:type="dxa"/>
            </w:tcMar>
          </w:tcPr>
          <w:p w14:paraId="5EE95D17" w14:textId="11812E7F" w:rsidR="00B9354D" w:rsidRPr="00AF3D1F" w:rsidRDefault="00B9354D" w:rsidP="00DF1D73">
            <w:pPr>
              <w:pStyle w:val="TableText"/>
              <w:rPr>
                <w:rStyle w:val="Strong"/>
              </w:rPr>
            </w:pPr>
          </w:p>
        </w:tc>
        <w:tc>
          <w:tcPr>
            <w:tcW w:w="1063" w:type="pct"/>
            <w:tcMar>
              <w:left w:w="108" w:type="dxa"/>
              <w:bottom w:w="28" w:type="dxa"/>
              <w:right w:w="108" w:type="dxa"/>
            </w:tcMar>
          </w:tcPr>
          <w:p w14:paraId="39A52DB2" w14:textId="4227EE05" w:rsidR="00B9354D" w:rsidRPr="00296E9A" w:rsidRDefault="00B9354D" w:rsidP="00DF1D73">
            <w:pPr>
              <w:pStyle w:val="TableText"/>
            </w:pPr>
            <w:r w:rsidRPr="00296E9A">
              <w:t xml:space="preserve">2.3.11 Continue supporting the External Territories Plant Health Surveillance program by continuing community and stakeholder engagement to ensure future </w:t>
            </w:r>
            <w:r w:rsidRPr="00296E9A">
              <w:lastRenderedPageBreak/>
              <w:t>sustainability of the external territories’ surveillance program as well as broader biosecurity management</w:t>
            </w:r>
          </w:p>
        </w:tc>
        <w:tc>
          <w:tcPr>
            <w:tcW w:w="911" w:type="pct"/>
            <w:shd w:val="clear" w:color="auto" w:fill="C6D9F1" w:themeFill="text2" w:themeFillTint="33"/>
            <w:tcMar>
              <w:left w:w="108" w:type="dxa"/>
              <w:bottom w:w="28" w:type="dxa"/>
              <w:right w:w="108" w:type="dxa"/>
            </w:tcMar>
          </w:tcPr>
          <w:p w14:paraId="588AE66A" w14:textId="77777777" w:rsidR="00B9354D" w:rsidRDefault="00B9354D" w:rsidP="00DF1D73">
            <w:pPr>
              <w:pStyle w:val="TableText"/>
            </w:pPr>
            <w:r w:rsidRPr="00705113">
              <w:lastRenderedPageBreak/>
              <w:t>Ongoing – business as usual</w:t>
            </w:r>
            <w:r w:rsidRPr="00296E9A">
              <w:t xml:space="preserve"> </w:t>
            </w:r>
          </w:p>
          <w:p w14:paraId="10D6E68D" w14:textId="2ACEBF3A" w:rsidR="00B9354D" w:rsidRPr="00BC13C5" w:rsidRDefault="00B9354D" w:rsidP="00DF1D73">
            <w:pPr>
              <w:pStyle w:val="TableText"/>
              <w:rPr>
                <w:shd w:val="clear" w:color="auto" w:fill="EEECE1" w:themeFill="background2"/>
              </w:rPr>
            </w:pPr>
            <w:r w:rsidRPr="00296E9A">
              <w:t xml:space="preserve">This program provides early warning of pests entering our near neighbour countries </w:t>
            </w:r>
            <w:r w:rsidRPr="00296E9A">
              <w:lastRenderedPageBreak/>
              <w:t>(Papua New Guinea and Timor-Leste).</w:t>
            </w:r>
          </w:p>
        </w:tc>
        <w:tc>
          <w:tcPr>
            <w:tcW w:w="506" w:type="pct"/>
            <w:shd w:val="clear" w:color="auto" w:fill="auto"/>
            <w:tcMar>
              <w:left w:w="108" w:type="dxa"/>
              <w:bottom w:w="28" w:type="dxa"/>
              <w:right w:w="108" w:type="dxa"/>
            </w:tcMar>
          </w:tcPr>
          <w:p w14:paraId="6042F647" w14:textId="77777777" w:rsidR="00B9354D" w:rsidRDefault="00B9354D" w:rsidP="00DF1D73">
            <w:pPr>
              <w:pStyle w:val="TableText"/>
            </w:pPr>
            <w:r>
              <w:lastRenderedPageBreak/>
              <w:t>Commonwealth (PPEBD)</w:t>
            </w:r>
          </w:p>
          <w:p w14:paraId="1F575D61" w14:textId="03EEF7F5" w:rsidR="00B9354D" w:rsidRPr="00DE7573" w:rsidRDefault="00B9354D" w:rsidP="00DF1D73">
            <w:pPr>
              <w:pStyle w:val="TableText"/>
            </w:pPr>
            <w:r>
              <w:t>Jurisdictions</w:t>
            </w:r>
          </w:p>
        </w:tc>
        <w:tc>
          <w:tcPr>
            <w:tcW w:w="760" w:type="pct"/>
            <w:tcMar>
              <w:left w:w="108" w:type="dxa"/>
              <w:bottom w:w="28" w:type="dxa"/>
              <w:right w:w="108" w:type="dxa"/>
            </w:tcMar>
          </w:tcPr>
          <w:p w14:paraId="75A627E1" w14:textId="4D488F20" w:rsidR="00B9354D" w:rsidRPr="00BC13C5" w:rsidRDefault="00B9354D" w:rsidP="00DF1D73">
            <w:pPr>
              <w:pStyle w:val="TableText"/>
              <w:rPr>
                <w:shd w:val="clear" w:color="auto" w:fill="EEECE1" w:themeFill="background2"/>
              </w:rPr>
            </w:pPr>
            <w:r w:rsidRPr="00DF1D73">
              <w:t>Commonwealth</w:t>
            </w:r>
          </w:p>
        </w:tc>
        <w:tc>
          <w:tcPr>
            <w:tcW w:w="798" w:type="pct"/>
            <w:tcMar>
              <w:left w:w="108" w:type="dxa"/>
              <w:bottom w:w="28" w:type="dxa"/>
              <w:right w:w="108" w:type="dxa"/>
            </w:tcMar>
          </w:tcPr>
          <w:p w14:paraId="0254D42F" w14:textId="40D15881" w:rsidR="00B9354D" w:rsidRPr="00E765F1" w:rsidRDefault="00B9354D" w:rsidP="005B7DB3">
            <w:pPr>
              <w:pStyle w:val="TableBullet1"/>
              <w:numPr>
                <w:ilvl w:val="0"/>
                <w:numId w:val="0"/>
              </w:numPr>
              <w:ind w:left="284" w:hanging="284"/>
            </w:pPr>
            <w:r>
              <w:t xml:space="preserve">Not applicable </w:t>
            </w:r>
          </w:p>
        </w:tc>
      </w:tr>
      <w:tr w:rsidR="00B9354D" w:rsidRPr="00013AE2" w14:paraId="13D1E012" w14:textId="77777777" w:rsidTr="00787004">
        <w:tc>
          <w:tcPr>
            <w:tcW w:w="962" w:type="pct"/>
            <w:vMerge/>
            <w:tcMar>
              <w:bottom w:w="28" w:type="dxa"/>
            </w:tcMar>
          </w:tcPr>
          <w:p w14:paraId="006752CA" w14:textId="47F03C44" w:rsidR="00B9354D" w:rsidRPr="00AF3D1F" w:rsidRDefault="00B9354D" w:rsidP="00DF1D73">
            <w:pPr>
              <w:pStyle w:val="TableText"/>
              <w:rPr>
                <w:rStyle w:val="Strong"/>
              </w:rPr>
            </w:pPr>
          </w:p>
        </w:tc>
        <w:tc>
          <w:tcPr>
            <w:tcW w:w="1063" w:type="pct"/>
            <w:tcMar>
              <w:left w:w="108" w:type="dxa"/>
              <w:bottom w:w="28" w:type="dxa"/>
              <w:right w:w="108" w:type="dxa"/>
            </w:tcMar>
          </w:tcPr>
          <w:p w14:paraId="16DFD2BF" w14:textId="356C3971" w:rsidR="00B9354D" w:rsidRPr="00296E9A" w:rsidRDefault="00B9354D" w:rsidP="003863EC">
            <w:pPr>
              <w:pStyle w:val="TableText"/>
            </w:pPr>
            <w:r>
              <w:t xml:space="preserve">2.3.12 Continue supporting Grains farm biosecurity program </w:t>
            </w:r>
            <w:r w:rsidRPr="003863EC">
              <w:t>for</w:t>
            </w:r>
            <w:r>
              <w:t xml:space="preserve"> exotic Khapra </w:t>
            </w:r>
            <w:r w:rsidR="009953A3">
              <w:t>b</w:t>
            </w:r>
            <w:r>
              <w:t>eetle surveillance</w:t>
            </w:r>
          </w:p>
        </w:tc>
        <w:tc>
          <w:tcPr>
            <w:tcW w:w="911" w:type="pct"/>
            <w:shd w:val="clear" w:color="auto" w:fill="C6D9F1" w:themeFill="text2" w:themeFillTint="33"/>
            <w:tcMar>
              <w:left w:w="108" w:type="dxa"/>
              <w:bottom w:w="28" w:type="dxa"/>
              <w:right w:w="108" w:type="dxa"/>
            </w:tcMar>
          </w:tcPr>
          <w:p w14:paraId="23A4A82E" w14:textId="5A01BD28" w:rsidR="00B9354D" w:rsidRPr="00705113" w:rsidRDefault="00B9354D" w:rsidP="00DF1D73">
            <w:pPr>
              <w:pStyle w:val="TableText"/>
            </w:pPr>
            <w:r>
              <w:t xml:space="preserve">Ongoing – business as usual </w:t>
            </w:r>
          </w:p>
        </w:tc>
        <w:tc>
          <w:tcPr>
            <w:tcW w:w="506" w:type="pct"/>
            <w:shd w:val="clear" w:color="auto" w:fill="auto"/>
            <w:tcMar>
              <w:left w:w="108" w:type="dxa"/>
              <w:bottom w:w="28" w:type="dxa"/>
              <w:right w:w="108" w:type="dxa"/>
            </w:tcMar>
          </w:tcPr>
          <w:p w14:paraId="7ED4B6CB" w14:textId="5F72A902" w:rsidR="00B9354D" w:rsidRDefault="00B9354D" w:rsidP="00DF1D73">
            <w:pPr>
              <w:pStyle w:val="TableText"/>
            </w:pPr>
            <w:r>
              <w:t>PHA</w:t>
            </w:r>
          </w:p>
        </w:tc>
        <w:tc>
          <w:tcPr>
            <w:tcW w:w="760" w:type="pct"/>
            <w:tcMar>
              <w:left w:w="108" w:type="dxa"/>
              <w:bottom w:w="28" w:type="dxa"/>
              <w:right w:w="108" w:type="dxa"/>
            </w:tcMar>
          </w:tcPr>
          <w:p w14:paraId="4175841B" w14:textId="7C51AAFB" w:rsidR="00B9354D" w:rsidRPr="00DF1D73" w:rsidRDefault="00B9354D" w:rsidP="00DF1D73">
            <w:pPr>
              <w:pStyle w:val="TableText"/>
            </w:pPr>
            <w:r>
              <w:t xml:space="preserve">Grains Produce Australia, Jurisdiction </w:t>
            </w:r>
          </w:p>
        </w:tc>
        <w:tc>
          <w:tcPr>
            <w:tcW w:w="798" w:type="pct"/>
            <w:tcMar>
              <w:left w:w="108" w:type="dxa"/>
              <w:bottom w:w="28" w:type="dxa"/>
              <w:right w:w="108" w:type="dxa"/>
            </w:tcMar>
          </w:tcPr>
          <w:p w14:paraId="5459CB1C" w14:textId="078A090B" w:rsidR="00B9354D" w:rsidRDefault="00B9354D">
            <w:pPr>
              <w:pStyle w:val="TableBullet1"/>
              <w:numPr>
                <w:ilvl w:val="0"/>
                <w:numId w:val="0"/>
              </w:numPr>
              <w:ind w:left="284" w:hanging="284"/>
            </w:pPr>
            <w:r>
              <w:t xml:space="preserve">Not applicable </w:t>
            </w:r>
          </w:p>
        </w:tc>
      </w:tr>
    </w:tbl>
    <w:p w14:paraId="6B86B9BF" w14:textId="77777777" w:rsidR="00424757" w:rsidRDefault="00424757" w:rsidP="00E765F1">
      <w:pPr>
        <w:pStyle w:val="Caption"/>
        <w:spacing w:before="240"/>
        <w:sectPr w:rsidR="00424757" w:rsidSect="00180FF6">
          <w:pgSz w:w="16838" w:h="11906" w:orient="landscape"/>
          <w:pgMar w:top="1418" w:right="1418" w:bottom="851" w:left="1418" w:header="567" w:footer="283" w:gutter="0"/>
          <w:cols w:space="708"/>
          <w:docGrid w:linePitch="360"/>
        </w:sectPr>
      </w:pPr>
      <w:bookmarkStart w:id="5" w:name="_Ref132111933"/>
      <w:bookmarkStart w:id="6" w:name="Table_3_Action_area_3_Response"/>
      <w:bookmarkStart w:id="7" w:name="_Hlk131578784"/>
    </w:p>
    <w:p w14:paraId="1A3FE1AC" w14:textId="7BF63FF8" w:rsidR="00101293" w:rsidRPr="00DE7573" w:rsidRDefault="00106C85" w:rsidP="00E765F1">
      <w:pPr>
        <w:pStyle w:val="Caption"/>
        <w:spacing w:before="240"/>
      </w:pPr>
      <w:r>
        <w:lastRenderedPageBreak/>
        <w:t xml:space="preserve">Table </w:t>
      </w:r>
      <w:r w:rsidR="00C842D9">
        <w:fldChar w:fldCharType="begin"/>
      </w:r>
      <w:r w:rsidR="00C842D9">
        <w:instrText xml:space="preserve"> SEQ Table \* ARABIC </w:instrText>
      </w:r>
      <w:r w:rsidR="00C842D9">
        <w:fldChar w:fldCharType="separate"/>
      </w:r>
      <w:r w:rsidR="00CC4B1A">
        <w:rPr>
          <w:noProof/>
        </w:rPr>
        <w:t>3</w:t>
      </w:r>
      <w:r w:rsidR="00C842D9">
        <w:rPr>
          <w:noProof/>
        </w:rPr>
        <w:fldChar w:fldCharType="end"/>
      </w:r>
      <w:bookmarkEnd w:id="5"/>
      <w:r>
        <w:t xml:space="preserve"> </w:t>
      </w:r>
      <w:r w:rsidR="00101293" w:rsidRPr="00DE7573">
        <w:t xml:space="preserve">Implementation of activities for </w:t>
      </w:r>
      <w:r w:rsidR="00004733">
        <w:t>A</w:t>
      </w:r>
      <w:r w:rsidR="00101293" w:rsidRPr="00DE7573">
        <w:t>rea 3: Response</w:t>
      </w:r>
    </w:p>
    <w:tbl>
      <w:tblPr>
        <w:tblW w:w="4960" w:type="pct"/>
        <w:tblBorders>
          <w:top w:val="single" w:sz="4" w:space="0" w:color="auto"/>
          <w:bottom w:val="single" w:sz="4" w:space="0" w:color="auto"/>
          <w:insideH w:val="single" w:sz="4" w:space="0" w:color="auto"/>
        </w:tblBorders>
        <w:tblLook w:val="0000" w:firstRow="0" w:lastRow="0" w:firstColumn="0" w:lastColumn="0" w:noHBand="0" w:noVBand="0"/>
      </w:tblPr>
      <w:tblGrid>
        <w:gridCol w:w="2833"/>
        <w:gridCol w:w="2836"/>
        <w:gridCol w:w="2553"/>
        <w:gridCol w:w="1417"/>
        <w:gridCol w:w="2270"/>
        <w:gridCol w:w="1981"/>
      </w:tblGrid>
      <w:tr w:rsidR="00B31641" w:rsidRPr="00F81ECF" w14:paraId="1D372F86" w14:textId="77777777" w:rsidTr="002027E3">
        <w:trPr>
          <w:tblHeader/>
        </w:trPr>
        <w:tc>
          <w:tcPr>
            <w:tcW w:w="1020" w:type="pct"/>
            <w:tcMar>
              <w:bottom w:w="28" w:type="dxa"/>
            </w:tcMar>
          </w:tcPr>
          <w:bookmarkEnd w:id="6"/>
          <w:p w14:paraId="3BA6740D" w14:textId="77777777" w:rsidR="00101293" w:rsidRPr="00A8715D" w:rsidRDefault="00101293" w:rsidP="004D04AB">
            <w:pPr>
              <w:pStyle w:val="TableHeading"/>
            </w:pPr>
            <w:r>
              <w:t>Action</w:t>
            </w:r>
          </w:p>
        </w:tc>
        <w:tc>
          <w:tcPr>
            <w:tcW w:w="1021" w:type="pct"/>
            <w:tcMar>
              <w:left w:w="108" w:type="dxa"/>
              <w:bottom w:w="28" w:type="dxa"/>
              <w:right w:w="108" w:type="dxa"/>
            </w:tcMar>
          </w:tcPr>
          <w:p w14:paraId="7BBEFA99" w14:textId="77777777" w:rsidR="00101293" w:rsidRPr="00261848" w:rsidRDefault="00101293" w:rsidP="004D04AB">
            <w:pPr>
              <w:pStyle w:val="TableHeading"/>
            </w:pPr>
            <w:r w:rsidRPr="00261848">
              <w:t>Project or business</w:t>
            </w:r>
            <w:r>
              <w:t>-</w:t>
            </w:r>
            <w:r w:rsidRPr="00261848">
              <w:t>as</w:t>
            </w:r>
            <w:r>
              <w:t>-</w:t>
            </w:r>
            <w:r w:rsidRPr="00261848">
              <w:t>usual activity</w:t>
            </w:r>
          </w:p>
        </w:tc>
        <w:tc>
          <w:tcPr>
            <w:tcW w:w="919" w:type="pct"/>
            <w:tcMar>
              <w:left w:w="108" w:type="dxa"/>
              <w:bottom w:w="28" w:type="dxa"/>
              <w:right w:w="108" w:type="dxa"/>
            </w:tcMar>
          </w:tcPr>
          <w:p w14:paraId="68A0C4A7" w14:textId="23DE40A2" w:rsidR="00101293" w:rsidRPr="00261848" w:rsidRDefault="00101293" w:rsidP="004D04AB">
            <w:pPr>
              <w:pStyle w:val="TableHeading"/>
            </w:pPr>
            <w:r w:rsidRPr="00261848">
              <w:t xml:space="preserve">Status </w:t>
            </w:r>
          </w:p>
        </w:tc>
        <w:tc>
          <w:tcPr>
            <w:tcW w:w="510" w:type="pct"/>
            <w:tcMar>
              <w:left w:w="108" w:type="dxa"/>
              <w:bottom w:w="28" w:type="dxa"/>
              <w:right w:w="108" w:type="dxa"/>
            </w:tcMar>
          </w:tcPr>
          <w:p w14:paraId="7AA52B48" w14:textId="77777777" w:rsidR="00101293" w:rsidRPr="00261848" w:rsidRDefault="00101293" w:rsidP="004D04AB">
            <w:pPr>
              <w:pStyle w:val="TableHeading"/>
            </w:pPr>
            <w:r w:rsidRPr="00261848">
              <w:t>Lead organisation</w:t>
            </w:r>
          </w:p>
        </w:tc>
        <w:tc>
          <w:tcPr>
            <w:tcW w:w="817" w:type="pct"/>
            <w:tcMar>
              <w:left w:w="108" w:type="dxa"/>
              <w:bottom w:w="28" w:type="dxa"/>
              <w:right w:w="108" w:type="dxa"/>
            </w:tcMar>
          </w:tcPr>
          <w:p w14:paraId="2D7A6996" w14:textId="77777777" w:rsidR="00101293" w:rsidRPr="00261848" w:rsidRDefault="00101293" w:rsidP="004D04AB">
            <w:pPr>
              <w:pStyle w:val="TableHeading"/>
            </w:pPr>
            <w:r w:rsidRPr="00261848">
              <w:t>Contributors (financial and in-kind)</w:t>
            </w:r>
          </w:p>
        </w:tc>
        <w:tc>
          <w:tcPr>
            <w:tcW w:w="713" w:type="pct"/>
            <w:tcMar>
              <w:left w:w="108" w:type="dxa"/>
              <w:bottom w:w="28" w:type="dxa"/>
              <w:right w:w="108" w:type="dxa"/>
            </w:tcMar>
          </w:tcPr>
          <w:p w14:paraId="4C315FDB" w14:textId="77777777" w:rsidR="00101293" w:rsidRPr="00261848" w:rsidRDefault="00101293" w:rsidP="004D04AB">
            <w:pPr>
              <w:pStyle w:val="TableHeading"/>
            </w:pPr>
            <w:r w:rsidRPr="00261848">
              <w:t>Dependencies</w:t>
            </w:r>
          </w:p>
        </w:tc>
      </w:tr>
      <w:tr w:rsidR="00B31641" w:rsidRPr="00013AE2" w14:paraId="6A28C5A7" w14:textId="77777777" w:rsidTr="00787004">
        <w:trPr>
          <w:trHeight w:val="1995"/>
        </w:trPr>
        <w:tc>
          <w:tcPr>
            <w:tcW w:w="1020" w:type="pct"/>
            <w:vMerge w:val="restart"/>
            <w:tcMar>
              <w:bottom w:w="28" w:type="dxa"/>
            </w:tcMar>
          </w:tcPr>
          <w:p w14:paraId="4ED8E8E3" w14:textId="0106AE0D" w:rsidR="00296E9A" w:rsidRPr="00307043" w:rsidRDefault="00296E9A" w:rsidP="00296E9A">
            <w:pPr>
              <w:pStyle w:val="TableText"/>
              <w:rPr>
                <w:rStyle w:val="Strong"/>
                <w:rFonts w:cstheme="minorHAnsi"/>
                <w:bCs w:val="0"/>
                <w:szCs w:val="18"/>
              </w:rPr>
            </w:pPr>
            <w:r w:rsidRPr="00AF3D1F">
              <w:rPr>
                <w:rStyle w:val="Strong"/>
              </w:rPr>
              <w:t xml:space="preserve">Action </w:t>
            </w:r>
            <w:r>
              <w:rPr>
                <w:rStyle w:val="Strong"/>
              </w:rPr>
              <w:t xml:space="preserve">3.1: </w:t>
            </w:r>
            <w:r w:rsidRPr="00296E9A">
              <w:rPr>
                <w:rFonts w:cstheme="minorHAnsi"/>
                <w:bCs/>
                <w:szCs w:val="18"/>
                <w:lang w:val="en-GB"/>
              </w:rPr>
              <w:t>Improve management of post-border detection responses</w:t>
            </w:r>
            <w:r>
              <w:rPr>
                <w:rFonts w:cstheme="minorHAnsi"/>
                <w:bCs/>
                <w:szCs w:val="18"/>
                <w:lang w:val="en-GB"/>
              </w:rPr>
              <w:t>.</w:t>
            </w:r>
            <w:r>
              <w:rPr>
                <w:rFonts w:cstheme="minorHAnsi"/>
                <w:szCs w:val="18"/>
                <w:lang w:val="en-GB"/>
              </w:rPr>
              <w:t xml:space="preserve"> </w:t>
            </w:r>
          </w:p>
          <w:p w14:paraId="726B2B2C" w14:textId="78C86984" w:rsidR="00296E9A" w:rsidRPr="00296E9A" w:rsidRDefault="00296E9A" w:rsidP="00296E9A">
            <w:pPr>
              <w:pStyle w:val="TableText"/>
              <w:rPr>
                <w:rFonts w:cstheme="minorHAnsi"/>
                <w:szCs w:val="18"/>
              </w:rPr>
            </w:pPr>
            <w:r w:rsidRPr="009D6998">
              <w:rPr>
                <w:rStyle w:val="Strong"/>
              </w:rPr>
              <w:t>Expected benefit and outcome</w:t>
            </w:r>
            <w:r>
              <w:rPr>
                <w:rStyle w:val="Strong"/>
              </w:rPr>
              <w:t xml:space="preserve">: </w:t>
            </w:r>
            <w:r w:rsidRPr="00296E9A">
              <w:rPr>
                <w:rFonts w:cstheme="minorHAnsi"/>
                <w:bCs/>
                <w:szCs w:val="18"/>
              </w:rPr>
              <w:t xml:space="preserve">To increase Australia’s response capability in relation to an incursion by </w:t>
            </w:r>
            <w:r w:rsidR="00020290">
              <w:rPr>
                <w:rFonts w:cstheme="minorHAnsi"/>
                <w:bCs/>
                <w:szCs w:val="18"/>
              </w:rPr>
              <w:t>Khapra</w:t>
            </w:r>
            <w:r w:rsidRPr="00296E9A">
              <w:rPr>
                <w:rFonts w:cstheme="minorHAnsi"/>
                <w:bCs/>
                <w:szCs w:val="18"/>
              </w:rPr>
              <w:t xml:space="preserve"> beetle.</w:t>
            </w:r>
          </w:p>
          <w:p w14:paraId="1464279B" w14:textId="48D8D41B" w:rsidR="00296E9A" w:rsidRPr="00AA2A13" w:rsidRDefault="00296E9A" w:rsidP="00296E9A">
            <w:pPr>
              <w:pStyle w:val="TableText"/>
            </w:pPr>
            <w:r w:rsidRPr="009D6998">
              <w:rPr>
                <w:rStyle w:val="Strong"/>
              </w:rPr>
              <w:t>Priority</w:t>
            </w:r>
            <w:r>
              <w:rPr>
                <w:rStyle w:val="Strong"/>
              </w:rPr>
              <w:t xml:space="preserve">: </w:t>
            </w:r>
            <w:r w:rsidRPr="00296E9A">
              <w:rPr>
                <w:rStyle w:val="Strong"/>
                <w:b w:val="0"/>
                <w:bCs w:val="0"/>
              </w:rPr>
              <w:t>high</w:t>
            </w:r>
          </w:p>
          <w:p w14:paraId="2138D882" w14:textId="61501915" w:rsidR="00F5388F" w:rsidRPr="00EA74C1" w:rsidRDefault="00296E9A" w:rsidP="00296E9A">
            <w:pPr>
              <w:pStyle w:val="TableText"/>
            </w:pPr>
            <w:r w:rsidRPr="009D6998">
              <w:rPr>
                <w:rStyle w:val="Strong"/>
              </w:rPr>
              <w:t>Time frame</w:t>
            </w:r>
            <w:r>
              <w:rPr>
                <w:rStyle w:val="Strong"/>
              </w:rPr>
              <w:t xml:space="preserve">: </w:t>
            </w:r>
            <w:r w:rsidRPr="00AF7C14">
              <w:rPr>
                <w:rStyle w:val="Strong"/>
                <w:b w:val="0"/>
                <w:bCs w:val="0"/>
              </w:rPr>
              <w:t>short</w:t>
            </w:r>
            <w:r>
              <w:rPr>
                <w:rStyle w:val="Strong"/>
              </w:rPr>
              <w:t xml:space="preserve"> </w:t>
            </w:r>
            <w:r w:rsidRPr="00AA2A13">
              <w:t>term</w:t>
            </w:r>
          </w:p>
        </w:tc>
        <w:tc>
          <w:tcPr>
            <w:tcW w:w="1021" w:type="pct"/>
            <w:tcMar>
              <w:left w:w="108" w:type="dxa"/>
              <w:bottom w:w="28" w:type="dxa"/>
              <w:right w:w="108" w:type="dxa"/>
            </w:tcMar>
          </w:tcPr>
          <w:p w14:paraId="2F7D1060" w14:textId="7E30B434" w:rsidR="00EC5CF3" w:rsidRPr="00B72BF2" w:rsidRDefault="00EC5CF3" w:rsidP="00D8091A">
            <w:pPr>
              <w:pStyle w:val="TableText"/>
            </w:pPr>
            <w:r w:rsidRPr="00B72BF2">
              <w:t>3.1.1 The department will continue to appoint a case manager role for high</w:t>
            </w:r>
            <w:r w:rsidR="009953A3">
              <w:t>-</w:t>
            </w:r>
            <w:r w:rsidRPr="00B72BF2">
              <w:t xml:space="preserve">priority pest detections, commencing with </w:t>
            </w:r>
            <w:r w:rsidR="00020290">
              <w:t>Khapra</w:t>
            </w:r>
            <w:r w:rsidRPr="00B72BF2">
              <w:t xml:space="preserve"> beetle</w:t>
            </w:r>
          </w:p>
          <w:p w14:paraId="1CD6BD09" w14:textId="2D7E2893" w:rsidR="00F5388F" w:rsidRPr="00EA74C1" w:rsidRDefault="00EC5CF3" w:rsidP="00E65DE3">
            <w:pPr>
              <w:pStyle w:val="TableBullet1"/>
            </w:pPr>
            <w:r w:rsidRPr="00B72BF2">
              <w:t>This role will provide a coordination point for response activities associated with a post-border detection and will also involve reviewing response guidelines to improve future response planning, coordination and communication</w:t>
            </w:r>
          </w:p>
        </w:tc>
        <w:tc>
          <w:tcPr>
            <w:tcW w:w="919" w:type="pct"/>
            <w:shd w:val="clear" w:color="auto" w:fill="C6D9F1" w:themeFill="text2" w:themeFillTint="33"/>
            <w:tcMar>
              <w:left w:w="108" w:type="dxa"/>
              <w:bottom w:w="28" w:type="dxa"/>
              <w:right w:w="108" w:type="dxa"/>
            </w:tcMar>
          </w:tcPr>
          <w:p w14:paraId="3F7747C7" w14:textId="77777777" w:rsidR="003E0EDC" w:rsidRDefault="00B72BF2" w:rsidP="00B72BF2">
            <w:pPr>
              <w:pStyle w:val="TableText"/>
            </w:pPr>
            <w:r w:rsidRPr="00B72BF2">
              <w:t xml:space="preserve">Ongoing – business as usual </w:t>
            </w:r>
          </w:p>
          <w:p w14:paraId="751EB285" w14:textId="2C0E664C" w:rsidR="00B72BF2" w:rsidRPr="00BF5F05" w:rsidRDefault="00B72BF2" w:rsidP="00B72BF2">
            <w:pPr>
              <w:pStyle w:val="TableText"/>
            </w:pPr>
            <w:r w:rsidRPr="00B72BF2">
              <w:t>A technical response coordinator was appointed in 2021.</w:t>
            </w:r>
          </w:p>
        </w:tc>
        <w:tc>
          <w:tcPr>
            <w:tcW w:w="510" w:type="pct"/>
            <w:tcMar>
              <w:left w:w="108" w:type="dxa"/>
              <w:bottom w:w="28" w:type="dxa"/>
              <w:right w:w="108" w:type="dxa"/>
            </w:tcMar>
          </w:tcPr>
          <w:p w14:paraId="35B3979F" w14:textId="24B04694" w:rsidR="00F5388F" w:rsidRPr="00D218F7" w:rsidRDefault="00B72BF2" w:rsidP="004D04AB">
            <w:pPr>
              <w:pStyle w:val="TableText"/>
            </w:pPr>
            <w:r>
              <w:t>Commonwealth (BOD)</w:t>
            </w:r>
          </w:p>
        </w:tc>
        <w:tc>
          <w:tcPr>
            <w:tcW w:w="817" w:type="pct"/>
            <w:tcMar>
              <w:left w:w="108" w:type="dxa"/>
              <w:bottom w:w="28" w:type="dxa"/>
              <w:right w:w="108" w:type="dxa"/>
            </w:tcMar>
          </w:tcPr>
          <w:p w14:paraId="45CC799D" w14:textId="5F8FF3C5" w:rsidR="00F5388F" w:rsidRPr="000407B5" w:rsidRDefault="00DF1D73" w:rsidP="004D04AB">
            <w:pPr>
              <w:pStyle w:val="TableText"/>
            </w:pPr>
            <w:r>
              <w:t xml:space="preserve">Commonwealth </w:t>
            </w:r>
          </w:p>
        </w:tc>
        <w:tc>
          <w:tcPr>
            <w:tcW w:w="713" w:type="pct"/>
            <w:tcMar>
              <w:left w:w="108" w:type="dxa"/>
              <w:bottom w:w="28" w:type="dxa"/>
              <w:right w:w="108" w:type="dxa"/>
            </w:tcMar>
          </w:tcPr>
          <w:p w14:paraId="5062677B" w14:textId="45B5453C" w:rsidR="00F5388F" w:rsidRPr="00C22748" w:rsidRDefault="00DF1D73" w:rsidP="00D8091A">
            <w:pPr>
              <w:pStyle w:val="TableText"/>
            </w:pPr>
            <w:r>
              <w:t>Relates to action 1.1, 1.2, 1.3</w:t>
            </w:r>
          </w:p>
        </w:tc>
      </w:tr>
      <w:tr w:rsidR="00B31641" w:rsidRPr="00013AE2" w14:paraId="12A63EDB" w14:textId="77777777" w:rsidTr="002027E3">
        <w:trPr>
          <w:trHeight w:val="1215"/>
        </w:trPr>
        <w:tc>
          <w:tcPr>
            <w:tcW w:w="1020" w:type="pct"/>
            <w:vMerge/>
            <w:tcMar>
              <w:bottom w:w="28" w:type="dxa"/>
            </w:tcMar>
          </w:tcPr>
          <w:p w14:paraId="3C084F6A" w14:textId="77777777" w:rsidR="00DF1D73" w:rsidRPr="007B0473" w:rsidRDefault="00DF1D73" w:rsidP="00DF1D73">
            <w:pPr>
              <w:pStyle w:val="TableText"/>
              <w:rPr>
                <w:rStyle w:val="Strong"/>
              </w:rPr>
            </w:pPr>
          </w:p>
        </w:tc>
        <w:tc>
          <w:tcPr>
            <w:tcW w:w="1021" w:type="pct"/>
            <w:tcMar>
              <w:left w:w="108" w:type="dxa"/>
              <w:bottom w:w="28" w:type="dxa"/>
              <w:right w:w="108" w:type="dxa"/>
            </w:tcMar>
          </w:tcPr>
          <w:p w14:paraId="25DB6EE6" w14:textId="372A8E53" w:rsidR="00DF1D73" w:rsidRPr="00B72BF2" w:rsidRDefault="00DF1D73" w:rsidP="00DF1D73">
            <w:pPr>
              <w:pStyle w:val="TableText"/>
            </w:pPr>
            <w:r w:rsidRPr="00B72BF2">
              <w:t>3.1.2 Consider the learning from the current detections that risk assessment or ‘profiling’ of premises should be an important consideration in improving the management of post-boarder detections</w:t>
            </w:r>
          </w:p>
        </w:tc>
        <w:tc>
          <w:tcPr>
            <w:tcW w:w="919" w:type="pct"/>
            <w:shd w:val="clear" w:color="auto" w:fill="DEF0C2"/>
            <w:tcMar>
              <w:left w:w="108" w:type="dxa"/>
              <w:bottom w:w="28" w:type="dxa"/>
              <w:right w:w="108" w:type="dxa"/>
            </w:tcMar>
          </w:tcPr>
          <w:p w14:paraId="1708B0B5" w14:textId="60BBD992" w:rsidR="00DF1D73" w:rsidRDefault="00DF1D73" w:rsidP="00DF1D73">
            <w:pPr>
              <w:pStyle w:val="TableText"/>
            </w:pPr>
            <w:r>
              <w:t>Completed – project finished.</w:t>
            </w:r>
          </w:p>
          <w:p w14:paraId="21969BA5" w14:textId="34C6FE0E" w:rsidR="00DF1D73" w:rsidRDefault="00DF1D73" w:rsidP="00DF1D73">
            <w:pPr>
              <w:pStyle w:val="TableText"/>
            </w:pPr>
            <w:r>
              <w:t>Reviewed response guidelines</w:t>
            </w:r>
          </w:p>
          <w:p w14:paraId="6E3A3BC7" w14:textId="76C71B0D" w:rsidR="00DF1D73" w:rsidRDefault="003E0EDC" w:rsidP="00DF1D73">
            <w:pPr>
              <w:pStyle w:val="TableText"/>
            </w:pPr>
            <w:r w:rsidRPr="00B72BF2">
              <w:t xml:space="preserve">This could build on the pest risk assessment considered under the Prevention action area, and more specifically look at the risk of establishment, spread and potential consequences associated with a post-border detection of </w:t>
            </w:r>
            <w:r w:rsidR="00020290">
              <w:t>Khapra</w:t>
            </w:r>
            <w:r w:rsidRPr="00B72BF2">
              <w:t xml:space="preserve"> beetle if it not managed appropriately.</w:t>
            </w:r>
          </w:p>
        </w:tc>
        <w:tc>
          <w:tcPr>
            <w:tcW w:w="510" w:type="pct"/>
            <w:tcMar>
              <w:left w:w="108" w:type="dxa"/>
              <w:bottom w:w="28" w:type="dxa"/>
              <w:right w:w="108" w:type="dxa"/>
            </w:tcMar>
          </w:tcPr>
          <w:p w14:paraId="4B143369" w14:textId="4C512909" w:rsidR="00DF1D73" w:rsidRDefault="00DF1D73" w:rsidP="00DF1D73">
            <w:pPr>
              <w:pStyle w:val="TableText"/>
            </w:pPr>
            <w:r>
              <w:t>Commonwealth (BOD)</w:t>
            </w:r>
          </w:p>
        </w:tc>
        <w:tc>
          <w:tcPr>
            <w:tcW w:w="817" w:type="pct"/>
            <w:tcMar>
              <w:left w:w="108" w:type="dxa"/>
              <w:bottom w:w="28" w:type="dxa"/>
              <w:right w:w="108" w:type="dxa"/>
            </w:tcMar>
          </w:tcPr>
          <w:p w14:paraId="61050F32" w14:textId="6EF422F1" w:rsidR="00DF1D73" w:rsidRPr="00F44C27" w:rsidRDefault="00DF1D73" w:rsidP="00DF1D73">
            <w:pPr>
              <w:pStyle w:val="TableText"/>
            </w:pPr>
            <w:r>
              <w:t xml:space="preserve">Commonwealth </w:t>
            </w:r>
          </w:p>
        </w:tc>
        <w:tc>
          <w:tcPr>
            <w:tcW w:w="713" w:type="pct"/>
            <w:tcMar>
              <w:left w:w="108" w:type="dxa"/>
              <w:bottom w:w="28" w:type="dxa"/>
              <w:right w:w="108" w:type="dxa"/>
            </w:tcMar>
          </w:tcPr>
          <w:p w14:paraId="1A24D904" w14:textId="562DE650" w:rsidR="00DF1D73" w:rsidRPr="004D04AB" w:rsidRDefault="00DF1D73" w:rsidP="00294DF1">
            <w:pPr>
              <w:pStyle w:val="TableText"/>
            </w:pPr>
            <w:r>
              <w:t>Relates to action 1.1, 1.2, 1.3</w:t>
            </w:r>
          </w:p>
        </w:tc>
      </w:tr>
      <w:tr w:rsidR="00B31641" w:rsidRPr="00013AE2" w14:paraId="7A5EBE29" w14:textId="77777777" w:rsidTr="00787004">
        <w:trPr>
          <w:trHeight w:val="2717"/>
        </w:trPr>
        <w:tc>
          <w:tcPr>
            <w:tcW w:w="1020" w:type="pct"/>
            <w:tcMar>
              <w:bottom w:w="28" w:type="dxa"/>
            </w:tcMar>
          </w:tcPr>
          <w:p w14:paraId="05E3CA99" w14:textId="7C6E20AD" w:rsidR="00DF1D73" w:rsidRPr="00EC5CF3" w:rsidRDefault="00DF1D73" w:rsidP="00DF1D73">
            <w:pPr>
              <w:pStyle w:val="TableText"/>
              <w:rPr>
                <w:rStyle w:val="Strong"/>
                <w:rFonts w:cstheme="minorHAnsi"/>
                <w:bCs w:val="0"/>
                <w:szCs w:val="18"/>
              </w:rPr>
            </w:pPr>
            <w:r w:rsidRPr="00AF3D1F">
              <w:rPr>
                <w:rStyle w:val="Strong"/>
              </w:rPr>
              <w:lastRenderedPageBreak/>
              <w:t xml:space="preserve">Action </w:t>
            </w:r>
            <w:r>
              <w:rPr>
                <w:rStyle w:val="Strong"/>
              </w:rPr>
              <w:t xml:space="preserve">3.2: </w:t>
            </w:r>
            <w:r w:rsidRPr="00EC5CF3">
              <w:rPr>
                <w:lang w:val="en-GB"/>
              </w:rPr>
              <w:t>Improve capability to trace shipping containers and access their history.</w:t>
            </w:r>
          </w:p>
          <w:p w14:paraId="6E8826F7" w14:textId="77777777" w:rsidR="00DF1D73" w:rsidRPr="00EC5CF3" w:rsidRDefault="00DF1D73" w:rsidP="00DF1D73">
            <w:pPr>
              <w:pStyle w:val="TableText"/>
              <w:rPr>
                <w:rFonts w:cstheme="minorHAnsi"/>
                <w:szCs w:val="18"/>
              </w:rPr>
            </w:pPr>
            <w:r w:rsidRPr="009D6998">
              <w:rPr>
                <w:rStyle w:val="Strong"/>
              </w:rPr>
              <w:t>Expected benefit and outcome</w:t>
            </w:r>
            <w:r>
              <w:rPr>
                <w:rStyle w:val="Strong"/>
              </w:rPr>
              <w:t xml:space="preserve">: </w:t>
            </w:r>
            <w:r w:rsidRPr="00EC5CF3">
              <w:rPr>
                <w:rFonts w:cstheme="minorHAnsi"/>
                <w:szCs w:val="18"/>
              </w:rPr>
              <w:t>Achieve close cooperation from the shipper in providing expedient shipping information and minimising the biosecurity threat.</w:t>
            </w:r>
          </w:p>
          <w:p w14:paraId="0EDFF486" w14:textId="784BCD6F" w:rsidR="00DF1D73" w:rsidRPr="00EC5CF3" w:rsidRDefault="00DF1D73" w:rsidP="00DF1D73">
            <w:pPr>
              <w:pStyle w:val="TableText"/>
              <w:rPr>
                <w:rFonts w:cstheme="minorHAnsi"/>
                <w:szCs w:val="18"/>
              </w:rPr>
            </w:pPr>
            <w:r w:rsidRPr="00EC5CF3">
              <w:rPr>
                <w:rFonts w:cstheme="minorHAnsi"/>
                <w:szCs w:val="18"/>
              </w:rPr>
              <w:t>This action should be progressed concurrently with Actions 1.2 and 1.3 and will require engagement with businesses in Australia as well as trading partners. Similar tracing ability is required within Australia to trace potentially contaminated goods and equipment.</w:t>
            </w:r>
          </w:p>
          <w:p w14:paraId="40B48136" w14:textId="273D9648" w:rsidR="00DF1D73" w:rsidRPr="00AA2A13" w:rsidRDefault="00DF1D73" w:rsidP="00DF1D73">
            <w:pPr>
              <w:pStyle w:val="TableText"/>
            </w:pPr>
            <w:r w:rsidRPr="009D6998">
              <w:rPr>
                <w:rStyle w:val="Strong"/>
              </w:rPr>
              <w:t>Priority</w:t>
            </w:r>
            <w:r>
              <w:rPr>
                <w:rStyle w:val="Strong"/>
              </w:rPr>
              <w:t xml:space="preserve">: </w:t>
            </w:r>
            <w:r w:rsidRPr="0025515F">
              <w:rPr>
                <w:rStyle w:val="Strong"/>
                <w:b w:val="0"/>
                <w:bCs w:val="0"/>
              </w:rPr>
              <w:t>high</w:t>
            </w:r>
          </w:p>
          <w:p w14:paraId="33956065" w14:textId="6D1E2705" w:rsidR="00DF1D73" w:rsidRPr="00C2627F" w:rsidRDefault="00DF1D73" w:rsidP="00DF1D73">
            <w:pPr>
              <w:pStyle w:val="TableText"/>
              <w:rPr>
                <w:rStyle w:val="Strong"/>
              </w:rPr>
            </w:pPr>
            <w:r w:rsidRPr="009D6998">
              <w:rPr>
                <w:rStyle w:val="Strong"/>
              </w:rPr>
              <w:t>Time frame</w:t>
            </w:r>
            <w:r>
              <w:rPr>
                <w:rStyle w:val="Strong"/>
              </w:rPr>
              <w:t xml:space="preserve">: </w:t>
            </w:r>
            <w:r w:rsidRPr="0025515F">
              <w:rPr>
                <w:rStyle w:val="Strong"/>
                <w:b w:val="0"/>
                <w:bCs w:val="0"/>
              </w:rPr>
              <w:t>medium</w:t>
            </w:r>
            <w:r>
              <w:rPr>
                <w:rStyle w:val="Strong"/>
              </w:rPr>
              <w:t xml:space="preserve"> </w:t>
            </w:r>
            <w:r w:rsidRPr="00AA2A13">
              <w:t>term</w:t>
            </w:r>
          </w:p>
        </w:tc>
        <w:tc>
          <w:tcPr>
            <w:tcW w:w="1021" w:type="pct"/>
            <w:tcMar>
              <w:left w:w="108" w:type="dxa"/>
              <w:bottom w:w="28" w:type="dxa"/>
              <w:right w:w="108" w:type="dxa"/>
            </w:tcMar>
          </w:tcPr>
          <w:p w14:paraId="049FCF6C" w14:textId="0171F347" w:rsidR="00DF1D73" w:rsidRPr="00B72BF2" w:rsidRDefault="00DF1D73" w:rsidP="00DF1D73">
            <w:pPr>
              <w:pStyle w:val="TableText"/>
            </w:pPr>
            <w:r w:rsidRPr="00B72BF2">
              <w:t>3.2.1 Evaluate development or enhancement of technology needed to address shipping container traceability and to access past contents information</w:t>
            </w:r>
          </w:p>
        </w:tc>
        <w:tc>
          <w:tcPr>
            <w:tcW w:w="919" w:type="pct"/>
            <w:shd w:val="clear" w:color="auto" w:fill="C6D9F1" w:themeFill="text2" w:themeFillTint="33"/>
            <w:tcMar>
              <w:left w:w="108" w:type="dxa"/>
              <w:bottom w:w="28" w:type="dxa"/>
              <w:right w:w="108" w:type="dxa"/>
            </w:tcMar>
          </w:tcPr>
          <w:p w14:paraId="66E713B5" w14:textId="77777777" w:rsidR="00DF1D73" w:rsidRDefault="00DF1D73" w:rsidP="00DF1D73">
            <w:pPr>
              <w:pStyle w:val="TableText"/>
              <w:rPr>
                <w:shd w:val="clear" w:color="auto" w:fill="EEECE1" w:themeFill="background2"/>
              </w:rPr>
            </w:pPr>
            <w:r w:rsidRPr="00B72BF2">
              <w:t>Ongoing – business as usual</w:t>
            </w:r>
            <w:r>
              <w:rPr>
                <w:shd w:val="clear" w:color="auto" w:fill="EEECE1" w:themeFill="background2"/>
              </w:rPr>
              <w:t xml:space="preserve"> </w:t>
            </w:r>
          </w:p>
          <w:p w14:paraId="01E515B7" w14:textId="0AA69C4D" w:rsidR="00AF73E3" w:rsidRPr="00C852DA" w:rsidRDefault="00AF73E3" w:rsidP="00AF73E3">
            <w:pPr>
              <w:pStyle w:val="TableText"/>
              <w:rPr>
                <w:rFonts w:cstheme="minorHAnsi"/>
                <w:szCs w:val="18"/>
              </w:rPr>
            </w:pPr>
            <w:r w:rsidRPr="001472F4">
              <w:rPr>
                <w:rFonts w:cstheme="minorHAnsi"/>
                <w:szCs w:val="18"/>
              </w:rPr>
              <w:t xml:space="preserve">Work is underway by the SCFG to </w:t>
            </w:r>
            <w:r>
              <w:rPr>
                <w:rFonts w:cstheme="minorHAnsi"/>
                <w:szCs w:val="18"/>
              </w:rPr>
              <w:t>explore the acquisition of historical global container movement data</w:t>
            </w:r>
          </w:p>
        </w:tc>
        <w:tc>
          <w:tcPr>
            <w:tcW w:w="510" w:type="pct"/>
            <w:tcMar>
              <w:left w:w="108" w:type="dxa"/>
              <w:bottom w:w="28" w:type="dxa"/>
              <w:right w:w="108" w:type="dxa"/>
            </w:tcMar>
          </w:tcPr>
          <w:p w14:paraId="4C7EB8CA" w14:textId="49A1FDD2" w:rsidR="00DF1D73" w:rsidRPr="00BC13C5" w:rsidRDefault="00DF1D73" w:rsidP="00DF1D73">
            <w:pPr>
              <w:pStyle w:val="TableText"/>
              <w:rPr>
                <w:shd w:val="clear" w:color="auto" w:fill="EEECE1" w:themeFill="background2"/>
              </w:rPr>
            </w:pPr>
            <w:r>
              <w:t>Commonwealth (BOD</w:t>
            </w:r>
            <w:r w:rsidR="00AF73E3">
              <w:t>, BPSSD, HHWG</w:t>
            </w:r>
            <w:r>
              <w:t>)</w:t>
            </w:r>
          </w:p>
        </w:tc>
        <w:tc>
          <w:tcPr>
            <w:tcW w:w="817" w:type="pct"/>
            <w:tcMar>
              <w:left w:w="108" w:type="dxa"/>
              <w:bottom w:w="28" w:type="dxa"/>
              <w:right w:w="108" w:type="dxa"/>
            </w:tcMar>
          </w:tcPr>
          <w:p w14:paraId="3483F6C7" w14:textId="5FF61660" w:rsidR="00DF1D73" w:rsidRPr="00BC13C5" w:rsidRDefault="00DF1D73" w:rsidP="00DF1D73">
            <w:pPr>
              <w:pStyle w:val="TableText"/>
              <w:rPr>
                <w:shd w:val="clear" w:color="auto" w:fill="EEECE1" w:themeFill="background2"/>
              </w:rPr>
            </w:pPr>
            <w:r>
              <w:t xml:space="preserve">Commonwealth </w:t>
            </w:r>
          </w:p>
        </w:tc>
        <w:tc>
          <w:tcPr>
            <w:tcW w:w="713" w:type="pct"/>
            <w:tcMar>
              <w:left w:w="108" w:type="dxa"/>
              <w:bottom w:w="28" w:type="dxa"/>
              <w:right w:w="108" w:type="dxa"/>
            </w:tcMar>
          </w:tcPr>
          <w:p w14:paraId="388E561D" w14:textId="39E96AE5" w:rsidR="00DF1D73" w:rsidRDefault="00DF1D73" w:rsidP="00DF1D73">
            <w:pPr>
              <w:pStyle w:val="TableText"/>
            </w:pPr>
            <w:r>
              <w:t>Relates to action 1.2, 1.3</w:t>
            </w:r>
          </w:p>
          <w:p w14:paraId="409DA20E" w14:textId="2C1A89FF" w:rsidR="00F73151" w:rsidRPr="00BC13C5" w:rsidRDefault="00F73151" w:rsidP="00DF1D73">
            <w:pPr>
              <w:pStyle w:val="TableText"/>
              <w:rPr>
                <w:shd w:val="clear" w:color="auto" w:fill="EEECE1" w:themeFill="background2"/>
              </w:rPr>
            </w:pPr>
            <w:r w:rsidRPr="004F6A79">
              <w:t>Related to 1.7.1</w:t>
            </w:r>
          </w:p>
        </w:tc>
      </w:tr>
      <w:tr w:rsidR="00B31641" w:rsidRPr="00013AE2" w14:paraId="1BA3B0CD" w14:textId="77777777" w:rsidTr="002027E3">
        <w:tc>
          <w:tcPr>
            <w:tcW w:w="1020" w:type="pct"/>
            <w:vMerge w:val="restart"/>
            <w:tcMar>
              <w:bottom w:w="28" w:type="dxa"/>
            </w:tcMar>
          </w:tcPr>
          <w:p w14:paraId="6740E6BE" w14:textId="3421A051" w:rsidR="00DF1D73" w:rsidRPr="00EC5CF3" w:rsidRDefault="00DF1D73" w:rsidP="00DF1D73">
            <w:pPr>
              <w:pStyle w:val="TableText"/>
              <w:rPr>
                <w:rStyle w:val="Strong"/>
                <w:b w:val="0"/>
                <w:bCs w:val="0"/>
              </w:rPr>
            </w:pPr>
            <w:r w:rsidRPr="00EC5CF3">
              <w:rPr>
                <w:rStyle w:val="Strong"/>
              </w:rPr>
              <w:t>Action 3.3:</w:t>
            </w:r>
            <w:r w:rsidRPr="00EC5CF3">
              <w:rPr>
                <w:rStyle w:val="Strong"/>
                <w:b w:val="0"/>
                <w:bCs w:val="0"/>
              </w:rPr>
              <w:t xml:space="preserve"> </w:t>
            </w:r>
            <w:r w:rsidRPr="00EC5CF3">
              <w:t>Identify and assess effective eradication treatment methods for buildings, goods and shipping containers</w:t>
            </w:r>
            <w:r>
              <w:t>.</w:t>
            </w:r>
          </w:p>
          <w:p w14:paraId="3FE1038E" w14:textId="08ADDF26" w:rsidR="00DF1D73" w:rsidRPr="00EC5CF3" w:rsidRDefault="00DF1D73" w:rsidP="00DF1D73">
            <w:pPr>
              <w:pStyle w:val="TableText"/>
            </w:pPr>
            <w:r w:rsidRPr="00EC5CF3">
              <w:rPr>
                <w:rStyle w:val="Strong"/>
              </w:rPr>
              <w:t>Expected benefit and outcome:</w:t>
            </w:r>
            <w:r w:rsidRPr="00EC5CF3">
              <w:t xml:space="preserve"> Eradication treatments need to overcome the ability of </w:t>
            </w:r>
            <w:r w:rsidR="00020290">
              <w:t>Khapra</w:t>
            </w:r>
            <w:r w:rsidRPr="00EC5CF3">
              <w:t xml:space="preserve"> beetles and larvae to hide in cracks or crevices, and capacity of larvae to enter diapause when food is </w:t>
            </w:r>
            <w:proofErr w:type="gramStart"/>
            <w:r w:rsidRPr="00EC5CF3">
              <w:t>scarce</w:t>
            </w:r>
            <w:proofErr w:type="gramEnd"/>
            <w:r w:rsidRPr="00EC5CF3">
              <w:t xml:space="preserve"> or temperature is suboptimal.</w:t>
            </w:r>
          </w:p>
          <w:p w14:paraId="36523414" w14:textId="5B7A4708" w:rsidR="00DF1D73" w:rsidRPr="00EC5CF3" w:rsidRDefault="00DF1D73" w:rsidP="00DF1D73">
            <w:pPr>
              <w:pStyle w:val="TableText"/>
            </w:pPr>
            <w:r w:rsidRPr="00EC5CF3">
              <w:rPr>
                <w:rStyle w:val="Strong"/>
              </w:rPr>
              <w:t>Priority:</w:t>
            </w:r>
            <w:r w:rsidRPr="00EC5CF3">
              <w:rPr>
                <w:rStyle w:val="Strong"/>
                <w:b w:val="0"/>
                <w:bCs w:val="0"/>
              </w:rPr>
              <w:t xml:space="preserve"> high</w:t>
            </w:r>
          </w:p>
          <w:p w14:paraId="2B97B243" w14:textId="15C7D86A" w:rsidR="00DF1D73" w:rsidRPr="00EC5CF3" w:rsidRDefault="00DF1D73" w:rsidP="00DF1D73">
            <w:pPr>
              <w:pStyle w:val="TableText"/>
              <w:rPr>
                <w:rStyle w:val="Strong"/>
                <w:b w:val="0"/>
                <w:bCs w:val="0"/>
              </w:rPr>
            </w:pPr>
            <w:r w:rsidRPr="00EC5CF3">
              <w:rPr>
                <w:rStyle w:val="Strong"/>
              </w:rPr>
              <w:t>Time frame:</w:t>
            </w:r>
            <w:r w:rsidRPr="00EC5CF3">
              <w:rPr>
                <w:rStyle w:val="Strong"/>
                <w:b w:val="0"/>
                <w:bCs w:val="0"/>
              </w:rPr>
              <w:t xml:space="preserve"> long </w:t>
            </w:r>
            <w:r w:rsidRPr="00EC5CF3">
              <w:t>term</w:t>
            </w:r>
          </w:p>
        </w:tc>
        <w:tc>
          <w:tcPr>
            <w:tcW w:w="1021" w:type="pct"/>
            <w:tcMar>
              <w:left w:w="108" w:type="dxa"/>
              <w:bottom w:w="28" w:type="dxa"/>
              <w:right w:w="108" w:type="dxa"/>
            </w:tcMar>
          </w:tcPr>
          <w:p w14:paraId="759E8689" w14:textId="76A2E347" w:rsidR="00DF1D73" w:rsidRPr="00B72BF2" w:rsidRDefault="00DF1D73" w:rsidP="00DF1D73">
            <w:pPr>
              <w:pStyle w:val="TableText"/>
            </w:pPr>
            <w:r w:rsidRPr="00B72BF2">
              <w:t xml:space="preserve">3.3.1 Undertake testing various fumigation protocols with gases such as ethyl </w:t>
            </w:r>
            <w:proofErr w:type="spellStart"/>
            <w:r w:rsidRPr="00B72BF2">
              <w:t>formate</w:t>
            </w:r>
            <w:proofErr w:type="spellEnd"/>
            <w:r w:rsidRPr="00B72BF2">
              <w:t>, sulfuryl fluoride, or a combination of gases</w:t>
            </w:r>
          </w:p>
        </w:tc>
        <w:tc>
          <w:tcPr>
            <w:tcW w:w="919" w:type="pct"/>
            <w:shd w:val="clear" w:color="auto" w:fill="DEF0C2"/>
            <w:tcMar>
              <w:left w:w="108" w:type="dxa"/>
              <w:bottom w:w="28" w:type="dxa"/>
              <w:right w:w="108" w:type="dxa"/>
            </w:tcMar>
          </w:tcPr>
          <w:p w14:paraId="30EC0387" w14:textId="77777777" w:rsidR="00DF1D73" w:rsidRDefault="00DF1D73" w:rsidP="00DF1D73">
            <w:pPr>
              <w:pStyle w:val="TableText"/>
            </w:pPr>
            <w:r>
              <w:t>Completed – project finished.</w:t>
            </w:r>
          </w:p>
          <w:p w14:paraId="5D9C1993" w14:textId="21C48171" w:rsidR="00DF1D73" w:rsidRPr="00DE7573" w:rsidRDefault="00DF1D73" w:rsidP="00DF1D73">
            <w:pPr>
              <w:pStyle w:val="TableText"/>
            </w:pPr>
            <w:r>
              <w:t>Tested various fumigation treatment protocols</w:t>
            </w:r>
          </w:p>
        </w:tc>
        <w:tc>
          <w:tcPr>
            <w:tcW w:w="510" w:type="pct"/>
            <w:shd w:val="clear" w:color="auto" w:fill="auto"/>
            <w:tcMar>
              <w:left w:w="108" w:type="dxa"/>
              <w:bottom w:w="28" w:type="dxa"/>
              <w:right w:w="108" w:type="dxa"/>
            </w:tcMar>
          </w:tcPr>
          <w:p w14:paraId="7AA5149D" w14:textId="483D7C17" w:rsidR="00DF1D73" w:rsidRPr="004D04AB" w:rsidRDefault="00DF1D73" w:rsidP="00DF1D73">
            <w:pPr>
              <w:pStyle w:val="TableText"/>
            </w:pPr>
            <w:r>
              <w:t>Commonwealth (CED)</w:t>
            </w:r>
          </w:p>
        </w:tc>
        <w:tc>
          <w:tcPr>
            <w:tcW w:w="817" w:type="pct"/>
            <w:tcMar>
              <w:left w:w="108" w:type="dxa"/>
              <w:bottom w:w="28" w:type="dxa"/>
              <w:right w:w="108" w:type="dxa"/>
            </w:tcMar>
          </w:tcPr>
          <w:p w14:paraId="2A14B523" w14:textId="1AF69403" w:rsidR="00DF1D73" w:rsidRPr="00BC13C5" w:rsidRDefault="00DF1D73" w:rsidP="00DF1D73">
            <w:pPr>
              <w:pStyle w:val="TableText"/>
              <w:rPr>
                <w:shd w:val="clear" w:color="auto" w:fill="EEECE1" w:themeFill="background2"/>
              </w:rPr>
            </w:pPr>
            <w:r>
              <w:t xml:space="preserve">Commonwealth </w:t>
            </w:r>
          </w:p>
        </w:tc>
        <w:tc>
          <w:tcPr>
            <w:tcW w:w="713" w:type="pct"/>
            <w:tcMar>
              <w:left w:w="108" w:type="dxa"/>
              <w:bottom w:w="28" w:type="dxa"/>
              <w:right w:w="108" w:type="dxa"/>
            </w:tcMar>
          </w:tcPr>
          <w:p w14:paraId="7FA5EDE0" w14:textId="4AB6B93E" w:rsidR="00DF1D73" w:rsidRPr="003E17DC" w:rsidRDefault="00DF1D73" w:rsidP="0084064B">
            <w:pPr>
              <w:pStyle w:val="TableText"/>
            </w:pPr>
            <w:r>
              <w:t>Relates to action 1.5, 1.6</w:t>
            </w:r>
          </w:p>
        </w:tc>
      </w:tr>
      <w:tr w:rsidR="00B31641" w:rsidRPr="00013AE2" w14:paraId="552C10B8" w14:textId="77777777" w:rsidTr="002027E3">
        <w:tc>
          <w:tcPr>
            <w:tcW w:w="1020" w:type="pct"/>
            <w:vMerge/>
            <w:tcMar>
              <w:bottom w:w="28" w:type="dxa"/>
            </w:tcMar>
          </w:tcPr>
          <w:p w14:paraId="52CBE59E" w14:textId="77777777" w:rsidR="00DF1D73" w:rsidRPr="00EC5CF3" w:rsidRDefault="00DF1D73" w:rsidP="00DF1D73">
            <w:pPr>
              <w:pStyle w:val="TableText"/>
              <w:rPr>
                <w:rStyle w:val="Strong"/>
              </w:rPr>
            </w:pPr>
          </w:p>
        </w:tc>
        <w:tc>
          <w:tcPr>
            <w:tcW w:w="1021" w:type="pct"/>
            <w:tcMar>
              <w:left w:w="108" w:type="dxa"/>
              <w:bottom w:w="28" w:type="dxa"/>
              <w:right w:w="108" w:type="dxa"/>
            </w:tcMar>
          </w:tcPr>
          <w:p w14:paraId="7334CDAA" w14:textId="0AAD7D65" w:rsidR="00DF1D73" w:rsidRPr="00B72BF2" w:rsidRDefault="00DF1D73" w:rsidP="00DF1D73">
            <w:pPr>
              <w:pStyle w:val="TableText"/>
            </w:pPr>
            <w:r w:rsidRPr="00B72BF2">
              <w:t>3.3.2 Undertake a trial on heat treatment of containers to develop a method that is practical and able to be implemented</w:t>
            </w:r>
          </w:p>
        </w:tc>
        <w:tc>
          <w:tcPr>
            <w:tcW w:w="919" w:type="pct"/>
            <w:shd w:val="clear" w:color="auto" w:fill="DEF0C2"/>
            <w:tcMar>
              <w:left w:w="108" w:type="dxa"/>
              <w:bottom w:w="28" w:type="dxa"/>
              <w:right w:w="108" w:type="dxa"/>
            </w:tcMar>
          </w:tcPr>
          <w:p w14:paraId="4BC2E8D8" w14:textId="4390BCB5" w:rsidR="00DF1D73" w:rsidRPr="00DE7573" w:rsidRDefault="00DF1D73" w:rsidP="00DF1D73">
            <w:pPr>
              <w:pStyle w:val="TableText"/>
            </w:pPr>
            <w:r>
              <w:t xml:space="preserve">Completed – project finished </w:t>
            </w:r>
          </w:p>
        </w:tc>
        <w:tc>
          <w:tcPr>
            <w:tcW w:w="510" w:type="pct"/>
            <w:shd w:val="clear" w:color="auto" w:fill="auto"/>
            <w:tcMar>
              <w:left w:w="108" w:type="dxa"/>
              <w:bottom w:w="28" w:type="dxa"/>
              <w:right w:w="108" w:type="dxa"/>
            </w:tcMar>
          </w:tcPr>
          <w:p w14:paraId="0F6B8A80" w14:textId="7D61A1DB" w:rsidR="00DF1D73" w:rsidRPr="004D04AB" w:rsidRDefault="00DF1D73" w:rsidP="00DF1D73">
            <w:pPr>
              <w:pStyle w:val="TableText"/>
            </w:pPr>
            <w:r>
              <w:t>Commonwealth (CED)</w:t>
            </w:r>
          </w:p>
        </w:tc>
        <w:tc>
          <w:tcPr>
            <w:tcW w:w="817" w:type="pct"/>
            <w:tcMar>
              <w:left w:w="108" w:type="dxa"/>
              <w:bottom w:w="28" w:type="dxa"/>
              <w:right w:w="108" w:type="dxa"/>
            </w:tcMar>
          </w:tcPr>
          <w:p w14:paraId="2BAD16C9" w14:textId="28639E03" w:rsidR="00DF1D73" w:rsidRPr="00BC13C5" w:rsidRDefault="00DF1D73" w:rsidP="00DF1D73">
            <w:pPr>
              <w:pStyle w:val="TableText"/>
              <w:rPr>
                <w:shd w:val="clear" w:color="auto" w:fill="EEECE1" w:themeFill="background2"/>
              </w:rPr>
            </w:pPr>
            <w:r>
              <w:t xml:space="preserve">Commonwealth </w:t>
            </w:r>
          </w:p>
        </w:tc>
        <w:tc>
          <w:tcPr>
            <w:tcW w:w="713" w:type="pct"/>
            <w:tcMar>
              <w:left w:w="108" w:type="dxa"/>
              <w:bottom w:w="28" w:type="dxa"/>
              <w:right w:w="108" w:type="dxa"/>
            </w:tcMar>
          </w:tcPr>
          <w:p w14:paraId="2A4FDF08" w14:textId="5EED687F" w:rsidR="00DF1D73" w:rsidRPr="003E17DC" w:rsidRDefault="00DF1D73" w:rsidP="0084064B">
            <w:pPr>
              <w:pStyle w:val="TableText"/>
            </w:pPr>
            <w:r w:rsidRPr="00BE74CB">
              <w:t>Relates to action 1.5, 1.6</w:t>
            </w:r>
          </w:p>
        </w:tc>
      </w:tr>
      <w:tr w:rsidR="00B31641" w:rsidRPr="00013AE2" w14:paraId="237A97D2" w14:textId="77777777" w:rsidTr="00787004">
        <w:tc>
          <w:tcPr>
            <w:tcW w:w="1020" w:type="pct"/>
            <w:vMerge/>
            <w:tcMar>
              <w:bottom w:w="28" w:type="dxa"/>
            </w:tcMar>
          </w:tcPr>
          <w:p w14:paraId="1FB08F3E" w14:textId="77777777" w:rsidR="00DF1D73" w:rsidRPr="00EC5CF3" w:rsidRDefault="00DF1D73" w:rsidP="00DF1D73">
            <w:pPr>
              <w:pStyle w:val="TableText"/>
              <w:rPr>
                <w:rStyle w:val="Strong"/>
              </w:rPr>
            </w:pPr>
          </w:p>
        </w:tc>
        <w:tc>
          <w:tcPr>
            <w:tcW w:w="1021" w:type="pct"/>
            <w:tcMar>
              <w:left w:w="108" w:type="dxa"/>
              <w:bottom w:w="28" w:type="dxa"/>
              <w:right w:w="108" w:type="dxa"/>
            </w:tcMar>
          </w:tcPr>
          <w:p w14:paraId="5373F126" w14:textId="61F6033E" w:rsidR="00DF1D73" w:rsidRPr="00B72BF2" w:rsidRDefault="00DF1D73" w:rsidP="00DF1D73">
            <w:pPr>
              <w:pStyle w:val="TableText"/>
            </w:pPr>
            <w:r w:rsidRPr="00B72BF2">
              <w:t>3.3.3 Develop a method for insecticidal treatment of the underfloor, internal floor and door seams using insecticides and other materials including pyrethroid based chemicals, insect growth regulators, and silica</w:t>
            </w:r>
          </w:p>
        </w:tc>
        <w:tc>
          <w:tcPr>
            <w:tcW w:w="919" w:type="pct"/>
            <w:shd w:val="clear" w:color="auto" w:fill="C6D9F1" w:themeFill="text2" w:themeFillTint="33"/>
            <w:tcMar>
              <w:left w:w="108" w:type="dxa"/>
              <w:bottom w:w="28" w:type="dxa"/>
              <w:right w:w="108" w:type="dxa"/>
            </w:tcMar>
          </w:tcPr>
          <w:p w14:paraId="21F71E6A" w14:textId="5359EDFB" w:rsidR="00DF1D73" w:rsidRPr="00B72BF2" w:rsidRDefault="00DF1D73" w:rsidP="00DF1D73">
            <w:pPr>
              <w:pStyle w:val="TableText"/>
            </w:pPr>
            <w:r>
              <w:t xml:space="preserve">Ongoing – business as usual </w:t>
            </w:r>
          </w:p>
        </w:tc>
        <w:tc>
          <w:tcPr>
            <w:tcW w:w="510" w:type="pct"/>
            <w:shd w:val="clear" w:color="auto" w:fill="auto"/>
            <w:tcMar>
              <w:left w:w="108" w:type="dxa"/>
              <w:bottom w:w="28" w:type="dxa"/>
              <w:right w:w="108" w:type="dxa"/>
            </w:tcMar>
          </w:tcPr>
          <w:p w14:paraId="205699A8" w14:textId="3EE02B16" w:rsidR="00DF1D73" w:rsidRPr="004D04AB" w:rsidRDefault="00DF1D73" w:rsidP="00DF1D73">
            <w:pPr>
              <w:pStyle w:val="TableText"/>
            </w:pPr>
            <w:r>
              <w:t>Commonwealth (CED)</w:t>
            </w:r>
          </w:p>
        </w:tc>
        <w:tc>
          <w:tcPr>
            <w:tcW w:w="817" w:type="pct"/>
            <w:tcMar>
              <w:left w:w="108" w:type="dxa"/>
              <w:bottom w:w="28" w:type="dxa"/>
              <w:right w:w="108" w:type="dxa"/>
            </w:tcMar>
          </w:tcPr>
          <w:p w14:paraId="35519102" w14:textId="5A31C39C" w:rsidR="00DF1D73" w:rsidRPr="00BC13C5" w:rsidRDefault="00DF1D73" w:rsidP="00DF1D73">
            <w:pPr>
              <w:pStyle w:val="TableText"/>
              <w:rPr>
                <w:shd w:val="clear" w:color="auto" w:fill="EEECE1" w:themeFill="background2"/>
              </w:rPr>
            </w:pPr>
            <w:r>
              <w:t xml:space="preserve">Commonwealth </w:t>
            </w:r>
          </w:p>
        </w:tc>
        <w:tc>
          <w:tcPr>
            <w:tcW w:w="713" w:type="pct"/>
            <w:tcMar>
              <w:left w:w="108" w:type="dxa"/>
              <w:bottom w:w="28" w:type="dxa"/>
              <w:right w:w="108" w:type="dxa"/>
            </w:tcMar>
          </w:tcPr>
          <w:p w14:paraId="1534BE70" w14:textId="54CEBC55" w:rsidR="00DF1D73" w:rsidRPr="003E17DC" w:rsidRDefault="00DF1D73" w:rsidP="0084064B">
            <w:pPr>
              <w:pStyle w:val="TableText"/>
            </w:pPr>
            <w:r w:rsidRPr="00BE74CB">
              <w:t>Relates to action 1.5, 1.6</w:t>
            </w:r>
          </w:p>
        </w:tc>
      </w:tr>
      <w:tr w:rsidR="00B31641" w:rsidRPr="00013AE2" w14:paraId="5DE9012F" w14:textId="77777777" w:rsidTr="00787004">
        <w:tc>
          <w:tcPr>
            <w:tcW w:w="1020" w:type="pct"/>
            <w:vMerge/>
            <w:tcMar>
              <w:bottom w:w="28" w:type="dxa"/>
            </w:tcMar>
          </w:tcPr>
          <w:p w14:paraId="54262B9A" w14:textId="77777777" w:rsidR="00DF1D73" w:rsidRPr="00EC5CF3" w:rsidRDefault="00DF1D73" w:rsidP="00DF1D73">
            <w:pPr>
              <w:pStyle w:val="TableText"/>
              <w:rPr>
                <w:rStyle w:val="Strong"/>
              </w:rPr>
            </w:pPr>
          </w:p>
        </w:tc>
        <w:tc>
          <w:tcPr>
            <w:tcW w:w="1021" w:type="pct"/>
            <w:tcMar>
              <w:left w:w="108" w:type="dxa"/>
              <w:bottom w:w="28" w:type="dxa"/>
              <w:right w:w="108" w:type="dxa"/>
            </w:tcMar>
          </w:tcPr>
          <w:p w14:paraId="57638F1B" w14:textId="35E74375" w:rsidR="00DF1D73" w:rsidRPr="00B72BF2" w:rsidRDefault="00DF1D73" w:rsidP="00DF1D73">
            <w:pPr>
              <w:pStyle w:val="TableText"/>
            </w:pPr>
            <w:r w:rsidRPr="00B72BF2">
              <w:t xml:space="preserve">3.3.4 Review available chemical use permits and their applications and </w:t>
            </w:r>
            <w:r w:rsidRPr="00B72BF2">
              <w:lastRenderedPageBreak/>
              <w:t>limitations to use in relation to this action</w:t>
            </w:r>
          </w:p>
        </w:tc>
        <w:tc>
          <w:tcPr>
            <w:tcW w:w="919" w:type="pct"/>
            <w:shd w:val="clear" w:color="auto" w:fill="C6D9F1" w:themeFill="text2" w:themeFillTint="33"/>
            <w:tcMar>
              <w:left w:w="108" w:type="dxa"/>
              <w:bottom w:w="28" w:type="dxa"/>
              <w:right w:w="108" w:type="dxa"/>
            </w:tcMar>
          </w:tcPr>
          <w:p w14:paraId="2175E8AF" w14:textId="403C3F51" w:rsidR="00DF1D73" w:rsidRPr="00DE7573" w:rsidRDefault="00DF1D73" w:rsidP="00DF1D73">
            <w:pPr>
              <w:pStyle w:val="TableText"/>
            </w:pPr>
            <w:r>
              <w:lastRenderedPageBreak/>
              <w:t>Ongoing – business as usual</w:t>
            </w:r>
          </w:p>
        </w:tc>
        <w:tc>
          <w:tcPr>
            <w:tcW w:w="510" w:type="pct"/>
            <w:shd w:val="clear" w:color="auto" w:fill="auto"/>
            <w:tcMar>
              <w:left w:w="108" w:type="dxa"/>
              <w:bottom w:w="28" w:type="dxa"/>
              <w:right w:w="108" w:type="dxa"/>
            </w:tcMar>
          </w:tcPr>
          <w:p w14:paraId="436C4E4D" w14:textId="38E1B9BE" w:rsidR="00DF1D73" w:rsidRPr="004D04AB" w:rsidRDefault="00DF1D73" w:rsidP="00DF1D73">
            <w:pPr>
              <w:pStyle w:val="TableText"/>
            </w:pPr>
            <w:r>
              <w:t>Commonwealth (CED)</w:t>
            </w:r>
          </w:p>
        </w:tc>
        <w:tc>
          <w:tcPr>
            <w:tcW w:w="817" w:type="pct"/>
            <w:tcMar>
              <w:left w:w="108" w:type="dxa"/>
              <w:bottom w:w="28" w:type="dxa"/>
              <w:right w:w="108" w:type="dxa"/>
            </w:tcMar>
          </w:tcPr>
          <w:p w14:paraId="2D04B9D0" w14:textId="428088DD" w:rsidR="00DF1D73" w:rsidRPr="00BC13C5" w:rsidRDefault="00DF1D73" w:rsidP="00DF1D73">
            <w:pPr>
              <w:pStyle w:val="TableText"/>
              <w:rPr>
                <w:shd w:val="clear" w:color="auto" w:fill="EEECE1" w:themeFill="background2"/>
              </w:rPr>
            </w:pPr>
            <w:r>
              <w:t xml:space="preserve">Commonwealth </w:t>
            </w:r>
          </w:p>
        </w:tc>
        <w:tc>
          <w:tcPr>
            <w:tcW w:w="713" w:type="pct"/>
            <w:tcMar>
              <w:left w:w="108" w:type="dxa"/>
              <w:bottom w:w="28" w:type="dxa"/>
              <w:right w:w="108" w:type="dxa"/>
            </w:tcMar>
          </w:tcPr>
          <w:p w14:paraId="2959323C" w14:textId="1A1BEDCF" w:rsidR="00DF1D73" w:rsidRPr="003E17DC" w:rsidRDefault="00DF1D73" w:rsidP="0084064B">
            <w:pPr>
              <w:pStyle w:val="TableText"/>
            </w:pPr>
            <w:r w:rsidRPr="00BE74CB">
              <w:t>Relates to action 1.5, 1.6</w:t>
            </w:r>
          </w:p>
        </w:tc>
      </w:tr>
      <w:tr w:rsidR="00B31641" w:rsidRPr="00013AE2" w14:paraId="1191F011" w14:textId="77777777" w:rsidTr="00787004">
        <w:tc>
          <w:tcPr>
            <w:tcW w:w="1020" w:type="pct"/>
            <w:vMerge/>
            <w:tcMar>
              <w:bottom w:w="28" w:type="dxa"/>
            </w:tcMar>
          </w:tcPr>
          <w:p w14:paraId="35B81105" w14:textId="77777777" w:rsidR="00DF1D73" w:rsidRPr="00EC5CF3" w:rsidRDefault="00DF1D73" w:rsidP="00DF1D73">
            <w:pPr>
              <w:pStyle w:val="TableText"/>
              <w:rPr>
                <w:rStyle w:val="Strong"/>
              </w:rPr>
            </w:pPr>
          </w:p>
        </w:tc>
        <w:tc>
          <w:tcPr>
            <w:tcW w:w="1021" w:type="pct"/>
            <w:tcMar>
              <w:left w:w="108" w:type="dxa"/>
              <w:bottom w:w="28" w:type="dxa"/>
              <w:right w:w="108" w:type="dxa"/>
            </w:tcMar>
          </w:tcPr>
          <w:p w14:paraId="7171C8C0" w14:textId="004D7E17" w:rsidR="00DF1D73" w:rsidRPr="00B72BF2" w:rsidRDefault="00DF1D73" w:rsidP="00DF1D73">
            <w:pPr>
              <w:pStyle w:val="TableText"/>
            </w:pPr>
            <w:r w:rsidRPr="00B72BF2">
              <w:t>3.3.5 Given the urban nature of recent and some past detections, consideration of treatment options that do not use chemicals. For various reasons, a chemical treatment may not be feasible in all instances and alternate actions should be assessed ahead of time</w:t>
            </w:r>
          </w:p>
        </w:tc>
        <w:tc>
          <w:tcPr>
            <w:tcW w:w="919" w:type="pct"/>
            <w:shd w:val="clear" w:color="auto" w:fill="C6D9F1" w:themeFill="text2" w:themeFillTint="33"/>
            <w:tcMar>
              <w:left w:w="108" w:type="dxa"/>
              <w:bottom w:w="28" w:type="dxa"/>
              <w:right w:w="108" w:type="dxa"/>
            </w:tcMar>
          </w:tcPr>
          <w:p w14:paraId="7352FD2F" w14:textId="77777777" w:rsidR="003E0EDC" w:rsidRDefault="00DF1D73" w:rsidP="00DF1D73">
            <w:pPr>
              <w:pStyle w:val="TableText"/>
            </w:pPr>
            <w:r>
              <w:t>Ongoing – business as usual</w:t>
            </w:r>
            <w:r w:rsidR="003E0EDC" w:rsidRPr="00B72BF2">
              <w:t xml:space="preserve"> </w:t>
            </w:r>
          </w:p>
          <w:p w14:paraId="352F6915" w14:textId="7F296D4C" w:rsidR="00DF1D73" w:rsidRPr="00DE7573" w:rsidRDefault="003E0EDC" w:rsidP="00DF1D73">
            <w:pPr>
              <w:pStyle w:val="TableText"/>
            </w:pPr>
            <w:r w:rsidRPr="00B72BF2">
              <w:t>Decision-support tools to help select or assess treatment options for a particular circumstance may also be beneficial to develop―as would an assessment tool to determine any likely residual risk of infestation after certain treatment applications.</w:t>
            </w:r>
          </w:p>
        </w:tc>
        <w:tc>
          <w:tcPr>
            <w:tcW w:w="510" w:type="pct"/>
            <w:shd w:val="clear" w:color="auto" w:fill="auto"/>
            <w:tcMar>
              <w:left w:w="108" w:type="dxa"/>
              <w:bottom w:w="28" w:type="dxa"/>
              <w:right w:w="108" w:type="dxa"/>
            </w:tcMar>
          </w:tcPr>
          <w:p w14:paraId="76DF23DE" w14:textId="469F8431" w:rsidR="00DF1D73" w:rsidRPr="004D04AB" w:rsidRDefault="00DF1D73" w:rsidP="00DF1D73">
            <w:pPr>
              <w:pStyle w:val="TableText"/>
            </w:pPr>
            <w:r>
              <w:t>Commonwealth (CED)</w:t>
            </w:r>
          </w:p>
        </w:tc>
        <w:tc>
          <w:tcPr>
            <w:tcW w:w="817" w:type="pct"/>
            <w:tcMar>
              <w:left w:w="108" w:type="dxa"/>
              <w:bottom w:w="28" w:type="dxa"/>
              <w:right w:w="108" w:type="dxa"/>
            </w:tcMar>
          </w:tcPr>
          <w:p w14:paraId="696FE24C" w14:textId="3B1128ED" w:rsidR="00DF1D73" w:rsidRPr="00BC13C5" w:rsidRDefault="00DF1D73" w:rsidP="00DF1D73">
            <w:pPr>
              <w:pStyle w:val="TableText"/>
              <w:rPr>
                <w:shd w:val="clear" w:color="auto" w:fill="EEECE1" w:themeFill="background2"/>
              </w:rPr>
            </w:pPr>
            <w:r>
              <w:t xml:space="preserve">Commonwealth </w:t>
            </w:r>
          </w:p>
        </w:tc>
        <w:tc>
          <w:tcPr>
            <w:tcW w:w="713" w:type="pct"/>
            <w:tcMar>
              <w:left w:w="108" w:type="dxa"/>
              <w:bottom w:w="28" w:type="dxa"/>
              <w:right w:w="108" w:type="dxa"/>
            </w:tcMar>
          </w:tcPr>
          <w:p w14:paraId="0449781F" w14:textId="3C7EEB60" w:rsidR="00DF1D73" w:rsidRPr="003E17DC" w:rsidRDefault="00DF1D73" w:rsidP="0084064B">
            <w:pPr>
              <w:pStyle w:val="TableText"/>
            </w:pPr>
            <w:r w:rsidRPr="00BE74CB">
              <w:t>Relates to action 1.5, 1.6</w:t>
            </w:r>
          </w:p>
        </w:tc>
      </w:tr>
      <w:tr w:rsidR="00B31641" w:rsidRPr="00013AE2" w14:paraId="77811735" w14:textId="77777777" w:rsidTr="00787004">
        <w:tc>
          <w:tcPr>
            <w:tcW w:w="1020" w:type="pct"/>
            <w:vMerge w:val="restart"/>
            <w:tcMar>
              <w:bottom w:w="28" w:type="dxa"/>
            </w:tcMar>
          </w:tcPr>
          <w:p w14:paraId="6E6A55CB" w14:textId="4B308840" w:rsidR="00DF1D73" w:rsidRPr="00EC5CF3" w:rsidRDefault="00DF1D73" w:rsidP="00DF1D73">
            <w:pPr>
              <w:pStyle w:val="TableText"/>
              <w:rPr>
                <w:rStyle w:val="Strong"/>
                <w:b w:val="0"/>
                <w:bCs w:val="0"/>
              </w:rPr>
            </w:pPr>
            <w:r w:rsidRPr="00EC5CF3">
              <w:rPr>
                <w:rStyle w:val="Strong"/>
              </w:rPr>
              <w:t>Action 3.4</w:t>
            </w:r>
            <w:r w:rsidRPr="00EC5CF3">
              <w:rPr>
                <w:rStyle w:val="Strong"/>
                <w:b w:val="0"/>
                <w:bCs w:val="0"/>
              </w:rPr>
              <w:t xml:space="preserve">: </w:t>
            </w:r>
            <w:r w:rsidRPr="00EC5CF3">
              <w:t>Develop comprehensive national contingency plans and supporting operational procedures. Validate these measures using a national simulation exercise.</w:t>
            </w:r>
          </w:p>
          <w:p w14:paraId="006A51F9" w14:textId="11567A1E" w:rsidR="00DF1D73" w:rsidRPr="00EC5CF3" w:rsidRDefault="00DF1D73" w:rsidP="00DF1D73">
            <w:pPr>
              <w:pStyle w:val="TableText"/>
            </w:pPr>
            <w:r w:rsidRPr="00EC5CF3">
              <w:rPr>
                <w:rStyle w:val="Strong"/>
              </w:rPr>
              <w:t>Expected benefit and outcome:</w:t>
            </w:r>
            <w:r w:rsidRPr="00EC5CF3">
              <w:t xml:space="preserve"> Ensure agencies and industry are response ready for a </w:t>
            </w:r>
            <w:r w:rsidR="00020290">
              <w:t>Khapra</w:t>
            </w:r>
            <w:r w:rsidRPr="00EC5CF3">
              <w:t xml:space="preserve"> beetle incursion.</w:t>
            </w:r>
          </w:p>
          <w:p w14:paraId="09D76F70" w14:textId="3F121596" w:rsidR="00DF1D73" w:rsidRPr="00EC5CF3" w:rsidRDefault="00DF1D73" w:rsidP="00DF1D73">
            <w:pPr>
              <w:pStyle w:val="TableText"/>
            </w:pPr>
            <w:r w:rsidRPr="00EC5CF3">
              <w:rPr>
                <w:rStyle w:val="Strong"/>
              </w:rPr>
              <w:t>Priority:</w:t>
            </w:r>
            <w:r w:rsidRPr="00EC5CF3">
              <w:rPr>
                <w:rStyle w:val="Strong"/>
                <w:b w:val="0"/>
                <w:bCs w:val="0"/>
              </w:rPr>
              <w:t xml:space="preserve"> high</w:t>
            </w:r>
          </w:p>
          <w:p w14:paraId="71C256DA" w14:textId="2BDCD7BD" w:rsidR="00DF1D73" w:rsidRPr="00EC5CF3" w:rsidRDefault="00DF1D73" w:rsidP="00DF1D73">
            <w:pPr>
              <w:pStyle w:val="TableText"/>
              <w:rPr>
                <w:rStyle w:val="Strong"/>
                <w:b w:val="0"/>
                <w:bCs w:val="0"/>
              </w:rPr>
            </w:pPr>
            <w:r w:rsidRPr="00EC5CF3">
              <w:rPr>
                <w:rStyle w:val="Strong"/>
              </w:rPr>
              <w:t>Time frame:</w:t>
            </w:r>
            <w:r w:rsidRPr="00EC5CF3">
              <w:rPr>
                <w:rStyle w:val="Strong"/>
                <w:b w:val="0"/>
                <w:bCs w:val="0"/>
              </w:rPr>
              <w:t xml:space="preserve"> medium </w:t>
            </w:r>
            <w:r w:rsidRPr="00EC5CF3">
              <w:t>term</w:t>
            </w:r>
          </w:p>
        </w:tc>
        <w:tc>
          <w:tcPr>
            <w:tcW w:w="1021" w:type="pct"/>
            <w:tcMar>
              <w:left w:w="108" w:type="dxa"/>
              <w:bottom w:w="28" w:type="dxa"/>
              <w:right w:w="108" w:type="dxa"/>
            </w:tcMar>
          </w:tcPr>
          <w:p w14:paraId="478AD3BE" w14:textId="37EAE251" w:rsidR="00DF1D73" w:rsidRPr="00B72BF2" w:rsidRDefault="00DF1D73" w:rsidP="00DF1D73">
            <w:pPr>
              <w:pStyle w:val="TableText"/>
            </w:pPr>
            <w:r w:rsidRPr="00B72BF2">
              <w:t>3.4.1 National simulation exercises should be conducted to reflect new treatments, diagnostic methods and surveillance techniques. One exercise should cover the pre-border and border scenarios</w:t>
            </w:r>
          </w:p>
        </w:tc>
        <w:tc>
          <w:tcPr>
            <w:tcW w:w="919" w:type="pct"/>
            <w:shd w:val="clear" w:color="auto" w:fill="F2DBDB" w:themeFill="accent2" w:themeFillTint="33"/>
            <w:tcMar>
              <w:left w:w="108" w:type="dxa"/>
              <w:bottom w:w="28" w:type="dxa"/>
              <w:right w:w="108" w:type="dxa"/>
            </w:tcMar>
          </w:tcPr>
          <w:p w14:paraId="51590F6F" w14:textId="77777777" w:rsidR="00870188" w:rsidRDefault="00870188" w:rsidP="00DF1D73">
            <w:pPr>
              <w:pStyle w:val="TableText"/>
            </w:pPr>
            <w:r>
              <w:t xml:space="preserve">Pending </w:t>
            </w:r>
          </w:p>
          <w:p w14:paraId="132D113D" w14:textId="3D97850D" w:rsidR="00870188" w:rsidRDefault="00870188" w:rsidP="00DF1D73">
            <w:pPr>
              <w:pStyle w:val="TableText"/>
            </w:pPr>
          </w:p>
          <w:p w14:paraId="33EA0541" w14:textId="64C92213" w:rsidR="00DF1D73" w:rsidRPr="00BC13C5" w:rsidRDefault="00DF1D73" w:rsidP="00DF1D73">
            <w:pPr>
              <w:pStyle w:val="TableText"/>
              <w:rPr>
                <w:shd w:val="clear" w:color="auto" w:fill="EEECE1" w:themeFill="background2"/>
              </w:rPr>
            </w:pPr>
            <w:r w:rsidRPr="00B72BF2">
              <w:t>The timing for any national simulation exercises is yet to be determined and is dependent on resourcing. It is suggested that any simulation exercises would occur at a later time noting that between 2020-2022 there were three national responses to Khapra beetle, and DAFF is preparing a Khapra beetle strategy document</w:t>
            </w:r>
            <w:r>
              <w:t>.</w:t>
            </w:r>
          </w:p>
        </w:tc>
        <w:tc>
          <w:tcPr>
            <w:tcW w:w="510" w:type="pct"/>
            <w:tcMar>
              <w:left w:w="108" w:type="dxa"/>
              <w:bottom w:w="28" w:type="dxa"/>
              <w:right w:w="108" w:type="dxa"/>
            </w:tcMar>
          </w:tcPr>
          <w:p w14:paraId="33D8514D" w14:textId="5EBE0BAE" w:rsidR="00DF1D73" w:rsidRPr="00A25A0F" w:rsidRDefault="00DF1D73" w:rsidP="00DF1D73">
            <w:pPr>
              <w:pStyle w:val="TableText"/>
            </w:pPr>
            <w:r w:rsidRPr="00A25A0F">
              <w:t xml:space="preserve">To be determined </w:t>
            </w:r>
          </w:p>
        </w:tc>
        <w:tc>
          <w:tcPr>
            <w:tcW w:w="817" w:type="pct"/>
            <w:tcMar>
              <w:left w:w="108" w:type="dxa"/>
              <w:bottom w:w="28" w:type="dxa"/>
              <w:right w:w="108" w:type="dxa"/>
            </w:tcMar>
          </w:tcPr>
          <w:p w14:paraId="0CB3C3C7" w14:textId="19C70897" w:rsidR="00DF1D73" w:rsidRPr="00870188" w:rsidRDefault="002B4547" w:rsidP="002B4547">
            <w:pPr>
              <w:pStyle w:val="TableText"/>
            </w:pPr>
            <w:r w:rsidRPr="00870188">
              <w:t>Not applicable</w:t>
            </w:r>
          </w:p>
        </w:tc>
        <w:tc>
          <w:tcPr>
            <w:tcW w:w="713" w:type="pct"/>
            <w:tcMar>
              <w:left w:w="108" w:type="dxa"/>
              <w:bottom w:w="28" w:type="dxa"/>
              <w:right w:w="108" w:type="dxa"/>
            </w:tcMar>
          </w:tcPr>
          <w:p w14:paraId="676A63BC" w14:textId="09032F21" w:rsidR="00DF1D73" w:rsidRPr="00870188" w:rsidRDefault="002B4547" w:rsidP="002B4547">
            <w:pPr>
              <w:pStyle w:val="TableText"/>
            </w:pPr>
            <w:r w:rsidRPr="00870188">
              <w:t xml:space="preserve">Not applicable </w:t>
            </w:r>
          </w:p>
        </w:tc>
      </w:tr>
      <w:tr w:rsidR="00B31641" w:rsidRPr="00013AE2" w14:paraId="4B70BF77" w14:textId="77777777" w:rsidTr="002027E3">
        <w:tc>
          <w:tcPr>
            <w:tcW w:w="1020" w:type="pct"/>
            <w:vMerge/>
            <w:tcMar>
              <w:bottom w:w="28" w:type="dxa"/>
            </w:tcMar>
          </w:tcPr>
          <w:p w14:paraId="2B261EA3" w14:textId="77777777" w:rsidR="00DF1D73" w:rsidRPr="00EC5CF3" w:rsidRDefault="00DF1D73" w:rsidP="00DF1D73">
            <w:pPr>
              <w:pStyle w:val="TableText"/>
              <w:rPr>
                <w:rStyle w:val="Strong"/>
              </w:rPr>
            </w:pPr>
          </w:p>
        </w:tc>
        <w:tc>
          <w:tcPr>
            <w:tcW w:w="1021" w:type="pct"/>
            <w:tcMar>
              <w:left w:w="108" w:type="dxa"/>
              <w:bottom w:w="28" w:type="dxa"/>
              <w:right w:w="108" w:type="dxa"/>
            </w:tcMar>
          </w:tcPr>
          <w:p w14:paraId="707214A0" w14:textId="31DD5C2E" w:rsidR="00DF1D73" w:rsidRPr="00B72BF2" w:rsidRDefault="00DF1D73" w:rsidP="00DF1D73">
            <w:pPr>
              <w:pStyle w:val="TableText"/>
            </w:pPr>
            <w:r w:rsidRPr="00B72BF2">
              <w:t xml:space="preserve">3.4.2 Revise </w:t>
            </w:r>
            <w:hyperlink r:id="rId29" w:history="1">
              <w:r w:rsidRPr="00B72BF2">
                <w:t xml:space="preserve">Plant Health Australia’s 2005 Industry Biosecurity Plan for the Grains Industry </w:t>
              </w:r>
              <w:r w:rsidR="009953A3">
                <w:t>–</w:t>
              </w:r>
              <w:r w:rsidRPr="00B72BF2">
                <w:t xml:space="preserve"> Threat Specific Contingency Plan</w:t>
              </w:r>
            </w:hyperlink>
          </w:p>
        </w:tc>
        <w:tc>
          <w:tcPr>
            <w:tcW w:w="919" w:type="pct"/>
            <w:shd w:val="clear" w:color="auto" w:fill="DEF0C2"/>
            <w:tcMar>
              <w:left w:w="108" w:type="dxa"/>
              <w:bottom w:w="28" w:type="dxa"/>
              <w:right w:w="108" w:type="dxa"/>
            </w:tcMar>
          </w:tcPr>
          <w:p w14:paraId="177D67A2" w14:textId="77777777" w:rsidR="00DF1D73" w:rsidRDefault="00DF1D73" w:rsidP="00DF1D73">
            <w:pPr>
              <w:pStyle w:val="TableText"/>
            </w:pPr>
            <w:r w:rsidRPr="00B72BF2">
              <w:t>Completed – project finished.</w:t>
            </w:r>
          </w:p>
          <w:p w14:paraId="6571F2D8" w14:textId="0390C219" w:rsidR="00764AB8" w:rsidRPr="00B72BF2" w:rsidRDefault="00764AB8" w:rsidP="00DF1D73">
            <w:pPr>
              <w:pStyle w:val="TableText"/>
            </w:pPr>
            <w:r>
              <w:t xml:space="preserve">Grains </w:t>
            </w:r>
            <w:r w:rsidR="00F73151">
              <w:t>industry biosecurity plan</w:t>
            </w:r>
            <w:r>
              <w:t xml:space="preserve"> 4.0 (2023)</w:t>
            </w:r>
          </w:p>
          <w:p w14:paraId="57AC4455" w14:textId="77777777" w:rsidR="00DF1D73" w:rsidRPr="00B72BF2" w:rsidRDefault="00DF1D73" w:rsidP="00DF1D73">
            <w:pPr>
              <w:pStyle w:val="TableText"/>
            </w:pPr>
            <w:r w:rsidRPr="00B72BF2">
              <w:t>The completed contingency plan provides a nationally agreed and updated approach to contingency planning for the grains industry high priority pests.</w:t>
            </w:r>
          </w:p>
          <w:p w14:paraId="06C6615A" w14:textId="77777777" w:rsidR="00DF1D73" w:rsidRPr="00B72BF2" w:rsidRDefault="00DF1D73" w:rsidP="00DF1D73">
            <w:pPr>
              <w:pStyle w:val="TableText"/>
            </w:pPr>
            <w:r w:rsidRPr="00B72BF2">
              <w:t xml:space="preserve">Agriculture Victoria has since developed a modular </w:t>
            </w:r>
            <w:r w:rsidRPr="00B72BF2">
              <w:lastRenderedPageBreak/>
              <w:t>contingency plan structure and user requirements for a portal that is expected to host threat specific contingency information.</w:t>
            </w:r>
          </w:p>
          <w:p w14:paraId="03915F77" w14:textId="77777777" w:rsidR="00DF1D73" w:rsidRPr="00B72BF2" w:rsidRDefault="00DF1D73" w:rsidP="00DF1D73">
            <w:pPr>
              <w:pStyle w:val="TableText"/>
            </w:pPr>
            <w:r w:rsidRPr="00B72BF2">
              <w:t>Agriculture Victoria has used existing Brown Marmorated Stink Bug (BMSB) material to trial the structure’s functionality. In addition, Department of Agriculture and Fisheries (Queensland) developed a contingency plan for the nursery industry trialled the modular structure for this project.</w:t>
            </w:r>
          </w:p>
          <w:p w14:paraId="638E2DEB" w14:textId="2BD80DB4" w:rsidR="00DF1D73" w:rsidRPr="00B72BF2" w:rsidRDefault="00DF1D73" w:rsidP="00DF1D73">
            <w:pPr>
              <w:pStyle w:val="TableText"/>
            </w:pPr>
            <w:r w:rsidRPr="00B72BF2">
              <w:t>Ongoing financial support to host the final IT system is still to be determined.</w:t>
            </w:r>
            <w:r w:rsidR="003863EC">
              <w:t xml:space="preserve"> </w:t>
            </w:r>
            <w:hyperlink r:id="rId30" w:history="1">
              <w:r w:rsidR="003863EC">
                <w:rPr>
                  <w:rStyle w:val="Hyperlink"/>
                </w:rPr>
                <w:t>Grains – Plant Health Australia</w:t>
              </w:r>
            </w:hyperlink>
          </w:p>
        </w:tc>
        <w:tc>
          <w:tcPr>
            <w:tcW w:w="510" w:type="pct"/>
            <w:tcMar>
              <w:left w:w="108" w:type="dxa"/>
              <w:bottom w:w="28" w:type="dxa"/>
              <w:right w:w="108" w:type="dxa"/>
            </w:tcMar>
          </w:tcPr>
          <w:p w14:paraId="60846A82" w14:textId="12A01545" w:rsidR="00737C3D" w:rsidRPr="00A25A0F" w:rsidRDefault="00DF1D73" w:rsidP="00DF1D73">
            <w:pPr>
              <w:pStyle w:val="TableText"/>
            </w:pPr>
            <w:r w:rsidRPr="00A25A0F">
              <w:lastRenderedPageBreak/>
              <w:t>PHA</w:t>
            </w:r>
          </w:p>
        </w:tc>
        <w:tc>
          <w:tcPr>
            <w:tcW w:w="817" w:type="pct"/>
            <w:tcMar>
              <w:left w:w="108" w:type="dxa"/>
              <w:bottom w:w="28" w:type="dxa"/>
              <w:right w:w="108" w:type="dxa"/>
            </w:tcMar>
          </w:tcPr>
          <w:p w14:paraId="52F6EAC5" w14:textId="6E73EC7A" w:rsidR="00DF1D73" w:rsidRPr="00BC13C5" w:rsidRDefault="00764AB8" w:rsidP="00DF1D73">
            <w:pPr>
              <w:pStyle w:val="TableText"/>
              <w:rPr>
                <w:shd w:val="clear" w:color="auto" w:fill="EEECE1" w:themeFill="background2"/>
              </w:rPr>
            </w:pPr>
            <w:r>
              <w:rPr>
                <w:shd w:val="clear" w:color="auto" w:fill="EEECE1" w:themeFill="background2"/>
              </w:rPr>
              <w:t>GRDC</w:t>
            </w:r>
          </w:p>
        </w:tc>
        <w:tc>
          <w:tcPr>
            <w:tcW w:w="713" w:type="pct"/>
            <w:tcMar>
              <w:left w:w="108" w:type="dxa"/>
              <w:bottom w:w="28" w:type="dxa"/>
              <w:right w:w="108" w:type="dxa"/>
            </w:tcMar>
          </w:tcPr>
          <w:p w14:paraId="659976D5" w14:textId="5DDD3830" w:rsidR="00DF1D73" w:rsidRPr="005B7DB3" w:rsidRDefault="002B4547" w:rsidP="002B4547">
            <w:pPr>
              <w:pStyle w:val="TableText"/>
            </w:pPr>
            <w:r w:rsidRPr="005B7DB3">
              <w:t>Not applicable</w:t>
            </w:r>
          </w:p>
        </w:tc>
      </w:tr>
    </w:tbl>
    <w:p w14:paraId="2A90BD70" w14:textId="77777777" w:rsidR="00424757" w:rsidRDefault="00424757" w:rsidP="00106C85">
      <w:pPr>
        <w:pStyle w:val="Caption"/>
        <w:sectPr w:rsidR="00424757" w:rsidSect="00180FF6">
          <w:pgSz w:w="16838" w:h="11906" w:orient="landscape"/>
          <w:pgMar w:top="1418" w:right="1418" w:bottom="851" w:left="1418" w:header="567" w:footer="283" w:gutter="0"/>
          <w:cols w:space="708"/>
          <w:docGrid w:linePitch="360"/>
        </w:sectPr>
      </w:pPr>
      <w:bookmarkStart w:id="8" w:name="_Ref132111949"/>
      <w:bookmarkStart w:id="9" w:name="Table_4_Action_area_4_Cross_cutting"/>
      <w:bookmarkEnd w:id="7"/>
    </w:p>
    <w:p w14:paraId="4949D0ED" w14:textId="6DD90DA6" w:rsidR="00620E16" w:rsidRPr="00106C85" w:rsidRDefault="00106C85" w:rsidP="00106C85">
      <w:pPr>
        <w:pStyle w:val="Caption"/>
      </w:pPr>
      <w:r>
        <w:lastRenderedPageBreak/>
        <w:t xml:space="preserve">Table </w:t>
      </w:r>
      <w:r w:rsidR="00C842D9">
        <w:fldChar w:fldCharType="begin"/>
      </w:r>
      <w:r w:rsidR="00C842D9">
        <w:instrText xml:space="preserve"> SEQ Table \* ARABIC </w:instrText>
      </w:r>
      <w:r w:rsidR="00C842D9">
        <w:fldChar w:fldCharType="separate"/>
      </w:r>
      <w:r w:rsidR="00CC4B1A">
        <w:rPr>
          <w:noProof/>
        </w:rPr>
        <w:t>4</w:t>
      </w:r>
      <w:r w:rsidR="00C842D9">
        <w:rPr>
          <w:noProof/>
        </w:rPr>
        <w:fldChar w:fldCharType="end"/>
      </w:r>
      <w:bookmarkEnd w:id="8"/>
      <w:r>
        <w:t xml:space="preserve"> </w:t>
      </w:r>
      <w:r w:rsidR="00620E16" w:rsidRPr="00106C85">
        <w:t xml:space="preserve">Implementation of activities for </w:t>
      </w:r>
      <w:r w:rsidR="00004733">
        <w:t>A</w:t>
      </w:r>
      <w:r w:rsidR="00620E16" w:rsidRPr="00106C85">
        <w:t>rea 4: Cross</w:t>
      </w:r>
      <w:r w:rsidR="00C83DBA" w:rsidRPr="00106C85">
        <w:t>–</w:t>
      </w:r>
      <w:r w:rsidR="00620E16" w:rsidRPr="00106C85">
        <w:t>cutting</w:t>
      </w:r>
    </w:p>
    <w:tbl>
      <w:tblPr>
        <w:tblW w:w="4959"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37"/>
        <w:gridCol w:w="2834"/>
        <w:gridCol w:w="2551"/>
        <w:gridCol w:w="1416"/>
        <w:gridCol w:w="2266"/>
        <w:gridCol w:w="1983"/>
      </w:tblGrid>
      <w:tr w:rsidR="00716806" w:rsidRPr="00F81ECF" w14:paraId="2F6E5C32" w14:textId="77777777" w:rsidTr="002027E3">
        <w:trPr>
          <w:tblHeader/>
        </w:trPr>
        <w:tc>
          <w:tcPr>
            <w:tcW w:w="1021" w:type="pct"/>
            <w:tcMar>
              <w:bottom w:w="28" w:type="dxa"/>
            </w:tcMar>
          </w:tcPr>
          <w:bookmarkEnd w:id="9"/>
          <w:p w14:paraId="2FE0E506" w14:textId="77777777" w:rsidR="00620E16" w:rsidRPr="00A8715D" w:rsidRDefault="00620E16" w:rsidP="009F0489">
            <w:pPr>
              <w:pStyle w:val="TableHeading"/>
            </w:pPr>
            <w:r>
              <w:t>Action</w:t>
            </w:r>
          </w:p>
        </w:tc>
        <w:tc>
          <w:tcPr>
            <w:tcW w:w="1020" w:type="pct"/>
            <w:tcMar>
              <w:left w:w="108" w:type="dxa"/>
              <w:bottom w:w="28" w:type="dxa"/>
              <w:right w:w="108" w:type="dxa"/>
            </w:tcMar>
          </w:tcPr>
          <w:p w14:paraId="61BED13F" w14:textId="77777777" w:rsidR="00620E16" w:rsidRPr="00261848" w:rsidRDefault="00620E16" w:rsidP="009F0489">
            <w:pPr>
              <w:pStyle w:val="TableHeading"/>
            </w:pPr>
            <w:r w:rsidRPr="00261848">
              <w:t>Project or business</w:t>
            </w:r>
            <w:r>
              <w:t>-</w:t>
            </w:r>
            <w:r w:rsidRPr="00261848">
              <w:t>as</w:t>
            </w:r>
            <w:r>
              <w:t>-</w:t>
            </w:r>
            <w:r w:rsidRPr="00261848">
              <w:t>usual activity</w:t>
            </w:r>
          </w:p>
        </w:tc>
        <w:tc>
          <w:tcPr>
            <w:tcW w:w="918" w:type="pct"/>
            <w:tcMar>
              <w:left w:w="108" w:type="dxa"/>
              <w:bottom w:w="28" w:type="dxa"/>
              <w:right w:w="108" w:type="dxa"/>
            </w:tcMar>
          </w:tcPr>
          <w:p w14:paraId="706E5552" w14:textId="20625A2D" w:rsidR="00620E16" w:rsidRPr="00261848" w:rsidRDefault="00620E16" w:rsidP="009F0489">
            <w:pPr>
              <w:pStyle w:val="TableHeading"/>
            </w:pPr>
            <w:r w:rsidRPr="00261848">
              <w:t xml:space="preserve">Status </w:t>
            </w:r>
          </w:p>
        </w:tc>
        <w:tc>
          <w:tcPr>
            <w:tcW w:w="510" w:type="pct"/>
            <w:tcMar>
              <w:left w:w="108" w:type="dxa"/>
              <w:bottom w:w="28" w:type="dxa"/>
              <w:right w:w="108" w:type="dxa"/>
            </w:tcMar>
          </w:tcPr>
          <w:p w14:paraId="53CC1928" w14:textId="77777777" w:rsidR="00620E16" w:rsidRPr="00261848" w:rsidRDefault="00620E16" w:rsidP="009F0489">
            <w:pPr>
              <w:pStyle w:val="TableHeading"/>
            </w:pPr>
            <w:r w:rsidRPr="00261848">
              <w:t>Lead organisation</w:t>
            </w:r>
          </w:p>
        </w:tc>
        <w:tc>
          <w:tcPr>
            <w:tcW w:w="816" w:type="pct"/>
            <w:tcMar>
              <w:left w:w="108" w:type="dxa"/>
              <w:bottom w:w="28" w:type="dxa"/>
              <w:right w:w="108" w:type="dxa"/>
            </w:tcMar>
          </w:tcPr>
          <w:p w14:paraId="57EE02CC" w14:textId="77777777" w:rsidR="00620E16" w:rsidRPr="00261848" w:rsidRDefault="00620E16" w:rsidP="009F0489">
            <w:pPr>
              <w:pStyle w:val="TableHeading"/>
            </w:pPr>
            <w:r w:rsidRPr="00261848">
              <w:t>Contributors (financial and in-kind)</w:t>
            </w:r>
          </w:p>
        </w:tc>
        <w:tc>
          <w:tcPr>
            <w:tcW w:w="714" w:type="pct"/>
            <w:tcMar>
              <w:left w:w="108" w:type="dxa"/>
              <w:bottom w:w="28" w:type="dxa"/>
              <w:right w:w="108" w:type="dxa"/>
            </w:tcMar>
          </w:tcPr>
          <w:p w14:paraId="60EE4232" w14:textId="77777777" w:rsidR="00620E16" w:rsidRPr="00261848" w:rsidRDefault="00620E16" w:rsidP="009F0489">
            <w:pPr>
              <w:pStyle w:val="TableHeading"/>
            </w:pPr>
            <w:r w:rsidRPr="00261848">
              <w:t>Dependencies</w:t>
            </w:r>
          </w:p>
        </w:tc>
      </w:tr>
      <w:tr w:rsidR="00716806" w:rsidRPr="00013AE2" w14:paraId="583CFFB6" w14:textId="77777777" w:rsidTr="002027E3">
        <w:trPr>
          <w:trHeight w:val="3131"/>
        </w:trPr>
        <w:tc>
          <w:tcPr>
            <w:tcW w:w="1021" w:type="pct"/>
            <w:tcMar>
              <w:bottom w:w="28" w:type="dxa"/>
            </w:tcMar>
          </w:tcPr>
          <w:p w14:paraId="3B6A6DC7" w14:textId="32D5FFB9" w:rsidR="00296E9A" w:rsidRPr="00A25A0F" w:rsidRDefault="00296E9A" w:rsidP="00A25A0F">
            <w:pPr>
              <w:pStyle w:val="TableText"/>
              <w:rPr>
                <w:rStyle w:val="Strong"/>
                <w:b w:val="0"/>
                <w:bCs w:val="0"/>
              </w:rPr>
            </w:pPr>
            <w:r w:rsidRPr="00A25A0F">
              <w:rPr>
                <w:rStyle w:val="Strong"/>
              </w:rPr>
              <w:t>Action 4.1:</w:t>
            </w:r>
            <w:r w:rsidRPr="00A25A0F">
              <w:rPr>
                <w:rStyle w:val="Strong"/>
                <w:b w:val="0"/>
                <w:bCs w:val="0"/>
              </w:rPr>
              <w:t xml:space="preserve"> </w:t>
            </w:r>
            <w:r w:rsidR="00A25A0F" w:rsidRPr="00A25A0F">
              <w:t xml:space="preserve">Develop an overarching communication and engagement </w:t>
            </w:r>
            <w:proofErr w:type="gramStart"/>
            <w:r w:rsidR="00A25A0F" w:rsidRPr="00A25A0F">
              <w:t>strategy, and</w:t>
            </w:r>
            <w:proofErr w:type="gramEnd"/>
            <w:r w:rsidR="00A25A0F" w:rsidRPr="00A25A0F">
              <w:t xml:space="preserve"> deliver targeted activities relevant to the stakeholder group (industry, community, government)</w:t>
            </w:r>
            <w:r w:rsidR="00A25A0F">
              <w:t>.</w:t>
            </w:r>
          </w:p>
          <w:p w14:paraId="7D023026" w14:textId="10A39B02" w:rsidR="00296E9A" w:rsidRPr="00A25A0F" w:rsidRDefault="00296E9A" w:rsidP="00A25A0F">
            <w:pPr>
              <w:pStyle w:val="TableText"/>
            </w:pPr>
            <w:r w:rsidRPr="00A25A0F">
              <w:rPr>
                <w:rStyle w:val="Strong"/>
              </w:rPr>
              <w:t>Expected benefit and outcome:</w:t>
            </w:r>
            <w:r w:rsidR="00A25A0F" w:rsidRPr="00A25A0F">
              <w:t xml:space="preserve"> To mitigate the risk of a </w:t>
            </w:r>
            <w:r w:rsidR="00020290">
              <w:t>Khapra</w:t>
            </w:r>
            <w:r w:rsidR="00A25A0F" w:rsidRPr="00A25A0F">
              <w:t xml:space="preserve"> beetle incursion through raising biosecurity awareness among stakeholder groups (industry, community, government).</w:t>
            </w:r>
          </w:p>
          <w:p w14:paraId="57FE1F3C" w14:textId="1CB9A7C8" w:rsidR="00296E9A" w:rsidRPr="00A25A0F" w:rsidRDefault="00296E9A" w:rsidP="00A25A0F">
            <w:pPr>
              <w:pStyle w:val="TableText"/>
            </w:pPr>
            <w:r w:rsidRPr="00A25A0F">
              <w:rPr>
                <w:rStyle w:val="Strong"/>
              </w:rPr>
              <w:t>Priority:</w:t>
            </w:r>
            <w:r w:rsidR="0025515F" w:rsidRPr="00A25A0F">
              <w:rPr>
                <w:rStyle w:val="Strong"/>
                <w:b w:val="0"/>
                <w:bCs w:val="0"/>
              </w:rPr>
              <w:t xml:space="preserve"> high</w:t>
            </w:r>
          </w:p>
          <w:p w14:paraId="3EB82735" w14:textId="4B011D55" w:rsidR="00FB0E52" w:rsidRPr="00EA74C1" w:rsidRDefault="00296E9A" w:rsidP="00A25A0F">
            <w:pPr>
              <w:pStyle w:val="TableText"/>
            </w:pPr>
            <w:r w:rsidRPr="00A25A0F">
              <w:rPr>
                <w:rStyle w:val="Strong"/>
              </w:rPr>
              <w:t>Time frame:</w:t>
            </w:r>
            <w:r w:rsidRPr="00A25A0F">
              <w:rPr>
                <w:rStyle w:val="Strong"/>
                <w:b w:val="0"/>
                <w:bCs w:val="0"/>
              </w:rPr>
              <w:t xml:space="preserve"> short </w:t>
            </w:r>
            <w:r w:rsidRPr="00A25A0F">
              <w:t>term</w:t>
            </w:r>
          </w:p>
        </w:tc>
        <w:tc>
          <w:tcPr>
            <w:tcW w:w="1020" w:type="pct"/>
            <w:tcMar>
              <w:left w:w="108" w:type="dxa"/>
              <w:bottom w:w="28" w:type="dxa"/>
              <w:right w:w="108" w:type="dxa"/>
            </w:tcMar>
          </w:tcPr>
          <w:p w14:paraId="39C4EF5A" w14:textId="14261DBD" w:rsidR="00A52B62" w:rsidRPr="00EA74C1" w:rsidRDefault="00A25A0F" w:rsidP="00BE7F04">
            <w:pPr>
              <w:pStyle w:val="TableText"/>
            </w:pPr>
            <w:r>
              <w:t xml:space="preserve">4.1.1 </w:t>
            </w:r>
            <w:r w:rsidRPr="00D70567">
              <w:t xml:space="preserve">Develop </w:t>
            </w:r>
            <w:r w:rsidRPr="00BE7F04">
              <w:t>communication</w:t>
            </w:r>
            <w:r w:rsidRPr="00D70567">
              <w:t xml:space="preserve"> and engagement strategy to emphasis biosecurity is everyone’s responsibility and include activities to target the import supply chain, production industries, the general public and international travellers</w:t>
            </w:r>
          </w:p>
        </w:tc>
        <w:tc>
          <w:tcPr>
            <w:tcW w:w="918" w:type="pct"/>
            <w:shd w:val="clear" w:color="auto" w:fill="DEF0C2"/>
            <w:tcMar>
              <w:left w:w="108" w:type="dxa"/>
              <w:bottom w:w="28" w:type="dxa"/>
              <w:right w:w="108" w:type="dxa"/>
            </w:tcMar>
          </w:tcPr>
          <w:p w14:paraId="2BF3C565" w14:textId="6F7E4CE1" w:rsidR="00FB0E52" w:rsidRPr="00A25A0F" w:rsidRDefault="00A25A0F" w:rsidP="00A25A0F">
            <w:pPr>
              <w:pStyle w:val="TableText"/>
            </w:pPr>
            <w:r w:rsidRPr="00A25A0F">
              <w:t>Completed – project finished</w:t>
            </w:r>
          </w:p>
          <w:p w14:paraId="307F7883" w14:textId="19B076A6" w:rsidR="003863EC" w:rsidRDefault="00A25A0F" w:rsidP="00A25A0F">
            <w:pPr>
              <w:pStyle w:val="TableText"/>
            </w:pPr>
            <w:r w:rsidRPr="00A25A0F">
              <w:t>Developed communication and engagement strategy</w:t>
            </w:r>
          </w:p>
          <w:p w14:paraId="531F1407" w14:textId="3C0A5FEF" w:rsidR="00A25A0F" w:rsidRPr="00A25A0F" w:rsidRDefault="00483FFB" w:rsidP="00A25A0F">
            <w:pPr>
              <w:pStyle w:val="TableText"/>
            </w:pPr>
            <w:hyperlink r:id="rId31" w:history="1">
              <w:r w:rsidR="003863EC">
                <w:rPr>
                  <w:rStyle w:val="Hyperlink"/>
                </w:rPr>
                <w:t>National Biosecurity Communication and Engagement Strategy - DAFF (agriculture.gov.au)</w:t>
              </w:r>
            </w:hyperlink>
          </w:p>
        </w:tc>
        <w:tc>
          <w:tcPr>
            <w:tcW w:w="510" w:type="pct"/>
            <w:shd w:val="clear" w:color="auto" w:fill="auto"/>
            <w:tcMar>
              <w:left w:w="108" w:type="dxa"/>
              <w:bottom w:w="28" w:type="dxa"/>
              <w:right w:w="108" w:type="dxa"/>
            </w:tcMar>
          </w:tcPr>
          <w:p w14:paraId="6A50438E" w14:textId="03269134" w:rsidR="00737C3D" w:rsidRPr="00A25A0F" w:rsidRDefault="00A25A0F" w:rsidP="00A25A0F">
            <w:pPr>
              <w:pStyle w:val="TableText"/>
            </w:pPr>
            <w:r w:rsidRPr="00A25A0F">
              <w:t xml:space="preserve">Commonwealth (BPSSD, </w:t>
            </w:r>
            <w:r w:rsidR="00AF73E3">
              <w:t>HHWG</w:t>
            </w:r>
            <w:r w:rsidRPr="00A25A0F">
              <w:t>)</w:t>
            </w:r>
          </w:p>
        </w:tc>
        <w:tc>
          <w:tcPr>
            <w:tcW w:w="816" w:type="pct"/>
            <w:tcMar>
              <w:left w:w="108" w:type="dxa"/>
              <w:bottom w:w="28" w:type="dxa"/>
              <w:right w:w="108" w:type="dxa"/>
            </w:tcMar>
          </w:tcPr>
          <w:p w14:paraId="243C97D2" w14:textId="369593D5" w:rsidR="00FB0E52" w:rsidRPr="000407B5" w:rsidRDefault="00745620" w:rsidP="009F0489">
            <w:pPr>
              <w:pStyle w:val="TableText"/>
            </w:pPr>
            <w:r>
              <w:t>Commonwealth</w:t>
            </w:r>
          </w:p>
        </w:tc>
        <w:tc>
          <w:tcPr>
            <w:tcW w:w="714" w:type="pct"/>
            <w:tcMar>
              <w:left w:w="108" w:type="dxa"/>
              <w:bottom w:w="28" w:type="dxa"/>
              <w:right w:w="108" w:type="dxa"/>
            </w:tcMar>
          </w:tcPr>
          <w:p w14:paraId="5F86FA4B" w14:textId="1681DAB2" w:rsidR="00A52B62" w:rsidRPr="00C22748" w:rsidRDefault="0025365F">
            <w:pPr>
              <w:pStyle w:val="TableBullet1"/>
              <w:numPr>
                <w:ilvl w:val="0"/>
                <w:numId w:val="0"/>
              </w:numPr>
            </w:pPr>
            <w:r>
              <w:t xml:space="preserve">Not applicable </w:t>
            </w:r>
          </w:p>
        </w:tc>
      </w:tr>
      <w:tr w:rsidR="00716806" w:rsidRPr="00013AE2" w14:paraId="2BD38A8F" w14:textId="77777777" w:rsidTr="00787004">
        <w:trPr>
          <w:trHeight w:val="1538"/>
        </w:trPr>
        <w:tc>
          <w:tcPr>
            <w:tcW w:w="1021" w:type="pct"/>
            <w:vMerge w:val="restart"/>
            <w:tcMar>
              <w:bottom w:w="28" w:type="dxa"/>
            </w:tcMar>
          </w:tcPr>
          <w:p w14:paraId="44C484A9" w14:textId="522A10DE" w:rsidR="00296E9A" w:rsidRPr="00A25A0F" w:rsidRDefault="00296E9A" w:rsidP="00A25A0F">
            <w:pPr>
              <w:pStyle w:val="TableText"/>
              <w:rPr>
                <w:rStyle w:val="Strong"/>
                <w:b w:val="0"/>
                <w:bCs w:val="0"/>
              </w:rPr>
            </w:pPr>
            <w:r w:rsidRPr="00A25A0F">
              <w:rPr>
                <w:rStyle w:val="Strong"/>
              </w:rPr>
              <w:t>Action 4.2:</w:t>
            </w:r>
            <w:r w:rsidRPr="00A25A0F">
              <w:rPr>
                <w:rStyle w:val="Strong"/>
                <w:b w:val="0"/>
                <w:bCs w:val="0"/>
              </w:rPr>
              <w:t xml:space="preserve"> </w:t>
            </w:r>
            <w:r w:rsidR="00A25A0F" w:rsidRPr="00A25A0F">
              <w:t>Establish governance arrangements to coordinate and monitor national actions</w:t>
            </w:r>
            <w:r w:rsidR="00A25A0F">
              <w:t>.</w:t>
            </w:r>
          </w:p>
          <w:p w14:paraId="42222C40" w14:textId="4B9139AA" w:rsidR="00296E9A" w:rsidRPr="00A25A0F" w:rsidRDefault="00296E9A" w:rsidP="00A25A0F">
            <w:pPr>
              <w:pStyle w:val="TableText"/>
            </w:pPr>
            <w:r w:rsidRPr="00620C12">
              <w:rPr>
                <w:rStyle w:val="Strong"/>
              </w:rPr>
              <w:t>Expected benefit and outcome:</w:t>
            </w:r>
            <w:r w:rsidR="00A25A0F" w:rsidRPr="00A25A0F">
              <w:t xml:space="preserve"> Strengthening governance arrangements will guide implementation and coordinate effort to ensure Australia is as prepared as possible for a post border detection or incursion.</w:t>
            </w:r>
          </w:p>
          <w:p w14:paraId="34085975" w14:textId="58002AB6" w:rsidR="00296E9A" w:rsidRPr="00A25A0F" w:rsidRDefault="00296E9A" w:rsidP="00A25A0F">
            <w:pPr>
              <w:pStyle w:val="TableText"/>
            </w:pPr>
            <w:r w:rsidRPr="00620C12">
              <w:rPr>
                <w:rStyle w:val="Strong"/>
              </w:rPr>
              <w:t>Priority:</w:t>
            </w:r>
            <w:r w:rsidRPr="00A25A0F">
              <w:rPr>
                <w:rStyle w:val="Strong"/>
                <w:b w:val="0"/>
                <w:bCs w:val="0"/>
              </w:rPr>
              <w:t xml:space="preserve"> </w:t>
            </w:r>
            <w:r w:rsidR="0025515F" w:rsidRPr="00A25A0F">
              <w:rPr>
                <w:rStyle w:val="Strong"/>
                <w:b w:val="0"/>
                <w:bCs w:val="0"/>
              </w:rPr>
              <w:t>high</w:t>
            </w:r>
          </w:p>
          <w:p w14:paraId="54CF7485" w14:textId="3F5CBEE9" w:rsidR="002F5C6F" w:rsidRPr="00A25A0F" w:rsidRDefault="00296E9A" w:rsidP="00A25A0F">
            <w:pPr>
              <w:pStyle w:val="TableText"/>
              <w:rPr>
                <w:rStyle w:val="Strong"/>
                <w:b w:val="0"/>
                <w:bCs w:val="0"/>
              </w:rPr>
            </w:pPr>
            <w:r w:rsidRPr="00620C12">
              <w:rPr>
                <w:rStyle w:val="Strong"/>
              </w:rPr>
              <w:t>Time frame:</w:t>
            </w:r>
            <w:r w:rsidRPr="00A25A0F">
              <w:rPr>
                <w:rStyle w:val="Strong"/>
                <w:b w:val="0"/>
                <w:bCs w:val="0"/>
              </w:rPr>
              <w:t xml:space="preserve"> short </w:t>
            </w:r>
            <w:r w:rsidRPr="00A25A0F">
              <w:t>term</w:t>
            </w:r>
          </w:p>
        </w:tc>
        <w:tc>
          <w:tcPr>
            <w:tcW w:w="1020" w:type="pct"/>
            <w:tcMar>
              <w:left w:w="108" w:type="dxa"/>
              <w:bottom w:w="28" w:type="dxa"/>
              <w:right w:w="108" w:type="dxa"/>
            </w:tcMar>
          </w:tcPr>
          <w:p w14:paraId="35B5E7BC" w14:textId="154FAB03" w:rsidR="002F5C6F" w:rsidRDefault="00A25A0F" w:rsidP="00A25A0F">
            <w:pPr>
              <w:pStyle w:val="TableText"/>
            </w:pPr>
            <w:r>
              <w:t>4.2.1</w:t>
            </w:r>
            <w:r w:rsidRPr="00D70567">
              <w:t xml:space="preserve"> Collaborate with regional neighbours to align prevention and preparedness activities</w:t>
            </w:r>
          </w:p>
        </w:tc>
        <w:tc>
          <w:tcPr>
            <w:tcW w:w="918" w:type="pct"/>
            <w:shd w:val="clear" w:color="auto" w:fill="C6D9F1" w:themeFill="text2" w:themeFillTint="33"/>
            <w:tcMar>
              <w:left w:w="108" w:type="dxa"/>
              <w:bottom w:w="28" w:type="dxa"/>
              <w:right w:w="108" w:type="dxa"/>
            </w:tcMar>
          </w:tcPr>
          <w:p w14:paraId="1E87F3D6" w14:textId="3FB9F82D" w:rsidR="002F5C6F" w:rsidRPr="00BC13C5" w:rsidRDefault="00A25A0F" w:rsidP="009F0489">
            <w:pPr>
              <w:pStyle w:val="TableText"/>
              <w:rPr>
                <w:shd w:val="clear" w:color="auto" w:fill="EEECE1" w:themeFill="background2"/>
              </w:rPr>
            </w:pPr>
            <w:r w:rsidRPr="00A25A0F">
              <w:t>Ongoing – business as usual</w:t>
            </w:r>
            <w:r>
              <w:rPr>
                <w:shd w:val="clear" w:color="auto" w:fill="EEECE1" w:themeFill="background2"/>
              </w:rPr>
              <w:t xml:space="preserve"> </w:t>
            </w:r>
          </w:p>
        </w:tc>
        <w:tc>
          <w:tcPr>
            <w:tcW w:w="510" w:type="pct"/>
            <w:shd w:val="clear" w:color="auto" w:fill="auto"/>
            <w:tcMar>
              <w:left w:w="108" w:type="dxa"/>
              <w:bottom w:w="28" w:type="dxa"/>
              <w:right w:w="108" w:type="dxa"/>
            </w:tcMar>
          </w:tcPr>
          <w:p w14:paraId="60A218BB" w14:textId="61E194C3" w:rsidR="002F5C6F" w:rsidRPr="00BC13C5" w:rsidRDefault="00A25A0F" w:rsidP="009F0489">
            <w:pPr>
              <w:pStyle w:val="TableText"/>
              <w:rPr>
                <w:shd w:val="clear" w:color="auto" w:fill="EEECE1" w:themeFill="background2"/>
              </w:rPr>
            </w:pPr>
            <w:r w:rsidRPr="00A25A0F">
              <w:t>Commonwealth (</w:t>
            </w:r>
            <w:r>
              <w:t>PPEBD, T</w:t>
            </w:r>
            <w:r w:rsidR="00CB37E5">
              <w:t>ID</w:t>
            </w:r>
            <w:r w:rsidRPr="00A25A0F">
              <w:t>)</w:t>
            </w:r>
          </w:p>
        </w:tc>
        <w:tc>
          <w:tcPr>
            <w:tcW w:w="816" w:type="pct"/>
            <w:tcMar>
              <w:left w:w="108" w:type="dxa"/>
              <w:bottom w:w="28" w:type="dxa"/>
              <w:right w:w="108" w:type="dxa"/>
            </w:tcMar>
          </w:tcPr>
          <w:p w14:paraId="459B9C6B" w14:textId="4EF7BB84" w:rsidR="002F5C6F" w:rsidRPr="00BC13C5" w:rsidRDefault="00745620" w:rsidP="009F0489">
            <w:pPr>
              <w:pStyle w:val="TableText"/>
              <w:rPr>
                <w:shd w:val="clear" w:color="auto" w:fill="EEECE1" w:themeFill="background2"/>
              </w:rPr>
            </w:pPr>
            <w:r w:rsidRPr="00745620">
              <w:t xml:space="preserve">Commonwealth </w:t>
            </w:r>
          </w:p>
        </w:tc>
        <w:tc>
          <w:tcPr>
            <w:tcW w:w="714" w:type="pct"/>
            <w:tcMar>
              <w:left w:w="108" w:type="dxa"/>
              <w:bottom w:w="28" w:type="dxa"/>
              <w:right w:w="108" w:type="dxa"/>
            </w:tcMar>
          </w:tcPr>
          <w:p w14:paraId="7DCC9094" w14:textId="65E276A3" w:rsidR="002F5C6F" w:rsidRPr="00DE7573" w:rsidRDefault="0046067B" w:rsidP="00F325E4">
            <w:pPr>
              <w:pStyle w:val="TableBullet1"/>
              <w:numPr>
                <w:ilvl w:val="0"/>
                <w:numId w:val="0"/>
              </w:numPr>
              <w:ind w:left="284" w:hanging="284"/>
            </w:pPr>
            <w:r>
              <w:t xml:space="preserve">Not applicable </w:t>
            </w:r>
          </w:p>
        </w:tc>
      </w:tr>
      <w:tr w:rsidR="00716806" w:rsidRPr="00013AE2" w14:paraId="6FC597AC" w14:textId="77777777" w:rsidTr="00787004">
        <w:trPr>
          <w:trHeight w:val="1457"/>
        </w:trPr>
        <w:tc>
          <w:tcPr>
            <w:tcW w:w="1021" w:type="pct"/>
            <w:vMerge/>
            <w:tcMar>
              <w:bottom w:w="28" w:type="dxa"/>
            </w:tcMar>
          </w:tcPr>
          <w:p w14:paraId="19F29344" w14:textId="77777777" w:rsidR="00A25A0F" w:rsidRPr="00A25A0F" w:rsidRDefault="00A25A0F" w:rsidP="00A25A0F">
            <w:pPr>
              <w:pStyle w:val="TableText"/>
              <w:rPr>
                <w:rStyle w:val="Strong"/>
                <w:b w:val="0"/>
                <w:bCs w:val="0"/>
              </w:rPr>
            </w:pPr>
          </w:p>
        </w:tc>
        <w:tc>
          <w:tcPr>
            <w:tcW w:w="1020" w:type="pct"/>
            <w:tcMar>
              <w:left w:w="108" w:type="dxa"/>
              <w:bottom w:w="28" w:type="dxa"/>
              <w:right w:w="108" w:type="dxa"/>
            </w:tcMar>
          </w:tcPr>
          <w:p w14:paraId="0A084D6E" w14:textId="2C605347" w:rsidR="00D8091A" w:rsidRDefault="00A25A0F" w:rsidP="00A25A0F">
            <w:pPr>
              <w:pStyle w:val="TableText"/>
            </w:pPr>
            <w:r>
              <w:t>4.2.2</w:t>
            </w:r>
            <w:r w:rsidRPr="00D70567">
              <w:t xml:space="preserve"> Consider establishing an information repository on </w:t>
            </w:r>
            <w:r w:rsidR="00020290">
              <w:t>Khapra</w:t>
            </w:r>
            <w:r w:rsidRPr="00D70567">
              <w:t xml:space="preserve"> beetle that is regularly updated and accessible in real-time</w:t>
            </w:r>
          </w:p>
        </w:tc>
        <w:tc>
          <w:tcPr>
            <w:tcW w:w="918" w:type="pct"/>
            <w:shd w:val="clear" w:color="auto" w:fill="C6D9F1" w:themeFill="text2" w:themeFillTint="33"/>
            <w:tcMar>
              <w:left w:w="108" w:type="dxa"/>
              <w:bottom w:w="28" w:type="dxa"/>
              <w:right w:w="108" w:type="dxa"/>
            </w:tcMar>
          </w:tcPr>
          <w:p w14:paraId="7B8F3180" w14:textId="6FDE85BF" w:rsidR="00A25A0F" w:rsidRPr="00BC13C5" w:rsidRDefault="00A25A0F" w:rsidP="009F0489">
            <w:pPr>
              <w:pStyle w:val="TableText"/>
              <w:rPr>
                <w:shd w:val="clear" w:color="auto" w:fill="EEECE1" w:themeFill="background2"/>
              </w:rPr>
            </w:pPr>
            <w:r w:rsidRPr="00A25A0F">
              <w:t>Ongoing – business as usual</w:t>
            </w:r>
          </w:p>
        </w:tc>
        <w:tc>
          <w:tcPr>
            <w:tcW w:w="510" w:type="pct"/>
            <w:shd w:val="clear" w:color="auto" w:fill="auto"/>
            <w:tcMar>
              <w:left w:w="108" w:type="dxa"/>
              <w:bottom w:w="28" w:type="dxa"/>
              <w:right w:w="108" w:type="dxa"/>
            </w:tcMar>
          </w:tcPr>
          <w:p w14:paraId="3F6AF2B6" w14:textId="0D6AA11D" w:rsidR="00A25A0F" w:rsidRPr="00BC13C5" w:rsidRDefault="00A25A0F" w:rsidP="009F0489">
            <w:pPr>
              <w:pStyle w:val="TableText"/>
              <w:rPr>
                <w:shd w:val="clear" w:color="auto" w:fill="EEECE1" w:themeFill="background2"/>
              </w:rPr>
            </w:pPr>
            <w:r w:rsidRPr="00A25A0F">
              <w:t>Commonwealth (</w:t>
            </w:r>
            <w:r w:rsidR="00AF73E3">
              <w:t>PPEBD</w:t>
            </w:r>
            <w:proofErr w:type="gramStart"/>
            <w:r w:rsidRPr="00A25A0F">
              <w:t>, )</w:t>
            </w:r>
            <w:proofErr w:type="gramEnd"/>
          </w:p>
        </w:tc>
        <w:tc>
          <w:tcPr>
            <w:tcW w:w="816" w:type="pct"/>
            <w:tcMar>
              <w:left w:w="108" w:type="dxa"/>
              <w:bottom w:w="28" w:type="dxa"/>
              <w:right w:w="108" w:type="dxa"/>
            </w:tcMar>
          </w:tcPr>
          <w:p w14:paraId="04EE09A9" w14:textId="208DDCEB" w:rsidR="00A25A0F" w:rsidRPr="00BC13C5" w:rsidRDefault="00745620" w:rsidP="009F0489">
            <w:pPr>
              <w:pStyle w:val="TableText"/>
              <w:rPr>
                <w:shd w:val="clear" w:color="auto" w:fill="EEECE1" w:themeFill="background2"/>
              </w:rPr>
            </w:pPr>
            <w:r w:rsidRPr="00745620">
              <w:t>Commonwealth</w:t>
            </w:r>
          </w:p>
        </w:tc>
        <w:tc>
          <w:tcPr>
            <w:tcW w:w="714" w:type="pct"/>
            <w:tcMar>
              <w:left w:w="108" w:type="dxa"/>
              <w:bottom w:w="28" w:type="dxa"/>
              <w:right w:w="108" w:type="dxa"/>
            </w:tcMar>
          </w:tcPr>
          <w:p w14:paraId="3AF54E32" w14:textId="20B1A846" w:rsidR="00A25A0F" w:rsidRPr="00DE7573" w:rsidRDefault="0046067B" w:rsidP="00F325E4">
            <w:pPr>
              <w:pStyle w:val="TableBullet1"/>
              <w:numPr>
                <w:ilvl w:val="0"/>
                <w:numId w:val="0"/>
              </w:numPr>
              <w:ind w:left="284" w:hanging="284"/>
            </w:pPr>
            <w:r>
              <w:t>Not applicable</w:t>
            </w:r>
          </w:p>
        </w:tc>
      </w:tr>
      <w:tr w:rsidR="00716806" w:rsidRPr="00013AE2" w14:paraId="05610AD8" w14:textId="77777777" w:rsidTr="00787004">
        <w:trPr>
          <w:trHeight w:val="503"/>
        </w:trPr>
        <w:tc>
          <w:tcPr>
            <w:tcW w:w="1021" w:type="pct"/>
            <w:vMerge w:val="restart"/>
            <w:tcMar>
              <w:bottom w:w="28" w:type="dxa"/>
            </w:tcMar>
          </w:tcPr>
          <w:p w14:paraId="6414CF94" w14:textId="3DAAACF9" w:rsidR="00A25A0F" w:rsidRPr="00A25A0F" w:rsidRDefault="00A25A0F" w:rsidP="00A25A0F">
            <w:pPr>
              <w:pStyle w:val="TableText"/>
              <w:rPr>
                <w:rStyle w:val="Strong"/>
                <w:b w:val="0"/>
                <w:bCs w:val="0"/>
              </w:rPr>
            </w:pPr>
            <w:r w:rsidRPr="00620C12">
              <w:rPr>
                <w:rStyle w:val="Strong"/>
              </w:rPr>
              <w:t>Action 4.3:</w:t>
            </w:r>
            <w:r w:rsidRPr="00A25A0F">
              <w:rPr>
                <w:rStyle w:val="Strong"/>
                <w:b w:val="0"/>
                <w:bCs w:val="0"/>
              </w:rPr>
              <w:t xml:space="preserve"> </w:t>
            </w:r>
            <w:r w:rsidRPr="00A25A0F">
              <w:t>Identify research and development priorities for investment and support national and international collaboration</w:t>
            </w:r>
            <w:r w:rsidR="00620C12">
              <w:t>.</w:t>
            </w:r>
          </w:p>
          <w:p w14:paraId="0D6C3FEE" w14:textId="4EB39FCA" w:rsidR="00A25A0F" w:rsidRPr="00A25A0F" w:rsidRDefault="00A25A0F" w:rsidP="00A25A0F">
            <w:pPr>
              <w:pStyle w:val="TableText"/>
            </w:pPr>
            <w:r w:rsidRPr="00620C12">
              <w:rPr>
                <w:rStyle w:val="Strong"/>
              </w:rPr>
              <w:t>Expected benefit and outcome:</w:t>
            </w:r>
            <w:r w:rsidRPr="00A25A0F">
              <w:t xml:space="preserve"> To build </w:t>
            </w:r>
            <w:r w:rsidR="00020290">
              <w:t>Khapra</w:t>
            </w:r>
            <w:r w:rsidRPr="00A25A0F">
              <w:t xml:space="preserve"> beetle preparedness </w:t>
            </w:r>
            <w:r w:rsidRPr="00A25A0F">
              <w:lastRenderedPageBreak/>
              <w:t>capacity and capability it would be beneficial for relevant agencies (national or international), as well as science-based organisations to form partnerships.</w:t>
            </w:r>
          </w:p>
          <w:p w14:paraId="0CDD34CD" w14:textId="77777777" w:rsidR="00A25A0F" w:rsidRPr="00A25A0F" w:rsidRDefault="00A25A0F" w:rsidP="00A25A0F">
            <w:pPr>
              <w:pStyle w:val="TableText"/>
            </w:pPr>
            <w:r w:rsidRPr="00620C12">
              <w:rPr>
                <w:rStyle w:val="Strong"/>
              </w:rPr>
              <w:t>Priority:</w:t>
            </w:r>
            <w:r w:rsidRPr="00A25A0F">
              <w:rPr>
                <w:rStyle w:val="Strong"/>
                <w:b w:val="0"/>
                <w:bCs w:val="0"/>
              </w:rPr>
              <w:t xml:space="preserve"> medium</w:t>
            </w:r>
          </w:p>
          <w:p w14:paraId="0C6788C5" w14:textId="4ECEA952" w:rsidR="00A25A0F" w:rsidRPr="00A25A0F" w:rsidRDefault="00A25A0F" w:rsidP="00A25A0F">
            <w:pPr>
              <w:pStyle w:val="TableText"/>
              <w:rPr>
                <w:rStyle w:val="Strong"/>
                <w:b w:val="0"/>
                <w:bCs w:val="0"/>
              </w:rPr>
            </w:pPr>
            <w:r w:rsidRPr="00620C12">
              <w:rPr>
                <w:rStyle w:val="Strong"/>
              </w:rPr>
              <w:t>Time frame:</w:t>
            </w:r>
            <w:r w:rsidRPr="00A25A0F">
              <w:rPr>
                <w:rStyle w:val="Strong"/>
                <w:b w:val="0"/>
                <w:bCs w:val="0"/>
              </w:rPr>
              <w:t xml:space="preserve"> medium </w:t>
            </w:r>
            <w:r w:rsidRPr="00A25A0F">
              <w:t>term</w:t>
            </w:r>
          </w:p>
        </w:tc>
        <w:tc>
          <w:tcPr>
            <w:tcW w:w="1020" w:type="pct"/>
            <w:tcMar>
              <w:left w:w="108" w:type="dxa"/>
              <w:bottom w:w="28" w:type="dxa"/>
              <w:right w:w="108" w:type="dxa"/>
            </w:tcMar>
          </w:tcPr>
          <w:p w14:paraId="7AF69979" w14:textId="68783489" w:rsidR="00A25A0F" w:rsidRDefault="00A25A0F" w:rsidP="00A25A0F">
            <w:pPr>
              <w:pStyle w:val="TableText"/>
            </w:pPr>
            <w:r>
              <w:lastRenderedPageBreak/>
              <w:t>4.3.1</w:t>
            </w:r>
            <w:r w:rsidRPr="00D70567">
              <w:t xml:space="preserve"> Research investment priorities should be informed by a stocktake of all </w:t>
            </w:r>
            <w:r w:rsidR="00020290">
              <w:t>Khapra</w:t>
            </w:r>
            <w:r w:rsidRPr="00D70567">
              <w:t xml:space="preserve"> beetle research being conducted or completed overseas and nationally, to consider gaps in research needed for Australia—including </w:t>
            </w:r>
            <w:r w:rsidRPr="00D70567">
              <w:lastRenderedPageBreak/>
              <w:t xml:space="preserve">those components identified in this </w:t>
            </w:r>
            <w:r w:rsidR="009953A3">
              <w:t>p</w:t>
            </w:r>
            <w:r w:rsidRPr="00D70567">
              <w:t>lan</w:t>
            </w:r>
          </w:p>
        </w:tc>
        <w:tc>
          <w:tcPr>
            <w:tcW w:w="918" w:type="pct"/>
            <w:shd w:val="clear" w:color="auto" w:fill="C6D9F1" w:themeFill="text2" w:themeFillTint="33"/>
            <w:tcMar>
              <w:left w:w="108" w:type="dxa"/>
              <w:bottom w:w="28" w:type="dxa"/>
              <w:right w:w="108" w:type="dxa"/>
            </w:tcMar>
          </w:tcPr>
          <w:p w14:paraId="616AA1BA" w14:textId="46BDF576" w:rsidR="00A25A0F" w:rsidRPr="00BC13C5" w:rsidRDefault="00A25A0F" w:rsidP="009F0489">
            <w:pPr>
              <w:pStyle w:val="TableText"/>
              <w:rPr>
                <w:shd w:val="clear" w:color="auto" w:fill="EEECE1" w:themeFill="background2"/>
              </w:rPr>
            </w:pPr>
            <w:r w:rsidRPr="00A25A0F">
              <w:lastRenderedPageBreak/>
              <w:t>Ongoing – business as usual</w:t>
            </w:r>
          </w:p>
        </w:tc>
        <w:tc>
          <w:tcPr>
            <w:tcW w:w="510" w:type="pct"/>
            <w:shd w:val="clear" w:color="auto" w:fill="auto"/>
            <w:tcMar>
              <w:left w:w="108" w:type="dxa"/>
              <w:bottom w:w="28" w:type="dxa"/>
              <w:right w:w="108" w:type="dxa"/>
            </w:tcMar>
          </w:tcPr>
          <w:p w14:paraId="52CB56A1" w14:textId="2AB71B77" w:rsidR="00A25A0F" w:rsidRPr="00BC13C5" w:rsidRDefault="00A25A0F" w:rsidP="009F0489">
            <w:pPr>
              <w:pStyle w:val="TableText"/>
              <w:rPr>
                <w:shd w:val="clear" w:color="auto" w:fill="EEECE1" w:themeFill="background2"/>
              </w:rPr>
            </w:pPr>
            <w:r w:rsidRPr="00A25A0F">
              <w:t>Commonwealth (</w:t>
            </w:r>
            <w:r>
              <w:t>PPEBD)</w:t>
            </w:r>
          </w:p>
        </w:tc>
        <w:tc>
          <w:tcPr>
            <w:tcW w:w="816" w:type="pct"/>
            <w:tcMar>
              <w:left w:w="108" w:type="dxa"/>
              <w:bottom w:w="28" w:type="dxa"/>
              <w:right w:w="108" w:type="dxa"/>
            </w:tcMar>
          </w:tcPr>
          <w:p w14:paraId="5DC73434" w14:textId="7D60F75D" w:rsidR="00A25A0F" w:rsidRPr="00BC13C5" w:rsidRDefault="00745620" w:rsidP="009F0489">
            <w:pPr>
              <w:pStyle w:val="TableText"/>
              <w:rPr>
                <w:shd w:val="clear" w:color="auto" w:fill="EEECE1" w:themeFill="background2"/>
              </w:rPr>
            </w:pPr>
            <w:r w:rsidRPr="00745620">
              <w:t>Commonwealth</w:t>
            </w:r>
          </w:p>
        </w:tc>
        <w:tc>
          <w:tcPr>
            <w:tcW w:w="714" w:type="pct"/>
            <w:tcMar>
              <w:left w:w="108" w:type="dxa"/>
              <w:bottom w:w="28" w:type="dxa"/>
              <w:right w:w="108" w:type="dxa"/>
            </w:tcMar>
          </w:tcPr>
          <w:p w14:paraId="3E2AA74D" w14:textId="354A469E" w:rsidR="00A25A0F" w:rsidRPr="00DE7573" w:rsidRDefault="0046067B" w:rsidP="00F325E4">
            <w:pPr>
              <w:pStyle w:val="TableBullet1"/>
              <w:numPr>
                <w:ilvl w:val="0"/>
                <w:numId w:val="0"/>
              </w:numPr>
              <w:ind w:left="284" w:hanging="284"/>
            </w:pPr>
            <w:r>
              <w:t xml:space="preserve">Not applicable </w:t>
            </w:r>
          </w:p>
        </w:tc>
      </w:tr>
      <w:tr w:rsidR="00716806" w:rsidRPr="00013AE2" w14:paraId="760E7804" w14:textId="77777777" w:rsidTr="00787004">
        <w:trPr>
          <w:trHeight w:val="825"/>
        </w:trPr>
        <w:tc>
          <w:tcPr>
            <w:tcW w:w="1021" w:type="pct"/>
            <w:vMerge/>
            <w:tcMar>
              <w:bottom w:w="28" w:type="dxa"/>
            </w:tcMar>
          </w:tcPr>
          <w:p w14:paraId="102460A7" w14:textId="77777777" w:rsidR="00A25A0F" w:rsidRDefault="00A25A0F" w:rsidP="002F5C6F">
            <w:pPr>
              <w:pStyle w:val="TableText"/>
              <w:rPr>
                <w:rStyle w:val="Strong"/>
              </w:rPr>
            </w:pPr>
          </w:p>
        </w:tc>
        <w:tc>
          <w:tcPr>
            <w:tcW w:w="1020" w:type="pct"/>
            <w:tcMar>
              <w:left w:w="108" w:type="dxa"/>
              <w:bottom w:w="28" w:type="dxa"/>
              <w:right w:w="108" w:type="dxa"/>
            </w:tcMar>
          </w:tcPr>
          <w:p w14:paraId="5E9C9E57" w14:textId="65E9FFAB" w:rsidR="00A25A0F" w:rsidRPr="002F5C6F" w:rsidRDefault="00A25A0F" w:rsidP="00A25A0F">
            <w:pPr>
              <w:pStyle w:val="TableText"/>
            </w:pPr>
            <w:r>
              <w:t>4.3.2</w:t>
            </w:r>
            <w:r w:rsidRPr="00D70567">
              <w:t xml:space="preserve"> Undertake an assessment of international </w:t>
            </w:r>
            <w:r w:rsidR="00020290">
              <w:t>Khapra</w:t>
            </w:r>
            <w:r w:rsidRPr="00D70567">
              <w:t xml:space="preserve"> beetle research to identify gaps in understanding and assist identify key priorities for researc</w:t>
            </w:r>
            <w:r w:rsidR="009953A3">
              <w:t>h</w:t>
            </w:r>
          </w:p>
        </w:tc>
        <w:tc>
          <w:tcPr>
            <w:tcW w:w="918" w:type="pct"/>
            <w:shd w:val="clear" w:color="auto" w:fill="C6D9F1" w:themeFill="text2" w:themeFillTint="33"/>
            <w:tcMar>
              <w:left w:w="108" w:type="dxa"/>
              <w:bottom w:w="28" w:type="dxa"/>
              <w:right w:w="108" w:type="dxa"/>
            </w:tcMar>
          </w:tcPr>
          <w:p w14:paraId="397347DF" w14:textId="007E7A20" w:rsidR="00A25A0F" w:rsidRPr="003E73E7" w:rsidRDefault="00A25A0F" w:rsidP="009F0489">
            <w:pPr>
              <w:pStyle w:val="TableText"/>
            </w:pPr>
            <w:r w:rsidRPr="00A25A0F">
              <w:t>Ongoing – business as usual</w:t>
            </w:r>
          </w:p>
        </w:tc>
        <w:tc>
          <w:tcPr>
            <w:tcW w:w="510" w:type="pct"/>
            <w:shd w:val="clear" w:color="auto" w:fill="auto"/>
            <w:tcMar>
              <w:left w:w="108" w:type="dxa"/>
              <w:bottom w:w="28" w:type="dxa"/>
              <w:right w:w="108" w:type="dxa"/>
            </w:tcMar>
          </w:tcPr>
          <w:p w14:paraId="16990ECE" w14:textId="4DA57574" w:rsidR="00A25A0F" w:rsidRPr="00E54D3B" w:rsidRDefault="00A25A0F" w:rsidP="00E54D3B">
            <w:pPr>
              <w:pStyle w:val="TableText"/>
              <w:rPr>
                <w:highlight w:val="yellow"/>
              </w:rPr>
            </w:pPr>
            <w:r w:rsidRPr="00A25A0F">
              <w:t>Commonwealth (</w:t>
            </w:r>
            <w:r>
              <w:t>PPEBD)</w:t>
            </w:r>
          </w:p>
        </w:tc>
        <w:tc>
          <w:tcPr>
            <w:tcW w:w="816" w:type="pct"/>
            <w:tcMar>
              <w:left w:w="108" w:type="dxa"/>
              <w:bottom w:w="28" w:type="dxa"/>
              <w:right w:w="108" w:type="dxa"/>
            </w:tcMar>
          </w:tcPr>
          <w:p w14:paraId="08D9B1AE" w14:textId="0BFE9C61" w:rsidR="00A25A0F" w:rsidRPr="003E73E7" w:rsidRDefault="00745620" w:rsidP="009F0489">
            <w:pPr>
              <w:pStyle w:val="TableText"/>
            </w:pPr>
            <w:r w:rsidRPr="00745620">
              <w:t>Commonwealth</w:t>
            </w:r>
          </w:p>
        </w:tc>
        <w:tc>
          <w:tcPr>
            <w:tcW w:w="714" w:type="pct"/>
            <w:tcMar>
              <w:left w:w="108" w:type="dxa"/>
              <w:bottom w:w="28" w:type="dxa"/>
              <w:right w:w="108" w:type="dxa"/>
            </w:tcMar>
          </w:tcPr>
          <w:p w14:paraId="22822692" w14:textId="162609A0" w:rsidR="00A25A0F" w:rsidRDefault="0046067B" w:rsidP="002F5C6F">
            <w:pPr>
              <w:pStyle w:val="TableText"/>
            </w:pPr>
            <w:r>
              <w:t>Not applicable</w:t>
            </w:r>
          </w:p>
        </w:tc>
      </w:tr>
      <w:tr w:rsidR="00716806" w:rsidRPr="00013AE2" w14:paraId="24046EB5" w14:textId="77777777" w:rsidTr="00787004">
        <w:trPr>
          <w:trHeight w:val="559"/>
        </w:trPr>
        <w:tc>
          <w:tcPr>
            <w:tcW w:w="1021" w:type="pct"/>
            <w:vMerge/>
            <w:tcMar>
              <w:bottom w:w="28" w:type="dxa"/>
            </w:tcMar>
          </w:tcPr>
          <w:p w14:paraId="055CDB6C" w14:textId="77777777" w:rsidR="00A25A0F" w:rsidRDefault="00A25A0F" w:rsidP="00C9147B">
            <w:pPr>
              <w:pStyle w:val="TableText"/>
              <w:rPr>
                <w:rStyle w:val="Strong"/>
              </w:rPr>
            </w:pPr>
          </w:p>
        </w:tc>
        <w:tc>
          <w:tcPr>
            <w:tcW w:w="1020" w:type="pct"/>
            <w:tcMar>
              <w:left w:w="108" w:type="dxa"/>
              <w:bottom w:w="28" w:type="dxa"/>
              <w:right w:w="108" w:type="dxa"/>
            </w:tcMar>
          </w:tcPr>
          <w:p w14:paraId="565A6186" w14:textId="5D023E3A" w:rsidR="00A25A0F" w:rsidRPr="003E73E7" w:rsidRDefault="00A25A0F" w:rsidP="00A25A0F">
            <w:pPr>
              <w:pStyle w:val="TableText"/>
            </w:pPr>
            <w:r>
              <w:t>4.3.3</w:t>
            </w:r>
            <w:r w:rsidRPr="00D70567">
              <w:t xml:space="preserve"> Collaborate with national and international experts and to engage local providers through relevant research and development corporations to deliver relevant research for Australia</w:t>
            </w:r>
          </w:p>
        </w:tc>
        <w:tc>
          <w:tcPr>
            <w:tcW w:w="918" w:type="pct"/>
            <w:shd w:val="clear" w:color="auto" w:fill="C6D9F1" w:themeFill="text2" w:themeFillTint="33"/>
            <w:tcMar>
              <w:left w:w="108" w:type="dxa"/>
              <w:bottom w:w="28" w:type="dxa"/>
              <w:right w:w="108" w:type="dxa"/>
            </w:tcMar>
          </w:tcPr>
          <w:p w14:paraId="645C40B9" w14:textId="0F1FD154" w:rsidR="00A25A0F" w:rsidRPr="002F5C6F" w:rsidRDefault="00A25A0F" w:rsidP="00C9147B">
            <w:pPr>
              <w:pStyle w:val="TableText"/>
            </w:pPr>
            <w:r w:rsidRPr="00A25A0F">
              <w:t>Ongoing – business as usual</w:t>
            </w:r>
          </w:p>
        </w:tc>
        <w:tc>
          <w:tcPr>
            <w:tcW w:w="510" w:type="pct"/>
            <w:shd w:val="clear" w:color="auto" w:fill="auto"/>
            <w:tcMar>
              <w:left w:w="108" w:type="dxa"/>
              <w:bottom w:w="28" w:type="dxa"/>
              <w:right w:w="108" w:type="dxa"/>
            </w:tcMar>
          </w:tcPr>
          <w:p w14:paraId="422BDA64" w14:textId="5F97B915" w:rsidR="00A25A0F" w:rsidRPr="00DE7573" w:rsidRDefault="00A25A0F" w:rsidP="00C9147B">
            <w:pPr>
              <w:pStyle w:val="TableText"/>
            </w:pPr>
            <w:r w:rsidRPr="00A25A0F">
              <w:t>Commonwealth (</w:t>
            </w:r>
            <w:r>
              <w:t>PPEBD)</w:t>
            </w:r>
          </w:p>
        </w:tc>
        <w:tc>
          <w:tcPr>
            <w:tcW w:w="816" w:type="pct"/>
            <w:tcMar>
              <w:left w:w="108" w:type="dxa"/>
              <w:bottom w:w="28" w:type="dxa"/>
              <w:right w:w="108" w:type="dxa"/>
            </w:tcMar>
          </w:tcPr>
          <w:p w14:paraId="2765F85C" w14:textId="41C1F6CD" w:rsidR="00A25A0F" w:rsidRPr="009F0489" w:rsidRDefault="00745620" w:rsidP="00C9147B">
            <w:pPr>
              <w:pStyle w:val="TableText"/>
            </w:pPr>
            <w:r w:rsidRPr="00745620">
              <w:t>Commonwealth</w:t>
            </w:r>
          </w:p>
        </w:tc>
        <w:tc>
          <w:tcPr>
            <w:tcW w:w="714" w:type="pct"/>
            <w:tcMar>
              <w:left w:w="108" w:type="dxa"/>
              <w:bottom w:w="28" w:type="dxa"/>
              <w:right w:w="108" w:type="dxa"/>
            </w:tcMar>
          </w:tcPr>
          <w:p w14:paraId="0DF5A696" w14:textId="10722931" w:rsidR="00A25A0F" w:rsidRDefault="0046067B" w:rsidP="00C9147B">
            <w:pPr>
              <w:pStyle w:val="TableText"/>
            </w:pPr>
            <w:r>
              <w:t>Not applicable</w:t>
            </w:r>
          </w:p>
        </w:tc>
      </w:tr>
      <w:tr w:rsidR="00716806" w:rsidRPr="00013AE2" w14:paraId="4DA750CE" w14:textId="77777777" w:rsidTr="00787004">
        <w:trPr>
          <w:trHeight w:val="559"/>
        </w:trPr>
        <w:tc>
          <w:tcPr>
            <w:tcW w:w="1021" w:type="pct"/>
            <w:vMerge/>
            <w:tcMar>
              <w:bottom w:w="28" w:type="dxa"/>
            </w:tcMar>
          </w:tcPr>
          <w:p w14:paraId="2BF1092B" w14:textId="77777777" w:rsidR="00A25A0F" w:rsidRDefault="00A25A0F" w:rsidP="00C9147B">
            <w:pPr>
              <w:pStyle w:val="TableText"/>
              <w:rPr>
                <w:rStyle w:val="Strong"/>
              </w:rPr>
            </w:pPr>
          </w:p>
        </w:tc>
        <w:tc>
          <w:tcPr>
            <w:tcW w:w="1020" w:type="pct"/>
            <w:tcMar>
              <w:left w:w="108" w:type="dxa"/>
              <w:bottom w:w="28" w:type="dxa"/>
              <w:right w:w="108" w:type="dxa"/>
            </w:tcMar>
          </w:tcPr>
          <w:p w14:paraId="58F99089" w14:textId="3A1A3001" w:rsidR="00A25A0F" w:rsidRDefault="00A25A0F" w:rsidP="00A25A0F">
            <w:pPr>
              <w:pStyle w:val="TableText"/>
            </w:pPr>
            <w:r>
              <w:t>4.3.4</w:t>
            </w:r>
            <w:r w:rsidRPr="00D70567">
              <w:t xml:space="preserve"> Research priorities should be promoted for funding within the relevant research and development corporations, and the Plant Biosecurity Research Initiative</w:t>
            </w:r>
          </w:p>
        </w:tc>
        <w:tc>
          <w:tcPr>
            <w:tcW w:w="918" w:type="pct"/>
            <w:shd w:val="clear" w:color="auto" w:fill="C6D9F1" w:themeFill="text2" w:themeFillTint="33"/>
            <w:tcMar>
              <w:left w:w="108" w:type="dxa"/>
              <w:bottom w:w="28" w:type="dxa"/>
              <w:right w:w="108" w:type="dxa"/>
            </w:tcMar>
          </w:tcPr>
          <w:p w14:paraId="792AB068" w14:textId="52AE43BB" w:rsidR="00A25A0F" w:rsidRPr="002F5C6F" w:rsidRDefault="00A25A0F" w:rsidP="00C9147B">
            <w:pPr>
              <w:pStyle w:val="TableText"/>
            </w:pPr>
            <w:r w:rsidRPr="00A25A0F">
              <w:t>Ongoing – business as usual</w:t>
            </w:r>
          </w:p>
        </w:tc>
        <w:tc>
          <w:tcPr>
            <w:tcW w:w="510" w:type="pct"/>
            <w:shd w:val="clear" w:color="auto" w:fill="auto"/>
            <w:tcMar>
              <w:left w:w="108" w:type="dxa"/>
              <w:bottom w:w="28" w:type="dxa"/>
              <w:right w:w="108" w:type="dxa"/>
            </w:tcMar>
          </w:tcPr>
          <w:p w14:paraId="75BE8169" w14:textId="5AA44194" w:rsidR="00A25A0F" w:rsidRPr="00DE7573" w:rsidRDefault="00A25A0F" w:rsidP="00C9147B">
            <w:pPr>
              <w:pStyle w:val="TableText"/>
            </w:pPr>
            <w:r w:rsidRPr="00A25A0F">
              <w:t>Commonwealth (</w:t>
            </w:r>
            <w:r>
              <w:t>PPEBD)</w:t>
            </w:r>
          </w:p>
        </w:tc>
        <w:tc>
          <w:tcPr>
            <w:tcW w:w="816" w:type="pct"/>
            <w:tcMar>
              <w:left w:w="108" w:type="dxa"/>
              <w:bottom w:w="28" w:type="dxa"/>
              <w:right w:w="108" w:type="dxa"/>
            </w:tcMar>
          </w:tcPr>
          <w:p w14:paraId="28778E42" w14:textId="4925EDD7" w:rsidR="00A25A0F" w:rsidRPr="009F0489" w:rsidRDefault="00745620" w:rsidP="00C9147B">
            <w:pPr>
              <w:pStyle w:val="TableText"/>
            </w:pPr>
            <w:r w:rsidRPr="00745620">
              <w:t>Commonwealth</w:t>
            </w:r>
          </w:p>
        </w:tc>
        <w:tc>
          <w:tcPr>
            <w:tcW w:w="714" w:type="pct"/>
            <w:tcMar>
              <w:left w:w="108" w:type="dxa"/>
              <w:bottom w:w="28" w:type="dxa"/>
              <w:right w:w="108" w:type="dxa"/>
            </w:tcMar>
          </w:tcPr>
          <w:p w14:paraId="0D995039" w14:textId="1815F201" w:rsidR="00A25A0F" w:rsidRDefault="0046067B" w:rsidP="00C9147B">
            <w:pPr>
              <w:pStyle w:val="TableText"/>
            </w:pPr>
            <w:r>
              <w:t>Not applicable</w:t>
            </w:r>
          </w:p>
        </w:tc>
      </w:tr>
    </w:tbl>
    <w:p w14:paraId="6D6C46F2" w14:textId="77777777" w:rsidR="00B11B52" w:rsidRDefault="00B11B52" w:rsidP="007B24BE">
      <w:pPr>
        <w:rPr>
          <w:b/>
          <w:lang w:eastAsia="ja-JP"/>
        </w:rPr>
        <w:sectPr w:rsidR="00B11B52" w:rsidSect="00180FF6">
          <w:pgSz w:w="16838" w:h="11906" w:orient="landscape"/>
          <w:pgMar w:top="1418" w:right="1418" w:bottom="851" w:left="1418" w:header="567" w:footer="283" w:gutter="0"/>
          <w:cols w:space="708"/>
          <w:docGrid w:linePitch="360"/>
        </w:sectPr>
      </w:pPr>
    </w:p>
    <w:p w14:paraId="7AC3BCE7" w14:textId="3FD402F0" w:rsidR="00CA5D2E" w:rsidRDefault="00017DDE" w:rsidP="00017DDE">
      <w:pPr>
        <w:pStyle w:val="Heading2"/>
        <w:numPr>
          <w:ilvl w:val="0"/>
          <w:numId w:val="0"/>
        </w:numPr>
        <w:ind w:left="720" w:hanging="720"/>
      </w:pPr>
      <w:bookmarkStart w:id="10" w:name="Table_2_Action_area_2_Detection"/>
      <w:bookmarkEnd w:id="10"/>
      <w:r>
        <w:lastRenderedPageBreak/>
        <w:t>Glossary</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6"/>
        <w:gridCol w:w="6804"/>
      </w:tblGrid>
      <w:tr w:rsidR="00017DDE" w14:paraId="02EE3BC6" w14:textId="77777777" w:rsidTr="00CD7640">
        <w:trPr>
          <w:cantSplit/>
          <w:tblHeader/>
        </w:trPr>
        <w:tc>
          <w:tcPr>
            <w:tcW w:w="1249" w:type="pct"/>
            <w:tcMar>
              <w:left w:w="108" w:type="dxa"/>
              <w:right w:w="108" w:type="dxa"/>
            </w:tcMar>
          </w:tcPr>
          <w:p w14:paraId="39AE87C0" w14:textId="77777777" w:rsidR="00017DDE" w:rsidRPr="00FE64BC" w:rsidRDefault="00017DDE" w:rsidP="00396CDA">
            <w:pPr>
              <w:pStyle w:val="TableHeading"/>
            </w:pPr>
            <w:r w:rsidRPr="00FE64BC">
              <w:t>Term</w:t>
            </w:r>
          </w:p>
        </w:tc>
        <w:tc>
          <w:tcPr>
            <w:tcW w:w="3751" w:type="pct"/>
            <w:tcMar>
              <w:left w:w="108" w:type="dxa"/>
              <w:right w:w="108" w:type="dxa"/>
            </w:tcMar>
          </w:tcPr>
          <w:p w14:paraId="779AA664" w14:textId="77777777" w:rsidR="00017DDE" w:rsidRPr="00FE64BC" w:rsidRDefault="00017DDE" w:rsidP="00396CDA">
            <w:pPr>
              <w:pStyle w:val="TableHeading"/>
            </w:pPr>
            <w:r w:rsidRPr="00FE64BC">
              <w:t>Definition</w:t>
            </w:r>
          </w:p>
        </w:tc>
      </w:tr>
      <w:tr w:rsidR="00C5765F" w14:paraId="7E5642A3" w14:textId="77777777" w:rsidTr="009B64EE">
        <w:tc>
          <w:tcPr>
            <w:tcW w:w="1249" w:type="pct"/>
            <w:shd w:val="clear" w:color="auto" w:fill="auto"/>
            <w:tcMar>
              <w:left w:w="108" w:type="dxa"/>
              <w:right w:w="108" w:type="dxa"/>
            </w:tcMar>
          </w:tcPr>
          <w:p w14:paraId="419CF141" w14:textId="0C07FF05" w:rsidR="00C5765F" w:rsidRPr="00103763" w:rsidRDefault="00C5765F" w:rsidP="00C5765F">
            <w:pPr>
              <w:pStyle w:val="TableText"/>
            </w:pPr>
            <w:r w:rsidRPr="00B516FD">
              <w:t>BPSSD</w:t>
            </w:r>
          </w:p>
        </w:tc>
        <w:tc>
          <w:tcPr>
            <w:tcW w:w="3751" w:type="pct"/>
            <w:shd w:val="clear" w:color="auto" w:fill="auto"/>
            <w:tcMar>
              <w:left w:w="108" w:type="dxa"/>
              <w:right w:w="108" w:type="dxa"/>
            </w:tcMar>
          </w:tcPr>
          <w:p w14:paraId="3CE02773" w14:textId="29CF2188" w:rsidR="00C5765F" w:rsidRPr="00103763" w:rsidRDefault="00C5765F" w:rsidP="00C5765F">
            <w:pPr>
              <w:pStyle w:val="TableText"/>
            </w:pPr>
            <w:r w:rsidRPr="00B516FD">
              <w:t>Biosecurity Plant and Science Service Division (DAFF)</w:t>
            </w:r>
          </w:p>
        </w:tc>
      </w:tr>
      <w:tr w:rsidR="00C5765F" w14:paraId="5B708735" w14:textId="77777777" w:rsidTr="009B64EE">
        <w:tc>
          <w:tcPr>
            <w:tcW w:w="1249" w:type="pct"/>
            <w:tcMar>
              <w:left w:w="108" w:type="dxa"/>
              <w:right w:w="108" w:type="dxa"/>
            </w:tcMar>
          </w:tcPr>
          <w:p w14:paraId="2A20E0E1" w14:textId="58B2605D" w:rsidR="00C5765F" w:rsidRPr="00FE64BC" w:rsidRDefault="00C5765F" w:rsidP="00C5765F">
            <w:pPr>
              <w:pStyle w:val="TableText"/>
            </w:pPr>
            <w:r w:rsidRPr="00B516FD">
              <w:t>BSRD</w:t>
            </w:r>
          </w:p>
        </w:tc>
        <w:tc>
          <w:tcPr>
            <w:tcW w:w="3751" w:type="pct"/>
            <w:tcMar>
              <w:left w:w="108" w:type="dxa"/>
              <w:right w:w="108" w:type="dxa"/>
            </w:tcMar>
          </w:tcPr>
          <w:p w14:paraId="4A5FE211" w14:textId="4E27BC95" w:rsidR="00C5765F" w:rsidRPr="00FE64BC" w:rsidRDefault="00C5765F" w:rsidP="00C5765F">
            <w:pPr>
              <w:pStyle w:val="TableText"/>
            </w:pPr>
            <w:r w:rsidRPr="00B516FD">
              <w:t>Biosecurity Strategy and Reform Division (DAFF)</w:t>
            </w:r>
          </w:p>
        </w:tc>
      </w:tr>
      <w:tr w:rsidR="00C5765F" w14:paraId="657CCDD5" w14:textId="77777777" w:rsidTr="009B64EE">
        <w:tc>
          <w:tcPr>
            <w:tcW w:w="1249" w:type="pct"/>
            <w:tcMar>
              <w:left w:w="108" w:type="dxa"/>
              <w:right w:w="108" w:type="dxa"/>
            </w:tcMar>
          </w:tcPr>
          <w:p w14:paraId="121E75E2" w14:textId="657A7013" w:rsidR="00C5765F" w:rsidRPr="00FE64BC" w:rsidRDefault="00C5765F" w:rsidP="00C5765F">
            <w:pPr>
              <w:pStyle w:val="TableText"/>
            </w:pPr>
            <w:r w:rsidRPr="00B516FD">
              <w:t>CED</w:t>
            </w:r>
          </w:p>
        </w:tc>
        <w:tc>
          <w:tcPr>
            <w:tcW w:w="3751" w:type="pct"/>
            <w:tcMar>
              <w:left w:w="108" w:type="dxa"/>
              <w:right w:w="108" w:type="dxa"/>
            </w:tcMar>
          </w:tcPr>
          <w:p w14:paraId="359D1008" w14:textId="252A81D7" w:rsidR="00C5765F" w:rsidRPr="00FE64BC" w:rsidRDefault="00C5765F" w:rsidP="00C5765F">
            <w:pPr>
              <w:pStyle w:val="TableText"/>
            </w:pPr>
            <w:r w:rsidRPr="00B516FD">
              <w:t>Compliance and Enforcement Division (DAFF)</w:t>
            </w:r>
          </w:p>
        </w:tc>
      </w:tr>
      <w:tr w:rsidR="00C5765F" w14:paraId="3C468D31" w14:textId="77777777" w:rsidTr="009B64EE">
        <w:tc>
          <w:tcPr>
            <w:tcW w:w="1249" w:type="pct"/>
            <w:tcMar>
              <w:left w:w="108" w:type="dxa"/>
              <w:right w:w="108" w:type="dxa"/>
            </w:tcMar>
          </w:tcPr>
          <w:p w14:paraId="78209EB6" w14:textId="50759D75" w:rsidR="00C5765F" w:rsidRPr="00FE64BC" w:rsidRDefault="00C5765F" w:rsidP="00C5765F">
            <w:pPr>
              <w:pStyle w:val="TableText"/>
            </w:pPr>
            <w:r w:rsidRPr="00B516FD">
              <w:t>CSIRO</w:t>
            </w:r>
          </w:p>
        </w:tc>
        <w:tc>
          <w:tcPr>
            <w:tcW w:w="3751" w:type="pct"/>
            <w:tcMar>
              <w:left w:w="108" w:type="dxa"/>
              <w:right w:w="108" w:type="dxa"/>
            </w:tcMar>
          </w:tcPr>
          <w:p w14:paraId="1675B251" w14:textId="4B268006" w:rsidR="00C5765F" w:rsidRPr="00FE64BC" w:rsidRDefault="00C5765F" w:rsidP="00C5765F">
            <w:pPr>
              <w:pStyle w:val="TableText"/>
            </w:pPr>
            <w:r w:rsidRPr="00B516FD">
              <w:t>Commonwealth Scientific and Industrial Research Organisation</w:t>
            </w:r>
          </w:p>
        </w:tc>
      </w:tr>
      <w:tr w:rsidR="00C5765F" w14:paraId="15BBFF72" w14:textId="77777777" w:rsidTr="009B64EE">
        <w:tc>
          <w:tcPr>
            <w:tcW w:w="1249" w:type="pct"/>
            <w:tcMar>
              <w:left w:w="108" w:type="dxa"/>
              <w:right w:w="108" w:type="dxa"/>
            </w:tcMar>
          </w:tcPr>
          <w:p w14:paraId="62B97BF6" w14:textId="1F0A3CF3" w:rsidR="00C5765F" w:rsidRPr="00FE64BC" w:rsidRDefault="00C5765F" w:rsidP="00C5765F">
            <w:pPr>
              <w:pStyle w:val="TableText"/>
            </w:pPr>
            <w:r w:rsidRPr="00B516FD">
              <w:t>DAFF</w:t>
            </w:r>
          </w:p>
        </w:tc>
        <w:tc>
          <w:tcPr>
            <w:tcW w:w="3751" w:type="pct"/>
            <w:tcMar>
              <w:left w:w="108" w:type="dxa"/>
              <w:right w:w="108" w:type="dxa"/>
            </w:tcMar>
          </w:tcPr>
          <w:p w14:paraId="00D56623" w14:textId="66D0F6CA" w:rsidR="00C5765F" w:rsidRPr="00FE64BC" w:rsidRDefault="00C5765F" w:rsidP="00C5765F">
            <w:pPr>
              <w:pStyle w:val="TableText"/>
            </w:pPr>
            <w:r w:rsidRPr="00B516FD">
              <w:t>Department of Agriculture, Fisheries and Forestry</w:t>
            </w:r>
          </w:p>
        </w:tc>
      </w:tr>
      <w:tr w:rsidR="00026656" w14:paraId="6A4D10B1" w14:textId="77777777" w:rsidTr="009B64EE">
        <w:tc>
          <w:tcPr>
            <w:tcW w:w="1249" w:type="pct"/>
            <w:tcMar>
              <w:left w:w="108" w:type="dxa"/>
              <w:right w:w="108" w:type="dxa"/>
            </w:tcMar>
          </w:tcPr>
          <w:p w14:paraId="509693B0" w14:textId="57DB825B" w:rsidR="00026656" w:rsidRPr="00B516FD" w:rsidRDefault="00026656" w:rsidP="00C5765F">
            <w:pPr>
              <w:pStyle w:val="TableText"/>
            </w:pPr>
            <w:r>
              <w:t>D</w:t>
            </w:r>
            <w:r w:rsidR="000B0C1F">
              <w:t>B</w:t>
            </w:r>
            <w:r>
              <w:t>D</w:t>
            </w:r>
          </w:p>
        </w:tc>
        <w:tc>
          <w:tcPr>
            <w:tcW w:w="3751" w:type="pct"/>
            <w:tcMar>
              <w:left w:w="108" w:type="dxa"/>
              <w:right w:w="108" w:type="dxa"/>
            </w:tcMar>
          </w:tcPr>
          <w:p w14:paraId="3BACABF1" w14:textId="548D8B1B" w:rsidR="00026656" w:rsidRPr="00B516FD" w:rsidRDefault="00026656" w:rsidP="00C5765F">
            <w:pPr>
              <w:pStyle w:val="TableText"/>
            </w:pPr>
            <w:r>
              <w:t xml:space="preserve">Digital </w:t>
            </w:r>
            <w:r w:rsidR="000B0C1F">
              <w:t>Business</w:t>
            </w:r>
            <w:r>
              <w:t xml:space="preserve"> Division (DAFF)</w:t>
            </w:r>
          </w:p>
        </w:tc>
      </w:tr>
      <w:tr w:rsidR="000B0C1F" w14:paraId="47C627D5" w14:textId="77777777" w:rsidTr="009B64EE">
        <w:tc>
          <w:tcPr>
            <w:tcW w:w="1249" w:type="pct"/>
            <w:tcMar>
              <w:left w:w="108" w:type="dxa"/>
              <w:right w:w="108" w:type="dxa"/>
            </w:tcMar>
          </w:tcPr>
          <w:p w14:paraId="29D0C570" w14:textId="62EC210C" w:rsidR="000B0C1F" w:rsidRDefault="000B0C1F" w:rsidP="00C5765F">
            <w:pPr>
              <w:pStyle w:val="TableText"/>
            </w:pPr>
            <w:r>
              <w:t>HHWG</w:t>
            </w:r>
          </w:p>
        </w:tc>
        <w:tc>
          <w:tcPr>
            <w:tcW w:w="3751" w:type="pct"/>
            <w:tcMar>
              <w:left w:w="108" w:type="dxa"/>
              <w:right w:w="108" w:type="dxa"/>
            </w:tcMar>
          </w:tcPr>
          <w:p w14:paraId="49331555" w14:textId="6B3EBF9B" w:rsidR="000B0C1F" w:rsidRDefault="000B0C1F" w:rsidP="00C5765F">
            <w:pPr>
              <w:pStyle w:val="TableText"/>
            </w:pPr>
            <w:r>
              <w:t xml:space="preserve">Hitchhiker Working Group </w:t>
            </w:r>
          </w:p>
        </w:tc>
      </w:tr>
      <w:tr w:rsidR="00C650F2" w14:paraId="47AE3014" w14:textId="77777777" w:rsidTr="009B64EE">
        <w:tc>
          <w:tcPr>
            <w:tcW w:w="1249" w:type="pct"/>
            <w:tcMar>
              <w:left w:w="108" w:type="dxa"/>
              <w:right w:w="108" w:type="dxa"/>
            </w:tcMar>
          </w:tcPr>
          <w:p w14:paraId="03EF645A" w14:textId="0990413A" w:rsidR="00C650F2" w:rsidRPr="005F42C3" w:rsidRDefault="00C650F2" w:rsidP="00C5765F">
            <w:pPr>
              <w:pStyle w:val="TableText"/>
            </w:pPr>
            <w:r>
              <w:t>IPCC</w:t>
            </w:r>
          </w:p>
        </w:tc>
        <w:tc>
          <w:tcPr>
            <w:tcW w:w="3751" w:type="pct"/>
            <w:tcMar>
              <w:left w:w="108" w:type="dxa"/>
              <w:right w:w="108" w:type="dxa"/>
            </w:tcMar>
          </w:tcPr>
          <w:p w14:paraId="11E98C0B" w14:textId="653E7E28" w:rsidR="00C650F2" w:rsidRPr="005F42C3" w:rsidRDefault="00C650F2" w:rsidP="00C5765F">
            <w:pPr>
              <w:pStyle w:val="TableText"/>
            </w:pPr>
            <w:r>
              <w:t>International Plant Protection Convention</w:t>
            </w:r>
          </w:p>
        </w:tc>
      </w:tr>
      <w:tr w:rsidR="00C5765F" w14:paraId="261B0CDE" w14:textId="77777777" w:rsidTr="009B64EE">
        <w:tc>
          <w:tcPr>
            <w:tcW w:w="1249" w:type="pct"/>
            <w:tcMar>
              <w:left w:w="108" w:type="dxa"/>
              <w:right w:w="108" w:type="dxa"/>
            </w:tcMar>
          </w:tcPr>
          <w:p w14:paraId="4E7220E2" w14:textId="31D9CBC2" w:rsidR="00C5765F" w:rsidRPr="00FE64BC" w:rsidRDefault="00C5765F" w:rsidP="00C5765F">
            <w:pPr>
              <w:pStyle w:val="TableText"/>
            </w:pPr>
            <w:r w:rsidRPr="005F42C3">
              <w:t>NPBDN</w:t>
            </w:r>
          </w:p>
        </w:tc>
        <w:tc>
          <w:tcPr>
            <w:tcW w:w="3751" w:type="pct"/>
            <w:tcMar>
              <w:left w:w="108" w:type="dxa"/>
              <w:right w:w="108" w:type="dxa"/>
            </w:tcMar>
          </w:tcPr>
          <w:p w14:paraId="0B6468F4" w14:textId="0B6A9EF5" w:rsidR="00C5765F" w:rsidRPr="00FE64BC" w:rsidRDefault="00C5765F" w:rsidP="00C5765F">
            <w:pPr>
              <w:pStyle w:val="TableText"/>
            </w:pPr>
            <w:r w:rsidRPr="005F42C3">
              <w:t>National Plant Biosecurity Diagnostic Network (through SPHD)</w:t>
            </w:r>
          </w:p>
        </w:tc>
      </w:tr>
      <w:tr w:rsidR="00C5765F" w14:paraId="698B3B6B" w14:textId="77777777" w:rsidTr="009B64EE">
        <w:tc>
          <w:tcPr>
            <w:tcW w:w="1249" w:type="pct"/>
            <w:tcMar>
              <w:left w:w="108" w:type="dxa"/>
              <w:right w:w="108" w:type="dxa"/>
            </w:tcMar>
          </w:tcPr>
          <w:p w14:paraId="4315BE47" w14:textId="1D10EB6F" w:rsidR="00C5765F" w:rsidRPr="00FE64BC" w:rsidRDefault="00C5765F" w:rsidP="00C5765F">
            <w:pPr>
              <w:pStyle w:val="TableText"/>
            </w:pPr>
            <w:r w:rsidRPr="005F42C3">
              <w:t>PHA</w:t>
            </w:r>
          </w:p>
        </w:tc>
        <w:tc>
          <w:tcPr>
            <w:tcW w:w="3751" w:type="pct"/>
            <w:tcMar>
              <w:left w:w="108" w:type="dxa"/>
              <w:right w:w="108" w:type="dxa"/>
            </w:tcMar>
          </w:tcPr>
          <w:p w14:paraId="34317CBD" w14:textId="2D24B9AC" w:rsidR="00C5765F" w:rsidRPr="00FE64BC" w:rsidRDefault="00C5765F" w:rsidP="00C5765F">
            <w:pPr>
              <w:pStyle w:val="TableText"/>
            </w:pPr>
            <w:r w:rsidRPr="005F42C3">
              <w:t>Plant Health Australia</w:t>
            </w:r>
          </w:p>
        </w:tc>
      </w:tr>
      <w:tr w:rsidR="00C5765F" w14:paraId="4D766D6F" w14:textId="77777777" w:rsidTr="009B64EE">
        <w:tc>
          <w:tcPr>
            <w:tcW w:w="1249" w:type="pct"/>
            <w:tcMar>
              <w:left w:w="108" w:type="dxa"/>
              <w:right w:w="108" w:type="dxa"/>
            </w:tcMar>
          </w:tcPr>
          <w:p w14:paraId="770C2A4A" w14:textId="74F3C5BC" w:rsidR="00C5765F" w:rsidRPr="00FE64BC" w:rsidRDefault="00C5765F" w:rsidP="00C5765F">
            <w:pPr>
              <w:pStyle w:val="TableText"/>
            </w:pPr>
            <w:r w:rsidRPr="005F42C3">
              <w:t>PHC</w:t>
            </w:r>
          </w:p>
        </w:tc>
        <w:tc>
          <w:tcPr>
            <w:tcW w:w="3751" w:type="pct"/>
            <w:tcMar>
              <w:left w:w="108" w:type="dxa"/>
              <w:right w:w="108" w:type="dxa"/>
            </w:tcMar>
          </w:tcPr>
          <w:p w14:paraId="28BF4994" w14:textId="46F5BDB9" w:rsidR="00C5765F" w:rsidRPr="00FE64BC" w:rsidRDefault="00C5765F" w:rsidP="00C5765F">
            <w:pPr>
              <w:pStyle w:val="TableText"/>
            </w:pPr>
            <w:r w:rsidRPr="005F42C3">
              <w:t>Plant Health Committee</w:t>
            </w:r>
          </w:p>
        </w:tc>
      </w:tr>
      <w:tr w:rsidR="00C5765F" w14:paraId="2B61B3AB" w14:textId="77777777" w:rsidTr="009B64EE">
        <w:tc>
          <w:tcPr>
            <w:tcW w:w="1249" w:type="pct"/>
            <w:tcMar>
              <w:left w:w="108" w:type="dxa"/>
              <w:right w:w="108" w:type="dxa"/>
            </w:tcMar>
          </w:tcPr>
          <w:p w14:paraId="65FBD781" w14:textId="402BF4C5" w:rsidR="00C5765F" w:rsidRPr="00FE64BC" w:rsidRDefault="00C5765F" w:rsidP="00C5765F">
            <w:pPr>
              <w:pStyle w:val="TableText"/>
            </w:pPr>
            <w:r w:rsidRPr="005F42C3">
              <w:t>PLAE</w:t>
            </w:r>
          </w:p>
        </w:tc>
        <w:tc>
          <w:tcPr>
            <w:tcW w:w="3751" w:type="pct"/>
            <w:tcMar>
              <w:left w:w="108" w:type="dxa"/>
              <w:right w:w="108" w:type="dxa"/>
            </w:tcMar>
          </w:tcPr>
          <w:p w14:paraId="09876CB3" w14:textId="2DD6869F" w:rsidR="00C5765F" w:rsidRPr="00FE64BC" w:rsidRDefault="00C5765F" w:rsidP="00C5765F">
            <w:pPr>
              <w:pStyle w:val="TableText"/>
            </w:pPr>
            <w:r w:rsidRPr="005F42C3">
              <w:t>Plant and Live Animal Exports</w:t>
            </w:r>
            <w:r w:rsidR="00CB37E5">
              <w:t>, Animal Welfare and Regulation</w:t>
            </w:r>
            <w:r w:rsidRPr="005F42C3">
              <w:t xml:space="preserve"> Division (DAFF)</w:t>
            </w:r>
          </w:p>
        </w:tc>
      </w:tr>
      <w:tr w:rsidR="00C5765F" w14:paraId="25BCD740" w14:textId="77777777" w:rsidTr="009B64EE">
        <w:tc>
          <w:tcPr>
            <w:tcW w:w="1249" w:type="pct"/>
            <w:tcMar>
              <w:left w:w="108" w:type="dxa"/>
              <w:right w:w="108" w:type="dxa"/>
            </w:tcMar>
          </w:tcPr>
          <w:p w14:paraId="1471FC31" w14:textId="20B95D67" w:rsidR="00C5765F" w:rsidRPr="00FE64BC" w:rsidRDefault="00C5765F" w:rsidP="00C5765F">
            <w:pPr>
              <w:pStyle w:val="TableText"/>
            </w:pPr>
            <w:r w:rsidRPr="005F42C3">
              <w:t>PPEBD</w:t>
            </w:r>
          </w:p>
        </w:tc>
        <w:tc>
          <w:tcPr>
            <w:tcW w:w="3751" w:type="pct"/>
            <w:tcMar>
              <w:left w:w="108" w:type="dxa"/>
              <w:right w:w="108" w:type="dxa"/>
            </w:tcMar>
          </w:tcPr>
          <w:p w14:paraId="73E4A5E2" w14:textId="6E54F031" w:rsidR="00C5765F" w:rsidRPr="00FE64BC" w:rsidRDefault="00C5765F" w:rsidP="00C5765F">
            <w:pPr>
              <w:pStyle w:val="TableText"/>
            </w:pPr>
            <w:r w:rsidRPr="005F42C3">
              <w:t xml:space="preserve">Plant Protection and Environmental Biosecurity Division </w:t>
            </w:r>
            <w:r>
              <w:t>(DAFF)</w:t>
            </w:r>
          </w:p>
        </w:tc>
      </w:tr>
      <w:tr w:rsidR="00C5765F" w14:paraId="7A4CC46F" w14:textId="77777777" w:rsidTr="009B64EE">
        <w:tc>
          <w:tcPr>
            <w:tcW w:w="1249" w:type="pct"/>
            <w:tcMar>
              <w:left w:w="108" w:type="dxa"/>
              <w:right w:w="108" w:type="dxa"/>
            </w:tcMar>
          </w:tcPr>
          <w:p w14:paraId="19638F2E" w14:textId="129D5FB9" w:rsidR="00C5765F" w:rsidRPr="00FE64BC" w:rsidRDefault="00C5765F" w:rsidP="00C5765F">
            <w:pPr>
              <w:pStyle w:val="TableText"/>
            </w:pPr>
            <w:r w:rsidRPr="005F42C3">
              <w:t xml:space="preserve">PSARA </w:t>
            </w:r>
          </w:p>
        </w:tc>
        <w:tc>
          <w:tcPr>
            <w:tcW w:w="3751" w:type="pct"/>
            <w:tcMar>
              <w:left w:w="108" w:type="dxa"/>
              <w:right w:w="108" w:type="dxa"/>
            </w:tcMar>
          </w:tcPr>
          <w:p w14:paraId="1B7889D7" w14:textId="3A6E07D0" w:rsidR="00C5765F" w:rsidRPr="00FE64BC" w:rsidRDefault="00C5765F" w:rsidP="00C5765F">
            <w:pPr>
              <w:pStyle w:val="TableText"/>
            </w:pPr>
            <w:r w:rsidRPr="005F42C3">
              <w:t>Plant Sciences and Risk Assessment (DAFF)</w:t>
            </w:r>
          </w:p>
        </w:tc>
      </w:tr>
      <w:tr w:rsidR="00F73151" w14:paraId="69F64FC7" w14:textId="77777777" w:rsidTr="009B64EE">
        <w:tc>
          <w:tcPr>
            <w:tcW w:w="1249" w:type="pct"/>
            <w:tcMar>
              <w:left w:w="108" w:type="dxa"/>
              <w:right w:w="108" w:type="dxa"/>
            </w:tcMar>
          </w:tcPr>
          <w:p w14:paraId="2C7AFC68" w14:textId="34792496" w:rsidR="00F73151" w:rsidRDefault="00F73151" w:rsidP="00C5765F">
            <w:pPr>
              <w:pStyle w:val="TableText"/>
            </w:pPr>
            <w:r>
              <w:t>SCFG</w:t>
            </w:r>
          </w:p>
        </w:tc>
        <w:tc>
          <w:tcPr>
            <w:tcW w:w="3751" w:type="pct"/>
            <w:tcMar>
              <w:left w:w="108" w:type="dxa"/>
              <w:right w:w="108" w:type="dxa"/>
            </w:tcMar>
          </w:tcPr>
          <w:p w14:paraId="0531FE52" w14:textId="022D3A03" w:rsidR="00F73151" w:rsidRDefault="00F73151" w:rsidP="00C5765F">
            <w:pPr>
              <w:pStyle w:val="TableText"/>
            </w:pPr>
            <w:r>
              <w:t>Sea Container Focus Group</w:t>
            </w:r>
          </w:p>
        </w:tc>
      </w:tr>
      <w:tr w:rsidR="00C5765F" w14:paraId="73C85E1F" w14:textId="77777777" w:rsidTr="009B64EE">
        <w:tc>
          <w:tcPr>
            <w:tcW w:w="1249" w:type="pct"/>
            <w:tcMar>
              <w:left w:w="108" w:type="dxa"/>
              <w:right w:w="108" w:type="dxa"/>
            </w:tcMar>
          </w:tcPr>
          <w:p w14:paraId="19083048" w14:textId="2A2E8B9C" w:rsidR="00C5765F" w:rsidRPr="00FE64BC" w:rsidRDefault="00C5765F" w:rsidP="00C5765F">
            <w:pPr>
              <w:pStyle w:val="TableText"/>
            </w:pPr>
            <w:r w:rsidRPr="005F42C3">
              <w:t>SNPHS</w:t>
            </w:r>
          </w:p>
        </w:tc>
        <w:tc>
          <w:tcPr>
            <w:tcW w:w="3751" w:type="pct"/>
            <w:tcMar>
              <w:left w:w="108" w:type="dxa"/>
              <w:right w:w="108" w:type="dxa"/>
            </w:tcMar>
          </w:tcPr>
          <w:p w14:paraId="6A30F8DE" w14:textId="56AE995E" w:rsidR="00C5765F" w:rsidRPr="00FE64BC" w:rsidRDefault="00C5765F" w:rsidP="00C5765F">
            <w:pPr>
              <w:pStyle w:val="TableText"/>
            </w:pPr>
            <w:r w:rsidRPr="005F42C3">
              <w:t>Subcommittee on National Plant Health Surveillance (under PHC)</w:t>
            </w:r>
          </w:p>
        </w:tc>
      </w:tr>
      <w:tr w:rsidR="00C5765F" w14:paraId="3CFECD74" w14:textId="77777777" w:rsidTr="009B64EE">
        <w:tc>
          <w:tcPr>
            <w:tcW w:w="1249" w:type="pct"/>
            <w:tcMar>
              <w:left w:w="108" w:type="dxa"/>
              <w:right w:w="108" w:type="dxa"/>
            </w:tcMar>
          </w:tcPr>
          <w:p w14:paraId="658851B6" w14:textId="033E7FBF" w:rsidR="00C5765F" w:rsidRPr="00FE64BC" w:rsidRDefault="00C5765F" w:rsidP="00C5765F">
            <w:pPr>
              <w:pStyle w:val="TableText"/>
            </w:pPr>
            <w:r w:rsidRPr="005F42C3">
              <w:t>SPHD</w:t>
            </w:r>
          </w:p>
        </w:tc>
        <w:tc>
          <w:tcPr>
            <w:tcW w:w="3751" w:type="pct"/>
            <w:tcMar>
              <w:left w:w="108" w:type="dxa"/>
              <w:right w:w="108" w:type="dxa"/>
            </w:tcMar>
          </w:tcPr>
          <w:p w14:paraId="39B3ACF4" w14:textId="0FB778A3" w:rsidR="00C5765F" w:rsidRPr="00FE64BC" w:rsidRDefault="00C5765F" w:rsidP="00C5765F">
            <w:pPr>
              <w:pStyle w:val="TableText"/>
            </w:pPr>
            <w:r w:rsidRPr="005F42C3">
              <w:t>Subcommittee on Plant Health Diagnostics (under PHC)</w:t>
            </w:r>
          </w:p>
        </w:tc>
      </w:tr>
      <w:tr w:rsidR="00C5765F" w14:paraId="3D0B2450" w14:textId="77777777" w:rsidTr="009B64EE">
        <w:tc>
          <w:tcPr>
            <w:tcW w:w="1249" w:type="pct"/>
            <w:tcMar>
              <w:left w:w="108" w:type="dxa"/>
              <w:right w:w="108" w:type="dxa"/>
            </w:tcMar>
          </w:tcPr>
          <w:p w14:paraId="278136FE" w14:textId="3EC65F93" w:rsidR="00C5765F" w:rsidRPr="00FE64BC" w:rsidRDefault="00C5765F" w:rsidP="00C5765F">
            <w:pPr>
              <w:pStyle w:val="TableText"/>
            </w:pPr>
            <w:r w:rsidRPr="005F42C3">
              <w:t>T</w:t>
            </w:r>
            <w:r w:rsidR="00CB37E5">
              <w:t>ID</w:t>
            </w:r>
          </w:p>
        </w:tc>
        <w:tc>
          <w:tcPr>
            <w:tcW w:w="3751" w:type="pct"/>
            <w:tcMar>
              <w:left w:w="108" w:type="dxa"/>
              <w:right w:w="108" w:type="dxa"/>
            </w:tcMar>
          </w:tcPr>
          <w:p w14:paraId="23277DA0" w14:textId="67C021BF" w:rsidR="00C5765F" w:rsidRPr="00FE64BC" w:rsidRDefault="00C5765F" w:rsidP="00C5765F">
            <w:pPr>
              <w:pStyle w:val="TableText"/>
            </w:pPr>
            <w:r w:rsidRPr="005F42C3">
              <w:t xml:space="preserve">Trade and International </w:t>
            </w:r>
            <w:r w:rsidR="00CB37E5">
              <w:t>Division</w:t>
            </w:r>
            <w:r w:rsidR="008B3C93">
              <w:t xml:space="preserve"> </w:t>
            </w:r>
            <w:r w:rsidRPr="005F42C3">
              <w:t>(DAFF)</w:t>
            </w:r>
          </w:p>
        </w:tc>
      </w:tr>
    </w:tbl>
    <w:p w14:paraId="0C868598" w14:textId="77777777" w:rsidR="008D1B48" w:rsidRDefault="008D1B48" w:rsidP="00C31036">
      <w:pPr>
        <w:pStyle w:val="Normalsmall"/>
        <w:spacing w:before="240"/>
      </w:pPr>
      <w:r>
        <w:rPr>
          <w:rStyle w:val="Strong"/>
        </w:rPr>
        <w:t>Acknowledgement of Country</w:t>
      </w:r>
    </w:p>
    <w:p w14:paraId="1FBFC6FA"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B41257C" w14:textId="77777777" w:rsidR="00262394" w:rsidRDefault="00262394" w:rsidP="00262394">
      <w:pPr>
        <w:pStyle w:val="Normalsmall"/>
        <w:spacing w:before="360"/>
      </w:pPr>
      <w:r>
        <w:t>© Commonwealth of Australia 202</w:t>
      </w:r>
      <w:r w:rsidR="00340820">
        <w:t>3</w:t>
      </w:r>
    </w:p>
    <w:p w14:paraId="2D47D685"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37FD894E" w14:textId="77777777" w:rsidR="00262394" w:rsidRDefault="00262394" w:rsidP="00262394">
      <w:pPr>
        <w:pStyle w:val="Normalsmall"/>
      </w:pPr>
      <w:r>
        <w:t xml:space="preserve">All material in this publication is licensed under a </w:t>
      </w:r>
      <w:hyperlink r:id="rId32" w:history="1">
        <w:r>
          <w:rPr>
            <w:rStyle w:val="Hyperlink"/>
          </w:rPr>
          <w:t>Creative Commons Attribution 4.0 International Licence</w:t>
        </w:r>
      </w:hyperlink>
      <w:r>
        <w:t xml:space="preserve"> except content supplied by third parties, logos and the Commonwealth Coat of Arms.</w:t>
      </w:r>
    </w:p>
    <w:p w14:paraId="148938C6"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rsidSect="00013AE2">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EC0D8" w14:textId="77777777" w:rsidR="00DA055C" w:rsidRDefault="00DA055C">
      <w:r>
        <w:separator/>
      </w:r>
    </w:p>
    <w:p w14:paraId="6D98EF8A" w14:textId="77777777" w:rsidR="00DA055C" w:rsidRDefault="00DA055C"/>
    <w:p w14:paraId="1F2A6F81" w14:textId="77777777" w:rsidR="00DA055C" w:rsidRDefault="00DA055C"/>
  </w:endnote>
  <w:endnote w:type="continuationSeparator" w:id="0">
    <w:p w14:paraId="5767054A" w14:textId="77777777" w:rsidR="00DA055C" w:rsidRDefault="00DA055C">
      <w:r>
        <w:continuationSeparator/>
      </w:r>
    </w:p>
    <w:p w14:paraId="2642CBEA" w14:textId="77777777" w:rsidR="00DA055C" w:rsidRDefault="00DA055C"/>
    <w:p w14:paraId="6B95964A" w14:textId="77777777" w:rsidR="00DA055C" w:rsidRDefault="00DA055C"/>
  </w:endnote>
  <w:endnote w:type="continuationNotice" w:id="1">
    <w:p w14:paraId="54D927DD" w14:textId="77777777" w:rsidR="00DA055C" w:rsidRDefault="00DA055C">
      <w:pPr>
        <w:pStyle w:val="Footer"/>
      </w:pPr>
    </w:p>
    <w:p w14:paraId="29DB2FCA" w14:textId="77777777" w:rsidR="00DA055C" w:rsidRDefault="00DA055C"/>
    <w:p w14:paraId="58C51E71" w14:textId="77777777" w:rsidR="00DA055C" w:rsidRDefault="00DA0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506A" w14:textId="7FCBD9BE" w:rsidR="00A23745" w:rsidRDefault="00A23745">
    <w:pPr>
      <w:pStyle w:val="Footer"/>
    </w:pPr>
    <w:r>
      <w:rPr>
        <w:noProof/>
      </w:rPr>
      <mc:AlternateContent>
        <mc:Choice Requires="wps">
          <w:drawing>
            <wp:anchor distT="0" distB="0" distL="0" distR="0" simplePos="0" relativeHeight="251665408" behindDoc="0" locked="0" layoutInCell="1" allowOverlap="1" wp14:anchorId="4A6D37AC" wp14:editId="20AF0BE1">
              <wp:simplePos x="635" y="635"/>
              <wp:positionH relativeFrom="page">
                <wp:align>center</wp:align>
              </wp:positionH>
              <wp:positionV relativeFrom="page">
                <wp:align>bottom</wp:align>
              </wp:positionV>
              <wp:extent cx="551815" cy="404495"/>
              <wp:effectExtent l="0" t="0" r="635" b="0"/>
              <wp:wrapNone/>
              <wp:docPr id="180046422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0D997B" w14:textId="6DC5E862"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6D37AC"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D0D997B" w14:textId="6DC5E862"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050612"/>
      <w:docPartObj>
        <w:docPartGallery w:val="Page Numbers (Bottom of Page)"/>
        <w:docPartUnique/>
      </w:docPartObj>
    </w:sdtPr>
    <w:sdtEndPr>
      <w:rPr>
        <w:noProof/>
      </w:rPr>
    </w:sdtEndPr>
    <w:sdtContent>
      <w:p w14:paraId="2750951D" w14:textId="165E664B" w:rsidR="00AF58F4" w:rsidRDefault="00AF58F4">
        <w:pPr>
          <w:pStyle w:val="Footer"/>
        </w:pPr>
        <w:r>
          <w:fldChar w:fldCharType="begin"/>
        </w:r>
        <w:r>
          <w:instrText xml:space="preserve"> PAGE   \* MERGEFORMAT </w:instrText>
        </w:r>
        <w:r>
          <w:fldChar w:fldCharType="separate"/>
        </w:r>
        <w:r>
          <w:rPr>
            <w:noProof/>
          </w:rPr>
          <w:t>2</w:t>
        </w:r>
        <w:r>
          <w:rPr>
            <w:noProof/>
          </w:rPr>
          <w:fldChar w:fldCharType="end"/>
        </w:r>
      </w:p>
    </w:sdtContent>
  </w:sdt>
  <w:p w14:paraId="4B1784F0" w14:textId="5CEBFB9A" w:rsidR="002A193C" w:rsidRDefault="002A1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368796"/>
      <w:docPartObj>
        <w:docPartGallery w:val="Page Numbers (Bottom of Page)"/>
        <w:docPartUnique/>
      </w:docPartObj>
    </w:sdtPr>
    <w:sdtEndPr>
      <w:rPr>
        <w:noProof/>
      </w:rPr>
    </w:sdtEndPr>
    <w:sdtContent>
      <w:p w14:paraId="2B60C2E4" w14:textId="6D8EAFC4" w:rsidR="00AF58F4" w:rsidRDefault="00AF58F4">
        <w:pPr>
          <w:pStyle w:val="Footer"/>
        </w:pPr>
        <w:r>
          <w:fldChar w:fldCharType="begin"/>
        </w:r>
        <w:r>
          <w:instrText xml:space="preserve"> PAGE   \* MERGEFORMAT </w:instrText>
        </w:r>
        <w:r>
          <w:fldChar w:fldCharType="separate"/>
        </w:r>
        <w:r>
          <w:rPr>
            <w:noProof/>
          </w:rPr>
          <w:t>2</w:t>
        </w:r>
        <w:r>
          <w:rPr>
            <w:noProof/>
          </w:rPr>
          <w:fldChar w:fldCharType="end"/>
        </w:r>
      </w:p>
    </w:sdtContent>
  </w:sdt>
  <w:p w14:paraId="40CD2708" w14:textId="527E2CEF" w:rsidR="002A193C" w:rsidRDefault="002A19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A59F1" w14:textId="48A33B54" w:rsidR="00A23745" w:rsidRDefault="00A23745">
    <w:pPr>
      <w:pStyle w:val="Footer"/>
    </w:pPr>
    <w:r>
      <w:rPr>
        <w:noProof/>
      </w:rPr>
      <mc:AlternateContent>
        <mc:Choice Requires="wps">
          <w:drawing>
            <wp:anchor distT="0" distB="0" distL="0" distR="0" simplePos="0" relativeHeight="251668480" behindDoc="0" locked="0" layoutInCell="1" allowOverlap="1" wp14:anchorId="3927EE0B" wp14:editId="0C08FA09">
              <wp:simplePos x="635" y="635"/>
              <wp:positionH relativeFrom="page">
                <wp:align>center</wp:align>
              </wp:positionH>
              <wp:positionV relativeFrom="page">
                <wp:align>bottom</wp:align>
              </wp:positionV>
              <wp:extent cx="551815" cy="404495"/>
              <wp:effectExtent l="0" t="0" r="635" b="0"/>
              <wp:wrapNone/>
              <wp:docPr id="92245672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E2181E" w14:textId="08C42951"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7EE0B" id="_x0000_t202" coordsize="21600,21600" o:spt="202" path="m,l,21600r21600,l21600,xe">
              <v:stroke joinstyle="miter"/>
              <v:path gradientshapeok="t" o:connecttype="rect"/>
            </v:shapetype>
            <v:shape id="Text Box 11" o:spid="_x0000_s1032" type="#_x0000_t202" alt="OFFICIAL" style="position:absolute;left:0;text-align:left;margin-left:0;margin-top:0;width:43.45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zGDgIAABw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X9Hrsfgv1EYdyMOzbW75qsfSa+fDMHC4Y50DR&#10;hic8pIKuonCyKGnA/f7MH/ORd4xS0qFgKmpQ0ZSonwb3EbU1Gm40tskobvNZjnGz1/eAMizwRVie&#10;TPS6oEZTOtCvKOdlLIQhZjiWq+h2NO/DoFx8DlwslykJZWRZWJuN5RE60hW5fOlfmbMnwgNu6hFG&#10;NbHyHe9Dbrzp7XIfkP20lEjtQOSJcZRgWuvpuUSNv/1PWZdHvfgD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dGWcxg4CAAAc&#10;BAAADgAAAAAAAAAAAAAAAAAuAgAAZHJzL2Uyb0RvYy54bWxQSwECLQAUAAYACAAAACEAH1WiDdsA&#10;AAADAQAADwAAAAAAAAAAAAAAAABoBAAAZHJzL2Rvd25yZXYueG1sUEsFBgAAAAAEAAQA8wAAAHAF&#10;AAAAAA==&#10;" filled="f" stroked="f">
              <v:textbox style="mso-fit-shape-to-text:t" inset="0,0,0,15pt">
                <w:txbxContent>
                  <w:p w14:paraId="7CE2181E" w14:textId="08C42951"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0579" w14:textId="3D4A68E8" w:rsidR="00A23745" w:rsidRDefault="00A23745">
    <w:pPr>
      <w:pStyle w:val="Footer"/>
    </w:pPr>
    <w:r>
      <w:rPr>
        <w:noProof/>
      </w:rPr>
      <mc:AlternateContent>
        <mc:Choice Requires="wps">
          <w:drawing>
            <wp:anchor distT="0" distB="0" distL="0" distR="0" simplePos="0" relativeHeight="251669504" behindDoc="0" locked="0" layoutInCell="1" allowOverlap="1" wp14:anchorId="6AA76BD0" wp14:editId="6FE20704">
              <wp:simplePos x="635" y="635"/>
              <wp:positionH relativeFrom="page">
                <wp:align>center</wp:align>
              </wp:positionH>
              <wp:positionV relativeFrom="page">
                <wp:align>bottom</wp:align>
              </wp:positionV>
              <wp:extent cx="551815" cy="404495"/>
              <wp:effectExtent l="0" t="0" r="635" b="0"/>
              <wp:wrapNone/>
              <wp:docPr id="30199415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6F419E" w14:textId="4035170D"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76BD0" id="_x0000_t202" coordsize="21600,21600" o:spt="202" path="m,l,21600r21600,l21600,xe">
              <v:stroke joinstyle="miter"/>
              <v:path gradientshapeok="t" o:connecttype="rect"/>
            </v:shapetype>
            <v:shape id="Text Box 12" o:spid="_x0000_s1033" type="#_x0000_t202" alt="OFFICIAL" style="position:absolute;left:0;text-align:left;margin-left:0;margin-top:0;width:43.45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4D6F419E" w14:textId="4035170D"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466911"/>
      <w:docPartObj>
        <w:docPartGallery w:val="Page Numbers (Bottom of Page)"/>
        <w:docPartUnique/>
      </w:docPartObj>
    </w:sdtPr>
    <w:sdtEndPr>
      <w:rPr>
        <w:noProof/>
      </w:rPr>
    </w:sdtEndPr>
    <w:sdtContent>
      <w:p w14:paraId="485A3619" w14:textId="0A546C5B" w:rsidR="007C4DFB" w:rsidRDefault="007C4DFB">
        <w:pPr>
          <w:pStyle w:val="Footer"/>
        </w:pPr>
        <w:r>
          <w:fldChar w:fldCharType="begin"/>
        </w:r>
        <w:r>
          <w:instrText xml:space="preserve"> PAGE   \* MERGEFORMAT </w:instrText>
        </w:r>
        <w:r>
          <w:fldChar w:fldCharType="separate"/>
        </w:r>
        <w:r>
          <w:rPr>
            <w:noProof/>
          </w:rPr>
          <w:t>2</w:t>
        </w:r>
        <w:r>
          <w:rPr>
            <w:noProof/>
          </w:rPr>
          <w:fldChar w:fldCharType="end"/>
        </w:r>
      </w:p>
    </w:sdtContent>
  </w:sdt>
  <w:p w14:paraId="321207EA" w14:textId="5ABC9398" w:rsidR="00A23745" w:rsidRDefault="00A23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8BCE5" w14:textId="77777777" w:rsidR="00DA055C" w:rsidRDefault="00DA055C">
      <w:r>
        <w:separator/>
      </w:r>
    </w:p>
    <w:p w14:paraId="79837EBF" w14:textId="77777777" w:rsidR="00DA055C" w:rsidRDefault="00DA055C"/>
    <w:p w14:paraId="44A25242" w14:textId="77777777" w:rsidR="00DA055C" w:rsidRDefault="00DA055C"/>
  </w:footnote>
  <w:footnote w:type="continuationSeparator" w:id="0">
    <w:p w14:paraId="3A0BF383" w14:textId="77777777" w:rsidR="00DA055C" w:rsidRDefault="00DA055C">
      <w:r>
        <w:continuationSeparator/>
      </w:r>
    </w:p>
    <w:p w14:paraId="7789C520" w14:textId="77777777" w:rsidR="00DA055C" w:rsidRDefault="00DA055C"/>
    <w:p w14:paraId="7B5C42F9" w14:textId="77777777" w:rsidR="00DA055C" w:rsidRDefault="00DA055C"/>
  </w:footnote>
  <w:footnote w:type="continuationNotice" w:id="1">
    <w:p w14:paraId="2B2EFEDE" w14:textId="77777777" w:rsidR="00DA055C" w:rsidRDefault="00DA055C">
      <w:pPr>
        <w:pStyle w:val="Footer"/>
      </w:pPr>
    </w:p>
    <w:p w14:paraId="44F44970" w14:textId="77777777" w:rsidR="00DA055C" w:rsidRDefault="00DA055C"/>
    <w:p w14:paraId="6AB22FC4" w14:textId="77777777" w:rsidR="00DA055C" w:rsidRDefault="00DA0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5083" w14:textId="45ED866D" w:rsidR="00A23745" w:rsidRDefault="00A23745">
    <w:pPr>
      <w:pStyle w:val="Header"/>
    </w:pPr>
    <w:r>
      <w:rPr>
        <w:noProof/>
      </w:rPr>
      <mc:AlternateContent>
        <mc:Choice Requires="wps">
          <w:drawing>
            <wp:anchor distT="0" distB="0" distL="0" distR="0" simplePos="0" relativeHeight="251659264" behindDoc="0" locked="0" layoutInCell="1" allowOverlap="1" wp14:anchorId="444AE59B" wp14:editId="2AE65385">
              <wp:simplePos x="635" y="635"/>
              <wp:positionH relativeFrom="page">
                <wp:align>center</wp:align>
              </wp:positionH>
              <wp:positionV relativeFrom="page">
                <wp:align>top</wp:align>
              </wp:positionV>
              <wp:extent cx="551815" cy="404495"/>
              <wp:effectExtent l="0" t="0" r="635" b="14605"/>
              <wp:wrapNone/>
              <wp:docPr id="11906036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37134E3" w14:textId="3906DA5B"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AE59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37134E3" w14:textId="3906DA5B"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37DA" w14:textId="791D5678" w:rsidR="002A193C" w:rsidRDefault="00A23745" w:rsidP="00BC4E35">
    <w:pPr>
      <w:pStyle w:val="Header"/>
    </w:pPr>
    <w:r>
      <w:rPr>
        <w:noProof/>
        <w:lang w:val="en-US"/>
      </w:rPr>
      <mc:AlternateContent>
        <mc:Choice Requires="wps">
          <w:drawing>
            <wp:anchor distT="0" distB="0" distL="0" distR="0" simplePos="0" relativeHeight="251660288" behindDoc="0" locked="0" layoutInCell="1" allowOverlap="1" wp14:anchorId="758B3991" wp14:editId="3BD674F9">
              <wp:simplePos x="901065" y="360680"/>
              <wp:positionH relativeFrom="page">
                <wp:align>center</wp:align>
              </wp:positionH>
              <wp:positionV relativeFrom="page">
                <wp:align>top</wp:align>
              </wp:positionV>
              <wp:extent cx="551815" cy="404495"/>
              <wp:effectExtent l="0" t="0" r="635" b="14605"/>
              <wp:wrapNone/>
              <wp:docPr id="8132060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4EABED" w14:textId="06139FAC" w:rsidR="00A23745" w:rsidRPr="00A23745" w:rsidRDefault="00A23745" w:rsidP="00A2374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B399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04EABED" w14:textId="06139FAC" w:rsidR="00A23745" w:rsidRPr="00A23745" w:rsidRDefault="00A23745" w:rsidP="00A23745">
                    <w:pPr>
                      <w:spacing w:after="0"/>
                      <w:rPr>
                        <w:rFonts w:ascii="Calibri" w:eastAsia="Calibri" w:hAnsi="Calibri" w:cs="Calibri"/>
                        <w:noProof/>
                        <w:color w:val="FF0000"/>
                        <w:sz w:val="24"/>
                        <w:szCs w:val="24"/>
                      </w:rPr>
                    </w:pPr>
                  </w:p>
                </w:txbxContent>
              </v:textbox>
              <w10:wrap anchorx="page" anchory="page"/>
            </v:shape>
          </w:pict>
        </mc:Fallback>
      </mc:AlternateContent>
    </w:r>
    <w:r w:rsidR="00BC4E35" w:rsidRPr="009B5BDD">
      <w:rPr>
        <w:noProof/>
        <w:lang w:val="en-US"/>
      </w:rPr>
      <w:t>National</w:t>
    </w:r>
    <w:r w:rsidR="002B7CB2">
      <w:rPr>
        <w:noProof/>
        <w:lang w:val="en-US"/>
      </w:rPr>
      <w:t xml:space="preserve"> </w:t>
    </w:r>
    <w:r w:rsidR="009B5BDD" w:rsidRPr="009B5BDD">
      <w:rPr>
        <w:noProof/>
        <w:lang w:val="en-US"/>
      </w:rPr>
      <w:t>Khapra Beetle</w:t>
    </w:r>
    <w:r w:rsidR="00BC4E35" w:rsidRPr="009B5BDD">
      <w:rPr>
        <w:noProof/>
        <w:lang w:val="en-US"/>
      </w:rPr>
      <w:t xml:space="preserve"> Action Plan 202</w:t>
    </w:r>
    <w:r w:rsidR="009B5BDD" w:rsidRPr="009B5BDD">
      <w:rPr>
        <w:noProof/>
        <w:lang w:val="en-US"/>
      </w:rPr>
      <w:t>1</w:t>
    </w:r>
    <w:r w:rsidR="00285D46" w:rsidRPr="009B5BDD">
      <w:rPr>
        <w:noProof/>
        <w:lang w:val="en-US"/>
      </w:rPr>
      <w:t>–</w:t>
    </w:r>
    <w:r w:rsidR="00BC4E35" w:rsidRPr="009B5BDD">
      <w:rPr>
        <w:noProof/>
        <w:lang w:val="en-US"/>
      </w:rPr>
      <w:t>203</w:t>
    </w:r>
    <w:r w:rsidR="009B5BDD" w:rsidRPr="009B5BDD">
      <w:rPr>
        <w:noProof/>
        <w:lang w:val="en-US"/>
      </w:rPr>
      <w:t>1</w:t>
    </w:r>
    <w:r w:rsidR="00BC4E35" w:rsidRPr="009B5BDD">
      <w:rPr>
        <w:noProof/>
        <w:lang w:val="en-US"/>
      </w:rPr>
      <w:t>:</w:t>
    </w:r>
    <w:r w:rsidR="00BC4E35">
      <w:rPr>
        <w:noProof/>
        <w:lang w:val="en-US"/>
      </w:rPr>
      <w:t xml:space="preserve"> i</w:t>
    </w:r>
    <w:r w:rsidR="00BC4E35" w:rsidRPr="00BC4E35">
      <w:rPr>
        <w:noProof/>
        <w:lang w:val="en-US"/>
      </w:rPr>
      <w:t>mplementation schedule</w:t>
    </w:r>
    <w:r w:rsidR="00D4229F">
      <w:rPr>
        <w:noProof/>
        <w:lang w:val="en-US"/>
      </w:rPr>
      <w:t xml:space="preserve"> 202</w:t>
    </w:r>
    <w:r w:rsidR="00CA3DE0">
      <w:rPr>
        <w:noProof/>
        <w:lang w:val="en-U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AF51" w14:textId="33AB54BE" w:rsidR="00A23745" w:rsidRDefault="00A23745">
    <w:pPr>
      <w:pStyle w:val="Header"/>
    </w:pPr>
    <w:r>
      <w:rPr>
        <w:noProof/>
      </w:rPr>
      <mc:AlternateContent>
        <mc:Choice Requires="wps">
          <w:drawing>
            <wp:anchor distT="0" distB="0" distL="0" distR="0" simplePos="0" relativeHeight="251658240" behindDoc="0" locked="0" layoutInCell="1" allowOverlap="1" wp14:anchorId="4EDEBF09" wp14:editId="1BD7D194">
              <wp:simplePos x="901700" y="361950"/>
              <wp:positionH relativeFrom="page">
                <wp:align>center</wp:align>
              </wp:positionH>
              <wp:positionV relativeFrom="page">
                <wp:align>top</wp:align>
              </wp:positionV>
              <wp:extent cx="551815" cy="404495"/>
              <wp:effectExtent l="0" t="0" r="635" b="14605"/>
              <wp:wrapNone/>
              <wp:docPr id="8343086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3BF7570" w14:textId="6DE1AF6B" w:rsidR="00A23745" w:rsidRPr="00A23745" w:rsidRDefault="00A23745" w:rsidP="00A2374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EBF09"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53BF7570" w14:textId="6DE1AF6B" w:rsidR="00A23745" w:rsidRPr="00A23745" w:rsidRDefault="00A23745" w:rsidP="00A23745">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77AE" w14:textId="6E20B975" w:rsidR="00A23745" w:rsidRDefault="00A23745">
    <w:pPr>
      <w:pStyle w:val="Header"/>
    </w:pPr>
    <w:r>
      <w:rPr>
        <w:noProof/>
      </w:rPr>
      <mc:AlternateContent>
        <mc:Choice Requires="wps">
          <w:drawing>
            <wp:anchor distT="0" distB="0" distL="0" distR="0" simplePos="0" relativeHeight="251662336" behindDoc="0" locked="0" layoutInCell="1" allowOverlap="1" wp14:anchorId="7877BAA2" wp14:editId="0E262693">
              <wp:simplePos x="635" y="635"/>
              <wp:positionH relativeFrom="page">
                <wp:align>center</wp:align>
              </wp:positionH>
              <wp:positionV relativeFrom="page">
                <wp:align>top</wp:align>
              </wp:positionV>
              <wp:extent cx="551815" cy="404495"/>
              <wp:effectExtent l="0" t="0" r="635" b="14605"/>
              <wp:wrapNone/>
              <wp:docPr id="68881155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3F3379" w14:textId="15A68EA3"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77BAA2" id="_x0000_t202" coordsize="21600,21600" o:spt="202" path="m,l,21600r21600,l21600,xe">
              <v:stroke joinstyle="miter"/>
              <v:path gradientshapeok="t" o:connecttype="rect"/>
            </v:shapetype>
            <v:shape id="Text Box 5" o:spid="_x0000_s1030"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A3F3379" w14:textId="15A68EA3"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FAC7" w14:textId="7AE7837A" w:rsidR="00A23745" w:rsidRDefault="00A23745">
    <w:pPr>
      <w:pStyle w:val="Header"/>
    </w:pPr>
    <w:r>
      <w:rPr>
        <w:noProof/>
      </w:rPr>
      <mc:AlternateContent>
        <mc:Choice Requires="wps">
          <w:drawing>
            <wp:anchor distT="0" distB="0" distL="0" distR="0" simplePos="0" relativeHeight="251663360" behindDoc="0" locked="0" layoutInCell="1" allowOverlap="1" wp14:anchorId="1EABCEF7" wp14:editId="74E967A3">
              <wp:simplePos x="635" y="635"/>
              <wp:positionH relativeFrom="page">
                <wp:align>center</wp:align>
              </wp:positionH>
              <wp:positionV relativeFrom="page">
                <wp:align>top</wp:align>
              </wp:positionV>
              <wp:extent cx="551815" cy="404495"/>
              <wp:effectExtent l="0" t="0" r="635" b="14605"/>
              <wp:wrapNone/>
              <wp:docPr id="17275055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46E030" w14:textId="63136907"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BCEF7"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0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Rqbu91CfcSgHw7695ZsWS2+ZDy/M4YJxDhRt&#10;eMZDKugqCqNFSQPux9/8MR95xyglHQqmogYVTYn6ZnAfUVvJKO7yRY43N7n3k2GO+gFQhgW+CMuT&#10;GfOCmkzpQL+hnNexEIaY4ViuomEyH8KgXHwOXKzXKQllZFnYmp3lETrSFbl87d+YsyPhATf1BJOa&#10;WPmO9yE3/unt+hiQ/bSUSO1A5Mg4SjCtdXwuUeO/3lPW9VGvfg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1jGjQNAgAAHAQA&#10;AA4AAAAAAAAAAAAAAAAALgIAAGRycy9lMm9Eb2MueG1sUEsBAi0AFAAGAAgAAAAhAPymfrLaAAAA&#10;AwEAAA8AAAAAAAAAAAAAAAAAZwQAAGRycy9kb3ducmV2LnhtbFBLBQYAAAAABAAEAPMAAABuBQAA&#10;AAA=&#10;" filled="f" stroked="f">
              <v:textbox style="mso-fit-shape-to-text:t" inset="0,15pt,0,0">
                <w:txbxContent>
                  <w:p w14:paraId="3D46E030" w14:textId="63136907" w:rsidR="00A23745" w:rsidRPr="00A23745" w:rsidRDefault="00A23745" w:rsidP="00A23745">
                    <w:pPr>
                      <w:spacing w:after="0"/>
                      <w:rPr>
                        <w:rFonts w:ascii="Calibri" w:eastAsia="Calibri" w:hAnsi="Calibri" w:cs="Calibri"/>
                        <w:noProof/>
                        <w:color w:val="FF0000"/>
                        <w:sz w:val="24"/>
                        <w:szCs w:val="24"/>
                      </w:rPr>
                    </w:pPr>
                    <w:r w:rsidRPr="00A23745">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26FE" w14:textId="7F6978EB" w:rsidR="00013AE2" w:rsidRDefault="00A23745" w:rsidP="00013AE2">
    <w:pPr>
      <w:pStyle w:val="Header"/>
    </w:pPr>
    <w:r>
      <w:rPr>
        <w:noProof/>
      </w:rPr>
      <mc:AlternateContent>
        <mc:Choice Requires="wps">
          <w:drawing>
            <wp:anchor distT="0" distB="0" distL="0" distR="0" simplePos="0" relativeHeight="251661312" behindDoc="0" locked="0" layoutInCell="1" allowOverlap="1" wp14:anchorId="531BCC73" wp14:editId="219DCF64">
              <wp:simplePos x="635" y="635"/>
              <wp:positionH relativeFrom="page">
                <wp:align>center</wp:align>
              </wp:positionH>
              <wp:positionV relativeFrom="page">
                <wp:align>top</wp:align>
              </wp:positionV>
              <wp:extent cx="551815" cy="404495"/>
              <wp:effectExtent l="0" t="0" r="635" b="14605"/>
              <wp:wrapNone/>
              <wp:docPr id="163625578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24247F" w14:textId="39E15071" w:rsidR="00A23745" w:rsidRPr="00A23745" w:rsidRDefault="00A23745" w:rsidP="00A2374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BCC73" id="_x0000_t202" coordsize="21600,21600" o:spt="202" path="m,l,21600r21600,l21600,xe">
              <v:stroke joinstyle="miter"/>
              <v:path gradientshapeok="t" o:connecttype="rect"/>
            </v:shapetype>
            <v:shape id="Text Box 4" o:spid="_x0000_s1034"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t3IbJDgIAABwE&#10;AAAOAAAAAAAAAAAAAAAAAC4CAABkcnMvZTJvRG9jLnhtbFBLAQItABQABgAIAAAAIQD8pn6y2gAA&#10;AAMBAAAPAAAAAAAAAAAAAAAAAGgEAABkcnMvZG93bnJldi54bWxQSwUGAAAAAAQABADzAAAAbwUA&#10;AAAA&#10;" filled="f" stroked="f">
              <v:textbox style="mso-fit-shape-to-text:t" inset="0,15pt,0,0">
                <w:txbxContent>
                  <w:p w14:paraId="0224247F" w14:textId="39E15071" w:rsidR="00A23745" w:rsidRPr="00A23745" w:rsidRDefault="00A23745" w:rsidP="00A23745">
                    <w:pPr>
                      <w:spacing w:after="0"/>
                      <w:rPr>
                        <w:rFonts w:ascii="Calibri" w:eastAsia="Calibri" w:hAnsi="Calibri" w:cs="Calibri"/>
                        <w:noProof/>
                        <w:color w:val="FF0000"/>
                        <w:sz w:val="24"/>
                        <w:szCs w:val="24"/>
                      </w:rPr>
                    </w:pPr>
                  </w:p>
                </w:txbxContent>
              </v:textbox>
              <w10:wrap anchorx="page" anchory="page"/>
            </v:shape>
          </w:pict>
        </mc:Fallback>
      </mc:AlternateContent>
    </w:r>
    <w:r w:rsidR="00CC54FF" w:rsidRPr="00CC54FF">
      <w:rPr>
        <w:noProof/>
        <w:lang w:val="en-US"/>
      </w:rPr>
      <w:t xml:space="preserve"> </w:t>
    </w:r>
    <w:r w:rsidR="00CC54FF" w:rsidRPr="009B5BDD">
      <w:rPr>
        <w:noProof/>
        <w:lang w:val="en-US"/>
      </w:rPr>
      <w:t>National</w:t>
    </w:r>
    <w:r w:rsidR="00CC54FF">
      <w:rPr>
        <w:noProof/>
        <w:lang w:val="en-US"/>
      </w:rPr>
      <w:t xml:space="preserve"> </w:t>
    </w:r>
    <w:r w:rsidR="00CC54FF" w:rsidRPr="009B5BDD">
      <w:rPr>
        <w:noProof/>
        <w:lang w:val="en-US"/>
      </w:rPr>
      <w:t xml:space="preserve">Khapra Beetle Action Plan </w:t>
    </w:r>
    <w:r w:rsidR="00013AE2">
      <w:t>202</w:t>
    </w:r>
    <w:r w:rsidR="00CC54FF">
      <w:t>1</w:t>
    </w:r>
    <w:r w:rsidR="00013AE2">
      <w:t>–203</w:t>
    </w:r>
    <w:r w:rsidR="00CC54FF">
      <w:t>1</w:t>
    </w:r>
    <w:r w:rsidR="00013AE2">
      <w:t>: implementation schedule</w:t>
    </w:r>
    <w:r w:rsidR="00E73D80">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52468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26E77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F7812AA"/>
    <w:multiLevelType w:val="hybridMultilevel"/>
    <w:tmpl w:val="12D60D7A"/>
    <w:lvl w:ilvl="0" w:tplc="78747FD2">
      <w:start w:val="1"/>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5B743B3"/>
    <w:multiLevelType w:val="hybridMultilevel"/>
    <w:tmpl w:val="C1D8FD60"/>
    <w:lvl w:ilvl="0" w:tplc="452CFEB8">
      <w:start w:val="1"/>
      <w:numFmt w:val="bullet"/>
      <w:lvlText w:val=""/>
      <w:lvlJc w:val="left"/>
      <w:pPr>
        <w:ind w:left="720" w:hanging="360"/>
      </w:pPr>
      <w:rPr>
        <w:rFonts w:ascii="Symbol" w:hAnsi="Symbol" w:hint="default"/>
      </w:rPr>
    </w:lvl>
    <w:lvl w:ilvl="1" w:tplc="79CE6C0C" w:tentative="1">
      <w:start w:val="1"/>
      <w:numFmt w:val="bullet"/>
      <w:lvlText w:val="o"/>
      <w:lvlJc w:val="left"/>
      <w:pPr>
        <w:ind w:left="1440" w:hanging="360"/>
      </w:pPr>
      <w:rPr>
        <w:rFonts w:ascii="Courier New" w:hAnsi="Courier New" w:cs="Courier New" w:hint="default"/>
      </w:rPr>
    </w:lvl>
    <w:lvl w:ilvl="2" w:tplc="8A928DA4" w:tentative="1">
      <w:start w:val="1"/>
      <w:numFmt w:val="bullet"/>
      <w:lvlText w:val=""/>
      <w:lvlJc w:val="left"/>
      <w:pPr>
        <w:ind w:left="2160" w:hanging="360"/>
      </w:pPr>
      <w:rPr>
        <w:rFonts w:ascii="Wingdings" w:hAnsi="Wingdings" w:hint="default"/>
      </w:rPr>
    </w:lvl>
    <w:lvl w:ilvl="3" w:tplc="4AD659BC" w:tentative="1">
      <w:start w:val="1"/>
      <w:numFmt w:val="bullet"/>
      <w:lvlText w:val=""/>
      <w:lvlJc w:val="left"/>
      <w:pPr>
        <w:ind w:left="2880" w:hanging="360"/>
      </w:pPr>
      <w:rPr>
        <w:rFonts w:ascii="Symbol" w:hAnsi="Symbol" w:hint="default"/>
      </w:rPr>
    </w:lvl>
    <w:lvl w:ilvl="4" w:tplc="F9F6FC9E" w:tentative="1">
      <w:start w:val="1"/>
      <w:numFmt w:val="bullet"/>
      <w:lvlText w:val="o"/>
      <w:lvlJc w:val="left"/>
      <w:pPr>
        <w:ind w:left="3600" w:hanging="360"/>
      </w:pPr>
      <w:rPr>
        <w:rFonts w:ascii="Courier New" w:hAnsi="Courier New" w:cs="Courier New" w:hint="default"/>
      </w:rPr>
    </w:lvl>
    <w:lvl w:ilvl="5" w:tplc="00DE9EDA" w:tentative="1">
      <w:start w:val="1"/>
      <w:numFmt w:val="bullet"/>
      <w:lvlText w:val=""/>
      <w:lvlJc w:val="left"/>
      <w:pPr>
        <w:ind w:left="4320" w:hanging="360"/>
      </w:pPr>
      <w:rPr>
        <w:rFonts w:ascii="Wingdings" w:hAnsi="Wingdings" w:hint="default"/>
      </w:rPr>
    </w:lvl>
    <w:lvl w:ilvl="6" w:tplc="A3D241FE" w:tentative="1">
      <w:start w:val="1"/>
      <w:numFmt w:val="bullet"/>
      <w:lvlText w:val=""/>
      <w:lvlJc w:val="left"/>
      <w:pPr>
        <w:ind w:left="5040" w:hanging="360"/>
      </w:pPr>
      <w:rPr>
        <w:rFonts w:ascii="Symbol" w:hAnsi="Symbol" w:hint="default"/>
      </w:rPr>
    </w:lvl>
    <w:lvl w:ilvl="7" w:tplc="1BEA28CA" w:tentative="1">
      <w:start w:val="1"/>
      <w:numFmt w:val="bullet"/>
      <w:lvlText w:val="o"/>
      <w:lvlJc w:val="left"/>
      <w:pPr>
        <w:ind w:left="5760" w:hanging="360"/>
      </w:pPr>
      <w:rPr>
        <w:rFonts w:ascii="Courier New" w:hAnsi="Courier New" w:cs="Courier New" w:hint="default"/>
      </w:rPr>
    </w:lvl>
    <w:lvl w:ilvl="8" w:tplc="2348FDA8"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B95457A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607150"/>
    <w:multiLevelType w:val="hybridMultilevel"/>
    <w:tmpl w:val="690C6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5D9A2470"/>
    <w:multiLevelType w:val="multilevel"/>
    <w:tmpl w:val="30127FD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733934B7"/>
    <w:multiLevelType w:val="multilevel"/>
    <w:tmpl w:val="A0241B28"/>
    <w:numStyleLink w:val="List1"/>
  </w:abstractNum>
  <w:abstractNum w:abstractNumId="33" w15:restartNumberingAfterBreak="0">
    <w:nsid w:val="78996342"/>
    <w:multiLevelType w:val="hybridMultilevel"/>
    <w:tmpl w:val="3CAC09B4"/>
    <w:lvl w:ilvl="0" w:tplc="7C569002">
      <w:start w:val="1"/>
      <w:numFmt w:val="bullet"/>
      <w:lvlText w:val=""/>
      <w:lvlJc w:val="left"/>
      <w:pPr>
        <w:ind w:left="1080" w:hanging="360"/>
      </w:pPr>
      <w:rPr>
        <w:rFonts w:ascii="Symbol" w:hAnsi="Symbol"/>
      </w:rPr>
    </w:lvl>
    <w:lvl w:ilvl="1" w:tplc="FE1887EC">
      <w:start w:val="1"/>
      <w:numFmt w:val="bullet"/>
      <w:lvlText w:val=""/>
      <w:lvlJc w:val="left"/>
      <w:pPr>
        <w:ind w:left="1080" w:hanging="360"/>
      </w:pPr>
      <w:rPr>
        <w:rFonts w:ascii="Symbol" w:hAnsi="Symbol"/>
      </w:rPr>
    </w:lvl>
    <w:lvl w:ilvl="2" w:tplc="0EF40CDE">
      <w:start w:val="1"/>
      <w:numFmt w:val="bullet"/>
      <w:lvlText w:val=""/>
      <w:lvlJc w:val="left"/>
      <w:pPr>
        <w:ind w:left="1080" w:hanging="360"/>
      </w:pPr>
      <w:rPr>
        <w:rFonts w:ascii="Symbol" w:hAnsi="Symbol"/>
      </w:rPr>
    </w:lvl>
    <w:lvl w:ilvl="3" w:tplc="EB92CD76">
      <w:start w:val="1"/>
      <w:numFmt w:val="bullet"/>
      <w:lvlText w:val=""/>
      <w:lvlJc w:val="left"/>
      <w:pPr>
        <w:ind w:left="1080" w:hanging="360"/>
      </w:pPr>
      <w:rPr>
        <w:rFonts w:ascii="Symbol" w:hAnsi="Symbol"/>
      </w:rPr>
    </w:lvl>
    <w:lvl w:ilvl="4" w:tplc="B3F66F24">
      <w:start w:val="1"/>
      <w:numFmt w:val="bullet"/>
      <w:lvlText w:val=""/>
      <w:lvlJc w:val="left"/>
      <w:pPr>
        <w:ind w:left="1080" w:hanging="360"/>
      </w:pPr>
      <w:rPr>
        <w:rFonts w:ascii="Symbol" w:hAnsi="Symbol"/>
      </w:rPr>
    </w:lvl>
    <w:lvl w:ilvl="5" w:tplc="222A1374">
      <w:start w:val="1"/>
      <w:numFmt w:val="bullet"/>
      <w:lvlText w:val=""/>
      <w:lvlJc w:val="left"/>
      <w:pPr>
        <w:ind w:left="1080" w:hanging="360"/>
      </w:pPr>
      <w:rPr>
        <w:rFonts w:ascii="Symbol" w:hAnsi="Symbol"/>
      </w:rPr>
    </w:lvl>
    <w:lvl w:ilvl="6" w:tplc="986A8C14">
      <w:start w:val="1"/>
      <w:numFmt w:val="bullet"/>
      <w:lvlText w:val=""/>
      <w:lvlJc w:val="left"/>
      <w:pPr>
        <w:ind w:left="1080" w:hanging="360"/>
      </w:pPr>
      <w:rPr>
        <w:rFonts w:ascii="Symbol" w:hAnsi="Symbol"/>
      </w:rPr>
    </w:lvl>
    <w:lvl w:ilvl="7" w:tplc="40CAD9C2">
      <w:start w:val="1"/>
      <w:numFmt w:val="bullet"/>
      <w:lvlText w:val=""/>
      <w:lvlJc w:val="left"/>
      <w:pPr>
        <w:ind w:left="1080" w:hanging="360"/>
      </w:pPr>
      <w:rPr>
        <w:rFonts w:ascii="Symbol" w:hAnsi="Symbol"/>
      </w:rPr>
    </w:lvl>
    <w:lvl w:ilvl="8" w:tplc="883A90E8">
      <w:start w:val="1"/>
      <w:numFmt w:val="bullet"/>
      <w:lvlText w:val=""/>
      <w:lvlJc w:val="left"/>
      <w:pPr>
        <w:ind w:left="1080" w:hanging="360"/>
      </w:pPr>
      <w:rPr>
        <w:rFonts w:ascii="Symbol" w:hAnsi="Symbol"/>
      </w:rPr>
    </w:lvl>
  </w:abstractNum>
  <w:num w:numId="1" w16cid:durableId="1171791816">
    <w:abstractNumId w:val="7"/>
  </w:num>
  <w:num w:numId="2" w16cid:durableId="1667321647">
    <w:abstractNumId w:val="19"/>
  </w:num>
  <w:num w:numId="3" w16cid:durableId="59796415">
    <w:abstractNumId w:val="20"/>
  </w:num>
  <w:num w:numId="4" w16cid:durableId="1913806772">
    <w:abstractNumId w:val="12"/>
  </w:num>
  <w:num w:numId="5" w16cid:durableId="2037268471">
    <w:abstractNumId w:val="26"/>
  </w:num>
  <w:num w:numId="6" w16cid:durableId="1355770275">
    <w:abstractNumId w:val="27"/>
  </w:num>
  <w:num w:numId="7" w16cid:durableId="2033527157">
    <w:abstractNumId w:val="8"/>
  </w:num>
  <w:num w:numId="8" w16cid:durableId="1882862685">
    <w:abstractNumId w:val="15"/>
  </w:num>
  <w:num w:numId="9" w16cid:durableId="179634464">
    <w:abstractNumId w:val="17"/>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3"/>
  </w:num>
  <w:num w:numId="16" w16cid:durableId="52967123">
    <w:abstractNumId w:val="24"/>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30"/>
  </w:num>
  <w:num w:numId="19" w16cid:durableId="1707943211">
    <w:abstractNumId w:val="1"/>
  </w:num>
  <w:num w:numId="20" w16cid:durableId="570045979">
    <w:abstractNumId w:val="0"/>
  </w:num>
  <w:num w:numId="21" w16cid:durableId="1679841556">
    <w:abstractNumId w:val="16"/>
  </w:num>
  <w:num w:numId="22" w16cid:durableId="959340878">
    <w:abstractNumId w:val="21"/>
  </w:num>
  <w:num w:numId="23" w16cid:durableId="17239849">
    <w:abstractNumId w:val="31"/>
  </w:num>
  <w:num w:numId="24" w16cid:durableId="1609504699">
    <w:abstractNumId w:val="14"/>
  </w:num>
  <w:num w:numId="25" w16cid:durableId="121310739">
    <w:abstractNumId w:val="18"/>
  </w:num>
  <w:num w:numId="26" w16cid:durableId="36050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32"/>
  </w:num>
  <w:num w:numId="28" w16cid:durableId="286162399">
    <w:abstractNumId w:val="22"/>
  </w:num>
  <w:num w:numId="29" w16cid:durableId="1314989398">
    <w:abstractNumId w:val="25"/>
  </w:num>
  <w:num w:numId="30" w16cid:durableId="66652615">
    <w:abstractNumId w:val="10"/>
  </w:num>
  <w:num w:numId="31" w16cid:durableId="1990859383">
    <w:abstractNumId w:val="5"/>
  </w:num>
  <w:num w:numId="32" w16cid:durableId="951480071">
    <w:abstractNumId w:val="20"/>
  </w:num>
  <w:num w:numId="33" w16cid:durableId="2131590192">
    <w:abstractNumId w:val="15"/>
    <w:lvlOverride w:ilvl="0">
      <w:lvl w:ilvl="0">
        <w:start w:val="1"/>
        <w:numFmt w:val="decimal"/>
        <w:pStyle w:val="Heading2"/>
        <w:lvlText w:val="%1"/>
        <w:lvlJc w:val="left"/>
        <w:pPr>
          <w:ind w:left="720" w:hanging="720"/>
        </w:pPr>
        <w:rPr>
          <w:color w:val="59621D"/>
        </w:rPr>
      </w:lvl>
    </w:lvlOverride>
  </w:num>
  <w:num w:numId="34" w16cid:durableId="21588965">
    <w:abstractNumId w:val="15"/>
    <w:lvlOverride w:ilvl="0">
      <w:lvl w:ilvl="0">
        <w:start w:val="1"/>
        <w:numFmt w:val="decimal"/>
        <w:pStyle w:val="Heading2"/>
        <w:lvlText w:val="%1"/>
        <w:lvlJc w:val="left"/>
        <w:pPr>
          <w:ind w:left="720" w:hanging="720"/>
        </w:pPr>
        <w:rPr>
          <w:color w:val="59621D"/>
        </w:rPr>
      </w:lvl>
    </w:lvlOverride>
  </w:num>
  <w:num w:numId="35" w16cid:durableId="188571948">
    <w:abstractNumId w:val="15"/>
    <w:lvlOverride w:ilvl="0">
      <w:lvl w:ilvl="0">
        <w:start w:val="1"/>
        <w:numFmt w:val="decimal"/>
        <w:pStyle w:val="Heading2"/>
        <w:lvlText w:val="%1"/>
        <w:lvlJc w:val="left"/>
        <w:pPr>
          <w:ind w:left="720" w:hanging="720"/>
        </w:pPr>
        <w:rPr>
          <w:color w:val="59621D"/>
        </w:rPr>
      </w:lvl>
    </w:lvlOverride>
  </w:num>
  <w:num w:numId="36" w16cid:durableId="844629787">
    <w:abstractNumId w:val="15"/>
    <w:lvlOverride w:ilvl="0">
      <w:lvl w:ilvl="0">
        <w:start w:val="1"/>
        <w:numFmt w:val="decimal"/>
        <w:pStyle w:val="Heading2"/>
        <w:lvlText w:val="%1"/>
        <w:lvlJc w:val="left"/>
        <w:pPr>
          <w:ind w:left="720" w:hanging="720"/>
        </w:pPr>
      </w:lvl>
    </w:lvlOverride>
  </w:num>
  <w:num w:numId="37" w16cid:durableId="935332696">
    <w:abstractNumId w:val="26"/>
  </w:num>
  <w:num w:numId="38" w16cid:durableId="1594363265">
    <w:abstractNumId w:val="26"/>
  </w:num>
  <w:num w:numId="39" w16cid:durableId="934168278">
    <w:abstractNumId w:val="26"/>
  </w:num>
  <w:num w:numId="40" w16cid:durableId="1347173504">
    <w:abstractNumId w:val="27"/>
  </w:num>
  <w:num w:numId="41" w16cid:durableId="823355897">
    <w:abstractNumId w:val="27"/>
  </w:num>
  <w:num w:numId="42" w16cid:durableId="1100218817">
    <w:abstractNumId w:val="27"/>
  </w:num>
  <w:num w:numId="43" w16cid:durableId="1698308952">
    <w:abstractNumId w:val="26"/>
  </w:num>
  <w:num w:numId="44" w16cid:durableId="547035718">
    <w:abstractNumId w:val="27"/>
  </w:num>
  <w:num w:numId="45" w16cid:durableId="921455078">
    <w:abstractNumId w:val="12"/>
  </w:num>
  <w:num w:numId="46" w16cid:durableId="1145393031">
    <w:abstractNumId w:val="10"/>
  </w:num>
  <w:num w:numId="47" w16cid:durableId="776364836">
    <w:abstractNumId w:val="22"/>
  </w:num>
  <w:num w:numId="48" w16cid:durableId="919363984">
    <w:abstractNumId w:val="24"/>
  </w:num>
  <w:num w:numId="49" w16cid:durableId="645671681">
    <w:abstractNumId w:val="29"/>
  </w:num>
  <w:num w:numId="50" w16cid:durableId="745149752">
    <w:abstractNumId w:val="15"/>
    <w:lvlOverride w:ilvl="0">
      <w:lvl w:ilvl="0">
        <w:start w:val="1"/>
        <w:numFmt w:val="decimal"/>
        <w:pStyle w:val="Heading2"/>
        <w:lvlText w:val="%1"/>
        <w:lvlJc w:val="left"/>
        <w:pPr>
          <w:ind w:left="720" w:hanging="720"/>
        </w:pPr>
      </w:lvl>
    </w:lvlOverride>
  </w:num>
  <w:num w:numId="51" w16cid:durableId="1339388524">
    <w:abstractNumId w:val="11"/>
  </w:num>
  <w:num w:numId="52" w16cid:durableId="1894655202">
    <w:abstractNumId w:val="9"/>
  </w:num>
  <w:num w:numId="53" w16cid:durableId="137889681">
    <w:abstractNumId w:val="7"/>
  </w:num>
  <w:num w:numId="54" w16cid:durableId="1332564079">
    <w:abstractNumId w:val="6"/>
  </w:num>
  <w:num w:numId="55" w16cid:durableId="878275291">
    <w:abstractNumId w:val="7"/>
  </w:num>
  <w:num w:numId="56" w16cid:durableId="464784713">
    <w:abstractNumId w:val="6"/>
  </w:num>
  <w:num w:numId="57" w16cid:durableId="841435397">
    <w:abstractNumId w:val="7"/>
  </w:num>
  <w:num w:numId="58" w16cid:durableId="2071809543">
    <w:abstractNumId w:val="28"/>
  </w:num>
  <w:num w:numId="59" w16cid:durableId="1495028959">
    <w:abstractNumId w:val="23"/>
  </w:num>
  <w:num w:numId="60" w16cid:durableId="99229197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2"/>
    <w:rsid w:val="00002365"/>
    <w:rsid w:val="00004733"/>
    <w:rsid w:val="00013AE2"/>
    <w:rsid w:val="00017DDE"/>
    <w:rsid w:val="00020290"/>
    <w:rsid w:val="00021DF6"/>
    <w:rsid w:val="0002504E"/>
    <w:rsid w:val="00026656"/>
    <w:rsid w:val="00031326"/>
    <w:rsid w:val="000402FF"/>
    <w:rsid w:val="00041AB5"/>
    <w:rsid w:val="000454C5"/>
    <w:rsid w:val="000468C4"/>
    <w:rsid w:val="00050DD6"/>
    <w:rsid w:val="00053222"/>
    <w:rsid w:val="000543EE"/>
    <w:rsid w:val="00057844"/>
    <w:rsid w:val="0006127B"/>
    <w:rsid w:val="00062028"/>
    <w:rsid w:val="00074FBE"/>
    <w:rsid w:val="00080AD5"/>
    <w:rsid w:val="0008547B"/>
    <w:rsid w:val="00085628"/>
    <w:rsid w:val="00092814"/>
    <w:rsid w:val="000957B3"/>
    <w:rsid w:val="000A0056"/>
    <w:rsid w:val="000A25E5"/>
    <w:rsid w:val="000A2CAA"/>
    <w:rsid w:val="000B0C1F"/>
    <w:rsid w:val="000B57BC"/>
    <w:rsid w:val="000C73C9"/>
    <w:rsid w:val="000D05FB"/>
    <w:rsid w:val="000D40A1"/>
    <w:rsid w:val="000D6DD8"/>
    <w:rsid w:val="00101293"/>
    <w:rsid w:val="00102854"/>
    <w:rsid w:val="00103763"/>
    <w:rsid w:val="001045B1"/>
    <w:rsid w:val="00106B8A"/>
    <w:rsid w:val="00106C85"/>
    <w:rsid w:val="00112B86"/>
    <w:rsid w:val="00117BDB"/>
    <w:rsid w:val="00134395"/>
    <w:rsid w:val="00135568"/>
    <w:rsid w:val="00143F78"/>
    <w:rsid w:val="001472F4"/>
    <w:rsid w:val="001523ED"/>
    <w:rsid w:val="001567E9"/>
    <w:rsid w:val="00160C44"/>
    <w:rsid w:val="00161809"/>
    <w:rsid w:val="001629EE"/>
    <w:rsid w:val="001672D7"/>
    <w:rsid w:val="00177E9B"/>
    <w:rsid w:val="00180FF6"/>
    <w:rsid w:val="00183612"/>
    <w:rsid w:val="001854F2"/>
    <w:rsid w:val="00190098"/>
    <w:rsid w:val="001A1F79"/>
    <w:rsid w:val="001A2CCF"/>
    <w:rsid w:val="001A614D"/>
    <w:rsid w:val="001B1009"/>
    <w:rsid w:val="001B3ECC"/>
    <w:rsid w:val="001B749A"/>
    <w:rsid w:val="001C3583"/>
    <w:rsid w:val="001D77BC"/>
    <w:rsid w:val="001E1C4C"/>
    <w:rsid w:val="001F1952"/>
    <w:rsid w:val="001F1BE4"/>
    <w:rsid w:val="001F6C05"/>
    <w:rsid w:val="001F7390"/>
    <w:rsid w:val="002027E3"/>
    <w:rsid w:val="00205D4F"/>
    <w:rsid w:val="00211E85"/>
    <w:rsid w:val="00215921"/>
    <w:rsid w:val="00217399"/>
    <w:rsid w:val="002308E9"/>
    <w:rsid w:val="00236EDC"/>
    <w:rsid w:val="00237B5D"/>
    <w:rsid w:val="0025365F"/>
    <w:rsid w:val="0025515F"/>
    <w:rsid w:val="00262207"/>
    <w:rsid w:val="00262394"/>
    <w:rsid w:val="002633AE"/>
    <w:rsid w:val="00265855"/>
    <w:rsid w:val="0027465C"/>
    <w:rsid w:val="00277DB4"/>
    <w:rsid w:val="002847AF"/>
    <w:rsid w:val="00285022"/>
    <w:rsid w:val="00285D46"/>
    <w:rsid w:val="00290929"/>
    <w:rsid w:val="002929FE"/>
    <w:rsid w:val="00292D06"/>
    <w:rsid w:val="00294DF1"/>
    <w:rsid w:val="00296E9A"/>
    <w:rsid w:val="002A124F"/>
    <w:rsid w:val="002A193C"/>
    <w:rsid w:val="002B4547"/>
    <w:rsid w:val="002B7CB2"/>
    <w:rsid w:val="002C207A"/>
    <w:rsid w:val="002C2156"/>
    <w:rsid w:val="002C446B"/>
    <w:rsid w:val="002C49E6"/>
    <w:rsid w:val="002D174C"/>
    <w:rsid w:val="002D31E8"/>
    <w:rsid w:val="002D349A"/>
    <w:rsid w:val="002D7E04"/>
    <w:rsid w:val="002E04EE"/>
    <w:rsid w:val="002E3E48"/>
    <w:rsid w:val="002E7ED9"/>
    <w:rsid w:val="002F5A85"/>
    <w:rsid w:val="002F5C6F"/>
    <w:rsid w:val="003031AC"/>
    <w:rsid w:val="00305911"/>
    <w:rsid w:val="00307043"/>
    <w:rsid w:val="00315B85"/>
    <w:rsid w:val="00320F8B"/>
    <w:rsid w:val="00322385"/>
    <w:rsid w:val="003346A3"/>
    <w:rsid w:val="00340820"/>
    <w:rsid w:val="003412D2"/>
    <w:rsid w:val="00357095"/>
    <w:rsid w:val="00362353"/>
    <w:rsid w:val="00367ACF"/>
    <w:rsid w:val="00372BA5"/>
    <w:rsid w:val="0037326A"/>
    <w:rsid w:val="003753CA"/>
    <w:rsid w:val="00381D23"/>
    <w:rsid w:val="00382023"/>
    <w:rsid w:val="003863EC"/>
    <w:rsid w:val="00387FF4"/>
    <w:rsid w:val="0039293F"/>
    <w:rsid w:val="00396339"/>
    <w:rsid w:val="003A04B6"/>
    <w:rsid w:val="003A498F"/>
    <w:rsid w:val="003A4B4A"/>
    <w:rsid w:val="003B27B5"/>
    <w:rsid w:val="003C715D"/>
    <w:rsid w:val="003D2553"/>
    <w:rsid w:val="003D3CE1"/>
    <w:rsid w:val="003D44DC"/>
    <w:rsid w:val="003E0EDC"/>
    <w:rsid w:val="003E163A"/>
    <w:rsid w:val="003E17DC"/>
    <w:rsid w:val="003E1C8F"/>
    <w:rsid w:val="003E60D8"/>
    <w:rsid w:val="003E66FA"/>
    <w:rsid w:val="003E73E7"/>
    <w:rsid w:val="003F326B"/>
    <w:rsid w:val="003F69F5"/>
    <w:rsid w:val="003F7A29"/>
    <w:rsid w:val="00402404"/>
    <w:rsid w:val="00405EAD"/>
    <w:rsid w:val="00406AC2"/>
    <w:rsid w:val="00406EDE"/>
    <w:rsid w:val="00411BE4"/>
    <w:rsid w:val="004146B5"/>
    <w:rsid w:val="00415969"/>
    <w:rsid w:val="0042147A"/>
    <w:rsid w:val="00424757"/>
    <w:rsid w:val="00430F9B"/>
    <w:rsid w:val="00433377"/>
    <w:rsid w:val="00453CF2"/>
    <w:rsid w:val="0046067B"/>
    <w:rsid w:val="00460750"/>
    <w:rsid w:val="00463EB8"/>
    <w:rsid w:val="004705F2"/>
    <w:rsid w:val="00473964"/>
    <w:rsid w:val="00473F7A"/>
    <w:rsid w:val="00477896"/>
    <w:rsid w:val="004837B1"/>
    <w:rsid w:val="00483FFB"/>
    <w:rsid w:val="00484EDD"/>
    <w:rsid w:val="0048569E"/>
    <w:rsid w:val="00486C20"/>
    <w:rsid w:val="00486EF9"/>
    <w:rsid w:val="00487400"/>
    <w:rsid w:val="00490E7F"/>
    <w:rsid w:val="004952F2"/>
    <w:rsid w:val="004A246C"/>
    <w:rsid w:val="004A3C29"/>
    <w:rsid w:val="004C1F57"/>
    <w:rsid w:val="004C2775"/>
    <w:rsid w:val="004C6362"/>
    <w:rsid w:val="004C6C47"/>
    <w:rsid w:val="004D6813"/>
    <w:rsid w:val="0050081D"/>
    <w:rsid w:val="00510E38"/>
    <w:rsid w:val="00520E7F"/>
    <w:rsid w:val="0052687A"/>
    <w:rsid w:val="0053110E"/>
    <w:rsid w:val="005315B2"/>
    <w:rsid w:val="005348AF"/>
    <w:rsid w:val="0054143D"/>
    <w:rsid w:val="0054400D"/>
    <w:rsid w:val="00547B3D"/>
    <w:rsid w:val="00554F51"/>
    <w:rsid w:val="005627A6"/>
    <w:rsid w:val="00571EBF"/>
    <w:rsid w:val="00580765"/>
    <w:rsid w:val="005A516D"/>
    <w:rsid w:val="005B2185"/>
    <w:rsid w:val="005B2D6A"/>
    <w:rsid w:val="005B2DEC"/>
    <w:rsid w:val="005B74D7"/>
    <w:rsid w:val="005B7DB3"/>
    <w:rsid w:val="005D3460"/>
    <w:rsid w:val="005D3C7E"/>
    <w:rsid w:val="005D6208"/>
    <w:rsid w:val="005E2BA1"/>
    <w:rsid w:val="005E3D7F"/>
    <w:rsid w:val="005E4FF0"/>
    <w:rsid w:val="005E5BCF"/>
    <w:rsid w:val="005E67DC"/>
    <w:rsid w:val="005F0E4D"/>
    <w:rsid w:val="005F1445"/>
    <w:rsid w:val="005F66B1"/>
    <w:rsid w:val="0060130B"/>
    <w:rsid w:val="00605035"/>
    <w:rsid w:val="00611DA7"/>
    <w:rsid w:val="00620C12"/>
    <w:rsid w:val="00620E16"/>
    <w:rsid w:val="00621BBC"/>
    <w:rsid w:val="006263E2"/>
    <w:rsid w:val="00632491"/>
    <w:rsid w:val="006400C2"/>
    <w:rsid w:val="006416D4"/>
    <w:rsid w:val="00641F56"/>
    <w:rsid w:val="00651C88"/>
    <w:rsid w:val="00676EA7"/>
    <w:rsid w:val="006851ED"/>
    <w:rsid w:val="0068649D"/>
    <w:rsid w:val="0069121A"/>
    <w:rsid w:val="006921A5"/>
    <w:rsid w:val="00693565"/>
    <w:rsid w:val="006A22D8"/>
    <w:rsid w:val="006B0F11"/>
    <w:rsid w:val="006C49A3"/>
    <w:rsid w:val="006D06DF"/>
    <w:rsid w:val="006E55A1"/>
    <w:rsid w:val="006E7A02"/>
    <w:rsid w:val="006F2180"/>
    <w:rsid w:val="006F57B5"/>
    <w:rsid w:val="006F5852"/>
    <w:rsid w:val="006F5A0E"/>
    <w:rsid w:val="00705113"/>
    <w:rsid w:val="0071465D"/>
    <w:rsid w:val="00714943"/>
    <w:rsid w:val="00716806"/>
    <w:rsid w:val="00724A9F"/>
    <w:rsid w:val="00726525"/>
    <w:rsid w:val="00726F5C"/>
    <w:rsid w:val="00732A60"/>
    <w:rsid w:val="00737C3D"/>
    <w:rsid w:val="007405CB"/>
    <w:rsid w:val="007455DE"/>
    <w:rsid w:val="00745620"/>
    <w:rsid w:val="00760BEC"/>
    <w:rsid w:val="0076411C"/>
    <w:rsid w:val="00764AB8"/>
    <w:rsid w:val="0078137A"/>
    <w:rsid w:val="0078539F"/>
    <w:rsid w:val="00787004"/>
    <w:rsid w:val="00791273"/>
    <w:rsid w:val="007A049E"/>
    <w:rsid w:val="007A38BC"/>
    <w:rsid w:val="007A61DC"/>
    <w:rsid w:val="007B0473"/>
    <w:rsid w:val="007B0AAE"/>
    <w:rsid w:val="007B1F92"/>
    <w:rsid w:val="007B24BE"/>
    <w:rsid w:val="007B36B6"/>
    <w:rsid w:val="007B3DE2"/>
    <w:rsid w:val="007C2A5F"/>
    <w:rsid w:val="007C4DFB"/>
    <w:rsid w:val="007C5B94"/>
    <w:rsid w:val="007E09BC"/>
    <w:rsid w:val="007E35BE"/>
    <w:rsid w:val="007E64A9"/>
    <w:rsid w:val="00800564"/>
    <w:rsid w:val="00803701"/>
    <w:rsid w:val="00804F84"/>
    <w:rsid w:val="00805938"/>
    <w:rsid w:val="008153FE"/>
    <w:rsid w:val="00820CD1"/>
    <w:rsid w:val="0082249A"/>
    <w:rsid w:val="00830925"/>
    <w:rsid w:val="00833933"/>
    <w:rsid w:val="00835B27"/>
    <w:rsid w:val="0084064B"/>
    <w:rsid w:val="008411D7"/>
    <w:rsid w:val="008435F9"/>
    <w:rsid w:val="00847516"/>
    <w:rsid w:val="00854D67"/>
    <w:rsid w:val="00856B30"/>
    <w:rsid w:val="008615E7"/>
    <w:rsid w:val="00864BEE"/>
    <w:rsid w:val="00870188"/>
    <w:rsid w:val="00876746"/>
    <w:rsid w:val="00884852"/>
    <w:rsid w:val="008931C0"/>
    <w:rsid w:val="008A3190"/>
    <w:rsid w:val="008A753E"/>
    <w:rsid w:val="008B3C93"/>
    <w:rsid w:val="008B3F4D"/>
    <w:rsid w:val="008C27DD"/>
    <w:rsid w:val="008C4BC4"/>
    <w:rsid w:val="008C717A"/>
    <w:rsid w:val="008D1B48"/>
    <w:rsid w:val="008E1C88"/>
    <w:rsid w:val="008E325F"/>
    <w:rsid w:val="008E5032"/>
    <w:rsid w:val="008F3518"/>
    <w:rsid w:val="009053CC"/>
    <w:rsid w:val="0090774C"/>
    <w:rsid w:val="009147C1"/>
    <w:rsid w:val="0093489D"/>
    <w:rsid w:val="0094117A"/>
    <w:rsid w:val="00965F29"/>
    <w:rsid w:val="00966B88"/>
    <w:rsid w:val="009679F4"/>
    <w:rsid w:val="00971732"/>
    <w:rsid w:val="00973037"/>
    <w:rsid w:val="00987141"/>
    <w:rsid w:val="00991227"/>
    <w:rsid w:val="0099212D"/>
    <w:rsid w:val="00993D04"/>
    <w:rsid w:val="009953A3"/>
    <w:rsid w:val="0099743D"/>
    <w:rsid w:val="009A317D"/>
    <w:rsid w:val="009A5B4A"/>
    <w:rsid w:val="009B40F1"/>
    <w:rsid w:val="009B5BDD"/>
    <w:rsid w:val="009B64EE"/>
    <w:rsid w:val="009C6E83"/>
    <w:rsid w:val="009D6998"/>
    <w:rsid w:val="009E058D"/>
    <w:rsid w:val="009F3F75"/>
    <w:rsid w:val="00A00116"/>
    <w:rsid w:val="00A04D4A"/>
    <w:rsid w:val="00A15FFB"/>
    <w:rsid w:val="00A23153"/>
    <w:rsid w:val="00A23745"/>
    <w:rsid w:val="00A25A0F"/>
    <w:rsid w:val="00A26D23"/>
    <w:rsid w:val="00A27AE8"/>
    <w:rsid w:val="00A52B62"/>
    <w:rsid w:val="00A574F4"/>
    <w:rsid w:val="00A65B0A"/>
    <w:rsid w:val="00A6701B"/>
    <w:rsid w:val="00A72571"/>
    <w:rsid w:val="00A73D2B"/>
    <w:rsid w:val="00A756A4"/>
    <w:rsid w:val="00A82705"/>
    <w:rsid w:val="00A8715D"/>
    <w:rsid w:val="00A9002C"/>
    <w:rsid w:val="00A93D0D"/>
    <w:rsid w:val="00AA2A13"/>
    <w:rsid w:val="00AA3A9F"/>
    <w:rsid w:val="00AA70E3"/>
    <w:rsid w:val="00AB0FBE"/>
    <w:rsid w:val="00AD1706"/>
    <w:rsid w:val="00AD78EC"/>
    <w:rsid w:val="00AE1FDE"/>
    <w:rsid w:val="00AE4A5B"/>
    <w:rsid w:val="00AE76D7"/>
    <w:rsid w:val="00AF1EB9"/>
    <w:rsid w:val="00AF3D1F"/>
    <w:rsid w:val="00AF5211"/>
    <w:rsid w:val="00AF58F4"/>
    <w:rsid w:val="00AF69C5"/>
    <w:rsid w:val="00AF73E3"/>
    <w:rsid w:val="00AF7C14"/>
    <w:rsid w:val="00B013C5"/>
    <w:rsid w:val="00B01FB8"/>
    <w:rsid w:val="00B02C05"/>
    <w:rsid w:val="00B048FB"/>
    <w:rsid w:val="00B07244"/>
    <w:rsid w:val="00B11B52"/>
    <w:rsid w:val="00B24F54"/>
    <w:rsid w:val="00B25007"/>
    <w:rsid w:val="00B30341"/>
    <w:rsid w:val="00B303FA"/>
    <w:rsid w:val="00B31641"/>
    <w:rsid w:val="00B35721"/>
    <w:rsid w:val="00B43A41"/>
    <w:rsid w:val="00B5453F"/>
    <w:rsid w:val="00B66654"/>
    <w:rsid w:val="00B72BF2"/>
    <w:rsid w:val="00B7694F"/>
    <w:rsid w:val="00B77670"/>
    <w:rsid w:val="00B930F0"/>
    <w:rsid w:val="00B9354D"/>
    <w:rsid w:val="00BA16CB"/>
    <w:rsid w:val="00BB00A8"/>
    <w:rsid w:val="00BB3DA3"/>
    <w:rsid w:val="00BB6ACE"/>
    <w:rsid w:val="00BC13C5"/>
    <w:rsid w:val="00BC4E35"/>
    <w:rsid w:val="00BC6BA3"/>
    <w:rsid w:val="00BD2275"/>
    <w:rsid w:val="00BD7453"/>
    <w:rsid w:val="00BE61A7"/>
    <w:rsid w:val="00BE70F4"/>
    <w:rsid w:val="00BE7F04"/>
    <w:rsid w:val="00C00AAC"/>
    <w:rsid w:val="00C05EA8"/>
    <w:rsid w:val="00C06619"/>
    <w:rsid w:val="00C1139B"/>
    <w:rsid w:val="00C15CF0"/>
    <w:rsid w:val="00C17AC5"/>
    <w:rsid w:val="00C22748"/>
    <w:rsid w:val="00C2627F"/>
    <w:rsid w:val="00C26A78"/>
    <w:rsid w:val="00C271FB"/>
    <w:rsid w:val="00C27341"/>
    <w:rsid w:val="00C31036"/>
    <w:rsid w:val="00C33935"/>
    <w:rsid w:val="00C51E35"/>
    <w:rsid w:val="00C543E9"/>
    <w:rsid w:val="00C5765F"/>
    <w:rsid w:val="00C62967"/>
    <w:rsid w:val="00C650F2"/>
    <w:rsid w:val="00C678D4"/>
    <w:rsid w:val="00C73EE8"/>
    <w:rsid w:val="00C759F8"/>
    <w:rsid w:val="00C810F1"/>
    <w:rsid w:val="00C81E15"/>
    <w:rsid w:val="00C83915"/>
    <w:rsid w:val="00C83DBA"/>
    <w:rsid w:val="00C842D9"/>
    <w:rsid w:val="00C852DA"/>
    <w:rsid w:val="00C85F00"/>
    <w:rsid w:val="00C9147B"/>
    <w:rsid w:val="00CA3DE0"/>
    <w:rsid w:val="00CA5D2E"/>
    <w:rsid w:val="00CB37E5"/>
    <w:rsid w:val="00CB6DE1"/>
    <w:rsid w:val="00CB7517"/>
    <w:rsid w:val="00CB76ED"/>
    <w:rsid w:val="00CC0CEB"/>
    <w:rsid w:val="00CC4B1A"/>
    <w:rsid w:val="00CC54FF"/>
    <w:rsid w:val="00CC649F"/>
    <w:rsid w:val="00CC7454"/>
    <w:rsid w:val="00CD17CB"/>
    <w:rsid w:val="00CD1B3C"/>
    <w:rsid w:val="00CD4D61"/>
    <w:rsid w:val="00CD5E90"/>
    <w:rsid w:val="00CD7640"/>
    <w:rsid w:val="00CE0AF5"/>
    <w:rsid w:val="00CE7D3A"/>
    <w:rsid w:val="00CF175D"/>
    <w:rsid w:val="00CF400B"/>
    <w:rsid w:val="00CF7C71"/>
    <w:rsid w:val="00D04DDA"/>
    <w:rsid w:val="00D04E06"/>
    <w:rsid w:val="00D04EDB"/>
    <w:rsid w:val="00D06356"/>
    <w:rsid w:val="00D15923"/>
    <w:rsid w:val="00D220A1"/>
    <w:rsid w:val="00D31C52"/>
    <w:rsid w:val="00D36729"/>
    <w:rsid w:val="00D37D79"/>
    <w:rsid w:val="00D4229F"/>
    <w:rsid w:val="00D4504F"/>
    <w:rsid w:val="00D45274"/>
    <w:rsid w:val="00D45E0E"/>
    <w:rsid w:val="00D666DC"/>
    <w:rsid w:val="00D7180A"/>
    <w:rsid w:val="00D737E2"/>
    <w:rsid w:val="00D76B68"/>
    <w:rsid w:val="00D77D9D"/>
    <w:rsid w:val="00D805B8"/>
    <w:rsid w:val="00D8091A"/>
    <w:rsid w:val="00D86A26"/>
    <w:rsid w:val="00D90526"/>
    <w:rsid w:val="00D912A7"/>
    <w:rsid w:val="00D91D9A"/>
    <w:rsid w:val="00D929EC"/>
    <w:rsid w:val="00DA055C"/>
    <w:rsid w:val="00DA6D83"/>
    <w:rsid w:val="00DB1D1C"/>
    <w:rsid w:val="00DD732B"/>
    <w:rsid w:val="00DE7573"/>
    <w:rsid w:val="00DE79FB"/>
    <w:rsid w:val="00DF1D73"/>
    <w:rsid w:val="00E05D92"/>
    <w:rsid w:val="00E17D70"/>
    <w:rsid w:val="00E32BB6"/>
    <w:rsid w:val="00E35674"/>
    <w:rsid w:val="00E362EF"/>
    <w:rsid w:val="00E47D06"/>
    <w:rsid w:val="00E526AB"/>
    <w:rsid w:val="00E53CDE"/>
    <w:rsid w:val="00E54D3B"/>
    <w:rsid w:val="00E57C5E"/>
    <w:rsid w:val="00E65BC1"/>
    <w:rsid w:val="00E65DE3"/>
    <w:rsid w:val="00E72202"/>
    <w:rsid w:val="00E732BE"/>
    <w:rsid w:val="00E73D80"/>
    <w:rsid w:val="00E756E5"/>
    <w:rsid w:val="00E765F1"/>
    <w:rsid w:val="00E77AE3"/>
    <w:rsid w:val="00E94ED1"/>
    <w:rsid w:val="00E9670B"/>
    <w:rsid w:val="00E96E54"/>
    <w:rsid w:val="00E9772D"/>
    <w:rsid w:val="00EA3D0E"/>
    <w:rsid w:val="00EA74C1"/>
    <w:rsid w:val="00EB1229"/>
    <w:rsid w:val="00EC3181"/>
    <w:rsid w:val="00EC5CF3"/>
    <w:rsid w:val="00EC7C5A"/>
    <w:rsid w:val="00EE19B0"/>
    <w:rsid w:val="00EE2B15"/>
    <w:rsid w:val="00EE5A10"/>
    <w:rsid w:val="00EF0CFA"/>
    <w:rsid w:val="00EF42AE"/>
    <w:rsid w:val="00F325E4"/>
    <w:rsid w:val="00F3359C"/>
    <w:rsid w:val="00F35EE8"/>
    <w:rsid w:val="00F40128"/>
    <w:rsid w:val="00F5388F"/>
    <w:rsid w:val="00F541C2"/>
    <w:rsid w:val="00F65DFD"/>
    <w:rsid w:val="00F73151"/>
    <w:rsid w:val="00F81ECF"/>
    <w:rsid w:val="00F877FE"/>
    <w:rsid w:val="00F90D42"/>
    <w:rsid w:val="00F96F87"/>
    <w:rsid w:val="00FA2F06"/>
    <w:rsid w:val="00FB088E"/>
    <w:rsid w:val="00FB0E52"/>
    <w:rsid w:val="00FB3216"/>
    <w:rsid w:val="00FB32EE"/>
    <w:rsid w:val="00FB6115"/>
    <w:rsid w:val="00FC0326"/>
    <w:rsid w:val="00FC1038"/>
    <w:rsid w:val="00FC3A12"/>
    <w:rsid w:val="00FD117D"/>
    <w:rsid w:val="00FD392B"/>
    <w:rsid w:val="00FD3F50"/>
    <w:rsid w:val="00FD74EC"/>
    <w:rsid w:val="00FE4295"/>
    <w:rsid w:val="00FE46C3"/>
    <w:rsid w:val="00FF63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7003"/>
  <w15:docId w15:val="{47A0C27C-E4C9-4651-B5EE-1F85016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16"/>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99"/>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BB6ACE"/>
    <w:rPr>
      <w:rFonts w:ascii="Calibri" w:eastAsiaTheme="minorHAnsi" w:hAnsi="Calibri" w:cstheme="minorBidi"/>
      <w:szCs w:val="22"/>
      <w:lang w:eastAsia="en-US"/>
    </w:rPr>
  </w:style>
  <w:style w:type="paragraph" w:styleId="Footer">
    <w:name w:val="footer"/>
    <w:basedOn w:val="Normal"/>
    <w:link w:val="FooterChar"/>
    <w:uiPriority w:val="99"/>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aliases w:val="List Paragraph1,List Paragraph11,Recommendation,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EA74C1"/>
    <w:rPr>
      <w:rFonts w:asciiTheme="minorHAnsi" w:eastAsiaTheme="minorHAnsi" w:hAnsiTheme="minorHAnsi" w:cstheme="minorBidi"/>
      <w:sz w:val="22"/>
      <w:szCs w:val="22"/>
      <w:lang w:eastAsia="en-US"/>
    </w:rPr>
  </w:style>
  <w:style w:type="table" w:styleId="TableGrid">
    <w:name w:val="Table Grid"/>
    <w:basedOn w:val="TableNormal"/>
    <w:uiPriority w:val="59"/>
    <w:rsid w:val="009C6E83"/>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7B24BE"/>
    <w:pPr>
      <w:spacing w:after="120" w:line="259" w:lineRule="auto"/>
    </w:pPr>
    <w:rPr>
      <w:sz w:val="21"/>
    </w:rPr>
  </w:style>
  <w:style w:type="character" w:customStyle="1" w:styleId="BodyTextChar">
    <w:name w:val="Body Text Char"/>
    <w:basedOn w:val="DefaultParagraphFont"/>
    <w:link w:val="BodyText"/>
    <w:uiPriority w:val="99"/>
    <w:rsid w:val="007B24BE"/>
    <w:rPr>
      <w:rFonts w:asciiTheme="minorHAnsi" w:eastAsiaTheme="minorHAnsi" w:hAnsiTheme="minorHAnsi" w:cstheme="minorBidi"/>
      <w:sz w:val="21"/>
      <w:szCs w:val="22"/>
      <w:lang w:eastAsia="en-US"/>
    </w:rPr>
  </w:style>
  <w:style w:type="table" w:styleId="PlainTable1">
    <w:name w:val="Plain Table 1"/>
    <w:basedOn w:val="TableNormal"/>
    <w:uiPriority w:val="41"/>
    <w:rsid w:val="007B24B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1 Char,List Paragraph11 Char,Recommendation Char,NFP GP Bulleted List Char,FooterText Char,numbered Char,Paragraphe de liste1 Char,Bulletr List Paragraph Char,列出段落 Char,列出段落1 Char,List Paragraph2 Char,Listeafsnit1 Char"/>
    <w:link w:val="ListParagraph"/>
    <w:uiPriority w:val="34"/>
    <w:rsid w:val="00A574F4"/>
    <w:rPr>
      <w:rFonts w:ascii="Calibri" w:eastAsiaTheme="minorHAnsi" w:hAnsi="Calibri" w:cs="Calibri"/>
      <w:sz w:val="22"/>
      <w:szCs w:val="22"/>
      <w:lang w:eastAsia="en-US"/>
    </w:rPr>
  </w:style>
  <w:style w:type="character" w:customStyle="1" w:styleId="cf01">
    <w:name w:val="cf01"/>
    <w:basedOn w:val="DefaultParagraphFont"/>
    <w:rsid w:val="00002365"/>
    <w:rPr>
      <w:rFonts w:ascii="Segoe UI" w:hAnsi="Segoe UI" w:cs="Segoe UI" w:hint="default"/>
      <w:sz w:val="18"/>
      <w:szCs w:val="18"/>
    </w:rPr>
  </w:style>
  <w:style w:type="character" w:customStyle="1" w:styleId="ui-provider">
    <w:name w:val="ui-provider"/>
    <w:basedOn w:val="DefaultParagraphFont"/>
    <w:rsid w:val="0050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gric.wa.gov.au/biosecurity/pantry-blitz-2017" TargetMode="External"/><Relationship Id="rId39" Type="http://schemas.openxmlformats.org/officeDocument/2006/relationships/fontTable" Target="fontTable.xml"/><Relationship Id="rId21" Type="http://schemas.openxmlformats.org/officeDocument/2006/relationships/hyperlink" Target="https://grdc.com.au/grdc-investments/investments/investment?code=UOM2306-003RTX"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agriculture.gov.au/biosecurity-trade/pests-diseases-weeds/plant/national-action-plans" TargetMode="External"/><Relationship Id="rId17" Type="http://schemas.openxmlformats.org/officeDocument/2006/relationships/header" Target="header3.xml"/><Relationship Id="rId25" Type="http://schemas.openxmlformats.org/officeDocument/2006/relationships/hyperlink" Target="https://www.plantbiosecuritydiagnostics.net.au/initiatives/proficiency-testing/"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griculture.gov.au/biosecurity-trade/pests-diseases-weeds/plant/khapra-beetle/plant-products" TargetMode="External"/><Relationship Id="rId29" Type="http://schemas.openxmlformats.org/officeDocument/2006/relationships/hyperlink" Target="https://www.planthealthaustralia.com.au/wp-content/uploads/2013/03/Khapra-Beetle-CP-20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ests-diseases-weeds/plant/national-action-plans" TargetMode="External"/><Relationship Id="rId24" Type="http://schemas.openxmlformats.org/officeDocument/2006/relationships/hyperlink" Target="https://aus01.safelinks.protection.outlook.com/?url=https%3A%2F%2Fwww.plantbiosecuritydiagnostics.net.au%2Fapp%2Fuploads%2F2022%2F08%2FNDP-45-Khapra-beetle-Trogoderma-granarium-Everts-v1.0.pdf&amp;data=05%7C01%7CMinyu.Ding%40aff.gov.au%7C661c0d065d184254e5a108dbd02610eb%7C2be67eb7400c4b3fa5a11258c0da0696%7C0%7C0%7C638332634127791192%7CUnknown%7CTWFpbGZsb3d8eyJWIjoiMC4wLjAwMDAiLCJQIjoiV2luMzIiLCJBTiI6Ik1haWwiLCJXVCI6Mn0%3D%7C3000%7C%7C%7C&amp;sdata=rdEJIHpOa1bEV8TMutubKF%2BwMRPy9gkeD7Isvbqye3M%3D&amp;reserved=0" TargetMode="External"/><Relationship Id="rId32" Type="http://schemas.openxmlformats.org/officeDocument/2006/relationships/hyperlink" Target="https://creativecommons.org/licenses/by/4.0/legalcode"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griculture.gov.au/sites/default/files/documents/guide-treating-sea-containers-with-deltamethrin.pdf" TargetMode="External"/><Relationship Id="rId28" Type="http://schemas.openxmlformats.org/officeDocument/2006/relationships/hyperlink" Target="https://www.ecodna.org.au/national-edna-reference-centre-nrc/"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agriculture.gov.au/biosecurity-trade/policy/risk-analysis/plant/khapra-pest-risk-analysis" TargetMode="External"/><Relationship Id="rId31" Type="http://schemas.openxmlformats.org/officeDocument/2006/relationships/hyperlink" Target="https://www.agriculture.gov.au/biosecurity-trade/policy/partnerships/national-biosecurity-statement/communication-engagement-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griculture.gov.au/biosecurity-trade/import/arrival/treatments/treatments-fumigants" TargetMode="External"/><Relationship Id="rId27" Type="http://schemas.openxmlformats.org/officeDocument/2006/relationships/hyperlink" Target="https://www.dpi.nsw.gov.au/biosecurity/plant/pantryblitz" TargetMode="External"/><Relationship Id="rId30" Type="http://schemas.openxmlformats.org/officeDocument/2006/relationships/hyperlink" Target="https://www.planthealthaustralia.com.au/industries/grains/"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4fs02\parliamentmedia$\ParliamentMedia\Corporate%20Communications\Production\Editors\Templates\Current%20templates%20on%20L\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2b53c995-2120-4bc0-8922-c25044d37f65"/>
    <ds:schemaRef ds:uri="81c01dc6-2c49-4730-b140-874c95cac377"/>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c95b51c2-b2ac-4224-a5b5-069909057829"/>
    <ds:schemaRef ds:uri="http://purl.org/dc/dcmitype/"/>
  </ds:schemaRefs>
</ds:datastoreItem>
</file>

<file path=customXml/itemProps2.xml><?xml version="1.0" encoding="utf-8"?>
<ds:datastoreItem xmlns:ds="http://schemas.openxmlformats.org/officeDocument/2006/customXml" ds:itemID="{6F8532DE-FBE7-4C62-B1AB-4E7497B0A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51</TotalTime>
  <Pages>25</Pages>
  <Words>6692</Words>
  <Characters>38150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Khapra Beetle Implementation Schedule 2023</vt:lpstr>
    </vt:vector>
  </TitlesOfParts>
  <Company/>
  <LinksUpToDate>false</LinksUpToDate>
  <CharactersWithSpaces>44753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Khapra Beetle Implementation Schedule 2023</dc:title>
  <dc:creator>Plant Health Committee</dc:creator>
  <cp:revision>20</cp:revision>
  <cp:lastPrinted>2024-08-28T04:26:00Z</cp:lastPrinted>
  <dcterms:created xsi:type="dcterms:W3CDTF">2024-08-26T04:39:00Z</dcterms:created>
  <dcterms:modified xsi:type="dcterms:W3CDTF">2024-10-03T08:43:00Z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31ba8a4e,46f72b76,30788a12,6187482b,290e6e25,66f7a45d</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2654f880,6b50e762,2f88a069,60be2d96,36fb9298,120010a8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2024-08-22T07:06:59Z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1f12f11e-4264-48d7-9cb9-deac6ba9ec0b</vt:lpwstr>
  </property>
  <property fmtid="{D5CDD505-2E9C-101B-9397-08002B2CF9AE}" pid="16" name="MSIP_Label_933d8be6-3c40-4052-87a2-9c2adcba8759_ContentBits">
    <vt:lpwstr>3</vt:lpwstr>
  </property>
  <property fmtid="{D5CDD505-2E9C-101B-9397-08002B2CF9AE}" pid="17" name="MediaServiceImageTags">
    <vt:lpwstr/>
  </property>
</Properties>
</file>