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96FD21C" w14:textId="77777777" w:rsidR="00711762" w:rsidRDefault="00711762" w:rsidP="00711762">
      <w:pPr>
        <w:pStyle w:val="Heading1"/>
      </w:pPr>
      <w:r>
        <w:t>Biosecurity Import Risk Analysis (BIRA)</w:t>
      </w:r>
    </w:p>
    <w:p w14:paraId="31DC6C6A" w14:textId="77777777" w:rsidR="00711762" w:rsidRDefault="00711762" w:rsidP="00711762">
      <w:pPr>
        <w:rPr>
          <w:lang w:eastAsia="ja-JP"/>
        </w:rPr>
      </w:pPr>
      <w:r>
        <w:rPr>
          <w:lang w:eastAsia="ja-JP"/>
        </w:rPr>
        <w:t>A BIRA can be undertaken when:</w:t>
      </w:r>
    </w:p>
    <w:p w14:paraId="7037FC17" w14:textId="77777777" w:rsidR="00711762" w:rsidRDefault="00711762" w:rsidP="00711762">
      <w:pPr>
        <w:rPr>
          <w:lang w:eastAsia="ja-JP"/>
        </w:rPr>
      </w:pPr>
      <w:r>
        <w:rPr>
          <w:lang w:eastAsia="ja-JP"/>
        </w:rPr>
        <w:t>•</w:t>
      </w:r>
      <w:r>
        <w:rPr>
          <w:lang w:eastAsia="ja-JP"/>
        </w:rPr>
        <w:tab/>
        <w:t>it is deemed appropriate by the Director of Biosecurity or the Minister of Agriculture, or</w:t>
      </w:r>
    </w:p>
    <w:p w14:paraId="2ECEF98A" w14:textId="77777777" w:rsidR="00711762" w:rsidRDefault="00711762" w:rsidP="00711762">
      <w:pPr>
        <w:rPr>
          <w:lang w:eastAsia="ja-JP"/>
        </w:rPr>
      </w:pPr>
      <w:r>
        <w:rPr>
          <w:lang w:eastAsia="ja-JP"/>
        </w:rPr>
        <w:t>•</w:t>
      </w:r>
      <w:r>
        <w:rPr>
          <w:lang w:eastAsia="ja-JP"/>
        </w:rPr>
        <w:tab/>
        <w:t>relevant risk management measures have not been established, or</w:t>
      </w:r>
    </w:p>
    <w:p w14:paraId="5547EE49" w14:textId="77777777" w:rsidR="00711762" w:rsidRDefault="00711762" w:rsidP="00711762">
      <w:pPr>
        <w:rPr>
          <w:lang w:eastAsia="ja-JP"/>
        </w:rPr>
      </w:pPr>
      <w:r>
        <w:rPr>
          <w:lang w:eastAsia="ja-JP"/>
        </w:rPr>
        <w:t>•</w:t>
      </w:r>
      <w:r>
        <w:rPr>
          <w:lang w:eastAsia="ja-JP"/>
        </w:rPr>
        <w:tab/>
        <w:t xml:space="preserve">relevant risk management measures exist for a similar good and pest or disease combination, but the likelihood and/or consequences of entry, establishment or spread of pests or diseases could differ significantly from those previously assessed. </w:t>
      </w:r>
    </w:p>
    <w:p w14:paraId="438D477A" w14:textId="77777777" w:rsidR="00711762" w:rsidRDefault="00711762" w:rsidP="00711762">
      <w:pPr>
        <w:rPr>
          <w:lang w:eastAsia="ja-JP"/>
        </w:rPr>
      </w:pPr>
      <w:r>
        <w:rPr>
          <w:lang w:eastAsia="ja-JP"/>
        </w:rPr>
        <w:t>The BIRA process is as follows:</w:t>
      </w:r>
    </w:p>
    <w:p w14:paraId="1DFBEECF" w14:textId="77777777" w:rsidR="00711762" w:rsidRDefault="00711762" w:rsidP="00711762">
      <w:pPr>
        <w:rPr>
          <w:lang w:eastAsia="ja-JP"/>
        </w:rPr>
      </w:pPr>
      <w:r>
        <w:rPr>
          <w:lang w:eastAsia="ja-JP"/>
        </w:rPr>
        <w:t>1.</w:t>
      </w:r>
      <w:r>
        <w:rPr>
          <w:lang w:eastAsia="ja-JP"/>
        </w:rPr>
        <w:tab/>
        <w:t>Import market access request is received.</w:t>
      </w:r>
    </w:p>
    <w:p w14:paraId="65054CB8" w14:textId="77777777" w:rsidR="00711762" w:rsidRDefault="00711762" w:rsidP="00711762">
      <w:pPr>
        <w:rPr>
          <w:lang w:eastAsia="ja-JP"/>
        </w:rPr>
      </w:pPr>
      <w:r>
        <w:rPr>
          <w:lang w:eastAsia="ja-JP"/>
        </w:rPr>
        <w:t>2.</w:t>
      </w:r>
      <w:r>
        <w:rPr>
          <w:lang w:eastAsia="ja-JP"/>
        </w:rPr>
        <w:tab/>
        <w:t>Announcement of the BIRA is made. Stakeholders are notified.</w:t>
      </w:r>
    </w:p>
    <w:p w14:paraId="175D20AA" w14:textId="77777777" w:rsidR="00711762" w:rsidRDefault="00711762" w:rsidP="00711762">
      <w:pPr>
        <w:rPr>
          <w:lang w:eastAsia="ja-JP"/>
        </w:rPr>
      </w:pPr>
      <w:r>
        <w:rPr>
          <w:lang w:eastAsia="ja-JP"/>
        </w:rPr>
        <w:t>3.</w:t>
      </w:r>
      <w:r>
        <w:rPr>
          <w:lang w:eastAsia="ja-JP"/>
        </w:rPr>
        <w:tab/>
        <w:t>An issues paper is published. Stakeholders are notified.</w:t>
      </w:r>
    </w:p>
    <w:p w14:paraId="6ABAC9DC" w14:textId="77777777" w:rsidR="00711762" w:rsidRDefault="00711762" w:rsidP="00711762">
      <w:pPr>
        <w:rPr>
          <w:lang w:eastAsia="ja-JP"/>
        </w:rPr>
      </w:pPr>
      <w:r>
        <w:rPr>
          <w:lang w:eastAsia="ja-JP"/>
        </w:rPr>
        <w:t>4.</w:t>
      </w:r>
      <w:r>
        <w:rPr>
          <w:lang w:eastAsia="ja-JP"/>
        </w:rPr>
        <w:tab/>
        <w:t xml:space="preserve">A draft report is prepared. </w:t>
      </w:r>
    </w:p>
    <w:p w14:paraId="1ADEEE4A" w14:textId="77777777" w:rsidR="00711762" w:rsidRDefault="00711762" w:rsidP="00711762">
      <w:pPr>
        <w:rPr>
          <w:lang w:eastAsia="ja-JP"/>
        </w:rPr>
      </w:pPr>
      <w:r>
        <w:rPr>
          <w:lang w:eastAsia="ja-JP"/>
        </w:rPr>
        <w:t>5.</w:t>
      </w:r>
      <w:r>
        <w:rPr>
          <w:lang w:eastAsia="ja-JP"/>
        </w:rPr>
        <w:tab/>
        <w:t>The draft report is published. Stakeholders are notified. Public consultation period is open for 60 calendar days.</w:t>
      </w:r>
    </w:p>
    <w:p w14:paraId="75685FE7" w14:textId="77777777" w:rsidR="00711762" w:rsidRDefault="00711762" w:rsidP="00711762">
      <w:pPr>
        <w:rPr>
          <w:lang w:eastAsia="ja-JP"/>
        </w:rPr>
      </w:pPr>
      <w:r>
        <w:rPr>
          <w:lang w:eastAsia="ja-JP"/>
        </w:rPr>
        <w:t>6.</w:t>
      </w:r>
      <w:r>
        <w:rPr>
          <w:lang w:eastAsia="ja-JP"/>
        </w:rPr>
        <w:tab/>
        <w:t>All comments are considered</w:t>
      </w:r>
    </w:p>
    <w:p w14:paraId="403404A6" w14:textId="77777777" w:rsidR="00711762" w:rsidRDefault="00711762" w:rsidP="00711762">
      <w:pPr>
        <w:rPr>
          <w:lang w:eastAsia="ja-JP"/>
        </w:rPr>
      </w:pPr>
      <w:r>
        <w:rPr>
          <w:lang w:eastAsia="ja-JP"/>
        </w:rPr>
        <w:t>7.</w:t>
      </w:r>
      <w:r>
        <w:rPr>
          <w:lang w:eastAsia="ja-JP"/>
        </w:rPr>
        <w:tab/>
        <w:t>A provisional report is prepared.</w:t>
      </w:r>
    </w:p>
    <w:p w14:paraId="26A32527" w14:textId="77777777" w:rsidR="00711762" w:rsidRDefault="00711762" w:rsidP="00711762">
      <w:pPr>
        <w:rPr>
          <w:lang w:eastAsia="ja-JP"/>
        </w:rPr>
      </w:pPr>
      <w:r>
        <w:rPr>
          <w:lang w:eastAsia="ja-JP"/>
        </w:rPr>
        <w:t>8.</w:t>
      </w:r>
      <w:r>
        <w:rPr>
          <w:lang w:eastAsia="ja-JP"/>
        </w:rPr>
        <w:tab/>
        <w:t>The provisional report is published. Stakeholders are notified.</w:t>
      </w:r>
    </w:p>
    <w:p w14:paraId="5BD522A2" w14:textId="77777777" w:rsidR="00711762" w:rsidRDefault="00711762" w:rsidP="00711762">
      <w:pPr>
        <w:rPr>
          <w:lang w:eastAsia="ja-JP"/>
        </w:rPr>
      </w:pPr>
      <w:r>
        <w:rPr>
          <w:lang w:eastAsia="ja-JP"/>
        </w:rPr>
        <w:t>a.</w:t>
      </w:r>
      <w:r>
        <w:rPr>
          <w:lang w:eastAsia="ja-JP"/>
        </w:rPr>
        <w:tab/>
        <w:t>Stakeholders can request the Inspector General of Biosecurity (IGB) to review the BIRA process.</w:t>
      </w:r>
    </w:p>
    <w:p w14:paraId="1A9E760C" w14:textId="77777777" w:rsidR="00711762" w:rsidRDefault="00711762" w:rsidP="00711762">
      <w:pPr>
        <w:rPr>
          <w:lang w:eastAsia="ja-JP"/>
        </w:rPr>
      </w:pPr>
      <w:r>
        <w:rPr>
          <w:lang w:eastAsia="ja-JP"/>
        </w:rPr>
        <w:t>b.</w:t>
      </w:r>
      <w:r>
        <w:rPr>
          <w:lang w:eastAsia="ja-JP"/>
        </w:rPr>
        <w:tab/>
        <w:t xml:space="preserve">If the IGB accepts, they will notify and undertake a review of the BIRA process. </w:t>
      </w:r>
    </w:p>
    <w:p w14:paraId="4C2371FE" w14:textId="77777777" w:rsidR="00711762" w:rsidRDefault="00711762" w:rsidP="00711762">
      <w:pPr>
        <w:rPr>
          <w:lang w:eastAsia="ja-JP"/>
        </w:rPr>
      </w:pPr>
      <w:r>
        <w:rPr>
          <w:lang w:eastAsia="ja-JP"/>
        </w:rPr>
        <w:t>c.</w:t>
      </w:r>
      <w:r>
        <w:rPr>
          <w:lang w:eastAsia="ja-JP"/>
        </w:rPr>
        <w:tab/>
        <w:t xml:space="preserve">The IGB will produce a </w:t>
      </w:r>
      <w:proofErr w:type="gramStart"/>
      <w:r>
        <w:rPr>
          <w:lang w:eastAsia="ja-JP"/>
        </w:rPr>
        <w:t>report</w:t>
      </w:r>
      <w:proofErr w:type="gramEnd"/>
      <w:r>
        <w:rPr>
          <w:lang w:eastAsia="ja-JP"/>
        </w:rPr>
        <w:t xml:space="preserve"> and this will be considered in the preparation of the final report. </w:t>
      </w:r>
    </w:p>
    <w:p w14:paraId="06D8E9A1" w14:textId="77777777" w:rsidR="00711762" w:rsidRDefault="00711762" w:rsidP="00711762">
      <w:pPr>
        <w:rPr>
          <w:lang w:eastAsia="ja-JP"/>
        </w:rPr>
      </w:pPr>
      <w:r>
        <w:rPr>
          <w:lang w:eastAsia="ja-JP"/>
        </w:rPr>
        <w:t>9.</w:t>
      </w:r>
      <w:r>
        <w:rPr>
          <w:lang w:eastAsia="ja-JP"/>
        </w:rPr>
        <w:tab/>
        <w:t>A final report is prepared.</w:t>
      </w:r>
    </w:p>
    <w:p w14:paraId="4A877C7C" w14:textId="77777777" w:rsidR="00711762" w:rsidRDefault="00711762" w:rsidP="00711762">
      <w:pPr>
        <w:rPr>
          <w:lang w:eastAsia="ja-JP"/>
        </w:rPr>
      </w:pPr>
      <w:r>
        <w:rPr>
          <w:lang w:eastAsia="ja-JP"/>
        </w:rPr>
        <w:t>10.</w:t>
      </w:r>
      <w:r>
        <w:rPr>
          <w:lang w:eastAsia="ja-JP"/>
        </w:rPr>
        <w:tab/>
        <w:t>The final report is published. Stakeholders are notified.</w:t>
      </w:r>
    </w:p>
    <w:p w14:paraId="4ABF8753" w14:textId="77777777" w:rsidR="00711762" w:rsidRDefault="00711762" w:rsidP="00711762">
      <w:pPr>
        <w:rPr>
          <w:lang w:eastAsia="ja-JP"/>
        </w:rPr>
      </w:pPr>
      <w:r>
        <w:rPr>
          <w:lang w:eastAsia="ja-JP"/>
        </w:rPr>
        <w:t>11.</w:t>
      </w:r>
      <w:r>
        <w:rPr>
          <w:lang w:eastAsia="ja-JP"/>
        </w:rPr>
        <w:tab/>
        <w:t>Import conditions are published on the Biosecurity Import Conditions system (BICON). Stakeholders are notified.</w:t>
      </w:r>
    </w:p>
    <w:p w14:paraId="30B752AB" w14:textId="77777777" w:rsidR="00711762" w:rsidRDefault="00711762" w:rsidP="00711762">
      <w:pPr>
        <w:rPr>
          <w:lang w:eastAsia="ja-JP"/>
        </w:rPr>
      </w:pPr>
      <w:r>
        <w:rPr>
          <w:lang w:eastAsia="ja-JP"/>
        </w:rPr>
        <w:t>12.</w:t>
      </w:r>
      <w:r>
        <w:rPr>
          <w:lang w:eastAsia="ja-JP"/>
        </w:rPr>
        <w:tab/>
        <w:t>Trade can commence (may include import permit).</w:t>
      </w:r>
    </w:p>
    <w:p w14:paraId="03EB49F5" w14:textId="77777777" w:rsidR="00711762" w:rsidRDefault="00711762" w:rsidP="00711762">
      <w:pPr>
        <w:rPr>
          <w:lang w:eastAsia="ja-JP"/>
        </w:rPr>
      </w:pPr>
      <w:r>
        <w:rPr>
          <w:lang w:eastAsia="ja-JP"/>
        </w:rPr>
        <w:t xml:space="preserve">Note: </w:t>
      </w:r>
    </w:p>
    <w:p w14:paraId="7480FBB1" w14:textId="77777777" w:rsidR="00711762" w:rsidRDefault="00711762" w:rsidP="00711762">
      <w:pPr>
        <w:rPr>
          <w:lang w:eastAsia="ja-JP"/>
        </w:rPr>
      </w:pPr>
      <w:r>
        <w:rPr>
          <w:lang w:eastAsia="ja-JP"/>
        </w:rPr>
        <w:t>•</w:t>
      </w:r>
      <w:r>
        <w:rPr>
          <w:lang w:eastAsia="ja-JP"/>
        </w:rPr>
        <w:tab/>
        <w:t xml:space="preserve">If required, in-country visit/s is conducted between steps 2 and 10. </w:t>
      </w:r>
    </w:p>
    <w:p w14:paraId="13449E47" w14:textId="77777777" w:rsidR="00711762" w:rsidRDefault="00711762" w:rsidP="00711762">
      <w:pPr>
        <w:rPr>
          <w:lang w:eastAsia="ja-JP"/>
        </w:rPr>
      </w:pPr>
      <w:r>
        <w:rPr>
          <w:lang w:eastAsia="ja-JP"/>
        </w:rPr>
        <w:t>•</w:t>
      </w:r>
      <w:r>
        <w:rPr>
          <w:lang w:eastAsia="ja-JP"/>
        </w:rPr>
        <w:tab/>
        <w:t xml:space="preserve">The BIRA process will take approximately 30 months but may be extended if time is stopped to allow for input and review of information. </w:t>
      </w:r>
    </w:p>
    <w:p w14:paraId="624F8AD3" w14:textId="4A78CFB3" w:rsidR="00905F94" w:rsidRDefault="00711762" w:rsidP="00711762">
      <w:pPr>
        <w:rPr>
          <w:lang w:eastAsia="ja-JP"/>
        </w:rPr>
      </w:pPr>
      <w:r>
        <w:rPr>
          <w:lang w:eastAsia="ja-JP"/>
        </w:rPr>
        <w:t>•</w:t>
      </w:r>
      <w:r>
        <w:rPr>
          <w:lang w:eastAsia="ja-JP"/>
        </w:rPr>
        <w:tab/>
        <w:t>A scientific advisory group is appointed and consulted as needed throughout the BIRA process.</w:t>
      </w:r>
    </w:p>
    <w:sectPr w:rsidR="00905F94" w:rsidSect="00EB5521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F8AD8" w14:textId="77777777" w:rsidR="006D6E8A" w:rsidRDefault="006D6E8A">
      <w:r>
        <w:separator/>
      </w:r>
    </w:p>
  </w:endnote>
  <w:endnote w:type="continuationSeparator" w:id="0">
    <w:p w14:paraId="624F8AD9" w14:textId="77777777" w:rsidR="006D6E8A" w:rsidRDefault="006D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262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4F8ADB" w14:textId="76772C71" w:rsidR="00C6669A" w:rsidRDefault="000A7C1A" w:rsidP="00C6669A">
        <w:pPr>
          <w:pStyle w:val="Footer"/>
          <w:jc w:val="right"/>
        </w:pPr>
        <w:r>
          <w:t>Department of Agriculture</w:t>
        </w:r>
        <w:r w:rsidR="00711762">
          <w:t xml:space="preserve">, </w:t>
        </w:r>
        <w:proofErr w:type="gramStart"/>
        <w:r>
          <w:t>Water</w:t>
        </w:r>
        <w:proofErr w:type="gramEnd"/>
        <w:r>
          <w:t xml:space="preserve"> </w:t>
        </w:r>
        <w:r w:rsidR="00711762">
          <w:t>and the Environment</w:t>
        </w:r>
        <w:r w:rsidR="00C6669A">
          <w:tab/>
        </w:r>
        <w:r w:rsidR="00EB5521">
          <w:fldChar w:fldCharType="begin"/>
        </w:r>
        <w:r w:rsidR="00C6669A">
          <w:instrText xml:space="preserve"> PAGE   \* MERGEFORMAT </w:instrText>
        </w:r>
        <w:r w:rsidR="00EB5521">
          <w:fldChar w:fldCharType="separate"/>
        </w:r>
        <w:r w:rsidR="00387658">
          <w:rPr>
            <w:noProof/>
          </w:rPr>
          <w:t>1</w:t>
        </w:r>
        <w:r w:rsidR="00EB552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F8AD6" w14:textId="77777777" w:rsidR="006D6E8A" w:rsidRDefault="006D6E8A">
      <w:r>
        <w:separator/>
      </w:r>
    </w:p>
  </w:footnote>
  <w:footnote w:type="continuationSeparator" w:id="0">
    <w:p w14:paraId="624F8AD7" w14:textId="77777777" w:rsidR="006D6E8A" w:rsidRDefault="006D6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F8ADA" w14:textId="05551E91" w:rsidR="00626E31" w:rsidRPr="00711762" w:rsidRDefault="00711762" w:rsidP="00711762">
    <w:pPr>
      <w:pStyle w:val="Header"/>
    </w:pPr>
    <w:r>
      <w:t xml:space="preserve">Infographic - </w:t>
    </w:r>
    <w:r>
      <w:t>Biosecurity Import Risk Analysis (BIRA)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5"/>
  </w:num>
  <w:num w:numId="8">
    <w:abstractNumId w:val="9"/>
  </w:num>
  <w:num w:numId="9">
    <w:abstractNumId w:val="13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4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FF"/>
    <w:rsid w:val="000A7C1A"/>
    <w:rsid w:val="00387658"/>
    <w:rsid w:val="00487B13"/>
    <w:rsid w:val="00596111"/>
    <w:rsid w:val="005F0A16"/>
    <w:rsid w:val="00612229"/>
    <w:rsid w:val="00626E31"/>
    <w:rsid w:val="006D6E8A"/>
    <w:rsid w:val="00711762"/>
    <w:rsid w:val="008D0708"/>
    <w:rsid w:val="00905F94"/>
    <w:rsid w:val="00AA4B88"/>
    <w:rsid w:val="00B230FF"/>
    <w:rsid w:val="00B57188"/>
    <w:rsid w:val="00B75616"/>
    <w:rsid w:val="00C6669A"/>
    <w:rsid w:val="00DE402A"/>
    <w:rsid w:val="00E3214D"/>
    <w:rsid w:val="00EB5521"/>
    <w:rsid w:val="00F8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624F8AD3"/>
  <w15:docId w15:val="{DB8637BC-E256-4CF7-975A-58889BED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521"/>
    <w:pPr>
      <w:spacing w:before="120"/>
    </w:pPr>
    <w:rPr>
      <w:rFonts w:eastAsia="Calibr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EB5521"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rsid w:val="00EB5521"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EB5521"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6D6E8A"/>
    <w:pPr>
      <w:spacing w:before="120"/>
      <w:outlineLvl w:val="3"/>
    </w:pPr>
    <w:rPr>
      <w:rFonts w:asciiTheme="minorHAnsi" w:eastAsiaTheme="minorEastAsia" w:hAnsiTheme="minorHAnsi" w:cstheme="minorBidi"/>
      <w:b/>
      <w:sz w:val="28"/>
      <w:szCs w:val="22"/>
      <w:lang w:eastAsia="ja-JP"/>
    </w:rPr>
  </w:style>
  <w:style w:type="paragraph" w:styleId="Heading5">
    <w:name w:val="heading 5"/>
    <w:next w:val="Normal"/>
    <w:link w:val="Heading5Char"/>
    <w:uiPriority w:val="9"/>
    <w:unhideWhenUsed/>
    <w:rsid w:val="006D6E8A"/>
    <w:pPr>
      <w:keepNext/>
      <w:keepLines/>
      <w:spacing w:before="200"/>
      <w:outlineLvl w:val="4"/>
    </w:pPr>
    <w:rPr>
      <w:rFonts w:eastAsiaTheme="majorEastAsia" w:cstheme="majorBidi"/>
      <w:b/>
      <w:i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rsid w:val="00EB5521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EB552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sid w:val="00EB5521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EB5521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6D6E8A"/>
    <w:rPr>
      <w:rFonts w:asciiTheme="minorHAnsi" w:eastAsiaTheme="minorEastAsia" w:hAnsiTheme="minorHAnsi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6D6E8A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rsid w:val="00EB5521"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EB5521"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EB5521"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rsid w:val="00EB5521"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rsid w:val="00EB5521"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rsid w:val="00EB5521"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rsid w:val="00EB5521"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rsid w:val="00EB5521"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rsid w:val="00EB5521"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rsid w:val="00EB5521"/>
    <w:pPr>
      <w:tabs>
        <w:tab w:val="center" w:pos="4820"/>
      </w:tabs>
      <w:jc w:val="center"/>
    </w:pPr>
    <w:rPr>
      <w:rFonts w:ascii="Calibri" w:eastAsia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sid w:val="00EB5521"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sid w:val="00EB5521"/>
    <w:rPr>
      <w:b/>
      <w:bCs/>
    </w:rPr>
  </w:style>
  <w:style w:type="character" w:styleId="Emphasis">
    <w:name w:val="Emphasis"/>
    <w:basedOn w:val="DefaultParagraphFont"/>
    <w:uiPriority w:val="99"/>
    <w:qFormat/>
    <w:rsid w:val="00EB5521"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rsid w:val="00EB5521"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sid w:val="00EB5521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rsid w:val="00EB5521"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rsid w:val="00EB5521"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rsid w:val="00EB5521"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EB5521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rsid w:val="00EB5521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EB5521"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rsid w:val="00EB5521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rsid w:val="00EB5521"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rsid w:val="00EB5521"/>
    <w:pPr>
      <w:keepNext/>
    </w:pPr>
    <w:rPr>
      <w:b/>
    </w:rPr>
  </w:style>
  <w:style w:type="numbering" w:customStyle="1" w:styleId="Headings">
    <w:name w:val="Headings"/>
    <w:uiPriority w:val="99"/>
    <w:rsid w:val="00EB5521"/>
    <w:pPr>
      <w:numPr>
        <w:numId w:val="9"/>
      </w:numPr>
    </w:pPr>
  </w:style>
  <w:style w:type="paragraph" w:customStyle="1" w:styleId="BoxTextBullet">
    <w:name w:val="Box Text Bullet"/>
    <w:basedOn w:val="BoxText"/>
    <w:uiPriority w:val="21"/>
    <w:qFormat/>
    <w:rsid w:val="00EB5521"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rsid w:val="00EB5521"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sid w:val="00EB5521"/>
    <w:rPr>
      <w:b/>
    </w:rPr>
  </w:style>
  <w:style w:type="paragraph" w:customStyle="1" w:styleId="Securityclassification">
    <w:name w:val="Security classification"/>
    <w:basedOn w:val="Normal"/>
    <w:uiPriority w:val="26"/>
    <w:qFormat/>
    <w:rsid w:val="00EB5521"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rsid w:val="00EB5521"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rsid w:val="00EB5521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rsid w:val="00EB5521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rsid w:val="00EB5521"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5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521"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EB5521"/>
  </w:style>
  <w:style w:type="numbering" w:customStyle="1" w:styleId="Appendix">
    <w:name w:val="Appendix"/>
    <w:uiPriority w:val="99"/>
    <w:rsid w:val="00EB5521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EB5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5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521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521"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B5521"/>
    <w:rPr>
      <w:color w:val="800080" w:themeColor="followedHyperlink"/>
      <w:u w:val="single"/>
    </w:rPr>
  </w:style>
  <w:style w:type="numbering" w:customStyle="1" w:styleId="ListBullets">
    <w:name w:val="ListBullets"/>
    <w:uiPriority w:val="99"/>
    <w:rsid w:val="00EB5521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rsid w:val="00EB5521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rsid w:val="00EB5521"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rsid w:val="00EB5521"/>
    <w:pPr>
      <w:numPr>
        <w:numId w:val="7"/>
      </w:numPr>
    </w:pPr>
  </w:style>
  <w:style w:type="paragraph" w:customStyle="1" w:styleId="Picture">
    <w:name w:val="Picture"/>
    <w:qFormat/>
    <w:rsid w:val="00EB5521"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rsid w:val="00EB5521"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sid w:val="00EB5521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rsid w:val="00EB5521"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EB5521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rsid w:val="00EB5521"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rsid w:val="00EB5521"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rsid w:val="00EB5521"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styleId="Revision">
    <w:name w:val="Revision"/>
    <w:hidden/>
    <w:uiPriority w:val="99"/>
    <w:semiHidden/>
    <w:rsid w:val="00EB5521"/>
    <w:rPr>
      <w:rFonts w:eastAsia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5a5c30-4c2f-474f-aa2f-443e46b3d189" xsi:nil="true"/>
    <lcf76f155ced4ddcb4097134ff3c332f xmlns="ac7ce04e-ea5d-4d46-bab0-39b1fa6a6f36">
      <Terms xmlns="http://schemas.microsoft.com/office/infopath/2007/PartnerControls"/>
    </lcf76f155ced4ddcb4097134ff3c332f>
    <Embargoed xmlns="ac7ce04e-ea5d-4d46-bab0-39b1fa6a6f36">false</Embargoe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9F7EC-8434-4C6F-9962-916DA47A4B6E}"/>
</file>

<file path=customXml/itemProps2.xml><?xml version="1.0" encoding="utf-8"?>
<ds:datastoreItem xmlns:ds="http://schemas.openxmlformats.org/officeDocument/2006/customXml" ds:itemID="{B2A0B0A1-B588-43A6-95C6-EDA54CEB7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DC2663-4D88-40E8-A678-F76FE90CDC62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sharepoint/v3"/>
    <ds:schemaRef ds:uri="7cf0e0db-f490-4122-abae-21917392c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6E65ABE-16D0-4809-8D37-386F325C8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Word-document-template.dotx</Template>
  <TotalTime>1</TotalTime>
  <Pages>1</Pages>
  <Words>272</Words>
  <Characters>1553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Infographic - Biosecurity Import Risk Analysis (BIRA)</vt:lpstr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Infographic - Biosecurity Import Risk Analysis (BIRA)</dc:title>
  <dc:creator>Department of Agriculture, Water and the Environment</dc:creator>
  <cp:lastModifiedBy>Smith-Fleury, Steven</cp:lastModifiedBy>
  <cp:revision>2</cp:revision>
  <cp:lastPrinted>2015-08-14T05:36:00Z</cp:lastPrinted>
  <dcterms:created xsi:type="dcterms:W3CDTF">2022-05-25T04:56:00Z</dcterms:created>
  <dcterms:modified xsi:type="dcterms:W3CDTF">2022-05-25T04:56:00Z</dcterms:modified>
  <cp:contentStatus>Updated August 2016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Display as">
    <vt:lpwstr>;#Template;#</vt:lpwstr>
  </property>
</Properties>
</file>