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FA00" w14:textId="15DEF501" w:rsidR="000E455C" w:rsidRDefault="00E438A8" w:rsidP="00A80C94">
      <w:pPr>
        <w:pStyle w:val="Date"/>
        <w:spacing w:before="600"/>
      </w:pPr>
      <w:r>
        <w:t>February</w:t>
      </w:r>
      <w:r w:rsidR="007E415E">
        <w:t xml:space="preserve"> 2025 </w:t>
      </w:r>
    </w:p>
    <w:p w14:paraId="6B605A67" w14:textId="7D404B66" w:rsidR="00792F38" w:rsidRPr="00792F38" w:rsidRDefault="00792F38" w:rsidP="00A80C94">
      <w:pPr>
        <w:pStyle w:val="Heading1"/>
      </w:pPr>
      <w:r w:rsidRPr="00792F38">
        <w:t xml:space="preserve">Information Sheet: </w:t>
      </w:r>
      <w:r w:rsidR="00D42C6B">
        <w:t>I</w:t>
      </w:r>
      <w:r w:rsidRPr="00792F38">
        <w:t>mprovements to the Export Control (Wood and Woodchips) Rules 2021</w:t>
      </w:r>
    </w:p>
    <w:p w14:paraId="6A791DF0" w14:textId="535789D7" w:rsidR="00792F38" w:rsidRPr="00792F38" w:rsidRDefault="00792F38" w:rsidP="00A80C94">
      <w:pPr>
        <w:pStyle w:val="Heading2"/>
      </w:pPr>
      <w:r w:rsidRPr="00792F38">
        <w:t>Introduction</w:t>
      </w:r>
    </w:p>
    <w:p w14:paraId="437E6CE9" w14:textId="35BCB42E" w:rsidR="00792F38" w:rsidRPr="00792F38" w:rsidRDefault="00792F38" w:rsidP="001316F3">
      <w:r w:rsidRPr="00792F38">
        <w:t xml:space="preserve">Australia’s agricultural export legislation comprises the </w:t>
      </w:r>
      <w:r w:rsidRPr="00792F38">
        <w:rPr>
          <w:i/>
          <w:iCs/>
        </w:rPr>
        <w:t>Export Control Act 2020</w:t>
      </w:r>
      <w:r w:rsidRPr="00792F38">
        <w:t xml:space="preserve"> (the Act) and the export control rules made under the Act for various commodities (the Rules). The Rules set out the more specific and operational requirements that must be met to export specific goods from Australia</w:t>
      </w:r>
      <w:r w:rsidR="00F109A7">
        <w:t>.</w:t>
      </w:r>
    </w:p>
    <w:p w14:paraId="4DE9EF85" w14:textId="30D882A7" w:rsidR="00E20357" w:rsidRDefault="00792F38" w:rsidP="001316F3">
      <w:r w:rsidRPr="00792F38">
        <w:t xml:space="preserve">The </w:t>
      </w:r>
      <w:r w:rsidR="00C02FA8" w:rsidRPr="007E415E">
        <w:t>Export Control (Wood and Woodchips</w:t>
      </w:r>
      <w:r w:rsidR="00B556A6" w:rsidRPr="007E415E">
        <w:t>) Rules 2021</w:t>
      </w:r>
      <w:r w:rsidR="00B556A6">
        <w:rPr>
          <w:i/>
          <w:iCs/>
        </w:rPr>
        <w:t xml:space="preserve"> </w:t>
      </w:r>
      <w:r w:rsidR="00B556A6">
        <w:t xml:space="preserve">(the </w:t>
      </w:r>
      <w:r w:rsidRPr="00792F38">
        <w:t>Wood Rules</w:t>
      </w:r>
      <w:r w:rsidR="00B556A6">
        <w:t>)</w:t>
      </w:r>
      <w:r w:rsidRPr="00792F38">
        <w:t xml:space="preserve"> specify how the export of wood and woodchips </w:t>
      </w:r>
      <w:r w:rsidR="00E37823">
        <w:t>is</w:t>
      </w:r>
      <w:r w:rsidRPr="00792F38">
        <w:t xml:space="preserve"> regulated. </w:t>
      </w:r>
    </w:p>
    <w:p w14:paraId="0A4B7060" w14:textId="6C99B4D3" w:rsidR="00792F38" w:rsidRPr="00792F38" w:rsidRDefault="00E20357" w:rsidP="001316F3">
      <w:r>
        <w:t xml:space="preserve">On </w:t>
      </w:r>
      <w:r w:rsidR="00711315">
        <w:t>1</w:t>
      </w:r>
      <w:r w:rsidR="00FE424C">
        <w:t>3</w:t>
      </w:r>
      <w:r w:rsidR="00711315">
        <w:t xml:space="preserve"> February 2025,</w:t>
      </w:r>
      <w:r>
        <w:t xml:space="preserve"> </w:t>
      </w:r>
      <w:r w:rsidR="00396B1B">
        <w:t xml:space="preserve">amendments to </w:t>
      </w:r>
      <w:r>
        <w:t xml:space="preserve">the Wood Rules </w:t>
      </w:r>
      <w:r w:rsidR="00396B1B">
        <w:t>came into effect</w:t>
      </w:r>
      <w:r>
        <w:t xml:space="preserve"> to ensure they remain fit-for-purpose. </w:t>
      </w:r>
      <w:r w:rsidR="00792F38" w:rsidRPr="00792F38">
        <w:t xml:space="preserve">The amendments to the </w:t>
      </w:r>
      <w:hyperlink r:id="rId11" w:history="1">
        <w:r w:rsidR="00792F38" w:rsidRPr="00711315">
          <w:rPr>
            <w:rStyle w:val="Hyperlink"/>
          </w:rPr>
          <w:t>Wood Rules</w:t>
        </w:r>
      </w:hyperlink>
      <w:r w:rsidR="00792F38" w:rsidRPr="00792F38">
        <w:t xml:space="preserve"> are </w:t>
      </w:r>
      <w:r w:rsidR="00E51087">
        <w:t>summarised</w:t>
      </w:r>
      <w:r w:rsidR="00E51087" w:rsidRPr="00792F38">
        <w:t xml:space="preserve"> </w:t>
      </w:r>
      <w:r w:rsidR="00792F38" w:rsidRPr="00792F38">
        <w:t xml:space="preserve">below and must be read in conjunction with the </w:t>
      </w:r>
      <w:hyperlink r:id="rId12" w:history="1">
        <w:r w:rsidR="00792F38" w:rsidRPr="00FE424C">
          <w:rPr>
            <w:rStyle w:val="Hyperlink"/>
          </w:rPr>
          <w:t>Act</w:t>
        </w:r>
      </w:hyperlink>
      <w:r w:rsidR="00E51087" w:rsidRPr="00FE424C">
        <w:t xml:space="preserve"> and the </w:t>
      </w:r>
      <w:hyperlink r:id="rId13" w:history="1">
        <w:r w:rsidR="00E51087" w:rsidRPr="00FE424C">
          <w:rPr>
            <w:rStyle w:val="Hyperlink"/>
          </w:rPr>
          <w:t>Rules</w:t>
        </w:r>
      </w:hyperlink>
      <w:r w:rsidR="00792F38" w:rsidRPr="00792F38">
        <w:t>.</w:t>
      </w:r>
    </w:p>
    <w:p w14:paraId="152A6061" w14:textId="2E2D3C4F" w:rsidR="00792F38" w:rsidRDefault="00792F38" w:rsidP="00A80C94">
      <w:pPr>
        <w:pStyle w:val="Heading2"/>
      </w:pPr>
      <w:r w:rsidRPr="00792F38">
        <w:t>Fit and Proper Person Test</w:t>
      </w:r>
    </w:p>
    <w:p w14:paraId="60EEAF09" w14:textId="57FA7AEC" w:rsidR="00EE3FE6" w:rsidRPr="00744590" w:rsidRDefault="00EE3FE6" w:rsidP="00372F42">
      <w:pPr>
        <w:pStyle w:val="Heading3"/>
      </w:pPr>
      <w:r>
        <w:rPr>
          <w:lang w:eastAsia="ja-JP"/>
        </w:rPr>
        <w:t>Background</w:t>
      </w:r>
    </w:p>
    <w:p w14:paraId="33A97DC5" w14:textId="25363E8C" w:rsidR="00D61466" w:rsidRDefault="00792F38" w:rsidP="001316F3">
      <w:pPr>
        <w:rPr>
          <w:lang w:eastAsia="ja-JP"/>
        </w:rPr>
      </w:pPr>
      <w:r w:rsidRPr="00792F38">
        <w:rPr>
          <w:lang w:eastAsia="ja-JP"/>
        </w:rPr>
        <w:t xml:space="preserve">Under the Wood Rules, </w:t>
      </w:r>
      <w:r w:rsidR="006608EF">
        <w:rPr>
          <w:lang w:eastAsia="ja-JP"/>
        </w:rPr>
        <w:t>to export</w:t>
      </w:r>
      <w:r w:rsidRPr="00792F38">
        <w:rPr>
          <w:lang w:eastAsia="ja-JP"/>
        </w:rPr>
        <w:t xml:space="preserve"> prescribed wood and woodchips </w:t>
      </w:r>
      <w:r w:rsidR="00777E79">
        <w:rPr>
          <w:lang w:eastAsia="ja-JP"/>
        </w:rPr>
        <w:t xml:space="preserve">an </w:t>
      </w:r>
      <w:r w:rsidRPr="00792F38">
        <w:rPr>
          <w:lang w:eastAsia="ja-JP"/>
        </w:rPr>
        <w:t xml:space="preserve">exporter </w:t>
      </w:r>
      <w:r w:rsidR="00777E79">
        <w:rPr>
          <w:lang w:eastAsia="ja-JP"/>
        </w:rPr>
        <w:t xml:space="preserve">must </w:t>
      </w:r>
      <w:r w:rsidRPr="00792F38">
        <w:rPr>
          <w:lang w:eastAsia="ja-JP"/>
        </w:rPr>
        <w:t>hold a wood export licence.</w:t>
      </w:r>
      <w:r w:rsidR="00D61466" w:rsidRPr="00D61466">
        <w:rPr>
          <w:lang w:eastAsia="ja-JP"/>
        </w:rPr>
        <w:t xml:space="preserve"> </w:t>
      </w:r>
      <w:r w:rsidR="0021089C" w:rsidRPr="00031DA2">
        <w:rPr>
          <w:lang w:eastAsia="ja-JP"/>
        </w:rPr>
        <w:t xml:space="preserve">From </w:t>
      </w:r>
      <w:r w:rsidR="007E415E" w:rsidRPr="00031DA2">
        <w:rPr>
          <w:lang w:eastAsia="ja-JP"/>
        </w:rPr>
        <w:t>1 May 2025</w:t>
      </w:r>
      <w:r w:rsidR="0021089C" w:rsidRPr="00031DA2">
        <w:rPr>
          <w:lang w:eastAsia="ja-JP"/>
        </w:rPr>
        <w:t>, the</w:t>
      </w:r>
      <w:r w:rsidR="0021089C">
        <w:rPr>
          <w:lang w:eastAsia="ja-JP"/>
        </w:rPr>
        <w:t xml:space="preserve"> Act and the Wood Rules </w:t>
      </w:r>
      <w:r w:rsidR="0021089C" w:rsidRPr="0021089C">
        <w:rPr>
          <w:lang w:eastAsia="ja-JP"/>
        </w:rPr>
        <w:t xml:space="preserve">require </w:t>
      </w:r>
      <w:r w:rsidR="003E3CB2">
        <w:rPr>
          <w:lang w:eastAsia="ja-JP"/>
        </w:rPr>
        <w:t>a</w:t>
      </w:r>
      <w:r w:rsidR="00F2608F">
        <w:rPr>
          <w:lang w:eastAsia="ja-JP"/>
        </w:rPr>
        <w:t>n applicant for a wood export licence and the</w:t>
      </w:r>
      <w:r w:rsidR="003E3CB2">
        <w:rPr>
          <w:lang w:eastAsia="ja-JP"/>
        </w:rPr>
        <w:t xml:space="preserve"> </w:t>
      </w:r>
      <w:r w:rsidR="0021089C" w:rsidRPr="0021089C">
        <w:rPr>
          <w:lang w:eastAsia="ja-JP"/>
        </w:rPr>
        <w:t xml:space="preserve">holder of a wood export licence to be a fit and proper person (FPP). This is done </w:t>
      </w:r>
      <w:r w:rsidR="003B2DEB">
        <w:rPr>
          <w:lang w:eastAsia="ja-JP"/>
        </w:rPr>
        <w:t xml:space="preserve">by </w:t>
      </w:r>
      <w:r w:rsidR="00DA6A3F">
        <w:rPr>
          <w:lang w:eastAsia="ja-JP"/>
        </w:rPr>
        <w:t>satisfying</w:t>
      </w:r>
      <w:r w:rsidR="003B2DEB" w:rsidRPr="0021089C">
        <w:rPr>
          <w:lang w:eastAsia="ja-JP"/>
        </w:rPr>
        <w:t xml:space="preserve"> </w:t>
      </w:r>
      <w:r w:rsidR="0021089C" w:rsidRPr="0021089C">
        <w:rPr>
          <w:lang w:eastAsia="ja-JP"/>
        </w:rPr>
        <w:t>the FPP test</w:t>
      </w:r>
      <w:r w:rsidR="0086769D">
        <w:rPr>
          <w:lang w:eastAsia="ja-JP"/>
        </w:rPr>
        <w:t xml:space="preserve"> in section </w:t>
      </w:r>
      <w:r w:rsidR="00DE0FD6">
        <w:rPr>
          <w:lang w:eastAsia="ja-JP"/>
        </w:rPr>
        <w:t>372 of the Act</w:t>
      </w:r>
      <w:r w:rsidR="0021089C" w:rsidRPr="0021089C">
        <w:rPr>
          <w:lang w:eastAsia="ja-JP"/>
        </w:rPr>
        <w:t>.</w:t>
      </w:r>
    </w:p>
    <w:p w14:paraId="030546F2" w14:textId="5F130334" w:rsidR="00064366" w:rsidRDefault="00166F5B" w:rsidP="001316F3">
      <w:pPr>
        <w:rPr>
          <w:lang w:eastAsia="ja-JP"/>
        </w:rPr>
      </w:pPr>
      <w:r>
        <w:rPr>
          <w:lang w:eastAsia="ja-JP"/>
        </w:rPr>
        <w:t>T</w:t>
      </w:r>
      <w:r w:rsidR="00D61466" w:rsidRPr="00064366">
        <w:rPr>
          <w:lang w:eastAsia="ja-JP"/>
        </w:rPr>
        <w:t>he FPP test</w:t>
      </w:r>
      <w:r>
        <w:rPr>
          <w:lang w:eastAsia="ja-JP"/>
        </w:rPr>
        <w:t xml:space="preserve"> </w:t>
      </w:r>
      <w:r w:rsidR="00D61466" w:rsidRPr="00064366">
        <w:rPr>
          <w:lang w:eastAsia="ja-JP"/>
        </w:rPr>
        <w:t xml:space="preserve">allows our </w:t>
      </w:r>
      <w:proofErr w:type="gramStart"/>
      <w:r w:rsidR="00D61466" w:rsidRPr="00064366">
        <w:rPr>
          <w:lang w:eastAsia="ja-JP"/>
        </w:rPr>
        <w:t>Secretary</w:t>
      </w:r>
      <w:proofErr w:type="gramEnd"/>
      <w:r w:rsidR="00D61466" w:rsidRPr="00064366">
        <w:rPr>
          <w:lang w:eastAsia="ja-JP"/>
        </w:rPr>
        <w:t xml:space="preserve"> (or delegate) </w:t>
      </w:r>
      <w:r w:rsidR="00F109A7">
        <w:rPr>
          <w:lang w:eastAsia="ja-JP"/>
        </w:rPr>
        <w:t xml:space="preserve">of the Department of Agriculture, Fisheries and Forestry (the department) </w:t>
      </w:r>
      <w:r w:rsidR="00D61466" w:rsidRPr="00064366">
        <w:rPr>
          <w:lang w:eastAsia="ja-JP"/>
        </w:rPr>
        <w:t xml:space="preserve">to decide whether a person or company is of a trustworthy nature and demonstrates the personal integrity to </w:t>
      </w:r>
      <w:r w:rsidR="000A1864">
        <w:rPr>
          <w:lang w:eastAsia="ja-JP"/>
        </w:rPr>
        <w:t>uphold Australia’s trading reputation</w:t>
      </w:r>
      <w:r w:rsidR="00D61466" w:rsidRPr="00064366">
        <w:rPr>
          <w:lang w:eastAsia="ja-JP"/>
        </w:rPr>
        <w:t>.</w:t>
      </w:r>
    </w:p>
    <w:p w14:paraId="73607A79" w14:textId="48D98488" w:rsidR="00EE3FE6" w:rsidRDefault="00EE3FE6" w:rsidP="00EE3FE6">
      <w:pPr>
        <w:pStyle w:val="Heading3"/>
        <w:rPr>
          <w:lang w:eastAsia="ja-JP"/>
        </w:rPr>
      </w:pPr>
      <w:r>
        <w:rPr>
          <w:lang w:eastAsia="ja-JP"/>
        </w:rPr>
        <w:t xml:space="preserve">Requirements </w:t>
      </w:r>
    </w:p>
    <w:p w14:paraId="0B8F23E0" w14:textId="1AB0B625" w:rsidR="00EE3FE6" w:rsidRDefault="00352A9C" w:rsidP="00EE3FE6">
      <w:pPr>
        <w:rPr>
          <w:lang w:eastAsia="ja-JP"/>
        </w:rPr>
      </w:pPr>
      <w:r>
        <w:rPr>
          <w:lang w:eastAsia="ja-JP"/>
        </w:rPr>
        <w:t>Individuals will be required to complete an FPP test</w:t>
      </w:r>
      <w:r w:rsidR="00816DA7">
        <w:rPr>
          <w:lang w:eastAsia="ja-JP"/>
        </w:rPr>
        <w:t xml:space="preserve"> </w:t>
      </w:r>
      <w:proofErr w:type="gramStart"/>
      <w:r w:rsidR="003E3CB2">
        <w:rPr>
          <w:lang w:eastAsia="ja-JP"/>
        </w:rPr>
        <w:t>in order to</w:t>
      </w:r>
      <w:proofErr w:type="gramEnd"/>
      <w:r w:rsidR="003E3CB2">
        <w:rPr>
          <w:lang w:eastAsia="ja-JP"/>
        </w:rPr>
        <w:t xml:space="preserve"> be granted </w:t>
      </w:r>
      <w:r w:rsidR="00EE3FE6">
        <w:rPr>
          <w:lang w:eastAsia="ja-JP"/>
        </w:rPr>
        <w:t xml:space="preserve">a wood export </w:t>
      </w:r>
      <w:r w:rsidR="0038343E">
        <w:rPr>
          <w:lang w:eastAsia="ja-JP"/>
        </w:rPr>
        <w:t xml:space="preserve">licence </w:t>
      </w:r>
      <w:r w:rsidR="002D2D52">
        <w:rPr>
          <w:lang w:eastAsia="ja-JP"/>
        </w:rPr>
        <w:t>for goods prescribed under the Wood Rules</w:t>
      </w:r>
      <w:r w:rsidR="00EE3FE6">
        <w:rPr>
          <w:lang w:eastAsia="ja-JP"/>
        </w:rPr>
        <w:t xml:space="preserve">. </w:t>
      </w:r>
      <w:r w:rsidR="006E40AE">
        <w:rPr>
          <w:lang w:eastAsia="ja-JP"/>
        </w:rPr>
        <w:t xml:space="preserve">It is </w:t>
      </w:r>
      <w:r w:rsidR="006B09E1">
        <w:rPr>
          <w:lang w:eastAsia="ja-JP"/>
        </w:rPr>
        <w:t xml:space="preserve">also an ongoing requirement for holders of a wood export licence to be </w:t>
      </w:r>
      <w:proofErr w:type="gramStart"/>
      <w:r w:rsidR="006B09E1">
        <w:rPr>
          <w:lang w:eastAsia="ja-JP"/>
        </w:rPr>
        <w:t>a</w:t>
      </w:r>
      <w:proofErr w:type="gramEnd"/>
      <w:r w:rsidR="006B09E1">
        <w:rPr>
          <w:lang w:eastAsia="ja-JP"/>
        </w:rPr>
        <w:t xml:space="preserve"> </w:t>
      </w:r>
      <w:r w:rsidR="00483217">
        <w:rPr>
          <w:lang w:eastAsia="ja-JP"/>
        </w:rPr>
        <w:t>FPP</w:t>
      </w:r>
      <w:r w:rsidR="006B09E1">
        <w:rPr>
          <w:lang w:eastAsia="ja-JP"/>
        </w:rPr>
        <w:t>.</w:t>
      </w:r>
      <w:r w:rsidR="00EE3FE6">
        <w:rPr>
          <w:lang w:eastAsia="ja-JP"/>
        </w:rPr>
        <w:t xml:space="preserve"> </w:t>
      </w:r>
    </w:p>
    <w:p w14:paraId="29D8E630" w14:textId="5ECD88F6" w:rsidR="00EE3FE6" w:rsidRDefault="003845FD" w:rsidP="00EE3FE6">
      <w:pPr>
        <w:rPr>
          <w:lang w:eastAsia="ja-JP"/>
        </w:rPr>
      </w:pPr>
      <w:r>
        <w:rPr>
          <w:lang w:eastAsia="ja-JP"/>
        </w:rPr>
        <w:t xml:space="preserve">In relation to applicants for a wood export licence, </w:t>
      </w:r>
      <w:r w:rsidR="00D3379F">
        <w:rPr>
          <w:lang w:eastAsia="ja-JP"/>
        </w:rPr>
        <w:t>a</w:t>
      </w:r>
      <w:r w:rsidR="00EE3FE6">
        <w:rPr>
          <w:lang w:eastAsia="ja-JP"/>
        </w:rPr>
        <w:t xml:space="preserve"> FPP Questionnaire </w:t>
      </w:r>
      <w:r w:rsidR="00D3379F">
        <w:rPr>
          <w:lang w:eastAsia="ja-JP"/>
        </w:rPr>
        <w:t xml:space="preserve">should be completed </w:t>
      </w:r>
      <w:r w:rsidR="00EE3FE6">
        <w:rPr>
          <w:lang w:eastAsia="ja-JP"/>
        </w:rPr>
        <w:t xml:space="preserve">which we will assess as part of </w:t>
      </w:r>
      <w:r w:rsidR="003E3CB2">
        <w:rPr>
          <w:lang w:eastAsia="ja-JP"/>
        </w:rPr>
        <w:t xml:space="preserve">the </w:t>
      </w:r>
      <w:r w:rsidR="00EE3FE6">
        <w:rPr>
          <w:lang w:eastAsia="ja-JP"/>
        </w:rPr>
        <w:t>application</w:t>
      </w:r>
      <w:r w:rsidR="003E3CB2">
        <w:rPr>
          <w:lang w:eastAsia="ja-JP"/>
        </w:rPr>
        <w:t xml:space="preserve"> process</w:t>
      </w:r>
      <w:r w:rsidR="00EE3FE6">
        <w:rPr>
          <w:lang w:eastAsia="ja-JP"/>
        </w:rPr>
        <w:t xml:space="preserve">. </w:t>
      </w:r>
      <w:r w:rsidR="00207E48">
        <w:t xml:space="preserve">We strongly recommend that this be submitted at least 60 days prior to lodging an application for a wood export licence, </w:t>
      </w:r>
      <w:r w:rsidR="00DD75F6">
        <w:t>to allow sufficient time for</w:t>
      </w:r>
      <w:r w:rsidR="00207E48">
        <w:t xml:space="preserve"> the information provided in the questionnaire </w:t>
      </w:r>
      <w:r w:rsidR="00DD75F6">
        <w:t xml:space="preserve">to </w:t>
      </w:r>
      <w:r w:rsidR="00207E48">
        <w:t>be assessed</w:t>
      </w:r>
      <w:r w:rsidR="00EE3FE6">
        <w:rPr>
          <w:lang w:eastAsia="ja-JP"/>
        </w:rPr>
        <w:t>.</w:t>
      </w:r>
      <w:r w:rsidR="00472BBF">
        <w:rPr>
          <w:lang w:eastAsia="ja-JP"/>
        </w:rPr>
        <w:t xml:space="preserve"> </w:t>
      </w:r>
      <w:r w:rsidR="0057724A">
        <w:rPr>
          <w:lang w:eastAsia="ja-JP"/>
        </w:rPr>
        <w:t>The questionnaire will need to be completed annually</w:t>
      </w:r>
      <w:r w:rsidR="00D51657">
        <w:rPr>
          <w:lang w:eastAsia="ja-JP"/>
        </w:rPr>
        <w:t>.</w:t>
      </w:r>
    </w:p>
    <w:p w14:paraId="7D0AE156" w14:textId="030D88E3" w:rsidR="00AA0F19" w:rsidRDefault="00AA0F19" w:rsidP="00AA0F19">
      <w:pPr>
        <w:rPr>
          <w:lang w:eastAsia="ja-JP"/>
        </w:rPr>
      </w:pPr>
      <w:r>
        <w:rPr>
          <w:lang w:eastAsia="ja-JP"/>
        </w:rPr>
        <w:t xml:space="preserve">It is essential that when you are </w:t>
      </w:r>
      <w:r w:rsidR="00207E48">
        <w:rPr>
          <w:lang w:eastAsia="ja-JP"/>
        </w:rPr>
        <w:t xml:space="preserve">submitting your questionnaire </w:t>
      </w:r>
      <w:r>
        <w:rPr>
          <w:lang w:eastAsia="ja-JP"/>
        </w:rPr>
        <w:t xml:space="preserve">you ensure that all the information you supply is </w:t>
      </w:r>
      <w:r w:rsidR="00623BA4">
        <w:rPr>
          <w:lang w:eastAsia="ja-JP"/>
        </w:rPr>
        <w:t xml:space="preserve">up-to-date, </w:t>
      </w:r>
      <w:r>
        <w:rPr>
          <w:lang w:eastAsia="ja-JP"/>
        </w:rPr>
        <w:t>correct and complete. You must also notify us of key business or personnel changes.</w:t>
      </w:r>
    </w:p>
    <w:p w14:paraId="25739D00" w14:textId="391446B6" w:rsidR="00AA0F19" w:rsidRDefault="00AA0F19" w:rsidP="00AA0F19">
      <w:pPr>
        <w:rPr>
          <w:lang w:eastAsia="ja-JP"/>
        </w:rPr>
      </w:pPr>
      <w:r>
        <w:rPr>
          <w:lang w:eastAsia="ja-JP"/>
        </w:rPr>
        <w:t>It is an offence to make a false statement</w:t>
      </w:r>
      <w:r w:rsidR="002D2D52">
        <w:rPr>
          <w:lang w:eastAsia="ja-JP"/>
        </w:rPr>
        <w:t>,</w:t>
      </w:r>
      <w:r>
        <w:rPr>
          <w:lang w:eastAsia="ja-JP"/>
        </w:rPr>
        <w:t xml:space="preserve"> and this can impact your eligibility as </w:t>
      </w:r>
      <w:proofErr w:type="gramStart"/>
      <w:r>
        <w:rPr>
          <w:lang w:eastAsia="ja-JP"/>
        </w:rPr>
        <w:t>a</w:t>
      </w:r>
      <w:proofErr w:type="gramEnd"/>
      <w:r>
        <w:rPr>
          <w:lang w:eastAsia="ja-JP"/>
        </w:rPr>
        <w:t xml:space="preserve"> </w:t>
      </w:r>
      <w:r w:rsidR="00FA19F8">
        <w:rPr>
          <w:lang w:eastAsia="ja-JP"/>
        </w:rPr>
        <w:t>FPP</w:t>
      </w:r>
      <w:r>
        <w:rPr>
          <w:lang w:eastAsia="ja-JP"/>
        </w:rPr>
        <w:t>.</w:t>
      </w:r>
    </w:p>
    <w:p w14:paraId="7285D284" w14:textId="598C2AFE" w:rsidR="00F919A1" w:rsidRDefault="00F919A1" w:rsidP="00AA0F19">
      <w:pPr>
        <w:rPr>
          <w:lang w:eastAsia="ja-JP"/>
        </w:rPr>
      </w:pPr>
      <w:r>
        <w:rPr>
          <w:lang w:eastAsia="ja-JP"/>
        </w:rPr>
        <w:t xml:space="preserve">An FPP Questionnaire (Modification to persons in control) must be lodged if any details have changed. </w:t>
      </w:r>
      <w:r w:rsidR="002D2D52">
        <w:rPr>
          <w:lang w:eastAsia="ja-JP"/>
        </w:rPr>
        <w:t>This includes addition of new staff or removal of anyone no longer employed by the company.</w:t>
      </w:r>
    </w:p>
    <w:p w14:paraId="02115D64" w14:textId="3B840604" w:rsidR="00AA0F19" w:rsidRDefault="00AA0F19" w:rsidP="00AA0F19">
      <w:pPr>
        <w:rPr>
          <w:lang w:eastAsia="ja-JP"/>
        </w:rPr>
      </w:pPr>
      <w:r>
        <w:rPr>
          <w:lang w:eastAsia="ja-JP"/>
        </w:rPr>
        <w:t xml:space="preserve">The Secretary (or delegate) </w:t>
      </w:r>
      <w:r w:rsidR="00F109A7">
        <w:rPr>
          <w:lang w:eastAsia="ja-JP"/>
        </w:rPr>
        <w:t xml:space="preserve">of the department </w:t>
      </w:r>
      <w:r>
        <w:rPr>
          <w:lang w:eastAsia="ja-JP"/>
        </w:rPr>
        <w:t>may refuse</w:t>
      </w:r>
      <w:r w:rsidR="00207E48">
        <w:rPr>
          <w:lang w:eastAsia="ja-JP"/>
        </w:rPr>
        <w:t xml:space="preserve"> to grant</w:t>
      </w:r>
      <w:r>
        <w:rPr>
          <w:lang w:eastAsia="ja-JP"/>
        </w:rPr>
        <w:t xml:space="preserve"> a </w:t>
      </w:r>
      <w:r w:rsidR="00372F42">
        <w:rPr>
          <w:lang w:eastAsia="ja-JP"/>
        </w:rPr>
        <w:t>wood export licence</w:t>
      </w:r>
      <w:r w:rsidR="00615166">
        <w:rPr>
          <w:lang w:eastAsia="ja-JP"/>
        </w:rPr>
        <w:t xml:space="preserve"> or revoke a wood export licence</w:t>
      </w:r>
      <w:r w:rsidR="00372F42">
        <w:rPr>
          <w:lang w:eastAsia="ja-JP"/>
        </w:rPr>
        <w:t xml:space="preserve"> </w:t>
      </w:r>
      <w:r w:rsidR="000B0085">
        <w:rPr>
          <w:lang w:eastAsia="ja-JP"/>
        </w:rPr>
        <w:t>if it is found the person does not meet the FPP Test</w:t>
      </w:r>
      <w:r>
        <w:rPr>
          <w:lang w:eastAsia="ja-JP"/>
        </w:rPr>
        <w:t>.</w:t>
      </w:r>
    </w:p>
    <w:p w14:paraId="6BECCE2B" w14:textId="1DED899B" w:rsidR="00AA0F19" w:rsidRDefault="00AA0F19" w:rsidP="00AA0F19">
      <w:pPr>
        <w:rPr>
          <w:lang w:eastAsia="ja-JP"/>
        </w:rPr>
      </w:pPr>
      <w:r>
        <w:rPr>
          <w:lang w:eastAsia="ja-JP"/>
        </w:rPr>
        <w:lastRenderedPageBreak/>
        <w:t xml:space="preserve">Further information </w:t>
      </w:r>
      <w:r w:rsidR="00D42C6B">
        <w:rPr>
          <w:lang w:eastAsia="ja-JP"/>
        </w:rPr>
        <w:t>on</w:t>
      </w:r>
      <w:r>
        <w:rPr>
          <w:lang w:eastAsia="ja-JP"/>
        </w:rPr>
        <w:t xml:space="preserve"> the FPP test can be found on the </w:t>
      </w:r>
      <w:hyperlink r:id="rId14" w:anchor=":~:text=The%20Fit%20and%20Proper%20Person%20(FPP)%20Test%20is%20where%20the,export%20agricultural%20goods%20from%20Australia." w:history="1">
        <w:r w:rsidRPr="00904F16">
          <w:rPr>
            <w:rStyle w:val="Hyperlink"/>
            <w:lang w:eastAsia="ja-JP"/>
          </w:rPr>
          <w:t>Understanding the Fit and Proper Person Test webpage</w:t>
        </w:r>
      </w:hyperlink>
      <w:r w:rsidR="00375F56">
        <w:rPr>
          <w:lang w:eastAsia="ja-JP"/>
        </w:rPr>
        <w:t>.</w:t>
      </w:r>
    </w:p>
    <w:p w14:paraId="302842ED" w14:textId="77777777" w:rsidR="002F2383" w:rsidRPr="00792F38" w:rsidRDefault="002F2383" w:rsidP="002F2383">
      <w:pPr>
        <w:pStyle w:val="Heading2"/>
      </w:pPr>
      <w:r w:rsidRPr="00792F38">
        <w:t>Regulation of wood and woodchips from overseas and in transit</w:t>
      </w:r>
    </w:p>
    <w:p w14:paraId="39B059CB" w14:textId="6BC0ACEC" w:rsidR="002F2383" w:rsidRPr="00792F38" w:rsidRDefault="003A3C11" w:rsidP="002F2383">
      <w:pPr>
        <w:rPr>
          <w:lang w:eastAsia="ja-JP"/>
        </w:rPr>
      </w:pPr>
      <w:r>
        <w:t>T</w:t>
      </w:r>
      <w:r w:rsidRPr="00792F38">
        <w:t xml:space="preserve">he purpose of the Wood Rules is to regulate </w:t>
      </w:r>
      <w:r w:rsidR="00B211A6">
        <w:t xml:space="preserve">the export of </w:t>
      </w:r>
      <w:r w:rsidRPr="00792F38">
        <w:t>prescribed wood and woodchips</w:t>
      </w:r>
      <w:r>
        <w:t xml:space="preserve"> sourced</w:t>
      </w:r>
      <w:r w:rsidRPr="00792F38">
        <w:t xml:space="preserve"> from Australian territory</w:t>
      </w:r>
      <w:r>
        <w:t>,</w:t>
      </w:r>
      <w:r w:rsidRPr="00792F38">
        <w:t xml:space="preserve"> not </w:t>
      </w:r>
      <w:r>
        <w:t>those</w:t>
      </w:r>
      <w:r w:rsidRPr="00792F38">
        <w:t xml:space="preserve"> </w:t>
      </w:r>
      <w:r>
        <w:t xml:space="preserve">sourced from </w:t>
      </w:r>
      <w:r w:rsidRPr="00792F38">
        <w:t>outside Australian territor</w:t>
      </w:r>
      <w:r>
        <w:t xml:space="preserve">y. </w:t>
      </w:r>
      <w:r w:rsidR="00382AC0">
        <w:t xml:space="preserve">Amendments were made to exclude </w:t>
      </w:r>
      <w:r w:rsidR="002F2383" w:rsidRPr="00792F38">
        <w:rPr>
          <w:lang w:eastAsia="ja-JP"/>
        </w:rPr>
        <w:t xml:space="preserve">wood and woodchips derived from trees harvested </w:t>
      </w:r>
      <w:r w:rsidR="002D2D52">
        <w:rPr>
          <w:lang w:eastAsia="ja-JP"/>
        </w:rPr>
        <w:t>outside of</w:t>
      </w:r>
      <w:r w:rsidR="002F2383" w:rsidRPr="00792F38">
        <w:rPr>
          <w:lang w:eastAsia="ja-JP"/>
        </w:rPr>
        <w:t xml:space="preserve"> Australia from being prescribed goods</w:t>
      </w:r>
      <w:r w:rsidR="00382AC0">
        <w:rPr>
          <w:lang w:eastAsia="ja-JP"/>
        </w:rPr>
        <w:t>, including wood and woodchips from other countries transiting through Australia</w:t>
      </w:r>
      <w:r w:rsidR="002F2383" w:rsidRPr="00792F38">
        <w:rPr>
          <w:lang w:eastAsia="ja-JP"/>
        </w:rPr>
        <w:t xml:space="preserve">. </w:t>
      </w:r>
    </w:p>
    <w:p w14:paraId="3D718DFF" w14:textId="77777777" w:rsidR="002F2383" w:rsidRPr="00792F38" w:rsidRDefault="002F2383" w:rsidP="002F2383">
      <w:pPr>
        <w:pStyle w:val="Heading2"/>
      </w:pPr>
      <w:r w:rsidRPr="00792F38">
        <w:t>Plantation Codes</w:t>
      </w:r>
    </w:p>
    <w:p w14:paraId="58DC2D04" w14:textId="400C3431" w:rsidR="002F2383" w:rsidRPr="00792F38" w:rsidRDefault="00246D5F" w:rsidP="00D71754">
      <w:pPr>
        <w:rPr>
          <w:lang w:eastAsia="ja-JP"/>
        </w:rPr>
      </w:pPr>
      <w:r>
        <w:rPr>
          <w:lang w:eastAsia="ja-JP"/>
        </w:rPr>
        <w:t>The amendment to</w:t>
      </w:r>
      <w:r w:rsidR="002F2383" w:rsidRPr="00792F38">
        <w:rPr>
          <w:lang w:eastAsia="ja-JP"/>
        </w:rPr>
        <w:t xml:space="preserve"> the Wood Rules</w:t>
      </w:r>
      <w:r w:rsidR="00D71754">
        <w:rPr>
          <w:lang w:eastAsia="ja-JP"/>
        </w:rPr>
        <w:t xml:space="preserve"> </w:t>
      </w:r>
      <w:r w:rsidR="00F109A7">
        <w:rPr>
          <w:lang w:eastAsia="ja-JP"/>
        </w:rPr>
        <w:t xml:space="preserve">also </w:t>
      </w:r>
      <w:r w:rsidR="00D71754">
        <w:rPr>
          <w:lang w:eastAsia="ja-JP"/>
        </w:rPr>
        <w:t>has the effect that the department no longer needs to publish</w:t>
      </w:r>
      <w:r w:rsidR="002F2383" w:rsidRPr="00792F38">
        <w:rPr>
          <w:lang w:eastAsia="ja-JP"/>
        </w:rPr>
        <w:t xml:space="preserve"> an up-to-date copy of a state’s approved ‘Code of Practice’ on </w:t>
      </w:r>
      <w:r w:rsidR="003621C7">
        <w:rPr>
          <w:lang w:eastAsia="ja-JP"/>
        </w:rPr>
        <w:t>our</w:t>
      </w:r>
      <w:r w:rsidR="002F2383" w:rsidRPr="00792F38">
        <w:rPr>
          <w:lang w:eastAsia="ja-JP"/>
        </w:rPr>
        <w:t xml:space="preserve"> website</w:t>
      </w:r>
      <w:r w:rsidR="00D71754">
        <w:rPr>
          <w:lang w:eastAsia="ja-JP"/>
        </w:rPr>
        <w:t xml:space="preserve">, </w:t>
      </w:r>
      <w:r w:rsidR="003F5FCA">
        <w:rPr>
          <w:lang w:eastAsia="ja-JP"/>
        </w:rPr>
        <w:t>because t</w:t>
      </w:r>
      <w:r w:rsidR="00D71754">
        <w:rPr>
          <w:lang w:eastAsia="ja-JP"/>
        </w:rPr>
        <w:t>he relevant state agenc</w:t>
      </w:r>
      <w:r w:rsidR="003F5FCA">
        <w:rPr>
          <w:lang w:eastAsia="ja-JP"/>
        </w:rPr>
        <w:t>ies</w:t>
      </w:r>
      <w:r w:rsidR="00D71754">
        <w:rPr>
          <w:lang w:eastAsia="ja-JP"/>
        </w:rPr>
        <w:t xml:space="preserve"> </w:t>
      </w:r>
      <w:r w:rsidR="003F5FCA">
        <w:rPr>
          <w:lang w:eastAsia="ja-JP"/>
        </w:rPr>
        <w:t>publish these</w:t>
      </w:r>
      <w:r w:rsidR="002F2383" w:rsidRPr="00792F38">
        <w:rPr>
          <w:lang w:eastAsia="ja-JP"/>
        </w:rPr>
        <w:t xml:space="preserve">. </w:t>
      </w:r>
    </w:p>
    <w:p w14:paraId="0C748DD7" w14:textId="0849118D" w:rsidR="00AA0F19" w:rsidRPr="00EE3FE6" w:rsidRDefault="00D71754" w:rsidP="00AA0F19">
      <w:pPr>
        <w:rPr>
          <w:lang w:eastAsia="ja-JP"/>
        </w:rPr>
      </w:pPr>
      <w:r>
        <w:rPr>
          <w:lang w:eastAsia="ja-JP"/>
        </w:rPr>
        <w:t>Instead, we are required to</w:t>
      </w:r>
      <w:r w:rsidR="002F2383" w:rsidRPr="00792F38">
        <w:rPr>
          <w:lang w:eastAsia="ja-JP"/>
        </w:rPr>
        <w:t xml:space="preserve"> publish </w:t>
      </w:r>
      <w:r>
        <w:rPr>
          <w:lang w:eastAsia="ja-JP"/>
        </w:rPr>
        <w:t>the findings of the most recent</w:t>
      </w:r>
      <w:r w:rsidR="002F2383" w:rsidRPr="00792F38">
        <w:rPr>
          <w:lang w:eastAsia="ja-JP"/>
        </w:rPr>
        <w:t xml:space="preserve"> </w:t>
      </w:r>
      <w:r w:rsidR="002E3E58">
        <w:rPr>
          <w:lang w:eastAsia="ja-JP"/>
        </w:rPr>
        <w:t xml:space="preserve">scientific </w:t>
      </w:r>
      <w:r w:rsidR="002F2383" w:rsidRPr="00792F38">
        <w:rPr>
          <w:lang w:eastAsia="ja-JP"/>
        </w:rPr>
        <w:t xml:space="preserve">assessment </w:t>
      </w:r>
      <w:r w:rsidR="00F109A7">
        <w:rPr>
          <w:lang w:eastAsia="ja-JP"/>
        </w:rPr>
        <w:t xml:space="preserve">report </w:t>
      </w:r>
      <w:r w:rsidR="00063BC5">
        <w:rPr>
          <w:lang w:eastAsia="ja-JP"/>
        </w:rPr>
        <w:t>of</w:t>
      </w:r>
      <w:r w:rsidR="002F2383" w:rsidRPr="00792F38">
        <w:rPr>
          <w:lang w:eastAsia="ja-JP"/>
        </w:rPr>
        <w:t xml:space="preserve"> </w:t>
      </w:r>
      <w:r>
        <w:rPr>
          <w:lang w:eastAsia="ja-JP"/>
        </w:rPr>
        <w:t>an approved</w:t>
      </w:r>
      <w:r w:rsidR="002F2383" w:rsidRPr="00792F38">
        <w:rPr>
          <w:lang w:eastAsia="ja-JP"/>
        </w:rPr>
        <w:t xml:space="preserve"> Code of Practice. </w:t>
      </w:r>
      <w:r w:rsidR="003F5FCA">
        <w:rPr>
          <w:lang w:eastAsia="ja-JP"/>
        </w:rPr>
        <w:t>These</w:t>
      </w:r>
      <w:r w:rsidR="002F2383" w:rsidRPr="00792F38">
        <w:rPr>
          <w:lang w:eastAsia="ja-JP"/>
        </w:rPr>
        <w:t xml:space="preserve"> assessment report</w:t>
      </w:r>
      <w:r w:rsidR="003F5FCA">
        <w:rPr>
          <w:lang w:eastAsia="ja-JP"/>
        </w:rPr>
        <w:t>s</w:t>
      </w:r>
      <w:r w:rsidR="002F2383" w:rsidRPr="00792F38">
        <w:rPr>
          <w:lang w:eastAsia="ja-JP"/>
        </w:rPr>
        <w:t xml:space="preserve"> set out the effectiveness of a Code of Practice in managing forestry operations in </w:t>
      </w:r>
      <w:r w:rsidR="003F5FCA">
        <w:rPr>
          <w:lang w:eastAsia="ja-JP"/>
        </w:rPr>
        <w:t>the relevant state</w:t>
      </w:r>
      <w:r w:rsidR="002F2383" w:rsidRPr="00792F38">
        <w:rPr>
          <w:lang w:eastAsia="ja-JP"/>
        </w:rPr>
        <w:t xml:space="preserve"> and meeting the </w:t>
      </w:r>
      <w:r w:rsidR="00375A66">
        <w:rPr>
          <w:lang w:eastAsia="ja-JP"/>
        </w:rPr>
        <w:t>National Principles related to wood production in plantations</w:t>
      </w:r>
      <w:r w:rsidR="002F2383" w:rsidRPr="00792F38">
        <w:rPr>
          <w:lang w:eastAsia="ja-JP"/>
        </w:rPr>
        <w:t>.</w:t>
      </w:r>
    </w:p>
    <w:p w14:paraId="4C1C1AE7" w14:textId="41AFE431" w:rsidR="00B82095" w:rsidRPr="00A80C94" w:rsidRDefault="000913B5" w:rsidP="00A80C94">
      <w:pPr>
        <w:pStyle w:val="Heading2"/>
      </w:pPr>
      <w:r w:rsidRPr="00A80C94">
        <w:t>More</w:t>
      </w:r>
      <w:r w:rsidR="00B82095" w:rsidRPr="00A80C94">
        <w:t xml:space="preserve"> information</w:t>
      </w:r>
    </w:p>
    <w:p w14:paraId="6CED3950" w14:textId="55D652DB" w:rsidR="000E7803" w:rsidRPr="006F467A" w:rsidRDefault="000E7803" w:rsidP="00A80C94">
      <w:pPr>
        <w:rPr>
          <w:rStyle w:val="Hyperlink"/>
          <w:color w:val="auto"/>
          <w:u w:val="none"/>
          <w:lang w:eastAsia="ja-JP"/>
        </w:rPr>
      </w:pPr>
      <w:r>
        <w:rPr>
          <w:lang w:eastAsia="ja-JP"/>
        </w:rPr>
        <w:t>Learn more</w:t>
      </w:r>
      <w:r w:rsidR="00D42C6B">
        <w:rPr>
          <w:lang w:eastAsia="ja-JP"/>
        </w:rPr>
        <w:t xml:space="preserve"> about any of the above</w:t>
      </w:r>
      <w:r>
        <w:rPr>
          <w:lang w:eastAsia="ja-JP"/>
        </w:rPr>
        <w:t xml:space="preserve"> </w:t>
      </w:r>
      <w:r w:rsidR="00D42C6B">
        <w:rPr>
          <w:lang w:eastAsia="ja-JP"/>
        </w:rPr>
        <w:t xml:space="preserve">at the </w:t>
      </w:r>
      <w:hyperlink r:id="rId15" w:history="1">
        <w:r w:rsidR="00D42C6B">
          <w:rPr>
            <w:rStyle w:val="Hyperlink"/>
            <w:lang w:eastAsia="ja-JP"/>
          </w:rPr>
          <w:t>Wood Export FAQ</w:t>
        </w:r>
      </w:hyperlink>
      <w:r w:rsidR="00D42C6B">
        <w:rPr>
          <w:rStyle w:val="Hyperlink"/>
          <w:lang w:eastAsia="ja-JP"/>
        </w:rPr>
        <w:t>.</w:t>
      </w:r>
    </w:p>
    <w:p w14:paraId="63BC9BEF" w14:textId="1327363A" w:rsidR="00B82095" w:rsidRDefault="00B82095" w:rsidP="00A80C94">
      <w:pPr>
        <w:rPr>
          <w:lang w:eastAsia="ja-JP"/>
        </w:rPr>
      </w:pPr>
      <w:r w:rsidRPr="00017ACB">
        <w:rPr>
          <w:lang w:eastAsia="ja-JP"/>
        </w:rPr>
        <w:t xml:space="preserve">Email </w:t>
      </w:r>
      <w:hyperlink r:id="rId16" w:history="1">
        <w:r w:rsidR="00D42C6B">
          <w:rPr>
            <w:rStyle w:val="Hyperlink"/>
            <w:lang w:eastAsia="ja-JP"/>
          </w:rPr>
          <w:t>wood.export@aff.gov.au</w:t>
        </w:r>
      </w:hyperlink>
    </w:p>
    <w:p w14:paraId="55B712FD" w14:textId="75913342" w:rsidR="000A5BA0" w:rsidRDefault="000A5BA0" w:rsidP="000A5BA0">
      <w:pPr>
        <w:pStyle w:val="Normalsmall"/>
      </w:pPr>
      <w:r>
        <w:rPr>
          <w:rStyle w:val="Strong"/>
        </w:rPr>
        <w:t>Acknowledgement of Country</w:t>
      </w:r>
    </w:p>
    <w:p w14:paraId="6B6054B7"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99EE464" w14:textId="70978578" w:rsidR="00E9781D" w:rsidRDefault="00E9781D" w:rsidP="00E9781D">
      <w:pPr>
        <w:pStyle w:val="Normalsmall"/>
        <w:spacing w:before="360"/>
      </w:pPr>
      <w:r>
        <w:t>© Commonwealth of Australia 202</w:t>
      </w:r>
      <w:r w:rsidR="001F2F9A">
        <w:t>4</w:t>
      </w:r>
    </w:p>
    <w:p w14:paraId="0FACD089"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3C8C313" w14:textId="77777777" w:rsidR="00E9781D" w:rsidRDefault="00E9781D" w:rsidP="00E9781D">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77F0AFA7"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3173D">
      <w:headerReference w:type="even" r:id="rId18"/>
      <w:headerReference w:type="default" r:id="rId19"/>
      <w:footerReference w:type="even" r:id="rId20"/>
      <w:footerReference w:type="default" r:id="rId21"/>
      <w:headerReference w:type="first" r:id="rId22"/>
      <w:footerReference w:type="first" r:id="rId23"/>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BF7B" w14:textId="77777777" w:rsidR="00D513CD" w:rsidRDefault="00D513CD">
      <w:r>
        <w:separator/>
      </w:r>
    </w:p>
    <w:p w14:paraId="41AEAAA0" w14:textId="77777777" w:rsidR="00D513CD" w:rsidRDefault="00D513CD"/>
    <w:p w14:paraId="64D486E7" w14:textId="77777777" w:rsidR="00D513CD" w:rsidRDefault="00D513CD"/>
  </w:endnote>
  <w:endnote w:type="continuationSeparator" w:id="0">
    <w:p w14:paraId="147582CA" w14:textId="77777777" w:rsidR="00D513CD" w:rsidRDefault="00D513CD">
      <w:r>
        <w:continuationSeparator/>
      </w:r>
    </w:p>
    <w:p w14:paraId="7B2728AA" w14:textId="77777777" w:rsidR="00D513CD" w:rsidRDefault="00D513CD"/>
    <w:p w14:paraId="2850052F" w14:textId="77777777" w:rsidR="00D513CD" w:rsidRDefault="00D513CD"/>
  </w:endnote>
  <w:endnote w:type="continuationNotice" w:id="1">
    <w:p w14:paraId="587C3E10" w14:textId="77777777" w:rsidR="00D513CD" w:rsidRDefault="00D513CD">
      <w:pPr>
        <w:pStyle w:val="Footer"/>
      </w:pPr>
    </w:p>
    <w:p w14:paraId="3165C1E8" w14:textId="77777777" w:rsidR="00D513CD" w:rsidRDefault="00D513CD"/>
    <w:p w14:paraId="27CCAFCF" w14:textId="77777777" w:rsidR="00D513CD" w:rsidRDefault="00D51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CDB0" w14:textId="77F6B822" w:rsidR="00245FE6" w:rsidRDefault="00245FE6">
    <w:pPr>
      <w:pStyle w:val="Footer"/>
    </w:pPr>
    <w:r>
      <w:rPr>
        <w:noProof/>
      </w:rPr>
      <mc:AlternateContent>
        <mc:Choice Requires="wps">
          <w:drawing>
            <wp:anchor distT="0" distB="0" distL="0" distR="0" simplePos="0" relativeHeight="251664384" behindDoc="0" locked="0" layoutInCell="1" allowOverlap="1" wp14:anchorId="4F02D97A" wp14:editId="541A83DB">
              <wp:simplePos x="635" y="635"/>
              <wp:positionH relativeFrom="page">
                <wp:align>center</wp:align>
              </wp:positionH>
              <wp:positionV relativeFrom="page">
                <wp:align>bottom</wp:align>
              </wp:positionV>
              <wp:extent cx="551815" cy="404495"/>
              <wp:effectExtent l="0" t="0" r="635" b="0"/>
              <wp:wrapNone/>
              <wp:docPr id="9681665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AAC9D1" w14:textId="030D072F"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2D97A"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0AAC9D1" w14:textId="030D072F"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09F8" w14:textId="1D6E9445" w:rsidR="00863E83" w:rsidRDefault="00245FE6" w:rsidP="00863E83">
    <w:pPr>
      <w:pStyle w:val="Footer"/>
    </w:pPr>
    <w:r>
      <w:rPr>
        <w:noProof/>
      </w:rPr>
      <mc:AlternateContent>
        <mc:Choice Requires="wps">
          <w:drawing>
            <wp:anchor distT="0" distB="0" distL="0" distR="0" simplePos="0" relativeHeight="251665408" behindDoc="0" locked="0" layoutInCell="1" allowOverlap="1" wp14:anchorId="363ACF84" wp14:editId="69F377ED">
              <wp:simplePos x="792480" y="10050145"/>
              <wp:positionH relativeFrom="page">
                <wp:align>center</wp:align>
              </wp:positionH>
              <wp:positionV relativeFrom="page">
                <wp:align>bottom</wp:align>
              </wp:positionV>
              <wp:extent cx="551815" cy="404495"/>
              <wp:effectExtent l="0" t="0" r="635" b="0"/>
              <wp:wrapNone/>
              <wp:docPr id="17245638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220EEF3" w14:textId="047BCAFB"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3ACF84"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220EEF3" w14:textId="047BCAFB"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p>
  <w:p w14:paraId="2C6D5047" w14:textId="77777777" w:rsidR="000542B4" w:rsidRDefault="007D15D2"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54D9" w14:textId="639E9CE4" w:rsidR="00577F29" w:rsidRDefault="00245FE6" w:rsidP="004E6316">
    <w:pPr>
      <w:pStyle w:val="Footer"/>
    </w:pPr>
    <w:r>
      <w:rPr>
        <w:noProof/>
      </w:rPr>
      <mc:AlternateContent>
        <mc:Choice Requires="wps">
          <w:drawing>
            <wp:anchor distT="0" distB="0" distL="0" distR="0" simplePos="0" relativeHeight="251663360" behindDoc="0" locked="0" layoutInCell="1" allowOverlap="1" wp14:anchorId="56F5C8A5" wp14:editId="60D253F0">
              <wp:simplePos x="793750" y="10280650"/>
              <wp:positionH relativeFrom="page">
                <wp:align>center</wp:align>
              </wp:positionH>
              <wp:positionV relativeFrom="page">
                <wp:align>bottom</wp:align>
              </wp:positionV>
              <wp:extent cx="551815" cy="404495"/>
              <wp:effectExtent l="0" t="0" r="635" b="0"/>
              <wp:wrapNone/>
              <wp:docPr id="14553004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B5487D3" w14:textId="34EB8D62"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F5C8A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B5487D3" w14:textId="34EB8D62"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v:textbox>
              <w10:wrap anchorx="page" anchory="page"/>
            </v:shape>
          </w:pict>
        </mc:Fallback>
      </mc:AlternateContent>
    </w:r>
  </w:p>
  <w:sdt>
    <w:sdtPr>
      <w:id w:val="-858040093"/>
      <w:docPartObj>
        <w:docPartGallery w:val="Page Numbers (Bottom of Page)"/>
        <w:docPartUnique/>
      </w:docPartObj>
    </w:sdtPr>
    <w:sdtEndPr>
      <w:rPr>
        <w:noProof/>
      </w:rPr>
    </w:sdtEndPr>
    <w:sdtContent>
      <w:p w14:paraId="0B9DB35C"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7675D" w14:textId="77777777" w:rsidR="00D513CD" w:rsidRDefault="00D513CD">
      <w:r>
        <w:separator/>
      </w:r>
    </w:p>
    <w:p w14:paraId="3D0531C7" w14:textId="77777777" w:rsidR="00D513CD" w:rsidRDefault="00D513CD"/>
    <w:p w14:paraId="0B5374B7" w14:textId="77777777" w:rsidR="00D513CD" w:rsidRDefault="00D513CD"/>
  </w:footnote>
  <w:footnote w:type="continuationSeparator" w:id="0">
    <w:p w14:paraId="7AF05B04" w14:textId="77777777" w:rsidR="00D513CD" w:rsidRDefault="00D513CD">
      <w:r>
        <w:continuationSeparator/>
      </w:r>
    </w:p>
    <w:p w14:paraId="71E0AD4C" w14:textId="77777777" w:rsidR="00D513CD" w:rsidRDefault="00D513CD"/>
    <w:p w14:paraId="53653EC2" w14:textId="77777777" w:rsidR="00D513CD" w:rsidRDefault="00D513CD"/>
  </w:footnote>
  <w:footnote w:type="continuationNotice" w:id="1">
    <w:p w14:paraId="30907D37" w14:textId="77777777" w:rsidR="00D513CD" w:rsidRDefault="00D513CD">
      <w:pPr>
        <w:pStyle w:val="Footer"/>
      </w:pPr>
    </w:p>
    <w:p w14:paraId="32207AD4" w14:textId="77777777" w:rsidR="00D513CD" w:rsidRDefault="00D513CD"/>
    <w:p w14:paraId="2314D44F" w14:textId="77777777" w:rsidR="00D513CD" w:rsidRDefault="00D51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319D" w14:textId="41B3520F" w:rsidR="00245FE6" w:rsidRDefault="00245FE6">
    <w:pPr>
      <w:pStyle w:val="Header"/>
    </w:pPr>
    <w:r>
      <w:rPr>
        <w:noProof/>
      </w:rPr>
      <mc:AlternateContent>
        <mc:Choice Requires="wps">
          <w:drawing>
            <wp:anchor distT="0" distB="0" distL="0" distR="0" simplePos="0" relativeHeight="251661312" behindDoc="0" locked="0" layoutInCell="1" allowOverlap="1" wp14:anchorId="175FDEF2" wp14:editId="700497D4">
              <wp:simplePos x="635" y="635"/>
              <wp:positionH relativeFrom="page">
                <wp:align>center</wp:align>
              </wp:positionH>
              <wp:positionV relativeFrom="page">
                <wp:align>top</wp:align>
              </wp:positionV>
              <wp:extent cx="551815" cy="404495"/>
              <wp:effectExtent l="0" t="0" r="635" b="14605"/>
              <wp:wrapNone/>
              <wp:docPr id="12346569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525049" w14:textId="47DED8B6"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5FDEF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3525049" w14:textId="47DED8B6"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1B71" w14:textId="6257FC40" w:rsidR="004635F4" w:rsidRPr="00792F38" w:rsidRDefault="00245FE6" w:rsidP="004635F4">
    <w:pPr>
      <w:widowControl w:val="0"/>
      <w:spacing w:before="360" w:after="240" w:line="240" w:lineRule="auto"/>
      <w:contextualSpacing/>
      <w:jc w:val="center"/>
      <w:outlineLvl w:val="0"/>
      <w:rPr>
        <w:color w:val="000000"/>
        <w:spacing w:val="5"/>
        <w:kern w:val="28"/>
        <w:sz w:val="20"/>
        <w:szCs w:val="20"/>
      </w:rPr>
    </w:pPr>
    <w:r>
      <w:rPr>
        <w:noProof/>
        <w:color w:val="000000"/>
        <w:spacing w:val="5"/>
        <w:kern w:val="28"/>
        <w:sz w:val="20"/>
        <w:szCs w:val="20"/>
      </w:rPr>
      <mc:AlternateContent>
        <mc:Choice Requires="wps">
          <w:drawing>
            <wp:anchor distT="0" distB="0" distL="0" distR="0" simplePos="0" relativeHeight="251662336" behindDoc="0" locked="0" layoutInCell="1" allowOverlap="1" wp14:anchorId="25ABC0F5" wp14:editId="0477CE76">
              <wp:simplePos x="792480" y="360680"/>
              <wp:positionH relativeFrom="page">
                <wp:align>center</wp:align>
              </wp:positionH>
              <wp:positionV relativeFrom="page">
                <wp:align>top</wp:align>
              </wp:positionV>
              <wp:extent cx="551815" cy="404495"/>
              <wp:effectExtent l="0" t="0" r="635" b="14605"/>
              <wp:wrapNone/>
              <wp:docPr id="12295239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900EAC0" w14:textId="633AC7A7"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BC0F5"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900EAC0" w14:textId="633AC7A7"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v:textbox>
              <w10:wrap anchorx="page" anchory="page"/>
            </v:shape>
          </w:pict>
        </mc:Fallback>
      </mc:AlternateContent>
    </w:r>
    <w:r w:rsidR="004635F4" w:rsidRPr="00792F38">
      <w:rPr>
        <w:color w:val="000000"/>
        <w:spacing w:val="5"/>
        <w:kern w:val="28"/>
        <w:sz w:val="20"/>
        <w:szCs w:val="20"/>
      </w:rPr>
      <w:t xml:space="preserve">Information Sheet: </w:t>
    </w:r>
    <w:r w:rsidR="00D42C6B">
      <w:rPr>
        <w:color w:val="000000"/>
        <w:spacing w:val="5"/>
        <w:kern w:val="28"/>
        <w:sz w:val="20"/>
        <w:szCs w:val="20"/>
      </w:rPr>
      <w:t>I</w:t>
    </w:r>
    <w:r w:rsidR="004635F4" w:rsidRPr="00792F38">
      <w:rPr>
        <w:color w:val="000000"/>
        <w:spacing w:val="5"/>
        <w:kern w:val="28"/>
        <w:sz w:val="20"/>
        <w:szCs w:val="20"/>
      </w:rPr>
      <w:t>mprovements to the Export Control (Wood and Woodchips) Rules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CCD0" w14:textId="235555D8" w:rsidR="000E455C" w:rsidRDefault="00245FE6" w:rsidP="00A8157A">
    <w:pPr>
      <w:pStyle w:val="Footer"/>
      <w:spacing w:after="0"/>
      <w:jc w:val="left"/>
    </w:pPr>
    <w:r>
      <w:rPr>
        <w:noProof/>
      </w:rPr>
      <mc:AlternateContent>
        <mc:Choice Requires="wps">
          <w:drawing>
            <wp:anchor distT="0" distB="0" distL="0" distR="0" simplePos="0" relativeHeight="251660288" behindDoc="0" locked="0" layoutInCell="1" allowOverlap="1" wp14:anchorId="1BCAF1F9" wp14:editId="27912104">
              <wp:simplePos x="793750" y="361950"/>
              <wp:positionH relativeFrom="page">
                <wp:align>center</wp:align>
              </wp:positionH>
              <wp:positionV relativeFrom="page">
                <wp:align>top</wp:align>
              </wp:positionV>
              <wp:extent cx="551815" cy="404495"/>
              <wp:effectExtent l="0" t="0" r="635" b="14605"/>
              <wp:wrapNone/>
              <wp:docPr id="20879433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86F7B1" w14:textId="29D91479"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CAF1F9"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986F7B1" w14:textId="29D91479" w:rsidR="00245FE6" w:rsidRPr="00245FE6" w:rsidRDefault="00245FE6" w:rsidP="00245FE6">
                    <w:pPr>
                      <w:spacing w:after="0"/>
                      <w:rPr>
                        <w:rFonts w:ascii="Calibri" w:eastAsia="Calibri" w:hAnsi="Calibri" w:cs="Calibri"/>
                        <w:noProof/>
                        <w:color w:val="FF0000"/>
                        <w:sz w:val="24"/>
                        <w:szCs w:val="24"/>
                      </w:rPr>
                    </w:pPr>
                    <w:r w:rsidRPr="00245FE6">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3989F3D8" wp14:editId="7C5C85D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38"/>
    <w:rsid w:val="0000059E"/>
    <w:rsid w:val="0000066F"/>
    <w:rsid w:val="00001B53"/>
    <w:rsid w:val="00017ACB"/>
    <w:rsid w:val="00021590"/>
    <w:rsid w:val="000241A5"/>
    <w:rsid w:val="00025580"/>
    <w:rsid w:val="00025D1B"/>
    <w:rsid w:val="000266C4"/>
    <w:rsid w:val="00031DA2"/>
    <w:rsid w:val="00047794"/>
    <w:rsid w:val="000542B4"/>
    <w:rsid w:val="000575DE"/>
    <w:rsid w:val="000618F3"/>
    <w:rsid w:val="000626C0"/>
    <w:rsid w:val="00063BC5"/>
    <w:rsid w:val="00064366"/>
    <w:rsid w:val="00066D0B"/>
    <w:rsid w:val="000717D2"/>
    <w:rsid w:val="00074A56"/>
    <w:rsid w:val="00080827"/>
    <w:rsid w:val="0008277A"/>
    <w:rsid w:val="000904C1"/>
    <w:rsid w:val="000913B5"/>
    <w:rsid w:val="000A1864"/>
    <w:rsid w:val="000A5BA0"/>
    <w:rsid w:val="000B0085"/>
    <w:rsid w:val="000B3924"/>
    <w:rsid w:val="000B3C44"/>
    <w:rsid w:val="000C0412"/>
    <w:rsid w:val="000C448B"/>
    <w:rsid w:val="000C4558"/>
    <w:rsid w:val="000E455C"/>
    <w:rsid w:val="000E4D74"/>
    <w:rsid w:val="000E5DE3"/>
    <w:rsid w:val="000E7803"/>
    <w:rsid w:val="000F0491"/>
    <w:rsid w:val="000F5F42"/>
    <w:rsid w:val="00117401"/>
    <w:rsid w:val="001233A8"/>
    <w:rsid w:val="001316F3"/>
    <w:rsid w:val="0013173D"/>
    <w:rsid w:val="00144601"/>
    <w:rsid w:val="00145864"/>
    <w:rsid w:val="001656C3"/>
    <w:rsid w:val="00166F5B"/>
    <w:rsid w:val="00174EBB"/>
    <w:rsid w:val="00190D7E"/>
    <w:rsid w:val="001915B9"/>
    <w:rsid w:val="001929D2"/>
    <w:rsid w:val="001A6968"/>
    <w:rsid w:val="001D0EF3"/>
    <w:rsid w:val="001E4978"/>
    <w:rsid w:val="001F2F9A"/>
    <w:rsid w:val="00201BFB"/>
    <w:rsid w:val="00203DE1"/>
    <w:rsid w:val="00207E48"/>
    <w:rsid w:val="0021089C"/>
    <w:rsid w:val="00214E20"/>
    <w:rsid w:val="00220618"/>
    <w:rsid w:val="00237A69"/>
    <w:rsid w:val="00245FE6"/>
    <w:rsid w:val="00246D5F"/>
    <w:rsid w:val="00275B58"/>
    <w:rsid w:val="00284B53"/>
    <w:rsid w:val="002B1FAF"/>
    <w:rsid w:val="002D2D52"/>
    <w:rsid w:val="002E3E58"/>
    <w:rsid w:val="002E3FD4"/>
    <w:rsid w:val="002F2383"/>
    <w:rsid w:val="002F4595"/>
    <w:rsid w:val="002F4CFC"/>
    <w:rsid w:val="00300AFD"/>
    <w:rsid w:val="003032C0"/>
    <w:rsid w:val="00311EFC"/>
    <w:rsid w:val="00336B60"/>
    <w:rsid w:val="0034378B"/>
    <w:rsid w:val="0035108D"/>
    <w:rsid w:val="00352720"/>
    <w:rsid w:val="00352A9C"/>
    <w:rsid w:val="003569F9"/>
    <w:rsid w:val="003621C7"/>
    <w:rsid w:val="00366721"/>
    <w:rsid w:val="00370990"/>
    <w:rsid w:val="00372F42"/>
    <w:rsid w:val="00375A66"/>
    <w:rsid w:val="00375F56"/>
    <w:rsid w:val="0037698A"/>
    <w:rsid w:val="003817F5"/>
    <w:rsid w:val="00382AC0"/>
    <w:rsid w:val="0038343E"/>
    <w:rsid w:val="0038374F"/>
    <w:rsid w:val="003845FD"/>
    <w:rsid w:val="00392124"/>
    <w:rsid w:val="003937B8"/>
    <w:rsid w:val="00396B1B"/>
    <w:rsid w:val="003A3C11"/>
    <w:rsid w:val="003B2DEB"/>
    <w:rsid w:val="003E3CB2"/>
    <w:rsid w:val="003F5FCA"/>
    <w:rsid w:val="003F73D7"/>
    <w:rsid w:val="00411260"/>
    <w:rsid w:val="004113F9"/>
    <w:rsid w:val="00442630"/>
    <w:rsid w:val="0044304D"/>
    <w:rsid w:val="004465A9"/>
    <w:rsid w:val="00446CB3"/>
    <w:rsid w:val="004635F4"/>
    <w:rsid w:val="00472BBF"/>
    <w:rsid w:val="00474BB1"/>
    <w:rsid w:val="00477888"/>
    <w:rsid w:val="00483217"/>
    <w:rsid w:val="00495068"/>
    <w:rsid w:val="004A01F4"/>
    <w:rsid w:val="004A3938"/>
    <w:rsid w:val="004A56E1"/>
    <w:rsid w:val="004C2DA2"/>
    <w:rsid w:val="004D0888"/>
    <w:rsid w:val="004E1A93"/>
    <w:rsid w:val="004E6316"/>
    <w:rsid w:val="005019C1"/>
    <w:rsid w:val="005070C8"/>
    <w:rsid w:val="00514CEE"/>
    <w:rsid w:val="00515287"/>
    <w:rsid w:val="005157CF"/>
    <w:rsid w:val="0052280E"/>
    <w:rsid w:val="0052684F"/>
    <w:rsid w:val="00531B5A"/>
    <w:rsid w:val="00553E9D"/>
    <w:rsid w:val="0055447F"/>
    <w:rsid w:val="00567DFC"/>
    <w:rsid w:val="0057724A"/>
    <w:rsid w:val="00577F29"/>
    <w:rsid w:val="00590407"/>
    <w:rsid w:val="005A48A6"/>
    <w:rsid w:val="005B3D32"/>
    <w:rsid w:val="005B613F"/>
    <w:rsid w:val="005B656B"/>
    <w:rsid w:val="005C2BFD"/>
    <w:rsid w:val="005C7A76"/>
    <w:rsid w:val="00607A21"/>
    <w:rsid w:val="00607A36"/>
    <w:rsid w:val="00615166"/>
    <w:rsid w:val="006156DF"/>
    <w:rsid w:val="00623BA4"/>
    <w:rsid w:val="00625D8D"/>
    <w:rsid w:val="006360F9"/>
    <w:rsid w:val="00642F36"/>
    <w:rsid w:val="00646917"/>
    <w:rsid w:val="006532A7"/>
    <w:rsid w:val="00656587"/>
    <w:rsid w:val="006608EF"/>
    <w:rsid w:val="0066586D"/>
    <w:rsid w:val="00687A1B"/>
    <w:rsid w:val="00694A5E"/>
    <w:rsid w:val="00696682"/>
    <w:rsid w:val="006B0030"/>
    <w:rsid w:val="006B09E1"/>
    <w:rsid w:val="006B1CBA"/>
    <w:rsid w:val="006B49DE"/>
    <w:rsid w:val="006C3E91"/>
    <w:rsid w:val="006D413F"/>
    <w:rsid w:val="006E353E"/>
    <w:rsid w:val="006E40AE"/>
    <w:rsid w:val="006F467A"/>
    <w:rsid w:val="006F6FE8"/>
    <w:rsid w:val="006F7339"/>
    <w:rsid w:val="00700A80"/>
    <w:rsid w:val="007037F8"/>
    <w:rsid w:val="0070464B"/>
    <w:rsid w:val="00711315"/>
    <w:rsid w:val="00712A52"/>
    <w:rsid w:val="00721291"/>
    <w:rsid w:val="00722D2B"/>
    <w:rsid w:val="007258B1"/>
    <w:rsid w:val="00725C8B"/>
    <w:rsid w:val="00744590"/>
    <w:rsid w:val="007449A2"/>
    <w:rsid w:val="00754CA3"/>
    <w:rsid w:val="0076549B"/>
    <w:rsid w:val="00765F05"/>
    <w:rsid w:val="00777E79"/>
    <w:rsid w:val="00792F38"/>
    <w:rsid w:val="00793E18"/>
    <w:rsid w:val="007A2FFA"/>
    <w:rsid w:val="007B4C63"/>
    <w:rsid w:val="007C0010"/>
    <w:rsid w:val="007C153E"/>
    <w:rsid w:val="007C7703"/>
    <w:rsid w:val="007D15D2"/>
    <w:rsid w:val="007E415E"/>
    <w:rsid w:val="007E69AF"/>
    <w:rsid w:val="007F4986"/>
    <w:rsid w:val="0080517C"/>
    <w:rsid w:val="00816DA7"/>
    <w:rsid w:val="008178BB"/>
    <w:rsid w:val="008205F0"/>
    <w:rsid w:val="00827543"/>
    <w:rsid w:val="00832638"/>
    <w:rsid w:val="00863E83"/>
    <w:rsid w:val="00865130"/>
    <w:rsid w:val="00866ACF"/>
    <w:rsid w:val="0086769D"/>
    <w:rsid w:val="00892F53"/>
    <w:rsid w:val="00895341"/>
    <w:rsid w:val="008A5A53"/>
    <w:rsid w:val="008A6FCB"/>
    <w:rsid w:val="008A775E"/>
    <w:rsid w:val="008C1AE3"/>
    <w:rsid w:val="008E3B54"/>
    <w:rsid w:val="008E6727"/>
    <w:rsid w:val="008F1712"/>
    <w:rsid w:val="008F3804"/>
    <w:rsid w:val="008F382A"/>
    <w:rsid w:val="00902E92"/>
    <w:rsid w:val="00904F16"/>
    <w:rsid w:val="0090743D"/>
    <w:rsid w:val="00911F4A"/>
    <w:rsid w:val="00916FC3"/>
    <w:rsid w:val="00933C07"/>
    <w:rsid w:val="00943779"/>
    <w:rsid w:val="00946C5F"/>
    <w:rsid w:val="0095055B"/>
    <w:rsid w:val="00951EAF"/>
    <w:rsid w:val="00974CD6"/>
    <w:rsid w:val="009844EA"/>
    <w:rsid w:val="009C206F"/>
    <w:rsid w:val="009C37F9"/>
    <w:rsid w:val="009C3FA3"/>
    <w:rsid w:val="009C5CE4"/>
    <w:rsid w:val="009D7044"/>
    <w:rsid w:val="00A0018B"/>
    <w:rsid w:val="00A04AFD"/>
    <w:rsid w:val="00A074AB"/>
    <w:rsid w:val="00A1081C"/>
    <w:rsid w:val="00A1300F"/>
    <w:rsid w:val="00A130F7"/>
    <w:rsid w:val="00A32860"/>
    <w:rsid w:val="00A328B7"/>
    <w:rsid w:val="00A6014C"/>
    <w:rsid w:val="00A62CD6"/>
    <w:rsid w:val="00A62F99"/>
    <w:rsid w:val="00A65D84"/>
    <w:rsid w:val="00A77E8E"/>
    <w:rsid w:val="00A80C94"/>
    <w:rsid w:val="00A8157A"/>
    <w:rsid w:val="00A84FFD"/>
    <w:rsid w:val="00A90EA5"/>
    <w:rsid w:val="00AA0F19"/>
    <w:rsid w:val="00AA1D89"/>
    <w:rsid w:val="00AD39FC"/>
    <w:rsid w:val="00AE1E6E"/>
    <w:rsid w:val="00AE40DE"/>
    <w:rsid w:val="00AE4763"/>
    <w:rsid w:val="00AF4FA8"/>
    <w:rsid w:val="00B0121B"/>
    <w:rsid w:val="00B0455B"/>
    <w:rsid w:val="00B11E02"/>
    <w:rsid w:val="00B211A6"/>
    <w:rsid w:val="00B30E6F"/>
    <w:rsid w:val="00B3476F"/>
    <w:rsid w:val="00B404AB"/>
    <w:rsid w:val="00B43568"/>
    <w:rsid w:val="00B55233"/>
    <w:rsid w:val="00B556A6"/>
    <w:rsid w:val="00B63106"/>
    <w:rsid w:val="00B82095"/>
    <w:rsid w:val="00B90975"/>
    <w:rsid w:val="00B93571"/>
    <w:rsid w:val="00B948AF"/>
    <w:rsid w:val="00B94CBD"/>
    <w:rsid w:val="00BA2806"/>
    <w:rsid w:val="00BC321A"/>
    <w:rsid w:val="00BD4F8E"/>
    <w:rsid w:val="00BE345B"/>
    <w:rsid w:val="00C00D3C"/>
    <w:rsid w:val="00C02FA8"/>
    <w:rsid w:val="00C6128D"/>
    <w:rsid w:val="00C66AEE"/>
    <w:rsid w:val="00C73278"/>
    <w:rsid w:val="00C765C8"/>
    <w:rsid w:val="00C82029"/>
    <w:rsid w:val="00C9283A"/>
    <w:rsid w:val="00C92B6C"/>
    <w:rsid w:val="00C95039"/>
    <w:rsid w:val="00CA3691"/>
    <w:rsid w:val="00CA4548"/>
    <w:rsid w:val="00CA4615"/>
    <w:rsid w:val="00CA7C6F"/>
    <w:rsid w:val="00CB3DDA"/>
    <w:rsid w:val="00CD05BA"/>
    <w:rsid w:val="00CD3A6F"/>
    <w:rsid w:val="00CD6263"/>
    <w:rsid w:val="00CE7F36"/>
    <w:rsid w:val="00CF7D08"/>
    <w:rsid w:val="00D03128"/>
    <w:rsid w:val="00D04A3C"/>
    <w:rsid w:val="00D22097"/>
    <w:rsid w:val="00D26588"/>
    <w:rsid w:val="00D3379F"/>
    <w:rsid w:val="00D36C41"/>
    <w:rsid w:val="00D4039B"/>
    <w:rsid w:val="00D42C6B"/>
    <w:rsid w:val="00D513CD"/>
    <w:rsid w:val="00D51657"/>
    <w:rsid w:val="00D52D08"/>
    <w:rsid w:val="00D55A85"/>
    <w:rsid w:val="00D6119E"/>
    <w:rsid w:val="00D61466"/>
    <w:rsid w:val="00D65A89"/>
    <w:rsid w:val="00D71754"/>
    <w:rsid w:val="00D750D0"/>
    <w:rsid w:val="00D87480"/>
    <w:rsid w:val="00DA6A3F"/>
    <w:rsid w:val="00DB71FD"/>
    <w:rsid w:val="00DC3AF9"/>
    <w:rsid w:val="00DC453F"/>
    <w:rsid w:val="00DC5295"/>
    <w:rsid w:val="00DC57F0"/>
    <w:rsid w:val="00DC6882"/>
    <w:rsid w:val="00DD75F6"/>
    <w:rsid w:val="00DD7AD2"/>
    <w:rsid w:val="00DE0FD6"/>
    <w:rsid w:val="00DE546F"/>
    <w:rsid w:val="00DF1923"/>
    <w:rsid w:val="00DF241E"/>
    <w:rsid w:val="00E02E94"/>
    <w:rsid w:val="00E20357"/>
    <w:rsid w:val="00E25A07"/>
    <w:rsid w:val="00E333DF"/>
    <w:rsid w:val="00E37823"/>
    <w:rsid w:val="00E438A8"/>
    <w:rsid w:val="00E44E91"/>
    <w:rsid w:val="00E51087"/>
    <w:rsid w:val="00E770AB"/>
    <w:rsid w:val="00E83C41"/>
    <w:rsid w:val="00E84E12"/>
    <w:rsid w:val="00E86ECB"/>
    <w:rsid w:val="00E877E6"/>
    <w:rsid w:val="00E87842"/>
    <w:rsid w:val="00E9781D"/>
    <w:rsid w:val="00EA5D76"/>
    <w:rsid w:val="00EA7216"/>
    <w:rsid w:val="00EB0418"/>
    <w:rsid w:val="00EC0AE5"/>
    <w:rsid w:val="00EC2925"/>
    <w:rsid w:val="00EC5579"/>
    <w:rsid w:val="00EC5C40"/>
    <w:rsid w:val="00ED774B"/>
    <w:rsid w:val="00EE0118"/>
    <w:rsid w:val="00EE3B51"/>
    <w:rsid w:val="00EE3FE6"/>
    <w:rsid w:val="00EE49CE"/>
    <w:rsid w:val="00EE7C8D"/>
    <w:rsid w:val="00EF24B1"/>
    <w:rsid w:val="00EF3918"/>
    <w:rsid w:val="00F109A7"/>
    <w:rsid w:val="00F23AF2"/>
    <w:rsid w:val="00F2608F"/>
    <w:rsid w:val="00F30857"/>
    <w:rsid w:val="00F330C3"/>
    <w:rsid w:val="00F351CB"/>
    <w:rsid w:val="00F3602D"/>
    <w:rsid w:val="00F4313F"/>
    <w:rsid w:val="00F6531E"/>
    <w:rsid w:val="00F75F33"/>
    <w:rsid w:val="00F84236"/>
    <w:rsid w:val="00F919A1"/>
    <w:rsid w:val="00FA19F8"/>
    <w:rsid w:val="00FC2CE4"/>
    <w:rsid w:val="00FC379E"/>
    <w:rsid w:val="00FD337C"/>
    <w:rsid w:val="00FD3BAE"/>
    <w:rsid w:val="00FD5236"/>
    <w:rsid w:val="00FD7D5B"/>
    <w:rsid w:val="00FE0F23"/>
    <w:rsid w:val="00FE18CE"/>
    <w:rsid w:val="00FE4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D177"/>
  <w15:docId w15:val="{302AFC7C-BA09-414B-A59F-A35F6A71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21L00318/asmade/tex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au/C2020A00012/latest/text" TargetMode="External"/><Relationship Id="rId17" Type="http://schemas.openxmlformats.org/officeDocument/2006/relationships/hyperlink" Target="https://creativecommons.org/licenses/by/4.0/legalco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ood.export@aff.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25L00120/asmade/tex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agriculture-land/forestry/industries/expor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export/from-australia/fpp-tes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0004\OneDrive%20-%20Agriculture\Desktop\DAFF%20-%20Fact%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E3EBABD6-608D-4EF1-B6AA-51BBA4C62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purl.org/dc/terms/"/>
    <ds:schemaRef ds:uri="81c01dc6-2c49-4730-b140-874c95cac377"/>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c95b51c2-b2ac-4224-a5b5-069909057829"/>
    <ds:schemaRef ds:uri="2b53c995-2120-4bc0-8922-c25044d37f65"/>
    <ds:schemaRef ds:uri="http://www.w3.org/XML/1998/namespace"/>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DAFF - Fact Sheet Template</Template>
  <TotalTime>75</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Information Sheet: Improvements to the Export Control (Wood and Woodchips) Rules 2021</vt:lpstr>
    </vt:vector>
  </TitlesOfParts>
  <Company/>
  <LinksUpToDate>false</LinksUpToDate>
  <CharactersWithSpaces>5878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Improvements to the Export Control (Wood and Woodchips) Rules 2021</dc:title>
  <dc:creator>Department of Agriculture, Fisheries and Forestry</dc:creator>
  <cp:revision>16</cp:revision>
  <cp:lastPrinted>2022-10-26T05:30:00Z</cp:lastPrinted>
  <dcterms:created xsi:type="dcterms:W3CDTF">2024-12-19T00:13:00Z</dcterms:created>
  <dcterms:modified xsi:type="dcterms:W3CDTF">2025-02-13T06:02:00Z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7c737ca3,49975e84,49490c16</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56be1f4d,39b50c82,66cac162</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2024-08-23T00:21:26Z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ab2be76d-d66c-4488-b107-d017d00f1901</vt:lpwstr>
  </property>
  <property fmtid="{D5CDD505-2E9C-101B-9397-08002B2CF9AE}" pid="15" name="MSIP_Label_933d8be6-3c40-4052-87a2-9c2adcba8759_ContentBits">
    <vt:lpwstr>3</vt:lpwstr>
  </property>
  <property fmtid="{D5CDD505-2E9C-101B-9397-08002B2CF9AE}" pid="16" name="MediaServiceImageTags">
    <vt:lpwstr/>
  </property>
</Properties>
</file>